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082B" w14:textId="1C1C6121" w:rsidR="00C577BE" w:rsidRPr="00A83070" w:rsidRDefault="001A6381" w:rsidP="00271B9D">
      <w:pPr>
        <w:autoSpaceDE w:val="0"/>
        <w:autoSpaceDN w:val="0"/>
        <w:adjustRightInd w:val="0"/>
        <w:jc w:val="center"/>
        <w:rPr>
          <w:rFonts w:ascii="Arial" w:eastAsia="Calibri" w:hAnsi="Arial" w:cs="Arial"/>
          <w:b/>
          <w:bCs/>
          <w:sz w:val="26"/>
          <w:szCs w:val="26"/>
        </w:rPr>
      </w:pPr>
      <w:r w:rsidRPr="00A83070">
        <w:rPr>
          <w:rFonts w:ascii="Arial" w:eastAsia="Calibri" w:hAnsi="Arial" w:cs="Arial"/>
          <w:b/>
          <w:bCs/>
          <w:sz w:val="26"/>
          <w:szCs w:val="26"/>
        </w:rPr>
        <w:t xml:space="preserve">Dronedarone </w:t>
      </w:r>
      <w:r w:rsidR="00DB7024" w:rsidRPr="00A83070">
        <w:rPr>
          <w:rFonts w:ascii="Arial" w:eastAsia="Calibri" w:hAnsi="Arial" w:cs="Arial"/>
          <w:b/>
          <w:bCs/>
          <w:sz w:val="26"/>
          <w:szCs w:val="26"/>
        </w:rPr>
        <w:t xml:space="preserve">vs. </w:t>
      </w:r>
      <w:r w:rsidRPr="00A83070">
        <w:rPr>
          <w:rFonts w:ascii="Arial" w:eastAsia="Calibri" w:hAnsi="Arial" w:cs="Arial"/>
          <w:b/>
          <w:bCs/>
          <w:sz w:val="26"/>
          <w:szCs w:val="26"/>
        </w:rPr>
        <w:t xml:space="preserve">Sotalol </w:t>
      </w:r>
      <w:r w:rsidR="0090552B" w:rsidRPr="00A83070">
        <w:rPr>
          <w:rFonts w:ascii="Arial" w:eastAsia="Calibri" w:hAnsi="Arial" w:cs="Arial"/>
          <w:b/>
          <w:bCs/>
          <w:sz w:val="26"/>
          <w:szCs w:val="26"/>
        </w:rPr>
        <w:t>in</w:t>
      </w:r>
      <w:r w:rsidR="00DB7024" w:rsidRPr="00A83070">
        <w:rPr>
          <w:rFonts w:ascii="Arial" w:eastAsia="Calibri" w:hAnsi="Arial" w:cs="Arial"/>
          <w:b/>
          <w:bCs/>
          <w:sz w:val="26"/>
          <w:szCs w:val="26"/>
        </w:rPr>
        <w:t xml:space="preserve"> </w:t>
      </w:r>
      <w:r w:rsidR="0090552B" w:rsidRPr="00A83070">
        <w:rPr>
          <w:rFonts w:ascii="Arial" w:eastAsia="Calibri" w:hAnsi="Arial" w:cs="Arial"/>
          <w:b/>
          <w:bCs/>
          <w:sz w:val="26"/>
          <w:szCs w:val="26"/>
        </w:rPr>
        <w:t xml:space="preserve">Anti-Arrhythmic </w:t>
      </w:r>
      <w:r w:rsidR="007A19DF" w:rsidRPr="00A83070">
        <w:rPr>
          <w:rFonts w:ascii="Arial" w:eastAsia="Calibri" w:hAnsi="Arial" w:cs="Arial"/>
          <w:b/>
          <w:bCs/>
          <w:sz w:val="26"/>
          <w:szCs w:val="26"/>
        </w:rPr>
        <w:t xml:space="preserve">Drug </w:t>
      </w:r>
      <w:r w:rsidR="0090552B" w:rsidRPr="00A83070">
        <w:rPr>
          <w:rFonts w:ascii="Arial" w:eastAsia="Calibri" w:hAnsi="Arial" w:cs="Arial"/>
          <w:b/>
          <w:bCs/>
          <w:sz w:val="26"/>
          <w:szCs w:val="26"/>
        </w:rPr>
        <w:t xml:space="preserve">Naïve </w:t>
      </w:r>
      <w:r w:rsidR="002566AD">
        <w:rPr>
          <w:rFonts w:ascii="Arial" w:eastAsia="Calibri" w:hAnsi="Arial" w:cs="Arial"/>
          <w:b/>
          <w:bCs/>
          <w:sz w:val="26"/>
          <w:szCs w:val="26"/>
        </w:rPr>
        <w:t>Veterans</w:t>
      </w:r>
      <w:r w:rsidR="0090552B" w:rsidRPr="00A83070">
        <w:rPr>
          <w:rFonts w:ascii="Arial" w:eastAsia="Calibri" w:hAnsi="Arial" w:cs="Arial"/>
          <w:b/>
          <w:bCs/>
          <w:sz w:val="26"/>
          <w:szCs w:val="26"/>
        </w:rPr>
        <w:t xml:space="preserve"> with </w:t>
      </w:r>
      <w:r w:rsidRPr="00A83070">
        <w:rPr>
          <w:rFonts w:ascii="Arial" w:eastAsia="Calibri" w:hAnsi="Arial" w:cs="Arial"/>
          <w:b/>
          <w:bCs/>
          <w:sz w:val="26"/>
          <w:szCs w:val="26"/>
        </w:rPr>
        <w:t>Atrial Fibrillation</w:t>
      </w:r>
    </w:p>
    <w:p w14:paraId="54E71CFB" w14:textId="77777777" w:rsidR="00C577BE" w:rsidRPr="00A83070" w:rsidRDefault="00C577BE" w:rsidP="00CC12BD">
      <w:pPr>
        <w:rPr>
          <w:rFonts w:ascii="Arial" w:hAnsi="Arial" w:cs="Arial"/>
          <w:sz w:val="22"/>
          <w:szCs w:val="22"/>
        </w:rPr>
      </w:pPr>
    </w:p>
    <w:p w14:paraId="414FAE56" w14:textId="126B84D3" w:rsidR="00C577BE" w:rsidRPr="00A83070" w:rsidRDefault="00C577BE" w:rsidP="00CC12BD">
      <w:pPr>
        <w:jc w:val="center"/>
        <w:rPr>
          <w:rFonts w:ascii="Arial" w:hAnsi="Arial" w:cs="Arial"/>
          <w:sz w:val="22"/>
          <w:szCs w:val="22"/>
          <w:vertAlign w:val="superscript"/>
        </w:rPr>
      </w:pPr>
      <w:bookmarkStart w:id="0" w:name="_Hlk82266346"/>
      <w:bookmarkStart w:id="1" w:name="_Hlk80195092"/>
      <w:r w:rsidRPr="00A83070">
        <w:rPr>
          <w:rFonts w:ascii="Arial" w:hAnsi="Arial" w:cs="Arial"/>
          <w:sz w:val="22"/>
          <w:szCs w:val="22"/>
        </w:rPr>
        <w:t>Krishna Pundi MD</w:t>
      </w:r>
      <w:r w:rsidRPr="00A83070">
        <w:rPr>
          <w:rFonts w:ascii="Arial" w:hAnsi="Arial" w:cs="Arial"/>
          <w:sz w:val="22"/>
          <w:szCs w:val="22"/>
          <w:vertAlign w:val="superscript"/>
        </w:rPr>
        <w:t>1</w:t>
      </w:r>
      <w:r w:rsidRPr="00A83070">
        <w:rPr>
          <w:rFonts w:ascii="Arial" w:hAnsi="Arial" w:cs="Arial"/>
          <w:sz w:val="22"/>
          <w:szCs w:val="22"/>
        </w:rPr>
        <w:t>, Jun Fan</w:t>
      </w:r>
      <w:r w:rsidR="008B00B2" w:rsidRPr="00A83070">
        <w:rPr>
          <w:rFonts w:ascii="Arial" w:hAnsi="Arial" w:cs="Arial"/>
          <w:sz w:val="22"/>
          <w:szCs w:val="22"/>
        </w:rPr>
        <w:t xml:space="preserve"> MS</w:t>
      </w:r>
      <w:r w:rsidR="008B00B2" w:rsidRPr="00A83070">
        <w:rPr>
          <w:rFonts w:ascii="Arial" w:hAnsi="Arial" w:cs="Arial"/>
          <w:sz w:val="22"/>
          <w:szCs w:val="22"/>
          <w:vertAlign w:val="superscript"/>
        </w:rPr>
        <w:t>2</w:t>
      </w:r>
      <w:r w:rsidRPr="00A83070">
        <w:rPr>
          <w:rFonts w:ascii="Arial" w:hAnsi="Arial" w:cs="Arial"/>
          <w:sz w:val="22"/>
          <w:szCs w:val="22"/>
        </w:rPr>
        <w:t xml:space="preserve">, </w:t>
      </w:r>
      <w:proofErr w:type="spellStart"/>
      <w:r w:rsidR="005A7E73" w:rsidRPr="00A83070">
        <w:rPr>
          <w:rFonts w:ascii="Arial" w:hAnsi="Arial" w:cs="Arial"/>
          <w:sz w:val="22"/>
          <w:szCs w:val="22"/>
        </w:rPr>
        <w:t>Shaum</w:t>
      </w:r>
      <w:proofErr w:type="spellEnd"/>
      <w:r w:rsidR="005A7E73" w:rsidRPr="00A83070">
        <w:rPr>
          <w:rFonts w:ascii="Arial" w:hAnsi="Arial" w:cs="Arial"/>
          <w:sz w:val="22"/>
          <w:szCs w:val="22"/>
        </w:rPr>
        <w:t xml:space="preserve"> </w:t>
      </w:r>
      <w:proofErr w:type="spellStart"/>
      <w:r w:rsidR="005A7E73" w:rsidRPr="00A83070">
        <w:rPr>
          <w:rFonts w:ascii="Arial" w:hAnsi="Arial" w:cs="Arial"/>
          <w:sz w:val="22"/>
          <w:szCs w:val="22"/>
        </w:rPr>
        <w:t>Kabadi</w:t>
      </w:r>
      <w:proofErr w:type="spellEnd"/>
      <w:r w:rsidR="005A7E73" w:rsidRPr="00A83070">
        <w:rPr>
          <w:rFonts w:ascii="Arial" w:hAnsi="Arial" w:cs="Arial"/>
          <w:sz w:val="22"/>
          <w:szCs w:val="22"/>
        </w:rPr>
        <w:t xml:space="preserve"> PhD MPH</w:t>
      </w:r>
      <w:r w:rsidR="005A7E73" w:rsidRPr="00A83070">
        <w:rPr>
          <w:rFonts w:ascii="Arial" w:hAnsi="Arial" w:cs="Arial"/>
          <w:sz w:val="22"/>
          <w:szCs w:val="22"/>
          <w:vertAlign w:val="superscript"/>
        </w:rPr>
        <w:t>3</w:t>
      </w:r>
      <w:r w:rsidR="005A7E73" w:rsidRPr="00A83070">
        <w:rPr>
          <w:rFonts w:ascii="Arial" w:hAnsi="Arial" w:cs="Arial"/>
          <w:sz w:val="22"/>
          <w:szCs w:val="22"/>
        </w:rPr>
        <w:t xml:space="preserve">, </w:t>
      </w:r>
      <w:r w:rsidRPr="00A83070">
        <w:rPr>
          <w:rFonts w:ascii="Arial" w:hAnsi="Arial" w:cs="Arial"/>
          <w:sz w:val="22"/>
          <w:szCs w:val="22"/>
        </w:rPr>
        <w:t xml:space="preserve">Natasha Din </w:t>
      </w:r>
      <w:r w:rsidR="00D26AA6">
        <w:rPr>
          <w:rFonts w:ascii="Arial" w:hAnsi="Arial" w:cs="Arial"/>
          <w:sz w:val="22"/>
          <w:szCs w:val="22"/>
        </w:rPr>
        <w:t>MD</w:t>
      </w:r>
      <w:r w:rsidRPr="00A83070">
        <w:rPr>
          <w:rFonts w:ascii="Arial" w:hAnsi="Arial" w:cs="Arial"/>
          <w:sz w:val="22"/>
          <w:szCs w:val="22"/>
        </w:rPr>
        <w:t xml:space="preserve"> MAS</w:t>
      </w:r>
      <w:r w:rsidR="008B00B2" w:rsidRPr="00A83070">
        <w:rPr>
          <w:rFonts w:ascii="Arial" w:hAnsi="Arial" w:cs="Arial"/>
          <w:sz w:val="22"/>
          <w:szCs w:val="22"/>
          <w:vertAlign w:val="superscript"/>
        </w:rPr>
        <w:t>2</w:t>
      </w:r>
      <w:r w:rsidRPr="00A83070">
        <w:rPr>
          <w:rFonts w:ascii="Arial" w:hAnsi="Arial" w:cs="Arial"/>
          <w:sz w:val="22"/>
          <w:szCs w:val="22"/>
        </w:rPr>
        <w:t>,</w:t>
      </w:r>
      <w:r w:rsidR="0059206E" w:rsidRPr="00A83070">
        <w:rPr>
          <w:rFonts w:ascii="Arial" w:hAnsi="Arial" w:cs="Arial"/>
          <w:sz w:val="22"/>
          <w:szCs w:val="22"/>
        </w:rPr>
        <w:t xml:space="preserve"> Carina </w:t>
      </w:r>
      <w:proofErr w:type="spellStart"/>
      <w:r w:rsidR="0059206E" w:rsidRPr="00A83070">
        <w:rPr>
          <w:rFonts w:ascii="Arial" w:hAnsi="Arial" w:cs="Arial"/>
          <w:sz w:val="22"/>
          <w:szCs w:val="22"/>
        </w:rPr>
        <w:t>Blomstr</w:t>
      </w:r>
      <w:r w:rsidR="008A6384" w:rsidRPr="00C50B4C">
        <w:rPr>
          <w:rFonts w:ascii="Arial" w:hAnsi="Arial" w:cs="Arial"/>
          <w:sz w:val="22"/>
          <w:szCs w:val="22"/>
        </w:rPr>
        <w:t>ö</w:t>
      </w:r>
      <w:r w:rsidR="0059206E" w:rsidRPr="00A83070">
        <w:rPr>
          <w:rFonts w:ascii="Arial" w:hAnsi="Arial" w:cs="Arial"/>
          <w:sz w:val="22"/>
          <w:szCs w:val="22"/>
        </w:rPr>
        <w:t>m</w:t>
      </w:r>
      <w:proofErr w:type="spellEnd"/>
      <w:r w:rsidR="0059206E" w:rsidRPr="00A83070">
        <w:rPr>
          <w:rFonts w:ascii="Arial" w:hAnsi="Arial" w:cs="Arial"/>
          <w:sz w:val="22"/>
          <w:szCs w:val="22"/>
        </w:rPr>
        <w:t>-Lundqvist MD PhD</w:t>
      </w:r>
      <w:r w:rsidR="005A7E73" w:rsidRPr="00A83070">
        <w:rPr>
          <w:rFonts w:ascii="Arial" w:hAnsi="Arial" w:cs="Arial"/>
          <w:sz w:val="22"/>
          <w:szCs w:val="22"/>
          <w:vertAlign w:val="superscript"/>
        </w:rPr>
        <w:t>4</w:t>
      </w:r>
      <w:r w:rsidR="0059206E" w:rsidRPr="00A83070">
        <w:rPr>
          <w:rFonts w:ascii="Arial" w:hAnsi="Arial" w:cs="Arial"/>
          <w:sz w:val="22"/>
          <w:szCs w:val="22"/>
        </w:rPr>
        <w:t xml:space="preserve">, </w:t>
      </w:r>
      <w:r w:rsidR="009C54EC">
        <w:rPr>
          <w:rFonts w:ascii="Arial" w:hAnsi="Arial" w:cs="Arial"/>
          <w:sz w:val="22"/>
          <w:szCs w:val="22"/>
        </w:rPr>
        <w:t xml:space="preserve">A. </w:t>
      </w:r>
      <w:r w:rsidR="0059206E" w:rsidRPr="00A83070">
        <w:rPr>
          <w:rFonts w:ascii="Arial" w:hAnsi="Arial" w:cs="Arial"/>
          <w:sz w:val="22"/>
          <w:szCs w:val="22"/>
        </w:rPr>
        <w:t xml:space="preserve">John </w:t>
      </w:r>
      <w:proofErr w:type="spellStart"/>
      <w:r w:rsidR="0059206E" w:rsidRPr="00A83070">
        <w:rPr>
          <w:rFonts w:ascii="Arial" w:hAnsi="Arial" w:cs="Arial"/>
          <w:sz w:val="22"/>
          <w:szCs w:val="22"/>
        </w:rPr>
        <w:t>Camm</w:t>
      </w:r>
      <w:proofErr w:type="spellEnd"/>
      <w:r w:rsidR="0059206E" w:rsidRPr="00A83070">
        <w:rPr>
          <w:rFonts w:ascii="Arial" w:hAnsi="Arial" w:cs="Arial"/>
          <w:sz w:val="22"/>
          <w:szCs w:val="22"/>
        </w:rPr>
        <w:t xml:space="preserve"> MD</w:t>
      </w:r>
      <w:r w:rsidR="005A7E73" w:rsidRPr="00A83070">
        <w:rPr>
          <w:rFonts w:ascii="Arial" w:hAnsi="Arial" w:cs="Arial"/>
          <w:sz w:val="22"/>
          <w:szCs w:val="22"/>
          <w:vertAlign w:val="superscript"/>
        </w:rPr>
        <w:t>5</w:t>
      </w:r>
      <w:r w:rsidR="0059206E" w:rsidRPr="00A83070">
        <w:rPr>
          <w:rFonts w:ascii="Arial" w:hAnsi="Arial" w:cs="Arial"/>
          <w:sz w:val="22"/>
          <w:szCs w:val="22"/>
        </w:rPr>
        <w:t xml:space="preserve">, Peter </w:t>
      </w:r>
      <w:proofErr w:type="spellStart"/>
      <w:r w:rsidR="0059206E" w:rsidRPr="00A83070">
        <w:rPr>
          <w:rFonts w:ascii="Arial" w:hAnsi="Arial" w:cs="Arial"/>
          <w:sz w:val="22"/>
          <w:szCs w:val="22"/>
        </w:rPr>
        <w:t>Kowey</w:t>
      </w:r>
      <w:proofErr w:type="spellEnd"/>
      <w:r w:rsidR="0059206E" w:rsidRPr="00A83070">
        <w:rPr>
          <w:rFonts w:ascii="Arial" w:hAnsi="Arial" w:cs="Arial"/>
          <w:sz w:val="22"/>
          <w:szCs w:val="22"/>
        </w:rPr>
        <w:t xml:space="preserve"> MD</w:t>
      </w:r>
      <w:r w:rsidR="005A7E73" w:rsidRPr="00A83070">
        <w:rPr>
          <w:rFonts w:ascii="Arial" w:hAnsi="Arial" w:cs="Arial"/>
          <w:sz w:val="22"/>
          <w:szCs w:val="22"/>
          <w:vertAlign w:val="superscript"/>
        </w:rPr>
        <w:t>6</w:t>
      </w:r>
      <w:r w:rsidR="0059206E" w:rsidRPr="00A83070">
        <w:rPr>
          <w:rFonts w:ascii="Arial" w:hAnsi="Arial" w:cs="Arial"/>
          <w:sz w:val="22"/>
          <w:szCs w:val="22"/>
        </w:rPr>
        <w:t xml:space="preserve">, </w:t>
      </w:r>
      <w:proofErr w:type="spellStart"/>
      <w:r w:rsidR="00867BA0" w:rsidRPr="00A83070">
        <w:rPr>
          <w:rFonts w:ascii="Arial" w:hAnsi="Arial" w:cs="Arial"/>
          <w:sz w:val="22"/>
          <w:szCs w:val="22"/>
        </w:rPr>
        <w:t>Jagmeet</w:t>
      </w:r>
      <w:proofErr w:type="spellEnd"/>
      <w:r w:rsidR="00867BA0" w:rsidRPr="00A83070">
        <w:rPr>
          <w:rFonts w:ascii="Arial" w:hAnsi="Arial" w:cs="Arial"/>
          <w:sz w:val="22"/>
          <w:szCs w:val="22"/>
        </w:rPr>
        <w:t xml:space="preserve"> P. Singh MD PhD</w:t>
      </w:r>
      <w:r w:rsidR="005A7E73" w:rsidRPr="00A83070">
        <w:rPr>
          <w:rFonts w:ascii="Arial" w:hAnsi="Arial" w:cs="Arial"/>
          <w:sz w:val="22"/>
          <w:szCs w:val="22"/>
          <w:vertAlign w:val="superscript"/>
        </w:rPr>
        <w:t>7</w:t>
      </w:r>
      <w:r w:rsidR="00867BA0" w:rsidRPr="00A83070">
        <w:rPr>
          <w:rFonts w:ascii="Arial" w:hAnsi="Arial" w:cs="Arial"/>
          <w:sz w:val="22"/>
          <w:szCs w:val="22"/>
        </w:rPr>
        <w:t xml:space="preserve">, </w:t>
      </w:r>
      <w:r w:rsidR="005A7E73" w:rsidRPr="00A83070">
        <w:rPr>
          <w:rFonts w:ascii="Arial" w:hAnsi="Arial" w:cs="Arial"/>
          <w:sz w:val="22"/>
          <w:szCs w:val="22"/>
        </w:rPr>
        <w:t xml:space="preserve">Jason </w:t>
      </w:r>
      <w:proofErr w:type="spellStart"/>
      <w:r w:rsidR="005A7E73" w:rsidRPr="00A83070">
        <w:rPr>
          <w:rFonts w:ascii="Arial" w:hAnsi="Arial" w:cs="Arial"/>
          <w:sz w:val="22"/>
          <w:szCs w:val="22"/>
        </w:rPr>
        <w:t>Rashkin</w:t>
      </w:r>
      <w:proofErr w:type="spellEnd"/>
      <w:r w:rsidR="005A7E73" w:rsidRPr="00A83070">
        <w:rPr>
          <w:rFonts w:ascii="Arial" w:hAnsi="Arial" w:cs="Arial"/>
          <w:sz w:val="22"/>
          <w:szCs w:val="22"/>
        </w:rPr>
        <w:t xml:space="preserve"> MD</w:t>
      </w:r>
      <w:r w:rsidR="005A7E73" w:rsidRPr="00A83070">
        <w:rPr>
          <w:rFonts w:ascii="Arial" w:hAnsi="Arial" w:cs="Arial"/>
          <w:sz w:val="22"/>
          <w:szCs w:val="22"/>
          <w:vertAlign w:val="superscript"/>
        </w:rPr>
        <w:t>3</w:t>
      </w:r>
      <w:r w:rsidR="005A7E73" w:rsidRPr="00A83070">
        <w:rPr>
          <w:rFonts w:ascii="Arial" w:hAnsi="Arial" w:cs="Arial"/>
          <w:sz w:val="22"/>
          <w:szCs w:val="22"/>
        </w:rPr>
        <w:t xml:space="preserve">, Mattias </w:t>
      </w:r>
      <w:proofErr w:type="spellStart"/>
      <w:r w:rsidR="005A7E73" w:rsidRPr="00A83070">
        <w:rPr>
          <w:rFonts w:ascii="Arial" w:hAnsi="Arial" w:cs="Arial"/>
          <w:sz w:val="22"/>
          <w:szCs w:val="22"/>
        </w:rPr>
        <w:t>Wieloch</w:t>
      </w:r>
      <w:proofErr w:type="spellEnd"/>
      <w:r w:rsidR="005A7E73" w:rsidRPr="00A83070">
        <w:rPr>
          <w:rFonts w:ascii="Arial" w:hAnsi="Arial" w:cs="Arial"/>
          <w:sz w:val="22"/>
          <w:szCs w:val="22"/>
        </w:rPr>
        <w:t xml:space="preserve"> MD PhD</w:t>
      </w:r>
      <w:r w:rsidR="005A7E73" w:rsidRPr="00A83070">
        <w:rPr>
          <w:rFonts w:ascii="Arial" w:hAnsi="Arial" w:cs="Arial"/>
          <w:sz w:val="22"/>
          <w:szCs w:val="22"/>
          <w:vertAlign w:val="superscript"/>
        </w:rPr>
        <w:t>8</w:t>
      </w:r>
      <w:r w:rsidR="009C4828">
        <w:rPr>
          <w:rFonts w:ascii="Arial" w:hAnsi="Arial" w:cs="Arial"/>
          <w:sz w:val="22"/>
          <w:szCs w:val="22"/>
          <w:vertAlign w:val="superscript"/>
        </w:rPr>
        <w:t>,9</w:t>
      </w:r>
      <w:r w:rsidR="005A7E73" w:rsidRPr="00A83070">
        <w:rPr>
          <w:rFonts w:ascii="Arial" w:hAnsi="Arial" w:cs="Arial"/>
          <w:sz w:val="22"/>
          <w:szCs w:val="22"/>
        </w:rPr>
        <w:t xml:space="preserve">, </w:t>
      </w:r>
      <w:r w:rsidR="001A6381" w:rsidRPr="00A83070">
        <w:rPr>
          <w:rFonts w:ascii="Arial" w:hAnsi="Arial" w:cs="Arial"/>
          <w:sz w:val="22"/>
          <w:szCs w:val="22"/>
        </w:rPr>
        <w:t>Mintu P. Turakhia MD MAS</w:t>
      </w:r>
      <w:r w:rsidR="001A6381" w:rsidRPr="00A83070">
        <w:rPr>
          <w:rFonts w:ascii="Arial" w:hAnsi="Arial" w:cs="Arial"/>
          <w:sz w:val="22"/>
          <w:szCs w:val="22"/>
          <w:vertAlign w:val="superscript"/>
        </w:rPr>
        <w:t>1,2</w:t>
      </w:r>
      <w:r w:rsidR="001A6381" w:rsidRPr="00A83070">
        <w:rPr>
          <w:rFonts w:ascii="Arial" w:hAnsi="Arial" w:cs="Arial"/>
          <w:sz w:val="22"/>
          <w:szCs w:val="22"/>
        </w:rPr>
        <w:t xml:space="preserve">, </w:t>
      </w:r>
      <w:r w:rsidR="00E92670" w:rsidRPr="00A83070">
        <w:rPr>
          <w:rFonts w:ascii="Arial" w:hAnsi="Arial" w:cs="Arial"/>
          <w:sz w:val="22"/>
          <w:szCs w:val="22"/>
        </w:rPr>
        <w:t>Alex</w:t>
      </w:r>
      <w:r w:rsidR="002D27BF">
        <w:rPr>
          <w:rFonts w:ascii="Arial" w:hAnsi="Arial" w:cs="Arial"/>
          <w:sz w:val="22"/>
          <w:szCs w:val="22"/>
        </w:rPr>
        <w:t>ander</w:t>
      </w:r>
      <w:r w:rsidR="00E92670" w:rsidRPr="00A83070">
        <w:rPr>
          <w:rFonts w:ascii="Arial" w:hAnsi="Arial" w:cs="Arial"/>
          <w:sz w:val="22"/>
          <w:szCs w:val="22"/>
        </w:rPr>
        <w:t xml:space="preserve"> T. Sandhu MD MS</w:t>
      </w:r>
      <w:r w:rsidR="00E92670" w:rsidRPr="00A83070">
        <w:rPr>
          <w:rFonts w:ascii="Arial" w:hAnsi="Arial" w:cs="Arial"/>
          <w:sz w:val="22"/>
          <w:szCs w:val="22"/>
          <w:vertAlign w:val="superscript"/>
        </w:rPr>
        <w:t>1,2</w:t>
      </w:r>
    </w:p>
    <w:bookmarkEnd w:id="0"/>
    <w:p w14:paraId="03413F68" w14:textId="77777777" w:rsidR="003C429E" w:rsidRPr="00A83070" w:rsidRDefault="003C429E" w:rsidP="00CC12BD">
      <w:pPr>
        <w:jc w:val="center"/>
        <w:rPr>
          <w:rFonts w:ascii="Arial" w:hAnsi="Arial" w:cs="Arial"/>
          <w:b/>
          <w:bCs/>
          <w:sz w:val="22"/>
          <w:szCs w:val="22"/>
          <w:highlight w:val="yellow"/>
          <w:u w:val="single"/>
        </w:rPr>
      </w:pPr>
    </w:p>
    <w:p w14:paraId="33B97013" w14:textId="77777777" w:rsidR="00C577BE" w:rsidRPr="00A83070" w:rsidRDefault="00C577BE" w:rsidP="00CC12BD">
      <w:pPr>
        <w:jc w:val="center"/>
        <w:outlineLvl w:val="0"/>
        <w:rPr>
          <w:rFonts w:ascii="Arial" w:hAnsi="Arial" w:cs="Arial"/>
          <w:sz w:val="22"/>
          <w:szCs w:val="22"/>
        </w:rPr>
      </w:pPr>
      <w:bookmarkStart w:id="2" w:name="_Hlk82266362"/>
      <w:r w:rsidRPr="00A83070">
        <w:rPr>
          <w:rFonts w:ascii="Arial" w:hAnsi="Arial" w:cs="Arial"/>
          <w:sz w:val="22"/>
          <w:szCs w:val="22"/>
          <w:vertAlign w:val="superscript"/>
        </w:rPr>
        <w:t>1</w:t>
      </w:r>
      <w:r w:rsidRPr="00A83070">
        <w:rPr>
          <w:rFonts w:ascii="Arial" w:hAnsi="Arial" w:cs="Arial"/>
          <w:sz w:val="22"/>
          <w:szCs w:val="22"/>
        </w:rPr>
        <w:t>Department of Medicine, Stanford University School of Medicine (Stanford, CA)</w:t>
      </w:r>
    </w:p>
    <w:p w14:paraId="7F278712" w14:textId="12EDDC4A" w:rsidR="00C577BE" w:rsidRPr="00A83070" w:rsidRDefault="008B00B2" w:rsidP="00CC12BD">
      <w:pPr>
        <w:jc w:val="center"/>
        <w:outlineLvl w:val="0"/>
        <w:rPr>
          <w:rFonts w:ascii="Arial" w:hAnsi="Arial" w:cs="Arial"/>
          <w:sz w:val="22"/>
          <w:szCs w:val="22"/>
        </w:rPr>
      </w:pPr>
      <w:r w:rsidRPr="00A83070">
        <w:rPr>
          <w:rFonts w:ascii="Arial" w:hAnsi="Arial" w:cs="Arial"/>
          <w:sz w:val="22"/>
          <w:szCs w:val="22"/>
          <w:vertAlign w:val="superscript"/>
        </w:rPr>
        <w:t>2</w:t>
      </w:r>
      <w:r w:rsidR="00C577BE" w:rsidRPr="00A83070">
        <w:rPr>
          <w:rFonts w:ascii="Arial" w:hAnsi="Arial" w:cs="Arial"/>
          <w:sz w:val="22"/>
          <w:szCs w:val="22"/>
        </w:rPr>
        <w:t>Veterans Affairs Palo Alto Health Care System (Palo Alto, CA)</w:t>
      </w:r>
      <w:bookmarkEnd w:id="2"/>
    </w:p>
    <w:p w14:paraId="4A28B6CF" w14:textId="66D36625" w:rsidR="005A7E73" w:rsidRPr="00A83070" w:rsidRDefault="005A7E73" w:rsidP="005A7E73">
      <w:pPr>
        <w:jc w:val="center"/>
        <w:outlineLvl w:val="0"/>
        <w:rPr>
          <w:rFonts w:ascii="Arial" w:hAnsi="Arial" w:cs="Arial"/>
          <w:sz w:val="22"/>
          <w:szCs w:val="22"/>
        </w:rPr>
      </w:pPr>
      <w:r w:rsidRPr="00A83070">
        <w:rPr>
          <w:rFonts w:ascii="Arial" w:hAnsi="Arial" w:cs="Arial"/>
          <w:sz w:val="22"/>
          <w:szCs w:val="22"/>
          <w:vertAlign w:val="superscript"/>
        </w:rPr>
        <w:t>3</w:t>
      </w:r>
      <w:r w:rsidRPr="00A83070">
        <w:rPr>
          <w:rFonts w:ascii="Arial" w:hAnsi="Arial" w:cs="Arial"/>
          <w:sz w:val="22"/>
          <w:szCs w:val="22"/>
        </w:rPr>
        <w:t>Sanofi (</w:t>
      </w:r>
      <w:r w:rsidR="009C4828">
        <w:rPr>
          <w:rFonts w:ascii="Arial" w:hAnsi="Arial" w:cs="Arial"/>
          <w:sz w:val="22"/>
          <w:szCs w:val="22"/>
        </w:rPr>
        <w:t>Bridgewater, NJ</w:t>
      </w:r>
      <w:r w:rsidRPr="00A83070">
        <w:rPr>
          <w:rFonts w:ascii="Arial" w:hAnsi="Arial" w:cs="Arial"/>
          <w:sz w:val="22"/>
          <w:szCs w:val="22"/>
        </w:rPr>
        <w:t>)</w:t>
      </w:r>
    </w:p>
    <w:p w14:paraId="34F164F7" w14:textId="7315A4DB" w:rsidR="0059206E" w:rsidRPr="00A83070" w:rsidRDefault="005A7E73" w:rsidP="0059206E">
      <w:pPr>
        <w:jc w:val="center"/>
        <w:outlineLvl w:val="0"/>
        <w:rPr>
          <w:rFonts w:ascii="Arial" w:hAnsi="Arial" w:cs="Arial"/>
          <w:sz w:val="22"/>
          <w:szCs w:val="22"/>
        </w:rPr>
      </w:pPr>
      <w:r w:rsidRPr="00A83070">
        <w:rPr>
          <w:rFonts w:ascii="Arial" w:hAnsi="Arial" w:cs="Arial"/>
          <w:sz w:val="22"/>
          <w:szCs w:val="22"/>
          <w:vertAlign w:val="superscript"/>
        </w:rPr>
        <w:t>4</w:t>
      </w:r>
      <w:r w:rsidR="0059206E" w:rsidRPr="00A83070">
        <w:rPr>
          <w:rFonts w:ascii="Arial" w:hAnsi="Arial" w:cs="Arial"/>
          <w:sz w:val="22"/>
          <w:szCs w:val="22"/>
        </w:rPr>
        <w:t xml:space="preserve">Department of Cardiology, School of Medical Sciences, </w:t>
      </w:r>
    </w:p>
    <w:p w14:paraId="2C2BE402" w14:textId="50B0CD89" w:rsidR="0059206E" w:rsidRPr="00A83070" w:rsidRDefault="0059206E" w:rsidP="0059206E">
      <w:pPr>
        <w:jc w:val="center"/>
        <w:outlineLvl w:val="0"/>
        <w:rPr>
          <w:rFonts w:ascii="Arial" w:hAnsi="Arial" w:cs="Arial"/>
          <w:sz w:val="22"/>
          <w:szCs w:val="22"/>
        </w:rPr>
      </w:pPr>
      <w:r w:rsidRPr="00A83070">
        <w:rPr>
          <w:rFonts w:ascii="Arial" w:hAnsi="Arial" w:cs="Arial"/>
          <w:sz w:val="22"/>
          <w:szCs w:val="22"/>
        </w:rPr>
        <w:t xml:space="preserve">Faculty of Medicine and Health, </w:t>
      </w:r>
      <w:proofErr w:type="spellStart"/>
      <w:r w:rsidRPr="00A83070">
        <w:rPr>
          <w:rFonts w:ascii="Arial" w:hAnsi="Arial" w:cs="Arial"/>
          <w:sz w:val="22"/>
          <w:szCs w:val="22"/>
        </w:rPr>
        <w:t>Örebro</w:t>
      </w:r>
      <w:proofErr w:type="spellEnd"/>
      <w:r w:rsidRPr="00A83070">
        <w:rPr>
          <w:rFonts w:ascii="Arial" w:hAnsi="Arial" w:cs="Arial"/>
          <w:sz w:val="22"/>
          <w:szCs w:val="22"/>
        </w:rPr>
        <w:t xml:space="preserve"> University (</w:t>
      </w:r>
      <w:proofErr w:type="spellStart"/>
      <w:r w:rsidRPr="00A83070">
        <w:rPr>
          <w:rFonts w:ascii="Arial" w:hAnsi="Arial" w:cs="Arial"/>
          <w:sz w:val="22"/>
          <w:szCs w:val="22"/>
        </w:rPr>
        <w:t>Örebro</w:t>
      </w:r>
      <w:proofErr w:type="spellEnd"/>
      <w:r w:rsidRPr="00A83070">
        <w:rPr>
          <w:rFonts w:ascii="Arial" w:hAnsi="Arial" w:cs="Arial"/>
          <w:sz w:val="22"/>
          <w:szCs w:val="22"/>
        </w:rPr>
        <w:t>, Sweden)</w:t>
      </w:r>
    </w:p>
    <w:p w14:paraId="7C482A40" w14:textId="206252E2" w:rsidR="0059206E" w:rsidRPr="00A83070" w:rsidRDefault="005A7E73" w:rsidP="0059206E">
      <w:pPr>
        <w:jc w:val="center"/>
        <w:outlineLvl w:val="0"/>
        <w:rPr>
          <w:rFonts w:ascii="Arial" w:hAnsi="Arial" w:cs="Arial"/>
          <w:sz w:val="22"/>
          <w:szCs w:val="22"/>
        </w:rPr>
      </w:pPr>
      <w:proofErr w:type="gramStart"/>
      <w:r w:rsidRPr="00A83070">
        <w:rPr>
          <w:rFonts w:ascii="Arial" w:hAnsi="Arial" w:cs="Arial"/>
          <w:sz w:val="22"/>
          <w:szCs w:val="22"/>
          <w:vertAlign w:val="superscript"/>
        </w:rPr>
        <w:t>5</w:t>
      </w:r>
      <w:r w:rsidR="0059206E" w:rsidRPr="00A83070">
        <w:rPr>
          <w:rFonts w:ascii="Arial" w:hAnsi="Arial" w:cs="Arial"/>
          <w:sz w:val="22"/>
          <w:szCs w:val="22"/>
        </w:rPr>
        <w:t>St</w:t>
      </w:r>
      <w:proofErr w:type="gramEnd"/>
      <w:r w:rsidR="0059206E" w:rsidRPr="00A83070">
        <w:rPr>
          <w:rFonts w:ascii="Arial" w:hAnsi="Arial" w:cs="Arial"/>
          <w:sz w:val="22"/>
          <w:szCs w:val="22"/>
        </w:rPr>
        <w:t>. George’s University of London (London, UK)</w:t>
      </w:r>
    </w:p>
    <w:p w14:paraId="2C90CC25" w14:textId="77125C2C" w:rsidR="0059206E" w:rsidRPr="00A83070" w:rsidRDefault="005A7E73" w:rsidP="0059206E">
      <w:pPr>
        <w:jc w:val="center"/>
        <w:outlineLvl w:val="0"/>
        <w:rPr>
          <w:rFonts w:ascii="Arial" w:hAnsi="Arial" w:cs="Arial"/>
          <w:sz w:val="22"/>
          <w:szCs w:val="22"/>
        </w:rPr>
      </w:pPr>
      <w:r w:rsidRPr="00A83070">
        <w:rPr>
          <w:rFonts w:ascii="Arial" w:hAnsi="Arial" w:cs="Arial"/>
          <w:sz w:val="22"/>
          <w:szCs w:val="22"/>
          <w:vertAlign w:val="superscript"/>
        </w:rPr>
        <w:t>6</w:t>
      </w:r>
      <w:r w:rsidR="0059206E" w:rsidRPr="00A83070">
        <w:rPr>
          <w:rFonts w:ascii="Arial" w:hAnsi="Arial" w:cs="Arial"/>
          <w:sz w:val="22"/>
          <w:szCs w:val="22"/>
        </w:rPr>
        <w:t>Lankenau Heart Institute (Wynnewood, PA)</w:t>
      </w:r>
    </w:p>
    <w:p w14:paraId="1811B1B6" w14:textId="16670D68" w:rsidR="00867BA0" w:rsidRPr="00A83070" w:rsidRDefault="005A7E73" w:rsidP="0059206E">
      <w:pPr>
        <w:jc w:val="center"/>
        <w:outlineLvl w:val="0"/>
        <w:rPr>
          <w:rFonts w:ascii="Arial" w:hAnsi="Arial" w:cs="Arial"/>
          <w:sz w:val="22"/>
          <w:szCs w:val="22"/>
        </w:rPr>
      </w:pPr>
      <w:r w:rsidRPr="00A83070">
        <w:rPr>
          <w:rFonts w:ascii="Arial" w:hAnsi="Arial" w:cs="Arial"/>
          <w:sz w:val="22"/>
          <w:szCs w:val="22"/>
          <w:vertAlign w:val="superscript"/>
        </w:rPr>
        <w:t>7</w:t>
      </w:r>
      <w:r w:rsidR="00867BA0" w:rsidRPr="00A83070">
        <w:rPr>
          <w:rFonts w:ascii="Arial" w:hAnsi="Arial" w:cs="Arial"/>
          <w:sz w:val="22"/>
          <w:szCs w:val="22"/>
        </w:rPr>
        <w:t>Harvard Medical School (Boston, MA)</w:t>
      </w:r>
    </w:p>
    <w:p w14:paraId="719861F3" w14:textId="678565AC" w:rsidR="005A7E73" w:rsidRDefault="005A7E73" w:rsidP="0059206E">
      <w:pPr>
        <w:jc w:val="center"/>
        <w:outlineLvl w:val="0"/>
        <w:rPr>
          <w:rFonts w:ascii="Arial" w:hAnsi="Arial" w:cs="Arial"/>
          <w:sz w:val="22"/>
          <w:szCs w:val="22"/>
        </w:rPr>
      </w:pPr>
      <w:r w:rsidRPr="00A83070">
        <w:rPr>
          <w:rFonts w:ascii="Arial" w:hAnsi="Arial" w:cs="Arial"/>
          <w:sz w:val="22"/>
          <w:szCs w:val="22"/>
          <w:vertAlign w:val="superscript"/>
        </w:rPr>
        <w:t>8</w:t>
      </w:r>
      <w:r w:rsidRPr="00A83070">
        <w:rPr>
          <w:rFonts w:ascii="Arial" w:hAnsi="Arial" w:cs="Arial"/>
          <w:sz w:val="22"/>
          <w:szCs w:val="22"/>
        </w:rPr>
        <w:t xml:space="preserve">Department of Coagulation disorders, </w:t>
      </w:r>
      <w:proofErr w:type="spellStart"/>
      <w:r w:rsidRPr="00A83070">
        <w:rPr>
          <w:rFonts w:ascii="Arial" w:hAnsi="Arial" w:cs="Arial"/>
          <w:sz w:val="22"/>
          <w:szCs w:val="22"/>
        </w:rPr>
        <w:t>Skåne</w:t>
      </w:r>
      <w:proofErr w:type="spellEnd"/>
      <w:r w:rsidRPr="00A83070">
        <w:rPr>
          <w:rFonts w:ascii="Arial" w:hAnsi="Arial" w:cs="Arial"/>
          <w:sz w:val="22"/>
          <w:szCs w:val="22"/>
        </w:rPr>
        <w:t xml:space="preserve"> University Hospital, Lund University (Malmö, Sweden)</w:t>
      </w:r>
    </w:p>
    <w:p w14:paraId="594D5323" w14:textId="2C270054" w:rsidR="009C4828" w:rsidRDefault="009C4828" w:rsidP="009C4828">
      <w:pPr>
        <w:jc w:val="center"/>
        <w:outlineLvl w:val="0"/>
        <w:rPr>
          <w:rFonts w:ascii="Arial" w:hAnsi="Arial" w:cs="Arial"/>
          <w:sz w:val="22"/>
          <w:szCs w:val="22"/>
        </w:rPr>
      </w:pPr>
      <w:r>
        <w:rPr>
          <w:rFonts w:ascii="Arial" w:hAnsi="Arial" w:cs="Arial"/>
          <w:sz w:val="22"/>
          <w:szCs w:val="22"/>
          <w:vertAlign w:val="superscript"/>
        </w:rPr>
        <w:t>9</w:t>
      </w:r>
      <w:r>
        <w:rPr>
          <w:rFonts w:ascii="Arial" w:hAnsi="Arial" w:cs="Arial"/>
          <w:sz w:val="22"/>
          <w:szCs w:val="22"/>
        </w:rPr>
        <w:t>Sanofi (Sweden)</w:t>
      </w:r>
    </w:p>
    <w:p w14:paraId="039A6987" w14:textId="77777777" w:rsidR="009C4828" w:rsidRPr="00A83070" w:rsidRDefault="009C4828" w:rsidP="0059206E">
      <w:pPr>
        <w:jc w:val="center"/>
        <w:outlineLvl w:val="0"/>
        <w:rPr>
          <w:rFonts w:ascii="Arial" w:hAnsi="Arial" w:cs="Arial"/>
          <w:sz w:val="22"/>
          <w:szCs w:val="22"/>
        </w:rPr>
      </w:pPr>
    </w:p>
    <w:p w14:paraId="4942F84F" w14:textId="77777777" w:rsidR="00A83070" w:rsidRPr="00A83070" w:rsidRDefault="00A83070" w:rsidP="0059206E">
      <w:pPr>
        <w:jc w:val="center"/>
        <w:outlineLvl w:val="0"/>
        <w:rPr>
          <w:rFonts w:ascii="Arial" w:hAnsi="Arial" w:cs="Arial"/>
          <w:sz w:val="22"/>
          <w:szCs w:val="22"/>
        </w:rPr>
      </w:pPr>
    </w:p>
    <w:p w14:paraId="6B6A0F91" w14:textId="38A8912D" w:rsidR="00A83070" w:rsidRPr="00A83070" w:rsidRDefault="00A83070" w:rsidP="00A83070">
      <w:pPr>
        <w:outlineLvl w:val="0"/>
        <w:rPr>
          <w:rFonts w:ascii="Arial" w:hAnsi="Arial" w:cs="Arial"/>
          <w:sz w:val="22"/>
          <w:szCs w:val="22"/>
        </w:rPr>
      </w:pPr>
    </w:p>
    <w:p w14:paraId="35D64C61" w14:textId="70FAA6C4" w:rsidR="00A83070" w:rsidRPr="00A83070" w:rsidRDefault="00A83070" w:rsidP="00A83070">
      <w:pPr>
        <w:outlineLvl w:val="0"/>
        <w:rPr>
          <w:rFonts w:ascii="Arial" w:hAnsi="Arial" w:cs="Arial"/>
          <w:sz w:val="22"/>
          <w:szCs w:val="22"/>
          <w:highlight w:val="yellow"/>
        </w:rPr>
      </w:pPr>
      <w:r w:rsidRPr="00A83070">
        <w:rPr>
          <w:rFonts w:ascii="Arial" w:hAnsi="Arial" w:cs="Arial"/>
          <w:b/>
          <w:bCs/>
          <w:sz w:val="22"/>
          <w:szCs w:val="22"/>
          <w:u w:val="single"/>
        </w:rPr>
        <w:t>Short Title</w:t>
      </w:r>
      <w:r w:rsidRPr="00A83070">
        <w:rPr>
          <w:rFonts w:ascii="Arial" w:hAnsi="Arial" w:cs="Arial"/>
          <w:sz w:val="22"/>
          <w:szCs w:val="22"/>
        </w:rPr>
        <w:t>: Dronedarone vs. Sotalol in Atrial Fibrillation</w:t>
      </w:r>
    </w:p>
    <w:bookmarkEnd w:id="1"/>
    <w:p w14:paraId="49788AFB" w14:textId="51250A2D" w:rsidR="00A83070" w:rsidRPr="00A83070" w:rsidRDefault="00A83070" w:rsidP="00A83070">
      <w:pPr>
        <w:rPr>
          <w:rFonts w:ascii="Arial" w:eastAsia="Calibri" w:hAnsi="Arial" w:cs="Arial"/>
          <w:sz w:val="22"/>
          <w:szCs w:val="22"/>
        </w:rPr>
      </w:pPr>
    </w:p>
    <w:p w14:paraId="3078901C" w14:textId="77777777" w:rsidR="00A83070" w:rsidRPr="00A83070" w:rsidRDefault="00A83070" w:rsidP="00A83070">
      <w:pPr>
        <w:rPr>
          <w:rFonts w:ascii="Arial" w:hAnsi="Arial" w:cs="Arial"/>
          <w:b/>
          <w:sz w:val="22"/>
          <w:szCs w:val="22"/>
          <w:u w:val="single"/>
        </w:rPr>
      </w:pPr>
    </w:p>
    <w:p w14:paraId="1C3D3C3E" w14:textId="77777777" w:rsidR="00A83070" w:rsidRPr="00A83070" w:rsidRDefault="00A83070" w:rsidP="00A83070">
      <w:pPr>
        <w:rPr>
          <w:rFonts w:ascii="Arial" w:hAnsi="Arial" w:cs="Arial"/>
          <w:sz w:val="22"/>
          <w:szCs w:val="22"/>
        </w:rPr>
      </w:pPr>
      <w:r w:rsidRPr="00A83070">
        <w:rPr>
          <w:rFonts w:ascii="Arial" w:hAnsi="Arial" w:cs="Arial"/>
          <w:b/>
          <w:sz w:val="22"/>
          <w:szCs w:val="22"/>
          <w:u w:val="single"/>
        </w:rPr>
        <w:t>Address for Correspondence:</w:t>
      </w:r>
      <w:r w:rsidRPr="00A83070">
        <w:rPr>
          <w:rFonts w:ascii="Arial" w:hAnsi="Arial" w:cs="Arial"/>
          <w:sz w:val="22"/>
          <w:szCs w:val="22"/>
        </w:rPr>
        <w:t xml:space="preserve"> </w:t>
      </w:r>
    </w:p>
    <w:p w14:paraId="743CE798" w14:textId="5B4287ED" w:rsidR="00A83070" w:rsidRDefault="00A83070" w:rsidP="00A83070">
      <w:pPr>
        <w:rPr>
          <w:rFonts w:ascii="Arial" w:hAnsi="Arial" w:cs="Arial"/>
          <w:sz w:val="22"/>
          <w:szCs w:val="22"/>
        </w:rPr>
      </w:pPr>
      <w:r>
        <w:rPr>
          <w:rFonts w:ascii="Arial" w:hAnsi="Arial" w:cs="Arial"/>
          <w:sz w:val="22"/>
          <w:szCs w:val="22"/>
        </w:rPr>
        <w:t>Alexander T. Sandhu</w:t>
      </w:r>
    </w:p>
    <w:p w14:paraId="22656DBC" w14:textId="27F40402" w:rsidR="00A83070" w:rsidRPr="00A83070" w:rsidRDefault="00A83070" w:rsidP="00A83070">
      <w:pPr>
        <w:rPr>
          <w:rFonts w:ascii="Arial" w:hAnsi="Arial" w:cs="Arial"/>
          <w:sz w:val="22"/>
          <w:szCs w:val="22"/>
        </w:rPr>
      </w:pPr>
      <w:r>
        <w:rPr>
          <w:rFonts w:ascii="Arial" w:hAnsi="Arial" w:cs="Arial"/>
          <w:sz w:val="22"/>
          <w:szCs w:val="22"/>
        </w:rPr>
        <w:t>870 Quarry Road – CV 289</w:t>
      </w:r>
    </w:p>
    <w:p w14:paraId="575689C2" w14:textId="77777777" w:rsidR="00A83070" w:rsidRPr="00A83070" w:rsidRDefault="00A83070" w:rsidP="00A83070">
      <w:pPr>
        <w:rPr>
          <w:rFonts w:ascii="Arial" w:hAnsi="Arial" w:cs="Arial"/>
          <w:sz w:val="22"/>
          <w:szCs w:val="22"/>
        </w:rPr>
      </w:pPr>
      <w:r w:rsidRPr="00A83070">
        <w:rPr>
          <w:rFonts w:ascii="Arial" w:hAnsi="Arial" w:cs="Arial"/>
          <w:sz w:val="22"/>
          <w:szCs w:val="22"/>
        </w:rPr>
        <w:t>Palo Alto CA 94304</w:t>
      </w:r>
    </w:p>
    <w:p w14:paraId="2DEFCD91" w14:textId="7FBD6DCE" w:rsidR="00A83070" w:rsidRPr="00A83070" w:rsidRDefault="00A83070" w:rsidP="00A83070">
      <w:pPr>
        <w:tabs>
          <w:tab w:val="left" w:pos="5559"/>
        </w:tabs>
        <w:rPr>
          <w:rFonts w:ascii="Arial" w:hAnsi="Arial" w:cs="Arial"/>
          <w:sz w:val="22"/>
          <w:szCs w:val="22"/>
        </w:rPr>
      </w:pPr>
      <w:r w:rsidRPr="00A83070">
        <w:rPr>
          <w:rFonts w:ascii="Arial" w:hAnsi="Arial" w:cs="Arial"/>
          <w:sz w:val="22"/>
          <w:szCs w:val="22"/>
        </w:rPr>
        <w:t xml:space="preserve">Tel (650) </w:t>
      </w:r>
      <w:r>
        <w:rPr>
          <w:rFonts w:ascii="Arial" w:hAnsi="Arial" w:cs="Arial"/>
          <w:sz w:val="22"/>
          <w:szCs w:val="22"/>
        </w:rPr>
        <w:t>723-6459</w:t>
      </w:r>
      <w:r w:rsidRPr="00A83070">
        <w:rPr>
          <w:rFonts w:ascii="Arial" w:hAnsi="Arial" w:cs="Arial"/>
          <w:sz w:val="22"/>
          <w:szCs w:val="22"/>
        </w:rPr>
        <w:tab/>
      </w:r>
    </w:p>
    <w:p w14:paraId="63ADF157" w14:textId="031CB01B" w:rsidR="00A83070" w:rsidRPr="00A83070" w:rsidRDefault="00A83070" w:rsidP="00A83070">
      <w:pPr>
        <w:rPr>
          <w:rFonts w:ascii="Arial" w:hAnsi="Arial" w:cs="Arial"/>
          <w:sz w:val="22"/>
          <w:szCs w:val="22"/>
        </w:rPr>
      </w:pPr>
      <w:r w:rsidRPr="00A83070">
        <w:rPr>
          <w:rFonts w:ascii="Arial" w:hAnsi="Arial" w:cs="Arial"/>
          <w:sz w:val="22"/>
          <w:szCs w:val="22"/>
        </w:rPr>
        <w:t>Fax (866) 7</w:t>
      </w:r>
      <w:r>
        <w:rPr>
          <w:rFonts w:ascii="Arial" w:hAnsi="Arial" w:cs="Arial"/>
          <w:sz w:val="22"/>
          <w:szCs w:val="22"/>
        </w:rPr>
        <w:t>23-8392</w:t>
      </w:r>
    </w:p>
    <w:p w14:paraId="23108341" w14:textId="4A650C16" w:rsidR="00A83070" w:rsidRPr="00A83070" w:rsidRDefault="00A83070" w:rsidP="00A83070">
      <w:pPr>
        <w:rPr>
          <w:rStyle w:val="Hyperlink"/>
          <w:rFonts w:ascii="Arial" w:hAnsi="Arial" w:cs="Arial"/>
          <w:sz w:val="22"/>
          <w:szCs w:val="22"/>
        </w:rPr>
      </w:pPr>
      <w:r w:rsidRPr="00A83070">
        <w:rPr>
          <w:rFonts w:ascii="Arial" w:hAnsi="Arial" w:cs="Arial"/>
          <w:sz w:val="22"/>
          <w:szCs w:val="22"/>
        </w:rPr>
        <w:t xml:space="preserve">E-mail: </w:t>
      </w:r>
      <w:hyperlink r:id="rId8" w:history="1">
        <w:r w:rsidRPr="00CD6459">
          <w:rPr>
            <w:rStyle w:val="Hyperlink"/>
            <w:rFonts w:ascii="Arial" w:hAnsi="Arial" w:cs="Arial"/>
            <w:sz w:val="22"/>
            <w:szCs w:val="22"/>
          </w:rPr>
          <w:t>ats114@stanford.edu</w:t>
        </w:r>
      </w:hyperlink>
    </w:p>
    <w:p w14:paraId="6707710D" w14:textId="421835BC" w:rsidR="008B00B2" w:rsidRDefault="008B00B2" w:rsidP="00CC12BD">
      <w:pPr>
        <w:rPr>
          <w:rFonts w:ascii="Arial" w:hAnsi="Arial" w:cs="Arial"/>
          <w:b/>
          <w:bCs/>
          <w:sz w:val="22"/>
          <w:szCs w:val="22"/>
          <w:highlight w:val="yellow"/>
        </w:rPr>
      </w:pPr>
    </w:p>
    <w:p w14:paraId="35D24E41" w14:textId="1E694464" w:rsidR="00A83070" w:rsidRDefault="00A83070" w:rsidP="00CC12BD">
      <w:pPr>
        <w:rPr>
          <w:rFonts w:ascii="Arial" w:hAnsi="Arial" w:cs="Arial"/>
          <w:b/>
          <w:bCs/>
          <w:sz w:val="22"/>
          <w:szCs w:val="22"/>
          <w:highlight w:val="yellow"/>
        </w:rPr>
      </w:pPr>
    </w:p>
    <w:p w14:paraId="47716C45" w14:textId="12E74DD9" w:rsidR="00A83070" w:rsidRPr="00A83070" w:rsidRDefault="00A83070" w:rsidP="00CC12BD">
      <w:pPr>
        <w:rPr>
          <w:rFonts w:ascii="Arial" w:hAnsi="Arial" w:cs="Arial"/>
          <w:b/>
          <w:bCs/>
          <w:sz w:val="22"/>
          <w:szCs w:val="22"/>
          <w:highlight w:val="yellow"/>
        </w:rPr>
      </w:pPr>
      <w:r w:rsidRPr="00A83070">
        <w:rPr>
          <w:rFonts w:ascii="Arial" w:eastAsia="Calibri" w:hAnsi="Arial" w:cs="Arial"/>
          <w:b/>
          <w:bCs/>
          <w:sz w:val="22"/>
          <w:szCs w:val="22"/>
          <w:u w:val="single"/>
        </w:rPr>
        <w:t>Manuscript Word Count</w:t>
      </w:r>
      <w:r w:rsidRPr="00A83070">
        <w:rPr>
          <w:rFonts w:ascii="Arial" w:eastAsia="Calibri" w:hAnsi="Arial" w:cs="Arial"/>
          <w:sz w:val="22"/>
          <w:szCs w:val="22"/>
        </w:rPr>
        <w:t>:</w:t>
      </w:r>
      <w:r w:rsidR="00FC4EB1">
        <w:rPr>
          <w:rFonts w:ascii="Arial" w:eastAsia="Calibri" w:hAnsi="Arial" w:cs="Arial"/>
          <w:sz w:val="22"/>
          <w:szCs w:val="22"/>
        </w:rPr>
        <w:t xml:space="preserve"> </w:t>
      </w:r>
      <w:r w:rsidR="00D41673">
        <w:rPr>
          <w:rFonts w:ascii="Arial" w:eastAsia="Calibri" w:hAnsi="Arial" w:cs="Arial"/>
          <w:sz w:val="22"/>
          <w:szCs w:val="22"/>
        </w:rPr>
        <w:t>3274</w:t>
      </w:r>
    </w:p>
    <w:p w14:paraId="0B0DDA1D" w14:textId="02E7C5EA" w:rsidR="00A83070" w:rsidRPr="0098650A" w:rsidRDefault="00A83070" w:rsidP="00D405B9">
      <w:pPr>
        <w:spacing w:line="480" w:lineRule="auto"/>
        <w:rPr>
          <w:rFonts w:ascii="Arial" w:hAnsi="Arial" w:cs="Arial"/>
          <w:b/>
          <w:bCs/>
          <w:sz w:val="22"/>
          <w:szCs w:val="22"/>
        </w:rPr>
      </w:pPr>
      <w:r w:rsidRPr="00A83070">
        <w:rPr>
          <w:rFonts w:ascii="Arial" w:hAnsi="Arial" w:cs="Arial"/>
          <w:b/>
          <w:bCs/>
          <w:sz w:val="22"/>
          <w:szCs w:val="22"/>
          <w:highlight w:val="yellow"/>
        </w:rPr>
        <w:br w:type="column"/>
      </w:r>
      <w:r w:rsidRPr="0098650A">
        <w:rPr>
          <w:rFonts w:ascii="Arial" w:hAnsi="Arial" w:cs="Arial"/>
          <w:b/>
          <w:bCs/>
          <w:sz w:val="22"/>
          <w:szCs w:val="22"/>
        </w:rPr>
        <w:lastRenderedPageBreak/>
        <w:t>ABSTRACT</w:t>
      </w:r>
      <w:r w:rsidR="002805B6">
        <w:rPr>
          <w:rFonts w:ascii="Arial" w:hAnsi="Arial" w:cs="Arial"/>
          <w:b/>
          <w:bCs/>
          <w:sz w:val="22"/>
          <w:szCs w:val="22"/>
        </w:rPr>
        <w:t xml:space="preserve"> </w:t>
      </w:r>
    </w:p>
    <w:p w14:paraId="4A9941DC" w14:textId="77777777" w:rsidR="00A83070" w:rsidRPr="0098650A" w:rsidRDefault="00A83070" w:rsidP="00D405B9">
      <w:pPr>
        <w:spacing w:line="480" w:lineRule="auto"/>
        <w:rPr>
          <w:rFonts w:ascii="Arial" w:hAnsi="Arial" w:cs="Arial"/>
          <w:b/>
          <w:bCs/>
          <w:sz w:val="22"/>
          <w:szCs w:val="22"/>
        </w:rPr>
      </w:pPr>
    </w:p>
    <w:p w14:paraId="0CC06201" w14:textId="2E95F9B4" w:rsidR="00AD5669" w:rsidRPr="0098650A" w:rsidRDefault="00AD5669" w:rsidP="00D405B9">
      <w:pPr>
        <w:spacing w:line="480" w:lineRule="auto"/>
        <w:rPr>
          <w:rFonts w:ascii="Arial" w:hAnsi="Arial" w:cs="Arial"/>
          <w:sz w:val="22"/>
          <w:szCs w:val="22"/>
        </w:rPr>
      </w:pPr>
      <w:r w:rsidRPr="0098650A">
        <w:rPr>
          <w:rFonts w:ascii="Arial" w:hAnsi="Arial" w:cs="Arial"/>
          <w:b/>
          <w:bCs/>
          <w:sz w:val="22"/>
          <w:szCs w:val="22"/>
        </w:rPr>
        <w:t>BACKGROUND</w:t>
      </w:r>
    </w:p>
    <w:p w14:paraId="101D96D8" w14:textId="251F922D" w:rsidR="002805B6" w:rsidRPr="00022720" w:rsidRDefault="002805B6" w:rsidP="002805B6">
      <w:pPr>
        <w:spacing w:line="480" w:lineRule="auto"/>
        <w:rPr>
          <w:rFonts w:ascii="Arial" w:hAnsi="Arial" w:cs="Arial"/>
          <w:sz w:val="22"/>
          <w:szCs w:val="22"/>
        </w:rPr>
      </w:pPr>
      <w:r w:rsidRPr="0098650A">
        <w:rPr>
          <w:rFonts w:ascii="Arial" w:hAnsi="Arial" w:cs="Arial"/>
          <w:sz w:val="22"/>
          <w:szCs w:val="22"/>
        </w:rPr>
        <w:t xml:space="preserve">Sotalol and dronedarone are both used </w:t>
      </w:r>
      <w:r>
        <w:rPr>
          <w:rFonts w:ascii="Arial" w:hAnsi="Arial" w:cs="Arial"/>
          <w:sz w:val="22"/>
          <w:szCs w:val="22"/>
        </w:rPr>
        <w:t>for maintenance of sinus rhythm</w:t>
      </w:r>
      <w:r w:rsidRPr="0098650A">
        <w:rPr>
          <w:rFonts w:ascii="Arial" w:hAnsi="Arial" w:cs="Arial"/>
          <w:sz w:val="22"/>
          <w:szCs w:val="22"/>
        </w:rPr>
        <w:t xml:space="preserve"> </w:t>
      </w:r>
      <w:r>
        <w:rPr>
          <w:rFonts w:ascii="Arial" w:hAnsi="Arial" w:cs="Arial"/>
          <w:sz w:val="22"/>
          <w:szCs w:val="22"/>
        </w:rPr>
        <w:t>for patients with</w:t>
      </w:r>
      <w:r w:rsidRPr="0098650A">
        <w:rPr>
          <w:rFonts w:ascii="Arial" w:hAnsi="Arial" w:cs="Arial"/>
          <w:sz w:val="22"/>
          <w:szCs w:val="22"/>
        </w:rPr>
        <w:t xml:space="preserve"> atrial fibrillation (AF).</w:t>
      </w:r>
      <w:r>
        <w:rPr>
          <w:rFonts w:ascii="Arial" w:hAnsi="Arial" w:cs="Arial"/>
          <w:sz w:val="22"/>
          <w:szCs w:val="22"/>
        </w:rPr>
        <w:t xml:space="preserve"> However, while sotalol requires </w:t>
      </w:r>
      <w:r w:rsidR="00A70BF0">
        <w:rPr>
          <w:rFonts w:ascii="Arial" w:hAnsi="Arial" w:cs="Arial"/>
          <w:sz w:val="22"/>
          <w:szCs w:val="22"/>
        </w:rPr>
        <w:t xml:space="preserve">initial </w:t>
      </w:r>
      <w:r>
        <w:rPr>
          <w:rFonts w:ascii="Arial" w:hAnsi="Arial" w:cs="Arial"/>
          <w:sz w:val="22"/>
          <w:szCs w:val="22"/>
        </w:rPr>
        <w:t>monitoring for QT prolongation and pro</w:t>
      </w:r>
      <w:r w:rsidR="008A6384">
        <w:rPr>
          <w:rFonts w:ascii="Arial" w:hAnsi="Arial" w:cs="Arial"/>
          <w:sz w:val="22"/>
          <w:szCs w:val="22"/>
        </w:rPr>
        <w:t>-</w:t>
      </w:r>
      <w:r>
        <w:rPr>
          <w:rFonts w:ascii="Arial" w:hAnsi="Arial" w:cs="Arial"/>
          <w:sz w:val="22"/>
          <w:szCs w:val="22"/>
        </w:rPr>
        <w:t>arrhythmia</w:t>
      </w:r>
      <w:r w:rsidR="001F4AB8">
        <w:rPr>
          <w:rFonts w:ascii="Arial" w:hAnsi="Arial" w:cs="Arial"/>
          <w:sz w:val="22"/>
          <w:szCs w:val="22"/>
        </w:rPr>
        <w:t xml:space="preserve">, </w:t>
      </w:r>
      <w:r>
        <w:rPr>
          <w:rFonts w:ascii="Arial" w:hAnsi="Arial" w:cs="Arial"/>
          <w:sz w:val="22"/>
          <w:szCs w:val="22"/>
        </w:rPr>
        <w:t xml:space="preserve">dronedarone does not. These treatments can be used in comparable patients, but their safety and effectiveness have not been compared head-to-head. Therefore, we retrospectively evaluated the effectiveness and safety </w:t>
      </w:r>
      <w:r w:rsidRPr="00A82898">
        <w:rPr>
          <w:rFonts w:ascii="Arial" w:hAnsi="Arial" w:cs="Arial"/>
          <w:sz w:val="22"/>
          <w:szCs w:val="22"/>
        </w:rPr>
        <w:t>using data from a large health care system</w:t>
      </w:r>
      <w:r w:rsidRPr="0098650A">
        <w:rPr>
          <w:rFonts w:ascii="Arial" w:hAnsi="Arial" w:cs="Arial"/>
          <w:sz w:val="22"/>
          <w:szCs w:val="22"/>
        </w:rPr>
        <w:t>.</w:t>
      </w:r>
    </w:p>
    <w:p w14:paraId="7FF65677" w14:textId="77777777" w:rsidR="00AD5669" w:rsidRPr="0098650A" w:rsidRDefault="00AD5669" w:rsidP="00D405B9">
      <w:pPr>
        <w:spacing w:line="480" w:lineRule="auto"/>
        <w:rPr>
          <w:rFonts w:ascii="Arial" w:hAnsi="Arial" w:cs="Arial"/>
          <w:sz w:val="22"/>
          <w:szCs w:val="22"/>
        </w:rPr>
      </w:pPr>
    </w:p>
    <w:p w14:paraId="2860087F" w14:textId="77777777" w:rsidR="00AD5669" w:rsidRPr="0098650A" w:rsidRDefault="00AD5669" w:rsidP="00D405B9">
      <w:pPr>
        <w:spacing w:line="480" w:lineRule="auto"/>
        <w:rPr>
          <w:rFonts w:ascii="Arial" w:hAnsi="Arial" w:cs="Arial"/>
          <w:b/>
          <w:bCs/>
          <w:sz w:val="22"/>
          <w:szCs w:val="22"/>
        </w:rPr>
      </w:pPr>
      <w:r w:rsidRPr="0098650A">
        <w:rPr>
          <w:rFonts w:ascii="Arial" w:hAnsi="Arial" w:cs="Arial"/>
          <w:b/>
          <w:bCs/>
          <w:sz w:val="22"/>
          <w:szCs w:val="22"/>
        </w:rPr>
        <w:t>METHODS</w:t>
      </w:r>
    </w:p>
    <w:p w14:paraId="6628569C" w14:textId="0495164F" w:rsidR="001A6381" w:rsidRPr="0098650A" w:rsidRDefault="00885F11" w:rsidP="00D405B9">
      <w:pPr>
        <w:spacing w:line="480" w:lineRule="auto"/>
        <w:rPr>
          <w:rFonts w:ascii="Arial" w:hAnsi="Arial" w:cs="Arial"/>
          <w:sz w:val="22"/>
          <w:szCs w:val="22"/>
        </w:rPr>
      </w:pPr>
      <w:r w:rsidRPr="0098650A">
        <w:rPr>
          <w:rFonts w:ascii="Arial" w:hAnsi="Arial" w:cs="Arial"/>
          <w:sz w:val="22"/>
          <w:szCs w:val="22"/>
        </w:rPr>
        <w:t>Using</w:t>
      </w:r>
      <w:r w:rsidR="0090552B" w:rsidRPr="0098650A">
        <w:rPr>
          <w:rFonts w:ascii="Arial" w:hAnsi="Arial" w:cs="Arial"/>
          <w:sz w:val="22"/>
          <w:szCs w:val="22"/>
        </w:rPr>
        <w:t xml:space="preserve"> </w:t>
      </w:r>
      <w:r w:rsidR="006C367C" w:rsidRPr="0098650A">
        <w:rPr>
          <w:rFonts w:ascii="Arial" w:hAnsi="Arial" w:cs="Arial"/>
          <w:sz w:val="22"/>
          <w:szCs w:val="22"/>
        </w:rPr>
        <w:t>V</w:t>
      </w:r>
      <w:r w:rsidR="007A19DF" w:rsidRPr="0098650A">
        <w:rPr>
          <w:rFonts w:ascii="Arial" w:hAnsi="Arial" w:cs="Arial"/>
          <w:sz w:val="22"/>
          <w:szCs w:val="22"/>
        </w:rPr>
        <w:t xml:space="preserve">eterans </w:t>
      </w:r>
      <w:r w:rsidR="003B657B">
        <w:rPr>
          <w:rFonts w:ascii="Arial" w:hAnsi="Arial" w:cs="Arial"/>
          <w:sz w:val="22"/>
          <w:szCs w:val="22"/>
        </w:rPr>
        <w:t>Health Administration</w:t>
      </w:r>
      <w:r w:rsidR="00326907">
        <w:rPr>
          <w:rFonts w:ascii="Arial" w:hAnsi="Arial" w:cs="Arial"/>
          <w:sz w:val="22"/>
          <w:szCs w:val="22"/>
        </w:rPr>
        <w:t xml:space="preserve"> data</w:t>
      </w:r>
      <w:r w:rsidRPr="0098650A">
        <w:rPr>
          <w:rFonts w:ascii="Arial" w:hAnsi="Arial" w:cs="Arial"/>
          <w:sz w:val="22"/>
          <w:szCs w:val="22"/>
        </w:rPr>
        <w:t xml:space="preserve">, </w:t>
      </w:r>
      <w:r w:rsidR="00D50AD2">
        <w:rPr>
          <w:rFonts w:ascii="Arial" w:hAnsi="Arial" w:cs="Arial"/>
          <w:sz w:val="22"/>
          <w:szCs w:val="22"/>
        </w:rPr>
        <w:t xml:space="preserve">we </w:t>
      </w:r>
      <w:r w:rsidR="005E55C1">
        <w:rPr>
          <w:rFonts w:ascii="Arial" w:hAnsi="Arial" w:cs="Arial"/>
          <w:sz w:val="22"/>
          <w:szCs w:val="22"/>
        </w:rPr>
        <w:t>identified</w:t>
      </w:r>
      <w:r w:rsidRPr="0098650A">
        <w:rPr>
          <w:rFonts w:ascii="Arial" w:hAnsi="Arial" w:cs="Arial"/>
          <w:sz w:val="22"/>
          <w:szCs w:val="22"/>
        </w:rPr>
        <w:t xml:space="preserve"> </w:t>
      </w:r>
      <w:r w:rsidR="0059206E" w:rsidRPr="0098650A">
        <w:rPr>
          <w:rFonts w:ascii="Arial" w:hAnsi="Arial" w:cs="Arial"/>
          <w:sz w:val="22"/>
          <w:szCs w:val="22"/>
        </w:rPr>
        <w:t>11</w:t>
      </w:r>
      <w:r w:rsidR="00326907">
        <w:rPr>
          <w:rFonts w:ascii="Arial" w:hAnsi="Arial" w:cs="Arial"/>
          <w:sz w:val="22"/>
          <w:szCs w:val="22"/>
        </w:rPr>
        <w:t>,</w:t>
      </w:r>
      <w:r w:rsidR="0059206E" w:rsidRPr="0098650A">
        <w:rPr>
          <w:rFonts w:ascii="Arial" w:hAnsi="Arial" w:cs="Arial"/>
          <w:sz w:val="22"/>
          <w:szCs w:val="22"/>
        </w:rPr>
        <w:t xml:space="preserve">296 </w:t>
      </w:r>
      <w:r w:rsidR="00156813" w:rsidRPr="0098650A">
        <w:rPr>
          <w:rFonts w:ascii="Arial" w:hAnsi="Arial" w:cs="Arial"/>
          <w:sz w:val="22"/>
          <w:szCs w:val="22"/>
        </w:rPr>
        <w:t>AAD</w:t>
      </w:r>
      <w:r w:rsidR="002D27BF">
        <w:rPr>
          <w:rFonts w:ascii="Arial" w:hAnsi="Arial" w:cs="Arial"/>
          <w:sz w:val="22"/>
          <w:szCs w:val="22"/>
        </w:rPr>
        <w:t>-</w:t>
      </w:r>
      <w:r w:rsidR="0090552B" w:rsidRPr="0098650A">
        <w:rPr>
          <w:rFonts w:ascii="Arial" w:hAnsi="Arial" w:cs="Arial"/>
          <w:sz w:val="22"/>
          <w:szCs w:val="22"/>
        </w:rPr>
        <w:t xml:space="preserve">naïve patients with AF </w:t>
      </w:r>
      <w:r w:rsidR="00026ED7" w:rsidRPr="0098650A">
        <w:rPr>
          <w:rFonts w:ascii="Arial" w:hAnsi="Arial" w:cs="Arial"/>
          <w:sz w:val="22"/>
          <w:szCs w:val="22"/>
        </w:rPr>
        <w:t>prescribed</w:t>
      </w:r>
      <w:r w:rsidR="008B39FD" w:rsidRPr="0098650A">
        <w:rPr>
          <w:rFonts w:ascii="Arial" w:hAnsi="Arial" w:cs="Arial"/>
          <w:sz w:val="22"/>
          <w:szCs w:val="22"/>
        </w:rPr>
        <w:t xml:space="preserve"> </w:t>
      </w:r>
      <w:r w:rsidR="00932378" w:rsidRPr="0098650A">
        <w:rPr>
          <w:rFonts w:ascii="Arial" w:hAnsi="Arial" w:cs="Arial"/>
          <w:sz w:val="22"/>
          <w:szCs w:val="22"/>
        </w:rPr>
        <w:t xml:space="preserve">dronedarone or sotalol </w:t>
      </w:r>
      <w:r w:rsidRPr="0098650A">
        <w:rPr>
          <w:rFonts w:ascii="Arial" w:hAnsi="Arial" w:cs="Arial"/>
          <w:sz w:val="22"/>
          <w:szCs w:val="22"/>
        </w:rPr>
        <w:t>in 2012 or later</w:t>
      </w:r>
      <w:r w:rsidR="001A6381" w:rsidRPr="0098650A">
        <w:rPr>
          <w:rFonts w:ascii="Arial" w:hAnsi="Arial" w:cs="Arial"/>
          <w:sz w:val="22"/>
          <w:szCs w:val="22"/>
        </w:rPr>
        <w:t xml:space="preserve">. We excluded </w:t>
      </w:r>
      <w:r w:rsidR="00326907">
        <w:rPr>
          <w:rFonts w:ascii="Arial" w:hAnsi="Arial" w:cs="Arial"/>
          <w:sz w:val="22"/>
          <w:szCs w:val="22"/>
        </w:rPr>
        <w:t>patients</w:t>
      </w:r>
      <w:r w:rsidR="00326907" w:rsidRPr="0098650A">
        <w:rPr>
          <w:rFonts w:ascii="Arial" w:hAnsi="Arial" w:cs="Arial"/>
          <w:sz w:val="22"/>
          <w:szCs w:val="22"/>
        </w:rPr>
        <w:t xml:space="preserve"> </w:t>
      </w:r>
      <w:r w:rsidR="001A6381" w:rsidRPr="0098650A">
        <w:rPr>
          <w:rFonts w:ascii="Arial" w:hAnsi="Arial" w:cs="Arial"/>
          <w:sz w:val="22"/>
          <w:szCs w:val="22"/>
        </w:rPr>
        <w:t>with</w:t>
      </w:r>
      <w:r w:rsidR="005A7E73" w:rsidRPr="0098650A">
        <w:rPr>
          <w:rFonts w:ascii="Arial" w:hAnsi="Arial" w:cs="Arial"/>
          <w:sz w:val="22"/>
          <w:szCs w:val="22"/>
        </w:rPr>
        <w:t xml:space="preserve"> prior</w:t>
      </w:r>
      <w:r w:rsidR="004F789B" w:rsidRPr="0098650A">
        <w:rPr>
          <w:rFonts w:ascii="Arial" w:hAnsi="Arial" w:cs="Arial"/>
          <w:sz w:val="22"/>
          <w:szCs w:val="22"/>
        </w:rPr>
        <w:t xml:space="preserve"> </w:t>
      </w:r>
      <w:r w:rsidR="001A6381" w:rsidRPr="0098650A">
        <w:rPr>
          <w:rFonts w:ascii="Arial" w:hAnsi="Arial" w:cs="Arial"/>
          <w:sz w:val="22"/>
          <w:szCs w:val="22"/>
        </w:rPr>
        <w:t>conduction disease</w:t>
      </w:r>
      <w:r w:rsidR="008B39FD" w:rsidRPr="0098650A">
        <w:rPr>
          <w:rFonts w:ascii="Arial" w:hAnsi="Arial" w:cs="Arial"/>
          <w:sz w:val="22"/>
          <w:szCs w:val="22"/>
        </w:rPr>
        <w:t xml:space="preserve">, </w:t>
      </w:r>
      <w:r w:rsidR="005A7E73" w:rsidRPr="0098650A">
        <w:rPr>
          <w:rFonts w:ascii="Arial" w:hAnsi="Arial" w:cs="Arial"/>
          <w:sz w:val="22"/>
          <w:szCs w:val="22"/>
        </w:rPr>
        <w:t>pacemaker</w:t>
      </w:r>
      <w:r w:rsidR="003B657B">
        <w:rPr>
          <w:rFonts w:ascii="Arial" w:hAnsi="Arial" w:cs="Arial"/>
          <w:sz w:val="22"/>
          <w:szCs w:val="22"/>
        </w:rPr>
        <w:t>s or implantable cardioverter-defibrillator</w:t>
      </w:r>
      <w:r w:rsidR="005A7E73" w:rsidRPr="0098650A">
        <w:rPr>
          <w:rFonts w:ascii="Arial" w:hAnsi="Arial" w:cs="Arial"/>
          <w:sz w:val="22"/>
          <w:szCs w:val="22"/>
        </w:rPr>
        <w:t xml:space="preserve">s, </w:t>
      </w:r>
      <w:r w:rsidR="001A6381" w:rsidRPr="0098650A">
        <w:rPr>
          <w:rFonts w:ascii="Arial" w:hAnsi="Arial" w:cs="Arial"/>
          <w:sz w:val="22"/>
          <w:szCs w:val="22"/>
        </w:rPr>
        <w:t xml:space="preserve">ventricular arrhythmia, cancer, </w:t>
      </w:r>
      <w:r w:rsidR="008B39FD" w:rsidRPr="0098650A">
        <w:rPr>
          <w:rFonts w:ascii="Arial" w:hAnsi="Arial" w:cs="Arial"/>
          <w:sz w:val="22"/>
          <w:szCs w:val="22"/>
        </w:rPr>
        <w:t>renal failure</w:t>
      </w:r>
      <w:r w:rsidR="001A6381" w:rsidRPr="0098650A">
        <w:rPr>
          <w:rFonts w:ascii="Arial" w:hAnsi="Arial" w:cs="Arial"/>
          <w:sz w:val="22"/>
          <w:szCs w:val="22"/>
        </w:rPr>
        <w:t xml:space="preserve">, liver disease, or heart failure. </w:t>
      </w:r>
      <w:r w:rsidR="001F4AB8">
        <w:rPr>
          <w:rFonts w:ascii="Arial" w:hAnsi="Arial" w:cs="Arial"/>
          <w:sz w:val="22"/>
          <w:szCs w:val="22"/>
        </w:rPr>
        <w:t xml:space="preserve">We used natural language processing to identify and compare baseline left ventricular ejection fraction (LVEF) between treatment arms. </w:t>
      </w:r>
      <w:r w:rsidR="00A30C58" w:rsidRPr="0098650A">
        <w:rPr>
          <w:rFonts w:ascii="Arial" w:hAnsi="Arial" w:cs="Arial"/>
          <w:sz w:val="22"/>
          <w:szCs w:val="22"/>
        </w:rPr>
        <w:t xml:space="preserve">We used </w:t>
      </w:r>
      <w:r w:rsidR="000C0066" w:rsidRPr="0098650A">
        <w:rPr>
          <w:rFonts w:ascii="Arial" w:hAnsi="Arial" w:cs="Arial"/>
          <w:sz w:val="22"/>
          <w:szCs w:val="22"/>
        </w:rPr>
        <w:t xml:space="preserve">1:1 </w:t>
      </w:r>
      <w:r w:rsidR="00A30C58" w:rsidRPr="0098650A">
        <w:rPr>
          <w:rFonts w:ascii="Arial" w:hAnsi="Arial" w:cs="Arial"/>
          <w:sz w:val="22"/>
          <w:szCs w:val="22"/>
        </w:rPr>
        <w:t>propensity scor</w:t>
      </w:r>
      <w:r w:rsidR="000C0066" w:rsidRPr="0098650A">
        <w:rPr>
          <w:rFonts w:ascii="Arial" w:hAnsi="Arial" w:cs="Arial"/>
          <w:sz w:val="22"/>
          <w:szCs w:val="22"/>
        </w:rPr>
        <w:t>e matching</w:t>
      </w:r>
      <w:r w:rsidRPr="0098650A">
        <w:rPr>
          <w:rFonts w:ascii="Arial" w:hAnsi="Arial" w:cs="Arial"/>
          <w:sz w:val="22"/>
          <w:szCs w:val="22"/>
        </w:rPr>
        <w:t>,</w:t>
      </w:r>
      <w:r w:rsidR="000C0066" w:rsidRPr="0098650A">
        <w:rPr>
          <w:rFonts w:ascii="Arial" w:hAnsi="Arial" w:cs="Arial"/>
          <w:sz w:val="22"/>
          <w:szCs w:val="22"/>
        </w:rPr>
        <w:t xml:space="preserve"> </w:t>
      </w:r>
      <w:r w:rsidR="00A30C58" w:rsidRPr="0098650A">
        <w:rPr>
          <w:rFonts w:ascii="Arial" w:hAnsi="Arial" w:cs="Arial"/>
          <w:sz w:val="22"/>
          <w:szCs w:val="22"/>
        </w:rPr>
        <w:t xml:space="preserve">based on </w:t>
      </w:r>
      <w:r w:rsidR="008B39FD" w:rsidRPr="0098650A">
        <w:rPr>
          <w:rFonts w:ascii="Arial" w:hAnsi="Arial" w:cs="Arial"/>
          <w:sz w:val="22"/>
          <w:szCs w:val="22"/>
        </w:rPr>
        <w:t xml:space="preserve">patient </w:t>
      </w:r>
      <w:r w:rsidR="00A30C58" w:rsidRPr="0098650A">
        <w:rPr>
          <w:rFonts w:ascii="Arial" w:hAnsi="Arial" w:cs="Arial"/>
          <w:sz w:val="22"/>
          <w:szCs w:val="22"/>
        </w:rPr>
        <w:t>demographics, comorbidities, and medications</w:t>
      </w:r>
      <w:r w:rsidRPr="0098650A">
        <w:rPr>
          <w:rFonts w:ascii="Arial" w:hAnsi="Arial" w:cs="Arial"/>
          <w:sz w:val="22"/>
          <w:szCs w:val="22"/>
        </w:rPr>
        <w:t xml:space="preserve">, and </w:t>
      </w:r>
      <w:r w:rsidR="00A30C58" w:rsidRPr="0098650A">
        <w:rPr>
          <w:rFonts w:ascii="Arial" w:hAnsi="Arial" w:cs="Arial"/>
          <w:sz w:val="22"/>
          <w:szCs w:val="22"/>
        </w:rPr>
        <w:t xml:space="preserve">Cox regression to </w:t>
      </w:r>
      <w:r w:rsidRPr="0098650A">
        <w:rPr>
          <w:rFonts w:ascii="Arial" w:hAnsi="Arial" w:cs="Arial"/>
          <w:sz w:val="22"/>
          <w:szCs w:val="22"/>
        </w:rPr>
        <w:t>compare strategies</w:t>
      </w:r>
      <w:r w:rsidR="006C367C" w:rsidRPr="0098650A">
        <w:rPr>
          <w:rFonts w:ascii="Arial" w:hAnsi="Arial" w:cs="Arial"/>
          <w:sz w:val="22"/>
          <w:szCs w:val="22"/>
        </w:rPr>
        <w:t>.</w:t>
      </w:r>
      <w:r w:rsidR="00B641DB">
        <w:rPr>
          <w:rFonts w:ascii="Arial" w:hAnsi="Arial" w:cs="Arial"/>
          <w:sz w:val="22"/>
          <w:szCs w:val="22"/>
        </w:rPr>
        <w:t xml:space="preserve"> </w:t>
      </w:r>
      <w:r w:rsidR="0098650A" w:rsidRPr="0098650A">
        <w:rPr>
          <w:rFonts w:ascii="Arial" w:hAnsi="Arial" w:cs="Arial"/>
          <w:sz w:val="22"/>
          <w:szCs w:val="22"/>
        </w:rPr>
        <w:t>To evaluate residual confounding, w</w:t>
      </w:r>
      <w:r w:rsidRPr="0098650A">
        <w:rPr>
          <w:rFonts w:ascii="Arial" w:hAnsi="Arial" w:cs="Arial"/>
          <w:sz w:val="22"/>
          <w:szCs w:val="22"/>
        </w:rPr>
        <w:t xml:space="preserve">e </w:t>
      </w:r>
      <w:r w:rsidR="00DB7024" w:rsidRPr="0098650A">
        <w:rPr>
          <w:rFonts w:ascii="Arial" w:hAnsi="Arial" w:cs="Arial"/>
          <w:sz w:val="22"/>
          <w:szCs w:val="22"/>
        </w:rPr>
        <w:t xml:space="preserve">performed falsification analysis </w:t>
      </w:r>
      <w:r w:rsidR="002D27BF">
        <w:rPr>
          <w:rFonts w:ascii="Arial" w:hAnsi="Arial" w:cs="Arial"/>
          <w:sz w:val="22"/>
          <w:szCs w:val="22"/>
        </w:rPr>
        <w:t>with</w:t>
      </w:r>
      <w:r w:rsidR="002D27BF" w:rsidRPr="0098650A">
        <w:rPr>
          <w:rFonts w:ascii="Arial" w:hAnsi="Arial" w:cs="Arial"/>
          <w:sz w:val="22"/>
          <w:szCs w:val="22"/>
        </w:rPr>
        <w:t xml:space="preserve"> </w:t>
      </w:r>
      <w:r w:rsidRPr="0098650A">
        <w:rPr>
          <w:rFonts w:ascii="Arial" w:hAnsi="Arial" w:cs="Arial"/>
          <w:sz w:val="22"/>
          <w:szCs w:val="22"/>
        </w:rPr>
        <w:t>non-plausible outcomes</w:t>
      </w:r>
      <w:r w:rsidR="00DB7024" w:rsidRPr="0098650A">
        <w:rPr>
          <w:rFonts w:ascii="Arial" w:hAnsi="Arial" w:cs="Arial"/>
          <w:sz w:val="22"/>
          <w:szCs w:val="22"/>
        </w:rPr>
        <w:t>.</w:t>
      </w:r>
    </w:p>
    <w:p w14:paraId="53EB4A2F" w14:textId="77777777" w:rsidR="00C577BE" w:rsidRPr="0098650A" w:rsidRDefault="00C577BE" w:rsidP="00D405B9">
      <w:pPr>
        <w:spacing w:line="480" w:lineRule="auto"/>
        <w:rPr>
          <w:rFonts w:ascii="Arial" w:hAnsi="Arial" w:cs="Arial"/>
          <w:b/>
          <w:bCs/>
          <w:sz w:val="22"/>
          <w:szCs w:val="22"/>
        </w:rPr>
      </w:pPr>
    </w:p>
    <w:p w14:paraId="0489CC76" w14:textId="6C6F97F5" w:rsidR="00C577BE" w:rsidRPr="0098650A" w:rsidRDefault="00C577BE" w:rsidP="00D405B9">
      <w:pPr>
        <w:spacing w:line="480" w:lineRule="auto"/>
        <w:rPr>
          <w:rFonts w:ascii="Arial" w:hAnsi="Arial" w:cs="Arial"/>
          <w:b/>
          <w:bCs/>
          <w:sz w:val="22"/>
          <w:szCs w:val="22"/>
        </w:rPr>
      </w:pPr>
      <w:r w:rsidRPr="0098650A">
        <w:rPr>
          <w:rFonts w:ascii="Arial" w:hAnsi="Arial" w:cs="Arial"/>
          <w:b/>
          <w:bCs/>
          <w:sz w:val="22"/>
          <w:szCs w:val="22"/>
        </w:rPr>
        <w:t>RESULTS</w:t>
      </w:r>
    </w:p>
    <w:p w14:paraId="48A409DB" w14:textId="77BEBC09" w:rsidR="000C0066" w:rsidRPr="0098650A" w:rsidRDefault="009F6B02" w:rsidP="00A82898">
      <w:pPr>
        <w:spacing w:line="480" w:lineRule="auto"/>
        <w:rPr>
          <w:rFonts w:ascii="Arial" w:hAnsi="Arial" w:cs="Arial"/>
          <w:sz w:val="22"/>
          <w:szCs w:val="22"/>
        </w:rPr>
      </w:pPr>
      <w:r w:rsidRPr="0098650A">
        <w:rPr>
          <w:rFonts w:ascii="Arial" w:hAnsi="Arial" w:cs="Arial"/>
          <w:sz w:val="22"/>
          <w:szCs w:val="22"/>
        </w:rPr>
        <w:t>The matched cohort comprised 6</w:t>
      </w:r>
      <w:r w:rsidR="00A82898">
        <w:rPr>
          <w:rFonts w:ascii="Arial" w:hAnsi="Arial" w:cs="Arial"/>
          <w:sz w:val="22"/>
          <w:szCs w:val="22"/>
        </w:rPr>
        <w:t>,</w:t>
      </w:r>
      <w:r w:rsidRPr="0098650A">
        <w:rPr>
          <w:rFonts w:ascii="Arial" w:hAnsi="Arial" w:cs="Arial"/>
          <w:sz w:val="22"/>
          <w:szCs w:val="22"/>
        </w:rPr>
        <w:t>212 patients (3</w:t>
      </w:r>
      <w:r w:rsidR="00A82898">
        <w:rPr>
          <w:rFonts w:ascii="Arial" w:hAnsi="Arial" w:cs="Arial"/>
          <w:sz w:val="22"/>
          <w:szCs w:val="22"/>
        </w:rPr>
        <w:t>,</w:t>
      </w:r>
      <w:r w:rsidRPr="0098650A">
        <w:rPr>
          <w:rFonts w:ascii="Arial" w:hAnsi="Arial" w:cs="Arial"/>
          <w:sz w:val="22"/>
          <w:szCs w:val="22"/>
        </w:rPr>
        <w:t>106 dronedarone, 3</w:t>
      </w:r>
      <w:r w:rsidR="00A82898">
        <w:rPr>
          <w:rFonts w:ascii="Arial" w:hAnsi="Arial" w:cs="Arial"/>
          <w:sz w:val="22"/>
          <w:szCs w:val="22"/>
        </w:rPr>
        <w:t>,</w:t>
      </w:r>
      <w:r w:rsidRPr="0098650A">
        <w:rPr>
          <w:rFonts w:ascii="Arial" w:hAnsi="Arial" w:cs="Arial"/>
          <w:sz w:val="22"/>
          <w:szCs w:val="22"/>
        </w:rPr>
        <w:t>106 sotalol</w:t>
      </w:r>
      <w:r w:rsidR="00552887" w:rsidRPr="0098650A">
        <w:rPr>
          <w:rFonts w:ascii="Arial" w:hAnsi="Arial" w:cs="Arial"/>
          <w:sz w:val="22"/>
          <w:szCs w:val="22"/>
        </w:rPr>
        <w:t xml:space="preserve">; </w:t>
      </w:r>
      <w:r w:rsidR="00F63737">
        <w:rPr>
          <w:rFonts w:ascii="Arial" w:hAnsi="Arial" w:cs="Arial"/>
          <w:sz w:val="22"/>
          <w:szCs w:val="22"/>
        </w:rPr>
        <w:t>mean(</w:t>
      </w:r>
      <w:r w:rsidR="00F63737">
        <w:rPr>
          <w:rFonts w:ascii="Arial" w:hAnsi="Arial" w:cs="Arial"/>
          <w:sz w:val="22"/>
          <w:szCs w:val="22"/>
        </w:rPr>
        <w:sym w:font="Symbol" w:char="F0B1"/>
      </w:r>
      <w:r w:rsidR="00F63737">
        <w:rPr>
          <w:rFonts w:ascii="Arial" w:hAnsi="Arial" w:cs="Arial"/>
          <w:sz w:val="22"/>
          <w:szCs w:val="22"/>
        </w:rPr>
        <w:t xml:space="preserve">SD) </w:t>
      </w:r>
      <w:r w:rsidR="007A19DF" w:rsidRPr="0098650A">
        <w:rPr>
          <w:rFonts w:ascii="Arial" w:hAnsi="Arial" w:cs="Arial"/>
          <w:sz w:val="22"/>
          <w:szCs w:val="22"/>
        </w:rPr>
        <w:t>age 71</w:t>
      </w:r>
      <w:r w:rsidR="007A19DF" w:rsidRPr="0098650A">
        <w:rPr>
          <w:rFonts w:ascii="Arial" w:hAnsi="Arial" w:cs="Arial"/>
          <w:sz w:val="22"/>
          <w:szCs w:val="22"/>
        </w:rPr>
        <w:sym w:font="Symbol" w:char="F0B1"/>
      </w:r>
      <w:r w:rsidR="007A19DF" w:rsidRPr="0098650A">
        <w:rPr>
          <w:rFonts w:ascii="Arial" w:hAnsi="Arial" w:cs="Arial"/>
          <w:sz w:val="22"/>
          <w:szCs w:val="22"/>
        </w:rPr>
        <w:t>10</w:t>
      </w:r>
      <w:r w:rsidR="005350F2" w:rsidRPr="0098650A">
        <w:rPr>
          <w:rFonts w:ascii="Arial" w:hAnsi="Arial" w:cs="Arial"/>
          <w:sz w:val="22"/>
          <w:szCs w:val="22"/>
        </w:rPr>
        <w:t xml:space="preserve"> </w:t>
      </w:r>
      <w:proofErr w:type="spellStart"/>
      <w:r w:rsidR="005350F2" w:rsidRPr="0098650A">
        <w:rPr>
          <w:rFonts w:ascii="Arial" w:hAnsi="Arial" w:cs="Arial"/>
          <w:sz w:val="22"/>
          <w:szCs w:val="22"/>
        </w:rPr>
        <w:t>yrs</w:t>
      </w:r>
      <w:proofErr w:type="spellEnd"/>
      <w:r w:rsidR="007A19DF" w:rsidRPr="0098650A">
        <w:rPr>
          <w:rFonts w:ascii="Arial" w:hAnsi="Arial" w:cs="Arial"/>
          <w:sz w:val="22"/>
          <w:szCs w:val="22"/>
        </w:rPr>
        <w:t xml:space="preserve">, 2.5% female, </w:t>
      </w:r>
      <w:r w:rsidR="00F63737">
        <w:rPr>
          <w:rFonts w:ascii="Arial" w:hAnsi="Arial" w:cs="Arial"/>
          <w:sz w:val="22"/>
          <w:szCs w:val="22"/>
        </w:rPr>
        <w:t>mean(</w:t>
      </w:r>
      <w:r w:rsidR="00F63737">
        <w:rPr>
          <w:rFonts w:ascii="Arial" w:hAnsi="Arial" w:cs="Arial"/>
          <w:sz w:val="22"/>
          <w:szCs w:val="22"/>
        </w:rPr>
        <w:sym w:font="Symbol" w:char="F0B1"/>
      </w:r>
      <w:r w:rsidR="00F63737">
        <w:rPr>
          <w:rFonts w:ascii="Arial" w:hAnsi="Arial" w:cs="Arial"/>
          <w:sz w:val="22"/>
          <w:szCs w:val="22"/>
        </w:rPr>
        <w:t xml:space="preserve">SD) </w:t>
      </w:r>
      <w:r w:rsidR="007A19DF" w:rsidRPr="0098650A">
        <w:rPr>
          <w:rFonts w:ascii="Arial" w:hAnsi="Arial" w:cs="Arial"/>
          <w:sz w:val="22"/>
          <w:szCs w:val="22"/>
        </w:rPr>
        <w:t>CHA</w:t>
      </w:r>
      <w:r w:rsidR="007A19DF" w:rsidRPr="0098650A">
        <w:rPr>
          <w:rFonts w:ascii="Arial" w:hAnsi="Arial" w:cs="Arial"/>
          <w:sz w:val="22"/>
          <w:szCs w:val="22"/>
          <w:vertAlign w:val="subscript"/>
        </w:rPr>
        <w:t>2</w:t>
      </w:r>
      <w:r w:rsidR="007A19DF" w:rsidRPr="0098650A">
        <w:rPr>
          <w:rFonts w:ascii="Arial" w:hAnsi="Arial" w:cs="Arial"/>
          <w:sz w:val="22"/>
          <w:szCs w:val="22"/>
        </w:rPr>
        <w:t>DS</w:t>
      </w:r>
      <w:r w:rsidR="007A19DF" w:rsidRPr="0098650A">
        <w:rPr>
          <w:rFonts w:ascii="Arial" w:hAnsi="Arial" w:cs="Arial"/>
          <w:sz w:val="22"/>
          <w:szCs w:val="22"/>
          <w:vertAlign w:val="subscript"/>
        </w:rPr>
        <w:t>2</w:t>
      </w:r>
      <w:r w:rsidR="007A19DF" w:rsidRPr="0098650A">
        <w:rPr>
          <w:rFonts w:ascii="Arial" w:hAnsi="Arial" w:cs="Arial"/>
          <w:sz w:val="22"/>
          <w:szCs w:val="22"/>
        </w:rPr>
        <w:t>-VASC 2</w:t>
      </w:r>
      <w:r w:rsidR="007A19DF" w:rsidRPr="0098650A">
        <w:rPr>
          <w:rFonts w:ascii="Arial" w:hAnsi="Arial" w:cs="Arial"/>
          <w:sz w:val="22"/>
          <w:szCs w:val="22"/>
        </w:rPr>
        <w:sym w:font="Symbol" w:char="F0B1"/>
      </w:r>
      <w:r w:rsidR="007A19DF" w:rsidRPr="0098650A">
        <w:rPr>
          <w:rFonts w:ascii="Arial" w:hAnsi="Arial" w:cs="Arial"/>
          <w:sz w:val="22"/>
          <w:szCs w:val="22"/>
        </w:rPr>
        <w:t>1.3</w:t>
      </w:r>
      <w:r w:rsidRPr="0098650A">
        <w:rPr>
          <w:rFonts w:ascii="Arial" w:hAnsi="Arial" w:cs="Arial"/>
          <w:sz w:val="22"/>
          <w:szCs w:val="22"/>
        </w:rPr>
        <w:t>)</w:t>
      </w:r>
      <w:r w:rsidR="00552887" w:rsidRPr="0098650A">
        <w:rPr>
          <w:rFonts w:ascii="Arial" w:hAnsi="Arial" w:cs="Arial"/>
          <w:sz w:val="22"/>
          <w:szCs w:val="22"/>
        </w:rPr>
        <w:t xml:space="preserve">. </w:t>
      </w:r>
      <w:r w:rsidR="005E55C1">
        <w:rPr>
          <w:rFonts w:ascii="Arial" w:hAnsi="Arial" w:cs="Arial"/>
          <w:sz w:val="22"/>
          <w:szCs w:val="22"/>
        </w:rPr>
        <w:t>The mean(</w:t>
      </w:r>
      <w:r w:rsidR="005E55C1">
        <w:rPr>
          <w:rFonts w:ascii="Arial" w:hAnsi="Arial" w:cs="Arial"/>
          <w:sz w:val="22"/>
          <w:szCs w:val="22"/>
        </w:rPr>
        <w:sym w:font="Symbol" w:char="F0B1"/>
      </w:r>
      <w:r w:rsidR="005E55C1">
        <w:rPr>
          <w:rFonts w:ascii="Arial" w:hAnsi="Arial" w:cs="Arial"/>
          <w:sz w:val="22"/>
          <w:szCs w:val="22"/>
        </w:rPr>
        <w:t>SD) LVEF was 55</w:t>
      </w:r>
      <w:r w:rsidR="005E55C1">
        <w:rPr>
          <w:rFonts w:ascii="Arial" w:hAnsi="Arial" w:cs="Arial"/>
          <w:sz w:val="22"/>
          <w:szCs w:val="22"/>
        </w:rPr>
        <w:sym w:font="Symbol" w:char="F0B1"/>
      </w:r>
      <w:r w:rsidR="005E55C1">
        <w:rPr>
          <w:rFonts w:ascii="Arial" w:hAnsi="Arial" w:cs="Arial"/>
          <w:sz w:val="22"/>
          <w:szCs w:val="22"/>
        </w:rPr>
        <w:t>11 and 58</w:t>
      </w:r>
      <w:r w:rsidR="005E55C1">
        <w:rPr>
          <w:rFonts w:ascii="Arial" w:hAnsi="Arial" w:cs="Arial"/>
          <w:sz w:val="22"/>
          <w:szCs w:val="22"/>
        </w:rPr>
        <w:sym w:font="Symbol" w:char="F0B1"/>
      </w:r>
      <w:r w:rsidR="005E55C1">
        <w:rPr>
          <w:rFonts w:ascii="Arial" w:hAnsi="Arial" w:cs="Arial"/>
          <w:sz w:val="22"/>
          <w:szCs w:val="22"/>
        </w:rPr>
        <w:t xml:space="preserve">10 for dronedarone and sotalol users, correspondingly. </w:t>
      </w:r>
      <w:r w:rsidR="0098650A" w:rsidRPr="0098650A">
        <w:rPr>
          <w:rFonts w:ascii="Arial" w:hAnsi="Arial" w:cs="Arial"/>
          <w:sz w:val="22"/>
          <w:szCs w:val="22"/>
        </w:rPr>
        <w:t xml:space="preserve">Dronedarone, compared </w:t>
      </w:r>
      <w:r w:rsidR="002D27BF">
        <w:rPr>
          <w:rFonts w:ascii="Arial" w:hAnsi="Arial" w:cs="Arial"/>
          <w:sz w:val="22"/>
          <w:szCs w:val="22"/>
        </w:rPr>
        <w:t>with</w:t>
      </w:r>
      <w:r w:rsidR="0098650A" w:rsidRPr="0098650A">
        <w:rPr>
          <w:rFonts w:ascii="Arial" w:hAnsi="Arial" w:cs="Arial"/>
          <w:sz w:val="22"/>
          <w:szCs w:val="22"/>
        </w:rPr>
        <w:t xml:space="preserve"> sotalol</w:t>
      </w:r>
      <w:r w:rsidR="00A82898">
        <w:rPr>
          <w:rFonts w:ascii="Arial" w:hAnsi="Arial" w:cs="Arial"/>
          <w:sz w:val="22"/>
          <w:szCs w:val="22"/>
        </w:rPr>
        <w:t xml:space="preserve">, did not demonstrate a significant association with </w:t>
      </w:r>
      <w:r w:rsidR="0098650A" w:rsidRPr="0098650A">
        <w:rPr>
          <w:rFonts w:ascii="Arial" w:hAnsi="Arial" w:cs="Arial"/>
          <w:sz w:val="22"/>
          <w:szCs w:val="22"/>
        </w:rPr>
        <w:t xml:space="preserve">risk of cardiovascular </w:t>
      </w:r>
      <w:r w:rsidR="0098650A" w:rsidRPr="0098650A">
        <w:rPr>
          <w:rFonts w:ascii="Arial" w:hAnsi="Arial" w:cs="Arial"/>
          <w:sz w:val="22"/>
          <w:szCs w:val="22"/>
        </w:rPr>
        <w:lastRenderedPageBreak/>
        <w:t>hospitalization (hazard ratio (HR)</w:t>
      </w:r>
      <w:r w:rsidR="003B657B">
        <w:rPr>
          <w:rFonts w:ascii="Arial" w:hAnsi="Arial" w:cs="Arial"/>
          <w:sz w:val="22"/>
          <w:szCs w:val="22"/>
        </w:rPr>
        <w:t>:</w:t>
      </w:r>
      <w:r w:rsidR="0098650A" w:rsidRPr="0098650A">
        <w:rPr>
          <w:rFonts w:ascii="Arial" w:hAnsi="Arial" w:cs="Arial"/>
          <w:sz w:val="22"/>
          <w:szCs w:val="22"/>
        </w:rPr>
        <w:t xml:space="preserve">1.03, 95% confidence interval </w:t>
      </w:r>
      <w:r w:rsidR="00950A0F">
        <w:rPr>
          <w:rFonts w:ascii="Arial" w:hAnsi="Arial" w:cs="Arial"/>
          <w:sz w:val="22"/>
          <w:szCs w:val="22"/>
        </w:rPr>
        <w:t>(</w:t>
      </w:r>
      <w:r w:rsidR="0098650A" w:rsidRPr="0098650A">
        <w:rPr>
          <w:rFonts w:ascii="Arial" w:hAnsi="Arial" w:cs="Arial"/>
          <w:sz w:val="22"/>
          <w:szCs w:val="22"/>
        </w:rPr>
        <w:t>CI</w:t>
      </w:r>
      <w:r w:rsidR="00950A0F">
        <w:rPr>
          <w:rFonts w:ascii="Arial" w:hAnsi="Arial" w:cs="Arial"/>
          <w:sz w:val="22"/>
          <w:szCs w:val="22"/>
        </w:rPr>
        <w:t>)</w:t>
      </w:r>
      <w:r w:rsidR="0098650A" w:rsidRPr="0098650A">
        <w:rPr>
          <w:rFonts w:ascii="Arial" w:hAnsi="Arial" w:cs="Arial"/>
          <w:sz w:val="22"/>
          <w:szCs w:val="22"/>
        </w:rPr>
        <w:t>:0.88–1.21</w:t>
      </w:r>
      <w:r w:rsidR="00950A0F">
        <w:rPr>
          <w:rFonts w:ascii="Arial" w:hAnsi="Arial" w:cs="Arial"/>
          <w:sz w:val="22"/>
          <w:szCs w:val="22"/>
        </w:rPr>
        <w:t>)</w:t>
      </w:r>
      <w:r w:rsidR="0098650A" w:rsidRPr="0098650A">
        <w:rPr>
          <w:rFonts w:ascii="Arial" w:hAnsi="Arial" w:cs="Arial"/>
          <w:sz w:val="22"/>
          <w:szCs w:val="22"/>
        </w:rPr>
        <w:t xml:space="preserve"> </w:t>
      </w:r>
      <w:r w:rsidR="00A82898">
        <w:rPr>
          <w:rFonts w:ascii="Arial" w:hAnsi="Arial" w:cs="Arial"/>
          <w:sz w:val="22"/>
          <w:szCs w:val="22"/>
        </w:rPr>
        <w:t>or</w:t>
      </w:r>
      <w:r w:rsidR="0098650A" w:rsidRPr="0098650A">
        <w:rPr>
          <w:rFonts w:ascii="Arial" w:hAnsi="Arial" w:cs="Arial"/>
          <w:sz w:val="22"/>
          <w:szCs w:val="22"/>
        </w:rPr>
        <w:t xml:space="preserve"> all-cause mortality (HR</w:t>
      </w:r>
      <w:r w:rsidR="003B657B">
        <w:rPr>
          <w:rFonts w:ascii="Arial" w:hAnsi="Arial" w:cs="Arial"/>
          <w:sz w:val="22"/>
          <w:szCs w:val="22"/>
        </w:rPr>
        <w:t>:</w:t>
      </w:r>
      <w:r w:rsidR="0098650A" w:rsidRPr="0098650A">
        <w:rPr>
          <w:rFonts w:ascii="Arial" w:hAnsi="Arial" w:cs="Arial"/>
          <w:sz w:val="22"/>
          <w:szCs w:val="22"/>
        </w:rPr>
        <w:t>0.89, 95% CI:0.68–1.16)</w:t>
      </w:r>
      <w:r w:rsidR="00A82898">
        <w:rPr>
          <w:rFonts w:ascii="Arial" w:hAnsi="Arial" w:cs="Arial"/>
          <w:sz w:val="22"/>
          <w:szCs w:val="22"/>
        </w:rPr>
        <w:t xml:space="preserve">. However, dronedarone was associated with significantly </w:t>
      </w:r>
      <w:r w:rsidR="0098650A" w:rsidRPr="0098650A">
        <w:rPr>
          <w:rFonts w:ascii="Arial" w:hAnsi="Arial" w:cs="Arial"/>
          <w:sz w:val="22"/>
          <w:szCs w:val="22"/>
        </w:rPr>
        <w:t>lower risk of ventricular pro-arrhythmic events (HR</w:t>
      </w:r>
      <w:r w:rsidR="003B657B">
        <w:rPr>
          <w:rFonts w:ascii="Arial" w:hAnsi="Arial" w:cs="Arial"/>
          <w:sz w:val="22"/>
          <w:szCs w:val="22"/>
        </w:rPr>
        <w:t>:</w:t>
      </w:r>
      <w:r w:rsidR="0098650A" w:rsidRPr="0098650A">
        <w:rPr>
          <w:rFonts w:ascii="Arial" w:hAnsi="Arial" w:cs="Arial"/>
          <w:sz w:val="22"/>
          <w:szCs w:val="22"/>
        </w:rPr>
        <w:t>0.53, 95% CI:0.38–0.74) and symptomatic bradycardia (HR</w:t>
      </w:r>
      <w:r w:rsidR="003B657B">
        <w:rPr>
          <w:rFonts w:ascii="Arial" w:hAnsi="Arial" w:cs="Arial"/>
          <w:sz w:val="22"/>
          <w:szCs w:val="22"/>
        </w:rPr>
        <w:t>:</w:t>
      </w:r>
      <w:r w:rsidR="0098650A" w:rsidRPr="0098650A">
        <w:rPr>
          <w:rFonts w:ascii="Arial" w:hAnsi="Arial" w:cs="Arial"/>
          <w:sz w:val="22"/>
          <w:szCs w:val="22"/>
        </w:rPr>
        <w:t>0.56, 95% CI:0.37–0.87). The primary findings were stable across sensitivity</w:t>
      </w:r>
      <w:r w:rsidR="002D27BF">
        <w:rPr>
          <w:rFonts w:ascii="Arial" w:hAnsi="Arial" w:cs="Arial"/>
          <w:sz w:val="22"/>
          <w:szCs w:val="22"/>
        </w:rPr>
        <w:t xml:space="preserve"> analyses</w:t>
      </w:r>
      <w:r w:rsidR="0098650A" w:rsidRPr="0098650A">
        <w:rPr>
          <w:rFonts w:ascii="Arial" w:hAnsi="Arial" w:cs="Arial"/>
          <w:color w:val="000000"/>
          <w:sz w:val="22"/>
          <w:szCs w:val="22"/>
        </w:rPr>
        <w:t>.</w:t>
      </w:r>
      <w:r w:rsidR="0098650A" w:rsidRPr="0098650A">
        <w:rPr>
          <w:rFonts w:ascii="Arial" w:hAnsi="Arial" w:cs="Arial"/>
          <w:sz w:val="22"/>
          <w:szCs w:val="22"/>
        </w:rPr>
        <w:t xml:space="preserve"> Falsification analyses were not significant. </w:t>
      </w:r>
    </w:p>
    <w:p w14:paraId="50408A2F" w14:textId="77777777" w:rsidR="00AD5669" w:rsidRPr="0098650A" w:rsidRDefault="00AD5669" w:rsidP="00D405B9">
      <w:pPr>
        <w:spacing w:line="480" w:lineRule="auto"/>
        <w:rPr>
          <w:rFonts w:ascii="Arial" w:hAnsi="Arial" w:cs="Arial"/>
          <w:color w:val="000000"/>
          <w:sz w:val="22"/>
          <w:szCs w:val="22"/>
        </w:rPr>
      </w:pPr>
    </w:p>
    <w:p w14:paraId="6F321D2C" w14:textId="77777777" w:rsidR="00C577BE" w:rsidRPr="0098650A" w:rsidRDefault="00C577BE" w:rsidP="00D405B9">
      <w:pPr>
        <w:spacing w:line="480" w:lineRule="auto"/>
        <w:rPr>
          <w:rFonts w:ascii="Arial" w:hAnsi="Arial" w:cs="Arial"/>
          <w:sz w:val="22"/>
          <w:szCs w:val="22"/>
        </w:rPr>
      </w:pPr>
      <w:r w:rsidRPr="0098650A">
        <w:rPr>
          <w:rFonts w:ascii="Arial" w:hAnsi="Arial" w:cs="Arial"/>
          <w:b/>
          <w:bCs/>
          <w:sz w:val="22"/>
          <w:szCs w:val="22"/>
        </w:rPr>
        <w:t>CONCLUSION</w:t>
      </w:r>
    </w:p>
    <w:p w14:paraId="55DD5367" w14:textId="7A3FDE7F" w:rsidR="0098650A" w:rsidRPr="00AA22E6" w:rsidRDefault="00C71B8C" w:rsidP="001B3A42">
      <w:pPr>
        <w:spacing w:line="480" w:lineRule="auto"/>
        <w:rPr>
          <w:rFonts w:ascii="Arial" w:hAnsi="Arial" w:cs="Arial"/>
          <w:sz w:val="22"/>
          <w:szCs w:val="22"/>
        </w:rPr>
      </w:pPr>
      <w:r w:rsidRPr="0098650A">
        <w:rPr>
          <w:rFonts w:ascii="Arial" w:hAnsi="Arial" w:cs="Arial"/>
          <w:sz w:val="22"/>
          <w:szCs w:val="22"/>
        </w:rPr>
        <w:t>Dronedarone</w:t>
      </w:r>
      <w:r w:rsidR="001B3A42">
        <w:rPr>
          <w:rFonts w:ascii="Arial" w:hAnsi="Arial" w:cs="Arial"/>
          <w:sz w:val="22"/>
          <w:szCs w:val="22"/>
        </w:rPr>
        <w:t xml:space="preserve">, compared </w:t>
      </w:r>
      <w:r w:rsidR="005B7778">
        <w:rPr>
          <w:rFonts w:ascii="Arial" w:hAnsi="Arial" w:cs="Arial"/>
          <w:sz w:val="22"/>
          <w:szCs w:val="22"/>
        </w:rPr>
        <w:t>with</w:t>
      </w:r>
      <w:r w:rsidR="001B3A42">
        <w:rPr>
          <w:rFonts w:ascii="Arial" w:hAnsi="Arial" w:cs="Arial"/>
          <w:sz w:val="22"/>
          <w:szCs w:val="22"/>
        </w:rPr>
        <w:t xml:space="preserve"> sotalol, was associated with a lower risk of </w:t>
      </w:r>
      <w:r w:rsidR="001B3A42" w:rsidRPr="0098650A">
        <w:rPr>
          <w:rFonts w:ascii="Arial" w:hAnsi="Arial" w:cs="Arial"/>
          <w:sz w:val="22"/>
          <w:szCs w:val="22"/>
        </w:rPr>
        <w:t>ventricular pro-arrhythmi</w:t>
      </w:r>
      <w:r w:rsidR="00DA6842">
        <w:rPr>
          <w:rFonts w:ascii="Arial" w:hAnsi="Arial" w:cs="Arial"/>
          <w:sz w:val="22"/>
          <w:szCs w:val="22"/>
        </w:rPr>
        <w:t>c events</w:t>
      </w:r>
      <w:r w:rsidR="001B3A42" w:rsidRPr="0098650A">
        <w:rPr>
          <w:rFonts w:ascii="Arial" w:hAnsi="Arial" w:cs="Arial"/>
          <w:sz w:val="22"/>
          <w:szCs w:val="22"/>
        </w:rPr>
        <w:t xml:space="preserve"> and conduction </w:t>
      </w:r>
      <w:r w:rsidR="00F63737">
        <w:rPr>
          <w:rFonts w:ascii="Arial" w:hAnsi="Arial" w:cs="Arial"/>
          <w:sz w:val="22"/>
          <w:szCs w:val="22"/>
        </w:rPr>
        <w:t>disorders</w:t>
      </w:r>
      <w:r w:rsidR="001B3A42">
        <w:rPr>
          <w:rFonts w:ascii="Arial" w:hAnsi="Arial" w:cs="Arial"/>
          <w:sz w:val="22"/>
          <w:szCs w:val="22"/>
        </w:rPr>
        <w:t xml:space="preserve"> while having no difference in risk of incident</w:t>
      </w:r>
      <w:r w:rsidR="00F677FD" w:rsidRPr="0098650A">
        <w:rPr>
          <w:rFonts w:ascii="Arial" w:hAnsi="Arial" w:cs="Arial"/>
          <w:sz w:val="22"/>
          <w:szCs w:val="22"/>
        </w:rPr>
        <w:t xml:space="preserve"> </w:t>
      </w:r>
      <w:r w:rsidR="00AA22E6">
        <w:rPr>
          <w:rFonts w:ascii="Arial" w:hAnsi="Arial" w:cs="Arial"/>
          <w:sz w:val="22"/>
          <w:szCs w:val="22"/>
        </w:rPr>
        <w:t>cardiovascular</w:t>
      </w:r>
      <w:r w:rsidR="00F677FD" w:rsidRPr="0098650A">
        <w:rPr>
          <w:rFonts w:ascii="Arial" w:hAnsi="Arial" w:cs="Arial"/>
          <w:sz w:val="22"/>
          <w:szCs w:val="22"/>
        </w:rPr>
        <w:t xml:space="preserve"> hospitalization </w:t>
      </w:r>
      <w:r w:rsidR="00AA22E6">
        <w:rPr>
          <w:rFonts w:ascii="Arial" w:hAnsi="Arial" w:cs="Arial"/>
          <w:sz w:val="22"/>
          <w:szCs w:val="22"/>
        </w:rPr>
        <w:t>and mortality</w:t>
      </w:r>
      <w:r w:rsidRPr="0098650A">
        <w:rPr>
          <w:rFonts w:ascii="Arial" w:hAnsi="Arial" w:cs="Arial"/>
          <w:sz w:val="22"/>
          <w:szCs w:val="22"/>
        </w:rPr>
        <w:t>. These</w:t>
      </w:r>
      <w:r w:rsidR="00DB7024" w:rsidRPr="0098650A">
        <w:rPr>
          <w:rFonts w:ascii="Arial" w:hAnsi="Arial" w:cs="Arial"/>
          <w:sz w:val="22"/>
          <w:szCs w:val="22"/>
        </w:rPr>
        <w:t xml:space="preserve"> observational</w:t>
      </w:r>
      <w:r w:rsidRPr="0098650A">
        <w:rPr>
          <w:rFonts w:ascii="Arial" w:hAnsi="Arial" w:cs="Arial"/>
          <w:sz w:val="22"/>
          <w:szCs w:val="22"/>
        </w:rPr>
        <w:t xml:space="preserve"> data </w:t>
      </w:r>
      <w:r w:rsidR="00DB7024" w:rsidRPr="0098650A">
        <w:rPr>
          <w:rFonts w:ascii="Arial" w:hAnsi="Arial" w:cs="Arial"/>
          <w:sz w:val="22"/>
          <w:szCs w:val="22"/>
        </w:rPr>
        <w:t xml:space="preserve">provide the </w:t>
      </w:r>
      <w:r w:rsidR="00CA70E8" w:rsidRPr="0098650A">
        <w:rPr>
          <w:rFonts w:ascii="Arial" w:hAnsi="Arial" w:cs="Arial"/>
          <w:sz w:val="22"/>
          <w:szCs w:val="22"/>
        </w:rPr>
        <w:t xml:space="preserve">basis for prospective </w:t>
      </w:r>
      <w:r w:rsidR="00DB7024" w:rsidRPr="0098650A">
        <w:rPr>
          <w:rFonts w:ascii="Arial" w:hAnsi="Arial" w:cs="Arial"/>
          <w:sz w:val="22"/>
          <w:szCs w:val="22"/>
        </w:rPr>
        <w:t>efficacy</w:t>
      </w:r>
      <w:r w:rsidR="00CA70E8" w:rsidRPr="0098650A">
        <w:rPr>
          <w:rFonts w:ascii="Arial" w:hAnsi="Arial" w:cs="Arial"/>
          <w:sz w:val="22"/>
          <w:szCs w:val="22"/>
        </w:rPr>
        <w:t xml:space="preserve"> </w:t>
      </w:r>
      <w:r w:rsidR="00B94D31" w:rsidRPr="0098650A">
        <w:rPr>
          <w:rFonts w:ascii="Arial" w:hAnsi="Arial" w:cs="Arial"/>
          <w:sz w:val="22"/>
          <w:szCs w:val="22"/>
        </w:rPr>
        <w:t xml:space="preserve">and safety </w:t>
      </w:r>
      <w:r w:rsidR="00CA70E8" w:rsidRPr="0098650A">
        <w:rPr>
          <w:rFonts w:ascii="Arial" w:hAnsi="Arial" w:cs="Arial"/>
          <w:sz w:val="22"/>
          <w:szCs w:val="22"/>
        </w:rPr>
        <w:t>trials.</w:t>
      </w:r>
      <w:r w:rsidR="0098650A">
        <w:rPr>
          <w:rFonts w:ascii="Arial" w:hAnsi="Arial" w:cs="Arial"/>
          <w:b/>
          <w:bCs/>
          <w:sz w:val="22"/>
          <w:szCs w:val="22"/>
          <w:highlight w:val="yellow"/>
        </w:rPr>
        <w:br w:type="page"/>
      </w:r>
    </w:p>
    <w:p w14:paraId="3308274A" w14:textId="47D61BF8" w:rsidR="00A83070" w:rsidRPr="00AA22E6" w:rsidRDefault="00A83070" w:rsidP="0098650A">
      <w:pPr>
        <w:spacing w:line="480" w:lineRule="auto"/>
        <w:rPr>
          <w:rFonts w:ascii="Arial" w:hAnsi="Arial" w:cs="Arial"/>
          <w:sz w:val="22"/>
          <w:szCs w:val="22"/>
        </w:rPr>
      </w:pPr>
      <w:r w:rsidRPr="00AA22E6">
        <w:rPr>
          <w:rFonts w:ascii="Arial" w:hAnsi="Arial" w:cs="Arial"/>
          <w:b/>
          <w:bCs/>
          <w:sz w:val="22"/>
          <w:szCs w:val="22"/>
        </w:rPr>
        <w:lastRenderedPageBreak/>
        <w:t>CLINICAL PERSPECTIVES</w:t>
      </w:r>
    </w:p>
    <w:p w14:paraId="7C60E5C0" w14:textId="53EDAB43" w:rsidR="0098650A" w:rsidRPr="00AA22E6" w:rsidRDefault="0098650A" w:rsidP="0098650A">
      <w:pPr>
        <w:spacing w:line="480" w:lineRule="auto"/>
        <w:rPr>
          <w:rFonts w:ascii="Arial" w:hAnsi="Arial" w:cs="Arial"/>
          <w:sz w:val="22"/>
          <w:szCs w:val="22"/>
        </w:rPr>
      </w:pPr>
      <w:r w:rsidRPr="00AA22E6">
        <w:rPr>
          <w:rFonts w:ascii="Arial" w:hAnsi="Arial" w:cs="Arial"/>
          <w:b/>
          <w:bCs/>
          <w:sz w:val="22"/>
          <w:szCs w:val="22"/>
        </w:rPr>
        <w:t>What is new?</w:t>
      </w:r>
    </w:p>
    <w:p w14:paraId="1E19A72F" w14:textId="7BFD379B" w:rsidR="00AA22E6" w:rsidRPr="00AA22E6" w:rsidRDefault="00AA22E6" w:rsidP="00AA22E6">
      <w:pPr>
        <w:pStyle w:val="ListParagraph"/>
        <w:numPr>
          <w:ilvl w:val="0"/>
          <w:numId w:val="3"/>
        </w:numPr>
        <w:spacing w:line="480" w:lineRule="auto"/>
        <w:rPr>
          <w:rFonts w:ascii="Arial" w:hAnsi="Arial" w:cs="Arial"/>
          <w:sz w:val="22"/>
          <w:szCs w:val="22"/>
        </w:rPr>
      </w:pPr>
      <w:r w:rsidRPr="00AA22E6">
        <w:rPr>
          <w:rFonts w:ascii="Arial" w:hAnsi="Arial" w:cs="Arial"/>
          <w:sz w:val="22"/>
          <w:szCs w:val="22"/>
        </w:rPr>
        <w:t xml:space="preserve">Among anti-arrhythmic drug naïve veterans with atrial fibrillation, rhythm control with dronedarone </w:t>
      </w:r>
      <w:r w:rsidR="00A82898">
        <w:rPr>
          <w:rFonts w:ascii="Arial" w:hAnsi="Arial" w:cs="Arial"/>
          <w:sz w:val="22"/>
          <w:szCs w:val="22"/>
        </w:rPr>
        <w:t>vs</w:t>
      </w:r>
      <w:r w:rsidRPr="00AA22E6">
        <w:rPr>
          <w:rFonts w:ascii="Arial" w:hAnsi="Arial" w:cs="Arial"/>
          <w:sz w:val="22"/>
          <w:szCs w:val="22"/>
        </w:rPr>
        <w:t xml:space="preserve"> sotalol </w:t>
      </w:r>
      <w:r w:rsidR="00A82898">
        <w:rPr>
          <w:rFonts w:ascii="Arial" w:hAnsi="Arial" w:cs="Arial"/>
          <w:sz w:val="22"/>
          <w:szCs w:val="22"/>
        </w:rPr>
        <w:t>was not significantly different for the outcomes of</w:t>
      </w:r>
      <w:r w:rsidRPr="00AA22E6">
        <w:rPr>
          <w:rFonts w:ascii="Arial" w:hAnsi="Arial" w:cs="Arial"/>
          <w:sz w:val="22"/>
          <w:szCs w:val="22"/>
        </w:rPr>
        <w:t xml:space="preserve"> cardiovascular hospitalization and death.</w:t>
      </w:r>
    </w:p>
    <w:p w14:paraId="0BAFAC7D" w14:textId="3C68AC99" w:rsidR="00AA22E6" w:rsidRPr="00AA22E6" w:rsidRDefault="00AA22E6" w:rsidP="00AA22E6">
      <w:pPr>
        <w:pStyle w:val="ListParagraph"/>
        <w:numPr>
          <w:ilvl w:val="0"/>
          <w:numId w:val="3"/>
        </w:numPr>
        <w:spacing w:line="480" w:lineRule="auto"/>
        <w:rPr>
          <w:rFonts w:ascii="Arial" w:hAnsi="Arial" w:cs="Arial"/>
          <w:b/>
          <w:bCs/>
          <w:sz w:val="22"/>
          <w:szCs w:val="22"/>
        </w:rPr>
      </w:pPr>
      <w:r w:rsidRPr="00AA22E6">
        <w:rPr>
          <w:rFonts w:ascii="Arial" w:hAnsi="Arial" w:cs="Arial"/>
          <w:sz w:val="22"/>
          <w:szCs w:val="22"/>
        </w:rPr>
        <w:t xml:space="preserve">Dronedarone, compared </w:t>
      </w:r>
      <w:r w:rsidR="005B7778">
        <w:rPr>
          <w:rFonts w:ascii="Arial" w:hAnsi="Arial" w:cs="Arial"/>
          <w:sz w:val="22"/>
          <w:szCs w:val="22"/>
        </w:rPr>
        <w:t>with</w:t>
      </w:r>
      <w:r w:rsidRPr="00AA22E6">
        <w:rPr>
          <w:rFonts w:ascii="Arial" w:hAnsi="Arial" w:cs="Arial"/>
          <w:sz w:val="22"/>
          <w:szCs w:val="22"/>
        </w:rPr>
        <w:t xml:space="preserve"> sotalol, was associated with lower rates of ventricular pro-arrhythmia events and conduction </w:t>
      </w:r>
      <w:r w:rsidR="001207D6">
        <w:rPr>
          <w:rFonts w:ascii="Arial" w:hAnsi="Arial" w:cs="Arial"/>
          <w:sz w:val="22"/>
          <w:szCs w:val="22"/>
        </w:rPr>
        <w:t>disorders</w:t>
      </w:r>
      <w:r w:rsidRPr="00AA22E6">
        <w:rPr>
          <w:rFonts w:ascii="Arial" w:hAnsi="Arial" w:cs="Arial"/>
          <w:sz w:val="22"/>
          <w:szCs w:val="22"/>
        </w:rPr>
        <w:t>.</w:t>
      </w:r>
    </w:p>
    <w:p w14:paraId="6DFC3140" w14:textId="7D6FF747" w:rsidR="0098650A" w:rsidRPr="00AA22E6" w:rsidRDefault="0098650A" w:rsidP="00AA22E6">
      <w:pPr>
        <w:spacing w:line="480" w:lineRule="auto"/>
        <w:rPr>
          <w:rFonts w:ascii="Arial" w:hAnsi="Arial" w:cs="Arial"/>
          <w:b/>
          <w:bCs/>
          <w:sz w:val="22"/>
          <w:szCs w:val="22"/>
        </w:rPr>
      </w:pPr>
      <w:r w:rsidRPr="00AA22E6">
        <w:rPr>
          <w:rFonts w:ascii="Arial" w:hAnsi="Arial" w:cs="Arial"/>
          <w:b/>
          <w:bCs/>
          <w:sz w:val="22"/>
          <w:szCs w:val="22"/>
        </w:rPr>
        <w:t>What are the clinical implications?</w:t>
      </w:r>
    </w:p>
    <w:p w14:paraId="0B540BDC" w14:textId="06AB6882" w:rsidR="00AA22E6" w:rsidRPr="00AA22E6" w:rsidRDefault="00DA6842" w:rsidP="00DA6842">
      <w:pPr>
        <w:pStyle w:val="ListParagraph"/>
        <w:numPr>
          <w:ilvl w:val="0"/>
          <w:numId w:val="4"/>
        </w:numPr>
        <w:spacing w:line="480" w:lineRule="auto"/>
        <w:rPr>
          <w:rFonts w:ascii="Arial" w:hAnsi="Arial" w:cs="Arial"/>
          <w:sz w:val="22"/>
          <w:szCs w:val="22"/>
        </w:rPr>
      </w:pPr>
      <w:r>
        <w:rPr>
          <w:rFonts w:ascii="Arial" w:hAnsi="Arial" w:cs="Arial"/>
          <w:sz w:val="22"/>
          <w:szCs w:val="22"/>
        </w:rPr>
        <w:t xml:space="preserve">Dronedarone’s safety profile </w:t>
      </w:r>
      <w:r w:rsidR="001207D6">
        <w:rPr>
          <w:rFonts w:ascii="Arial" w:hAnsi="Arial" w:cs="Arial"/>
          <w:sz w:val="22"/>
          <w:szCs w:val="22"/>
        </w:rPr>
        <w:t xml:space="preserve">may make it </w:t>
      </w:r>
      <w:r w:rsidR="00AA22E6" w:rsidRPr="00AA22E6">
        <w:rPr>
          <w:rFonts w:ascii="Arial" w:hAnsi="Arial" w:cs="Arial"/>
          <w:sz w:val="22"/>
          <w:szCs w:val="22"/>
        </w:rPr>
        <w:t xml:space="preserve">preferable as a first-line anti-arrhythmic drug for rhythm control in atrial fibrillation patients without </w:t>
      </w:r>
      <w:r w:rsidR="00EE1EED">
        <w:rPr>
          <w:rFonts w:ascii="Arial" w:hAnsi="Arial" w:cs="Arial"/>
          <w:sz w:val="22"/>
          <w:szCs w:val="22"/>
        </w:rPr>
        <w:t xml:space="preserve">severe systolic dysfunction or unstable </w:t>
      </w:r>
      <w:r w:rsidR="00AA22E6" w:rsidRPr="00AA22E6">
        <w:rPr>
          <w:rFonts w:ascii="Arial" w:hAnsi="Arial" w:cs="Arial"/>
          <w:sz w:val="22"/>
          <w:szCs w:val="22"/>
        </w:rPr>
        <w:t>heart failure.</w:t>
      </w:r>
    </w:p>
    <w:p w14:paraId="49546F7D" w14:textId="585B0C02" w:rsidR="009C54EC" w:rsidRPr="00B65C6C" w:rsidRDefault="00AA22E6" w:rsidP="00B65C6C">
      <w:pPr>
        <w:pStyle w:val="ListParagraph"/>
        <w:numPr>
          <w:ilvl w:val="0"/>
          <w:numId w:val="4"/>
        </w:numPr>
        <w:spacing w:line="480" w:lineRule="auto"/>
        <w:rPr>
          <w:rFonts w:ascii="Arial" w:hAnsi="Arial" w:cs="Arial"/>
          <w:sz w:val="22"/>
          <w:szCs w:val="22"/>
        </w:rPr>
      </w:pPr>
      <w:r w:rsidRPr="009C54EC">
        <w:rPr>
          <w:rFonts w:ascii="Arial" w:hAnsi="Arial" w:cs="Arial"/>
          <w:sz w:val="22"/>
          <w:szCs w:val="22"/>
        </w:rPr>
        <w:t xml:space="preserve">Prospective clinical trials are needed to </w:t>
      </w:r>
      <w:r w:rsidR="00B65C6C">
        <w:rPr>
          <w:rFonts w:ascii="Arial" w:hAnsi="Arial" w:cs="Arial"/>
          <w:sz w:val="22"/>
          <w:szCs w:val="22"/>
        </w:rPr>
        <w:t>validate these comparative safety findings.</w:t>
      </w:r>
    </w:p>
    <w:p w14:paraId="28B4614A" w14:textId="16C04484" w:rsidR="00A83070" w:rsidRPr="009C54EC" w:rsidRDefault="00AA22E6" w:rsidP="009C54EC">
      <w:pPr>
        <w:pStyle w:val="ListParagraph"/>
        <w:numPr>
          <w:ilvl w:val="0"/>
          <w:numId w:val="4"/>
        </w:numPr>
        <w:spacing w:line="480" w:lineRule="auto"/>
        <w:rPr>
          <w:rFonts w:ascii="Arial" w:hAnsi="Arial" w:cs="Arial"/>
          <w:sz w:val="22"/>
          <w:szCs w:val="22"/>
        </w:rPr>
        <w:sectPr w:rsidR="00A83070" w:rsidRPr="009C54EC" w:rsidSect="003A1C04">
          <w:headerReference w:type="even" r:id="rId9"/>
          <w:headerReference w:type="default" r:id="rId10"/>
          <w:pgSz w:w="12240" w:h="15840"/>
          <w:pgMar w:top="1440" w:right="1440" w:bottom="1440" w:left="1440" w:header="720" w:footer="720" w:gutter="0"/>
          <w:lnNumType w:countBy="1" w:restart="continuous"/>
          <w:pgNumType w:start="0"/>
          <w:cols w:space="720"/>
          <w:titlePg/>
          <w:docGrid w:linePitch="360"/>
        </w:sectPr>
      </w:pPr>
      <w:r w:rsidRPr="009C54EC">
        <w:rPr>
          <w:rFonts w:ascii="Arial" w:hAnsi="Arial" w:cs="Arial"/>
          <w:sz w:val="22"/>
          <w:szCs w:val="22"/>
        </w:rPr>
        <w:t xml:space="preserve">Medication discontinuation rates were high with both dronedarone and </w:t>
      </w:r>
      <w:proofErr w:type="gramStart"/>
      <w:r w:rsidRPr="009C54EC">
        <w:rPr>
          <w:rFonts w:ascii="Arial" w:hAnsi="Arial" w:cs="Arial"/>
          <w:sz w:val="22"/>
          <w:szCs w:val="22"/>
        </w:rPr>
        <w:t>sotalol</w:t>
      </w:r>
      <w:r w:rsidR="009C54EC" w:rsidRPr="009C54EC">
        <w:rPr>
          <w:rFonts w:ascii="Arial" w:hAnsi="Arial" w:cs="Arial"/>
          <w:sz w:val="22"/>
          <w:szCs w:val="22"/>
        </w:rPr>
        <w:t>, and</w:t>
      </w:r>
      <w:proofErr w:type="gramEnd"/>
      <w:r w:rsidR="009C54EC" w:rsidRPr="009C54EC">
        <w:rPr>
          <w:rFonts w:ascii="Arial" w:hAnsi="Arial" w:cs="Arial"/>
          <w:sz w:val="22"/>
          <w:szCs w:val="22"/>
        </w:rPr>
        <w:t xml:space="preserve"> may represent an area of focus for targeted interventions.</w:t>
      </w:r>
    </w:p>
    <w:p w14:paraId="51FB955A" w14:textId="77777777" w:rsidR="003B657B" w:rsidRDefault="003B657B" w:rsidP="003B657B">
      <w:pPr>
        <w:spacing w:line="480" w:lineRule="auto"/>
        <w:rPr>
          <w:rFonts w:ascii="Arial" w:hAnsi="Arial" w:cs="Arial"/>
          <w:b/>
          <w:bCs/>
          <w:sz w:val="22"/>
          <w:szCs w:val="22"/>
        </w:rPr>
      </w:pPr>
      <w:r>
        <w:rPr>
          <w:rFonts w:ascii="Arial" w:hAnsi="Arial" w:cs="Arial"/>
          <w:b/>
          <w:bCs/>
          <w:sz w:val="22"/>
          <w:szCs w:val="22"/>
        </w:rPr>
        <w:lastRenderedPageBreak/>
        <w:t>ABBREVIATIONS</w:t>
      </w:r>
    </w:p>
    <w:p w14:paraId="757031CE" w14:textId="77777777" w:rsidR="003B657B" w:rsidRDefault="003B657B" w:rsidP="003B657B">
      <w:pPr>
        <w:spacing w:line="480" w:lineRule="auto"/>
        <w:rPr>
          <w:rFonts w:ascii="Arial" w:hAnsi="Arial" w:cs="Arial"/>
          <w:sz w:val="22"/>
          <w:szCs w:val="22"/>
        </w:rPr>
      </w:pPr>
      <w:r>
        <w:rPr>
          <w:rFonts w:ascii="Arial" w:hAnsi="Arial" w:cs="Arial"/>
          <w:sz w:val="22"/>
          <w:szCs w:val="22"/>
        </w:rPr>
        <w:t>AAD: Anti-arrhythmic drug</w:t>
      </w:r>
    </w:p>
    <w:p w14:paraId="0035AAC0" w14:textId="43C3A5EB" w:rsidR="003B657B" w:rsidRDefault="003B657B" w:rsidP="003B657B">
      <w:pPr>
        <w:spacing w:line="480" w:lineRule="auto"/>
        <w:rPr>
          <w:rFonts w:ascii="Arial" w:hAnsi="Arial" w:cs="Arial"/>
          <w:sz w:val="22"/>
          <w:szCs w:val="22"/>
        </w:rPr>
      </w:pPr>
      <w:r>
        <w:rPr>
          <w:rFonts w:ascii="Arial" w:hAnsi="Arial" w:cs="Arial"/>
          <w:sz w:val="22"/>
          <w:szCs w:val="22"/>
        </w:rPr>
        <w:t>AF: Atrial fibrillation</w:t>
      </w:r>
    </w:p>
    <w:p w14:paraId="43C10ECC" w14:textId="408FC02F" w:rsidR="003B657B" w:rsidRDefault="003B657B" w:rsidP="003B657B">
      <w:pPr>
        <w:spacing w:line="480" w:lineRule="auto"/>
        <w:rPr>
          <w:rFonts w:ascii="Arial" w:hAnsi="Arial" w:cs="Arial"/>
          <w:sz w:val="22"/>
          <w:szCs w:val="22"/>
        </w:rPr>
      </w:pPr>
      <w:r>
        <w:rPr>
          <w:rFonts w:ascii="Arial" w:hAnsi="Arial" w:cs="Arial"/>
          <w:sz w:val="22"/>
          <w:szCs w:val="22"/>
        </w:rPr>
        <w:t>ICD: International Classification of Diseases</w:t>
      </w:r>
    </w:p>
    <w:p w14:paraId="109D6798" w14:textId="248FE1B4" w:rsidR="003B657B" w:rsidRDefault="003B657B" w:rsidP="003B657B">
      <w:pPr>
        <w:spacing w:line="480" w:lineRule="auto"/>
        <w:rPr>
          <w:rFonts w:ascii="Arial" w:hAnsi="Arial" w:cs="Arial"/>
          <w:b/>
          <w:bCs/>
          <w:sz w:val="22"/>
          <w:szCs w:val="22"/>
        </w:rPr>
      </w:pPr>
      <w:r>
        <w:rPr>
          <w:rFonts w:ascii="Arial" w:hAnsi="Arial" w:cs="Arial"/>
          <w:sz w:val="22"/>
          <w:szCs w:val="22"/>
        </w:rPr>
        <w:t>VA: Veterans Health Administration</w:t>
      </w:r>
      <w:r>
        <w:rPr>
          <w:rFonts w:ascii="Arial" w:hAnsi="Arial" w:cs="Arial"/>
          <w:b/>
          <w:bCs/>
          <w:sz w:val="22"/>
          <w:szCs w:val="22"/>
        </w:rPr>
        <w:br w:type="page"/>
      </w:r>
    </w:p>
    <w:p w14:paraId="750FB879" w14:textId="5B81761F" w:rsidR="00D405B9" w:rsidRPr="006D74F4" w:rsidRDefault="00A83070" w:rsidP="00D405B9">
      <w:pPr>
        <w:spacing w:line="480" w:lineRule="auto"/>
        <w:rPr>
          <w:rFonts w:ascii="Arial" w:hAnsi="Arial" w:cs="Arial"/>
          <w:sz w:val="22"/>
          <w:szCs w:val="22"/>
        </w:rPr>
      </w:pPr>
      <w:r w:rsidRPr="006D74F4">
        <w:rPr>
          <w:rFonts w:ascii="Arial" w:hAnsi="Arial" w:cs="Arial"/>
          <w:b/>
          <w:bCs/>
          <w:sz w:val="22"/>
          <w:szCs w:val="22"/>
        </w:rPr>
        <w:lastRenderedPageBreak/>
        <w:t>INTRODUCTION</w:t>
      </w:r>
    </w:p>
    <w:p w14:paraId="3AE4C9F7" w14:textId="2F518C61" w:rsidR="0090127A" w:rsidRDefault="0090127A" w:rsidP="00D405B9">
      <w:pPr>
        <w:spacing w:line="480" w:lineRule="auto"/>
        <w:rPr>
          <w:rFonts w:ascii="Arial" w:hAnsi="Arial" w:cs="Arial"/>
          <w:sz w:val="22"/>
          <w:szCs w:val="22"/>
        </w:rPr>
      </w:pPr>
      <w:r w:rsidRPr="006D74F4">
        <w:rPr>
          <w:rFonts w:ascii="Arial" w:hAnsi="Arial" w:cs="Arial"/>
          <w:sz w:val="22"/>
          <w:szCs w:val="22"/>
        </w:rPr>
        <w:t>Atrial fibrillation</w:t>
      </w:r>
      <w:r w:rsidR="009C374E" w:rsidRPr="006D74F4">
        <w:rPr>
          <w:rFonts w:ascii="Arial" w:hAnsi="Arial" w:cs="Arial"/>
          <w:sz w:val="22"/>
          <w:szCs w:val="22"/>
        </w:rPr>
        <w:t xml:space="preserve"> (AF)</w:t>
      </w:r>
      <w:r w:rsidRPr="006D74F4">
        <w:rPr>
          <w:rFonts w:ascii="Arial" w:hAnsi="Arial" w:cs="Arial"/>
          <w:sz w:val="22"/>
          <w:szCs w:val="22"/>
        </w:rPr>
        <w:t xml:space="preserve"> is the most common </w:t>
      </w:r>
      <w:r w:rsidR="009C4828" w:rsidRPr="006D74F4">
        <w:rPr>
          <w:rFonts w:ascii="Arial" w:hAnsi="Arial" w:cs="Arial"/>
          <w:sz w:val="22"/>
          <w:szCs w:val="22"/>
        </w:rPr>
        <w:t xml:space="preserve">sustained </w:t>
      </w:r>
      <w:r w:rsidRPr="006D74F4">
        <w:rPr>
          <w:rFonts w:ascii="Arial" w:hAnsi="Arial" w:cs="Arial"/>
          <w:sz w:val="22"/>
          <w:szCs w:val="22"/>
        </w:rPr>
        <w:t xml:space="preserve">cardiac arrhythmia, affecting more than 6 million </w:t>
      </w:r>
      <w:r w:rsidR="009C374E" w:rsidRPr="006D74F4">
        <w:rPr>
          <w:rFonts w:ascii="Arial" w:hAnsi="Arial" w:cs="Arial"/>
          <w:sz w:val="22"/>
          <w:szCs w:val="22"/>
        </w:rPr>
        <w:t>American adults and</w:t>
      </w:r>
      <w:r w:rsidR="002E7657" w:rsidRPr="006D74F4">
        <w:rPr>
          <w:rFonts w:ascii="Arial" w:hAnsi="Arial" w:cs="Arial"/>
          <w:sz w:val="22"/>
          <w:szCs w:val="22"/>
        </w:rPr>
        <w:t xml:space="preserve"> more than 44 million individuals worldwide</w:t>
      </w:r>
      <w:r w:rsidR="009C374E" w:rsidRPr="006D74F4">
        <w:rPr>
          <w:rFonts w:ascii="Arial" w:hAnsi="Arial" w:cs="Arial"/>
          <w:sz w:val="22"/>
          <w:szCs w:val="22"/>
        </w:rPr>
        <w:t>.</w:t>
      </w:r>
      <w:r w:rsidR="00F25828" w:rsidRPr="006D74F4">
        <w:rPr>
          <w:rFonts w:ascii="Arial" w:hAnsi="Arial" w:cs="Arial"/>
          <w:sz w:val="22"/>
          <w:szCs w:val="22"/>
        </w:rPr>
        <w:fldChar w:fldCharType="begin"/>
      </w:r>
      <w:r w:rsidR="00F25828" w:rsidRPr="006D74F4">
        <w:rPr>
          <w:rFonts w:ascii="Arial" w:hAnsi="Arial" w:cs="Arial"/>
          <w:sz w:val="22"/>
          <w:szCs w:val="22"/>
        </w:rPr>
        <w:instrText xml:space="preserve"> ADDIN ZOTERO_ITEM CSL_CITATION {"citationID":"aznO6Hrv","properties":{"formattedCitation":"\\super 1,2\\nosupersub{}","plainCitation":"1,2","noteIndex":0},"citationItems":[{"id":214,"uris":["http://zotero.org/users/9045539/items/NNRT4TF5"],"itemData":{"id":214,"type":"article-journal","abstract":"Background:\n              The American Heart Association, in conjunction with the National Institutes of Health, annually reports the most up-to-date statistics related to heart disease, stroke, and cardiovascular risk factors, including core health behaviors (smoking, physical activity, diet, and weight) and health factors (cholesterol, blood pressure, and glucose control) that contribute to cardiovascular health. The Statistical Update presents the latest data on a range of major clinical heart and circulatory disease conditions (including stroke, congenital heart disease, rhythm disorders, subclinical atherosclerosis, coronary heart disease, heart failure, valvular disease, venous disease, and peripheral artery disease) and the associated outcomes (including quality of care, procedures, and economic costs).\n            \n            \n              Methods:\n              The American Heart Association, through its Statistics Committee, continuously monitors and evaluates sources of data on heart disease and stroke in the United States to provide the most current information available in the annual Statistical Update. The 2022 Statistical Update is the product of a full year’s worth of effort by dedicated volunteer clinicians and scientists, committed government professionals, and American Heart Association staff members. This year’s edition includes data on the monitoring and benefits of cardiovascular health in the population and an enhanced focus on social determinants of health, adverse pregnancy outcomes, vascular contributions to brain health, and the global burden of cardiovascular disease and healthy life expectancy.\n            \n            \n              Results:\n              Each of the chapters in the Statistical Update focuses on a different topic related to heart disease and stroke statistics.\n            \n            \n              Conclusions:\n              The Statistical Update represents a critical resource for the lay public, policymakers, media professionals, clinicians, health care administrators, researchers, health advocates, and others seeking the best available data on these factors and conditions.","container-title":"Circulation","DOI":"10.1161/CIR.0000000000001052","ISSN":"0009-7322, 1524-4539","issue":"8","journalAbbreviation":"Circulation","language":"en","source":"DOI.org (Crossref)","title":"Heart Disease and Stroke Statistics—2022 Update: A Report From the American Heart Association","title-short":"Heart Disease and Stroke Statistics—2022 Update","URL":"https://www.ahajournals.org/doi/10.1161/CIR.0000000000001052","volume":"145","author":[{"family":"Tsao","given":"Connie W."},{"family":"Aday","given":"Aaron W."},{"family":"Almarzooq","given":"Zaid I."},{"family":"Alonso","given":"Alvaro"},{"family":"Beaton","given":"Andrea Z."},{"family":"Bittencourt","given":"Marcio S."},{"family":"Boehme","given":"Amelia K."},{"family":"Buxton","given":"Alfred E."},{"family":"Carson","given":"April P."},{"family":"Commodore-Mensah","given":"Yvonne"},{"family":"Elkind","given":"Mitchell S.V."},{"family":"Evenson","given":"Kelly R."},{"family":"Eze-Nliam","given":"Chete"},{"family":"Ferguson","given":"Jane F."},{"family":"Generoso","given":"Giuliano"},{"family":"Ho","given":"Jennifer E."},{"family":"Kalani","given":"Rizwan"},{"family":"Khan","given":"Sadiya S."},{"family":"Kissela","given":"Brett M."},{"family":"Knutson","given":"Kristen L."},{"family":"Levine","given":"Deborah A."},{"family":"Lewis","given":"Tené T."},{"family":"Liu","given":"Junxiu"},{"family":"Loop","given":"Matthew Shane"},{"family":"Ma","given":"Jun"},{"family":"Mussolino","given":"Michael E."},{"family":"Navaneethan","given":"Sankar D."},{"family":"Perak","given":"Amanda Marma"},{"family":"Poudel","given":"Remy"},{"family":"Rezk-Hanna","given":"Mary"},{"family":"Roth","given":"Gregory A."},{"family":"Schroeder","given":"Emily B."},{"family":"Shah","given":"Svati H."},{"family":"Thacker","given":"Evan L."},{"family":"VanWagner","given":"Lisa B."},{"family":"Virani","given":"Salim S."},{"family":"Voecks","given":"Jenifer H."},{"family":"Wang","given":"Nae-Yuh"},{"family":"Yaffe","given":"Kristine"},{"family":"Martin","given":"Seth S."},{"literal":"on behalf of the American Heart Association Council on Epidemiology and Prevention Statistics Committee and Stroke Statistics Subcommittee"}],"accessed":{"date-parts":[["2022",4,25]]},"issued":{"date-parts":[["2022",2,22]]}}},{"id":340,"uris":["http://zotero.org/users/9045539/items/KAJ8YAW2"],"itemData":{"id":340,"type":"article-journal","container-title":"European Heart Journal","DOI":"10.1093/eurheartj/ehaa612","ISSN":"0195-668X, 1522-9645","issue":"5","language":"en","page":"373-498","source":"DOI.org (Crossref)","title":"2020 ESC Guidelines for the diagnosis and management of atrial fibrillation developed in collaboration with the European Association for Cardio-Thoracic Surgery (EACTS)","volume":"42","author":[{"family":"Hindricks","given":"Gerhard"},{"family":"Potpara","given":"Tatjana"},{"family":"Dagres","given":"Nikolaos"},{"family":"Arbelo","given":"Elena"},{"family":"Bax","given":"Jeroen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J"},{"family":"Thomas","given":"G Neil"},{"family":"Valgimigli","given":"Marco"},{"family":"Van Gelder","given":"Isabelle C"},{"family":"Van Putte","given":"Bart P"},{"family":"Watkins","given":"Caroline L"},{"literal":"ESC Scientific Document Group"},{"family":"Kirchhof","given":"Paulus"},{"family":"Kühne","given":"Michael"},{"family":"Aboyans","given":"Victor"},{"family":"Ahlsson","given":"Anders"},{"family":"Balsam","given":"Pawel"},{"family":"Bauersachs","given":"Johann"},{"family":"Benussi","given":"Stefano"},{"family":"Brandes","given":"Axel"},{"family":"Braunschweig","given":"Frieder"},{"family":"Camm","given":"A John"},{"family":"Capodanno","given":"Davide"},{"family":"Casadei","given":"Barbara"},{"family":"Conen","given":"David"},{"family":"Crijns","given":"Harry J G M"},{"family":"Delgado","given":"Victoria"},{"family":"Dobrev","given":"Dobromir"},{"family":"Drexel","given":"Heinz"},{"family":"Eckardt","given":"Lars"},{"family":"Fitzsimons","given":"Donna"},{"family":"Folliguet","given":"Thierry"},{"family":"Gale","given":"Chris P"},{"family":"Gorenek","given":"Bulent"},{"family":"Haeusler","given":"Karl Georg"},{"family":"Heidbuchel","given":"Hein"},{"family":"Iung","given":"Bernard"},{"family":"Katus","given":"Hugo A"},{"family":"Kotecha","given":"Dipak"},{"family":"Landmesser","given":"Ulf"},{"family":"Leclercq","given":"Christophe"},{"family":"Lewis","given":"Basil S"},{"family":"Mascherbauer","given":"Julia"},{"family":"Merino","given":"Jose Luis"},{"family":"Merkely","given":"Béla"},{"family":"Mont","given":"Lluís"},{"family":"Mueller","given":"Christian"},{"family":"Nagy","given":"Klaudia V"},{"family":"Oldgren","given":"Jonas"},{"family":"Pavlović","given":"Nikola"},{"family":"Pedretti","given":"Roberto F E"},{"family":"Petersen","given":"Steffen E"},{"family":"Piccini","given":"Jonathan P"},{"family":"Popescu","given":"Bogdan A"},{"family":"Pürerfellner","given":"Helmut"},{"family":"Richter","given":"Dimitrios J"},{"family":"Roffi","given":"Marco"},{"family":"Rubboli","given":"Andrea"},{"family":"Scherr","given":"Daniel"},{"family":"Schnabel","given":"Renate B"},{"family":"Simpson","given":"Iain A"},{"family":"Shlyakhto","given":"Evgeny"},{"family":"Sinner","given":"Moritz F"},{"family":"Steffel","given":"Jan"},{"family":"Sousa-Uva","given":"Miguel"},{"family":"Suwalski","given":"Piotr"},{"family":"Svetlosak","given":"Martin"},{"family":"Touyz","given":"Rhian M"},{"family":"Dagres","given":"Nikolaos"},{"family":"Arbelo","given":"Elena"},{"family":"Bax","given":"Jeroen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J"},{"family":"Neil Thomas","given":"G"},{"family":"Valgimigli","given":"Marco"},{"family":"Van Gelder","given":"Isabelle C"},{"family":"Watkins","given":"Caroline L"},{"family":"Delassi","given":"Tahar"},{"family":"Sisakian","given":"Hamayak S"},{"family":"Scherr","given":"Daniel"},{"family":"Chasnoits","given":"Alexandr"},{"family":"Pauw","given":"Michel De"},{"family":"Smajić","given":"Elnur"},{"family":"Shalganov","given":"Tchavdar"},{"family":"Avraamides","given":"Panayiotis"},{"family":"Kautzner","given":"Josef"},{"family":"Gerdes","given":"Christian"},{"family":"Alaziz","given":"Ahmad Abd"},{"family":"Kampus","given":"Priit"},{"family":"Raatikainen","given":"Pekka"},{"family":"Boveda","given":"Serge"},{"family":"Papiashvili","given":"Giorgi"},{"family":"Eckardt","given":"Lars"},{"family":"Vassilikos","given":"Vassilios"},{"family":"Csanádi","given":"Zoltán"},{"family":"Arnar","given":"David O"},{"family":"Galvin","given":"Joseph"},{"family":"Barsheshet","given":"Alon"},{"family":"Caldarola","given":"Pasquale"},{"family":"Rakisheva","given":"Amina"},{"family":"Bytyçi","given":"Ibadete"},{"family":"Kerimkulova","given":"Alina"},{"family":"Kalejs","given":"Oskars"},{"family":"Njeim","given":"Mario"},{"family":"Puodziukynas","given":"Aras"},{"family":"Groben","given":"Laurent"},{"family":"Sammut","given":"Mark A"},{"family":"Grosu","given":"Aurel"},{"family":"Boskovic","given":"Aneta"},{"family":"Moustaghfir","given":"Abdelhamid"},{"family":"Groot","given":"Natasja","dropping-particle":"de"},{"family":"Poposka","given":"Lidija"},{"family":"Anfinsen","given":"Ole-Gunnar"},{"family":"Mitkowski","given":"Przemyslaw P"},{"family":"Cavaco","given":"Diogo Magalhães"},{"family":"Siliste","given":"Calin"},{"family":"Mikhaylov","given":"Evgeny N"},{"family":"Bertelli","given":"Luca"},{"family":"Kojic","given":"Dejan"},{"family":"Hatala","given":"Robert"},{"family":"Fras","given":"Zlatko"},{"family":"Arribas","given":"Fernando"},{"family":"Juhlin","given":"Tord"},{"family":"Sticherling","given":"Christian"},{"family":"Abid","given":"Leila"},{"family":"Atar","given":"Ilyas"},{"family":"Sychov","given":"Oleg"},{"family":"Bates","given":"Matthew G D"},{"family":"Zakirov","given":"Nodir U"}],"issued":{"date-parts":[["2021",2,1]]}}}],"schema":"https://github.com/citation-style-language/schema/raw/master/csl-citation.json"} </w:instrText>
      </w:r>
      <w:r w:rsidR="00F25828" w:rsidRPr="006D74F4">
        <w:rPr>
          <w:rFonts w:ascii="Arial" w:hAnsi="Arial" w:cs="Arial"/>
          <w:sz w:val="22"/>
          <w:szCs w:val="22"/>
        </w:rPr>
        <w:fldChar w:fldCharType="separate"/>
      </w:r>
      <w:r w:rsidR="00F25828" w:rsidRPr="006D74F4">
        <w:rPr>
          <w:rFonts w:ascii="Arial" w:hAnsi="Arial" w:cs="Arial"/>
          <w:sz w:val="22"/>
          <w:vertAlign w:val="superscript"/>
        </w:rPr>
        <w:t>1,2</w:t>
      </w:r>
      <w:r w:rsidR="00F25828" w:rsidRPr="006D74F4">
        <w:rPr>
          <w:rFonts w:ascii="Arial" w:hAnsi="Arial" w:cs="Arial"/>
          <w:sz w:val="22"/>
          <w:szCs w:val="22"/>
        </w:rPr>
        <w:fldChar w:fldCharType="end"/>
      </w:r>
      <w:r w:rsidR="009C374E" w:rsidRPr="006D74F4">
        <w:rPr>
          <w:rFonts w:ascii="Arial" w:hAnsi="Arial" w:cs="Arial"/>
          <w:sz w:val="22"/>
          <w:szCs w:val="22"/>
        </w:rPr>
        <w:t xml:space="preserve"> </w:t>
      </w:r>
      <w:r w:rsidR="00255B18" w:rsidRPr="006D74F4">
        <w:rPr>
          <w:rFonts w:ascii="Arial" w:hAnsi="Arial" w:cs="Arial"/>
          <w:sz w:val="22"/>
          <w:szCs w:val="22"/>
        </w:rPr>
        <w:t>The primary goals of AF therapy include</w:t>
      </w:r>
      <w:r w:rsidR="009C374E" w:rsidRPr="006D74F4">
        <w:rPr>
          <w:rFonts w:ascii="Arial" w:hAnsi="Arial" w:cs="Arial"/>
          <w:sz w:val="22"/>
          <w:szCs w:val="22"/>
        </w:rPr>
        <w:t xml:space="preserve"> </w:t>
      </w:r>
      <w:r w:rsidR="00255B18" w:rsidRPr="006D74F4">
        <w:rPr>
          <w:rFonts w:ascii="Arial" w:hAnsi="Arial" w:cs="Arial"/>
          <w:sz w:val="22"/>
          <w:szCs w:val="22"/>
        </w:rPr>
        <w:t xml:space="preserve">(1) </w:t>
      </w:r>
      <w:r w:rsidR="009C374E" w:rsidRPr="006D74F4">
        <w:rPr>
          <w:rFonts w:ascii="Arial" w:hAnsi="Arial" w:cs="Arial"/>
          <w:sz w:val="22"/>
          <w:szCs w:val="22"/>
        </w:rPr>
        <w:t>preventing ischemic stroke with oral anticoagulation</w:t>
      </w:r>
      <w:r w:rsidR="00E549AE" w:rsidRPr="006D74F4">
        <w:rPr>
          <w:rFonts w:ascii="Arial" w:hAnsi="Arial" w:cs="Arial"/>
          <w:sz w:val="22"/>
          <w:szCs w:val="22"/>
        </w:rPr>
        <w:t xml:space="preserve">, </w:t>
      </w:r>
      <w:r w:rsidR="00255B18" w:rsidRPr="006D74F4">
        <w:rPr>
          <w:rFonts w:ascii="Arial" w:hAnsi="Arial" w:cs="Arial"/>
          <w:sz w:val="22"/>
          <w:szCs w:val="22"/>
        </w:rPr>
        <w:t>(2) reducing the risk of heart failure or hospitalization</w:t>
      </w:r>
      <w:r w:rsidR="00E549AE" w:rsidRPr="006D74F4">
        <w:rPr>
          <w:rFonts w:ascii="Arial" w:hAnsi="Arial" w:cs="Arial"/>
          <w:sz w:val="22"/>
          <w:szCs w:val="22"/>
        </w:rPr>
        <w:t xml:space="preserve"> </w:t>
      </w:r>
      <w:r w:rsidR="00255B18" w:rsidRPr="006D74F4">
        <w:rPr>
          <w:rFonts w:ascii="Arial" w:hAnsi="Arial" w:cs="Arial"/>
          <w:sz w:val="22"/>
          <w:szCs w:val="22"/>
        </w:rPr>
        <w:t xml:space="preserve">as a result of </w:t>
      </w:r>
      <w:r w:rsidR="009C4828" w:rsidRPr="006D74F4">
        <w:rPr>
          <w:rFonts w:ascii="Arial" w:hAnsi="Arial" w:cs="Arial"/>
          <w:sz w:val="22"/>
          <w:szCs w:val="22"/>
        </w:rPr>
        <w:t>AF</w:t>
      </w:r>
      <w:r w:rsidR="00E549AE" w:rsidRPr="006D74F4">
        <w:rPr>
          <w:rFonts w:ascii="Arial" w:hAnsi="Arial" w:cs="Arial"/>
          <w:sz w:val="22"/>
          <w:szCs w:val="22"/>
        </w:rPr>
        <w:t>, and (3) improving quality of life</w:t>
      </w:r>
      <w:r w:rsidR="009C374E" w:rsidRPr="006D74F4">
        <w:rPr>
          <w:rFonts w:ascii="Arial" w:hAnsi="Arial" w:cs="Arial"/>
          <w:sz w:val="22"/>
          <w:szCs w:val="22"/>
        </w:rPr>
        <w:t>.</w:t>
      </w:r>
      <w:r w:rsidR="009C374E" w:rsidRPr="006D74F4">
        <w:rPr>
          <w:rFonts w:ascii="Arial" w:hAnsi="Arial" w:cs="Arial"/>
          <w:sz w:val="22"/>
          <w:szCs w:val="22"/>
        </w:rPr>
        <w:fldChar w:fldCharType="begin"/>
      </w:r>
      <w:r w:rsidR="00F25828" w:rsidRPr="006D74F4">
        <w:rPr>
          <w:rFonts w:ascii="Arial" w:hAnsi="Arial" w:cs="Arial"/>
          <w:sz w:val="22"/>
          <w:szCs w:val="22"/>
        </w:rPr>
        <w:instrText xml:space="preserve"> ADDIN ZOTERO_ITEM CSL_CITATION {"citationID":"0G2N721d","properties":{"formattedCitation":"\\super 3\\nosupersub{}","plainCitation":"3","noteIndex":0},"citationItems":[{"id":241,"uris":["http://zotero.org/users/9045539/items/UN8CTPD9"],"itemData":{"id":241,"type":"article-journal","container-title":"Circulation","DOI":"10.1161/CIR.0000000000000665","ISSN":"0009-7322, 1524-4539","issue":"2","journalAbbreviation":"Circulation","language":"en","source":"DOI.org (Crossref)","title":"2019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Surgeons","title-short":"2019 AHA/ACC/HRS Focused Update of the 2014 AHA/ACC/HRS Guideline for the Management of Patients With Atrial Fibrillation","URL":"https://www.ahajournals.org/doi/10.1161/CIR.0000000000000665","volume":"140","author":[{"family":"January","given":"Craig T."},{"family":"Wann","given":"L. Samuel"},{"family":"Calkins","given":"Hugh"},{"family":"Chen","given":"Lin Y."},{"family":"Cigarroa","given":"Joaquin E."},{"family":"Cleveland","given":"Joseph C."},{"family":"Ellinor","given":"Patrick T."},{"family":"Ezekowitz","given":"Michael D."},{"family":"Field","given":"Michael E."},{"family":"Furie","given":"Karen L."},{"family":"Heidenreich","given":"Paul A."},{"family":"Murray","given":"Katherine T."},{"family":"Shea","given":"Julie B."},{"family":"Tracy","given":"Cynthia M."},{"family":"Yancy","given":"Clyde W."}],"accessed":{"date-parts":[["2022",6,5]]},"issued":{"date-parts":[["2019",7,9]]}}}],"schema":"https://github.com/citation-style-language/schema/raw/master/csl-citation.json"} </w:instrText>
      </w:r>
      <w:r w:rsidR="009C374E" w:rsidRPr="006D74F4">
        <w:rPr>
          <w:rFonts w:ascii="Arial" w:hAnsi="Arial" w:cs="Arial"/>
          <w:sz w:val="22"/>
          <w:szCs w:val="22"/>
        </w:rPr>
        <w:fldChar w:fldCharType="separate"/>
      </w:r>
      <w:r w:rsidR="00F25828" w:rsidRPr="006D74F4">
        <w:rPr>
          <w:rFonts w:ascii="Arial" w:hAnsi="Arial" w:cs="Arial"/>
          <w:sz w:val="22"/>
          <w:vertAlign w:val="superscript"/>
        </w:rPr>
        <w:t>3</w:t>
      </w:r>
      <w:r w:rsidR="009C374E" w:rsidRPr="006D74F4">
        <w:rPr>
          <w:rFonts w:ascii="Arial" w:hAnsi="Arial" w:cs="Arial"/>
          <w:sz w:val="22"/>
          <w:szCs w:val="22"/>
        </w:rPr>
        <w:fldChar w:fldCharType="end"/>
      </w:r>
      <w:r w:rsidR="002E7657" w:rsidRPr="006D74F4">
        <w:rPr>
          <w:rFonts w:ascii="Arial" w:hAnsi="Arial" w:cs="Arial"/>
          <w:sz w:val="22"/>
          <w:szCs w:val="22"/>
        </w:rPr>
        <w:t xml:space="preserve"> While </w:t>
      </w:r>
      <w:r w:rsidR="001E499C" w:rsidRPr="006D74F4">
        <w:rPr>
          <w:rFonts w:ascii="Arial" w:hAnsi="Arial" w:cs="Arial"/>
          <w:sz w:val="22"/>
          <w:szCs w:val="22"/>
        </w:rPr>
        <w:t>early</w:t>
      </w:r>
      <w:r w:rsidR="002E7657" w:rsidRPr="006D74F4">
        <w:rPr>
          <w:rFonts w:ascii="Arial" w:hAnsi="Arial" w:cs="Arial"/>
          <w:sz w:val="22"/>
          <w:szCs w:val="22"/>
        </w:rPr>
        <w:t xml:space="preserve"> studies </w:t>
      </w:r>
      <w:r w:rsidR="001E499C" w:rsidRPr="006D74F4">
        <w:rPr>
          <w:rFonts w:ascii="Arial" w:hAnsi="Arial" w:cs="Arial"/>
          <w:sz w:val="22"/>
          <w:szCs w:val="22"/>
        </w:rPr>
        <w:t>suggested</w:t>
      </w:r>
      <w:r w:rsidR="002E7657" w:rsidRPr="006D74F4">
        <w:rPr>
          <w:rFonts w:ascii="Arial" w:hAnsi="Arial" w:cs="Arial"/>
          <w:sz w:val="22"/>
          <w:szCs w:val="22"/>
        </w:rPr>
        <w:t xml:space="preserve"> that rate and rhythm control approaches were equivalent,</w:t>
      </w:r>
      <w:r w:rsidR="001E499C" w:rsidRPr="006D74F4">
        <w:rPr>
          <w:rFonts w:ascii="Arial" w:hAnsi="Arial" w:cs="Arial"/>
          <w:sz w:val="22"/>
          <w:szCs w:val="22"/>
        </w:rPr>
        <w:fldChar w:fldCharType="begin"/>
      </w:r>
      <w:r w:rsidR="001E499C" w:rsidRPr="006D74F4">
        <w:rPr>
          <w:rFonts w:ascii="Arial" w:hAnsi="Arial" w:cs="Arial"/>
          <w:sz w:val="22"/>
          <w:szCs w:val="22"/>
        </w:rPr>
        <w:instrText xml:space="preserve"> ADDIN ZOTERO_ITEM CSL_CITATION {"citationID":"sjl8OvYM","properties":{"formattedCitation":"\\super 4\\nosupersub{}","plainCitation":"4","noteIndex":0},"citationItems":[{"id":344,"uris":["http://zotero.org/users/9045539/items/GEYXSLFK"],"itemData":{"id":344,"type":"article-journal","container-title":"Circulation","DOI":"10.1161/CIR.0000000000000040","ISSN":"1524-4539","issue":"23","journalAbbreviation":"Circulation","language":"eng","note":"PMID: 24682348","page":"2071-2104","source":"PubMed","title":"2014 AHA/ACC/HRS guideline for the management of patients with atrial fibrillation: executive summary: a report of the American College of Cardiology/American Heart Association Task Force on practice guidelines and the Heart Rhythm Society","title-short":"2014 AHA/ACC/HRS guideline for the management of patients with atrial fibrillation","volume":"130","author":[{"family":"January","given":"Craig T."},{"family":"Wann","given":"L. Samuel"},{"family":"Alpert","given":"Joseph S."},{"family":"Calkins","given":"Hugh"},{"family":"Cigarroa","given":"Joaquin E."},{"family":"Cleveland","given":"Joseph C."},{"family":"Conti","given":"Jamie B."},{"family":"Ellinor","given":"Patrick T."},{"family":"Ezekowitz","given":"Michael D."},{"family":"Field","given":"Michael E."},{"family":"Murray","given":"Katherine T."},{"family":"Sacco","given":"Ralph L."},{"family":"Stevenson","given":"William G."},{"family":"Tchou","given":"Patrick J."},{"family":"Tracy","given":"Cynthia M."},{"family":"Yancy","given":"Clyde W."},{"literal":"ACC/AHA Task Force Members"}],"issued":{"date-parts":[["2014",12,2]]}}}],"schema":"https://github.com/citation-style-language/schema/raw/master/csl-citation.json"} </w:instrText>
      </w:r>
      <w:r w:rsidR="001E499C" w:rsidRPr="006D74F4">
        <w:rPr>
          <w:rFonts w:ascii="Arial" w:hAnsi="Arial" w:cs="Arial"/>
          <w:sz w:val="22"/>
          <w:szCs w:val="22"/>
        </w:rPr>
        <w:fldChar w:fldCharType="separate"/>
      </w:r>
      <w:r w:rsidR="001E499C" w:rsidRPr="006D74F4">
        <w:rPr>
          <w:rFonts w:ascii="Arial" w:hAnsi="Arial" w:cs="Arial"/>
          <w:sz w:val="22"/>
          <w:vertAlign w:val="superscript"/>
        </w:rPr>
        <w:t>4</w:t>
      </w:r>
      <w:r w:rsidR="001E499C" w:rsidRPr="006D74F4">
        <w:rPr>
          <w:rFonts w:ascii="Arial" w:hAnsi="Arial" w:cs="Arial"/>
          <w:sz w:val="22"/>
          <w:szCs w:val="22"/>
        </w:rPr>
        <w:fldChar w:fldCharType="end"/>
      </w:r>
      <w:r w:rsidR="00F25828" w:rsidRPr="006D74F4">
        <w:rPr>
          <w:rFonts w:ascii="Arial" w:hAnsi="Arial" w:cs="Arial"/>
          <w:sz w:val="22"/>
          <w:szCs w:val="22"/>
        </w:rPr>
        <w:t xml:space="preserve"> </w:t>
      </w:r>
      <w:r w:rsidR="001E499C" w:rsidRPr="006D74F4">
        <w:rPr>
          <w:rFonts w:ascii="Arial" w:hAnsi="Arial" w:cs="Arial"/>
          <w:sz w:val="22"/>
          <w:szCs w:val="22"/>
        </w:rPr>
        <w:t>contemporary</w:t>
      </w:r>
      <w:r w:rsidR="00F25828" w:rsidRPr="006D74F4">
        <w:rPr>
          <w:rFonts w:ascii="Arial" w:hAnsi="Arial" w:cs="Arial"/>
          <w:sz w:val="22"/>
          <w:szCs w:val="22"/>
        </w:rPr>
        <w:t xml:space="preserve"> studies</w:t>
      </w:r>
      <w:r w:rsidR="006D74F4">
        <w:rPr>
          <w:rFonts w:ascii="Arial" w:hAnsi="Arial" w:cs="Arial"/>
          <w:sz w:val="22"/>
          <w:szCs w:val="22"/>
        </w:rPr>
        <w:t xml:space="preserve"> with modern anti-arrhythmic drugs (AADs) and less concomitant digoxin use</w:t>
      </w:r>
      <w:r w:rsidR="006D74F4">
        <w:rPr>
          <w:rFonts w:ascii="Arial" w:hAnsi="Arial" w:cs="Arial"/>
          <w:sz w:val="22"/>
          <w:szCs w:val="22"/>
        </w:rPr>
        <w:fldChar w:fldCharType="begin"/>
      </w:r>
      <w:r w:rsidR="006D74F4">
        <w:rPr>
          <w:rFonts w:ascii="Arial" w:hAnsi="Arial" w:cs="Arial"/>
          <w:sz w:val="22"/>
          <w:szCs w:val="22"/>
        </w:rPr>
        <w:instrText xml:space="preserve"> ADDIN ZOTERO_ITEM CSL_CITATION {"citationID":"1yvCZtfF","properties":{"formattedCitation":"\\super 5\\nosupersub{}","plainCitation":"5","noteIndex":0},"citationItems":[{"id":306,"uris":["http://zotero.org/users/9045539/items/F3NI2J6G"],"itemData":{"id":306,"type":"article-journal","abstract":"BACKGROUND: Despite endorsement of digoxin in clinical practice guidelines, there exist limited data on its safety in atrial fibrillation/flutter (AF).\nOBJECTIVES: The goal of this study was to evaluate the association of digoxin with mortality in AF.\nMETHODS: Using complete data of the TREAT-AF (The Retrospective Evaluation and Assessment of Therapies in AF) study from the U.S. Department of Veterans Affairs (VA) healthcare system, we identified patients with newly diagnosed, nonvalvular AF seen within 90 days in an outpatient setting between VA fiscal years 2004 and 2008. We used multivariate and propensity-matched Cox proportional hazards to evaluate the association of digoxin use with death. Residual confounding was assessed by sensitivity analysis.\nRESULTS: Of 122,465 patients with 353,168 person-years of follow-up (age 72.1 ± 10.3 years, 98.4% male), 28,679 (23.4%) patients received digoxin. Cumulative mortality rates were higher for digoxin-treated patients than for untreated patients (95 vs. 67 per 1,000 person-years; p &lt; 0.001). Digoxin use was independently associated with mortality after multivariate adjustment (hazard ratio [HR]: 1.26, 95% confidence interval [CI]: 1.23 to 1.29, p &lt; 0.001) and propensity matching (HR: 1.21, 95% CI: 1.17 to 1.25, p &lt; 0.001), even after adjustment for drug adherence. The risk of death was not modified by age, sex, heart failure, kidney function, or concomitant use of beta-blockers, amiodarone, or warfarin.\nCONCLUSIONS: Digoxin was associated with increased risk of death in patients with newly diagnosed AF, independent of drug adherence, kidney function, cardiovascular comorbidities, and concomitant therapies. These findings challenge current cardiovascular society recommendations on use of digoxin in AF.","container-title":"Journal of the American College of Cardiology","DOI":"10.1016/j.jacc.2014.03.060","ISSN":"1558-3597","issue":"7","journalAbbreviation":"J Am Coll Cardiol","language":"eng","note":"PMID: 25125296\nPMCID: PMC4405246","page":"660-668","source":"PubMed","title":"Increased mortality associated with digoxin in contemporary patients with atrial fibrillation: findings from the TREAT-AF study","title-short":"Increased mortality associated with digoxin in contemporary patients with atrial fibrillation","volume":"64","author":[{"family":"Turakhia","given":"Mintu P."},{"family":"Santangeli","given":"Pasquale"},{"family":"Winkelmayer","given":"Wolfgang C."},{"family":"Xu","given":"Xiangyan"},{"family":"Ullal","given":"Aditya J."},{"family":"Than","given":"Claire T."},{"family":"Schmitt","given":"Susan"},{"family":"Holmes","given":"Tyson H."},{"family":"Frayne","given":"Susan M."},{"family":"Phibbs","given":"Ciaran S."},{"family":"Yang","given":"Felix"},{"family":"Hoang","given":"Donald D."},{"family":"Ho","given":"P. Michael"},{"family":"Heidenreich","given":"Paul A."}],"issued":{"date-parts":[["2014",8,19]]}}}],"schema":"https://github.com/citation-style-language/schema/raw/master/csl-citation.json"} </w:instrText>
      </w:r>
      <w:r w:rsidR="006D74F4">
        <w:rPr>
          <w:rFonts w:ascii="Arial" w:hAnsi="Arial" w:cs="Arial"/>
          <w:sz w:val="22"/>
          <w:szCs w:val="22"/>
        </w:rPr>
        <w:fldChar w:fldCharType="separate"/>
      </w:r>
      <w:r w:rsidR="006D74F4" w:rsidRPr="006D74F4">
        <w:rPr>
          <w:rFonts w:ascii="Arial" w:hAnsi="Arial" w:cs="Arial"/>
          <w:sz w:val="22"/>
          <w:vertAlign w:val="superscript"/>
        </w:rPr>
        <w:t>5</w:t>
      </w:r>
      <w:r w:rsidR="006D74F4">
        <w:rPr>
          <w:rFonts w:ascii="Arial" w:hAnsi="Arial" w:cs="Arial"/>
          <w:sz w:val="22"/>
          <w:szCs w:val="22"/>
        </w:rPr>
        <w:fldChar w:fldCharType="end"/>
      </w:r>
      <w:r w:rsidR="006D74F4">
        <w:rPr>
          <w:rFonts w:ascii="Arial" w:hAnsi="Arial" w:cs="Arial"/>
          <w:sz w:val="22"/>
          <w:szCs w:val="22"/>
        </w:rPr>
        <w:t xml:space="preserve"> </w:t>
      </w:r>
      <w:r w:rsidR="00F25828" w:rsidRPr="006D74F4">
        <w:rPr>
          <w:rFonts w:ascii="Arial" w:hAnsi="Arial" w:cs="Arial"/>
          <w:sz w:val="22"/>
          <w:szCs w:val="22"/>
        </w:rPr>
        <w:t xml:space="preserve">have </w:t>
      </w:r>
      <w:r w:rsidR="001E499C" w:rsidRPr="006D74F4">
        <w:rPr>
          <w:rFonts w:ascii="Arial" w:hAnsi="Arial" w:cs="Arial"/>
          <w:sz w:val="22"/>
          <w:szCs w:val="22"/>
        </w:rPr>
        <w:t>indicated</w:t>
      </w:r>
      <w:r w:rsidR="00F25828" w:rsidRPr="006D74F4">
        <w:rPr>
          <w:rFonts w:ascii="Arial" w:hAnsi="Arial" w:cs="Arial"/>
          <w:sz w:val="22"/>
          <w:szCs w:val="22"/>
        </w:rPr>
        <w:t xml:space="preserve"> that rhythm control </w:t>
      </w:r>
      <w:r w:rsidR="005B7778" w:rsidRPr="006D74F4">
        <w:rPr>
          <w:rFonts w:ascii="Arial" w:hAnsi="Arial" w:cs="Arial"/>
          <w:sz w:val="22"/>
          <w:szCs w:val="22"/>
        </w:rPr>
        <w:t xml:space="preserve">is </w:t>
      </w:r>
      <w:r w:rsidR="00F25828" w:rsidRPr="006D74F4">
        <w:rPr>
          <w:rFonts w:ascii="Arial" w:hAnsi="Arial" w:cs="Arial"/>
          <w:sz w:val="22"/>
          <w:szCs w:val="22"/>
        </w:rPr>
        <w:t>associated with lower rates</w:t>
      </w:r>
      <w:r w:rsidR="00F25828">
        <w:rPr>
          <w:rFonts w:ascii="Arial" w:hAnsi="Arial" w:cs="Arial"/>
          <w:sz w:val="22"/>
          <w:szCs w:val="22"/>
        </w:rPr>
        <w:t xml:space="preserve"> of cardiovascular events</w:t>
      </w:r>
      <w:r w:rsidR="001E499C">
        <w:rPr>
          <w:rFonts w:ascii="Arial" w:hAnsi="Arial" w:cs="Arial"/>
          <w:sz w:val="22"/>
          <w:szCs w:val="22"/>
        </w:rPr>
        <w:t xml:space="preserve"> and hospitalization</w:t>
      </w:r>
      <w:r w:rsidR="00F25828">
        <w:rPr>
          <w:rFonts w:ascii="Arial" w:hAnsi="Arial" w:cs="Arial"/>
          <w:sz w:val="22"/>
          <w:szCs w:val="22"/>
        </w:rPr>
        <w:t>.</w:t>
      </w:r>
      <w:r w:rsidR="00F25828">
        <w:rPr>
          <w:rFonts w:ascii="Arial" w:hAnsi="Arial" w:cs="Arial"/>
          <w:sz w:val="22"/>
          <w:szCs w:val="22"/>
        </w:rPr>
        <w:fldChar w:fldCharType="begin"/>
      </w:r>
      <w:r w:rsidR="006D74F4">
        <w:rPr>
          <w:rFonts w:ascii="Arial" w:hAnsi="Arial" w:cs="Arial"/>
          <w:sz w:val="22"/>
          <w:szCs w:val="22"/>
        </w:rPr>
        <w:instrText xml:space="preserve"> ADDIN ZOTERO_ITEM CSL_CITATION {"citationID":"do5b5MjN","properties":{"formattedCitation":"\\super 6,7\\nosupersub{}","plainCitation":"6,7","noteIndex":0},"citationItems":[{"id":329,"uris":["http://zotero.org/users/9045539/items/S7HIIT4P"],"itemData":{"id":329,"type":"article-journal","container-title":"New England Journal of Medicine","DOI":"10.1056/NEJMoa2019422","ISSN":"0028-4793, 1533-4406","issue":"14","journalAbbreviation":"N Engl J Med","language":"en","page":"1305-1316","source":"DOI.org (Crossref)","title":"Early Rhythm-Control Therapy in Patients with Atrial Fibrillation","volume":"383","author":[{"family":"Kirchhof","given":"Paulus"},{"family":"Camm","given":"A. John"},{"family":"Goette","given":"Andreas"},{"family":"Brandes","given":"Axel"},{"family":"Eckardt","given":"Lars"},{"family":"Elvan","given":"Arif"},{"family":"Fetsch","given":"Thomas"},{"family":"Gelder","given":"Isabelle C.","non-dropping-particle":"van"},{"family":"Haase","given":"Doreen"},{"family":"Haegeli","given":"Laurent M."},{"family":"Hamann","given":"Frank"},{"family":"Heidbüchel","given":"Hein"},{"family":"Hindricks","given":"Gerhard"},{"family":"Kautzner","given":"Josef"},{"family":"Kuck","given":"Karl-Heinz"},{"family":"Mont","given":"Lluis"},{"family":"Ng","given":"G. Andre"},{"family":"Rekosz","given":"Jerzy"},{"family":"Schoen","given":"Norbert"},{"family":"Schotten","given":"Ulrich"},{"family":"Suling","given":"Anna"},{"family":"Taggeselle","given":"Jens"},{"family":"Themistoclakis","given":"Sakis"},{"family":"Vettorazzi","given":"Eik"},{"family":"Vardas","given":"Panos"},{"family":"Wegscheider","given":"Karl"},{"family":"Willems","given":"Stephan"},{"family":"Crijns","given":"Harry J.G.M."},{"family":"Breithardt","given":"Günter"}],"issued":{"date-parts":[["2020",10,1]]}}},{"id":331,"uris":["http://zotero.org/users/9045539/items/7KA268CZ"],"itemData":{"id":331,"type":"article-journal","container-title":"New England Journal of Medicine","DOI":"10.1056/NEJMoa0803778","ISSN":"0028-4793, 1533-4406","issue":"7","journalAbbreviation":"N Engl J Med","language":"en","page":"668-678","source":"DOI.org (Crossref)","title":"Effect of Dronedarone on Cardiovascular Events in Atrial Fibrillation","volume":"360","author":[{"family":"Hohnloser","given":"Stefan H."},{"family":"Crijns","given":"Harry J.G.M."},{"family":"Eickels","given":"Martin","non-dropping-particle":"van"},{"family":"Gaudin","given":"Christophe"},{"family":"Page","given":"Richard L."},{"family":"Torp-Pedersen","given":"Christian"},{"family":"Connolly","given":"Stuart J."}],"issued":{"date-parts":[["2009",2,12]]}}}],"schema":"https://github.com/citation-style-language/schema/raw/master/csl-citation.json"} </w:instrText>
      </w:r>
      <w:r w:rsidR="00F25828">
        <w:rPr>
          <w:rFonts w:ascii="Arial" w:hAnsi="Arial" w:cs="Arial"/>
          <w:sz w:val="22"/>
          <w:szCs w:val="22"/>
        </w:rPr>
        <w:fldChar w:fldCharType="separate"/>
      </w:r>
      <w:r w:rsidR="006D74F4" w:rsidRPr="006D74F4">
        <w:rPr>
          <w:rFonts w:ascii="Arial" w:hAnsi="Arial" w:cs="Arial"/>
          <w:sz w:val="22"/>
          <w:vertAlign w:val="superscript"/>
        </w:rPr>
        <w:t>6,7</w:t>
      </w:r>
      <w:r w:rsidR="00F25828">
        <w:rPr>
          <w:rFonts w:ascii="Arial" w:hAnsi="Arial" w:cs="Arial"/>
          <w:sz w:val="22"/>
          <w:szCs w:val="22"/>
        </w:rPr>
        <w:fldChar w:fldCharType="end"/>
      </w:r>
    </w:p>
    <w:p w14:paraId="0D57CE18" w14:textId="41DC4C03" w:rsidR="00F25828" w:rsidRDefault="00F25828" w:rsidP="00D405B9">
      <w:pPr>
        <w:spacing w:line="480" w:lineRule="auto"/>
        <w:rPr>
          <w:rFonts w:ascii="Arial" w:hAnsi="Arial" w:cs="Arial"/>
          <w:sz w:val="22"/>
          <w:szCs w:val="22"/>
        </w:rPr>
      </w:pPr>
    </w:p>
    <w:p w14:paraId="64FED49F" w14:textId="117448DB" w:rsidR="008F2239" w:rsidRDefault="00F25828" w:rsidP="008F2239">
      <w:pPr>
        <w:spacing w:line="480" w:lineRule="auto"/>
        <w:rPr>
          <w:rFonts w:ascii="Arial" w:hAnsi="Arial" w:cs="Arial"/>
          <w:sz w:val="22"/>
          <w:szCs w:val="22"/>
        </w:rPr>
      </w:pPr>
      <w:r>
        <w:rPr>
          <w:rFonts w:ascii="Arial" w:hAnsi="Arial" w:cs="Arial"/>
          <w:sz w:val="22"/>
          <w:szCs w:val="22"/>
        </w:rPr>
        <w:t>In patients with AF and heart failure, catheter ablation appears to significantly reduce AF burden and frequency of AF recurrence compared to pharmacologic rhythm control.</w:t>
      </w:r>
      <w:r>
        <w:rPr>
          <w:rFonts w:ascii="Arial" w:hAnsi="Arial" w:cs="Arial"/>
          <w:sz w:val="22"/>
          <w:szCs w:val="22"/>
        </w:rPr>
        <w:fldChar w:fldCharType="begin"/>
      </w:r>
      <w:r w:rsidR="006D74F4">
        <w:rPr>
          <w:rFonts w:ascii="Arial" w:hAnsi="Arial" w:cs="Arial"/>
          <w:sz w:val="22"/>
          <w:szCs w:val="22"/>
        </w:rPr>
        <w:instrText xml:space="preserve"> ADDIN ZOTERO_ITEM CSL_CITATION {"citationID":"eq1EDQDF","properties":{"formattedCitation":"\\super 8\\nosupersub{}","plainCitation":"8","noteIndex":0},"citationItems":[{"id":334,"uris":["http://zotero.org/users/9045539/items/KRLNCKKS"],"itemData":{"id":334,"type":"article-journal","container-title":"New England Journal of Medicine","DOI":"10.1056/NEJMoa1707855","ISSN":"0028-4793, 1533-4406","issue":"5","journalAbbreviation":"N Engl J Med","language":"en","page":"417-427","source":"DOI.org (Crossref)","title":"Catheter Ablation for Atrial Fibrillation with Heart Failure","volume":"378","author":[{"family":"Marrouche","given":"Nassir F."},{"family":"Brachmann","given":"Johannes"},{"family":"Andresen","given":"Dietrich"},{"family":"Siebels","given":"Jürgen"},{"family":"Boersma","given":"Lucas"},{"family":"Jordaens","given":"Luc"},{"family":"Merkely","given":"Béla"},{"family":"Pokushalov","given":"Evgeny"},{"family":"Sanders","given":"Prashanthan"},{"family":"Proff","given":"Jochen"},{"family":"Schunkert","given":"Heribert"},{"family":"Christ","given":"Hildegard"},{"family":"Vogt","given":"Jürgen"},{"family":"Bänsch","given":"Dietmar"}],"issued":{"date-parts":[["2018",2]]}}}],"schema":"https://github.com/citation-style-language/schema/raw/master/csl-citation.json"} </w:instrText>
      </w:r>
      <w:r>
        <w:rPr>
          <w:rFonts w:ascii="Arial" w:hAnsi="Arial" w:cs="Arial"/>
          <w:sz w:val="22"/>
          <w:szCs w:val="22"/>
        </w:rPr>
        <w:fldChar w:fldCharType="separate"/>
      </w:r>
      <w:r w:rsidR="006D74F4" w:rsidRPr="006D74F4">
        <w:rPr>
          <w:rFonts w:ascii="Arial" w:hAnsi="Arial" w:cs="Arial"/>
          <w:sz w:val="22"/>
          <w:vertAlign w:val="superscript"/>
        </w:rPr>
        <w:t>8</w:t>
      </w:r>
      <w:r>
        <w:rPr>
          <w:rFonts w:ascii="Arial" w:hAnsi="Arial" w:cs="Arial"/>
          <w:sz w:val="22"/>
          <w:szCs w:val="22"/>
        </w:rPr>
        <w:fldChar w:fldCharType="end"/>
      </w:r>
      <w:r>
        <w:rPr>
          <w:rFonts w:ascii="Arial" w:hAnsi="Arial" w:cs="Arial"/>
          <w:sz w:val="22"/>
          <w:szCs w:val="22"/>
        </w:rPr>
        <w:t xml:space="preserve"> </w:t>
      </w:r>
      <w:r w:rsidR="008F2239">
        <w:rPr>
          <w:rFonts w:ascii="Arial" w:hAnsi="Arial" w:cs="Arial"/>
          <w:sz w:val="22"/>
          <w:szCs w:val="22"/>
        </w:rPr>
        <w:t>For</w:t>
      </w:r>
      <w:r>
        <w:rPr>
          <w:rFonts w:ascii="Arial" w:hAnsi="Arial" w:cs="Arial"/>
          <w:sz w:val="22"/>
          <w:szCs w:val="22"/>
        </w:rPr>
        <w:t xml:space="preserve"> </w:t>
      </w:r>
      <w:r w:rsidR="007427A7">
        <w:rPr>
          <w:rFonts w:ascii="Arial" w:hAnsi="Arial" w:cs="Arial"/>
          <w:sz w:val="22"/>
          <w:szCs w:val="22"/>
        </w:rPr>
        <w:t xml:space="preserve">AF </w:t>
      </w:r>
      <w:r>
        <w:rPr>
          <w:rFonts w:ascii="Arial" w:hAnsi="Arial" w:cs="Arial"/>
          <w:sz w:val="22"/>
          <w:szCs w:val="22"/>
        </w:rPr>
        <w:t xml:space="preserve">patients without heart failure, current professional society guidelines offer a variety of </w:t>
      </w:r>
      <w:r w:rsidR="006D74F4">
        <w:rPr>
          <w:rFonts w:ascii="Arial" w:hAnsi="Arial" w:cs="Arial"/>
          <w:sz w:val="22"/>
          <w:szCs w:val="22"/>
        </w:rPr>
        <w:t>AAD</w:t>
      </w:r>
      <w:r>
        <w:rPr>
          <w:rFonts w:ascii="Arial" w:hAnsi="Arial" w:cs="Arial"/>
          <w:sz w:val="22"/>
          <w:szCs w:val="22"/>
        </w:rPr>
        <w:t xml:space="preserve"> options, including amiodarone, </w:t>
      </w:r>
      <w:proofErr w:type="spellStart"/>
      <w:r>
        <w:rPr>
          <w:rFonts w:ascii="Arial" w:hAnsi="Arial" w:cs="Arial"/>
          <w:sz w:val="22"/>
          <w:szCs w:val="22"/>
        </w:rPr>
        <w:t>dofetilide</w:t>
      </w:r>
      <w:proofErr w:type="spellEnd"/>
      <w:r>
        <w:rPr>
          <w:rFonts w:ascii="Arial" w:hAnsi="Arial" w:cs="Arial"/>
          <w:sz w:val="22"/>
          <w:szCs w:val="22"/>
        </w:rPr>
        <w:t>, dronedarone, flecainide, propafenone, and sotalol.</w:t>
      </w:r>
      <w:r>
        <w:rPr>
          <w:rFonts w:ascii="Arial" w:hAnsi="Arial" w:cs="Arial"/>
          <w:sz w:val="22"/>
          <w:szCs w:val="22"/>
        </w:rPr>
        <w:fldChar w:fldCharType="begin"/>
      </w:r>
      <w:r w:rsidR="00B843C9">
        <w:rPr>
          <w:rFonts w:ascii="Arial" w:hAnsi="Arial" w:cs="Arial"/>
          <w:sz w:val="22"/>
          <w:szCs w:val="22"/>
        </w:rPr>
        <w:instrText xml:space="preserve"> ADDIN ZOTERO_ITEM CSL_CITATION {"citationID":"Ef6Q8562","properties":{"formattedCitation":"\\super 2,3\\nosupersub{}","plainCitation":"2,3","noteIndex":0},"citationItems":[{"id":340,"uris":["http://zotero.org/users/9045539/items/KAJ8YAW2"],"itemData":{"id":340,"type":"article-journal","container-title":"European Heart Journal","DOI":"10.1093/eurheartj/ehaa612","ISSN":"0195-668X, 1522-9645","issue":"5","language":"en","page":"373-498","source":"DOI.org (Crossref)","title":"2020 ESC Guidelines for the diagnosis and management of atrial fibrillation developed in collaboration with the European Association for Cardio-Thoracic Surgery (EACTS)","volume":"42","author":[{"family":"Hindricks","given":"Gerhard"},{"family":"Potpara","given":"Tatjana"},{"family":"Dagres","given":"Nikolaos"},{"family":"Arbelo","given":"Elena"},{"family":"Bax","given":"Jeroen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J"},{"family":"Thomas","given":"G Neil"},{"family":"Valgimigli","given":"Marco"},{"family":"Van Gelder","given":"Isabelle C"},{"family":"Van Putte","given":"Bart P"},{"family":"Watkins","given":"Caroline L"},{"literal":"ESC Scientific Document Group"},{"family":"Kirchhof","given":"Paulus"},{"family":"Kühne","given":"Michael"},{"family":"Aboyans","given":"Victor"},{"family":"Ahlsson","given":"Anders"},{"family":"Balsam","given":"Pawel"},{"family":"Bauersachs","given":"Johann"},{"family":"Benussi","given":"Stefano"},{"family":"Brandes","given":"Axel"},{"family":"Braunschweig","given":"Frieder"},{"family":"Camm","given":"A John"},{"family":"Capodanno","given":"Davide"},{"family":"Casadei","given":"Barbara"},{"family":"Conen","given":"David"},{"family":"Crijns","given":"Harry J G M"},{"family":"Delgado","given":"Victoria"},{"family":"Dobrev","given":"Dobromir"},{"family":"Drexel","given":"Heinz"},{"family":"Eckardt","given":"Lars"},{"family":"Fitzsimons","given":"Donna"},{"family":"Folliguet","given":"Thierry"},{"family":"Gale","given":"Chris P"},{"family":"Gorenek","given":"Bulent"},{"family":"Haeusler","given":"Karl Georg"},{"family":"Heidbuchel","given":"Hein"},{"family":"Iung","given":"Bernard"},{"family":"Katus","given":"Hugo A"},{"family":"Kotecha","given":"Dipak"},{"family":"Landmesser","given":"Ulf"},{"family":"Leclercq","given":"Christophe"},{"family":"Lewis","given":"Basil S"},{"family":"Mascherbauer","given":"Julia"},{"family":"Merino","given":"Jose Luis"},{"family":"Merkely","given":"Béla"},{"family":"Mont","given":"Lluís"},{"family":"Mueller","given":"Christian"},{"family":"Nagy","given":"Klaudia V"},{"family":"Oldgren","given":"Jonas"},{"family":"Pavlović","given":"Nikola"},{"family":"Pedretti","given":"Roberto F E"},{"family":"Petersen","given":"Steffen E"},{"family":"Piccini","given":"Jonathan P"},{"family":"Popescu","given":"Bogdan A"},{"family":"Pürerfellner","given":"Helmut"},{"family":"Richter","given":"Dimitrios J"},{"family":"Roffi","given":"Marco"},{"family":"Rubboli","given":"Andrea"},{"family":"Scherr","given":"Daniel"},{"family":"Schnabel","given":"Renate B"},{"family":"Simpson","given":"Iain A"},{"family":"Shlyakhto","given":"Evgeny"},{"family":"Sinner","given":"Moritz F"},{"family":"Steffel","given":"Jan"},{"family":"Sousa-Uva","given":"Miguel"},{"family":"Suwalski","given":"Piotr"},{"family":"Svetlosak","given":"Martin"},{"family":"Touyz","given":"Rhian M"},{"family":"Dagres","given":"Nikolaos"},{"family":"Arbelo","given":"Elena"},{"family":"Bax","given":"Jeroen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J"},{"family":"Neil Thomas","given":"G"},{"family":"Valgimigli","given":"Marco"},{"family":"Van Gelder","given":"Isabelle C"},{"family":"Watkins","given":"Caroline L"},{"family":"Delassi","given":"Tahar"},{"family":"Sisakian","given":"Hamayak S"},{"family":"Scherr","given":"Daniel"},{"family":"Chasnoits","given":"Alexandr"},{"family":"Pauw","given":"Michel De"},{"family":"Smajić","given":"Elnur"},{"family":"Shalganov","given":"Tchavdar"},{"family":"Avraamides","given":"Panayiotis"},{"family":"Kautzner","given":"Josef"},{"family":"Gerdes","given":"Christian"},{"family":"Alaziz","given":"Ahmad Abd"},{"family":"Kampus","given":"Priit"},{"family":"Raatikainen","given":"Pekka"},{"family":"Boveda","given":"Serge"},{"family":"Papiashvili","given":"Giorgi"},{"family":"Eckardt","given":"Lars"},{"family":"Vassilikos","given":"Vassilios"},{"family":"Csanádi","given":"Zoltán"},{"family":"Arnar","given":"David O"},{"family":"Galvin","given":"Joseph"},{"family":"Barsheshet","given":"Alon"},{"family":"Caldarola","given":"Pasquale"},{"family":"Rakisheva","given":"Amina"},{"family":"Bytyçi","given":"Ibadete"},{"family":"Kerimkulova","given":"Alina"},{"family":"Kalejs","given":"Oskars"},{"family":"Njeim","given":"Mario"},{"family":"Puodziukynas","given":"Aras"},{"family":"Groben","given":"Laurent"},{"family":"Sammut","given":"Mark A"},{"family":"Grosu","given":"Aurel"},{"family":"Boskovic","given":"Aneta"},{"family":"Moustaghfir","given":"Abdelhamid"},{"family":"Groot","given":"Natasja","dropping-particle":"de"},{"family":"Poposka","given":"Lidija"},{"family":"Anfinsen","given":"Ole-Gunnar"},{"family":"Mitkowski","given":"Przemyslaw P"},{"family":"Cavaco","given":"Diogo Magalhães"},{"family":"Siliste","given":"Calin"},{"family":"Mikhaylov","given":"Evgeny N"},{"family":"Bertelli","given":"Luca"},{"family":"Kojic","given":"Dejan"},{"family":"Hatala","given":"Robert"},{"family":"Fras","given":"Zlatko"},{"family":"Arribas","given":"Fernando"},{"family":"Juhlin","given":"Tord"},{"family":"Sticherling","given":"Christian"},{"family":"Abid","given":"Leila"},{"family":"Atar","given":"Ilyas"},{"family":"Sychov","given":"Oleg"},{"family":"Bates","given":"Matthew G D"},{"family":"Zakirov","given":"Nodir U"}],"issued":{"date-parts":[["2021",2,1]]}}},{"id":241,"uris":["http://zotero.org/users/9045539/items/UN8CTPD9"],"itemData":{"id":241,"type":"article-journal","container-title":"Circulation","DOI":"10.1161/CIR.0000000000000665","ISSN":"0009-7322, 1524-4539","issue":"2","journalAbbreviation":"Circulation","language":"en","source":"DOI.org (Crossref)","title":"2019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Surgeons","title-short":"2019 AHA/ACC/HRS Focused Update of the 2014 AHA/ACC/HRS Guideline for the Management of Patients With Atrial Fibrillation","URL":"https://www.ahajournals.org/doi/10.1161/CIR.0000000000000665","volume":"140","author":[{"family":"January","given":"Craig T."},{"family":"Wann","given":"L. Samuel"},{"family":"Calkins","given":"Hugh"},{"family":"Chen","given":"Lin Y."},{"family":"Cigarroa","given":"Joaquin E."},{"family":"Cleveland","given":"Joseph C."},{"family":"Ellinor","given":"Patrick T."},{"family":"Ezekowitz","given":"Michael D."},{"family":"Field","given":"Michael E."},{"family":"Furie","given":"Karen L."},{"family":"Heidenreich","given":"Paul A."},{"family":"Murray","given":"Katherine T."},{"family":"Shea","given":"Julie B."},{"family":"Tracy","given":"Cynthia M."},{"family":"Yancy","given":"Clyde W."}],"accessed":{"date-parts":[["2022",6,5]]},"issued":{"date-parts":[["2019",7,9]]}}}],"schema":"https://github.com/citation-style-language/schema/raw/master/csl-citation.json"} </w:instrText>
      </w:r>
      <w:r>
        <w:rPr>
          <w:rFonts w:ascii="Arial" w:hAnsi="Arial" w:cs="Arial"/>
          <w:sz w:val="22"/>
          <w:szCs w:val="22"/>
        </w:rPr>
        <w:fldChar w:fldCharType="separate"/>
      </w:r>
      <w:r w:rsidR="00B843C9" w:rsidRPr="00B843C9">
        <w:rPr>
          <w:rFonts w:ascii="Arial" w:hAnsi="Arial" w:cs="Arial"/>
          <w:sz w:val="22"/>
          <w:vertAlign w:val="superscript"/>
        </w:rPr>
        <w:t>2,3</w:t>
      </w:r>
      <w:r>
        <w:rPr>
          <w:rFonts w:ascii="Arial" w:hAnsi="Arial" w:cs="Arial"/>
          <w:sz w:val="22"/>
          <w:szCs w:val="22"/>
        </w:rPr>
        <w:fldChar w:fldCharType="end"/>
      </w:r>
      <w:r>
        <w:rPr>
          <w:rFonts w:ascii="Arial" w:hAnsi="Arial" w:cs="Arial"/>
          <w:sz w:val="22"/>
          <w:szCs w:val="22"/>
        </w:rPr>
        <w:t xml:space="preserve"> Of these options, </w:t>
      </w:r>
      <w:proofErr w:type="spellStart"/>
      <w:r>
        <w:rPr>
          <w:rFonts w:ascii="Arial" w:hAnsi="Arial" w:cs="Arial"/>
          <w:sz w:val="22"/>
          <w:szCs w:val="22"/>
        </w:rPr>
        <w:t>dofetilide</w:t>
      </w:r>
      <w:proofErr w:type="spellEnd"/>
      <w:r>
        <w:rPr>
          <w:rFonts w:ascii="Arial" w:hAnsi="Arial" w:cs="Arial"/>
          <w:sz w:val="22"/>
          <w:szCs w:val="22"/>
        </w:rPr>
        <w:t>, dronedarone and sotalol are</w:t>
      </w:r>
      <w:r w:rsidR="00B843C9">
        <w:rPr>
          <w:rFonts w:ascii="Arial" w:hAnsi="Arial" w:cs="Arial"/>
          <w:sz w:val="22"/>
          <w:szCs w:val="22"/>
        </w:rPr>
        <w:t xml:space="preserve"> </w:t>
      </w:r>
      <w:r w:rsidR="001E499C">
        <w:rPr>
          <w:rFonts w:ascii="Arial" w:hAnsi="Arial" w:cs="Arial"/>
          <w:sz w:val="22"/>
          <w:szCs w:val="22"/>
        </w:rPr>
        <w:t xml:space="preserve">recommended as initial </w:t>
      </w:r>
      <w:r w:rsidR="00B843C9">
        <w:rPr>
          <w:rFonts w:ascii="Arial" w:hAnsi="Arial" w:cs="Arial"/>
          <w:sz w:val="22"/>
          <w:szCs w:val="22"/>
        </w:rPr>
        <w:t xml:space="preserve">options for patients with existing structural heart disease or coronary artery disease, although </w:t>
      </w:r>
      <w:proofErr w:type="spellStart"/>
      <w:r w:rsidR="00B843C9">
        <w:rPr>
          <w:rFonts w:ascii="Arial" w:hAnsi="Arial" w:cs="Arial"/>
          <w:sz w:val="22"/>
          <w:szCs w:val="22"/>
        </w:rPr>
        <w:t>dofetilide</w:t>
      </w:r>
      <w:proofErr w:type="spellEnd"/>
      <w:r w:rsidR="00B843C9">
        <w:rPr>
          <w:rFonts w:ascii="Arial" w:hAnsi="Arial" w:cs="Arial"/>
          <w:sz w:val="22"/>
          <w:szCs w:val="22"/>
        </w:rPr>
        <w:t xml:space="preserve"> is no</w:t>
      </w:r>
      <w:r w:rsidR="009C54EC">
        <w:rPr>
          <w:rFonts w:ascii="Arial" w:hAnsi="Arial" w:cs="Arial"/>
          <w:sz w:val="22"/>
          <w:szCs w:val="22"/>
        </w:rPr>
        <w:t xml:space="preserve">t </w:t>
      </w:r>
      <w:r w:rsidR="00B843C9">
        <w:rPr>
          <w:rFonts w:ascii="Arial" w:hAnsi="Arial" w:cs="Arial"/>
          <w:sz w:val="22"/>
          <w:szCs w:val="22"/>
        </w:rPr>
        <w:t>available in Europe or Australia</w:t>
      </w:r>
      <w:r w:rsidR="008F2239">
        <w:rPr>
          <w:rFonts w:ascii="Arial" w:hAnsi="Arial" w:cs="Arial"/>
          <w:sz w:val="22"/>
          <w:szCs w:val="22"/>
        </w:rPr>
        <w:t xml:space="preserve">. </w:t>
      </w:r>
    </w:p>
    <w:p w14:paraId="04F68486" w14:textId="77777777" w:rsidR="008F2239" w:rsidRDefault="008F2239" w:rsidP="008F2239">
      <w:pPr>
        <w:spacing w:line="480" w:lineRule="auto"/>
        <w:rPr>
          <w:rFonts w:ascii="Arial" w:hAnsi="Arial" w:cs="Arial"/>
          <w:sz w:val="22"/>
          <w:szCs w:val="22"/>
        </w:rPr>
      </w:pPr>
    </w:p>
    <w:p w14:paraId="2A77461A" w14:textId="02B5DB44" w:rsidR="001E499C" w:rsidRDefault="008F2239" w:rsidP="008F2239">
      <w:pPr>
        <w:spacing w:line="480" w:lineRule="auto"/>
        <w:rPr>
          <w:rFonts w:ascii="Arial" w:hAnsi="Arial" w:cs="Arial"/>
          <w:sz w:val="22"/>
          <w:szCs w:val="22"/>
        </w:rPr>
      </w:pPr>
      <w:r>
        <w:rPr>
          <w:rFonts w:ascii="Arial" w:hAnsi="Arial" w:cs="Arial"/>
          <w:sz w:val="22"/>
          <w:szCs w:val="22"/>
        </w:rPr>
        <w:t xml:space="preserve">While dronedarone and sotalol both have Vaughan Williams class II and class III AAD properties, there are limited observational studies and no randomized controlled trials comparing these drugs head-to-head. We therefore used </w:t>
      </w:r>
      <w:r w:rsidR="005B7778">
        <w:rPr>
          <w:rFonts w:ascii="Arial" w:hAnsi="Arial" w:cs="Arial"/>
          <w:sz w:val="22"/>
          <w:szCs w:val="22"/>
        </w:rPr>
        <w:t xml:space="preserve">national </w:t>
      </w:r>
      <w:r>
        <w:rPr>
          <w:rFonts w:ascii="Arial" w:hAnsi="Arial" w:cs="Arial"/>
          <w:sz w:val="22"/>
          <w:szCs w:val="22"/>
        </w:rPr>
        <w:t>data</w:t>
      </w:r>
      <w:r w:rsidR="005B7778">
        <w:rPr>
          <w:rFonts w:ascii="Arial" w:hAnsi="Arial" w:cs="Arial"/>
          <w:sz w:val="22"/>
          <w:szCs w:val="22"/>
        </w:rPr>
        <w:t xml:space="preserve"> from the United States Veterans Affairs Health Administration</w:t>
      </w:r>
      <w:r>
        <w:rPr>
          <w:rFonts w:ascii="Arial" w:hAnsi="Arial" w:cs="Arial"/>
          <w:sz w:val="22"/>
          <w:szCs w:val="22"/>
        </w:rPr>
        <w:t xml:space="preserve"> to compare </w:t>
      </w:r>
      <w:r w:rsidR="008931E1">
        <w:rPr>
          <w:rFonts w:ascii="Arial" w:hAnsi="Arial" w:cs="Arial"/>
          <w:sz w:val="22"/>
          <w:szCs w:val="22"/>
        </w:rPr>
        <w:t>effectiveness</w:t>
      </w:r>
      <w:r>
        <w:rPr>
          <w:rFonts w:ascii="Arial" w:hAnsi="Arial" w:cs="Arial"/>
          <w:sz w:val="22"/>
          <w:szCs w:val="22"/>
        </w:rPr>
        <w:t xml:space="preserve"> and safety outcomes between dronedarone and sotalol in AAD-naïve patients with AF. </w:t>
      </w:r>
    </w:p>
    <w:p w14:paraId="28AE6F0B" w14:textId="1FC2CD00" w:rsidR="00D405B9" w:rsidRPr="00995CF1" w:rsidRDefault="00D405B9" w:rsidP="00D405B9">
      <w:pPr>
        <w:spacing w:line="480" w:lineRule="auto"/>
        <w:rPr>
          <w:rFonts w:ascii="Arial" w:hAnsi="Arial" w:cs="Arial"/>
          <w:b/>
          <w:bCs/>
          <w:sz w:val="22"/>
          <w:szCs w:val="22"/>
        </w:rPr>
      </w:pPr>
    </w:p>
    <w:p w14:paraId="5F89D50E" w14:textId="6362DCA0" w:rsidR="00D405B9" w:rsidRPr="00995CF1" w:rsidRDefault="00D405B9" w:rsidP="00D405B9">
      <w:pPr>
        <w:spacing w:line="480" w:lineRule="auto"/>
        <w:rPr>
          <w:rFonts w:ascii="Arial" w:hAnsi="Arial" w:cs="Arial"/>
          <w:sz w:val="22"/>
          <w:szCs w:val="22"/>
        </w:rPr>
      </w:pPr>
      <w:r w:rsidRPr="00995CF1">
        <w:rPr>
          <w:rFonts w:ascii="Arial" w:hAnsi="Arial" w:cs="Arial"/>
          <w:b/>
          <w:bCs/>
          <w:sz w:val="22"/>
          <w:szCs w:val="22"/>
        </w:rPr>
        <w:t>METHODS</w:t>
      </w:r>
    </w:p>
    <w:p w14:paraId="6DF1508A" w14:textId="33827DED" w:rsidR="00C4009F" w:rsidRPr="00995CF1" w:rsidRDefault="00D405B9" w:rsidP="00D405B9">
      <w:pPr>
        <w:spacing w:line="480" w:lineRule="auto"/>
        <w:rPr>
          <w:rFonts w:ascii="Arial" w:hAnsi="Arial" w:cs="Arial"/>
          <w:sz w:val="22"/>
          <w:szCs w:val="22"/>
        </w:rPr>
      </w:pPr>
      <w:r w:rsidRPr="00995CF1">
        <w:rPr>
          <w:rFonts w:ascii="Arial" w:hAnsi="Arial" w:cs="Arial"/>
          <w:sz w:val="22"/>
          <w:szCs w:val="22"/>
        </w:rPr>
        <w:lastRenderedPageBreak/>
        <w:t xml:space="preserve">We performed a retrospective cohort study using data from the </w:t>
      </w:r>
      <w:r w:rsidR="0050669D" w:rsidRPr="00995CF1">
        <w:rPr>
          <w:rFonts w:ascii="Arial" w:hAnsi="Arial" w:cs="Arial"/>
          <w:sz w:val="22"/>
          <w:szCs w:val="22"/>
        </w:rPr>
        <w:t>U</w:t>
      </w:r>
      <w:r w:rsidR="009C4828">
        <w:rPr>
          <w:rFonts w:ascii="Arial" w:hAnsi="Arial" w:cs="Arial"/>
          <w:sz w:val="22"/>
          <w:szCs w:val="22"/>
        </w:rPr>
        <w:t>nited States</w:t>
      </w:r>
      <w:r w:rsidR="0050669D" w:rsidRPr="00995CF1">
        <w:rPr>
          <w:rFonts w:ascii="Arial" w:hAnsi="Arial" w:cs="Arial"/>
          <w:sz w:val="22"/>
          <w:szCs w:val="22"/>
        </w:rPr>
        <w:t xml:space="preserve"> </w:t>
      </w:r>
      <w:r w:rsidRPr="00995CF1">
        <w:rPr>
          <w:rFonts w:ascii="Arial" w:hAnsi="Arial" w:cs="Arial"/>
          <w:sz w:val="22"/>
          <w:szCs w:val="22"/>
        </w:rPr>
        <w:t xml:space="preserve">Veterans Health Administration (VA), the largest integrated healthcare system in the United States. </w:t>
      </w:r>
      <w:r w:rsidR="0050669D" w:rsidRPr="00995CF1">
        <w:rPr>
          <w:rFonts w:ascii="Arial" w:hAnsi="Arial" w:cs="Arial"/>
          <w:sz w:val="22"/>
          <w:szCs w:val="22"/>
        </w:rPr>
        <w:t>The study database was created by combining medical claims and electronic health records from the VA National Patient Care Database,</w:t>
      </w:r>
      <w:r w:rsidR="0050669D"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{"citationID":"sMnLGje0","properties":{"formattedCitation":"\\super 9\\nosupersub{}","plainCitation":"9","noteIndex":0},"citationItems":[{"id":289,"uris":["http://zotero.org/users/9045539/items/CKVBXVUZ"],"itemData":{"id":289,"type":"article-journal","abstract":"The U.S. Department of Veterans Affairs (VA) operates and maintains one of the largest health care systems under a single management structure in the world. The coordination of administrative and clinical information on veterans served by the VA health care system is a daunting and critical function of the Department. This article provides an overview of VA Health Services Research and Development Service initiatives to assist researchers in using extant VA databases to study patient-centered health care outcomes. As examples, studies using the VA's Patient Treatment File (PTF) and the Beneficiary Identification and Records Locator System (BIRLS) Death File are described.","container-title":"Journal of Medical Systems","DOI":"10.1023/a:1020579806511","ISSN":"0148-5598","issue":"3","journalAbbreviation":"J Med Syst","language":"eng","note":"PMID: 10554740","page":"249-259","source":"PubMed","title":"Using administrative databases for outcomes research: select examples from VA Health Services Research and Development","title-short":"Using administrative databases for outcomes research","volume":"23","author":[{"family":"Cowper","given":"D. C."},{"family":"Hynes","given":"D. M."},{"family":"Kubal","given":"J. D."},{"family":"Murphy","given":"P. A."}],"issued":{"date-parts":[["1999",6]]}}}],"schema":"https://github.com/citation-style-language/schema/raw/master/csl-citation.json"} </w:instrText>
      </w:r>
      <w:r w:rsidR="0050669D" w:rsidRPr="00995CF1">
        <w:rPr>
          <w:rFonts w:ascii="Arial" w:hAnsi="Arial" w:cs="Arial"/>
          <w:sz w:val="22"/>
          <w:szCs w:val="22"/>
        </w:rPr>
        <w:fldChar w:fldCharType="separate"/>
      </w:r>
      <w:r w:rsidR="006D74F4" w:rsidRPr="006D74F4">
        <w:rPr>
          <w:rFonts w:ascii="Arial" w:hAnsi="Arial" w:cs="Arial"/>
          <w:sz w:val="22"/>
          <w:vertAlign w:val="superscript"/>
        </w:rPr>
        <w:t>9</w:t>
      </w:r>
      <w:r w:rsidR="0050669D" w:rsidRPr="00995CF1">
        <w:rPr>
          <w:rFonts w:ascii="Arial" w:hAnsi="Arial" w:cs="Arial"/>
          <w:sz w:val="22"/>
          <w:szCs w:val="22"/>
        </w:rPr>
        <w:fldChar w:fldCharType="end"/>
      </w:r>
      <w:r w:rsidR="0050669D" w:rsidRPr="00995CF1">
        <w:rPr>
          <w:rFonts w:ascii="Arial" w:hAnsi="Arial" w:cs="Arial"/>
          <w:sz w:val="22"/>
          <w:szCs w:val="22"/>
        </w:rPr>
        <w:t xml:space="preserve"> the VA Decision Support System national pharmacy extract,</w:t>
      </w:r>
      <w:r w:rsidR="0050669D"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{"citationID":"r3CU6iUC","properties":{"formattedCitation":"\\super 10\\nosupersub{}","plainCitation":"10","noteIndex":0},"citationItems":[{"id":291,"uris":["http://zotero.org/users/9045539/items/68L4U5PL"],"itemData":{"id":291,"type":"article-journal","abstract":"Recent advances in Department of Veterans Affairs (VA) health care data systems have greatly increased access to operational pharmacy information. This article presents a brief guide to VA pharmacy data sources: the Veterans Health Information Systems and Technology Architecture files, the Pharmacy Benefits Management database, Decision Support System (DSS) National Data Extracts for inpatient and outpatient care, the planned DSS National Pharmacy Extract, DSS databases at local VA facilities, and the Non-VA Fee Basis files. Depending on the source, available data elements include patient demographics, clinical care information, characteristics of the medication and of the prescribing physician, and cost. Access policies are detailed for VA and non-VA researchers. Linking these sources to VA databases containing data on inpatient and outpatient services offers a comprehensive view of health care within several VA populations of general interest, including people over age 65 and those with physical and psychiatric disabilities.","container-title":"Medical care research and review: MCRR","DOI":"10.1177/1077558703256726","ISSN":"1077-5587","issue":"3 Suppl","journalAbbreviation":"Med Care Res Rev","language":"eng","note":"PMID: 15095548","page":"92S-123S","source":"PubMed","title":"Pharmacy data in the VA health care system","volume":"60","author":[{"family":"Smith","given":"Mark W."},{"family":"Joseph","given":"George J."}],"issued":{"date-parts":[["2003",9]]}}}],"schema":"https://github.com/citation-style-language/schema/raw/master/csl-citation.json"} </w:instrText>
      </w:r>
      <w:r w:rsidR="0050669D" w:rsidRPr="00995CF1">
        <w:rPr>
          <w:rFonts w:ascii="Arial" w:hAnsi="Arial" w:cs="Arial"/>
          <w:sz w:val="22"/>
          <w:szCs w:val="22"/>
        </w:rPr>
        <w:fldChar w:fldCharType="separate"/>
      </w:r>
      <w:r w:rsidR="006D74F4" w:rsidRPr="006D74F4">
        <w:rPr>
          <w:rFonts w:ascii="Arial" w:hAnsi="Arial" w:cs="Arial"/>
          <w:sz w:val="22"/>
          <w:vertAlign w:val="superscript"/>
        </w:rPr>
        <w:t>10</w:t>
      </w:r>
      <w:r w:rsidR="0050669D" w:rsidRPr="00995CF1">
        <w:rPr>
          <w:rFonts w:ascii="Arial" w:hAnsi="Arial" w:cs="Arial"/>
          <w:sz w:val="22"/>
          <w:szCs w:val="22"/>
        </w:rPr>
        <w:fldChar w:fldCharType="end"/>
      </w:r>
      <w:r w:rsidR="0050669D" w:rsidRPr="00995CF1">
        <w:rPr>
          <w:rFonts w:ascii="Arial" w:hAnsi="Arial" w:cs="Arial"/>
          <w:sz w:val="22"/>
          <w:szCs w:val="22"/>
        </w:rPr>
        <w:t xml:space="preserve"> the VA Fee Basis Inpatient and Outpatient datasets, the VA Laboratory Decision Support System extract,</w:t>
      </w:r>
      <w:r w:rsidR="0050669D"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{"citationID":"OrMsb6Od","properties":{"formattedCitation":"\\super 11\\nosupersub{}","plainCitation":"11","noteIndex":0},"citationItems":[{"id":294,"uris":["http://zotero.org/users/9045539/items/C3U7BNI4"],"itemData":{"id":294,"type":"book","edition":"2nd","event-place":"Hines, IL","publisher":"US Dept of Veterans Affairs, Health Services Research and Development Service, VA Information Resource Center","publisher-place":"Hines, IL","title":"VIReC Research User Guide: VHA Decision Support System Clinical National Data Extracts","author":[{"family":"VA Information Resource Center","given":""}],"issued":{"date-parts":[["2009"]]}}}],"schema":"https://github.com/citation-style-language/schema/raw/master/csl-citation.json"} </w:instrText>
      </w:r>
      <w:r w:rsidR="0050669D" w:rsidRPr="00995CF1">
        <w:rPr>
          <w:rFonts w:ascii="Arial" w:hAnsi="Arial" w:cs="Arial"/>
          <w:sz w:val="22"/>
          <w:szCs w:val="22"/>
        </w:rPr>
        <w:fldChar w:fldCharType="separate"/>
      </w:r>
      <w:r w:rsidR="006D74F4" w:rsidRPr="006D74F4">
        <w:rPr>
          <w:rFonts w:ascii="Arial" w:hAnsi="Arial" w:cs="Arial"/>
          <w:sz w:val="22"/>
          <w:vertAlign w:val="superscript"/>
        </w:rPr>
        <w:t>11</w:t>
      </w:r>
      <w:r w:rsidR="0050669D" w:rsidRPr="00995CF1">
        <w:rPr>
          <w:rFonts w:ascii="Arial" w:hAnsi="Arial" w:cs="Arial"/>
          <w:sz w:val="22"/>
          <w:szCs w:val="22"/>
        </w:rPr>
        <w:fldChar w:fldCharType="end"/>
      </w:r>
      <w:r w:rsidR="0050669D" w:rsidRPr="00995CF1">
        <w:rPr>
          <w:rFonts w:ascii="Arial" w:hAnsi="Arial" w:cs="Arial"/>
          <w:sz w:val="22"/>
          <w:szCs w:val="22"/>
        </w:rPr>
        <w:t xml:space="preserve"> Medicare inpatient and outpatient claims data (part A, part B, and carrier files),</w:t>
      </w:r>
      <w:r w:rsidR="0050669D"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{"citationID":"uovmTfUn","properties":{"formattedCitation":"\\super 12\\nosupersub{}","plainCitation":"12","noteIndex":0},"citationItems":[{"id":295,"uris":["http://zotero.org/users/9045539/items/2AXWNNQA"],"itemData":{"id":295,"type":"article-journal","abstract":"OBJECTIVES: We examined the impact of access to care characteristics on health care use patterns among those veterans dually eligible for Medicare and Veterans Affairs (VA) services.\nMETHODS: We used a retrospective, cross-sectional design to identify veterans who were eligible to use VA and Medicare health care in calendar year 1999. We analyzed national VA utilization and Medicare claims data. We used descriptive and multivariable generalized ordered logit analyses to examine how patient, geographic, and environmental factors affect the percent reliance on VA and Medicare inpatient and outpatient services.\nRESULTS: Of the 1.47 million veterans in our study population with outpatient use, 18% were VA-only users, 36% were Medicare-only users, and 46% were both VA and Medicare users. Among veterans with inpatient use, 24% were VA only, 69% were Medicare only, and 6% were both VA and Medicare users. Multivariable analysis revealed that veterans who were black or had a higher VA priority were most likely to rely on the VA. Patient with higher risk scores were most likely to rely on a combination of VA and Medicare health care. Patients who lived farther from VA hospitals were less likely to rely on VA health care, particularly for inpatient care. Patients living in urban areas with more health care resources were less likely to rely on VA health care.\nCONCLUSIONS: VA health care provides an important safety net for vulnerable populations. Targeted approaches that carefully consider the simultaneous impacts of VA and Medicare policy changes on minority and high-risk populations are essential to ensure veterans have access to needed health care.","container-title":"Medical Care","DOI":"10.1097/01.mlr.0000244657.90074.b7","ISSN":"0025-7079","issue":"3","journalAbbreviation":"Med Care","language":"eng","note":"PMID: 17304078","page":"214-223","source":"PubMed","title":"Veterans' access to and use of Medicare and Veterans Affairs health care","volume":"45","author":[{"family":"Hynes","given":"Denise M."},{"family":"Koelling","given":"Kristin"},{"family":"Stroupe","given":"Kevin"},{"family":"Arnold","given":"Noreen"},{"family":"Mallin","given":"Katherine"},{"family":"Sohn","given":"Min-Woong"},{"family":"Weaver","given":"Frances M."},{"family":"Manheim","given":"Larry"},{"family":"Kok","given":"Linda"}],"issued":{"date-parts":[["2007",3]]}}}],"schema":"https://github.com/citation-style-language/schema/raw/master/csl-citation.json"} </w:instrText>
      </w:r>
      <w:r w:rsidR="0050669D" w:rsidRPr="00995CF1">
        <w:rPr>
          <w:rFonts w:ascii="Arial" w:hAnsi="Arial" w:cs="Arial"/>
          <w:sz w:val="22"/>
          <w:szCs w:val="22"/>
        </w:rPr>
        <w:fldChar w:fldCharType="separate"/>
      </w:r>
      <w:r w:rsidR="006D74F4" w:rsidRPr="006D74F4">
        <w:rPr>
          <w:rFonts w:ascii="Arial" w:hAnsi="Arial" w:cs="Arial"/>
          <w:sz w:val="22"/>
          <w:vertAlign w:val="superscript"/>
        </w:rPr>
        <w:t>12</w:t>
      </w:r>
      <w:r w:rsidR="0050669D" w:rsidRPr="00995CF1">
        <w:rPr>
          <w:rFonts w:ascii="Arial" w:hAnsi="Arial" w:cs="Arial"/>
          <w:sz w:val="22"/>
          <w:szCs w:val="22"/>
        </w:rPr>
        <w:fldChar w:fldCharType="end"/>
      </w:r>
      <w:r w:rsidR="0050669D" w:rsidRPr="00995CF1">
        <w:rPr>
          <w:rFonts w:ascii="Arial" w:hAnsi="Arial" w:cs="Arial"/>
          <w:sz w:val="22"/>
          <w:szCs w:val="22"/>
        </w:rPr>
        <w:t xml:space="preserve"> and the VA Vital Status file, </w:t>
      </w:r>
      <w:r w:rsidR="005B7778">
        <w:rPr>
          <w:rFonts w:ascii="Arial" w:hAnsi="Arial" w:cs="Arial"/>
          <w:sz w:val="22"/>
          <w:szCs w:val="22"/>
        </w:rPr>
        <w:t xml:space="preserve">which </w:t>
      </w:r>
      <w:r w:rsidR="0050669D" w:rsidRPr="00995CF1">
        <w:rPr>
          <w:rFonts w:ascii="Arial" w:hAnsi="Arial" w:cs="Arial"/>
          <w:sz w:val="22"/>
          <w:szCs w:val="22"/>
        </w:rPr>
        <w:t>provid</w:t>
      </w:r>
      <w:r w:rsidR="005B7778">
        <w:rPr>
          <w:rFonts w:ascii="Arial" w:hAnsi="Arial" w:cs="Arial"/>
          <w:sz w:val="22"/>
          <w:szCs w:val="22"/>
        </w:rPr>
        <w:t>ed</w:t>
      </w:r>
      <w:r w:rsidR="0050669D" w:rsidRPr="00995CF1">
        <w:rPr>
          <w:rFonts w:ascii="Arial" w:hAnsi="Arial" w:cs="Arial"/>
          <w:sz w:val="22"/>
          <w:szCs w:val="22"/>
        </w:rPr>
        <w:t xml:space="preserve"> validated mortality data by combining Medicare, VA and Social Security Administration data.</w:t>
      </w:r>
      <w:r w:rsidR="00C4009F"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{"citationID":"YKxydLU6","properties":{"formattedCitation":"\\super 13,14\\nosupersub{}","plainCitation":"13,14","noteIndex":0},"citationItems":[{"id":51,"uris":["http://zotero.org/users/9045539/items/FXHG727Q"],"itemData":{"id":51,"type":"book","event-place":"Hines, IL","publisher":"VA Information Resource Center","publisher-place":"Hines, IL","title":"VIReC Technical Report 2: VANDI Mortality Data Merge Project","author":[{"family":"Arnold N, Sohn M-W, Maynard C.","given":""}],"issued":{"date-parts":[["2006"]]}}},{"id":52,"uris":["http://zotero.org/users/9045539/items/JQPG7D27"],"itemData":{"id":52,"type":"article-journal","abstract":"Abstract\n            \n              Background\n              One of the national mortality databases in the U.S. is the Beneficiary Identification and Record Locator Subsystem (BIRLS) Death File that contains death dates of those who have received any benefits from the Department of Veterans Affairs (VA). The completeness of this database was shown to vary widely from cohort to cohort in previous studies. Three other sources of death dates are available in the VA that can complement the BIRLS Death File. The objective of this study is to evaluate the completeness and accuracy of death dates in the four sources available in the VA and to examine whether these four sources can be combined into a database with improved completeness and accuracy.\n            \n            \n              Methods\n              A random sample of 3,000 was drawn from 8.3 million veterans who received benefits from the VA between 1997 and 1999 and were alive on January 1, 1999 according to at least one source. Death dates found in BIRLS Death File, Medical SAS Inpatient Datasets, Medicare Vital Status, and Social Security Administration (SSA) Death Master File were compared with dates obtained from the National Death Index. A combined dataset from these sources was also compared with National Death Index dates.\n            \n            \n              Results\n              Compared with the National Death Index, sensitivity (or the percentage of death dates correctly recorded in a source) was 77.4% for BIRLS Death File, 12.0% for Medical SAS Inpatient Datasets, 83.2% for Medicare Vital Status, and 92.1% for SSA Death Master File. Over 95% of death dates in these sources agreed exactly with dates from the National Death Index. Death dates in the combined dataset demonstrated 98.3% sensitivity and 97.6% exact agreement with dates from the National Death Index.\n            \n            \n              Conclusion\n              The BIRLS Death File is not an adequate source of mortality data for the VA population due to incompleteness. When the four sources of mortality data are carefully combined, the resulting dataset can provide more timely data for death ascertainment than the National Death Index and has comparable accuracy and completeness.","container-title":"Population Health Metrics","DOI":"10.1186/1478-7954-4-2","ISSN":"1478-7954","issue":"1","journalAbbreviation":"Popul Health Metrics","language":"en","page":"2","source":"DOI.org (Crossref)","title":"Accuracy and completeness of mortality data in the Department of Veterans Affairs","volume":"4","author":[{"family":"Sohn","given":"Min-Woong"},{"family":"Arnold","given":"Noreen"},{"family":"Maynard","given":"Charles"},{"family":"Hynes","given":"Denise M"}],"issued":{"date-parts":[["2006",12]]}}}],"schema":"https://github.com/citation-style-language/schema/raw/master/csl-citation.json"} </w:instrText>
      </w:r>
      <w:r w:rsidR="00C4009F" w:rsidRPr="00995CF1">
        <w:rPr>
          <w:rFonts w:ascii="Arial" w:hAnsi="Arial" w:cs="Arial"/>
          <w:sz w:val="22"/>
          <w:szCs w:val="22"/>
        </w:rPr>
        <w:fldChar w:fldCharType="separate"/>
      </w:r>
      <w:r w:rsidR="006D74F4" w:rsidRPr="006D74F4">
        <w:rPr>
          <w:rFonts w:ascii="Arial" w:hAnsi="Arial" w:cs="Arial"/>
          <w:sz w:val="22"/>
          <w:vertAlign w:val="superscript"/>
        </w:rPr>
        <w:t>13,14</w:t>
      </w:r>
      <w:r w:rsidR="00C4009F" w:rsidRPr="00995CF1">
        <w:rPr>
          <w:rFonts w:ascii="Arial" w:hAnsi="Arial" w:cs="Arial"/>
          <w:sz w:val="22"/>
          <w:szCs w:val="22"/>
        </w:rPr>
        <w:fldChar w:fldCharType="end"/>
      </w:r>
      <w:r w:rsidR="00C4009F" w:rsidRPr="00995CF1">
        <w:rPr>
          <w:rFonts w:ascii="Arial" w:hAnsi="Arial" w:cs="Arial"/>
          <w:sz w:val="22"/>
          <w:szCs w:val="22"/>
        </w:rPr>
        <w:t xml:space="preserve"> Methods for data linkage have been previously detailed.</w:t>
      </w:r>
      <w:r w:rsidR="00C4009F" w:rsidRPr="00995CF1">
        <w:rPr>
          <w:rFonts w:ascii="Arial" w:hAnsi="Arial" w:cs="Arial"/>
          <w:sz w:val="22"/>
          <w:szCs w:val="22"/>
        </w:rPr>
        <w:fldChar w:fldCharType="begin"/>
      </w:r>
      <w:r w:rsidR="006D74F4">
        <w:rPr>
          <w:rFonts w:ascii="Arial" w:hAnsi="Arial" w:cs="Arial"/>
          <w:sz w:val="22"/>
          <w:szCs w:val="22"/>
        </w:rPr>
        <w:instrText xml:space="preserve"> ADDIN ZOTERO_ITEM CSL_CITATION {"citationID":"FDDRp8cH","properties":{"formattedCitation":"\\super 5,15,16\\nosupersub{}","plainCitation":"5,15,16","noteIndex":0},"citationItems":[{"id":301,"uris":["http://zotero.org/users/9045539/items/4BYVNVZG"],"itemData":{"id":301,"type":"article-journal","abstract":"BACKGROUND: Atrial fibrillation (AF) occurs in many clinical contexts and is diagnosed and treated by clinicians across many specialties. This approach has resulted in treatment variations.\nOBJECTIVES: The goal of this study was to evaluate the association between treating specialty and AF outcomes among patients newly diagnosed with AF.\nMETHODS: Using data from the TREAT-AF (Retrospective Evaluation and Assessment of Therapies in AF) study from the Veterans Health Administration, patients with newly diagnosed, nonvalvular AF between 2004 and 2012 were identified who had at least 1 outpatient encounter with primary care or cardiology within 90 days of the AF diagnosis. Cox proportional hazards regression was used to evaluate the association between treating specialty and AF outcomes.\nRESULTS: Among 184,161 patients with newly diagnosed AF (age 70 ± 11 years; 1.7% women; CHA2DS2-VASc score 2.6 ± 1.7), 40% received cardiology care and 60% received primary care only. After adjustment for covariates, cardiology care was associated with reductions in stroke (hazard ratio [HR]: 0.91; 95% confidence interval [CI]: 0.86 to 0.96; p &lt; 0.001) and death (HR: 0.89; 95% CI: 0.88 to 0.91; p &lt; 0.0001) and increases in hospitalizations for AF/supraventricular tachycardia (HR: 1.38; 95% CI: 1.35 to 1.42; p &lt; 0.0001) and myocardial infarction (HR: 1.03; 95% CI: 1.00 to 1.05; p &lt; 0.04). The propensity-matched cohort had similar results. In mediation analysis, oral anticoagulation prescription within 90 days of diagnosis may have mediated reductions in stroke but did not mediate reductions in survival.\nCONCLUSIONS: In patients with newly diagnosed AF, cardiology care was associated with improved outcomes, potentially mediated by early prescription of oral anticoagulation therapy. Although hypothesis-generating, these data warrant serious consideration and study of health care system interventions at the time of new AF diagnosis.","container-title":"Journal of the American College of Cardiology","DOI":"10.1016/j.jacc.2017.04.054","ISSN":"1558-3597","issue":"1","journalAbbreviation":"J Am Coll Cardiol","language":"eng","note":"PMID: 28662810\nPMCID: PMC5830104","page":"78-86","source":"PubMed","title":"Treating Specialty and Outcomes in Newly Diagnosed Atrial Fibrillation: From the TREAT-AF Study","title-short":"Treating Specialty and Outcomes in Newly Diagnosed Atrial Fibrillation","volume":"70","author":[{"family":"Perino","given":"Alexander C."},{"family":"Fan","given":"Jun"},{"family":"Schmitt","given":"Susan K."},{"family":"Askari","given":"Mariam"},{"family":"Kaiser","given":"Daniel W."},{"family":"Deshmukh","given":"Abhishek"},{"family":"Heidenreich","given":"Paul A."},{"family":"Swan","given":"Christopher"},{"family":"Narayan","given":"Sanjiv M."},{"family":"Wang","given":"Paul J."},{"family":"Turakhia","given":"Mintu P."}],"issued":{"date-parts":[["2017",7,4]]}}},{"id":304,"uris":["http://zotero.org/users/9045539/items/Y2LEDJPM"],"itemData":{"id":304,"type":"article-journal","abstract":"BACKGROUND: Atrial fibrillation and flutter (AF, collectively) cause stroke. We evaluated whether treating specialty influences warfarin prescription in patients with newly diagnosed AF.\nMETHODS: In the TREAT-AF study, we used Veterans Health Administration health record and claims data to identify patients with newly diagnosed AF between October 2004 and November 2008 and at least 1 internal medicine/primary care or cardiology outpatient encounter within 90 days after diagnosis. The primary outcome was prescription of warfarin.\nRESULTS: In 141,642 patients meeting the inclusion criteria, the mean age was 72.3 ± 10.2 years, 1.48% were women, and 25.8% had cardiology outpatient care. Cardiology-treated patients had more comorbidities and higher mean CHADS2 scores (1.8 vs 1.6, P &lt; .0001). Warfarin use was higher in cardiology-treated vs primary care only-treated patients (68.6% vs 48.9%, P &lt; .0001). After covariate and site-level adjustment, cardiology care was significantly associated with warfarin use (odds ratio [OR] 2.05, 95% CI 1.99-2.11). These findings were consistent across a series of adjusted models (OR 2.05-2.20), propensity matching (OR 1.98), and subgroup analyses (OR 1.58-2.11). Warfarin use in primary-care-only patients declined from 2004 to 2008 (51.6%-44.0%, P &lt; .0001), whereas the adjusted odds of warfarin receipt with cardiology care (vs primary care) increased from 2004 to 2008 (1.88-2.24, P &lt; .0001).\nCONCLUSION: In patients with newly diagnosed AF, we found large differences in anticoagulation use by treating specialty. A divergent 5-year trend of risk-adjusted warfarin use was observed. Treating specialty influences stroke prevention care and may impact clinical outcomes.","container-title":"American Heart Journal","DOI":"10.1016/j.ahj.2012.10.010","ISSN":"1097-6744","issue":"1","journalAbbreviation":"Am Heart J","language":"eng","note":"PMID: 23237139","page":"93-101.e1","source":"PubMed","title":"Differences and trends in stroke prevention anticoagulation in primary care vs cardiology specialty management of new atrial fibrillation: The Retrospective Evaluation and Assessment of Therapies in AF (TREAT-AF) study","title-short":"Differences and trends in stroke prevention anticoagulation in primary care vs cardiology specialty management of new atrial fibrillation","volume":"165","author":[{"family":"Turakhia","given":"Mintu P."},{"family":"Hoang","given":"Donald D."},{"family":"Xu","given":"Xiangyan"},{"family":"Frayne","given":"Susan"},{"family":"Schmitt","given":"Susan"},{"family":"Yang","given":"Felix"},{"family":"Phibbs","given":"Ciaran S."},{"family":"Than","given":"Claire T."},{"family":"Wang","given":"Paul J."},{"family":"Heidenreich","given":"Paul A."}],"issued":{"date-parts":[["2013",1]]}}},{"id":306,"uris":["http://zotero.org/users/9045539/items/F3NI2J6G"],"itemData":{"id":306,"type":"article-journal","abstract":"BACKGROUND: Despite endorsement of digoxin in clinical practice guidelines, there exist limited data on its safety in atrial fibrillation/flutter (AF).\nOBJECTIVES: The goal of this study was to evaluate the association of digoxin with mortality in AF.\nMETHODS: Using complete data of the TREAT-AF (The Retrospective Evaluation and Assessment of Therapies in AF) study from the U.S. Department of Veterans Affairs (VA) healthcare system, we identified patients with newly diagnosed, nonvalvular AF seen within 90 days in an outpatient setting between VA fiscal years 2004 and 2008. We used multivariate and propensity-matched Cox proportional hazards to evaluate the association of digoxin use with death. Residual confounding was assessed by sensitivity analysis.\nRESULTS: Of 122,465 patients with 353,168 person-years of follow-up (age 72.1 ± 10.3 years, 98.4% male), 28,679 (23.4%) patients received digoxin. Cumulative mortality rates were higher for digoxin-treated patients than for untreated patients (95 vs. 67 per 1,000 person-years; p &lt; 0.001). Digoxin use was independently associated with mortality after multivariate adjustment (hazard ratio [HR]: 1.26, 95% confidence interval [CI]: 1.23 to 1.29, p &lt; 0.001) and propensity matching (HR: 1.21, 95% CI: 1.17 to 1.25, p &lt; 0.001), even after adjustment for drug adherence. The risk of death was not modified by age, sex, heart failure, kidney function, or concomitant use of beta-blockers, amiodarone, or warfarin.\nCONCLUSIONS: Digoxin was associated with increased risk of death in patients with newly diagnosed AF, independent of drug adherence, kidney function, cardiovascular comorbidities, and concomitant therapies. These findings challenge current cardiovascular society recommendations on use of digoxin in AF.","container-title":"Journal of the American College of Cardiology","DOI":"10.1016/j.jacc.2014.03.060","ISSN":"1558-3597","issue":"7","journalAbbreviation":"J Am Coll Cardiol","language":"eng","note":"PMID: 25125296\nPMCID: PMC4405246","page":"660-668","source":"PubMed","title":"Increased mortality associated with digoxin in contemporary patients with atrial fibrillation: findings from the TREAT-AF study","title-short":"Increased mortality associated with digoxin in contemporary patients with atrial fibrillation","volume":"64","author":[{"family":"Turakhia","given":"Mintu P."},{"family":"Santangeli","given":"Pasquale"},{"family":"Winkelmayer","given":"Wolfgang C."},{"family":"Xu","given":"Xiangyan"},{"family":"Ullal","given":"Aditya J."},{"family":"Than","given":"Claire T."},{"family":"Schmitt","given":"Susan"},{"family":"Holmes","given":"Tyson H."},{"family":"Frayne","given":"Susan M."},{"family":"Phibbs","given":"Ciaran S."},{"family":"Yang","given":"Felix"},{"family":"Hoang","given":"Donald D."},{"family":"Ho","given":"P. Michael"},{"family":"Heidenreich","given":"Paul A."}],"issued":{"date-parts":[["2014",8,19]]}}}],"schema":"https://github.com/citation-style-language/schema/raw/master/csl-citation.json"} </w:instrText>
      </w:r>
      <w:r w:rsidR="00C4009F" w:rsidRPr="00995CF1">
        <w:rPr>
          <w:rFonts w:ascii="Arial" w:hAnsi="Arial" w:cs="Arial"/>
          <w:sz w:val="22"/>
          <w:szCs w:val="22"/>
        </w:rPr>
        <w:fldChar w:fldCharType="separate"/>
      </w:r>
      <w:r w:rsidR="006D74F4" w:rsidRPr="006D74F4">
        <w:rPr>
          <w:rFonts w:ascii="Arial" w:hAnsi="Arial" w:cs="Arial"/>
          <w:sz w:val="22"/>
          <w:vertAlign w:val="superscript"/>
        </w:rPr>
        <w:t>5,15,16</w:t>
      </w:r>
      <w:r w:rsidR="00C4009F" w:rsidRPr="00995CF1">
        <w:rPr>
          <w:rFonts w:ascii="Arial" w:hAnsi="Arial" w:cs="Arial"/>
          <w:sz w:val="22"/>
          <w:szCs w:val="22"/>
        </w:rPr>
        <w:fldChar w:fldCharType="end"/>
      </w:r>
      <w:r w:rsidR="00C4009F" w:rsidRPr="00995CF1">
        <w:rPr>
          <w:rFonts w:ascii="Arial" w:hAnsi="Arial" w:cs="Arial"/>
          <w:sz w:val="22"/>
          <w:szCs w:val="22"/>
        </w:rPr>
        <w:t xml:space="preserve"> </w:t>
      </w:r>
    </w:p>
    <w:p w14:paraId="209C2BEC" w14:textId="77777777" w:rsidR="00C4009F" w:rsidRPr="00995CF1" w:rsidRDefault="00C4009F" w:rsidP="00D405B9">
      <w:pPr>
        <w:spacing w:line="480" w:lineRule="auto"/>
        <w:rPr>
          <w:rFonts w:ascii="Arial" w:hAnsi="Arial" w:cs="Arial"/>
          <w:sz w:val="22"/>
          <w:szCs w:val="22"/>
        </w:rPr>
      </w:pPr>
    </w:p>
    <w:p w14:paraId="1EABFDB4" w14:textId="77777777" w:rsidR="00C4009F" w:rsidRPr="00995CF1" w:rsidRDefault="00C4009F" w:rsidP="00D405B9">
      <w:pPr>
        <w:spacing w:line="480" w:lineRule="auto"/>
        <w:rPr>
          <w:rFonts w:ascii="Arial" w:hAnsi="Arial" w:cs="Arial"/>
          <w:sz w:val="22"/>
          <w:szCs w:val="22"/>
        </w:rPr>
      </w:pPr>
      <w:r w:rsidRPr="00995CF1">
        <w:rPr>
          <w:rFonts w:ascii="Arial" w:hAnsi="Arial" w:cs="Arial"/>
          <w:sz w:val="22"/>
          <w:szCs w:val="22"/>
        </w:rPr>
        <w:t>This study was approved by the local institutional review board (Stanford, CA) and the VA Research and Development Committee (Palo Alto, CA). Data are not available to share because of data use agreements and restrictions on use of Veteran data, but access to the master files may be requested from the VA Informatics and Computing Infrastructure by eligible investigators.</w:t>
      </w:r>
    </w:p>
    <w:p w14:paraId="2F8A64F5" w14:textId="77777777" w:rsidR="00C4009F" w:rsidRPr="00A86AAC" w:rsidRDefault="00C4009F" w:rsidP="00D405B9">
      <w:pPr>
        <w:spacing w:line="480" w:lineRule="auto"/>
        <w:rPr>
          <w:rFonts w:ascii="Arial" w:hAnsi="Arial" w:cs="Arial"/>
          <w:sz w:val="22"/>
          <w:szCs w:val="22"/>
          <w:u w:val="single"/>
        </w:rPr>
      </w:pPr>
    </w:p>
    <w:p w14:paraId="62B6C50F" w14:textId="490CCEF4" w:rsidR="00D405B9" w:rsidRPr="00A86AAC" w:rsidRDefault="0028595B" w:rsidP="00D405B9">
      <w:pPr>
        <w:spacing w:line="480" w:lineRule="auto"/>
        <w:rPr>
          <w:rFonts w:ascii="Arial" w:hAnsi="Arial" w:cs="Arial"/>
          <w:sz w:val="22"/>
          <w:szCs w:val="22"/>
          <w:u w:val="single"/>
        </w:rPr>
      </w:pPr>
      <w:r w:rsidRPr="00A86AAC">
        <w:rPr>
          <w:rFonts w:ascii="Arial" w:hAnsi="Arial" w:cs="Arial"/>
          <w:sz w:val="22"/>
          <w:szCs w:val="22"/>
          <w:u w:val="single"/>
        </w:rPr>
        <w:t>Study Cohort</w:t>
      </w:r>
    </w:p>
    <w:p w14:paraId="35AD472C" w14:textId="0708A8C1" w:rsidR="008550E5" w:rsidRDefault="004E459A" w:rsidP="00D405B9">
      <w:pPr>
        <w:spacing w:line="480" w:lineRule="auto"/>
        <w:rPr>
          <w:rFonts w:ascii="Arial" w:hAnsi="Arial" w:cs="Arial"/>
          <w:sz w:val="22"/>
          <w:szCs w:val="22"/>
        </w:rPr>
      </w:pPr>
      <w:r w:rsidRPr="00995CF1">
        <w:rPr>
          <w:rFonts w:ascii="Arial" w:hAnsi="Arial" w:cs="Arial"/>
          <w:sz w:val="22"/>
          <w:szCs w:val="22"/>
        </w:rPr>
        <w:t>We included patients who were</w:t>
      </w:r>
      <w:r w:rsidR="00F44B7B">
        <w:rPr>
          <w:rFonts w:ascii="Arial" w:hAnsi="Arial" w:cs="Arial"/>
          <w:sz w:val="22"/>
          <w:szCs w:val="22"/>
        </w:rPr>
        <w:t xml:space="preserve"> first</w:t>
      </w:r>
      <w:r w:rsidRPr="00995CF1">
        <w:rPr>
          <w:rFonts w:ascii="Arial" w:hAnsi="Arial" w:cs="Arial"/>
          <w:sz w:val="22"/>
          <w:szCs w:val="22"/>
        </w:rPr>
        <w:t xml:space="preserve"> prescribed dronedarone or sotalol on or after January 1, </w:t>
      </w:r>
      <w:proofErr w:type="gramStart"/>
      <w:r w:rsidRPr="00995CF1">
        <w:rPr>
          <w:rFonts w:ascii="Arial" w:hAnsi="Arial" w:cs="Arial"/>
          <w:sz w:val="22"/>
          <w:szCs w:val="22"/>
        </w:rPr>
        <w:t>2012</w:t>
      </w:r>
      <w:proofErr w:type="gramEnd"/>
      <w:r w:rsidRPr="00995CF1">
        <w:rPr>
          <w:rFonts w:ascii="Arial" w:hAnsi="Arial" w:cs="Arial"/>
          <w:sz w:val="22"/>
          <w:szCs w:val="22"/>
        </w:rPr>
        <w:t xml:space="preserve"> with at least one ambulatory or inpatient diagnosis of AF within the previous 180 days. The date of dronedarone or sotalol prescription was the index date. We excluded patients who</w:t>
      </w:r>
      <w:r w:rsidR="00FC4E4F" w:rsidRPr="00995CF1">
        <w:rPr>
          <w:rFonts w:ascii="Arial" w:hAnsi="Arial" w:cs="Arial"/>
          <w:sz w:val="22"/>
          <w:szCs w:val="22"/>
        </w:rPr>
        <w:t xml:space="preserve"> had</w:t>
      </w:r>
      <w:r w:rsidRPr="00995CF1">
        <w:rPr>
          <w:rFonts w:ascii="Arial" w:hAnsi="Arial" w:cs="Arial"/>
          <w:sz w:val="22"/>
          <w:szCs w:val="22"/>
        </w:rPr>
        <w:t xml:space="preserve"> (1) less than 180 days of continuous healthcare system enrollment prior to the index date, </w:t>
      </w:r>
      <w:r w:rsidR="00165357" w:rsidRPr="00995CF1">
        <w:rPr>
          <w:rFonts w:ascii="Arial" w:hAnsi="Arial" w:cs="Arial"/>
          <w:sz w:val="22"/>
          <w:szCs w:val="22"/>
        </w:rPr>
        <w:t xml:space="preserve">(2) less than 6 months of follow-up available after the index date, </w:t>
      </w:r>
      <w:r w:rsidRPr="00995CF1">
        <w:rPr>
          <w:rFonts w:ascii="Arial" w:hAnsi="Arial" w:cs="Arial"/>
          <w:sz w:val="22"/>
          <w:szCs w:val="22"/>
        </w:rPr>
        <w:t>(</w:t>
      </w:r>
      <w:r w:rsidR="00165357" w:rsidRPr="00995CF1">
        <w:rPr>
          <w:rFonts w:ascii="Arial" w:hAnsi="Arial" w:cs="Arial"/>
          <w:sz w:val="22"/>
          <w:szCs w:val="22"/>
        </w:rPr>
        <w:t>3</w:t>
      </w:r>
      <w:r w:rsidRPr="00995CF1">
        <w:rPr>
          <w:rFonts w:ascii="Arial" w:hAnsi="Arial" w:cs="Arial"/>
          <w:sz w:val="22"/>
          <w:szCs w:val="22"/>
        </w:rPr>
        <w:t xml:space="preserve">) any prior use of an </w:t>
      </w:r>
      <w:r w:rsidR="009C4828">
        <w:rPr>
          <w:rFonts w:ascii="Arial" w:hAnsi="Arial" w:cs="Arial"/>
          <w:sz w:val="22"/>
          <w:szCs w:val="22"/>
        </w:rPr>
        <w:t>AAD</w:t>
      </w:r>
      <w:r w:rsidR="008363C3" w:rsidRPr="00995CF1">
        <w:rPr>
          <w:rFonts w:ascii="Arial" w:hAnsi="Arial" w:cs="Arial"/>
          <w:sz w:val="22"/>
          <w:szCs w:val="22"/>
        </w:rPr>
        <w:t xml:space="preserve"> (</w:t>
      </w:r>
      <w:r w:rsidR="009C4828">
        <w:rPr>
          <w:rFonts w:ascii="Arial" w:hAnsi="Arial" w:cs="Arial"/>
          <w:sz w:val="22"/>
          <w:szCs w:val="22"/>
        </w:rPr>
        <w:t xml:space="preserve">amiodarone, disopyramide, </w:t>
      </w:r>
      <w:r w:rsidR="008363C3" w:rsidRPr="00995CF1">
        <w:rPr>
          <w:rFonts w:ascii="Arial" w:hAnsi="Arial" w:cs="Arial"/>
          <w:sz w:val="22"/>
          <w:szCs w:val="22"/>
        </w:rPr>
        <w:t>dronedarone,</w:t>
      </w:r>
      <w:r w:rsidR="009C4828">
        <w:rPr>
          <w:rFonts w:ascii="Arial" w:hAnsi="Arial" w:cs="Arial"/>
          <w:sz w:val="22"/>
          <w:szCs w:val="22"/>
        </w:rPr>
        <w:t xml:space="preserve"> </w:t>
      </w:r>
      <w:proofErr w:type="spellStart"/>
      <w:r w:rsidR="009C4828">
        <w:rPr>
          <w:rFonts w:ascii="Arial" w:hAnsi="Arial" w:cs="Arial"/>
          <w:sz w:val="22"/>
          <w:szCs w:val="22"/>
        </w:rPr>
        <w:t>dofetilide</w:t>
      </w:r>
      <w:proofErr w:type="spellEnd"/>
      <w:r w:rsidR="009C4828">
        <w:rPr>
          <w:rFonts w:ascii="Arial" w:hAnsi="Arial" w:cs="Arial"/>
          <w:sz w:val="22"/>
          <w:szCs w:val="22"/>
        </w:rPr>
        <w:t>, flecainide, propafenone</w:t>
      </w:r>
      <w:r w:rsidR="008363C3" w:rsidRPr="00995CF1">
        <w:rPr>
          <w:rFonts w:ascii="Arial" w:hAnsi="Arial" w:cs="Arial"/>
          <w:sz w:val="22"/>
          <w:szCs w:val="22"/>
        </w:rPr>
        <w:t xml:space="preserve"> </w:t>
      </w:r>
      <w:r w:rsidR="009C4828">
        <w:rPr>
          <w:rFonts w:ascii="Arial" w:hAnsi="Arial" w:cs="Arial"/>
          <w:sz w:val="22"/>
          <w:szCs w:val="22"/>
        </w:rPr>
        <w:t xml:space="preserve">or </w:t>
      </w:r>
      <w:r w:rsidR="008363C3" w:rsidRPr="00995CF1">
        <w:rPr>
          <w:rFonts w:ascii="Arial" w:hAnsi="Arial" w:cs="Arial"/>
          <w:sz w:val="22"/>
          <w:szCs w:val="22"/>
        </w:rPr>
        <w:t>sotalol)</w:t>
      </w:r>
      <w:r w:rsidRPr="00995CF1">
        <w:rPr>
          <w:rFonts w:ascii="Arial" w:hAnsi="Arial" w:cs="Arial"/>
          <w:sz w:val="22"/>
          <w:szCs w:val="22"/>
        </w:rPr>
        <w:t>, (</w:t>
      </w:r>
      <w:r w:rsidR="00165357" w:rsidRPr="00995CF1">
        <w:rPr>
          <w:rFonts w:ascii="Arial" w:hAnsi="Arial" w:cs="Arial"/>
          <w:sz w:val="22"/>
          <w:szCs w:val="22"/>
        </w:rPr>
        <w:t>4</w:t>
      </w:r>
      <w:r w:rsidRPr="00995CF1">
        <w:rPr>
          <w:rFonts w:ascii="Arial" w:hAnsi="Arial" w:cs="Arial"/>
          <w:sz w:val="22"/>
          <w:szCs w:val="22"/>
        </w:rPr>
        <w:t>) cancer diagnosis, (</w:t>
      </w:r>
      <w:r w:rsidR="00165357" w:rsidRPr="00995CF1">
        <w:rPr>
          <w:rFonts w:ascii="Arial" w:hAnsi="Arial" w:cs="Arial"/>
          <w:sz w:val="22"/>
          <w:szCs w:val="22"/>
        </w:rPr>
        <w:t>5</w:t>
      </w:r>
      <w:r w:rsidRPr="00995CF1">
        <w:rPr>
          <w:rFonts w:ascii="Arial" w:hAnsi="Arial" w:cs="Arial"/>
          <w:sz w:val="22"/>
          <w:szCs w:val="22"/>
        </w:rPr>
        <w:t>) end-stage renal disease, kidney transplant, or severe hepatic impairment, (</w:t>
      </w:r>
      <w:r w:rsidR="00165357" w:rsidRPr="00995CF1">
        <w:rPr>
          <w:rFonts w:ascii="Arial" w:hAnsi="Arial" w:cs="Arial"/>
          <w:sz w:val="22"/>
          <w:szCs w:val="22"/>
        </w:rPr>
        <w:t>6</w:t>
      </w:r>
      <w:r w:rsidRPr="00995CF1">
        <w:rPr>
          <w:rFonts w:ascii="Arial" w:hAnsi="Arial" w:cs="Arial"/>
          <w:sz w:val="22"/>
          <w:szCs w:val="22"/>
        </w:rPr>
        <w:t>) prior hospitalization for heart failure, (</w:t>
      </w:r>
      <w:r w:rsidR="00165357" w:rsidRPr="00995CF1">
        <w:rPr>
          <w:rFonts w:ascii="Arial" w:hAnsi="Arial" w:cs="Arial"/>
          <w:sz w:val="22"/>
          <w:szCs w:val="22"/>
        </w:rPr>
        <w:t>7</w:t>
      </w:r>
      <w:r w:rsidRPr="00995CF1">
        <w:rPr>
          <w:rFonts w:ascii="Arial" w:hAnsi="Arial" w:cs="Arial"/>
          <w:sz w:val="22"/>
          <w:szCs w:val="22"/>
        </w:rPr>
        <w:t>) pacemaker or implantable cardioverter-defibrillator, (</w:t>
      </w:r>
      <w:r w:rsidR="00165357" w:rsidRPr="00995CF1">
        <w:rPr>
          <w:rFonts w:ascii="Arial" w:hAnsi="Arial" w:cs="Arial"/>
          <w:sz w:val="22"/>
          <w:szCs w:val="22"/>
        </w:rPr>
        <w:t>8</w:t>
      </w:r>
      <w:r w:rsidRPr="00995CF1">
        <w:rPr>
          <w:rFonts w:ascii="Arial" w:hAnsi="Arial" w:cs="Arial"/>
          <w:sz w:val="22"/>
          <w:szCs w:val="22"/>
        </w:rPr>
        <w:t>) prior 2</w:t>
      </w:r>
      <w:r w:rsidRPr="00995CF1">
        <w:rPr>
          <w:rFonts w:ascii="Arial" w:hAnsi="Arial" w:cs="Arial"/>
          <w:sz w:val="22"/>
          <w:szCs w:val="22"/>
          <w:vertAlign w:val="superscript"/>
        </w:rPr>
        <w:t>nd</w:t>
      </w:r>
      <w:r w:rsidRPr="00995CF1">
        <w:rPr>
          <w:rFonts w:ascii="Arial" w:hAnsi="Arial" w:cs="Arial"/>
          <w:sz w:val="22"/>
          <w:szCs w:val="22"/>
        </w:rPr>
        <w:t xml:space="preserve"> or 3</w:t>
      </w:r>
      <w:r w:rsidRPr="00995CF1">
        <w:rPr>
          <w:rFonts w:ascii="Arial" w:hAnsi="Arial" w:cs="Arial"/>
          <w:sz w:val="22"/>
          <w:szCs w:val="22"/>
          <w:vertAlign w:val="superscript"/>
        </w:rPr>
        <w:t>rd</w:t>
      </w:r>
      <w:r w:rsidRPr="00995CF1">
        <w:rPr>
          <w:rFonts w:ascii="Arial" w:hAnsi="Arial" w:cs="Arial"/>
          <w:sz w:val="22"/>
          <w:szCs w:val="22"/>
        </w:rPr>
        <w:t xml:space="preserve"> degree atrioventricular block or ventricular pro</w:t>
      </w:r>
      <w:r w:rsidR="008A6384">
        <w:rPr>
          <w:rFonts w:ascii="Arial" w:hAnsi="Arial" w:cs="Arial"/>
          <w:sz w:val="22"/>
          <w:szCs w:val="22"/>
        </w:rPr>
        <w:t>-</w:t>
      </w:r>
      <w:r w:rsidRPr="00995CF1">
        <w:rPr>
          <w:rFonts w:ascii="Arial" w:hAnsi="Arial" w:cs="Arial"/>
          <w:sz w:val="22"/>
          <w:szCs w:val="22"/>
        </w:rPr>
        <w:t>arrhythmia, or (</w:t>
      </w:r>
      <w:r w:rsidR="00165357" w:rsidRPr="00995CF1">
        <w:rPr>
          <w:rFonts w:ascii="Arial" w:hAnsi="Arial" w:cs="Arial"/>
          <w:sz w:val="22"/>
          <w:szCs w:val="22"/>
        </w:rPr>
        <w:t>9</w:t>
      </w:r>
      <w:r w:rsidRPr="00995CF1">
        <w:rPr>
          <w:rFonts w:ascii="Arial" w:hAnsi="Arial" w:cs="Arial"/>
          <w:sz w:val="22"/>
          <w:szCs w:val="22"/>
        </w:rPr>
        <w:t xml:space="preserve">) were &lt; 18 </w:t>
      </w:r>
      <w:r w:rsidRPr="00995CF1">
        <w:rPr>
          <w:rFonts w:ascii="Arial" w:hAnsi="Arial" w:cs="Arial"/>
          <w:sz w:val="22"/>
          <w:szCs w:val="22"/>
        </w:rPr>
        <w:lastRenderedPageBreak/>
        <w:t xml:space="preserve">years of age or had missing age (pertinent </w:t>
      </w:r>
      <w:r w:rsidR="00B11FE0" w:rsidRPr="00995CF1">
        <w:rPr>
          <w:rFonts w:ascii="Arial" w:hAnsi="Arial" w:cs="Arial"/>
          <w:sz w:val="22"/>
          <w:szCs w:val="22"/>
        </w:rPr>
        <w:t>international classification of disease [ICD]</w:t>
      </w:r>
      <w:r w:rsidRPr="00995CF1">
        <w:rPr>
          <w:rFonts w:ascii="Arial" w:hAnsi="Arial" w:cs="Arial"/>
          <w:sz w:val="22"/>
          <w:szCs w:val="22"/>
        </w:rPr>
        <w:t xml:space="preserve"> codes are listed in </w:t>
      </w:r>
      <w:r w:rsidRPr="00995CF1">
        <w:rPr>
          <w:rFonts w:ascii="Arial" w:hAnsi="Arial" w:cs="Arial"/>
          <w:b/>
          <w:bCs/>
          <w:sz w:val="22"/>
          <w:szCs w:val="22"/>
        </w:rPr>
        <w:t>Supplemental Table 1</w:t>
      </w:r>
      <w:r w:rsidRPr="00995CF1">
        <w:rPr>
          <w:rFonts w:ascii="Arial" w:hAnsi="Arial" w:cs="Arial"/>
          <w:sz w:val="22"/>
          <w:szCs w:val="22"/>
        </w:rPr>
        <w:t xml:space="preserve">). </w:t>
      </w:r>
      <w:r w:rsidR="00087D86" w:rsidRPr="00995CF1">
        <w:rPr>
          <w:rFonts w:ascii="Arial" w:hAnsi="Arial" w:cs="Arial"/>
          <w:sz w:val="22"/>
          <w:szCs w:val="22"/>
        </w:rPr>
        <w:t xml:space="preserve">We also excluded patients on a combined total daily sotalol dose &lt; 160 mg on the index date, the lowest FDA labeled dose for management of </w:t>
      </w:r>
      <w:r w:rsidR="009C4828">
        <w:rPr>
          <w:rFonts w:ascii="Arial" w:hAnsi="Arial" w:cs="Arial"/>
          <w:sz w:val="22"/>
          <w:szCs w:val="22"/>
        </w:rPr>
        <w:t>AF</w:t>
      </w:r>
      <w:r w:rsidR="00087D86" w:rsidRPr="00995CF1">
        <w:rPr>
          <w:rFonts w:ascii="Arial" w:hAnsi="Arial" w:cs="Arial"/>
          <w:sz w:val="22"/>
          <w:szCs w:val="22"/>
        </w:rPr>
        <w:t xml:space="preserve"> in patients without chronic kidney disease.</w:t>
      </w:r>
      <w:r w:rsidR="00087D86" w:rsidRPr="00995CF1">
        <w:rPr>
          <w:rFonts w:ascii="Arial" w:hAnsi="Arial" w:cs="Arial"/>
          <w:sz w:val="22"/>
          <w:szCs w:val="22"/>
        </w:rPr>
        <w:fldChar w:fldCharType="begin"/>
      </w:r>
      <w:r w:rsidR="00335DF6">
        <w:rPr>
          <w:rFonts w:ascii="Arial" w:hAnsi="Arial" w:cs="Arial"/>
          <w:sz w:val="22"/>
          <w:szCs w:val="22"/>
        </w:rPr>
        <w:instrText xml:space="preserve"> ADDIN ZOTERO_ITEM CSL_CITATION {"citationID":"LDLzZ6Qi","properties":{"formattedCitation":"\\super 17\\nosupersub{}","plainCitation":"17","noteIndex":0},"citationItems":[{"id":316,"uris":["http://zotero.org/users/9045539/items/G79LN2LD"],"itemData":{"id":316,"type":"document","publisher":"Food and Drug Administration","title":"BETAPACE AF® (sotalol HCl)","URL":"https://www.accessdata.fda.gov/drugsatfda_docs/label/2011/021151s010lbl.pdf"}}],"schema":"https://github.com/citation-style-language/schema/raw/master/csl-citation.json"} </w:instrText>
      </w:r>
      <w:r w:rsidR="00087D86" w:rsidRPr="00995CF1">
        <w:rPr>
          <w:rFonts w:ascii="Arial" w:hAnsi="Arial" w:cs="Arial"/>
          <w:sz w:val="22"/>
          <w:szCs w:val="22"/>
        </w:rPr>
        <w:fldChar w:fldCharType="separate"/>
      </w:r>
      <w:r w:rsidR="00335DF6" w:rsidRPr="00335DF6">
        <w:rPr>
          <w:rFonts w:ascii="Arial" w:hAnsi="Arial" w:cs="Arial"/>
          <w:sz w:val="22"/>
          <w:vertAlign w:val="superscript"/>
        </w:rPr>
        <w:t>17</w:t>
      </w:r>
      <w:r w:rsidR="00087D86" w:rsidRPr="00995CF1">
        <w:rPr>
          <w:rFonts w:ascii="Arial" w:hAnsi="Arial" w:cs="Arial"/>
          <w:sz w:val="22"/>
          <w:szCs w:val="22"/>
        </w:rPr>
        <w:fldChar w:fldCharType="end"/>
      </w:r>
      <w:r w:rsidR="00126827">
        <w:rPr>
          <w:rFonts w:ascii="Arial" w:hAnsi="Arial" w:cs="Arial"/>
          <w:sz w:val="22"/>
          <w:szCs w:val="22"/>
        </w:rPr>
        <w:t xml:space="preserve"> </w:t>
      </w:r>
      <w:r w:rsidRPr="00995CF1">
        <w:rPr>
          <w:rFonts w:ascii="Arial" w:hAnsi="Arial" w:cs="Arial"/>
          <w:b/>
          <w:bCs/>
          <w:sz w:val="22"/>
          <w:szCs w:val="22"/>
        </w:rPr>
        <w:t>Figure 1</w:t>
      </w:r>
      <w:r w:rsidRPr="00995CF1">
        <w:rPr>
          <w:rFonts w:ascii="Arial" w:hAnsi="Arial" w:cs="Arial"/>
          <w:sz w:val="22"/>
          <w:szCs w:val="22"/>
        </w:rPr>
        <w:t xml:space="preserve"> summarizes the study design and assessment windows for inclusion, exclusions, and covariates. </w:t>
      </w:r>
    </w:p>
    <w:p w14:paraId="7CF82CDA" w14:textId="6F007CD0" w:rsidR="00B641DB" w:rsidRDefault="00B641DB" w:rsidP="00D405B9">
      <w:pPr>
        <w:spacing w:line="480" w:lineRule="auto"/>
        <w:rPr>
          <w:rFonts w:ascii="Arial" w:hAnsi="Arial" w:cs="Arial"/>
          <w:sz w:val="22"/>
          <w:szCs w:val="22"/>
        </w:rPr>
      </w:pPr>
    </w:p>
    <w:p w14:paraId="00C13239" w14:textId="1596AD03" w:rsidR="00B641DB" w:rsidRPr="00995CF1" w:rsidRDefault="00B641DB" w:rsidP="00D405B9">
      <w:pPr>
        <w:spacing w:line="480" w:lineRule="auto"/>
        <w:rPr>
          <w:rFonts w:ascii="Arial" w:hAnsi="Arial" w:cs="Arial"/>
          <w:sz w:val="22"/>
          <w:szCs w:val="22"/>
        </w:rPr>
      </w:pPr>
      <w:r>
        <w:rPr>
          <w:rFonts w:ascii="Arial" w:hAnsi="Arial" w:cs="Arial"/>
          <w:sz w:val="22"/>
          <w:szCs w:val="22"/>
        </w:rPr>
        <w:t>Baseline characteristics and covariates were identified using previously described and validated methods using the cross-linked dataset detailed above.</w:t>
      </w:r>
      <w:r>
        <w:rPr>
          <w:rFonts w:ascii="Arial" w:hAnsi="Arial" w:cs="Arial"/>
          <w:sz w:val="22"/>
          <w:szCs w:val="22"/>
        </w:rPr>
        <w:fldChar w:fldCharType="begin"/>
      </w:r>
      <w:r w:rsidR="006D74F4">
        <w:rPr>
          <w:rFonts w:ascii="Arial" w:hAnsi="Arial" w:cs="Arial"/>
          <w:sz w:val="22"/>
          <w:szCs w:val="22"/>
        </w:rPr>
        <w:instrText xml:space="preserve"> ADDIN ZOTERO_ITEM CSL_CITATION {"citationID":"vMqaoZ8F","properties":{"formattedCitation":"\\super 5,18,19\\nosupersub{}","plainCitation":"5,18,19","noteIndex":0},"citationItems":[{"id":306,"uris":["http://zotero.org/users/9045539/items/F3NI2J6G"],"itemData":{"id":306,"type":"article-journal","abstract":"BACKGROUND: Despite endorsement of digoxin in clinical practice guidelines, there exist limited data on its safety in atrial fibrillation/flutter (AF).\nOBJECTIVES: The goal of this study was to evaluate the association of digoxin with mortality in AF.\nMETHODS: Using complete data of the TREAT-AF (The Retrospective Evaluation and Assessment of Therapies in AF) study from the U.S. Department of Veterans Affairs (VA) healthcare system, we identified patients with newly diagnosed, nonvalvular AF seen within 90 days in an outpatient setting between VA fiscal years 2004 and 2008. We used multivariate and propensity-matched Cox proportional hazards to evaluate the association of digoxin use with death. Residual confounding was assessed by sensitivity analysis.\nRESULTS: Of 122,465 patients with 353,168 person-years of follow-up (age 72.1 ± 10.3 years, 98.4% male), 28,679 (23.4%) patients received digoxin. Cumulative mortality rates were higher for digoxin-treated patients than for untreated patients (95 vs. 67 per 1,000 person-years; p &lt; 0.001). Digoxin use was independently associated with mortality after multivariate adjustment (hazard ratio [HR]: 1.26, 95% confidence interval [CI]: 1.23 to 1.29, p &lt; 0.001) and propensity matching (HR: 1.21, 95% CI: 1.17 to 1.25, p &lt; 0.001), even after adjustment for drug adherence. The risk of death was not modified by age, sex, heart failure, kidney function, or concomitant use of beta-blockers, amiodarone, or warfarin.\nCONCLUSIONS: Digoxin was associated with increased risk of death in patients with newly diagnosed AF, independent of drug adherence, kidney function, cardiovascular comorbidities, and concomitant therapies. These findings challenge current cardiovascular society recommendations on use of digoxin in AF.","container-title":"Journal of the American College of Cardiology","DOI":"10.1016/j.jacc.2014.03.060","ISSN":"1558-3597","issue":"7","journalAbbreviation":"J Am Coll Cardiol","language":"eng","note":"PMID: 25125296\nPMCID: PMC4405246","page":"660-668","source":"PubMed","title":"Increased mortality associated with digoxin in contemporary patients with atrial fibrillation: findings from the TREAT-AF study","title-short":"Increased mortality associated with digoxin in contemporary patients with atrial fibrillation","volume":"64","author":[{"family":"Turakhia","given":"Mintu P."},{"family":"Santangeli","given":"Pasquale"},{"family":"Winkelmayer","given":"Wolfgang C."},{"family":"Xu","given":"Xiangyan"},{"family":"Ullal","given":"Aditya J."},{"family":"Than","given":"Claire T."},{"family":"Schmitt","given":"Susan"},{"family":"Holmes","given":"Tyson H."},{"family":"Frayne","given":"Susan M."},{"family":"Phibbs","given":"Ciaran S."},{"family":"Yang","given":"Felix"},{"family":"Hoang","given":"Donald D."},{"family":"Ho","given":"P. Michael"},{"family":"Heidenreich","given":"Paul A."}],"issued":{"date-parts":[["2014",8,19]]}}},{"id":349,"uris":["http://zotero.org/users/9045539/items/A9X6CJIL"],"itemData":{"id":349,"type":"article-journal","container-title":"Medical Care","DOI":"10.1097/01.mlr.0000182534.19832.83","ISSN":"0025-7079","issue":"11","journalAbbreviation":"Medical Care","language":"en","page":"1130-1139","source":"DOI.org (Crossref)","title":"Coding Algorithms for Defining Comorbidities in ICD-9-CM and ICD-10 Administrative Data:","title-short":"Coding Algorithms for Defining Comorbidities in ICD-9-CM and ICD-10 Administrative Data","volume":"43","author":[{"family":"Quan","given":"Hude"},{"family":"Sundararajan","given":"Vijaya"},{"family":"Halfon","given":"Patricia"},{"family":"Fong","given":"Andrew"},{"family":"Burnand","given":"Bernard"},{"family":"Luthi","given":"Jean-Christophe"},{"family":"Saunders","given":"L Duncan"},{"family":"Beck","given":"Cynthia A."},{"family":"Feasby","given":"Thomas E."},{"family":"Ghali","given":"William A."}],"issued":{"date-parts":[["2005",11]]}}},{"id":350,"uris":["http://zotero.org/users/9045539/items/SEQCT2M9"],"itemData":{"id":350,"type":"article-journal","container-title":"JAMA","DOI":"10.1001/jama.285.22.2864","ISSN":"0098-7484","issue":"22","journalAbbreviation":"JAMA","language":"en","page":"2864","source":"DOI.org (Crossref)","title":"Validation of Clinical Classification Schemes for Predicting Stroke: Results From the National Registry of Atrial Fibrillation","title-short":"Validation of Clinical Classification Schemes for Predicting Stroke","volume":"285","author":[{"family":"Gage","given":"Brian F."},{"family":"Waterman","given":"Amy D."},{"family":"Shannon","given":"William"},{"family":"Boechler","given":"Michael"},{"family":"Rich","given":"Michael W."},{"family":"Radford","given":"Martha J."}],"issued":{"date-parts":[["2001",6,13]]}}}],"schema":"https://github.com/citation-style-language/schema/raw/master/csl-citation.json"} </w:instrText>
      </w:r>
      <w:r>
        <w:rPr>
          <w:rFonts w:ascii="Arial" w:hAnsi="Arial" w:cs="Arial"/>
          <w:sz w:val="22"/>
          <w:szCs w:val="22"/>
        </w:rPr>
        <w:fldChar w:fldCharType="separate"/>
      </w:r>
      <w:r w:rsidR="006D74F4" w:rsidRPr="006D74F4">
        <w:rPr>
          <w:rFonts w:ascii="Arial" w:hAnsi="Arial" w:cs="Arial"/>
          <w:sz w:val="22"/>
          <w:vertAlign w:val="superscript"/>
        </w:rPr>
        <w:t>5,18,19</w:t>
      </w:r>
      <w:r>
        <w:rPr>
          <w:rFonts w:ascii="Arial" w:hAnsi="Arial" w:cs="Arial"/>
          <w:sz w:val="22"/>
          <w:szCs w:val="22"/>
        </w:rPr>
        <w:fldChar w:fldCharType="end"/>
      </w:r>
      <w:r>
        <w:rPr>
          <w:rFonts w:ascii="Arial" w:hAnsi="Arial" w:cs="Arial"/>
          <w:sz w:val="22"/>
          <w:szCs w:val="22"/>
        </w:rPr>
        <w:t xml:space="preserve"> In the VA, left ventricular ejection fraction (LVEF) has been extracted from 2012 onward using natural language processing of echocardiography reports, radiologic reports, and clinical notes, with a positive predictive value exceeding 95%.</w:t>
      </w:r>
      <w:r>
        <w:rPr>
          <w:rFonts w:ascii="Arial" w:hAnsi="Arial" w:cs="Arial"/>
          <w:sz w:val="22"/>
          <w:szCs w:val="22"/>
        </w:rPr>
        <w:fldChar w:fldCharType="begin"/>
      </w:r>
      <w:r>
        <w:rPr>
          <w:rFonts w:ascii="Arial" w:hAnsi="Arial" w:cs="Arial"/>
          <w:sz w:val="22"/>
          <w:szCs w:val="22"/>
        </w:rPr>
        <w:instrText xml:space="preserve"> ADDIN ZOTERO_ITEM CSL_CITATION {"citationID":"07sRCCAO","properties":{"formattedCitation":"\\super 20,21\\nosupersub{}","plainCitation":"20,21","noteIndex":0},"citationItems":[{"id":61,"uris":["http://zotero.org/users/9045539/items/S7N9C4TV"],"itemData":{"id":61,"type":"article-journal","container-title":"BMC Cardiovascular Disorders","DOI":"10.1186/s12872-017-0580-8","ISSN":"1471-2261","issue":"1","journalAbbreviation":"BMC Cardiovasc Disord","language":"en","page":"151","source":"DOI.org (Crossref)","title":"Unlocking echocardiogram measurements for heart disease research through natural language processing","volume":"17","author":[{"family":"Patterson","given":"Olga V."},{"family":"Freiberg","given":"Matthew S."},{"family":"Skanderson","given":"Melissa"},{"family":"J. Fodeh","given":"Samah"},{"family":"Brandt","given":"Cynthia A."},{"family":"DuVall","given":"Scott L."}],"issued":{"date-parts":[["2017",12]]}}},{"id":353,"uris":["http://zotero.org/users/9045539/items/NFTY8TBK"],"itemData":{"id":353,"type":"article-journal","container-title":"Journal of Biomedical Informatics","DOI":"10.1016/j.jbi.2017.01.017","ISSN":"15320464","journalAbbreviation":"Journal of Biomedical Informatics","language":"en","page":"42-48","source":"DOI.org (Crossref)","title":"Extraction of left ventricular ejection fraction information from various types of clinical reports","volume":"67","author":[{"family":"Kim","given":"Youngjun"},{"family":"Garvin","given":"Jennifer H."},{"family":"Goldstein","given":"Mary K."},{"family":"Hwang","given":"Tammy S."},{"family":"Redd","given":"Andrew"},{"family":"Bolton","given":"Dan"},{"family":"Heidenreich","given":"Paul A."},{"family":"Meystre","given":"Stéphane M."}],"issued":{"date-parts":[["2017",3]]}}}],"schema":"https://github.com/citation-style-language/schema/raw/master/csl-citation.json"} </w:instrText>
      </w:r>
      <w:r>
        <w:rPr>
          <w:rFonts w:ascii="Arial" w:hAnsi="Arial" w:cs="Arial"/>
          <w:sz w:val="22"/>
          <w:szCs w:val="22"/>
        </w:rPr>
        <w:fldChar w:fldCharType="separate"/>
      </w:r>
      <w:r w:rsidRPr="00B641DB">
        <w:rPr>
          <w:rFonts w:ascii="Arial" w:hAnsi="Arial" w:cs="Arial"/>
          <w:sz w:val="22"/>
          <w:vertAlign w:val="superscript"/>
        </w:rPr>
        <w:t>20,21</w:t>
      </w:r>
      <w:r>
        <w:rPr>
          <w:rFonts w:ascii="Arial" w:hAnsi="Arial" w:cs="Arial"/>
          <w:sz w:val="22"/>
          <w:szCs w:val="22"/>
        </w:rPr>
        <w:fldChar w:fldCharType="end"/>
      </w:r>
      <w:r>
        <w:rPr>
          <w:rFonts w:ascii="Arial" w:hAnsi="Arial" w:cs="Arial"/>
          <w:sz w:val="22"/>
          <w:szCs w:val="22"/>
        </w:rPr>
        <w:t xml:space="preserve"> </w:t>
      </w:r>
      <w:r w:rsidR="00A460AB">
        <w:rPr>
          <w:rFonts w:ascii="Arial" w:hAnsi="Arial" w:cs="Arial"/>
          <w:sz w:val="22"/>
          <w:szCs w:val="22"/>
        </w:rPr>
        <w:t xml:space="preserve">LVEF was ascertained within the 180 days prior to the index date, excluding extreme/non-plausible values (&lt;10% or &gt;75%). </w:t>
      </w:r>
      <w:r>
        <w:rPr>
          <w:rFonts w:ascii="Arial" w:hAnsi="Arial" w:cs="Arial"/>
          <w:sz w:val="22"/>
          <w:szCs w:val="22"/>
        </w:rPr>
        <w:t xml:space="preserve">For patients with more than one LVEF, we used the chronologically most recent value. </w:t>
      </w:r>
    </w:p>
    <w:p w14:paraId="5F5A9DBF" w14:textId="7494585F" w:rsidR="008550E5" w:rsidRPr="00995CF1" w:rsidRDefault="008550E5" w:rsidP="00D405B9">
      <w:pPr>
        <w:spacing w:line="480" w:lineRule="auto"/>
        <w:rPr>
          <w:rFonts w:ascii="Arial" w:hAnsi="Arial" w:cs="Arial"/>
          <w:sz w:val="22"/>
          <w:szCs w:val="22"/>
        </w:rPr>
      </w:pPr>
    </w:p>
    <w:p w14:paraId="325DD9B6" w14:textId="77777777" w:rsidR="008550E5" w:rsidRPr="00A86AAC" w:rsidRDefault="008550E5" w:rsidP="008550E5">
      <w:pPr>
        <w:spacing w:line="480" w:lineRule="auto"/>
        <w:rPr>
          <w:rFonts w:ascii="Arial" w:hAnsi="Arial" w:cs="Arial"/>
          <w:sz w:val="22"/>
          <w:szCs w:val="22"/>
          <w:u w:val="single"/>
        </w:rPr>
      </w:pPr>
      <w:r w:rsidRPr="00A86AAC">
        <w:rPr>
          <w:rFonts w:ascii="Arial" w:hAnsi="Arial" w:cs="Arial"/>
          <w:sz w:val="22"/>
          <w:szCs w:val="22"/>
          <w:u w:val="single"/>
        </w:rPr>
        <w:t>Exposures</w:t>
      </w:r>
    </w:p>
    <w:p w14:paraId="79FAEC99" w14:textId="51F9C1E4" w:rsidR="0062511D" w:rsidRPr="00995CF1" w:rsidRDefault="008550E5" w:rsidP="0062511D">
      <w:pPr>
        <w:spacing w:line="480" w:lineRule="auto"/>
        <w:rPr>
          <w:rFonts w:ascii="Arial" w:hAnsi="Arial" w:cs="Arial"/>
          <w:sz w:val="22"/>
          <w:szCs w:val="22"/>
        </w:rPr>
      </w:pPr>
      <w:r w:rsidRPr="00995CF1">
        <w:rPr>
          <w:rFonts w:ascii="Arial" w:hAnsi="Arial" w:cs="Arial"/>
          <w:sz w:val="22"/>
          <w:szCs w:val="22"/>
        </w:rPr>
        <w:t>The primary exposure</w:t>
      </w:r>
      <w:r w:rsidR="0062511D" w:rsidRPr="00995CF1">
        <w:rPr>
          <w:rFonts w:ascii="Arial" w:hAnsi="Arial" w:cs="Arial"/>
          <w:sz w:val="22"/>
          <w:szCs w:val="22"/>
        </w:rPr>
        <w:t xml:space="preserve">s were sotalol or dronedarone. Patients were deemed to have continuous exposure </w:t>
      </w:r>
      <w:proofErr w:type="gramStart"/>
      <w:r w:rsidR="0062511D" w:rsidRPr="00995CF1">
        <w:rPr>
          <w:rFonts w:ascii="Arial" w:hAnsi="Arial" w:cs="Arial"/>
          <w:sz w:val="22"/>
          <w:szCs w:val="22"/>
        </w:rPr>
        <w:t>as long as</w:t>
      </w:r>
      <w:proofErr w:type="gramEnd"/>
      <w:r w:rsidR="0062511D" w:rsidRPr="00995CF1">
        <w:rPr>
          <w:rFonts w:ascii="Arial" w:hAnsi="Arial" w:cs="Arial"/>
          <w:sz w:val="22"/>
          <w:szCs w:val="22"/>
        </w:rPr>
        <w:t xml:space="preserve"> there were no gaps &gt;30 days in prescription coverage, based on pill counts and subsequent prescription</w:t>
      </w:r>
      <w:r w:rsidR="000C34E9" w:rsidRPr="00995CF1">
        <w:rPr>
          <w:rFonts w:ascii="Arial" w:hAnsi="Arial" w:cs="Arial"/>
          <w:sz w:val="22"/>
          <w:szCs w:val="22"/>
        </w:rPr>
        <w:t xml:space="preserve"> fills</w:t>
      </w:r>
      <w:r w:rsidR="0062511D" w:rsidRPr="00995CF1">
        <w:rPr>
          <w:rFonts w:ascii="Arial" w:hAnsi="Arial" w:cs="Arial"/>
          <w:sz w:val="22"/>
          <w:szCs w:val="22"/>
        </w:rPr>
        <w:t>. Patients were censored</w:t>
      </w:r>
      <w:r w:rsidR="000C34E9" w:rsidRPr="00995CF1">
        <w:rPr>
          <w:rFonts w:ascii="Arial" w:hAnsi="Arial" w:cs="Arial"/>
          <w:sz w:val="22"/>
          <w:szCs w:val="22"/>
        </w:rPr>
        <w:t xml:space="preserve"> </w:t>
      </w:r>
      <w:r w:rsidR="0062511D" w:rsidRPr="00995CF1">
        <w:rPr>
          <w:rFonts w:ascii="Arial" w:hAnsi="Arial" w:cs="Arial"/>
          <w:sz w:val="22"/>
          <w:szCs w:val="22"/>
        </w:rPr>
        <w:t xml:space="preserve">if they had gaps &gt;30 days or if the prescription was discontinued. </w:t>
      </w:r>
    </w:p>
    <w:p w14:paraId="7A0F2726" w14:textId="77777777" w:rsidR="008550E5" w:rsidRPr="00995CF1" w:rsidRDefault="008550E5" w:rsidP="00D405B9">
      <w:pPr>
        <w:spacing w:line="480" w:lineRule="auto"/>
        <w:rPr>
          <w:rFonts w:ascii="Arial" w:hAnsi="Arial" w:cs="Arial"/>
          <w:sz w:val="22"/>
          <w:szCs w:val="22"/>
        </w:rPr>
      </w:pPr>
    </w:p>
    <w:p w14:paraId="4F59DDB5" w14:textId="7F3DB6C4" w:rsidR="00C957B3" w:rsidRPr="00A86AAC" w:rsidRDefault="0062511D" w:rsidP="00D405B9">
      <w:pPr>
        <w:spacing w:line="480" w:lineRule="auto"/>
        <w:rPr>
          <w:rFonts w:ascii="Arial" w:hAnsi="Arial" w:cs="Arial"/>
          <w:sz w:val="22"/>
          <w:szCs w:val="22"/>
          <w:u w:val="single"/>
        </w:rPr>
      </w:pPr>
      <w:r w:rsidRPr="00A86AAC">
        <w:rPr>
          <w:rFonts w:ascii="Arial" w:hAnsi="Arial" w:cs="Arial"/>
          <w:sz w:val="22"/>
          <w:szCs w:val="22"/>
          <w:u w:val="single"/>
        </w:rPr>
        <w:t>Propensity Score Matching</w:t>
      </w:r>
    </w:p>
    <w:p w14:paraId="2DE78B28" w14:textId="482522AB" w:rsidR="009960F6" w:rsidRPr="00995CF1" w:rsidRDefault="00A66B67" w:rsidP="00D405B9">
      <w:pPr>
        <w:spacing w:line="480" w:lineRule="auto"/>
        <w:rPr>
          <w:rFonts w:ascii="Arial" w:hAnsi="Arial" w:cs="Arial"/>
          <w:sz w:val="22"/>
          <w:szCs w:val="22"/>
        </w:rPr>
      </w:pPr>
      <w:r w:rsidRPr="00995CF1">
        <w:rPr>
          <w:rFonts w:ascii="Arial" w:hAnsi="Arial" w:cs="Arial"/>
          <w:sz w:val="22"/>
          <w:szCs w:val="22"/>
        </w:rPr>
        <w:t xml:space="preserve">To compare the safety and clinical outcomes of dronedarone and sotalol, we performed propensity score matching (PSM) to balance baseline covariates and identify parallel treatment </w:t>
      </w:r>
      <w:r w:rsidR="00FC4E4F" w:rsidRPr="00995CF1">
        <w:rPr>
          <w:rFonts w:ascii="Arial" w:hAnsi="Arial" w:cs="Arial"/>
          <w:sz w:val="22"/>
          <w:szCs w:val="22"/>
        </w:rPr>
        <w:t>cohorts</w:t>
      </w:r>
      <w:r w:rsidRPr="00995CF1">
        <w:rPr>
          <w:rFonts w:ascii="Arial" w:hAnsi="Arial" w:cs="Arial"/>
          <w:sz w:val="22"/>
          <w:szCs w:val="22"/>
        </w:rPr>
        <w:t xml:space="preserve">. Propensity scores were calculated using logistic regression, with conditional probability of dronedarone prescription. </w:t>
      </w:r>
      <w:r w:rsidR="003760D7" w:rsidRPr="00995CF1">
        <w:rPr>
          <w:rFonts w:ascii="Arial" w:hAnsi="Arial" w:cs="Arial"/>
          <w:sz w:val="22"/>
          <w:szCs w:val="22"/>
        </w:rPr>
        <w:t xml:space="preserve">A matching caliper of 0.03 was used to match patients using greedy nearest neighbor matching with a 1:1 ratio. </w:t>
      </w:r>
      <w:r w:rsidRPr="00995CF1">
        <w:rPr>
          <w:rFonts w:ascii="Arial" w:hAnsi="Arial" w:cs="Arial"/>
          <w:sz w:val="22"/>
          <w:szCs w:val="22"/>
        </w:rPr>
        <w:t xml:space="preserve">The primary covariates included </w:t>
      </w:r>
      <w:r w:rsidRPr="00995CF1">
        <w:rPr>
          <w:rFonts w:ascii="Arial" w:hAnsi="Arial" w:cs="Arial"/>
          <w:sz w:val="22"/>
          <w:szCs w:val="22"/>
        </w:rPr>
        <w:lastRenderedPageBreak/>
        <w:t xml:space="preserve">demographic factors, AF diagnosis history, healthcare utilization, comorbidities, and concomitant medications, as noted in </w:t>
      </w:r>
      <w:r w:rsidRPr="00995CF1">
        <w:rPr>
          <w:rFonts w:ascii="Arial" w:hAnsi="Arial" w:cs="Arial"/>
          <w:b/>
          <w:bCs/>
          <w:sz w:val="22"/>
          <w:szCs w:val="22"/>
        </w:rPr>
        <w:t xml:space="preserve">Table </w:t>
      </w:r>
      <w:r w:rsidR="002C5301" w:rsidRPr="00995CF1">
        <w:rPr>
          <w:rFonts w:ascii="Arial" w:hAnsi="Arial" w:cs="Arial"/>
          <w:b/>
          <w:bCs/>
          <w:sz w:val="22"/>
          <w:szCs w:val="22"/>
        </w:rPr>
        <w:t>1</w:t>
      </w:r>
      <w:r w:rsidRPr="00995CF1">
        <w:rPr>
          <w:rFonts w:ascii="Arial" w:hAnsi="Arial" w:cs="Arial"/>
          <w:sz w:val="22"/>
          <w:szCs w:val="22"/>
        </w:rPr>
        <w:t xml:space="preserve">. </w:t>
      </w:r>
      <w:r w:rsidR="00582AB4">
        <w:rPr>
          <w:rFonts w:ascii="Arial" w:hAnsi="Arial" w:cs="Arial"/>
          <w:sz w:val="22"/>
          <w:szCs w:val="22"/>
        </w:rPr>
        <w:t xml:space="preserve">Baseline LVEF was not used for propensity matching as it was only available in 51% of patients. </w:t>
      </w:r>
      <w:r w:rsidRPr="00995CF1">
        <w:rPr>
          <w:rFonts w:ascii="Arial" w:hAnsi="Arial" w:cs="Arial"/>
          <w:sz w:val="22"/>
          <w:szCs w:val="22"/>
        </w:rPr>
        <w:t>Balance diagnostics were assessed using standardized difference in baseline covariates before and after PSM</w:t>
      </w:r>
      <w:r w:rsidR="003760D7" w:rsidRPr="00995CF1">
        <w:rPr>
          <w:rFonts w:ascii="Arial" w:hAnsi="Arial" w:cs="Arial"/>
          <w:sz w:val="22"/>
          <w:szCs w:val="22"/>
        </w:rPr>
        <w:t xml:space="preserve"> and visual examination of the overlap in distribution of propensity scores</w:t>
      </w:r>
      <w:r w:rsidRPr="00995CF1">
        <w:rPr>
          <w:rFonts w:ascii="Arial" w:hAnsi="Arial" w:cs="Arial"/>
          <w:sz w:val="22"/>
          <w:szCs w:val="22"/>
        </w:rPr>
        <w:t>. A standardized difference after PSM &lt;0.1 is generally deemed acceptable</w:t>
      </w:r>
      <w:r w:rsidR="002C5301" w:rsidRPr="00995CF1">
        <w:rPr>
          <w:rFonts w:ascii="Arial" w:hAnsi="Arial" w:cs="Arial"/>
          <w:sz w:val="22"/>
          <w:szCs w:val="22"/>
        </w:rPr>
        <w:t xml:space="preserve"> (</w:t>
      </w:r>
      <w:r w:rsidR="002C5301" w:rsidRPr="00995CF1">
        <w:rPr>
          <w:rFonts w:ascii="Arial" w:hAnsi="Arial" w:cs="Arial"/>
          <w:b/>
          <w:bCs/>
          <w:sz w:val="22"/>
          <w:szCs w:val="22"/>
        </w:rPr>
        <w:t>Table 1</w:t>
      </w:r>
      <w:r w:rsidR="002C5301" w:rsidRPr="00995CF1">
        <w:rPr>
          <w:rFonts w:ascii="Arial" w:hAnsi="Arial" w:cs="Arial"/>
          <w:sz w:val="22"/>
          <w:szCs w:val="22"/>
        </w:rPr>
        <w:t>)</w:t>
      </w:r>
      <w:r w:rsidRPr="00995CF1">
        <w:rPr>
          <w:rFonts w:ascii="Arial" w:hAnsi="Arial" w:cs="Arial"/>
          <w:sz w:val="22"/>
          <w:szCs w:val="22"/>
        </w:rPr>
        <w:t>.</w:t>
      </w:r>
      <w:r w:rsidR="003760D7" w:rsidRPr="00995CF1">
        <w:rPr>
          <w:rFonts w:ascii="Arial" w:hAnsi="Arial" w:cs="Arial"/>
          <w:sz w:val="22"/>
          <w:szCs w:val="22"/>
        </w:rPr>
        <w:fldChar w:fldCharType="begin"/>
      </w:r>
      <w:r w:rsidR="00B641DB">
        <w:rPr>
          <w:rFonts w:ascii="Arial" w:hAnsi="Arial" w:cs="Arial"/>
          <w:sz w:val="22"/>
          <w:szCs w:val="22"/>
        </w:rPr>
        <w:instrText xml:space="preserve"> ADDIN ZOTERO_ITEM CSL_CITATION {"citationID":"mc0K9qCy","properties":{"formattedCitation":"\\super 22\\nosupersub{}","plainCitation":"22","noteIndex":0},"citationItems":[{"id":309,"uris":["http://zotero.org/users/9045539/items/9K7TLP6U"],"itemData":{"id":309,"type":"article-journal","abstract":"The propensity score is a subject's probability of treatment, conditional on observed baseline covariates. Conditional on the true propensity score, treated and untreated subjects have similar distributions of observed baseline covariates. Propensity-score matching is a popular method of using the propensity score in the medical literature. Using this approach, matched sets of treated and untreated subjects with similar values of the propensity score are formed. Inferences about treatment effect made using propensity-score matching are valid only if, in the matched sample, treated and untreated subjects have similar distributions of measured baseline covariates. In this paper we discuss the following methods for assessing whether the propensity score model has been correctly specified: comparing means and prevalences of baseline characteristics using standardized differences; ratios comparing the variance of continuous covariates between treated and untreated subjects; comparison of higher order moments and interactions; five-number summaries; and graphical methods such as quantile-quantile plots, side-by-side boxplots, and non-parametric density plots for comparing the distribution of baseline covariates between treatment groups. We describe methods to determine the sampling distribution of the standardized difference when the true standardized difference is equal to zero, thereby allowing one to determine the range of standardized differences that are plausible with the propensity score model having been correctly specified. We highlight the limitations of some previously used methods for assessing the adequacy of the specification of the propensity-score model. In particular, methods based on comparing the distribution of the estimated propensity score between treated and untreated subjects are uninformative.","container-title":"Statistics in Medicine","DOI":"10.1002/sim.3697","ISSN":"1097-0258","issue":"25","journalAbbreviation":"Stat Med","language":"eng","note":"PMID: 19757444\nPMCID: PMC3472075","page":"3083-3107","source":"PubMed","title":"Balance diagnostics for comparing the distribution of baseline covariates between treatment groups in propensity-score matched samples","volume":"28","author":[{"family":"Austin","given":"Peter C."}],"issued":{"date-parts":[["2009",11,10]]}}}],"schema":"https://github.com/citation-style-language/schema/raw/master/csl-citation.json"} </w:instrText>
      </w:r>
      <w:r w:rsidR="003760D7" w:rsidRPr="00995CF1">
        <w:rPr>
          <w:rFonts w:ascii="Arial" w:hAnsi="Arial" w:cs="Arial"/>
          <w:sz w:val="22"/>
          <w:szCs w:val="22"/>
        </w:rPr>
        <w:fldChar w:fldCharType="separate"/>
      </w:r>
      <w:r w:rsidR="00B641DB" w:rsidRPr="00B641DB">
        <w:rPr>
          <w:rFonts w:ascii="Arial" w:hAnsi="Arial" w:cs="Arial"/>
          <w:sz w:val="22"/>
          <w:vertAlign w:val="superscript"/>
        </w:rPr>
        <w:t>22</w:t>
      </w:r>
      <w:r w:rsidR="003760D7" w:rsidRPr="00995CF1">
        <w:rPr>
          <w:rFonts w:ascii="Arial" w:hAnsi="Arial" w:cs="Arial"/>
          <w:sz w:val="22"/>
          <w:szCs w:val="22"/>
        </w:rPr>
        <w:fldChar w:fldCharType="end"/>
      </w:r>
      <w:r w:rsidR="00D30B4B" w:rsidRPr="00995CF1">
        <w:rPr>
          <w:rFonts w:ascii="Arial" w:hAnsi="Arial" w:cs="Arial"/>
          <w:sz w:val="22"/>
          <w:szCs w:val="22"/>
        </w:rPr>
        <w:t xml:space="preserve"> </w:t>
      </w:r>
    </w:p>
    <w:p w14:paraId="00BBA2A1" w14:textId="77777777" w:rsidR="0068012D" w:rsidRPr="00995CF1" w:rsidRDefault="0068012D" w:rsidP="00D405B9">
      <w:pPr>
        <w:spacing w:line="480" w:lineRule="auto"/>
        <w:rPr>
          <w:rFonts w:ascii="Arial" w:hAnsi="Arial" w:cs="Arial"/>
          <w:sz w:val="22"/>
          <w:szCs w:val="22"/>
        </w:rPr>
      </w:pPr>
    </w:p>
    <w:p w14:paraId="777C6754" w14:textId="1479521E" w:rsidR="00D30B4B" w:rsidRPr="00A86AAC" w:rsidRDefault="000B5FF1" w:rsidP="00D405B9">
      <w:pPr>
        <w:spacing w:line="480" w:lineRule="auto"/>
        <w:rPr>
          <w:rFonts w:ascii="Arial" w:hAnsi="Arial" w:cs="Arial"/>
          <w:sz w:val="22"/>
          <w:szCs w:val="22"/>
          <w:u w:val="single"/>
        </w:rPr>
      </w:pPr>
      <w:r w:rsidRPr="00A86AAC">
        <w:rPr>
          <w:rFonts w:ascii="Arial" w:hAnsi="Arial" w:cs="Arial"/>
          <w:sz w:val="22"/>
          <w:szCs w:val="22"/>
          <w:u w:val="single"/>
        </w:rPr>
        <w:t>Outcomes</w:t>
      </w:r>
    </w:p>
    <w:p w14:paraId="2A22F49C" w14:textId="668EFFF0" w:rsidR="000C34E9" w:rsidRDefault="00335DF6" w:rsidP="00D405B9">
      <w:pPr>
        <w:spacing w:line="480" w:lineRule="auto"/>
        <w:rPr>
          <w:rFonts w:ascii="Arial" w:hAnsi="Arial" w:cs="Arial"/>
          <w:sz w:val="22"/>
          <w:szCs w:val="22"/>
        </w:rPr>
      </w:pPr>
      <w:r>
        <w:rPr>
          <w:rFonts w:ascii="Arial" w:hAnsi="Arial" w:cs="Arial"/>
          <w:sz w:val="22"/>
          <w:szCs w:val="22"/>
        </w:rPr>
        <w:t>For our study outcomes, we deconstructed the primary cardiovascular hospitalization outcome from the ATHENA trial</w:t>
      </w:r>
      <w:r>
        <w:rPr>
          <w:rFonts w:ascii="Arial" w:hAnsi="Arial" w:cs="Arial"/>
          <w:sz w:val="22"/>
          <w:szCs w:val="22"/>
        </w:rPr>
        <w:fldChar w:fldCharType="begin"/>
      </w:r>
      <w:r w:rsidR="006D74F4">
        <w:rPr>
          <w:rFonts w:ascii="Arial" w:hAnsi="Arial" w:cs="Arial"/>
          <w:sz w:val="22"/>
          <w:szCs w:val="22"/>
        </w:rPr>
        <w:instrText xml:space="preserve"> ADDIN ZOTERO_ITEM CSL_CITATION {"citationID":"ZAklszyr","properties":{"formattedCitation":"\\super 7\\nosupersub{}","plainCitation":"7","noteIndex":0},"citationItems":[{"id":331,"uris":["http://zotero.org/users/9045539/items/7KA268CZ"],"itemData":{"id":331,"type":"article-journal","container-title":"New England Journal of Medicine","DOI":"10.1056/NEJMoa0803778","ISSN":"0028-4793, 1533-4406","issue":"7","journalAbbreviation":"N Engl J Med","language":"en","page":"668-678","source":"DOI.org (Crossref)","title":"Effect of Dronedarone on Cardiovascular Events in Atrial Fibrillation","volume":"360","author":[{"family":"Hohnloser","given":"Stefan H."},{"family":"Crijns","given":"Harry J.G.M."},{"family":"Eickels","given":"Martin","non-dropping-particle":"van"},{"family":"Gaudin","given":"Christophe"},{"family":"Page","given":"Richard L."},{"family":"Torp-Pedersen","given":"Christian"},{"family":"Connolly","given":"Stuart J."}],"issued":{"date-parts":[["2009",2,12]]}}}],"schema":"https://github.com/citation-style-language/schema/raw/master/csl-citation.json"} </w:instrText>
      </w:r>
      <w:r>
        <w:rPr>
          <w:rFonts w:ascii="Arial" w:hAnsi="Arial" w:cs="Arial"/>
          <w:sz w:val="22"/>
          <w:szCs w:val="22"/>
        </w:rPr>
        <w:fldChar w:fldCharType="separate"/>
      </w:r>
      <w:r w:rsidR="006D74F4" w:rsidRPr="006D74F4">
        <w:rPr>
          <w:rFonts w:ascii="Arial" w:hAnsi="Arial" w:cs="Arial"/>
          <w:sz w:val="22"/>
          <w:vertAlign w:val="superscript"/>
        </w:rPr>
        <w:t>7</w:t>
      </w:r>
      <w:r>
        <w:rPr>
          <w:rFonts w:ascii="Arial" w:hAnsi="Arial" w:cs="Arial"/>
          <w:sz w:val="22"/>
          <w:szCs w:val="22"/>
        </w:rPr>
        <w:fldChar w:fldCharType="end"/>
      </w:r>
      <w:r>
        <w:rPr>
          <w:rFonts w:ascii="Arial" w:hAnsi="Arial" w:cs="Arial"/>
          <w:sz w:val="22"/>
          <w:szCs w:val="22"/>
        </w:rPr>
        <w:t xml:space="preserve"> and incorporated pro-arrhythmia definitions from the EURIDIS</w:t>
      </w:r>
      <w:r w:rsidR="00950A0F">
        <w:rPr>
          <w:rFonts w:ascii="Arial" w:hAnsi="Arial" w:cs="Arial"/>
          <w:sz w:val="22"/>
          <w:szCs w:val="22"/>
        </w:rPr>
        <w:t>/ADONIS</w:t>
      </w:r>
      <w:r>
        <w:rPr>
          <w:rFonts w:ascii="Arial" w:hAnsi="Arial" w:cs="Arial"/>
          <w:sz w:val="22"/>
          <w:szCs w:val="22"/>
        </w:rPr>
        <w:t xml:space="preserve"> and DIONYSOS trials.</w:t>
      </w:r>
      <w:r>
        <w:rPr>
          <w:rFonts w:ascii="Arial" w:hAnsi="Arial" w:cs="Arial"/>
          <w:sz w:val="22"/>
          <w:szCs w:val="22"/>
        </w:rPr>
        <w:fldChar w:fldCharType="begin"/>
      </w:r>
      <w:r w:rsidR="00B641DB">
        <w:rPr>
          <w:rFonts w:ascii="Arial" w:hAnsi="Arial" w:cs="Arial"/>
          <w:sz w:val="22"/>
          <w:szCs w:val="22"/>
        </w:rPr>
        <w:instrText xml:space="preserve"> ADDIN ZOTERO_ITEM CSL_CITATION {"citationID":"RNVWsWgP","properties":{"formattedCitation":"\\super 23,24\\nosupersub{}","plainCitation":"23,24","noteIndex":0},"citationItems":[{"id":347,"uris":["http://zotero.org/users/9045539/items/34BWKW2U"],"itemData":{"id":347,"type":"article-journal","container-title":"New England Journal of Medicine","DOI":"10.1056/NEJMoa054686","ISSN":"0028-4793, 1533-4406","issue":"10","journalAbbreviation":"N Engl J Med","language":"en","page":"987-999","source":"DOI.org (Crossref)","title":"Dronedarone for Maintenance of Sinus Rhythm in Atrial Fibrillation or Flutter","volume":"357","author":[{"family":"Singh","given":"Bramah N."},{"family":"Connolly","given":"Stuart J."},{"family":"Crijns","given":"Harry J.G.M."},{"family":"Roy","given":"Denis"},{"family":"Kowey","given":"Peter R."},{"family":"Capucci","given":"Alessandro"},{"family":"Radzik","given":"David"},{"family":"Aliot","given":"Etienne M."},{"family":"Hohnloser","given":"Stefan H."}],"issued":{"date-parts":[["2007",9,6]]}}},{"id":348,"uris":["http://zotero.org/users/9045539/items/FZ5HQ75H"],"itemData":{"id":348,"type":"article-journal","container-title":"Journal of Cardiovascular Electrophysiology","DOI":"10.1111/j.1540-8167.2010.01764.x","ISSN":"10453873, 15408167","issue":"6","language":"en","page":"597-605","source":"DOI.org (Crossref)","title":"A Short-Term, Randomized, Double-Blind, Parallel-Group Study to Evaluate the Efficacy and Safety of Dronedarone versus Amiodarone in Patients with Persistent Atrial Fibrillation: The DIONYSOS Study","title-short":"A Short-Term, Randomized, Double-Blind, Parallel-Group Study to Evaluate the Efficacy and Safety of Dronedarone versus Amiodarone in Patients with Persistent Atrial Fibrillation","volume":"21","author":[{"family":"Le Heuzey","given":"Jean-Yves"},{"family":"De Ferrari","given":"Gaetano M."},{"family":"Radzik","given":"David"},{"family":"Santini","given":"Massimo"},{"family":"Zhu","given":"Junren"},{"family":"Davy","given":"Jean-Marc"}],"issued":{"date-parts":[["2010",4,6]]}}}],"schema":"https://github.com/citation-style-language/schema/raw/master/csl-citation.json"} </w:instrText>
      </w:r>
      <w:r>
        <w:rPr>
          <w:rFonts w:ascii="Arial" w:hAnsi="Arial" w:cs="Arial"/>
          <w:sz w:val="22"/>
          <w:szCs w:val="22"/>
        </w:rPr>
        <w:fldChar w:fldCharType="separate"/>
      </w:r>
      <w:r w:rsidR="00B641DB" w:rsidRPr="00B641DB">
        <w:rPr>
          <w:rFonts w:ascii="Arial" w:hAnsi="Arial" w:cs="Arial"/>
          <w:sz w:val="22"/>
          <w:vertAlign w:val="superscript"/>
        </w:rPr>
        <w:t>23,24</w:t>
      </w:r>
      <w:r>
        <w:rPr>
          <w:rFonts w:ascii="Arial" w:hAnsi="Arial" w:cs="Arial"/>
          <w:sz w:val="22"/>
          <w:szCs w:val="22"/>
        </w:rPr>
        <w:fldChar w:fldCharType="end"/>
      </w:r>
      <w:r>
        <w:rPr>
          <w:rFonts w:ascii="Arial" w:hAnsi="Arial" w:cs="Arial"/>
          <w:sz w:val="22"/>
          <w:szCs w:val="22"/>
        </w:rPr>
        <w:t xml:space="preserve"> </w:t>
      </w:r>
      <w:r w:rsidR="00B11FE0" w:rsidRPr="00995CF1">
        <w:rPr>
          <w:rFonts w:ascii="Arial" w:hAnsi="Arial" w:cs="Arial"/>
          <w:sz w:val="22"/>
          <w:szCs w:val="22"/>
        </w:rPr>
        <w:t xml:space="preserve">The primary outcomes were (1) cardiovascular hospitalization, defined as an inpatient claim with an ICD code for myocardial infarction, stroke, transient ischemic attack, heart failure, or </w:t>
      </w:r>
      <w:r w:rsidR="009C4828">
        <w:rPr>
          <w:rFonts w:ascii="Arial" w:hAnsi="Arial" w:cs="Arial"/>
          <w:sz w:val="22"/>
          <w:szCs w:val="22"/>
        </w:rPr>
        <w:t>AF</w:t>
      </w:r>
      <w:r w:rsidR="008363C3" w:rsidRPr="00995CF1">
        <w:rPr>
          <w:rFonts w:ascii="Arial" w:hAnsi="Arial" w:cs="Arial"/>
          <w:sz w:val="22"/>
          <w:szCs w:val="22"/>
        </w:rPr>
        <w:t xml:space="preserve"> in the primary diagnosis position;</w:t>
      </w:r>
      <w:r w:rsidR="00B11FE0" w:rsidRPr="00995CF1">
        <w:rPr>
          <w:rFonts w:ascii="Arial" w:hAnsi="Arial" w:cs="Arial"/>
          <w:sz w:val="22"/>
          <w:szCs w:val="22"/>
        </w:rPr>
        <w:t xml:space="preserve"> and (2) ventricular pro-arrhythmia, defined as an ambulatory or inpatient claim with an ICD code for ventricular fibrillation/flutter, ventricular tachycardia, </w:t>
      </w:r>
      <w:proofErr w:type="spellStart"/>
      <w:r w:rsidR="00B11FE0" w:rsidRPr="00995CF1">
        <w:rPr>
          <w:rFonts w:ascii="Arial" w:hAnsi="Arial" w:cs="Arial"/>
          <w:sz w:val="22"/>
          <w:szCs w:val="22"/>
        </w:rPr>
        <w:t>torsades</w:t>
      </w:r>
      <w:proofErr w:type="spellEnd"/>
      <w:r w:rsidR="00B11FE0" w:rsidRPr="00995CF1">
        <w:rPr>
          <w:rFonts w:ascii="Arial" w:hAnsi="Arial" w:cs="Arial"/>
          <w:sz w:val="22"/>
          <w:szCs w:val="22"/>
        </w:rPr>
        <w:t xml:space="preserve"> de pointes, re-entry ventricular arrhythmia, or cardiac arrest </w:t>
      </w:r>
      <w:r w:rsidR="008363C3" w:rsidRPr="00995CF1">
        <w:rPr>
          <w:rFonts w:ascii="Arial" w:hAnsi="Arial" w:cs="Arial"/>
          <w:sz w:val="22"/>
          <w:szCs w:val="22"/>
        </w:rPr>
        <w:t>in any diagnosis position</w:t>
      </w:r>
      <w:r w:rsidR="00B11FE0" w:rsidRPr="00995CF1">
        <w:rPr>
          <w:rFonts w:ascii="Arial" w:hAnsi="Arial" w:cs="Arial"/>
          <w:sz w:val="22"/>
          <w:szCs w:val="22"/>
        </w:rPr>
        <w:t xml:space="preserve">. </w:t>
      </w:r>
      <w:r w:rsidR="00084A21" w:rsidRPr="00995CF1">
        <w:rPr>
          <w:rFonts w:ascii="Arial" w:hAnsi="Arial" w:cs="Arial"/>
          <w:sz w:val="22"/>
          <w:szCs w:val="22"/>
        </w:rPr>
        <w:t xml:space="preserve">Secondary outcomes included (1) </w:t>
      </w:r>
      <w:r w:rsidR="00922454">
        <w:rPr>
          <w:rFonts w:ascii="Arial" w:hAnsi="Arial" w:cs="Arial"/>
          <w:sz w:val="22"/>
          <w:szCs w:val="22"/>
        </w:rPr>
        <w:t xml:space="preserve">all-cause </w:t>
      </w:r>
      <w:r w:rsidR="00084A21" w:rsidRPr="00995CF1">
        <w:rPr>
          <w:rFonts w:ascii="Arial" w:hAnsi="Arial" w:cs="Arial"/>
          <w:sz w:val="22"/>
          <w:szCs w:val="22"/>
        </w:rPr>
        <w:t>mortality, (</w:t>
      </w:r>
      <w:r w:rsidR="00CC7B03">
        <w:rPr>
          <w:rFonts w:ascii="Arial" w:hAnsi="Arial" w:cs="Arial"/>
          <w:sz w:val="22"/>
          <w:szCs w:val="22"/>
        </w:rPr>
        <w:t>2</w:t>
      </w:r>
      <w:r w:rsidR="00084A21" w:rsidRPr="00995CF1">
        <w:rPr>
          <w:rFonts w:ascii="Arial" w:hAnsi="Arial" w:cs="Arial"/>
          <w:sz w:val="22"/>
          <w:szCs w:val="22"/>
        </w:rPr>
        <w:t>) conduction disorders, (</w:t>
      </w:r>
      <w:r w:rsidR="00EE1EED">
        <w:rPr>
          <w:rFonts w:ascii="Arial" w:hAnsi="Arial" w:cs="Arial"/>
          <w:sz w:val="22"/>
          <w:szCs w:val="22"/>
        </w:rPr>
        <w:t>3</w:t>
      </w:r>
      <w:r w:rsidR="00084A21" w:rsidRPr="00995CF1">
        <w:rPr>
          <w:rFonts w:ascii="Arial" w:hAnsi="Arial" w:cs="Arial"/>
          <w:sz w:val="22"/>
          <w:szCs w:val="22"/>
        </w:rPr>
        <w:t>) symptomatic bradycardia, and (</w:t>
      </w:r>
      <w:r w:rsidR="00EE1EED">
        <w:rPr>
          <w:rFonts w:ascii="Arial" w:hAnsi="Arial" w:cs="Arial"/>
          <w:sz w:val="22"/>
          <w:szCs w:val="22"/>
        </w:rPr>
        <w:t>4</w:t>
      </w:r>
      <w:r w:rsidR="00084A21" w:rsidRPr="00995CF1">
        <w:rPr>
          <w:rFonts w:ascii="Arial" w:hAnsi="Arial" w:cs="Arial"/>
          <w:sz w:val="22"/>
          <w:szCs w:val="22"/>
        </w:rPr>
        <w:t xml:space="preserve">) bradycardia with pacemaker insertion. The ICD codes for all outcomes are listed in </w:t>
      </w:r>
      <w:r w:rsidR="00084A21" w:rsidRPr="00995CF1">
        <w:rPr>
          <w:rFonts w:ascii="Arial" w:hAnsi="Arial" w:cs="Arial"/>
          <w:b/>
          <w:bCs/>
          <w:sz w:val="22"/>
          <w:szCs w:val="22"/>
        </w:rPr>
        <w:t xml:space="preserve">Supplemental Table 2. </w:t>
      </w:r>
    </w:p>
    <w:p w14:paraId="62B263E2" w14:textId="70AED227" w:rsidR="00E2233B" w:rsidRPr="00A86AAC" w:rsidRDefault="00E2233B" w:rsidP="00D405B9">
      <w:pPr>
        <w:spacing w:line="480" w:lineRule="auto"/>
        <w:rPr>
          <w:rFonts w:ascii="Arial" w:hAnsi="Arial" w:cs="Arial"/>
          <w:sz w:val="22"/>
          <w:szCs w:val="22"/>
          <w:u w:val="single"/>
        </w:rPr>
      </w:pPr>
    </w:p>
    <w:p w14:paraId="76393DB5" w14:textId="00A6EABA" w:rsidR="00E2233B" w:rsidRPr="00A86AAC" w:rsidRDefault="00E2233B" w:rsidP="00E2233B">
      <w:pPr>
        <w:spacing w:line="480" w:lineRule="auto"/>
        <w:rPr>
          <w:rFonts w:ascii="Arial" w:hAnsi="Arial" w:cs="Arial"/>
          <w:sz w:val="22"/>
          <w:szCs w:val="22"/>
          <w:u w:val="single"/>
        </w:rPr>
      </w:pPr>
      <w:r w:rsidRPr="00A86AAC">
        <w:rPr>
          <w:rFonts w:ascii="Arial" w:hAnsi="Arial" w:cs="Arial"/>
          <w:sz w:val="22"/>
          <w:szCs w:val="22"/>
          <w:u w:val="single"/>
        </w:rPr>
        <w:t>Falsification</w:t>
      </w:r>
    </w:p>
    <w:p w14:paraId="7DC12870" w14:textId="0263B56D" w:rsidR="00E2233B" w:rsidRPr="00995CF1" w:rsidRDefault="00E2233B" w:rsidP="00E2233B">
      <w:pPr>
        <w:spacing w:line="480" w:lineRule="auto"/>
        <w:rPr>
          <w:rFonts w:ascii="Arial" w:hAnsi="Arial" w:cs="Arial"/>
          <w:sz w:val="22"/>
          <w:szCs w:val="22"/>
        </w:rPr>
      </w:pPr>
      <w:r w:rsidRPr="00995CF1">
        <w:rPr>
          <w:rFonts w:ascii="Arial" w:hAnsi="Arial" w:cs="Arial"/>
          <w:sz w:val="22"/>
          <w:szCs w:val="22"/>
        </w:rPr>
        <w:t>To quantify residual confounding in the cohorts, we performed a falsification analysis using a composite outcome that could not be reasonably associated with either treatment arm or cardiovascular disease. This approach has been previously described in observational comparisons of AADs.</w:t>
      </w:r>
      <w:r w:rsidRPr="00995CF1">
        <w:rPr>
          <w:rFonts w:ascii="Arial" w:hAnsi="Arial" w:cs="Arial"/>
          <w:sz w:val="22"/>
          <w:szCs w:val="22"/>
        </w:rPr>
        <w:fldChar w:fldCharType="begin"/>
      </w:r>
      <w:r w:rsidR="00B641DB">
        <w:rPr>
          <w:rFonts w:ascii="Arial" w:hAnsi="Arial" w:cs="Arial"/>
          <w:sz w:val="22"/>
          <w:szCs w:val="22"/>
        </w:rPr>
        <w:instrText xml:space="preserve"> ADDIN ZOTERO_ITEM CSL_CITATION {"citationID":"I5MXwZ78","properties":{"formattedCitation":"\\super 25,26\\nosupersub{}","plainCitation":"25,26","noteIndex":0},"citationItems":[{"id":314,"uris":["http://zotero.org/users/9045539/items/BVN77LCK"],"itemData":{"id":314,"type":"article-journal","container-title":"JACC: Clinical Electrophysiology","DOI":"10.1016/j.jacep.2018.08.025","ISSN":"2405500X","issue":"2","journalAbbreviation":"JACC: Clinical Electrophysiology","language":"en","page":"231-241","source":"DOI.org (Crossref)","title":"Real-World Comparison of Classes IC and III Antiarrhythmic Drugs as an Initial Rhythm Control Strategy in Newly Diagnosed Atrial Fibrillation","volume":"5","author":[{"family":"Kipp","given":"Ryan"},{"family":"Askari","given":"Mariam"},{"family":"Fan","given":"Jun"},{"family":"Field","given":"Michael E."},{"family":"Turakhia","given":"Mintu P."}],"issued":{"date-parts":[["2019",2]]}}},{"id":312,"uris":["http://zotero.org/users/9045539/items/4VX4XG4G"],"itemData":{"id":312,"type":"article-journal","abstract":"AIM: The aim of the study was to assess and compare the safety of antiarrhythmic drugs (AADs) in an unselected real-world population of patients with atrial fibrillation (AF).\nMETHODS AND RESULTS: This is a study of all patients with diagnosed AF in the Swedish Patient register who filled a prescription for sotalol, amiodarone, dronedarone, flecainide or disopyramide during 2010 to 2015. The main end point consisted of arrhythmic death, successful resuscitation, new diagnosis of sustained ventricular tachycardia, ventricular fibrillation or implantation of ICD. All-cause mortality was a secondary end point. Minimum follow up was 1 year. Falsification end points were used to assess hidden confounding. 44,995 AF patients on AAD and 267,518 AF patients without AAD were studied during a total time at risk of over 1.1 million years. Compared to sotalol, the risk for the main end point was decreased with dronedarone (hazard ratio [HR] 0.58, 95% confidence interval [CI] 0.37-0.90), similar with flecainide (HR 0.95, 0.69-1.32) and disopyramide (HR 1.30, CI 0.83-2.05). All-cause mortality was lower with dronedarone (HR 0.44, CI 0.34-0.57) and flecainide (HR 0.55, CI 0.44-0.68) than with sotalol. Hidden confounding prevented reliable assessment of amiodarone.\nCONCLUSIONS: Dronedarone was the only anti-arrhythmic drug with significantly lower risk for arrhythmic death, sustained ventricular arrhythmia or ICD implantation than sotalol among patients with atrial fibrillation. Both dronedarone and flecainide were associated with lower all-cause mortality than sotalol.","container-title":"American Heart Journal","DOI":"10.1016/j.ahj.2018.06.018","ISSN":"1097-6744","journalAbbreviation":"Am Heart J","language":"eng","note":"PMID: 30236980","page":"118-127","source":"PubMed","title":"Ventricular arrhythmia and death among atrial fibrillation patients using anti-arrhythmic drugs","volume":"205","author":[{"family":"Friberg","given":"Leif"}],"issued":{"date-parts":[["2018",11]]}}}],"schema":"https://github.com/citation-style-language/schema/raw/master/csl-citation.json"} </w:instrText>
      </w:r>
      <w:r w:rsidRPr="00995CF1">
        <w:rPr>
          <w:rFonts w:ascii="Arial" w:hAnsi="Arial" w:cs="Arial"/>
          <w:sz w:val="22"/>
          <w:szCs w:val="22"/>
        </w:rPr>
        <w:fldChar w:fldCharType="separate"/>
      </w:r>
      <w:r w:rsidR="00B641DB" w:rsidRPr="00B641DB">
        <w:rPr>
          <w:rFonts w:ascii="Arial" w:hAnsi="Arial" w:cs="Arial"/>
          <w:sz w:val="22"/>
          <w:vertAlign w:val="superscript"/>
        </w:rPr>
        <w:t>25,26</w:t>
      </w:r>
      <w:r w:rsidRPr="00995CF1">
        <w:rPr>
          <w:rFonts w:ascii="Arial" w:hAnsi="Arial" w:cs="Arial"/>
          <w:sz w:val="22"/>
          <w:szCs w:val="22"/>
        </w:rPr>
        <w:fldChar w:fldCharType="end"/>
      </w:r>
      <w:r w:rsidRPr="00995CF1">
        <w:rPr>
          <w:rFonts w:ascii="Arial" w:hAnsi="Arial" w:cs="Arial"/>
          <w:sz w:val="22"/>
          <w:szCs w:val="22"/>
        </w:rPr>
        <w:t xml:space="preserve"> The primary falsification endpoint was </w:t>
      </w:r>
      <w:r w:rsidR="009F1B96">
        <w:rPr>
          <w:rFonts w:ascii="Arial" w:hAnsi="Arial" w:cs="Arial"/>
          <w:sz w:val="22"/>
          <w:szCs w:val="22"/>
        </w:rPr>
        <w:t>the</w:t>
      </w:r>
      <w:r w:rsidRPr="00995CF1">
        <w:rPr>
          <w:rFonts w:ascii="Arial" w:hAnsi="Arial" w:cs="Arial"/>
          <w:sz w:val="22"/>
          <w:szCs w:val="22"/>
        </w:rPr>
        <w:t xml:space="preserve"> composite incidence of hip fractures, cancer, and infections (pertinent ICD codes listed in </w:t>
      </w:r>
      <w:r w:rsidRPr="00995CF1">
        <w:rPr>
          <w:rFonts w:ascii="Arial" w:hAnsi="Arial" w:cs="Arial"/>
          <w:b/>
          <w:bCs/>
          <w:sz w:val="22"/>
          <w:szCs w:val="22"/>
        </w:rPr>
        <w:t>Supplemental Table 2</w:t>
      </w:r>
      <w:r w:rsidRPr="00995CF1">
        <w:rPr>
          <w:rFonts w:ascii="Arial" w:hAnsi="Arial" w:cs="Arial"/>
          <w:sz w:val="22"/>
          <w:szCs w:val="22"/>
        </w:rPr>
        <w:t>).</w:t>
      </w:r>
    </w:p>
    <w:p w14:paraId="50D3C9A0" w14:textId="77777777" w:rsidR="00B11FE0" w:rsidRPr="00995CF1" w:rsidRDefault="00B11FE0" w:rsidP="00D405B9">
      <w:pPr>
        <w:spacing w:line="480" w:lineRule="auto"/>
        <w:rPr>
          <w:rFonts w:ascii="Arial" w:hAnsi="Arial" w:cs="Arial"/>
          <w:b/>
          <w:bCs/>
          <w:sz w:val="22"/>
          <w:szCs w:val="22"/>
        </w:rPr>
      </w:pPr>
    </w:p>
    <w:p w14:paraId="74A8C644" w14:textId="32AF7AEC" w:rsidR="000B5FF1" w:rsidRPr="00A86AAC" w:rsidRDefault="000B5FF1" w:rsidP="00D405B9">
      <w:pPr>
        <w:spacing w:line="480" w:lineRule="auto"/>
        <w:rPr>
          <w:rFonts w:ascii="Arial" w:hAnsi="Arial" w:cs="Arial"/>
          <w:b/>
          <w:bCs/>
          <w:sz w:val="22"/>
          <w:szCs w:val="22"/>
          <w:u w:val="single"/>
        </w:rPr>
      </w:pPr>
      <w:r w:rsidRPr="00A86AAC">
        <w:rPr>
          <w:rFonts w:ascii="Arial" w:hAnsi="Arial" w:cs="Arial"/>
          <w:b/>
          <w:bCs/>
          <w:sz w:val="22"/>
          <w:szCs w:val="22"/>
          <w:u w:val="single"/>
        </w:rPr>
        <w:lastRenderedPageBreak/>
        <w:t>Statistical Analysis</w:t>
      </w:r>
    </w:p>
    <w:p w14:paraId="2FBBFD90" w14:textId="288C980D" w:rsidR="00E2233B" w:rsidRDefault="0068012D" w:rsidP="00D405B9">
      <w:pPr>
        <w:spacing w:line="480" w:lineRule="auto"/>
        <w:rPr>
          <w:rFonts w:ascii="Arial" w:hAnsi="Arial" w:cs="Arial"/>
          <w:sz w:val="22"/>
          <w:szCs w:val="22"/>
        </w:rPr>
      </w:pPr>
      <w:r w:rsidRPr="00995CF1">
        <w:rPr>
          <w:rFonts w:ascii="Arial" w:hAnsi="Arial" w:cs="Arial"/>
          <w:sz w:val="22"/>
          <w:szCs w:val="22"/>
        </w:rPr>
        <w:t>Baseline characteristics were stratified by patient treatment arm.</w:t>
      </w:r>
      <w:r w:rsidR="00087D86" w:rsidRPr="00995CF1">
        <w:rPr>
          <w:rFonts w:ascii="Arial" w:hAnsi="Arial" w:cs="Arial"/>
          <w:sz w:val="22"/>
          <w:szCs w:val="22"/>
        </w:rPr>
        <w:t xml:space="preserve"> Incidence rates of each primary and secondary outcome were </w:t>
      </w:r>
      <w:r w:rsidR="00181AD4" w:rsidRPr="00995CF1">
        <w:rPr>
          <w:rFonts w:ascii="Arial" w:hAnsi="Arial" w:cs="Arial"/>
          <w:sz w:val="22"/>
          <w:szCs w:val="22"/>
        </w:rPr>
        <w:t xml:space="preserve">identified and reported per 100 patient-years. To evaluate the association of treatment group with the outcomes of interest, we used a Cox proportional hazards model </w:t>
      </w:r>
      <w:r w:rsidR="0006459C">
        <w:rPr>
          <w:rFonts w:ascii="Arial" w:hAnsi="Arial" w:cs="Arial"/>
          <w:sz w:val="22"/>
          <w:szCs w:val="22"/>
        </w:rPr>
        <w:t>among the matched cohort</w:t>
      </w:r>
      <w:r w:rsidR="00181AD4" w:rsidRPr="00995CF1">
        <w:rPr>
          <w:rFonts w:ascii="Arial" w:hAnsi="Arial" w:cs="Arial"/>
          <w:sz w:val="22"/>
          <w:szCs w:val="22"/>
        </w:rPr>
        <w:t xml:space="preserve">. </w:t>
      </w:r>
      <w:r w:rsidR="00E2233B" w:rsidRPr="00995CF1">
        <w:rPr>
          <w:rFonts w:ascii="Arial" w:hAnsi="Arial" w:cs="Arial"/>
          <w:sz w:val="22"/>
          <w:szCs w:val="22"/>
        </w:rPr>
        <w:t xml:space="preserve">Each outcome was evaluated independently, and patients were censored upon (1) occurrence of outcome, (2) death, (3) </w:t>
      </w:r>
      <w:r w:rsidR="00B641DB">
        <w:rPr>
          <w:rFonts w:ascii="Arial" w:hAnsi="Arial" w:cs="Arial"/>
          <w:sz w:val="22"/>
          <w:szCs w:val="22"/>
        </w:rPr>
        <w:t xml:space="preserve">index treatment </w:t>
      </w:r>
      <w:r w:rsidR="00E2233B" w:rsidRPr="00995CF1">
        <w:rPr>
          <w:rFonts w:ascii="Arial" w:hAnsi="Arial" w:cs="Arial"/>
          <w:sz w:val="22"/>
          <w:szCs w:val="22"/>
        </w:rPr>
        <w:t>discontinuation, (4) use of other class I or class III AAD, or (5) end of follow-up.</w:t>
      </w:r>
      <w:r w:rsidR="00E2233B">
        <w:rPr>
          <w:rFonts w:ascii="Arial" w:hAnsi="Arial" w:cs="Arial"/>
          <w:sz w:val="22"/>
          <w:szCs w:val="22"/>
        </w:rPr>
        <w:t xml:space="preserve"> </w:t>
      </w:r>
      <w:r w:rsidR="00E057E2" w:rsidRPr="00E057E2">
        <w:rPr>
          <w:rFonts w:ascii="Arial" w:hAnsi="Arial" w:cs="Arial"/>
          <w:sz w:val="22"/>
          <w:szCs w:val="22"/>
        </w:rPr>
        <w:t xml:space="preserve">We ensured there were no violations of the proportional </w:t>
      </w:r>
      <w:proofErr w:type="gramStart"/>
      <w:r w:rsidR="00E057E2" w:rsidRPr="00E057E2">
        <w:rPr>
          <w:rFonts w:ascii="Arial" w:hAnsi="Arial" w:cs="Arial"/>
          <w:sz w:val="22"/>
          <w:szCs w:val="22"/>
        </w:rPr>
        <w:t>hazards</w:t>
      </w:r>
      <w:proofErr w:type="gramEnd"/>
      <w:r w:rsidR="00E057E2" w:rsidRPr="00E057E2">
        <w:rPr>
          <w:rFonts w:ascii="Arial" w:hAnsi="Arial" w:cs="Arial"/>
          <w:sz w:val="22"/>
          <w:szCs w:val="22"/>
        </w:rPr>
        <w:t xml:space="preserve"> assumption by (1) visually evaluating the Schoenfeld residuals, (2) performing the global test of proportional hazards, and (3) plotting Kaplan-Meier curves for the primary and secondary outcomes</w:t>
      </w:r>
      <w:r w:rsidR="003D3E91">
        <w:rPr>
          <w:rFonts w:ascii="Arial" w:hAnsi="Arial" w:cs="Arial"/>
          <w:sz w:val="22"/>
          <w:szCs w:val="22"/>
        </w:rPr>
        <w:t>.</w:t>
      </w:r>
    </w:p>
    <w:p w14:paraId="19EC691C" w14:textId="77777777" w:rsidR="00E2233B" w:rsidRDefault="00E2233B" w:rsidP="00D405B9">
      <w:pPr>
        <w:spacing w:line="480" w:lineRule="auto"/>
        <w:rPr>
          <w:rFonts w:ascii="Arial" w:hAnsi="Arial" w:cs="Arial"/>
          <w:sz w:val="22"/>
          <w:szCs w:val="22"/>
        </w:rPr>
      </w:pPr>
    </w:p>
    <w:p w14:paraId="1285B41E" w14:textId="6C144FCA" w:rsidR="0068012D" w:rsidRDefault="0006459C" w:rsidP="00D405B9">
      <w:pPr>
        <w:spacing w:line="480" w:lineRule="auto"/>
        <w:rPr>
          <w:rFonts w:ascii="Arial" w:hAnsi="Arial" w:cs="Arial"/>
          <w:sz w:val="22"/>
          <w:szCs w:val="22"/>
        </w:rPr>
      </w:pPr>
      <w:r>
        <w:rPr>
          <w:rFonts w:ascii="Arial" w:eastAsiaTheme="majorEastAsia" w:hAnsi="Arial" w:cs="Arial"/>
          <w:color w:val="000000" w:themeColor="text1"/>
        </w:rPr>
        <w:t>To</w:t>
      </w:r>
      <w:r w:rsidR="00181AD4" w:rsidRPr="00995CF1">
        <w:rPr>
          <w:rFonts w:ascii="Arial" w:hAnsi="Arial" w:cs="Arial"/>
          <w:sz w:val="22"/>
          <w:szCs w:val="22"/>
        </w:rPr>
        <w:t xml:space="preserve"> </w:t>
      </w:r>
      <w:r>
        <w:rPr>
          <w:rFonts w:ascii="Arial" w:hAnsi="Arial" w:cs="Arial"/>
          <w:sz w:val="22"/>
          <w:szCs w:val="22"/>
        </w:rPr>
        <w:t>evaluate</w:t>
      </w:r>
      <w:r w:rsidRPr="00995CF1">
        <w:rPr>
          <w:rFonts w:ascii="Arial" w:hAnsi="Arial" w:cs="Arial"/>
          <w:sz w:val="22"/>
          <w:szCs w:val="22"/>
        </w:rPr>
        <w:t xml:space="preserve"> </w:t>
      </w:r>
      <w:r w:rsidR="00181AD4" w:rsidRPr="00995CF1">
        <w:rPr>
          <w:rFonts w:ascii="Arial" w:hAnsi="Arial" w:cs="Arial"/>
          <w:sz w:val="22"/>
          <w:szCs w:val="22"/>
        </w:rPr>
        <w:t xml:space="preserve">the </w:t>
      </w:r>
      <w:r>
        <w:rPr>
          <w:rFonts w:ascii="Arial" w:hAnsi="Arial" w:cs="Arial"/>
          <w:sz w:val="22"/>
          <w:szCs w:val="22"/>
        </w:rPr>
        <w:t>potential for</w:t>
      </w:r>
      <w:r w:rsidRPr="00995CF1">
        <w:rPr>
          <w:rFonts w:ascii="Arial" w:hAnsi="Arial" w:cs="Arial"/>
          <w:sz w:val="22"/>
          <w:szCs w:val="22"/>
        </w:rPr>
        <w:t xml:space="preserve"> </w:t>
      </w:r>
      <w:r w:rsidR="00181AD4" w:rsidRPr="00995CF1">
        <w:rPr>
          <w:rFonts w:ascii="Arial" w:hAnsi="Arial" w:cs="Arial"/>
          <w:sz w:val="22"/>
          <w:szCs w:val="22"/>
        </w:rPr>
        <w:t>unmeasured confounding</w:t>
      </w:r>
      <w:r w:rsidR="00E2233B">
        <w:rPr>
          <w:rFonts w:ascii="Arial" w:hAnsi="Arial" w:cs="Arial"/>
          <w:sz w:val="22"/>
          <w:szCs w:val="22"/>
        </w:rPr>
        <w:t>, we also calculated E-values</w:t>
      </w:r>
      <w:r w:rsidR="00181AD4" w:rsidRPr="00995CF1">
        <w:rPr>
          <w:rFonts w:ascii="Arial" w:hAnsi="Arial" w:cs="Arial"/>
          <w:sz w:val="22"/>
          <w:szCs w:val="22"/>
        </w:rPr>
        <w:t>.</w:t>
      </w:r>
      <w:r w:rsidR="00181AD4" w:rsidRPr="00995CF1">
        <w:rPr>
          <w:rFonts w:ascii="Arial" w:hAnsi="Arial" w:cs="Arial"/>
          <w:sz w:val="22"/>
          <w:szCs w:val="22"/>
        </w:rPr>
        <w:fldChar w:fldCharType="begin"/>
      </w:r>
      <w:r w:rsidR="00B641DB">
        <w:rPr>
          <w:rFonts w:ascii="Arial" w:hAnsi="Arial" w:cs="Arial"/>
          <w:sz w:val="22"/>
          <w:szCs w:val="22"/>
        </w:rPr>
        <w:instrText xml:space="preserve"> ADDIN ZOTERO_ITEM CSL_CITATION {"citationID":"OPB3Gsxv","properties":{"formattedCitation":"\\super 27\\nosupersub{}","plainCitation":"27","noteIndex":0},"citationItems":[{"id":317,"uris":["http://zotero.org/users/9045539/items/S8WJAPUL"],"itemData":{"id":317,"type":"article-journal","abstract":"Sensitivity analysis is useful in assessing how robust an association is to potential unmeasured or uncontrolled confounding. This article introduces a new measure called the \"E-value,\" which is related to the evidence for causality in observational studies that are potentially subject to confounding. The E-value is defined as the minimum strength of association, on the risk ratio scale, that an unmeasured confounder would need to have with both the treatment and the outcome to fully explain away a specific treatment-outcome association, conditional on the measured covariates. A large E-value implies that considerable unmeasured confounding would be needed to explain away an effect estimate. A small E-value implies little unmeasured confounding would be needed to explain away an effect estimate. The authors propose that in all observational studies intended to produce evidence for causality, the E-value be reported or some other sensitivity analysis be used. They suggest calculating the E-value for both the observed association estimate (after adjustments for measured confounders) and the limit of the confidence interval closest to the null. If this were to become standard practice, the ability of the scientific community to assess evidence from observational studies would improve considerably, and ultimately, science would be strengthened.","container-title":"Annals of Internal Medicine","DOI":"10.7326/M16-2607","ISSN":"1539-3704","issue":"4","journalAbbreviation":"Ann Intern Med","language":"eng","note":"PMID: 28693043","page":"268-274","source":"PubMed","title":"Sensitivity Analysis in Observational Research: Introducing the E-Value","title-short":"Sensitivity Analysis in Observational Research","volume":"167","author":[{"family":"VanderWeele","given":"Tyler J."},{"family":"Ding","given":"Peng"}],"issued":{"date-parts":[["2017",8,15]]}}}],"schema":"https://github.com/citation-style-language/schema/raw/master/csl-citation.json"} </w:instrText>
      </w:r>
      <w:r w:rsidR="00181AD4" w:rsidRPr="00995CF1">
        <w:rPr>
          <w:rFonts w:ascii="Arial" w:hAnsi="Arial" w:cs="Arial"/>
          <w:sz w:val="22"/>
          <w:szCs w:val="22"/>
        </w:rPr>
        <w:fldChar w:fldCharType="separate"/>
      </w:r>
      <w:r w:rsidR="00B641DB" w:rsidRPr="00B641DB">
        <w:rPr>
          <w:rFonts w:ascii="Arial" w:hAnsi="Arial" w:cs="Arial"/>
          <w:sz w:val="22"/>
          <w:vertAlign w:val="superscript"/>
        </w:rPr>
        <w:t>27</w:t>
      </w:r>
      <w:r w:rsidR="00181AD4" w:rsidRPr="00995CF1">
        <w:rPr>
          <w:rFonts w:ascii="Arial" w:hAnsi="Arial" w:cs="Arial"/>
          <w:sz w:val="22"/>
          <w:szCs w:val="22"/>
        </w:rPr>
        <w:fldChar w:fldCharType="end"/>
      </w:r>
      <w:r w:rsidR="00B641DB">
        <w:rPr>
          <w:rFonts w:ascii="Arial" w:hAnsi="Arial" w:cs="Arial"/>
          <w:sz w:val="22"/>
          <w:szCs w:val="22"/>
        </w:rPr>
        <w:t xml:space="preserve"> </w:t>
      </w:r>
      <w:r>
        <w:rPr>
          <w:rFonts w:ascii="Arial" w:hAnsi="Arial" w:cs="Arial"/>
          <w:sz w:val="22"/>
          <w:szCs w:val="22"/>
        </w:rPr>
        <w:t xml:space="preserve">The </w:t>
      </w:r>
      <w:r w:rsidR="009C4828">
        <w:rPr>
          <w:rFonts w:ascii="Arial" w:hAnsi="Arial" w:cs="Arial"/>
          <w:sz w:val="22"/>
          <w:szCs w:val="22"/>
        </w:rPr>
        <w:t>E</w:t>
      </w:r>
      <w:r>
        <w:rPr>
          <w:rFonts w:ascii="Arial" w:hAnsi="Arial" w:cs="Arial"/>
          <w:sz w:val="22"/>
          <w:szCs w:val="22"/>
        </w:rPr>
        <w:t xml:space="preserve">-value represents the strength of association an unmeasured confounder would </w:t>
      </w:r>
      <w:r w:rsidR="006D74F4">
        <w:rPr>
          <w:rFonts w:ascii="Arial" w:hAnsi="Arial" w:cs="Arial"/>
          <w:sz w:val="22"/>
          <w:szCs w:val="22"/>
        </w:rPr>
        <w:t xml:space="preserve">need to </w:t>
      </w:r>
      <w:r>
        <w:rPr>
          <w:rFonts w:ascii="Arial" w:hAnsi="Arial" w:cs="Arial"/>
          <w:sz w:val="22"/>
          <w:szCs w:val="22"/>
        </w:rPr>
        <w:t xml:space="preserve">have with both exposure (i.e., sotalol) and outcome to </w:t>
      </w:r>
      <w:r w:rsidR="006D74F4">
        <w:rPr>
          <w:rFonts w:ascii="Arial" w:hAnsi="Arial" w:cs="Arial"/>
          <w:sz w:val="22"/>
          <w:szCs w:val="22"/>
        </w:rPr>
        <w:t>account for</w:t>
      </w:r>
      <w:r>
        <w:rPr>
          <w:rFonts w:ascii="Arial" w:hAnsi="Arial" w:cs="Arial"/>
          <w:sz w:val="22"/>
          <w:szCs w:val="22"/>
        </w:rPr>
        <w:t xml:space="preserve"> the observed results.</w:t>
      </w:r>
    </w:p>
    <w:p w14:paraId="144C0532" w14:textId="77777777" w:rsidR="00E2233B" w:rsidRPr="00995CF1" w:rsidRDefault="00E2233B" w:rsidP="00E2233B">
      <w:pPr>
        <w:spacing w:line="480" w:lineRule="auto"/>
        <w:rPr>
          <w:rFonts w:ascii="Arial" w:hAnsi="Arial" w:cs="Arial"/>
          <w:sz w:val="22"/>
          <w:szCs w:val="22"/>
        </w:rPr>
      </w:pPr>
    </w:p>
    <w:p w14:paraId="4370124D" w14:textId="5D768EF3" w:rsidR="00E2233B" w:rsidRDefault="00E2233B" w:rsidP="00E2233B">
      <w:pPr>
        <w:spacing w:line="480" w:lineRule="auto"/>
        <w:rPr>
          <w:rFonts w:ascii="Arial" w:hAnsi="Arial" w:cs="Arial"/>
          <w:color w:val="000000"/>
          <w:sz w:val="22"/>
          <w:szCs w:val="22"/>
          <w:shd w:val="clear" w:color="auto" w:fill="FFFFFF"/>
        </w:rPr>
      </w:pPr>
      <w:r w:rsidRPr="00995CF1">
        <w:rPr>
          <w:rFonts w:ascii="Arial" w:hAnsi="Arial" w:cs="Arial"/>
          <w:color w:val="000000"/>
          <w:sz w:val="22"/>
          <w:szCs w:val="22"/>
          <w:shd w:val="clear" w:color="auto" w:fill="FFFFFF"/>
        </w:rPr>
        <w:t>All analyses were performed with SAS version 9.</w:t>
      </w:r>
      <w:r w:rsidR="00A460AB">
        <w:rPr>
          <w:rFonts w:ascii="Arial" w:hAnsi="Arial" w:cs="Arial"/>
          <w:color w:val="000000"/>
          <w:sz w:val="22"/>
          <w:szCs w:val="22"/>
          <w:shd w:val="clear" w:color="auto" w:fill="FFFFFF"/>
        </w:rPr>
        <w:t>4</w:t>
      </w:r>
      <w:r w:rsidRPr="00995CF1">
        <w:rPr>
          <w:rFonts w:ascii="Arial" w:hAnsi="Arial" w:cs="Arial"/>
          <w:color w:val="000000"/>
          <w:sz w:val="22"/>
          <w:szCs w:val="22"/>
          <w:shd w:val="clear" w:color="auto" w:fill="FFFFFF"/>
        </w:rPr>
        <w:t xml:space="preserve"> (Cary, NC) and STATA version 1</w:t>
      </w:r>
      <w:r w:rsidR="0006459C">
        <w:rPr>
          <w:rFonts w:ascii="Arial" w:hAnsi="Arial" w:cs="Arial"/>
          <w:color w:val="000000"/>
          <w:sz w:val="22"/>
          <w:szCs w:val="22"/>
          <w:shd w:val="clear" w:color="auto" w:fill="FFFFFF"/>
        </w:rPr>
        <w:t>6</w:t>
      </w:r>
      <w:r w:rsidRPr="00995CF1">
        <w:rPr>
          <w:rFonts w:ascii="Arial" w:hAnsi="Arial" w:cs="Arial"/>
          <w:color w:val="000000"/>
          <w:sz w:val="22"/>
          <w:szCs w:val="22"/>
          <w:shd w:val="clear" w:color="auto" w:fill="FFFFFF"/>
        </w:rPr>
        <w:t>.0 (College Station, TX). The senior author had full access to all study data and takes responsibility for its integrity and the data analysis.</w:t>
      </w:r>
    </w:p>
    <w:p w14:paraId="7B858644" w14:textId="4C7CE99F" w:rsidR="0037634D" w:rsidRPr="00A86AAC" w:rsidRDefault="0037634D" w:rsidP="00D405B9">
      <w:pPr>
        <w:spacing w:line="480" w:lineRule="auto"/>
        <w:rPr>
          <w:rFonts w:ascii="Arial" w:hAnsi="Arial" w:cs="Arial"/>
          <w:b/>
          <w:bCs/>
          <w:color w:val="000000"/>
          <w:sz w:val="22"/>
          <w:szCs w:val="22"/>
          <w:u w:val="single"/>
          <w:shd w:val="clear" w:color="auto" w:fill="FFFFFF"/>
        </w:rPr>
      </w:pPr>
    </w:p>
    <w:p w14:paraId="6F1B499B" w14:textId="2D5205A9" w:rsidR="0037634D" w:rsidRPr="00A86AAC" w:rsidRDefault="0037634D" w:rsidP="00D405B9">
      <w:pPr>
        <w:spacing w:line="480" w:lineRule="auto"/>
        <w:rPr>
          <w:rFonts w:ascii="Arial" w:hAnsi="Arial" w:cs="Arial"/>
          <w:color w:val="000000"/>
          <w:sz w:val="22"/>
          <w:szCs w:val="22"/>
          <w:u w:val="single"/>
          <w:shd w:val="clear" w:color="auto" w:fill="FFFFFF"/>
        </w:rPr>
      </w:pPr>
      <w:r w:rsidRPr="00A86AAC">
        <w:rPr>
          <w:rFonts w:ascii="Arial" w:hAnsi="Arial" w:cs="Arial"/>
          <w:color w:val="000000"/>
          <w:sz w:val="22"/>
          <w:szCs w:val="22"/>
          <w:u w:val="single"/>
          <w:shd w:val="clear" w:color="auto" w:fill="FFFFFF"/>
        </w:rPr>
        <w:t>Sensitivity Analyses</w:t>
      </w:r>
    </w:p>
    <w:p w14:paraId="0BE6A904" w14:textId="2BFB400B" w:rsidR="0037634D" w:rsidRDefault="0037634D" w:rsidP="00D405B9">
      <w:pPr>
        <w:spacing w:line="480" w:lineRule="auto"/>
        <w:rPr>
          <w:rFonts w:ascii="Arial" w:hAnsi="Arial" w:cs="Arial"/>
          <w:sz w:val="22"/>
          <w:szCs w:val="22"/>
        </w:rPr>
      </w:pPr>
      <w:r>
        <w:rPr>
          <w:rFonts w:ascii="Arial" w:hAnsi="Arial" w:cs="Arial"/>
          <w:sz w:val="22"/>
          <w:szCs w:val="22"/>
        </w:rPr>
        <w:t xml:space="preserve">We performed a series of sensitivity analyses to test the </w:t>
      </w:r>
      <w:r w:rsidR="0006459C">
        <w:rPr>
          <w:rFonts w:ascii="Arial" w:hAnsi="Arial" w:cs="Arial"/>
          <w:sz w:val="22"/>
          <w:szCs w:val="22"/>
        </w:rPr>
        <w:t xml:space="preserve">consistency </w:t>
      </w:r>
      <w:r>
        <w:rPr>
          <w:rFonts w:ascii="Arial" w:hAnsi="Arial" w:cs="Arial"/>
          <w:sz w:val="22"/>
          <w:szCs w:val="22"/>
        </w:rPr>
        <w:t xml:space="preserve">of the associations from the primary analyses. </w:t>
      </w:r>
      <w:r w:rsidR="00EE1115">
        <w:rPr>
          <w:rFonts w:ascii="Arial" w:hAnsi="Arial" w:cs="Arial"/>
          <w:sz w:val="22"/>
          <w:szCs w:val="22"/>
        </w:rPr>
        <w:t>First, to</w:t>
      </w:r>
      <w:r>
        <w:rPr>
          <w:rFonts w:ascii="Arial" w:hAnsi="Arial" w:cs="Arial"/>
          <w:sz w:val="22"/>
          <w:szCs w:val="22"/>
        </w:rPr>
        <w:t xml:space="preserve"> account for unequal medication adherence or persistence between the groups, we performed an intention-to-treat analysis in which patients were not censored at the time of medication discontinuation. </w:t>
      </w:r>
      <w:r w:rsidR="00EE1115">
        <w:rPr>
          <w:rFonts w:ascii="Arial" w:hAnsi="Arial" w:cs="Arial"/>
          <w:sz w:val="22"/>
          <w:szCs w:val="22"/>
        </w:rPr>
        <w:t>Second</w:t>
      </w:r>
      <w:r>
        <w:rPr>
          <w:rFonts w:ascii="Arial" w:hAnsi="Arial" w:cs="Arial"/>
          <w:sz w:val="22"/>
          <w:szCs w:val="22"/>
        </w:rPr>
        <w:t xml:space="preserve">, since QT prolongation is a potential adverse effect of class III AADs, we performed a sensitivity analysis in which the outcome of ventricular pro-arrhythmia also included QT prolongation (ICD-9 code 426.82, ICD-10 code </w:t>
      </w:r>
      <w:r>
        <w:rPr>
          <w:rFonts w:ascii="Arial" w:hAnsi="Arial" w:cs="Arial"/>
          <w:sz w:val="22"/>
          <w:szCs w:val="22"/>
        </w:rPr>
        <w:lastRenderedPageBreak/>
        <w:t xml:space="preserve">I45.81). Third, </w:t>
      </w:r>
      <w:r w:rsidR="00EE1115">
        <w:rPr>
          <w:rFonts w:ascii="Arial" w:hAnsi="Arial" w:cs="Arial"/>
          <w:sz w:val="22"/>
          <w:szCs w:val="22"/>
        </w:rPr>
        <w:t xml:space="preserve">since a fixed </w:t>
      </w:r>
      <w:proofErr w:type="gramStart"/>
      <w:r w:rsidR="00EE1115">
        <w:rPr>
          <w:rFonts w:ascii="Arial" w:hAnsi="Arial" w:cs="Arial"/>
          <w:sz w:val="22"/>
          <w:szCs w:val="22"/>
        </w:rPr>
        <w:t>time period</w:t>
      </w:r>
      <w:proofErr w:type="gramEnd"/>
      <w:r w:rsidR="00EE1115">
        <w:rPr>
          <w:rFonts w:ascii="Arial" w:hAnsi="Arial" w:cs="Arial"/>
          <w:sz w:val="22"/>
          <w:szCs w:val="22"/>
        </w:rPr>
        <w:t xml:space="preserve"> for covariate acquisition may lead to underestimation of baseline comorbidities, we performed a sensitivity analysis in which covariates were assessed based on all available data prior to the index date. Fourth, since the primary recommended treatment approach for atrial flutter is catheter ablation and not AADs,</w:t>
      </w:r>
      <w:r w:rsidR="00EE1115">
        <w:rPr>
          <w:rFonts w:ascii="Arial" w:hAnsi="Arial" w:cs="Arial"/>
          <w:sz w:val="22"/>
          <w:szCs w:val="22"/>
        </w:rPr>
        <w:fldChar w:fldCharType="begin"/>
      </w:r>
      <w:r w:rsidR="00F25828">
        <w:rPr>
          <w:rFonts w:ascii="Arial" w:hAnsi="Arial" w:cs="Arial"/>
          <w:sz w:val="22"/>
          <w:szCs w:val="22"/>
        </w:rPr>
        <w:instrText xml:space="preserve"> ADDIN ZOTERO_ITEM CSL_CITATION {"citationID":"fqdR2PcQ","properties":{"formattedCitation":"\\super 3\\nosupersub{}","plainCitation":"3","noteIndex":0},"citationItems":[{"id":241,"uris":["http://zotero.org/users/9045539/items/UN8CTPD9"],"itemData":{"id":241,"type":"article-journal","container-title":"Circulation","DOI":"10.1161/CIR.0000000000000665","ISSN":"0009-7322, 1524-4539","issue":"2","journalAbbreviation":"Circulation","language":"en","source":"DOI.org (Crossref)","title":"2019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Surgeons","title-short":"2019 AHA/ACC/HRS Focused Update of the 2014 AHA/ACC/HRS Guideline for the Management of Patients With Atrial Fibrillation","URL":"https://www.ahajournals.org/doi/10.1161/CIR.0000000000000665","volume":"140","author":[{"family":"January","given":"Craig T."},{"family":"Wann","given":"L. Samuel"},{"family":"Calkins","given":"Hugh"},{"family":"Chen","given":"Lin Y."},{"family":"Cigarroa","given":"Joaquin E."},{"family":"Cleveland","given":"Joseph C."},{"family":"Ellinor","given":"Patrick T."},{"family":"Ezekowitz","given":"Michael D."},{"family":"Field","given":"Michael E."},{"family":"Furie","given":"Karen L."},{"family":"Heidenreich","given":"Paul A."},{"family":"Murray","given":"Katherine T."},{"family":"Shea","given":"Julie B."},{"family":"Tracy","given":"Cynthia M."},{"family":"Yancy","given":"Clyde W."}],"accessed":{"date-parts":[["2022",6,5]]},"issued":{"date-parts":[["2019",7,9]]}}}],"schema":"https://github.com/citation-style-language/schema/raw/master/csl-citation.json"} </w:instrText>
      </w:r>
      <w:r w:rsidR="00EE1115">
        <w:rPr>
          <w:rFonts w:ascii="Arial" w:hAnsi="Arial" w:cs="Arial"/>
          <w:sz w:val="22"/>
          <w:szCs w:val="22"/>
        </w:rPr>
        <w:fldChar w:fldCharType="separate"/>
      </w:r>
      <w:r w:rsidR="00F25828" w:rsidRPr="00F25828">
        <w:rPr>
          <w:rFonts w:ascii="Arial" w:hAnsi="Arial" w:cs="Arial"/>
          <w:sz w:val="22"/>
          <w:vertAlign w:val="superscript"/>
        </w:rPr>
        <w:t>3</w:t>
      </w:r>
      <w:r w:rsidR="00EE1115">
        <w:rPr>
          <w:rFonts w:ascii="Arial" w:hAnsi="Arial" w:cs="Arial"/>
          <w:sz w:val="22"/>
          <w:szCs w:val="22"/>
        </w:rPr>
        <w:fldChar w:fldCharType="end"/>
      </w:r>
      <w:r w:rsidR="00EE1115">
        <w:rPr>
          <w:rFonts w:ascii="Arial" w:hAnsi="Arial" w:cs="Arial"/>
          <w:sz w:val="22"/>
          <w:szCs w:val="22"/>
        </w:rPr>
        <w:t xml:space="preserve"> we performed a sensitivity analysis in which patients with atrial flutter were excluded from the analysis cohort. </w:t>
      </w:r>
      <w:r w:rsidR="00215C3C">
        <w:rPr>
          <w:rFonts w:ascii="Arial" w:hAnsi="Arial" w:cs="Arial"/>
          <w:sz w:val="22"/>
          <w:szCs w:val="22"/>
        </w:rPr>
        <w:t>Fifth</w:t>
      </w:r>
      <w:r w:rsidR="00EE1115">
        <w:rPr>
          <w:rFonts w:ascii="Arial" w:hAnsi="Arial" w:cs="Arial"/>
          <w:sz w:val="22"/>
          <w:szCs w:val="22"/>
        </w:rPr>
        <w:t xml:space="preserve">, while the FDA recommends sotalol be initiated in a facility that can provide cardiac resuscitation and electrocardiographic monitoring, inpatient administration of medications is not well captured in claims databases. Therefore, to address potential time zero selection bias in patients who would have had to survive to outpatient prescription fills, we performed a sensitivity analysis </w:t>
      </w:r>
      <w:r w:rsidR="00EF17DA">
        <w:rPr>
          <w:rFonts w:ascii="Arial" w:hAnsi="Arial" w:cs="Arial"/>
          <w:sz w:val="22"/>
          <w:szCs w:val="22"/>
        </w:rPr>
        <w:t xml:space="preserve">for the primary outcomes </w:t>
      </w:r>
      <w:r w:rsidR="00EE1115">
        <w:rPr>
          <w:rFonts w:ascii="Arial" w:hAnsi="Arial" w:cs="Arial"/>
          <w:sz w:val="22"/>
          <w:szCs w:val="22"/>
        </w:rPr>
        <w:t xml:space="preserve">in which patients with </w:t>
      </w:r>
      <w:r w:rsidR="00DD1970">
        <w:rPr>
          <w:rFonts w:ascii="Arial" w:hAnsi="Arial" w:cs="Arial"/>
          <w:sz w:val="22"/>
          <w:szCs w:val="22"/>
        </w:rPr>
        <w:t xml:space="preserve">a hospitalization for </w:t>
      </w:r>
      <w:r w:rsidR="009C4828">
        <w:rPr>
          <w:rFonts w:ascii="Arial" w:hAnsi="Arial" w:cs="Arial"/>
          <w:sz w:val="22"/>
          <w:szCs w:val="22"/>
        </w:rPr>
        <w:t>AF</w:t>
      </w:r>
      <w:r w:rsidR="00DD1970">
        <w:rPr>
          <w:rFonts w:ascii="Arial" w:hAnsi="Arial" w:cs="Arial"/>
          <w:sz w:val="22"/>
          <w:szCs w:val="22"/>
        </w:rPr>
        <w:t xml:space="preserve"> within one week of the index date were excluded from the analysis cohort.</w:t>
      </w:r>
      <w:r w:rsidR="00215C3C">
        <w:rPr>
          <w:rFonts w:ascii="Arial" w:hAnsi="Arial" w:cs="Arial"/>
          <w:sz w:val="22"/>
          <w:szCs w:val="22"/>
        </w:rPr>
        <w:t xml:space="preserve"> </w:t>
      </w:r>
      <w:r w:rsidR="00EA232E">
        <w:rPr>
          <w:rFonts w:ascii="Arial" w:hAnsi="Arial" w:cs="Arial"/>
          <w:sz w:val="22"/>
          <w:szCs w:val="22"/>
        </w:rPr>
        <w:t>Sixth</w:t>
      </w:r>
      <w:r w:rsidR="009724D2" w:rsidRPr="009724D2">
        <w:rPr>
          <w:rFonts w:ascii="Arial" w:hAnsi="Arial" w:cs="Arial"/>
          <w:sz w:val="22"/>
          <w:szCs w:val="22"/>
        </w:rPr>
        <w:t>, to address the potential for imbalance in the LVEF between cohorts to affect clinical outcomes, we added an additional sensitivity analysis in which we introduced a categorical variable for LVEF with the following labels: (1) LVEF ≥ 50%, (2) LVEF 41-49%, (3) LVEF ≤ 40%, (4) LVEF missing with history of systolic heart failure, and (5) LVEF missing with no history of systolic heart failure. We then repeated the PSM and the Cox proportional hazard regressions for the primary outcomes</w:t>
      </w:r>
      <w:r w:rsidR="00215C3C">
        <w:rPr>
          <w:rFonts w:ascii="Arial" w:hAnsi="Arial" w:cs="Arial"/>
          <w:sz w:val="22"/>
          <w:szCs w:val="22"/>
        </w:rPr>
        <w:t xml:space="preserve">. </w:t>
      </w:r>
      <w:r w:rsidR="00E057E2" w:rsidRPr="00E057E2">
        <w:rPr>
          <w:rFonts w:ascii="Arial" w:hAnsi="Arial" w:cs="Arial"/>
          <w:sz w:val="22"/>
          <w:szCs w:val="22"/>
        </w:rPr>
        <w:t>Finally, since propensity matching prior has the potential to influence standard error estimates by creating clustering between matched pairs, we performed a sensitivity analysis in which we repeated the Cox proportional hazard regressions for the primary and secondary outcomes using cluster-robust standard errors with clustering by matched pairs</w:t>
      </w:r>
      <w:r w:rsidR="00EA232E">
        <w:rPr>
          <w:rFonts w:ascii="Arial" w:hAnsi="Arial" w:cs="Arial"/>
          <w:sz w:val="22"/>
          <w:szCs w:val="22"/>
        </w:rPr>
        <w:t xml:space="preserve">.  </w:t>
      </w:r>
    </w:p>
    <w:p w14:paraId="65D273CA" w14:textId="77777777" w:rsidR="00084A21" w:rsidRPr="00995CF1" w:rsidRDefault="00084A21" w:rsidP="00D405B9">
      <w:pPr>
        <w:spacing w:line="480" w:lineRule="auto"/>
        <w:rPr>
          <w:rFonts w:ascii="Arial" w:hAnsi="Arial" w:cs="Arial"/>
          <w:sz w:val="22"/>
          <w:szCs w:val="22"/>
        </w:rPr>
      </w:pPr>
    </w:p>
    <w:p w14:paraId="1A07C160" w14:textId="6367A9B7" w:rsidR="00D405B9" w:rsidRPr="00995CF1" w:rsidRDefault="00D405B9" w:rsidP="00D405B9">
      <w:pPr>
        <w:spacing w:line="480" w:lineRule="auto"/>
        <w:rPr>
          <w:rFonts w:ascii="Arial" w:hAnsi="Arial" w:cs="Arial"/>
          <w:b/>
          <w:bCs/>
          <w:sz w:val="22"/>
          <w:szCs w:val="22"/>
        </w:rPr>
      </w:pPr>
      <w:r w:rsidRPr="00995CF1">
        <w:rPr>
          <w:rFonts w:ascii="Arial" w:hAnsi="Arial" w:cs="Arial"/>
          <w:b/>
          <w:bCs/>
          <w:sz w:val="22"/>
          <w:szCs w:val="22"/>
        </w:rPr>
        <w:t>RESULTS</w:t>
      </w:r>
    </w:p>
    <w:p w14:paraId="2CE41AF7" w14:textId="6F09F6C6" w:rsidR="00D405B9" w:rsidRDefault="00995CF1" w:rsidP="00BE3725">
      <w:pPr>
        <w:spacing w:line="480" w:lineRule="auto"/>
        <w:rPr>
          <w:rFonts w:ascii="Arial" w:hAnsi="Arial" w:cs="Arial"/>
          <w:sz w:val="22"/>
          <w:szCs w:val="22"/>
        </w:rPr>
      </w:pPr>
      <w:r w:rsidRPr="00995CF1">
        <w:rPr>
          <w:rFonts w:ascii="Arial" w:hAnsi="Arial" w:cs="Arial"/>
          <w:sz w:val="22"/>
          <w:szCs w:val="22"/>
        </w:rPr>
        <w:t>The initial cohort, after inclusion and exclusion criteria were applied, included 11,296 patients</w:t>
      </w:r>
      <w:r>
        <w:rPr>
          <w:rFonts w:ascii="Arial" w:hAnsi="Arial" w:cs="Arial"/>
          <w:sz w:val="22"/>
          <w:szCs w:val="22"/>
        </w:rPr>
        <w:t xml:space="preserve"> (</w:t>
      </w:r>
      <w:r>
        <w:rPr>
          <w:rFonts w:ascii="Arial" w:hAnsi="Arial" w:cs="Arial"/>
          <w:b/>
          <w:bCs/>
          <w:sz w:val="22"/>
          <w:szCs w:val="22"/>
        </w:rPr>
        <w:t>Figure 2</w:t>
      </w:r>
      <w:r>
        <w:rPr>
          <w:rFonts w:ascii="Arial" w:hAnsi="Arial" w:cs="Arial"/>
          <w:sz w:val="22"/>
          <w:szCs w:val="22"/>
        </w:rPr>
        <w:t xml:space="preserve">). After PSM, the analysis cohort comprised </w:t>
      </w:r>
      <w:r w:rsidR="00BE3725">
        <w:rPr>
          <w:rFonts w:ascii="Arial" w:hAnsi="Arial" w:cs="Arial"/>
          <w:sz w:val="22"/>
          <w:szCs w:val="22"/>
        </w:rPr>
        <w:t xml:space="preserve">6,212 patients </w:t>
      </w:r>
      <w:r>
        <w:rPr>
          <w:rFonts w:ascii="Arial" w:hAnsi="Arial" w:cs="Arial"/>
          <w:sz w:val="22"/>
          <w:szCs w:val="22"/>
        </w:rPr>
        <w:t>(</w:t>
      </w:r>
      <w:r w:rsidR="00EE1EED">
        <w:rPr>
          <w:rFonts w:ascii="Arial" w:hAnsi="Arial" w:cs="Arial"/>
          <w:sz w:val="22"/>
          <w:szCs w:val="22"/>
        </w:rPr>
        <w:t>mean [</w:t>
      </w:r>
      <w:r w:rsidR="00EE1EED">
        <w:rPr>
          <w:rFonts w:ascii="Arial" w:hAnsi="Arial" w:cs="Arial"/>
          <w:sz w:val="22"/>
          <w:szCs w:val="22"/>
        </w:rPr>
        <w:sym w:font="Symbol" w:char="F0B1"/>
      </w:r>
      <w:r w:rsidR="00EE1EED">
        <w:rPr>
          <w:rFonts w:ascii="Arial" w:hAnsi="Arial" w:cs="Arial"/>
          <w:sz w:val="22"/>
          <w:szCs w:val="22"/>
        </w:rPr>
        <w:t xml:space="preserve">SD] </w:t>
      </w:r>
      <w:r>
        <w:rPr>
          <w:rFonts w:ascii="Arial" w:hAnsi="Arial" w:cs="Arial"/>
          <w:sz w:val="22"/>
          <w:szCs w:val="22"/>
        </w:rPr>
        <w:t>age 71</w:t>
      </w:r>
      <w:r>
        <w:rPr>
          <w:rFonts w:ascii="Arial" w:hAnsi="Arial" w:cs="Arial"/>
          <w:sz w:val="22"/>
          <w:szCs w:val="22"/>
        </w:rPr>
        <w:sym w:font="Symbol" w:char="F0B1"/>
      </w:r>
      <w:r>
        <w:rPr>
          <w:rFonts w:ascii="Arial" w:hAnsi="Arial" w:cs="Arial"/>
          <w:sz w:val="22"/>
          <w:szCs w:val="22"/>
        </w:rPr>
        <w:t>10 years</w:t>
      </w:r>
      <w:r w:rsidR="00BE3725">
        <w:rPr>
          <w:rFonts w:ascii="Arial" w:hAnsi="Arial" w:cs="Arial"/>
          <w:sz w:val="22"/>
          <w:szCs w:val="22"/>
        </w:rPr>
        <w:t>;</w:t>
      </w:r>
      <w:r>
        <w:rPr>
          <w:rFonts w:ascii="Arial" w:hAnsi="Arial" w:cs="Arial"/>
          <w:sz w:val="22"/>
          <w:szCs w:val="22"/>
        </w:rPr>
        <w:t xml:space="preserve"> 97.6% male</w:t>
      </w:r>
      <w:r w:rsidR="00BE3725">
        <w:rPr>
          <w:rFonts w:ascii="Arial" w:hAnsi="Arial" w:cs="Arial"/>
          <w:sz w:val="22"/>
          <w:szCs w:val="22"/>
        </w:rPr>
        <w:t xml:space="preserve">; </w:t>
      </w:r>
      <w:r>
        <w:rPr>
          <w:rFonts w:ascii="Arial" w:hAnsi="Arial" w:cs="Arial"/>
          <w:sz w:val="22"/>
          <w:szCs w:val="22"/>
        </w:rPr>
        <w:t>92% white</w:t>
      </w:r>
      <w:r w:rsidR="00BE3725">
        <w:rPr>
          <w:rFonts w:ascii="Arial" w:hAnsi="Arial" w:cs="Arial"/>
          <w:sz w:val="22"/>
          <w:szCs w:val="22"/>
        </w:rPr>
        <w:t xml:space="preserve">; </w:t>
      </w:r>
      <w:r w:rsidR="00EE1EED">
        <w:rPr>
          <w:rFonts w:ascii="Arial" w:hAnsi="Arial" w:cs="Arial"/>
          <w:sz w:val="22"/>
          <w:szCs w:val="22"/>
        </w:rPr>
        <w:t>mean [</w:t>
      </w:r>
      <w:r w:rsidR="00EE1EED">
        <w:rPr>
          <w:rFonts w:ascii="Arial" w:hAnsi="Arial" w:cs="Arial"/>
          <w:sz w:val="22"/>
          <w:szCs w:val="22"/>
        </w:rPr>
        <w:sym w:font="Symbol" w:char="F0B1"/>
      </w:r>
      <w:r w:rsidR="00EE1EED">
        <w:rPr>
          <w:rFonts w:ascii="Arial" w:hAnsi="Arial" w:cs="Arial"/>
          <w:sz w:val="22"/>
          <w:szCs w:val="22"/>
        </w:rPr>
        <w:t xml:space="preserve">SD] </w:t>
      </w:r>
      <w:r w:rsidR="00BE3725" w:rsidRPr="00BE3725">
        <w:rPr>
          <w:rFonts w:ascii="Arial" w:hAnsi="Arial" w:cs="Arial"/>
          <w:sz w:val="22"/>
          <w:szCs w:val="22"/>
        </w:rPr>
        <w:t>CHA</w:t>
      </w:r>
      <w:r w:rsidR="00BE3725" w:rsidRPr="00BE3725">
        <w:rPr>
          <w:rFonts w:ascii="Arial" w:hAnsi="Arial" w:cs="Arial"/>
          <w:sz w:val="22"/>
          <w:szCs w:val="22"/>
          <w:vertAlign w:val="subscript"/>
        </w:rPr>
        <w:t>2</w:t>
      </w:r>
      <w:r w:rsidR="00BE3725" w:rsidRPr="00BE3725">
        <w:rPr>
          <w:rFonts w:ascii="Arial" w:hAnsi="Arial" w:cs="Arial"/>
          <w:sz w:val="22"/>
          <w:szCs w:val="22"/>
        </w:rPr>
        <w:t>DS</w:t>
      </w:r>
      <w:r w:rsidR="00BE3725" w:rsidRPr="00BE3725">
        <w:rPr>
          <w:rFonts w:ascii="Arial" w:hAnsi="Arial" w:cs="Arial"/>
          <w:sz w:val="22"/>
          <w:szCs w:val="22"/>
          <w:vertAlign w:val="subscript"/>
        </w:rPr>
        <w:t>2</w:t>
      </w:r>
      <w:r w:rsidR="00BE3725" w:rsidRPr="00BE3725">
        <w:rPr>
          <w:rFonts w:ascii="Arial" w:hAnsi="Arial" w:cs="Arial"/>
          <w:sz w:val="22"/>
          <w:szCs w:val="22"/>
        </w:rPr>
        <w:t>-VASc</w:t>
      </w:r>
      <w:r w:rsidR="00BE3725">
        <w:rPr>
          <w:rFonts w:ascii="Arial" w:hAnsi="Arial" w:cs="Arial"/>
          <w:sz w:val="22"/>
          <w:szCs w:val="22"/>
        </w:rPr>
        <w:t xml:space="preserve"> score 2</w:t>
      </w:r>
      <w:r w:rsidR="00BE3725">
        <w:rPr>
          <w:rFonts w:ascii="Arial" w:hAnsi="Arial" w:cs="Arial"/>
          <w:sz w:val="22"/>
          <w:szCs w:val="22"/>
        </w:rPr>
        <w:sym w:font="Symbol" w:char="F0B1"/>
      </w:r>
      <w:r w:rsidR="00BE3725">
        <w:rPr>
          <w:rFonts w:ascii="Arial" w:hAnsi="Arial" w:cs="Arial"/>
          <w:sz w:val="22"/>
          <w:szCs w:val="22"/>
        </w:rPr>
        <w:t xml:space="preserve">1.3; 3106 patients on </w:t>
      </w:r>
      <w:r w:rsidR="00BE3725">
        <w:rPr>
          <w:rFonts w:ascii="Arial" w:hAnsi="Arial" w:cs="Arial"/>
          <w:sz w:val="22"/>
          <w:szCs w:val="22"/>
        </w:rPr>
        <w:lastRenderedPageBreak/>
        <w:t xml:space="preserve">dronedarone and 3106 patients on sotalol; </w:t>
      </w:r>
      <w:r w:rsidR="00BE3725">
        <w:rPr>
          <w:rFonts w:ascii="Arial" w:hAnsi="Arial" w:cs="Arial"/>
          <w:b/>
          <w:bCs/>
          <w:sz w:val="22"/>
          <w:szCs w:val="22"/>
        </w:rPr>
        <w:t>Table 1</w:t>
      </w:r>
      <w:r w:rsidR="00BE3725">
        <w:rPr>
          <w:rFonts w:ascii="Arial" w:hAnsi="Arial" w:cs="Arial"/>
          <w:sz w:val="22"/>
          <w:szCs w:val="22"/>
        </w:rPr>
        <w:t xml:space="preserve">). </w:t>
      </w:r>
      <w:r w:rsidR="00941402">
        <w:rPr>
          <w:rFonts w:ascii="Arial" w:hAnsi="Arial" w:cs="Arial"/>
          <w:sz w:val="22"/>
          <w:szCs w:val="22"/>
        </w:rPr>
        <w:t xml:space="preserve">There was a high burden of baseline comorbid illness, including </w:t>
      </w:r>
      <w:r w:rsidR="00941402" w:rsidRPr="00941402">
        <w:rPr>
          <w:rFonts w:ascii="Arial" w:hAnsi="Arial" w:cs="Arial"/>
          <w:sz w:val="22"/>
          <w:szCs w:val="22"/>
        </w:rPr>
        <w:t>hypertension (sotalol: 65.2%, dronedarone: 64.3%), ischemic heart disease (sotalol: 41.1%, dronedarone: 40.9%), heart failure (sotalol: 9.6%, dronedarone: 10.0%), and diabetes (sotalol: 28.6%, dronedarone: 28.4%).</w:t>
      </w:r>
      <w:r w:rsidR="00582AB4" w:rsidRPr="00582AB4">
        <w:rPr>
          <w:rFonts w:ascii="Arial" w:hAnsi="Arial" w:cs="Arial"/>
          <w:sz w:val="22"/>
          <w:szCs w:val="22"/>
        </w:rPr>
        <w:t xml:space="preserve"> </w:t>
      </w:r>
      <w:r w:rsidR="00941402" w:rsidRPr="00941402">
        <w:rPr>
          <w:rFonts w:ascii="Arial" w:hAnsi="Arial" w:cs="Arial"/>
          <w:sz w:val="22"/>
          <w:szCs w:val="22"/>
        </w:rPr>
        <w:t xml:space="preserve">At the index </w:t>
      </w:r>
      <w:r w:rsidR="00EE1EED">
        <w:rPr>
          <w:rFonts w:ascii="Arial" w:hAnsi="Arial" w:cs="Arial"/>
          <w:sz w:val="22"/>
          <w:szCs w:val="22"/>
        </w:rPr>
        <w:t>date</w:t>
      </w:r>
      <w:r w:rsidR="00941402" w:rsidRPr="00941402">
        <w:rPr>
          <w:rFonts w:ascii="Arial" w:hAnsi="Arial" w:cs="Arial"/>
          <w:sz w:val="22"/>
          <w:szCs w:val="22"/>
        </w:rPr>
        <w:t>, 53.9% of sotalol users and 53.3% of dronedarone users were on oral anticoagulation, respectively.</w:t>
      </w:r>
      <w:r w:rsidR="00941402">
        <w:rPr>
          <w:rFonts w:ascii="Arial" w:hAnsi="Arial" w:cs="Arial"/>
          <w:sz w:val="22"/>
          <w:szCs w:val="22"/>
        </w:rPr>
        <w:t xml:space="preserve"> The cohorts were well-balanced with standardized mean differences &lt; 0.1 (</w:t>
      </w:r>
      <w:r w:rsidR="00941402">
        <w:rPr>
          <w:rFonts w:ascii="Arial" w:hAnsi="Arial" w:cs="Arial"/>
          <w:b/>
          <w:bCs/>
          <w:sz w:val="22"/>
          <w:szCs w:val="22"/>
        </w:rPr>
        <w:t>Table 1</w:t>
      </w:r>
      <w:r w:rsidR="00941402">
        <w:rPr>
          <w:rFonts w:ascii="Arial" w:hAnsi="Arial" w:cs="Arial"/>
          <w:sz w:val="22"/>
          <w:szCs w:val="22"/>
        </w:rPr>
        <w:t>)</w:t>
      </w:r>
      <w:r w:rsidR="006D5C81">
        <w:rPr>
          <w:rFonts w:ascii="Arial" w:hAnsi="Arial" w:cs="Arial"/>
          <w:sz w:val="22"/>
          <w:szCs w:val="22"/>
        </w:rPr>
        <w:t xml:space="preserve"> and alignment of the propensity score </w:t>
      </w:r>
      <w:proofErr w:type="spellStart"/>
      <w:r w:rsidR="006D5C81">
        <w:rPr>
          <w:rFonts w:ascii="Arial" w:hAnsi="Arial" w:cs="Arial"/>
          <w:sz w:val="22"/>
          <w:szCs w:val="22"/>
        </w:rPr>
        <w:t>disributions</w:t>
      </w:r>
      <w:proofErr w:type="spellEnd"/>
      <w:r w:rsidR="006D5C81">
        <w:rPr>
          <w:rFonts w:ascii="Arial" w:hAnsi="Arial" w:cs="Arial"/>
          <w:sz w:val="22"/>
          <w:szCs w:val="22"/>
        </w:rPr>
        <w:t xml:space="preserve"> after </w:t>
      </w:r>
      <w:r w:rsidR="00632A80">
        <w:rPr>
          <w:rFonts w:ascii="Arial" w:hAnsi="Arial" w:cs="Arial"/>
          <w:sz w:val="22"/>
          <w:szCs w:val="22"/>
        </w:rPr>
        <w:t>PSM</w:t>
      </w:r>
      <w:r w:rsidR="006D5C81">
        <w:rPr>
          <w:rFonts w:ascii="Arial" w:hAnsi="Arial" w:cs="Arial"/>
          <w:sz w:val="22"/>
          <w:szCs w:val="22"/>
        </w:rPr>
        <w:t xml:space="preserve"> (</w:t>
      </w:r>
      <w:r w:rsidR="006D5C81">
        <w:rPr>
          <w:rFonts w:ascii="Arial" w:hAnsi="Arial" w:cs="Arial"/>
          <w:b/>
          <w:bCs/>
          <w:sz w:val="22"/>
          <w:szCs w:val="22"/>
        </w:rPr>
        <w:t>Supplemental Figure 1</w:t>
      </w:r>
      <w:r w:rsidR="006D5C81">
        <w:rPr>
          <w:rFonts w:ascii="Arial" w:hAnsi="Arial" w:cs="Arial"/>
          <w:sz w:val="22"/>
          <w:szCs w:val="22"/>
        </w:rPr>
        <w:t xml:space="preserve">). </w:t>
      </w:r>
    </w:p>
    <w:p w14:paraId="4FCAAEA0" w14:textId="3798C512" w:rsidR="00582AB4" w:rsidRDefault="00582AB4" w:rsidP="00BE3725">
      <w:pPr>
        <w:spacing w:line="480" w:lineRule="auto"/>
        <w:rPr>
          <w:rFonts w:ascii="Arial" w:hAnsi="Arial" w:cs="Arial"/>
          <w:sz w:val="22"/>
          <w:szCs w:val="22"/>
        </w:rPr>
      </w:pPr>
    </w:p>
    <w:p w14:paraId="153EC46F" w14:textId="59A8617D" w:rsidR="00582AB4" w:rsidRPr="006D5C81" w:rsidRDefault="009C54EC" w:rsidP="00BE3725">
      <w:pPr>
        <w:spacing w:line="480" w:lineRule="auto"/>
        <w:rPr>
          <w:rFonts w:ascii="Arial" w:hAnsi="Arial" w:cs="Arial"/>
          <w:sz w:val="22"/>
          <w:szCs w:val="22"/>
        </w:rPr>
      </w:pPr>
      <w:r>
        <w:rPr>
          <w:rFonts w:ascii="Arial" w:hAnsi="Arial" w:cs="Arial"/>
          <w:sz w:val="22"/>
          <w:szCs w:val="22"/>
        </w:rPr>
        <w:t>Demographic</w:t>
      </w:r>
      <w:r w:rsidR="00582AB4">
        <w:rPr>
          <w:rFonts w:ascii="Arial" w:hAnsi="Arial" w:cs="Arial"/>
          <w:sz w:val="22"/>
          <w:szCs w:val="22"/>
        </w:rPr>
        <w:t xml:space="preserve"> and clinical characteristics not used in the PSM are reported in </w:t>
      </w:r>
      <w:r w:rsidR="00582AB4">
        <w:rPr>
          <w:rFonts w:ascii="Arial" w:hAnsi="Arial" w:cs="Arial"/>
          <w:b/>
          <w:bCs/>
          <w:sz w:val="22"/>
          <w:szCs w:val="22"/>
        </w:rPr>
        <w:t>Supplemental Table</w:t>
      </w:r>
      <w:r w:rsidR="00582AB4" w:rsidRPr="00582AB4">
        <w:rPr>
          <w:rFonts w:ascii="Arial" w:hAnsi="Arial" w:cs="Arial"/>
          <w:b/>
          <w:bCs/>
          <w:sz w:val="22"/>
          <w:szCs w:val="22"/>
        </w:rPr>
        <w:t xml:space="preserve"> </w:t>
      </w:r>
      <w:r w:rsidR="00582AB4">
        <w:rPr>
          <w:rFonts w:ascii="Arial" w:hAnsi="Arial" w:cs="Arial"/>
          <w:b/>
          <w:bCs/>
          <w:sz w:val="22"/>
          <w:szCs w:val="22"/>
        </w:rPr>
        <w:t>3</w:t>
      </w:r>
      <w:r w:rsidR="00582AB4">
        <w:rPr>
          <w:rFonts w:ascii="Arial" w:hAnsi="Arial" w:cs="Arial"/>
          <w:sz w:val="22"/>
          <w:szCs w:val="22"/>
        </w:rPr>
        <w:t xml:space="preserve">. </w:t>
      </w:r>
      <w:r w:rsidR="00582AB4" w:rsidRPr="00582AB4">
        <w:rPr>
          <w:rFonts w:ascii="Arial" w:hAnsi="Arial" w:cs="Arial"/>
          <w:sz w:val="22"/>
          <w:szCs w:val="22"/>
        </w:rPr>
        <w:t>The</w:t>
      </w:r>
      <w:r w:rsidR="00582AB4">
        <w:rPr>
          <w:rFonts w:ascii="Arial" w:hAnsi="Arial" w:cs="Arial"/>
          <w:sz w:val="22"/>
          <w:szCs w:val="22"/>
        </w:rPr>
        <w:t xml:space="preserve"> baseline LVEF </w:t>
      </w:r>
      <w:r>
        <w:rPr>
          <w:rFonts w:ascii="Arial" w:hAnsi="Arial" w:cs="Arial"/>
          <w:sz w:val="22"/>
          <w:szCs w:val="22"/>
        </w:rPr>
        <w:t xml:space="preserve">within 180 days prior to the index date </w:t>
      </w:r>
      <w:r w:rsidR="00582AB4">
        <w:rPr>
          <w:rFonts w:ascii="Arial" w:hAnsi="Arial" w:cs="Arial"/>
          <w:sz w:val="22"/>
          <w:szCs w:val="22"/>
        </w:rPr>
        <w:t>was available for 1,771 sotalol users and 1,401 dronedarone users, and was 55</w:t>
      </w:r>
      <w:r w:rsidR="00582AB4">
        <w:rPr>
          <w:rFonts w:ascii="Arial" w:hAnsi="Arial" w:cs="Arial"/>
          <w:sz w:val="22"/>
          <w:szCs w:val="22"/>
        </w:rPr>
        <w:sym w:font="Symbol" w:char="F0B1"/>
      </w:r>
      <w:r w:rsidR="00582AB4">
        <w:rPr>
          <w:rFonts w:ascii="Arial" w:hAnsi="Arial" w:cs="Arial"/>
          <w:sz w:val="22"/>
          <w:szCs w:val="22"/>
        </w:rPr>
        <w:t>11 and 58</w:t>
      </w:r>
      <w:r w:rsidR="00582AB4">
        <w:rPr>
          <w:rFonts w:ascii="Arial" w:hAnsi="Arial" w:cs="Arial"/>
          <w:sz w:val="22"/>
          <w:szCs w:val="22"/>
        </w:rPr>
        <w:sym w:font="Symbol" w:char="F0B1"/>
      </w:r>
      <w:r w:rsidR="00582AB4">
        <w:rPr>
          <w:rFonts w:ascii="Arial" w:hAnsi="Arial" w:cs="Arial"/>
          <w:sz w:val="22"/>
          <w:szCs w:val="22"/>
        </w:rPr>
        <w:t xml:space="preserve">10, correspondingly (standardized mean difference 0.216).  </w:t>
      </w:r>
    </w:p>
    <w:p w14:paraId="4D563960" w14:textId="1837C0E2" w:rsidR="00082D3C" w:rsidRDefault="00082D3C" w:rsidP="00D405B9">
      <w:pPr>
        <w:spacing w:line="480" w:lineRule="auto"/>
        <w:rPr>
          <w:rFonts w:ascii="Arial" w:hAnsi="Arial" w:cs="Arial"/>
          <w:sz w:val="22"/>
          <w:szCs w:val="22"/>
        </w:rPr>
      </w:pPr>
    </w:p>
    <w:p w14:paraId="2DEF6655" w14:textId="138F407F" w:rsidR="00E2233B" w:rsidRPr="00A86AAC" w:rsidRDefault="006868C4" w:rsidP="00D405B9">
      <w:pPr>
        <w:spacing w:line="480" w:lineRule="auto"/>
        <w:rPr>
          <w:rFonts w:ascii="Arial" w:hAnsi="Arial" w:cs="Arial"/>
          <w:sz w:val="22"/>
          <w:szCs w:val="22"/>
          <w:u w:val="single"/>
        </w:rPr>
      </w:pPr>
      <w:r w:rsidRPr="00A86AAC">
        <w:rPr>
          <w:rFonts w:ascii="Arial" w:hAnsi="Arial" w:cs="Arial"/>
          <w:sz w:val="22"/>
          <w:szCs w:val="22"/>
          <w:u w:val="single"/>
        </w:rPr>
        <w:t>Primary outcomes</w:t>
      </w:r>
    </w:p>
    <w:p w14:paraId="79A9F2EB" w14:textId="4123298C" w:rsidR="006868C4" w:rsidRDefault="006868C4" w:rsidP="00D405B9">
      <w:pPr>
        <w:spacing w:line="480" w:lineRule="auto"/>
        <w:rPr>
          <w:rFonts w:ascii="Arial" w:hAnsi="Arial" w:cs="Arial"/>
          <w:sz w:val="22"/>
          <w:szCs w:val="22"/>
        </w:rPr>
      </w:pPr>
      <w:r>
        <w:rPr>
          <w:rFonts w:ascii="Arial" w:hAnsi="Arial" w:cs="Arial"/>
          <w:sz w:val="22"/>
          <w:szCs w:val="22"/>
        </w:rPr>
        <w:t xml:space="preserve">The first primary outcome of cardiovascular hospitalization occurred in 310 (10%) patients on dronedarone and 296 (9.5%) patients on sotalol. The </w:t>
      </w:r>
      <w:proofErr w:type="gramStart"/>
      <w:r>
        <w:rPr>
          <w:rFonts w:ascii="Arial" w:hAnsi="Arial" w:cs="Arial"/>
          <w:sz w:val="22"/>
          <w:szCs w:val="22"/>
        </w:rPr>
        <w:t>24 month</w:t>
      </w:r>
      <w:proofErr w:type="gramEnd"/>
      <w:r>
        <w:rPr>
          <w:rFonts w:ascii="Arial" w:hAnsi="Arial" w:cs="Arial"/>
          <w:sz w:val="22"/>
          <w:szCs w:val="22"/>
        </w:rPr>
        <w:t xml:space="preserve"> incidence of cardiovascular hospitalization was </w:t>
      </w:r>
      <w:r w:rsidR="005D4F94">
        <w:rPr>
          <w:rFonts w:ascii="Arial" w:hAnsi="Arial" w:cs="Arial"/>
          <w:sz w:val="22"/>
          <w:szCs w:val="22"/>
        </w:rPr>
        <w:t>similar</w:t>
      </w:r>
      <w:r w:rsidR="00291444">
        <w:rPr>
          <w:rFonts w:ascii="Arial" w:hAnsi="Arial" w:cs="Arial"/>
          <w:sz w:val="22"/>
          <w:szCs w:val="22"/>
        </w:rPr>
        <w:t xml:space="preserve"> between dronedarone and sotalol at </w:t>
      </w:r>
      <w:r>
        <w:rPr>
          <w:rFonts w:ascii="Arial" w:hAnsi="Arial" w:cs="Arial"/>
          <w:sz w:val="22"/>
          <w:szCs w:val="22"/>
        </w:rPr>
        <w:t>10.2 (95% confidence interval [CI]: 9.0-11.6) and 10.7 [95% CI: 9.5-12.0] per 100 patient-years, correspondingly (</w:t>
      </w:r>
      <w:r>
        <w:rPr>
          <w:rFonts w:ascii="Arial" w:hAnsi="Arial" w:cs="Arial"/>
          <w:b/>
          <w:bCs/>
          <w:sz w:val="22"/>
          <w:szCs w:val="22"/>
        </w:rPr>
        <w:t>Table 2</w:t>
      </w:r>
      <w:r>
        <w:rPr>
          <w:rFonts w:ascii="Arial" w:hAnsi="Arial" w:cs="Arial"/>
          <w:sz w:val="22"/>
          <w:szCs w:val="22"/>
        </w:rPr>
        <w:t>). The risk of cardiovascular hospitalization was not significantly different between dronedarone and sotalol (hazard ratio [HR] 1.03, 95% CI: 0.88-1.21, p=0.729) (</w:t>
      </w:r>
      <w:r>
        <w:rPr>
          <w:rFonts w:ascii="Arial" w:hAnsi="Arial" w:cs="Arial"/>
          <w:b/>
          <w:bCs/>
          <w:sz w:val="22"/>
          <w:szCs w:val="22"/>
        </w:rPr>
        <w:t>Figure 3</w:t>
      </w:r>
      <w:r>
        <w:rPr>
          <w:rFonts w:ascii="Arial" w:hAnsi="Arial" w:cs="Arial"/>
          <w:sz w:val="22"/>
          <w:szCs w:val="22"/>
        </w:rPr>
        <w:t>).</w:t>
      </w:r>
    </w:p>
    <w:p w14:paraId="091B3271" w14:textId="736AD7C3" w:rsidR="006868C4" w:rsidRDefault="006868C4" w:rsidP="00D405B9">
      <w:pPr>
        <w:spacing w:line="480" w:lineRule="auto"/>
        <w:rPr>
          <w:rFonts w:ascii="Arial" w:hAnsi="Arial" w:cs="Arial"/>
          <w:sz w:val="22"/>
          <w:szCs w:val="22"/>
        </w:rPr>
      </w:pPr>
    </w:p>
    <w:p w14:paraId="64E45550" w14:textId="11918AB0" w:rsidR="006868C4" w:rsidRDefault="006868C4" w:rsidP="005D4F94">
      <w:pPr>
        <w:spacing w:line="480" w:lineRule="auto"/>
        <w:rPr>
          <w:rFonts w:ascii="Arial" w:hAnsi="Arial" w:cs="Arial"/>
          <w:sz w:val="22"/>
          <w:szCs w:val="22"/>
        </w:rPr>
      </w:pPr>
      <w:r>
        <w:rPr>
          <w:rFonts w:ascii="Arial" w:hAnsi="Arial" w:cs="Arial"/>
          <w:sz w:val="22"/>
          <w:szCs w:val="22"/>
        </w:rPr>
        <w:t xml:space="preserve">The second primary outcome of ventricular pro-arrhythmia occurred in 58 (1.9%) patients on dronedarone and 91 (2.9%) patients on sotalol. </w:t>
      </w:r>
      <w:r w:rsidR="005D4F94">
        <w:rPr>
          <w:rFonts w:ascii="Arial" w:hAnsi="Arial" w:cs="Arial"/>
          <w:sz w:val="22"/>
          <w:szCs w:val="22"/>
        </w:rPr>
        <w:t xml:space="preserve">Dronedarone, compared to sotalol, had a lower </w:t>
      </w:r>
      <w:proofErr w:type="gramStart"/>
      <w:r w:rsidR="005D4F94">
        <w:rPr>
          <w:rFonts w:ascii="Arial" w:hAnsi="Arial" w:cs="Arial"/>
          <w:sz w:val="22"/>
          <w:szCs w:val="22"/>
        </w:rPr>
        <w:t>24 month</w:t>
      </w:r>
      <w:proofErr w:type="gramEnd"/>
      <w:r w:rsidR="005D4F94">
        <w:rPr>
          <w:rFonts w:ascii="Arial" w:hAnsi="Arial" w:cs="Arial"/>
          <w:sz w:val="22"/>
          <w:szCs w:val="22"/>
        </w:rPr>
        <w:t xml:space="preserve"> incidence of ventricular pro-arrhythmia:</w:t>
      </w:r>
      <w:r>
        <w:rPr>
          <w:rFonts w:ascii="Arial" w:hAnsi="Arial" w:cs="Arial"/>
          <w:sz w:val="22"/>
          <w:szCs w:val="22"/>
        </w:rPr>
        <w:t xml:space="preserve"> 1.8 (95% CI: 1.3</w:t>
      </w:r>
      <w:r w:rsidR="00923183">
        <w:rPr>
          <w:rFonts w:ascii="Arial" w:hAnsi="Arial" w:cs="Arial"/>
          <w:sz w:val="22"/>
          <w:szCs w:val="22"/>
        </w:rPr>
        <w:t>-</w:t>
      </w:r>
      <w:r>
        <w:rPr>
          <w:rFonts w:ascii="Arial" w:hAnsi="Arial" w:cs="Arial"/>
          <w:sz w:val="22"/>
          <w:szCs w:val="22"/>
        </w:rPr>
        <w:t xml:space="preserve">2.4) </w:t>
      </w:r>
      <w:r w:rsidR="005D4F94">
        <w:rPr>
          <w:rFonts w:ascii="Arial" w:hAnsi="Arial" w:cs="Arial"/>
          <w:sz w:val="22"/>
          <w:szCs w:val="22"/>
        </w:rPr>
        <w:t>vs.</w:t>
      </w:r>
      <w:r>
        <w:rPr>
          <w:rFonts w:ascii="Arial" w:hAnsi="Arial" w:cs="Arial"/>
          <w:sz w:val="22"/>
          <w:szCs w:val="22"/>
        </w:rPr>
        <w:t xml:space="preserve"> 3.4 (</w:t>
      </w:r>
      <w:r w:rsidR="005D4F94">
        <w:rPr>
          <w:rFonts w:ascii="Arial" w:hAnsi="Arial" w:cs="Arial"/>
          <w:sz w:val="22"/>
          <w:szCs w:val="22"/>
        </w:rPr>
        <w:t xml:space="preserve">95% CI: </w:t>
      </w:r>
      <w:r>
        <w:rPr>
          <w:rFonts w:ascii="Arial" w:hAnsi="Arial" w:cs="Arial"/>
          <w:sz w:val="22"/>
          <w:szCs w:val="22"/>
        </w:rPr>
        <w:t>2.7</w:t>
      </w:r>
      <w:r w:rsidR="00923183">
        <w:rPr>
          <w:rFonts w:ascii="Arial" w:hAnsi="Arial" w:cs="Arial"/>
          <w:sz w:val="22"/>
          <w:szCs w:val="22"/>
        </w:rPr>
        <w:t>-</w:t>
      </w:r>
      <w:r>
        <w:rPr>
          <w:rFonts w:ascii="Arial" w:hAnsi="Arial" w:cs="Arial"/>
          <w:sz w:val="22"/>
          <w:szCs w:val="22"/>
        </w:rPr>
        <w:t>4.2) per 100 patient-years, correspondingly (</w:t>
      </w:r>
      <w:r>
        <w:rPr>
          <w:rFonts w:ascii="Arial" w:hAnsi="Arial" w:cs="Arial"/>
          <w:b/>
          <w:bCs/>
          <w:sz w:val="22"/>
          <w:szCs w:val="22"/>
        </w:rPr>
        <w:t>Table 2</w:t>
      </w:r>
      <w:r>
        <w:rPr>
          <w:rFonts w:ascii="Arial" w:hAnsi="Arial" w:cs="Arial"/>
          <w:sz w:val="22"/>
          <w:szCs w:val="22"/>
        </w:rPr>
        <w:t xml:space="preserve">). The risk of ventricular pro-arrhythmia was significantly lower with dronedarone compared to sotalol (HR 0.53, 95% CI: 0.38-0.74, </w:t>
      </w:r>
      <w:r>
        <w:rPr>
          <w:rFonts w:ascii="Arial" w:hAnsi="Arial" w:cs="Arial"/>
          <w:sz w:val="22"/>
          <w:szCs w:val="22"/>
        </w:rPr>
        <w:lastRenderedPageBreak/>
        <w:t>p=0.0002) (</w:t>
      </w:r>
      <w:r>
        <w:rPr>
          <w:rFonts w:ascii="Arial" w:hAnsi="Arial" w:cs="Arial"/>
          <w:b/>
          <w:bCs/>
          <w:sz w:val="22"/>
          <w:szCs w:val="22"/>
        </w:rPr>
        <w:t>Figure 3</w:t>
      </w:r>
      <w:r>
        <w:rPr>
          <w:rFonts w:ascii="Arial" w:hAnsi="Arial" w:cs="Arial"/>
          <w:sz w:val="22"/>
          <w:szCs w:val="22"/>
        </w:rPr>
        <w:t>).</w:t>
      </w:r>
      <w:r w:rsidR="0067281A">
        <w:rPr>
          <w:rFonts w:ascii="Arial" w:hAnsi="Arial" w:cs="Arial"/>
          <w:sz w:val="22"/>
          <w:szCs w:val="22"/>
        </w:rPr>
        <w:t xml:space="preserve"> The </w:t>
      </w:r>
      <w:r w:rsidR="009C4828">
        <w:rPr>
          <w:rFonts w:ascii="Arial" w:hAnsi="Arial" w:cs="Arial"/>
          <w:sz w:val="22"/>
          <w:szCs w:val="22"/>
        </w:rPr>
        <w:t>E</w:t>
      </w:r>
      <w:r w:rsidR="0067281A">
        <w:rPr>
          <w:rFonts w:ascii="Arial" w:hAnsi="Arial" w:cs="Arial"/>
          <w:sz w:val="22"/>
          <w:szCs w:val="22"/>
        </w:rPr>
        <w:t>-value for ventricular pro-arrhythmia was 2.04 for the upper bounds of the confidence interval to be 1, and 3.18 for the point estimate to be 1</w:t>
      </w:r>
      <w:r w:rsidR="00FB12E8">
        <w:rPr>
          <w:rFonts w:ascii="Arial" w:hAnsi="Arial" w:cs="Arial"/>
          <w:sz w:val="22"/>
          <w:szCs w:val="22"/>
        </w:rPr>
        <w:t>.</w:t>
      </w:r>
    </w:p>
    <w:p w14:paraId="46EAB518" w14:textId="35323AE7" w:rsidR="006868C4" w:rsidRDefault="006868C4" w:rsidP="00D405B9">
      <w:pPr>
        <w:spacing w:line="480" w:lineRule="auto"/>
        <w:rPr>
          <w:rFonts w:ascii="Arial" w:hAnsi="Arial" w:cs="Arial"/>
          <w:sz w:val="22"/>
          <w:szCs w:val="22"/>
        </w:rPr>
      </w:pPr>
    </w:p>
    <w:p w14:paraId="630A79F2" w14:textId="47BC38F5" w:rsidR="006868C4" w:rsidRPr="00A86AAC" w:rsidRDefault="006868C4" w:rsidP="00D405B9">
      <w:pPr>
        <w:spacing w:line="480" w:lineRule="auto"/>
        <w:rPr>
          <w:rFonts w:ascii="Arial" w:hAnsi="Arial" w:cs="Arial"/>
          <w:sz w:val="22"/>
          <w:szCs w:val="22"/>
          <w:u w:val="single"/>
        </w:rPr>
      </w:pPr>
      <w:r w:rsidRPr="00A86AAC">
        <w:rPr>
          <w:rFonts w:ascii="Arial" w:hAnsi="Arial" w:cs="Arial"/>
          <w:sz w:val="22"/>
          <w:szCs w:val="22"/>
          <w:u w:val="single"/>
        </w:rPr>
        <w:t>Secondary outcomes</w:t>
      </w:r>
    </w:p>
    <w:p w14:paraId="1AE1EDDE" w14:textId="46A2BF91" w:rsidR="006868C4" w:rsidRPr="00291444" w:rsidRDefault="005D4F94" w:rsidP="00D405B9">
      <w:pPr>
        <w:spacing w:line="480" w:lineRule="auto"/>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24 month</w:t>
      </w:r>
      <w:proofErr w:type="gramEnd"/>
      <w:r>
        <w:rPr>
          <w:rFonts w:ascii="Arial" w:hAnsi="Arial" w:cs="Arial"/>
          <w:sz w:val="22"/>
          <w:szCs w:val="22"/>
        </w:rPr>
        <w:t xml:space="preserve"> incidence </w:t>
      </w:r>
      <w:r w:rsidR="00291444">
        <w:rPr>
          <w:rFonts w:ascii="Arial" w:hAnsi="Arial" w:cs="Arial"/>
          <w:sz w:val="22"/>
          <w:szCs w:val="22"/>
        </w:rPr>
        <w:t xml:space="preserve">of </w:t>
      </w:r>
      <w:r w:rsidR="009364A8">
        <w:rPr>
          <w:rFonts w:ascii="Arial" w:hAnsi="Arial" w:cs="Arial"/>
          <w:sz w:val="22"/>
          <w:szCs w:val="22"/>
        </w:rPr>
        <w:t xml:space="preserve">all-cause </w:t>
      </w:r>
      <w:r w:rsidR="00291444">
        <w:rPr>
          <w:rFonts w:ascii="Arial" w:hAnsi="Arial" w:cs="Arial"/>
          <w:sz w:val="22"/>
          <w:szCs w:val="22"/>
        </w:rPr>
        <w:t xml:space="preserve">mortality was similar between dronedarone and sotalol at </w:t>
      </w:r>
      <w:r>
        <w:rPr>
          <w:rFonts w:ascii="Arial" w:hAnsi="Arial" w:cs="Arial"/>
          <w:sz w:val="22"/>
          <w:szCs w:val="22"/>
        </w:rPr>
        <w:t>3.0 (95% CI: 2.4</w:t>
      </w:r>
      <w:r w:rsidR="00923183">
        <w:rPr>
          <w:rFonts w:ascii="Arial" w:hAnsi="Arial" w:cs="Arial"/>
          <w:sz w:val="22"/>
          <w:szCs w:val="22"/>
        </w:rPr>
        <w:t>-</w:t>
      </w:r>
      <w:r>
        <w:rPr>
          <w:rFonts w:ascii="Arial" w:hAnsi="Arial" w:cs="Arial"/>
          <w:sz w:val="22"/>
          <w:szCs w:val="22"/>
        </w:rPr>
        <w:t xml:space="preserve"> 3.8) and 3.4 (95% CI: 2.8</w:t>
      </w:r>
      <w:r w:rsidR="00923183">
        <w:rPr>
          <w:rFonts w:ascii="Arial" w:hAnsi="Arial" w:cs="Arial"/>
          <w:sz w:val="22"/>
          <w:szCs w:val="22"/>
        </w:rPr>
        <w:t>-</w:t>
      </w:r>
      <w:r>
        <w:rPr>
          <w:rFonts w:ascii="Arial" w:hAnsi="Arial" w:cs="Arial"/>
          <w:sz w:val="22"/>
          <w:szCs w:val="22"/>
        </w:rPr>
        <w:t xml:space="preserve"> 4.2) per 100 patient-years, correspondingly (</w:t>
      </w:r>
      <w:r>
        <w:rPr>
          <w:rFonts w:ascii="Arial" w:hAnsi="Arial" w:cs="Arial"/>
          <w:b/>
          <w:bCs/>
          <w:sz w:val="22"/>
          <w:szCs w:val="22"/>
        </w:rPr>
        <w:t>Table 3</w:t>
      </w:r>
      <w:r>
        <w:rPr>
          <w:rFonts w:ascii="Arial" w:hAnsi="Arial" w:cs="Arial"/>
          <w:sz w:val="22"/>
          <w:szCs w:val="22"/>
        </w:rPr>
        <w:t>). The risk of death was not significantly different between dronedarone and sotalol (HR: 0.89, 95% CI: 0.68-1.16, p=0.399)</w:t>
      </w:r>
      <w:r w:rsidR="00291444">
        <w:rPr>
          <w:rFonts w:ascii="Arial" w:hAnsi="Arial" w:cs="Arial"/>
          <w:sz w:val="22"/>
          <w:szCs w:val="22"/>
        </w:rPr>
        <w:t xml:space="preserve"> (</w:t>
      </w:r>
      <w:r w:rsidR="00291444">
        <w:rPr>
          <w:rFonts w:ascii="Arial" w:hAnsi="Arial" w:cs="Arial"/>
          <w:b/>
          <w:bCs/>
          <w:sz w:val="22"/>
          <w:szCs w:val="22"/>
        </w:rPr>
        <w:t>Figure 3</w:t>
      </w:r>
      <w:r w:rsidR="00291444">
        <w:rPr>
          <w:rFonts w:ascii="Arial" w:hAnsi="Arial" w:cs="Arial"/>
          <w:sz w:val="22"/>
          <w:szCs w:val="22"/>
        </w:rPr>
        <w:t xml:space="preserve">). </w:t>
      </w:r>
    </w:p>
    <w:p w14:paraId="62D9A7DF" w14:textId="530A129E" w:rsidR="005D4F94" w:rsidRDefault="005D4F94" w:rsidP="00D405B9">
      <w:pPr>
        <w:spacing w:line="480" w:lineRule="auto"/>
        <w:rPr>
          <w:rFonts w:ascii="Arial" w:hAnsi="Arial" w:cs="Arial"/>
          <w:sz w:val="22"/>
          <w:szCs w:val="22"/>
        </w:rPr>
      </w:pPr>
    </w:p>
    <w:p w14:paraId="120B1AB2" w14:textId="3DCD0AFF" w:rsidR="006868C4" w:rsidRDefault="005D4F94" w:rsidP="00D405B9">
      <w:pPr>
        <w:spacing w:line="480" w:lineRule="auto"/>
        <w:rPr>
          <w:rFonts w:ascii="Arial" w:hAnsi="Arial" w:cs="Arial"/>
          <w:sz w:val="22"/>
          <w:szCs w:val="22"/>
        </w:rPr>
      </w:pPr>
      <w:r>
        <w:rPr>
          <w:rFonts w:ascii="Arial" w:hAnsi="Arial" w:cs="Arial"/>
          <w:sz w:val="22"/>
          <w:szCs w:val="22"/>
        </w:rPr>
        <w:t>The</w:t>
      </w:r>
      <w:r w:rsidR="00923183">
        <w:rPr>
          <w:rFonts w:ascii="Arial" w:hAnsi="Arial" w:cs="Arial"/>
          <w:sz w:val="22"/>
          <w:szCs w:val="22"/>
        </w:rPr>
        <w:t xml:space="preserve"> 24 month incidence rates, per 100 patient-years, of the conduction disease secondary outcomes were as follows: conduction disorders – 16.0 (95% CI: 14.5-17.8) for dronedarone and 15.3 (95% CI: 13.8-16.9) for sotalol; symptomatic bradycardia – 0.9 (95% CI: 0.6-1.4) for dronedarone and 1.7 (95% CI: 1.2-2.2) for sotalol; bradycardia with pacemaker – 0.8 (95% CI: 0.5-1.2) for dronedarone and 1.5 (95% CI: 1.1-2.0) for sotalol</w:t>
      </w:r>
      <w:r w:rsidR="00CA742C">
        <w:rPr>
          <w:rFonts w:ascii="Arial" w:hAnsi="Arial" w:cs="Arial"/>
          <w:sz w:val="22"/>
          <w:szCs w:val="22"/>
        </w:rPr>
        <w:t xml:space="preserve"> (</w:t>
      </w:r>
      <w:r w:rsidR="00CA742C">
        <w:rPr>
          <w:rFonts w:ascii="Arial" w:hAnsi="Arial" w:cs="Arial"/>
          <w:b/>
          <w:bCs/>
          <w:sz w:val="22"/>
          <w:szCs w:val="22"/>
        </w:rPr>
        <w:t>Table 3</w:t>
      </w:r>
      <w:r w:rsidR="00CA742C">
        <w:rPr>
          <w:rFonts w:ascii="Arial" w:hAnsi="Arial" w:cs="Arial"/>
          <w:sz w:val="22"/>
          <w:szCs w:val="22"/>
        </w:rPr>
        <w:t>). Dronedarone, compared to sotalol, was associated with a lower risk of bradycardia with pacemaker (HR 0.56, 95% CI: 0.36-0.89, p=0.012) and symptomatic bradycardia (HR 0.56, 95% CI: 0.37-0.87, p=0.008) (</w:t>
      </w:r>
      <w:r w:rsidR="00CA742C">
        <w:rPr>
          <w:rFonts w:ascii="Arial" w:hAnsi="Arial" w:cs="Arial"/>
          <w:b/>
          <w:bCs/>
          <w:sz w:val="22"/>
          <w:szCs w:val="22"/>
        </w:rPr>
        <w:t>Figure 3</w:t>
      </w:r>
      <w:r w:rsidR="00CA742C">
        <w:rPr>
          <w:rFonts w:ascii="Arial" w:hAnsi="Arial" w:cs="Arial"/>
          <w:sz w:val="22"/>
          <w:szCs w:val="22"/>
        </w:rPr>
        <w:t xml:space="preserve">).  </w:t>
      </w:r>
    </w:p>
    <w:p w14:paraId="7E2BB3D2" w14:textId="77777777" w:rsidR="00CA742C" w:rsidRPr="006868C4" w:rsidRDefault="00CA742C" w:rsidP="00D405B9">
      <w:pPr>
        <w:spacing w:line="480" w:lineRule="auto"/>
        <w:rPr>
          <w:rFonts w:ascii="Arial" w:hAnsi="Arial" w:cs="Arial"/>
          <w:sz w:val="22"/>
          <w:szCs w:val="22"/>
        </w:rPr>
      </w:pPr>
    </w:p>
    <w:p w14:paraId="52FD7891" w14:textId="1C985F05" w:rsidR="00E2233B" w:rsidRPr="00A86AAC" w:rsidRDefault="006868C4" w:rsidP="00D405B9">
      <w:pPr>
        <w:spacing w:line="480" w:lineRule="auto"/>
        <w:rPr>
          <w:rFonts w:ascii="Arial" w:hAnsi="Arial" w:cs="Arial"/>
          <w:sz w:val="22"/>
          <w:szCs w:val="22"/>
          <w:u w:val="single"/>
        </w:rPr>
      </w:pPr>
      <w:r w:rsidRPr="00A86AAC">
        <w:rPr>
          <w:rFonts w:ascii="Arial" w:hAnsi="Arial" w:cs="Arial"/>
          <w:sz w:val="22"/>
          <w:szCs w:val="22"/>
          <w:u w:val="single"/>
        </w:rPr>
        <w:t>Falsification and sensitivity analyses</w:t>
      </w:r>
    </w:p>
    <w:p w14:paraId="35DAE3DC" w14:textId="532DA9D5" w:rsidR="0050046D" w:rsidRDefault="00E2233B" w:rsidP="00D405B9">
      <w:pPr>
        <w:spacing w:line="480" w:lineRule="auto"/>
        <w:rPr>
          <w:rFonts w:ascii="Arial" w:hAnsi="Arial" w:cs="Arial"/>
          <w:sz w:val="22"/>
          <w:szCs w:val="22"/>
        </w:rPr>
      </w:pPr>
      <w:r>
        <w:rPr>
          <w:rFonts w:ascii="Arial" w:hAnsi="Arial" w:cs="Arial"/>
          <w:sz w:val="22"/>
          <w:szCs w:val="22"/>
        </w:rPr>
        <w:t xml:space="preserve">In the falsification analysis, we found no significant association between </w:t>
      </w:r>
      <w:r w:rsidR="00A86AAC">
        <w:rPr>
          <w:rFonts w:ascii="Arial" w:hAnsi="Arial" w:cs="Arial"/>
          <w:sz w:val="22"/>
          <w:szCs w:val="22"/>
        </w:rPr>
        <w:t>either</w:t>
      </w:r>
      <w:r>
        <w:rPr>
          <w:rFonts w:ascii="Arial" w:hAnsi="Arial" w:cs="Arial"/>
          <w:sz w:val="22"/>
          <w:szCs w:val="22"/>
        </w:rPr>
        <w:t xml:space="preserve"> exposure group </w:t>
      </w:r>
      <w:proofErr w:type="gramStart"/>
      <w:r>
        <w:rPr>
          <w:rFonts w:ascii="Arial" w:hAnsi="Arial" w:cs="Arial"/>
          <w:sz w:val="22"/>
          <w:szCs w:val="22"/>
        </w:rPr>
        <w:t>and</w:t>
      </w:r>
      <w:proofErr w:type="gramEnd"/>
      <w:r>
        <w:rPr>
          <w:rFonts w:ascii="Arial" w:hAnsi="Arial" w:cs="Arial"/>
          <w:sz w:val="22"/>
          <w:szCs w:val="22"/>
        </w:rPr>
        <w:t xml:space="preserve"> the falsification endpoint, with </w:t>
      </w:r>
      <w:r w:rsidR="0006459C">
        <w:rPr>
          <w:rFonts w:ascii="Arial" w:hAnsi="Arial" w:cs="Arial"/>
          <w:sz w:val="22"/>
          <w:szCs w:val="22"/>
        </w:rPr>
        <w:t>a</w:t>
      </w:r>
      <w:r w:rsidRPr="00E2233B">
        <w:rPr>
          <w:rFonts w:ascii="Arial" w:hAnsi="Arial" w:cs="Arial"/>
          <w:sz w:val="22"/>
          <w:szCs w:val="22"/>
        </w:rPr>
        <w:t xml:space="preserve"> HR of 0.89 (95% CI: 0.78</w:t>
      </w:r>
      <w:r w:rsidR="00E040BB">
        <w:rPr>
          <w:rFonts w:ascii="Arial" w:hAnsi="Arial" w:cs="Arial"/>
          <w:sz w:val="22"/>
          <w:szCs w:val="22"/>
        </w:rPr>
        <w:t>-</w:t>
      </w:r>
      <w:r w:rsidRPr="00E2233B">
        <w:rPr>
          <w:rFonts w:ascii="Arial" w:hAnsi="Arial" w:cs="Arial"/>
          <w:sz w:val="22"/>
          <w:szCs w:val="22"/>
        </w:rPr>
        <w:t>1.03).</w:t>
      </w:r>
      <w:r w:rsidR="0050046D">
        <w:rPr>
          <w:rFonts w:ascii="Arial" w:hAnsi="Arial" w:cs="Arial"/>
          <w:sz w:val="22"/>
          <w:szCs w:val="22"/>
        </w:rPr>
        <w:t xml:space="preserve"> </w:t>
      </w:r>
    </w:p>
    <w:p w14:paraId="05348172" w14:textId="77777777" w:rsidR="0050046D" w:rsidRDefault="0050046D" w:rsidP="00D405B9">
      <w:pPr>
        <w:spacing w:line="480" w:lineRule="auto"/>
        <w:rPr>
          <w:rFonts w:ascii="Arial" w:hAnsi="Arial" w:cs="Arial"/>
          <w:sz w:val="22"/>
          <w:szCs w:val="22"/>
        </w:rPr>
      </w:pPr>
    </w:p>
    <w:p w14:paraId="4A0FFBF6" w14:textId="15CE9CB3" w:rsidR="0067281A" w:rsidRPr="00215C3C" w:rsidRDefault="0050046D" w:rsidP="00D405B9">
      <w:pPr>
        <w:spacing w:line="480" w:lineRule="auto"/>
        <w:rPr>
          <w:rFonts w:ascii="Arial" w:hAnsi="Arial" w:cs="Arial"/>
          <w:sz w:val="22"/>
          <w:szCs w:val="22"/>
        </w:rPr>
      </w:pPr>
      <w:r>
        <w:rPr>
          <w:rFonts w:ascii="Arial" w:hAnsi="Arial" w:cs="Arial"/>
          <w:sz w:val="22"/>
          <w:szCs w:val="22"/>
        </w:rPr>
        <w:t xml:space="preserve">We performed a series of sensitivity analyses, with the resultant hazard ratios for each outcome reported in </w:t>
      </w:r>
      <w:r>
        <w:rPr>
          <w:rFonts w:ascii="Arial" w:hAnsi="Arial" w:cs="Arial"/>
          <w:b/>
          <w:bCs/>
          <w:sz w:val="22"/>
          <w:szCs w:val="22"/>
        </w:rPr>
        <w:t>Table 4</w:t>
      </w:r>
      <w:r>
        <w:rPr>
          <w:rFonts w:ascii="Arial" w:hAnsi="Arial" w:cs="Arial"/>
          <w:sz w:val="22"/>
          <w:szCs w:val="22"/>
        </w:rPr>
        <w:t xml:space="preserve">. Overall, dronedarone continued to be associated with a lower risk of ventricular pro-arrhythmia across all sensitivity analyses. </w:t>
      </w:r>
      <w:r w:rsidR="00D20587">
        <w:rPr>
          <w:rFonts w:ascii="Arial" w:hAnsi="Arial" w:cs="Arial"/>
          <w:sz w:val="22"/>
          <w:szCs w:val="22"/>
        </w:rPr>
        <w:t xml:space="preserve">There was no significant difference in cardiovascular hospitalization or mortality across sensitivity analyses. </w:t>
      </w:r>
      <w:r>
        <w:rPr>
          <w:rFonts w:ascii="Arial" w:hAnsi="Arial" w:cs="Arial"/>
          <w:sz w:val="22"/>
          <w:szCs w:val="22"/>
        </w:rPr>
        <w:t xml:space="preserve">For the secondary </w:t>
      </w:r>
      <w:r>
        <w:rPr>
          <w:rFonts w:ascii="Arial" w:hAnsi="Arial" w:cs="Arial"/>
          <w:sz w:val="22"/>
          <w:szCs w:val="22"/>
        </w:rPr>
        <w:lastRenderedPageBreak/>
        <w:t xml:space="preserve">outcomes of bradycardia with pacemaker and symptomatic bradycardia, </w:t>
      </w:r>
      <w:r w:rsidR="0006459C">
        <w:rPr>
          <w:rFonts w:ascii="Arial" w:hAnsi="Arial" w:cs="Arial"/>
          <w:sz w:val="22"/>
          <w:szCs w:val="22"/>
        </w:rPr>
        <w:t>there was no</w:t>
      </w:r>
      <w:r>
        <w:rPr>
          <w:rFonts w:ascii="Arial" w:hAnsi="Arial" w:cs="Arial"/>
          <w:sz w:val="22"/>
          <w:szCs w:val="22"/>
        </w:rPr>
        <w:t xml:space="preserve"> longer </w:t>
      </w:r>
      <w:r w:rsidR="0006459C">
        <w:rPr>
          <w:rFonts w:ascii="Arial" w:hAnsi="Arial" w:cs="Arial"/>
          <w:sz w:val="22"/>
          <w:szCs w:val="22"/>
        </w:rPr>
        <w:t xml:space="preserve">a significant decrease with </w:t>
      </w:r>
      <w:r w:rsidR="002A0F92">
        <w:rPr>
          <w:rFonts w:ascii="Arial" w:hAnsi="Arial" w:cs="Arial"/>
          <w:sz w:val="22"/>
          <w:szCs w:val="22"/>
        </w:rPr>
        <w:t>dronedarone</w:t>
      </w:r>
      <w:r w:rsidR="0006459C">
        <w:rPr>
          <w:rFonts w:ascii="Arial" w:hAnsi="Arial" w:cs="Arial"/>
          <w:sz w:val="22"/>
          <w:szCs w:val="22"/>
        </w:rPr>
        <w:t xml:space="preserve"> therapy</w:t>
      </w:r>
      <w:r w:rsidR="00D20587">
        <w:rPr>
          <w:rFonts w:ascii="Arial" w:hAnsi="Arial" w:cs="Arial"/>
          <w:sz w:val="22"/>
          <w:szCs w:val="22"/>
        </w:rPr>
        <w:t xml:space="preserve"> in the sensitivity analyses</w:t>
      </w:r>
      <w:r>
        <w:rPr>
          <w:rFonts w:ascii="Arial" w:hAnsi="Arial" w:cs="Arial"/>
          <w:sz w:val="22"/>
          <w:szCs w:val="22"/>
        </w:rPr>
        <w:t>.</w:t>
      </w:r>
      <w:r w:rsidR="00215C3C">
        <w:rPr>
          <w:rFonts w:ascii="Arial" w:hAnsi="Arial" w:cs="Arial"/>
          <w:sz w:val="22"/>
          <w:szCs w:val="22"/>
        </w:rPr>
        <w:t xml:space="preserve"> For the sensitivity analysis including the categorical LVEF variable in the PSM, the baseline demographics and clinical characteristics were well balanced after matching (</w:t>
      </w:r>
      <w:r w:rsidR="00215C3C">
        <w:rPr>
          <w:rFonts w:ascii="Arial" w:hAnsi="Arial" w:cs="Arial"/>
          <w:b/>
          <w:bCs/>
          <w:sz w:val="22"/>
          <w:szCs w:val="22"/>
        </w:rPr>
        <w:t>Supplemental Table 5</w:t>
      </w:r>
      <w:r w:rsidR="00215C3C">
        <w:rPr>
          <w:rFonts w:ascii="Arial" w:hAnsi="Arial" w:cs="Arial"/>
          <w:sz w:val="22"/>
          <w:szCs w:val="22"/>
        </w:rPr>
        <w:t xml:space="preserve">). In this analysis, the risk of cardiovascular hospitalization was not significantly different between dronedarone and sotalol, but the risk of ventricular pro-arrhythmia was significantly lower with dronedarone compared to sotalol (HR 0.50, 95% CI: 0.36 – 0.69, p &lt; 0.0001). </w:t>
      </w:r>
      <w:r w:rsidR="00E057E2" w:rsidRPr="00E057E2">
        <w:rPr>
          <w:rFonts w:ascii="Arial" w:hAnsi="Arial" w:cs="Arial"/>
          <w:sz w:val="22"/>
          <w:szCs w:val="22"/>
        </w:rPr>
        <w:t>Finally, repeating the Cox proportional hazard regressions using cluster-robust standard errors did not result in any meaningful differences in HRs, CIs, or p-values</w:t>
      </w:r>
      <w:r w:rsidR="00EA232E">
        <w:rPr>
          <w:rFonts w:ascii="Arial" w:hAnsi="Arial" w:cs="Arial"/>
          <w:sz w:val="22"/>
          <w:szCs w:val="22"/>
        </w:rPr>
        <w:t xml:space="preserve">. </w:t>
      </w:r>
    </w:p>
    <w:p w14:paraId="20D407AA" w14:textId="77777777" w:rsidR="004A42B6" w:rsidRPr="00E2233B" w:rsidRDefault="004A42B6" w:rsidP="00D405B9">
      <w:pPr>
        <w:spacing w:line="480" w:lineRule="auto"/>
        <w:rPr>
          <w:rFonts w:ascii="Arial" w:hAnsi="Arial" w:cs="Arial"/>
          <w:sz w:val="22"/>
          <w:szCs w:val="22"/>
        </w:rPr>
      </w:pPr>
    </w:p>
    <w:p w14:paraId="6AC0BA9A" w14:textId="12A75733" w:rsidR="00D405B9" w:rsidRPr="00E2233B" w:rsidRDefault="00D405B9" w:rsidP="00D405B9">
      <w:pPr>
        <w:spacing w:line="480" w:lineRule="auto"/>
        <w:rPr>
          <w:rFonts w:ascii="Arial" w:hAnsi="Arial" w:cs="Arial"/>
          <w:b/>
          <w:bCs/>
          <w:sz w:val="22"/>
          <w:szCs w:val="22"/>
        </w:rPr>
      </w:pPr>
      <w:r w:rsidRPr="00E2233B">
        <w:rPr>
          <w:rFonts w:ascii="Arial" w:hAnsi="Arial" w:cs="Arial"/>
          <w:b/>
          <w:bCs/>
          <w:sz w:val="22"/>
          <w:szCs w:val="22"/>
        </w:rPr>
        <w:t>DISCUSSION</w:t>
      </w:r>
    </w:p>
    <w:p w14:paraId="10AB79D1" w14:textId="64A928C0" w:rsidR="0067281A" w:rsidRDefault="0067281A" w:rsidP="00810B7F">
      <w:pPr>
        <w:spacing w:line="480" w:lineRule="auto"/>
        <w:rPr>
          <w:rFonts w:ascii="Arial" w:hAnsi="Arial" w:cs="Arial"/>
          <w:sz w:val="22"/>
          <w:szCs w:val="22"/>
        </w:rPr>
      </w:pPr>
      <w:r>
        <w:rPr>
          <w:rFonts w:ascii="Arial" w:hAnsi="Arial" w:cs="Arial"/>
          <w:sz w:val="22"/>
          <w:szCs w:val="22"/>
        </w:rPr>
        <w:t>In this</w:t>
      </w:r>
      <w:r w:rsidR="00381E78">
        <w:rPr>
          <w:rFonts w:ascii="Arial" w:hAnsi="Arial" w:cs="Arial"/>
          <w:sz w:val="22"/>
          <w:szCs w:val="22"/>
        </w:rPr>
        <w:t xml:space="preserve"> large</w:t>
      </w:r>
      <w:r>
        <w:rPr>
          <w:rFonts w:ascii="Arial" w:hAnsi="Arial" w:cs="Arial"/>
          <w:sz w:val="22"/>
          <w:szCs w:val="22"/>
        </w:rPr>
        <w:t xml:space="preserve"> retrospective cohort study of </w:t>
      </w:r>
      <w:proofErr w:type="gramStart"/>
      <w:r>
        <w:rPr>
          <w:rFonts w:ascii="Arial" w:hAnsi="Arial" w:cs="Arial"/>
          <w:sz w:val="22"/>
          <w:szCs w:val="22"/>
        </w:rPr>
        <w:t>propensity-matched</w:t>
      </w:r>
      <w:proofErr w:type="gramEnd"/>
      <w:r>
        <w:rPr>
          <w:rFonts w:ascii="Arial" w:hAnsi="Arial" w:cs="Arial"/>
          <w:sz w:val="22"/>
          <w:szCs w:val="22"/>
        </w:rPr>
        <w:t xml:space="preserve"> AAD naïve </w:t>
      </w:r>
      <w:r w:rsidR="00381E78">
        <w:rPr>
          <w:rFonts w:ascii="Arial" w:hAnsi="Arial" w:cs="Arial"/>
          <w:sz w:val="22"/>
          <w:szCs w:val="22"/>
        </w:rPr>
        <w:t>veterans</w:t>
      </w:r>
      <w:r>
        <w:rPr>
          <w:rFonts w:ascii="Arial" w:hAnsi="Arial" w:cs="Arial"/>
          <w:sz w:val="22"/>
          <w:szCs w:val="22"/>
        </w:rPr>
        <w:t xml:space="preserve"> with AF, we found that </w:t>
      </w:r>
      <w:r w:rsidR="00F66501">
        <w:rPr>
          <w:rFonts w:ascii="Arial" w:hAnsi="Arial" w:cs="Arial"/>
          <w:sz w:val="22"/>
          <w:szCs w:val="22"/>
        </w:rPr>
        <w:t xml:space="preserve">patients using </w:t>
      </w:r>
      <w:r>
        <w:rPr>
          <w:rFonts w:ascii="Arial" w:hAnsi="Arial" w:cs="Arial"/>
          <w:sz w:val="22"/>
          <w:szCs w:val="22"/>
        </w:rPr>
        <w:t xml:space="preserve">dronedarone, compared </w:t>
      </w:r>
      <w:r w:rsidR="00D20587">
        <w:rPr>
          <w:rFonts w:ascii="Arial" w:hAnsi="Arial" w:cs="Arial"/>
          <w:sz w:val="22"/>
          <w:szCs w:val="22"/>
        </w:rPr>
        <w:t xml:space="preserve">with </w:t>
      </w:r>
      <w:r>
        <w:rPr>
          <w:rFonts w:ascii="Arial" w:hAnsi="Arial" w:cs="Arial"/>
          <w:sz w:val="22"/>
          <w:szCs w:val="22"/>
        </w:rPr>
        <w:t xml:space="preserve">sotalol, </w:t>
      </w:r>
      <w:r w:rsidR="00F66501">
        <w:rPr>
          <w:rFonts w:ascii="Arial" w:hAnsi="Arial" w:cs="Arial"/>
          <w:sz w:val="22"/>
          <w:szCs w:val="22"/>
        </w:rPr>
        <w:t>had</w:t>
      </w:r>
      <w:r>
        <w:rPr>
          <w:rFonts w:ascii="Arial" w:hAnsi="Arial" w:cs="Arial"/>
          <w:sz w:val="22"/>
          <w:szCs w:val="22"/>
        </w:rPr>
        <w:t xml:space="preserve"> a similar risk of cardiovascular hospitalization</w:t>
      </w:r>
      <w:r w:rsidR="0056494A">
        <w:rPr>
          <w:rFonts w:ascii="Arial" w:hAnsi="Arial" w:cs="Arial"/>
          <w:sz w:val="22"/>
          <w:szCs w:val="22"/>
        </w:rPr>
        <w:t>,</w:t>
      </w:r>
      <w:r>
        <w:rPr>
          <w:rFonts w:ascii="Arial" w:hAnsi="Arial" w:cs="Arial"/>
          <w:sz w:val="22"/>
          <w:szCs w:val="22"/>
        </w:rPr>
        <w:t xml:space="preserve"> but lower risk of ventricular pro-arrhythmia. </w:t>
      </w:r>
      <w:r w:rsidR="00381E78">
        <w:rPr>
          <w:rFonts w:ascii="Arial" w:hAnsi="Arial" w:cs="Arial"/>
          <w:sz w:val="22"/>
          <w:szCs w:val="22"/>
        </w:rPr>
        <w:t>D</w:t>
      </w:r>
      <w:r>
        <w:rPr>
          <w:rFonts w:ascii="Arial" w:hAnsi="Arial" w:cs="Arial"/>
          <w:sz w:val="22"/>
          <w:szCs w:val="22"/>
        </w:rPr>
        <w:t xml:space="preserve">ronedarone use was also associated with a lower risk of bradycardia </w:t>
      </w:r>
      <w:r w:rsidR="00722ECF">
        <w:rPr>
          <w:rFonts w:ascii="Arial" w:hAnsi="Arial" w:cs="Arial"/>
          <w:sz w:val="22"/>
          <w:szCs w:val="22"/>
        </w:rPr>
        <w:t>leading to</w:t>
      </w:r>
      <w:r>
        <w:rPr>
          <w:rFonts w:ascii="Arial" w:hAnsi="Arial" w:cs="Arial"/>
          <w:sz w:val="22"/>
          <w:szCs w:val="22"/>
        </w:rPr>
        <w:t xml:space="preserve"> pacemaker insertion and symptomatic bradycardia. </w:t>
      </w:r>
      <w:r w:rsidR="00381E78">
        <w:rPr>
          <w:rFonts w:ascii="Arial" w:hAnsi="Arial" w:cs="Arial"/>
          <w:sz w:val="22"/>
          <w:szCs w:val="22"/>
        </w:rPr>
        <w:t>The observed association of dronedarone with lower</w:t>
      </w:r>
      <w:r w:rsidR="00E549AE">
        <w:rPr>
          <w:rFonts w:ascii="Arial" w:hAnsi="Arial" w:cs="Arial"/>
          <w:sz w:val="22"/>
          <w:szCs w:val="22"/>
        </w:rPr>
        <w:t xml:space="preserve"> risk of</w:t>
      </w:r>
      <w:r w:rsidR="00381E78">
        <w:rPr>
          <w:rFonts w:ascii="Arial" w:hAnsi="Arial" w:cs="Arial"/>
          <w:sz w:val="22"/>
          <w:szCs w:val="22"/>
        </w:rPr>
        <w:t xml:space="preserve"> ventricular pro-arrhythmia was consistent across sensitivity analyses</w:t>
      </w:r>
      <w:r w:rsidR="00D20587">
        <w:rPr>
          <w:rFonts w:ascii="Arial" w:hAnsi="Arial" w:cs="Arial"/>
          <w:sz w:val="22"/>
          <w:szCs w:val="22"/>
        </w:rPr>
        <w:t>.</w:t>
      </w:r>
      <w:r w:rsidR="00381E78">
        <w:rPr>
          <w:rFonts w:ascii="Arial" w:hAnsi="Arial" w:cs="Arial"/>
          <w:sz w:val="22"/>
          <w:szCs w:val="22"/>
        </w:rPr>
        <w:t xml:space="preserve"> </w:t>
      </w:r>
      <w:r w:rsidR="00D20587">
        <w:rPr>
          <w:rFonts w:ascii="Arial" w:hAnsi="Arial" w:cs="Arial"/>
          <w:sz w:val="22"/>
          <w:szCs w:val="22"/>
        </w:rPr>
        <w:t>T</w:t>
      </w:r>
      <w:r w:rsidR="00381E78">
        <w:rPr>
          <w:rFonts w:ascii="Arial" w:hAnsi="Arial" w:cs="Arial"/>
          <w:sz w:val="22"/>
          <w:szCs w:val="22"/>
        </w:rPr>
        <w:t xml:space="preserve">he quantitative bias analysis revealed that only a strong </w:t>
      </w:r>
      <w:r w:rsidR="006D74F4">
        <w:rPr>
          <w:rFonts w:ascii="Arial" w:hAnsi="Arial" w:cs="Arial"/>
          <w:sz w:val="22"/>
          <w:szCs w:val="22"/>
        </w:rPr>
        <w:t xml:space="preserve">unknown </w:t>
      </w:r>
      <w:r w:rsidR="00381E78">
        <w:rPr>
          <w:rFonts w:ascii="Arial" w:hAnsi="Arial" w:cs="Arial"/>
          <w:sz w:val="22"/>
          <w:szCs w:val="22"/>
        </w:rPr>
        <w:t>confounder associated with both sotalol use and ventricular pro-arrhythmia could account for this observation</w:t>
      </w:r>
      <w:r w:rsidR="006D74F4">
        <w:rPr>
          <w:rFonts w:ascii="Arial" w:hAnsi="Arial" w:cs="Arial"/>
          <w:sz w:val="22"/>
          <w:szCs w:val="22"/>
        </w:rPr>
        <w:t>, which would be highly unlikely</w:t>
      </w:r>
      <w:r w:rsidR="00381E78">
        <w:rPr>
          <w:rFonts w:ascii="Arial" w:hAnsi="Arial" w:cs="Arial"/>
          <w:sz w:val="22"/>
          <w:szCs w:val="22"/>
        </w:rPr>
        <w:t xml:space="preserve">. </w:t>
      </w:r>
      <w:r w:rsidR="00D20587">
        <w:rPr>
          <w:rFonts w:ascii="Arial" w:hAnsi="Arial" w:cs="Arial"/>
          <w:sz w:val="22"/>
          <w:szCs w:val="22"/>
        </w:rPr>
        <w:t>Additionally, we did not find a significant association between sotalol and our falsification outcome, reducing the likelihood</w:t>
      </w:r>
      <w:r w:rsidR="00381E78">
        <w:rPr>
          <w:rFonts w:ascii="Arial" w:hAnsi="Arial" w:cs="Arial"/>
          <w:sz w:val="22"/>
          <w:szCs w:val="22"/>
        </w:rPr>
        <w:t xml:space="preserve"> that the observed associations were due to residual confounding.</w:t>
      </w:r>
    </w:p>
    <w:p w14:paraId="04700D78" w14:textId="59C15BDB" w:rsidR="00F66501" w:rsidRDefault="00F66501" w:rsidP="00810B7F">
      <w:pPr>
        <w:spacing w:line="480" w:lineRule="auto"/>
        <w:rPr>
          <w:rFonts w:ascii="Arial" w:hAnsi="Arial" w:cs="Arial"/>
          <w:sz w:val="22"/>
          <w:szCs w:val="22"/>
        </w:rPr>
      </w:pPr>
    </w:p>
    <w:p w14:paraId="4993153C" w14:textId="36397BFD" w:rsidR="00566944" w:rsidRDefault="00F66501" w:rsidP="00F66501">
      <w:pPr>
        <w:spacing w:line="480" w:lineRule="auto"/>
        <w:rPr>
          <w:rFonts w:ascii="Arial" w:hAnsi="Arial" w:cs="Arial"/>
          <w:sz w:val="22"/>
          <w:szCs w:val="22"/>
        </w:rPr>
      </w:pPr>
      <w:r>
        <w:rPr>
          <w:rFonts w:ascii="Arial" w:hAnsi="Arial" w:cs="Arial"/>
          <w:sz w:val="22"/>
          <w:szCs w:val="22"/>
        </w:rPr>
        <w:t xml:space="preserve">The clinical management of AF has </w:t>
      </w:r>
      <w:r w:rsidR="006E21D3">
        <w:rPr>
          <w:rFonts w:ascii="Arial" w:hAnsi="Arial" w:cs="Arial"/>
          <w:sz w:val="22"/>
          <w:szCs w:val="22"/>
        </w:rPr>
        <w:t>continuously evolved</w:t>
      </w:r>
      <w:r>
        <w:rPr>
          <w:rFonts w:ascii="Arial" w:hAnsi="Arial" w:cs="Arial"/>
          <w:sz w:val="22"/>
          <w:szCs w:val="22"/>
        </w:rPr>
        <w:t xml:space="preserve">. </w:t>
      </w:r>
      <w:r w:rsidR="004022AA">
        <w:rPr>
          <w:rFonts w:ascii="Arial" w:hAnsi="Arial" w:cs="Arial"/>
          <w:sz w:val="22"/>
          <w:szCs w:val="22"/>
        </w:rPr>
        <w:t>Initially,</w:t>
      </w:r>
      <w:r>
        <w:rPr>
          <w:rFonts w:ascii="Arial" w:hAnsi="Arial" w:cs="Arial"/>
          <w:sz w:val="22"/>
          <w:szCs w:val="22"/>
        </w:rPr>
        <w:t xml:space="preserve"> RACE and AFFIRM showed no significant difference in clinical outcomes between rate and rhythm control strategies</w:t>
      </w:r>
      <w:r w:rsidR="004022AA">
        <w:rPr>
          <w:rFonts w:ascii="Arial" w:hAnsi="Arial" w:cs="Arial"/>
          <w:sz w:val="22"/>
          <w:szCs w:val="22"/>
        </w:rPr>
        <w:t xml:space="preserve"> in AF</w:t>
      </w:r>
      <w:r>
        <w:rPr>
          <w:rFonts w:ascii="Arial" w:hAnsi="Arial" w:cs="Arial"/>
          <w:sz w:val="22"/>
          <w:szCs w:val="22"/>
        </w:rPr>
        <w:t>.</w:t>
      </w:r>
      <w:r>
        <w:rPr>
          <w:rFonts w:ascii="Arial" w:hAnsi="Arial" w:cs="Arial"/>
          <w:sz w:val="22"/>
          <w:szCs w:val="22"/>
        </w:rPr>
        <w:fldChar w:fldCharType="begin"/>
      </w:r>
      <w:r w:rsidR="009D29D7">
        <w:rPr>
          <w:rFonts w:ascii="Arial" w:hAnsi="Arial" w:cs="Arial"/>
          <w:sz w:val="22"/>
          <w:szCs w:val="22"/>
        </w:rPr>
        <w:instrText xml:space="preserve"> ADDIN ZOTERO_ITEM CSL_CITATION {"citationID":"SODuOIUB","properties":{"formattedCitation":"\\super 28,29\\nosupersub{}","plainCitation":"28,29","noteIndex":0},"citationItems":[{"id":321,"uris":["http://zotero.org/users/9045539/items/79CYY3BB"],"itemData":{"id":321,"type":"article-journal","abstract":"BACKGROUND: Maintenance of sinus rhythm is the main therapeutic goal in patients with atrial fibrillation. However, recurrences of atrial fibrillation and side effects of antiarrhythmic drugs offset the benefits of sinus rhythm. We hypothesized that ventricular rate control is not inferior to the maintenance of sinus rhythm for the treatment of atrial fibrillation.\nMETHODS: We randomly assigned 522 patients who had persistent atrial fibrillation after a previous electrical cardioversion to receive treatment aimed at rate control or rhythm control. Patients in the rate-control group received oral anticoagulant drugs and rate-slowing medication. Patients in the rhythm-control group underwent serial cardioversions and received antiarrhythmic drugs and oral anticoagulant drugs. The end point was a composite of death from cardiovascular causes, heart failure, thromboembolic complications, bleeding, implantation of a pacemaker, and severe adverse effects of drugs.\nRESULTS: After a mean (+/-SD) of 2.3+/-0.6 years, 39 percent of the 266 patients in the rhythm-control group had sinus rhythm, as compared with 10 percent of the 256 patients in the rate-control group. The primary end point occurred in 44 patients (17.2 percent) in the rate-control group and in 60 (22.6 percent) in the rhythm-control group. The 90 percent (two-sided) upper boundary of the absolute difference in the primary end point was 0.4 percent (the prespecified criterion for noninferiority was 10 percent or less). The distribution of the various components of the primary end point was similar in the rate-control and rhythm-control groups.\nCONCLUSIONS: Rate control is not inferior to rhythm control for the prevention of death and morbidity from cardiovascular causes and may be appropriate therapy in patients with a recurrence of persistent atrial fibrillation after electrical cardioversion.","container-title":"The New England Journal of Medicine","DOI":"10.1056/NEJMoa021375","ISSN":"1533-4406","issue":"23","journalAbbreviation":"N Engl J Med","language":"eng","note":"PMID: 12466507","page":"1834-1840","source":"PubMed","title":"A comparison of rate control and rhythm control in patients with recurrent persistent atrial fibrillation","volume":"347","author":[{"family":"Van Gelder","given":"Isabelle C."},{"family":"Hagens","given":"Vincent E."},{"family":"Bosker","given":"Hans A."},{"family":"Kingma","given":"J. Herre"},{"family":"Kamp","given":"Otto"},{"family":"Kingma","given":"Tsjerk"},{"family":"Said","given":"Salah A."},{"family":"Darmanata","given":"Julius I."},{"family":"Timmermans","given":"Alphons J. M."},{"family":"Tijssen","given":"Jan G. P."},{"family":"Crijns","given":"Harry J. G. M."},{"literal":"Rate Control versus Electrical Cardioversion for Persistent Atrial Fibrillation Study Group"}],"issued":{"date-parts":[["2002",12,5]]}}},{"id":418,"uris":["http://zotero.org/users/9045539/items/TQ4N2EBV"],"itemData":{"id":418,"type":"article-journal","abstract":"BACKGROUND: There are two approaches to the treatment of atrial fibrillation: one is cardioversion and treatment with antiarrhythmic drugs to maintain sinus rhythm, and the other is the use of rate-controlling drugs, allowing atrial fibrillation to persist. In both approaches, the use of anticoagulant drugs is recommended.\nMETHODS: We conducted a randomized, multicenter comparison of these two treatment strategies in patients with atrial fibrillation and a high risk of stroke or death. The primary end point was overall mortality.\nRESULTS: A total of 4060 patients (mean [+/-SD] age, 69.7+/-9.0 years) were enrolled in the study; 70.8 percent had a history of hypertension, and 38.2 percent had coronary artery disease. Of the 3311 patients with echocardiograms, the left atrium was enlarged in 64.7 percent and left ventricular function was depressed in 26.0 percent. There were 356 deaths among the patients assigned to rhythm-control therapy and 310 deaths among those assigned to rate-control therapy (mortality at five years, 23.8 percent and 21.3 percent, respectively; hazard ratio, 1.15 [95 percent confidence interval, 0.99 to 1.34]; P=0.08). More patients in the rhythm-control group than in the rate-control group were hospitalized, and there were more adverse drug effects in the rhythm-control group as well. In both groups, the majority of strokes occurred after warfarin had been stopped or when the international normalized ratio was subtherapeutic.\nCONCLUSIONS: Management of atrial fibrillation with the rhythm-control strategy offers no survival advantage over the rate-control strategy, and there are potential advantages, such as a lower risk of adverse drug effects, with the rate-control strategy. Anticoagulation should be continued in this group of high-risk patients.","container-title":"The New England Journal of Medicine","DOI":"10.1056/NEJMoa021328","ISSN":"1533-4406","issue":"23","journalAbbreviation":"N Engl J Med","language":"eng","note":"PMID: 12466506","page":"1825-1833","source":"PubMed","title":"A comparison of rate control and rhythm control in patients with atrial fibrillation","volume":"347","author":[{"family":"Wyse","given":"D. G."},{"family":"Waldo","given":"A. L."},{"family":"DiMarco","given":"J. P."},{"family":"Domanski","given":"M. J."},{"family":"Rosenberg","given":"Y."},{"family":"Schron","given":"E. B."},{"family":"Kellen","given":"J. C."},{"family":"Greene","given":"H. L."},{"family":"Mickel","given":"M. C."},{"family":"Dalquist","given":"J. E."},{"family":"Corley","given":"S. D."},{"literal":"Atrial Fibrillation Follow-up Investigation of Rhythm Management (AFFIRM) Investigators"}],"issued":{"date-parts":[["2002",12,5]]}}}],"schema":"https://github.com/citation-style-language/schema/raw/master/csl-citation.json"} </w:instrText>
      </w:r>
      <w:r>
        <w:rPr>
          <w:rFonts w:ascii="Arial" w:hAnsi="Arial" w:cs="Arial"/>
          <w:sz w:val="22"/>
          <w:szCs w:val="22"/>
        </w:rPr>
        <w:fldChar w:fldCharType="separate"/>
      </w:r>
      <w:r w:rsidR="009D29D7" w:rsidRPr="009D29D7">
        <w:rPr>
          <w:rFonts w:ascii="Arial" w:hAnsi="Arial" w:cs="Arial"/>
          <w:sz w:val="22"/>
          <w:vertAlign w:val="superscript"/>
        </w:rPr>
        <w:t>28,29</w:t>
      </w:r>
      <w:r>
        <w:rPr>
          <w:rFonts w:ascii="Arial" w:hAnsi="Arial" w:cs="Arial"/>
          <w:sz w:val="22"/>
          <w:szCs w:val="22"/>
        </w:rPr>
        <w:fldChar w:fldCharType="end"/>
      </w:r>
      <w:r>
        <w:rPr>
          <w:rFonts w:ascii="Arial" w:hAnsi="Arial" w:cs="Arial"/>
          <w:sz w:val="22"/>
          <w:szCs w:val="22"/>
        </w:rPr>
        <w:t xml:space="preserve"> </w:t>
      </w:r>
      <w:r w:rsidR="00AB0879">
        <w:rPr>
          <w:rFonts w:ascii="Arial" w:hAnsi="Arial" w:cs="Arial"/>
          <w:sz w:val="22"/>
          <w:szCs w:val="22"/>
        </w:rPr>
        <w:t xml:space="preserve">However, </w:t>
      </w:r>
      <w:r w:rsidR="006E21D3">
        <w:rPr>
          <w:rFonts w:ascii="Arial" w:hAnsi="Arial" w:cs="Arial"/>
          <w:sz w:val="22"/>
          <w:szCs w:val="22"/>
        </w:rPr>
        <w:t xml:space="preserve">AATAC and </w:t>
      </w:r>
      <w:r w:rsidR="00AB0879">
        <w:rPr>
          <w:rFonts w:ascii="Arial" w:hAnsi="Arial" w:cs="Arial"/>
          <w:sz w:val="22"/>
          <w:szCs w:val="22"/>
        </w:rPr>
        <w:t xml:space="preserve">sub-analyses of AFFIRM </w:t>
      </w:r>
      <w:r w:rsidR="00B54212">
        <w:rPr>
          <w:rFonts w:ascii="Arial" w:hAnsi="Arial" w:cs="Arial"/>
          <w:sz w:val="22"/>
          <w:szCs w:val="22"/>
        </w:rPr>
        <w:t>then</w:t>
      </w:r>
      <w:r w:rsidR="004022AA">
        <w:rPr>
          <w:rFonts w:ascii="Arial" w:hAnsi="Arial" w:cs="Arial"/>
          <w:sz w:val="22"/>
          <w:szCs w:val="22"/>
        </w:rPr>
        <w:t xml:space="preserve"> </w:t>
      </w:r>
      <w:r w:rsidR="00B54212">
        <w:rPr>
          <w:rFonts w:ascii="Arial" w:hAnsi="Arial" w:cs="Arial"/>
          <w:sz w:val="22"/>
          <w:szCs w:val="22"/>
        </w:rPr>
        <w:t>showed</w:t>
      </w:r>
      <w:r w:rsidR="00AB0879">
        <w:rPr>
          <w:rFonts w:ascii="Arial" w:hAnsi="Arial" w:cs="Arial"/>
          <w:sz w:val="22"/>
          <w:szCs w:val="22"/>
        </w:rPr>
        <w:t xml:space="preserve"> a net clinical benefit to </w:t>
      </w:r>
      <w:r w:rsidR="004022AA">
        <w:rPr>
          <w:rFonts w:ascii="Arial" w:hAnsi="Arial" w:cs="Arial"/>
          <w:sz w:val="22"/>
          <w:szCs w:val="22"/>
        </w:rPr>
        <w:lastRenderedPageBreak/>
        <w:t>more</w:t>
      </w:r>
      <w:r w:rsidR="00AB0879">
        <w:rPr>
          <w:rFonts w:ascii="Arial" w:hAnsi="Arial" w:cs="Arial"/>
          <w:sz w:val="22"/>
          <w:szCs w:val="22"/>
        </w:rPr>
        <w:t xml:space="preserve"> time in sinus rhythm</w:t>
      </w:r>
      <w:r w:rsidR="002B6825">
        <w:rPr>
          <w:rFonts w:ascii="Arial" w:hAnsi="Arial" w:cs="Arial"/>
          <w:sz w:val="22"/>
          <w:szCs w:val="22"/>
        </w:rPr>
        <w:t>.</w:t>
      </w:r>
      <w:r w:rsidR="00AB0879">
        <w:rPr>
          <w:rFonts w:ascii="Arial" w:hAnsi="Arial" w:cs="Arial"/>
          <w:sz w:val="22"/>
          <w:szCs w:val="22"/>
        </w:rPr>
        <w:fldChar w:fldCharType="begin"/>
      </w:r>
      <w:r w:rsidR="00B641DB">
        <w:rPr>
          <w:rFonts w:ascii="Arial" w:hAnsi="Arial" w:cs="Arial"/>
          <w:sz w:val="22"/>
          <w:szCs w:val="22"/>
        </w:rPr>
        <w:instrText xml:space="preserve"> ADDIN ZOTERO_ITEM CSL_CITATION {"citationID":"CR80plxe","properties":{"formattedCitation":"\\super 30,31\\nosupersub{}","plainCitation":"30,31","noteIndex":0},"citationItems":[{"id":323,"uris":["http://zotero.org/users/9045539/items/RBZWXXH6"],"itemData":{"id":323,"type":"article-journal","abstract":"BACKGROUND: The AFFIRM Study showed that treatment of patients with atrial fibrillation and a high risk for stroke or death with a rhythm-control strategy offered no survival advantage over a rate-control strategy in an intention-to-treat analysis. This article reports an \"on-treatment\" analysis of the relationship of survival to cardiac rhythm and treatment as they changed over time.\nMETHODS AND RESULTS: Modeling techniques were used to determine the relationships among survival, baseline clinical variables, and time-dependent variables. The following baseline variables were significantly associated with an increased risk of death: increasing age, coronary artery disease, congestive heart failure, diabetes, stroke or transient ischemic attack, smoking, left ventricular dysfunction, and mitral regurgitation. Among the time-dependent variables, the presence of sinus rhythm (SR) was associated with a lower risk of death, as was warfarin use. Antiarrhythmic drugs (AADs) were associated with increased mortality only after adjustment for the presence of SR. Consistent with the original intention-to-treat analysis, AADs were no longer associated with mortality when SR was removed from the model.\nCONCLUSIONS: Warfarin use improves survival. SR is either an important determinant of survival or a marker for other factors associated with survival that were not recorded, determined, or included in the survival model. Currently available AADs are not associated with improved survival, which suggests that any beneficial antiarrhythmic effects of AADs are offset by their adverse effects. If an effective method for maintaining SR with fewer adverse effects were available, it might be beneficial.","container-title":"Circulation","DOI":"10.1161/01.CIR.0000121736.16643.11","ISSN":"1524-4539","issue":"12","journalAbbreviation":"Circulation","language":"eng","note":"PMID: 15007003","page":"1509-1513","source":"PubMed","title":"Relationships between sinus rhythm, treatment, and survival in the Atrial Fibrillation Follow-Up Investigation of Rhythm Management (AFFIRM) Study","volume":"109","author":[{"family":"Corley","given":"Scott D."},{"family":"Epstein","given":"Andrew E."},{"family":"DiMarco","given":"John P."},{"family":"Domanski","given":"Michael J."},{"family":"Geller","given":"Nancy"},{"family":"Greene","given":"H. Leon"},{"family":"Josephson","given":"Richard A."},{"family":"Kellen","given":"Joyce C."},{"family":"Klein","given":"Richard C."},{"family":"Krahn","given":"Andrew D."},{"family":"Mickel","given":"Mary"},{"family":"Mitchell","given":"L. Brent"},{"family":"Nelson","given":"Joy Dalquist"},{"family":"Rosenberg","given":"Yves"},{"family":"Schron","given":"Eleanor"},{"family":"Shemanski","given":"Lynn"},{"family":"Waldo","given":"Albert L."},{"family":"Wyse","given":"D. George"},{"literal":"AFFIRM Investigators"}],"issued":{"date-parts":[["2004",3,30]]}}},{"id":326,"uris":["http://zotero.org/users/9045539/items/FX46GIT8"],"itemData":{"id":326,"type":"article-journal","abstract":"BACKGROUND: Whether catheter ablation (CA) is superior to amiodarone (AMIO) for the treatment of persistent atrial fibrillation (AF) in patients with heart failure is unknown.\nMETHODS AND RESULTS: This was an open-label, randomized, parallel-group, multicenter study. Patients with persistent AF, dual-chamber implantable cardioverter defibrillator or cardiac resynchronization therapy defibrillator, New York Heart Association II to III, and left ventricular ejection fraction &lt;40% within the past 6 months were randomly assigned (1:1 ratio) to undergo CA for AF (group 1, n=102) or receive AMIO (group 2, n=101). Recurrence of AF was the primary end point. All-cause mortality and unplanned hospitalization were the secondary end points. Patients were followed up for a minimum of 24 months. At the end of follow-up, 71 (70%; 95% confidence interval, 60%-78%) patients in group 1 were recurrence free after an average of 1.4±0.6 procedures in comparison with 34 (34%; 95% confidence interval, 25%-44%) in group 2 (log-rank P&lt;0.001). The success rate of CA in the different centers after a single procedure ranged from 29% to 61%. After adjusting for covariates in the multivariable model, AMIO therapy was found to be significantly more likely to fail (hazard ratio, 2.5; 95% confidence interval, 1.5-4.3; P&lt;0.001) than CA. Over the 2-year follow-up, the unplanned hospitalization rate was (32 [31%] in group 1 and 58 [57%] in group 2; P&lt;0.001), showing 45% relative risk reduction (relative risk, 0.55; 95% confidence interval, 0.39-0.76). A significantly lower mortality was observed in CA (8 [8%] versus AMIO (18 [18%]; P=0.037).\nCONCLUSIONS: This multicenter randomized study shows that CA of AF is superior to AMIO in achieving freedom from AF at long-term follow-up and reducing unplanned hospitalization and mortality in patients with heart failure and persistent AF.\nCLINICAL TRIAL REGISTRATION: URL: http://www.clinicaltrials.gov. Unique identifier: NCT00729911.","container-title":"Circulation","DOI":"10.1161/CIRCULATIONAHA.115.019406","ISSN":"1524-4539","issue":"17","journalAbbreviation":"Circulation","language":"eng","note":"PMID: 27029350","page":"1637-1644","source":"PubMed","title":"Ablation Versus Amiodarone for Treatment of Persistent Atrial Fibrillation in Patients With Congestive Heart Failure and an Implanted Device: Results From the AATAC Multicenter Randomized Trial","title-short":"Ablation Versus Amiodarone for Treatment of Persistent Atrial Fibrillation in Patients With Congestive Heart Failure and an Implanted Device","volume":"133","author":[{"family":"Di Biase","given":"Luigi"},{"family":"Mohanty","given":"Prasant"},{"family":"Mohanty","given":"Sanghamitra"},{"family":"Santangeli","given":"Pasquale"},{"family":"Trivedi","given":"Chintan"},{"family":"Lakkireddy","given":"Dhanunjaya"},{"family":"Reddy","given":"Madhu"},{"family":"Jais","given":"Pierre"},{"family":"Themistoclakis","given":"Sakis"},{"family":"Dello Russo","given":"Antonio"},{"family":"Casella","given":"Michela"},{"family":"Pelargonio","given":"Gemma"},{"family":"Narducci","given":"Maria Lucia"},{"family":"Schweikert","given":"Robert"},{"family":"Neuzil","given":"Petr"},{"family":"Sanchez","given":"Javier"},{"family":"Horton","given":"Rodney"},{"family":"Beheiry","given":"Salwa"},{"family":"Hongo","given":"Richard"},{"family":"Hao","given":"Steven"},{"family":"Rossillo","given":"Antonio"},{"family":"Forleo","given":"Giovanni"},{"family":"Tondo","given":"Claudio"},{"family":"Burkhardt","given":"J. David"},{"family":"Haissaguerre","given":"Michel"},{"family":"Natale","given":"Andrea"}],"issued":{"date-parts":[["2016",4,26]]}}}],"schema":"https://github.com/citation-style-language/schema/raw/master/csl-citation.json"} </w:instrText>
      </w:r>
      <w:r w:rsidR="00AB0879">
        <w:rPr>
          <w:rFonts w:ascii="Arial" w:hAnsi="Arial" w:cs="Arial"/>
          <w:sz w:val="22"/>
          <w:szCs w:val="22"/>
        </w:rPr>
        <w:fldChar w:fldCharType="separate"/>
      </w:r>
      <w:r w:rsidR="00B641DB" w:rsidRPr="00B641DB">
        <w:rPr>
          <w:rFonts w:ascii="Arial" w:hAnsi="Arial" w:cs="Arial"/>
          <w:sz w:val="22"/>
          <w:vertAlign w:val="superscript"/>
        </w:rPr>
        <w:t>30,31</w:t>
      </w:r>
      <w:r w:rsidR="00AB0879">
        <w:rPr>
          <w:rFonts w:ascii="Arial" w:hAnsi="Arial" w:cs="Arial"/>
          <w:sz w:val="22"/>
          <w:szCs w:val="22"/>
        </w:rPr>
        <w:fldChar w:fldCharType="end"/>
      </w:r>
      <w:r w:rsidR="00AB0879">
        <w:rPr>
          <w:rFonts w:ascii="Arial" w:hAnsi="Arial" w:cs="Arial"/>
          <w:sz w:val="22"/>
          <w:szCs w:val="22"/>
        </w:rPr>
        <w:t xml:space="preserve"> </w:t>
      </w:r>
      <w:r w:rsidR="002B6825">
        <w:rPr>
          <w:rFonts w:ascii="Arial" w:hAnsi="Arial" w:cs="Arial"/>
          <w:sz w:val="22"/>
          <w:szCs w:val="22"/>
        </w:rPr>
        <w:t>Other landmark studies including ATHENA and EAST-AFNET4 have since demonstrated that rhythm control is associated with lower rates of cardiovascular hospitalization and major adverse cardiovascular events</w:t>
      </w:r>
      <w:r w:rsidR="006D74F4">
        <w:rPr>
          <w:rFonts w:ascii="Arial" w:hAnsi="Arial" w:cs="Arial"/>
          <w:sz w:val="22"/>
          <w:szCs w:val="22"/>
        </w:rPr>
        <w:t xml:space="preserve"> with current generation AADs, continuous use of anticoagulation, and reduced concomitant digoxin use</w:t>
      </w:r>
      <w:r w:rsidR="00AB0879">
        <w:rPr>
          <w:rFonts w:ascii="Arial" w:hAnsi="Arial" w:cs="Arial"/>
          <w:sz w:val="22"/>
          <w:szCs w:val="22"/>
        </w:rPr>
        <w:t>.</w:t>
      </w:r>
      <w:r w:rsidR="002B6825">
        <w:rPr>
          <w:rFonts w:ascii="Arial" w:hAnsi="Arial" w:cs="Arial"/>
          <w:sz w:val="22"/>
          <w:szCs w:val="22"/>
        </w:rPr>
        <w:fldChar w:fldCharType="begin"/>
      </w:r>
      <w:r w:rsidR="006D74F4">
        <w:rPr>
          <w:rFonts w:ascii="Arial" w:hAnsi="Arial" w:cs="Arial"/>
          <w:sz w:val="22"/>
          <w:szCs w:val="22"/>
        </w:rPr>
        <w:instrText xml:space="preserve"> ADDIN ZOTERO_ITEM CSL_CITATION {"citationID":"CPDw6oI3","properties":{"formattedCitation":"\\super 6,7\\nosupersub{}","plainCitation":"6,7","noteIndex":0},"citationItems":[{"id":331,"uris":["http://zotero.org/users/9045539/items/7KA268CZ"],"itemData":{"id":331,"type":"article-journal","container-title":"New England Journal of Medicine","DOI":"10.1056/NEJMoa0803778","ISSN":"0028-4793, 1533-4406","issue":"7","journalAbbreviation":"N Engl J Med","language":"en","page":"668-678","source":"DOI.org (Crossref)","title":"Effect of Dronedarone on Cardiovascular Events in Atrial Fibrillation","volume":"360","author":[{"family":"Hohnloser","given":"Stefan H."},{"family":"Crijns","given":"Harry J.G.M."},{"family":"Eickels","given":"Martin","non-dropping-particle":"van"},{"family":"Gaudin","given":"Christophe"},{"family":"Page","given":"Richard L."},{"family":"Torp-Pedersen","given":"Christian"},{"family":"Connolly","given":"Stuart J."}],"issued":{"date-parts":[["2009",2,12]]}}},{"id":329,"uris":["http://zotero.org/users/9045539/items/S7HIIT4P"],"itemData":{"id":329,"type":"article-journal","container-title":"New England Journal of Medicine","DOI":"10.1056/NEJMoa2019422","ISSN":"0028-4793, 1533-4406","issue":"14","journalAbbreviation":"N Engl J Med","language":"en","page":"1305-1316","source":"DOI.org (Crossref)","title":"Early Rhythm-Control Therapy in Patients with Atrial Fibrillation","volume":"383","author":[{"family":"Kirchhof","given":"Paulus"},{"family":"Camm","given":"A. John"},{"family":"Goette","given":"Andreas"},{"family":"Brandes","given":"Axel"},{"family":"Eckardt","given":"Lars"},{"family":"Elvan","given":"Arif"},{"family":"Fetsch","given":"Thomas"},{"family":"Gelder","given":"Isabelle C.","non-dropping-particle":"van"},{"family":"Haase","given":"Doreen"},{"family":"Haegeli","given":"Laurent M."},{"family":"Hamann","given":"Frank"},{"family":"Heidbüchel","given":"Hein"},{"family":"Hindricks","given":"Gerhard"},{"family":"Kautzner","given":"Josef"},{"family":"Kuck","given":"Karl-Heinz"},{"family":"Mont","given":"Lluis"},{"family":"Ng","given":"G. Andre"},{"family":"Rekosz","given":"Jerzy"},{"family":"Schoen","given":"Norbert"},{"family":"Schotten","given":"Ulrich"},{"family":"Suling","given":"Anna"},{"family":"Taggeselle","given":"Jens"},{"family":"Themistoclakis","given":"Sakis"},{"family":"Vettorazzi","given":"Eik"},{"family":"Vardas","given":"Panos"},{"family":"Wegscheider","given":"Karl"},{"family":"Willems","given":"Stephan"},{"family":"Crijns","given":"Harry J.G.M."},{"family":"Breithardt","given":"Günter"}],"issued":{"date-parts":[["2020",10,1]]}}}],"schema":"https://github.com/citation-style-language/schema/raw/master/csl-citation.json"} </w:instrText>
      </w:r>
      <w:r w:rsidR="002B6825">
        <w:rPr>
          <w:rFonts w:ascii="Arial" w:hAnsi="Arial" w:cs="Arial"/>
          <w:sz w:val="22"/>
          <w:szCs w:val="22"/>
        </w:rPr>
        <w:fldChar w:fldCharType="separate"/>
      </w:r>
      <w:r w:rsidR="006D74F4" w:rsidRPr="006D74F4">
        <w:rPr>
          <w:rFonts w:ascii="Arial" w:hAnsi="Arial" w:cs="Arial"/>
          <w:sz w:val="22"/>
          <w:vertAlign w:val="superscript"/>
        </w:rPr>
        <w:t>6,7</w:t>
      </w:r>
      <w:r w:rsidR="002B6825">
        <w:rPr>
          <w:rFonts w:ascii="Arial" w:hAnsi="Arial" w:cs="Arial"/>
          <w:sz w:val="22"/>
          <w:szCs w:val="22"/>
        </w:rPr>
        <w:fldChar w:fldCharType="end"/>
      </w:r>
      <w:r w:rsidR="00B54212">
        <w:rPr>
          <w:rFonts w:ascii="Arial" w:hAnsi="Arial" w:cs="Arial"/>
          <w:sz w:val="22"/>
          <w:szCs w:val="22"/>
        </w:rPr>
        <w:t xml:space="preserve"> </w:t>
      </w:r>
      <w:r w:rsidR="002B6825">
        <w:rPr>
          <w:rFonts w:ascii="Arial" w:hAnsi="Arial" w:cs="Arial"/>
          <w:sz w:val="22"/>
          <w:szCs w:val="22"/>
        </w:rPr>
        <w:t>The culmination of these studies has led to a paradigm shift with a greater focus on early rhythm control, particularly in symptomatic patients or those with heart failure.</w:t>
      </w:r>
      <w:r w:rsidR="002B6825">
        <w:rPr>
          <w:rFonts w:ascii="Arial" w:hAnsi="Arial" w:cs="Arial"/>
          <w:sz w:val="22"/>
          <w:szCs w:val="22"/>
        </w:rPr>
        <w:fldChar w:fldCharType="begin"/>
      </w:r>
      <w:r w:rsidR="00B641DB">
        <w:rPr>
          <w:rFonts w:ascii="Arial" w:hAnsi="Arial" w:cs="Arial"/>
          <w:sz w:val="22"/>
          <w:szCs w:val="22"/>
        </w:rPr>
        <w:instrText xml:space="preserve"> ADDIN ZOTERO_ITEM CSL_CITATION {"citationID":"cv1Gzdvk","properties":{"formattedCitation":"\\super 32\\nosupersub{}","plainCitation":"32","noteIndex":0},"citationItems":[{"id":243,"uris":["http://zotero.org/users/9045539/items/39BQ7T8J"],"itemData":{"id":243,"type":"article-journal","container-title":"Journal of the American College of Cardiology","DOI":"10.1016/j.jacc.2022.03.337","ISSN":"07351097","issue":"19","journalAbbreviation":"Journal of the American College of Cardiology","language":"en","page":"1932-1948","source":"DOI.org (Crossref)","title":"The Increasing Role of Rhythm Control in Patients With Atrial Fibrillation","volume":"79","author":[{"family":"Camm","given":"A. John"},{"family":"Naccarelli","given":"Gerald V."},{"family":"Mittal","given":"Suneet"},{"family":"Crijns","given":"Harry J.G.M."},{"family":"Hohnloser","given":"Stefan H."},{"family":"Ma","given":"Chang-Sheng"},{"family":"Natale","given":"Andrea"},{"family":"Turakhia","given":"Mintu P."},{"family":"Kirchhof","given":"Paulus"}],"issued":{"date-parts":[["2022",5]]}}}],"schema":"https://github.com/citation-style-language/schema/raw/master/csl-citation.json"} </w:instrText>
      </w:r>
      <w:r w:rsidR="002B6825">
        <w:rPr>
          <w:rFonts w:ascii="Arial" w:hAnsi="Arial" w:cs="Arial"/>
          <w:sz w:val="22"/>
          <w:szCs w:val="22"/>
        </w:rPr>
        <w:fldChar w:fldCharType="separate"/>
      </w:r>
      <w:r w:rsidR="00B641DB" w:rsidRPr="00B641DB">
        <w:rPr>
          <w:rFonts w:ascii="Arial" w:hAnsi="Arial" w:cs="Arial"/>
          <w:sz w:val="22"/>
          <w:vertAlign w:val="superscript"/>
        </w:rPr>
        <w:t>32</w:t>
      </w:r>
      <w:r w:rsidR="002B6825">
        <w:rPr>
          <w:rFonts w:ascii="Arial" w:hAnsi="Arial" w:cs="Arial"/>
          <w:sz w:val="22"/>
          <w:szCs w:val="22"/>
        </w:rPr>
        <w:fldChar w:fldCharType="end"/>
      </w:r>
    </w:p>
    <w:p w14:paraId="377925B0" w14:textId="77777777" w:rsidR="00566944" w:rsidRDefault="00566944" w:rsidP="00F66501">
      <w:pPr>
        <w:spacing w:line="480" w:lineRule="auto"/>
        <w:rPr>
          <w:rFonts w:ascii="Arial" w:hAnsi="Arial" w:cs="Arial"/>
          <w:sz w:val="22"/>
          <w:szCs w:val="22"/>
        </w:rPr>
      </w:pPr>
    </w:p>
    <w:p w14:paraId="0DD9A7AF" w14:textId="4EDBF3D2" w:rsidR="008323AE" w:rsidRDefault="00160485" w:rsidP="00F66501">
      <w:pPr>
        <w:spacing w:line="480" w:lineRule="auto"/>
        <w:rPr>
          <w:rFonts w:ascii="Arial" w:hAnsi="Arial" w:cs="Arial"/>
          <w:sz w:val="22"/>
          <w:szCs w:val="22"/>
        </w:rPr>
      </w:pPr>
      <w:r>
        <w:rPr>
          <w:rFonts w:ascii="Arial" w:hAnsi="Arial" w:cs="Arial"/>
          <w:sz w:val="22"/>
          <w:szCs w:val="22"/>
        </w:rPr>
        <w:t>In</w:t>
      </w:r>
      <w:r w:rsidR="003C5EDF">
        <w:rPr>
          <w:rFonts w:ascii="Arial" w:hAnsi="Arial" w:cs="Arial"/>
          <w:sz w:val="22"/>
          <w:szCs w:val="22"/>
        </w:rPr>
        <w:t xml:space="preserve"> a previous study of</w:t>
      </w:r>
      <w:r>
        <w:rPr>
          <w:rFonts w:ascii="Arial" w:hAnsi="Arial" w:cs="Arial"/>
          <w:sz w:val="22"/>
          <w:szCs w:val="22"/>
        </w:rPr>
        <w:t xml:space="preserve"> veterans with newly diagnosed AF, use of class IC AADs was associated with lower risk of cardiovascular events than </w:t>
      </w:r>
      <w:proofErr w:type="spellStart"/>
      <w:r>
        <w:rPr>
          <w:rFonts w:ascii="Arial" w:hAnsi="Arial" w:cs="Arial"/>
          <w:sz w:val="22"/>
          <w:szCs w:val="22"/>
        </w:rPr>
        <w:t>dofetilide</w:t>
      </w:r>
      <w:proofErr w:type="spellEnd"/>
      <w:r>
        <w:rPr>
          <w:rFonts w:ascii="Arial" w:hAnsi="Arial" w:cs="Arial"/>
          <w:sz w:val="22"/>
          <w:szCs w:val="22"/>
        </w:rPr>
        <w:t xml:space="preserve"> or sotalol</w:t>
      </w:r>
      <w:r w:rsidR="008323AE">
        <w:rPr>
          <w:rFonts w:ascii="Arial" w:hAnsi="Arial" w:cs="Arial"/>
          <w:sz w:val="22"/>
          <w:szCs w:val="22"/>
        </w:rPr>
        <w:t>.</w:t>
      </w:r>
      <w:r w:rsidR="008323AE">
        <w:rPr>
          <w:rFonts w:ascii="Arial" w:hAnsi="Arial" w:cs="Arial"/>
          <w:sz w:val="22"/>
          <w:szCs w:val="22"/>
        </w:rPr>
        <w:fldChar w:fldCharType="begin"/>
      </w:r>
      <w:r w:rsidR="00B641DB">
        <w:rPr>
          <w:rFonts w:ascii="Arial" w:hAnsi="Arial" w:cs="Arial"/>
          <w:sz w:val="22"/>
          <w:szCs w:val="22"/>
        </w:rPr>
        <w:instrText xml:space="preserve"> ADDIN ZOTERO_ITEM CSL_CITATION {"citationID":"nWQLSdi9","properties":{"formattedCitation":"\\super 25\\nosupersub{}","plainCitation":"25","noteIndex":0},"citationItems":[{"id":314,"uris":["http://zotero.org/users/9045539/items/BVN77LCK"],"itemData":{"id":314,"type":"article-journal","container-title":"JACC: Clinical Electrophysiology","DOI":"10.1016/j.jacep.2018.08.025","ISSN":"2405500X","issue":"2","journalAbbreviation":"JACC: Clinical Electrophysiology","language":"en","page":"231-241","source":"DOI.org (Crossref)","title":"Real-World Comparison of Classes IC and III Antiarrhythmic Drugs as an Initial Rhythm Control Strategy in Newly Diagnosed Atrial Fibrillation","volume":"5","author":[{"family":"Kipp","given":"Ryan"},{"family":"Askari","given":"Mariam"},{"family":"Fan","given":"Jun"},{"family":"Field","given":"Michael E."},{"family":"Turakhia","given":"Mintu P."}],"issued":{"date-parts":[["2019",2]]}}}],"schema":"https://github.com/citation-style-language/schema/raw/master/csl-citation.json"} </w:instrText>
      </w:r>
      <w:r w:rsidR="008323AE">
        <w:rPr>
          <w:rFonts w:ascii="Arial" w:hAnsi="Arial" w:cs="Arial"/>
          <w:sz w:val="22"/>
          <w:szCs w:val="22"/>
        </w:rPr>
        <w:fldChar w:fldCharType="separate"/>
      </w:r>
      <w:r w:rsidR="00B641DB" w:rsidRPr="00B641DB">
        <w:rPr>
          <w:rFonts w:ascii="Arial" w:hAnsi="Arial" w:cs="Arial"/>
          <w:sz w:val="22"/>
          <w:vertAlign w:val="superscript"/>
        </w:rPr>
        <w:t>25</w:t>
      </w:r>
      <w:r w:rsidR="008323AE">
        <w:rPr>
          <w:rFonts w:ascii="Arial" w:hAnsi="Arial" w:cs="Arial"/>
          <w:sz w:val="22"/>
          <w:szCs w:val="22"/>
        </w:rPr>
        <w:fldChar w:fldCharType="end"/>
      </w:r>
      <w:r w:rsidR="008323AE">
        <w:rPr>
          <w:rFonts w:ascii="Arial" w:hAnsi="Arial" w:cs="Arial"/>
          <w:sz w:val="22"/>
          <w:szCs w:val="22"/>
        </w:rPr>
        <w:t xml:space="preserve"> </w:t>
      </w:r>
      <w:r w:rsidR="00901680">
        <w:rPr>
          <w:rFonts w:ascii="Arial" w:hAnsi="Arial" w:cs="Arial"/>
          <w:sz w:val="22"/>
          <w:szCs w:val="22"/>
        </w:rPr>
        <w:t xml:space="preserve">However, given the high prevalence of coronary </w:t>
      </w:r>
      <w:r w:rsidR="003C5EDF">
        <w:rPr>
          <w:rFonts w:ascii="Arial" w:hAnsi="Arial" w:cs="Arial"/>
          <w:sz w:val="22"/>
          <w:szCs w:val="22"/>
        </w:rPr>
        <w:t>artery disease</w:t>
      </w:r>
      <w:r w:rsidR="00901680">
        <w:rPr>
          <w:rFonts w:ascii="Arial" w:hAnsi="Arial" w:cs="Arial"/>
          <w:sz w:val="22"/>
          <w:szCs w:val="22"/>
        </w:rPr>
        <w:t xml:space="preserve"> </w:t>
      </w:r>
      <w:r w:rsidR="003C5EDF">
        <w:rPr>
          <w:rFonts w:ascii="Arial" w:hAnsi="Arial" w:cs="Arial"/>
          <w:sz w:val="22"/>
          <w:szCs w:val="22"/>
        </w:rPr>
        <w:t>or</w:t>
      </w:r>
      <w:r w:rsidR="00901680">
        <w:rPr>
          <w:rFonts w:ascii="Arial" w:hAnsi="Arial" w:cs="Arial"/>
          <w:sz w:val="22"/>
          <w:szCs w:val="22"/>
        </w:rPr>
        <w:t xml:space="preserve"> structural heart disease in </w:t>
      </w:r>
      <w:r w:rsidR="003C5EDF">
        <w:rPr>
          <w:rFonts w:ascii="Arial" w:hAnsi="Arial" w:cs="Arial"/>
          <w:sz w:val="22"/>
          <w:szCs w:val="22"/>
        </w:rPr>
        <w:t>patients with newly diagnosed AF,</w:t>
      </w:r>
      <w:r w:rsidR="003C5EDF">
        <w:rPr>
          <w:rFonts w:ascii="Arial" w:hAnsi="Arial" w:cs="Arial"/>
          <w:sz w:val="22"/>
          <w:szCs w:val="22"/>
        </w:rPr>
        <w:fldChar w:fldCharType="begin"/>
      </w:r>
      <w:r w:rsidR="006D74F4">
        <w:rPr>
          <w:rFonts w:ascii="Arial" w:hAnsi="Arial" w:cs="Arial"/>
          <w:sz w:val="22"/>
          <w:szCs w:val="22"/>
        </w:rPr>
        <w:instrText xml:space="preserve"> ADDIN ZOTERO_ITEM CSL_CITATION {"citationID":"TxpmUx5Z","properties":{"formattedCitation":"\\super 16,33\\nosupersub{}","plainCitation":"16,33","noteIndex":0},"citationItems":[{"id":304,"uris":["http://zotero.org/users/9045539/items/Y2LEDJPM"],"itemData":{"id":304,"type":"article-journal","abstract":"BACKGROUND: Atrial fibrillation and flutter (AF, collectively) cause stroke. We evaluated whether treating specialty influences warfarin prescription in patients with newly diagnosed AF.\nMETHODS: In the TREAT-AF study, we used Veterans Health Administration health record and claims data to identify patients with newly diagnosed AF between October 2004 and November 2008 and at least 1 internal medicine/primary care or cardiology outpatient encounter within 90 days after diagnosis. The primary outcome was prescription of warfarin.\nRESULTS: In 141,642 patients meeting the inclusion criteria, the mean age was 72.3 ± 10.2 years, 1.48% were women, and 25.8% had cardiology outpatient care. Cardiology-treated patients had more comorbidities and higher mean CHADS2 scores (1.8 vs 1.6, P &lt; .0001). Warfarin use was higher in cardiology-treated vs primary care only-treated patients (68.6% vs 48.9%, P &lt; .0001). After covariate and site-level adjustment, cardiology care was significantly associated with warfarin use (odds ratio [OR] 2.05, 95% CI 1.99-2.11). These findings were consistent across a series of adjusted models (OR 2.05-2.20), propensity matching (OR 1.98), and subgroup analyses (OR 1.58-2.11). Warfarin use in primary-care-only patients declined from 2004 to 2008 (51.6%-44.0%, P &lt; .0001), whereas the adjusted odds of warfarin receipt with cardiology care (vs primary care) increased from 2004 to 2008 (1.88-2.24, P &lt; .0001).\nCONCLUSION: In patients with newly diagnosed AF, we found large differences in anticoagulation use by treating specialty. A divergent 5-year trend of risk-adjusted warfarin use was observed. Treating specialty influences stroke prevention care and may impact clinical outcomes.","container-title":"American Heart Journal","DOI":"10.1016/j.ahj.2012.10.010","ISSN":"1097-6744","issue":"1","journalAbbreviation":"Am Heart J","language":"eng","note":"PMID: 23237139","page":"93-101.e1","source":"PubMed","title":"Differences and trends in stroke prevention anticoagulation in primary care vs cardiology specialty management of new atrial fibrillation: The Retrospective Evaluation and Assessment of Therapies in AF (TREAT-AF) study","title-short":"Differences and trends in stroke prevention anticoagulation in primary care vs cardiology specialty management of new atrial fibrillation","volume":"165","author":[{"family":"Turakhia","given":"Mintu P."},{"family":"Hoang","given":"Donald D."},{"family":"Xu","given":"Xiangyan"},{"family":"Frayne","given":"Susan"},{"family":"Schmitt","given":"Susan"},{"family":"Yang","given":"Felix"},{"family":"Phibbs","given":"Ciaran S."},{"family":"Than","given":"Claire T."},{"family":"Wang","given":"Paul J."},{"family":"Heidenreich","given":"Paul A."}],"issued":{"date-parts":[["2013",1]]}}},{"id":338,"uris":["http://zotero.org/users/9045539/items/LR3EAA6V"],"itemData":{"id":338,"type":"article-journal","abstract":"Background—\n              Antiarrhythmic drugs (AADs) are used to reduce the frequency, severity, and duration of atrial fibrillation (AF) events, which should reduce hospitalizations; however, little is known about the associations between different AADs and hospitalization—particularly among younger AF patients without structural heart disease.\n            \n            \n              Methods and Results—\n              Using MarketScan® claims data, we identified AF patients without coronary artery disease or heart failure who received their first AAD prescription (amiodarone, sotalol, dronedarone, or Class Ic) within 14 days post-first AF encounter. The primary outcome was time from first AAD prescription to AF hospitalization, and secondary outcomes included time to cardiovascular and all-cause hospitalizations. We used inverse probability-weighted estimators to adjust for differences in treatment allocation in the Cox proportional hazards model for each outcome. Among 8562 AF patients with a median age of 56 years (interquartile range 49, 61), risk of AF hospitalization was greater with dronedarone than Class Ic (hazard ratio [HR] 1.59; 95% confidence interval 1.13–2.24), amiodarone (HR 2.63; 1.77–3.89), and sotalol (HR 1.72; 1.17–2.54), but lower with amiodarone versus Class Ic (HR 0.68; 0.57–0.80) and sotalol (HR 0.63; 0.53–0.75). Risk of cardiovascular hospitalization was lower with amiodarone than Class Ic (HR 0.80; 0.70–0.92), but not non-AF cardiovascular hospitalization (HR 1.26; 1.01–1.57). There was no difference in all-cause hospitalization between amiodarone, Class Ic, and sotalol.\n            \n            \n              Conclusions—\n              Differences in hospitalization rates were found between AADs in younger AF patients without structural heart disease. Amiodarone had the lowest risk of AF hospitalization and dronedarone had the greatest risk. Additional research is needed to better understand associations between AADs and hospitalization risk.","container-title":"Circulation: Cardiovascular Quality and Outcomes","DOI":"10.1161/CIRCOUTCOMES.114.001499","ISSN":"1941-7713, 1941-7705","issue":"3","journalAbbreviation":"Circ: Cardiovascular Quality and Outcomes","language":"en","page":"292-300","source":"DOI.org (Crossref)","title":"Comparisons of Hospitalization Rates Among Younger Atrial Fibrillation Patients Receiving Different Antiarrhythmic Drugs","volume":"8","author":[{"family":"Allen LaPointe","given":"Nancy M."},{"family":"Dai","given":"David"},{"family":"Thomas","given":"Laine"},{"family":"Piccini","given":"Jonathan P."},{"family":"Peterson","given":"Eric D."},{"family":"Al-Khatib","given":"Sana M."}],"issued":{"date-parts":[["2015",5]]}}}],"schema":"https://github.com/citation-style-language/schema/raw/master/csl-citation.json"} </w:instrText>
      </w:r>
      <w:r w:rsidR="003C5EDF">
        <w:rPr>
          <w:rFonts w:ascii="Arial" w:hAnsi="Arial" w:cs="Arial"/>
          <w:sz w:val="22"/>
          <w:szCs w:val="22"/>
        </w:rPr>
        <w:fldChar w:fldCharType="separate"/>
      </w:r>
      <w:r w:rsidR="006D74F4" w:rsidRPr="006D74F4">
        <w:rPr>
          <w:rFonts w:ascii="Arial" w:hAnsi="Arial" w:cs="Arial"/>
          <w:sz w:val="22"/>
          <w:vertAlign w:val="superscript"/>
        </w:rPr>
        <w:t>16,33</w:t>
      </w:r>
      <w:r w:rsidR="003C5EDF">
        <w:rPr>
          <w:rFonts w:ascii="Arial" w:hAnsi="Arial" w:cs="Arial"/>
          <w:sz w:val="22"/>
          <w:szCs w:val="22"/>
        </w:rPr>
        <w:fldChar w:fldCharType="end"/>
      </w:r>
      <w:r w:rsidR="003C5EDF">
        <w:rPr>
          <w:rFonts w:ascii="Arial" w:hAnsi="Arial" w:cs="Arial"/>
          <w:sz w:val="22"/>
          <w:szCs w:val="22"/>
        </w:rPr>
        <w:t xml:space="preserve"> class IC agents are frequently not a viable option. Of the remaining </w:t>
      </w:r>
      <w:r w:rsidR="00BC1875">
        <w:rPr>
          <w:rFonts w:ascii="Arial" w:hAnsi="Arial" w:cs="Arial"/>
          <w:sz w:val="22"/>
          <w:szCs w:val="22"/>
        </w:rPr>
        <w:t>AADs</w:t>
      </w:r>
      <w:r w:rsidR="003C5EDF">
        <w:rPr>
          <w:rFonts w:ascii="Arial" w:hAnsi="Arial" w:cs="Arial"/>
          <w:sz w:val="22"/>
          <w:szCs w:val="22"/>
        </w:rPr>
        <w:t xml:space="preserve">, amiodarone has known concerns for hepatic, pulmonary, and </w:t>
      </w:r>
      <w:proofErr w:type="spellStart"/>
      <w:r w:rsidR="003C5EDF">
        <w:rPr>
          <w:rFonts w:ascii="Arial" w:hAnsi="Arial" w:cs="Arial"/>
          <w:sz w:val="22"/>
          <w:szCs w:val="22"/>
        </w:rPr>
        <w:t>thyrotoxicity</w:t>
      </w:r>
      <w:proofErr w:type="spellEnd"/>
      <w:r w:rsidR="003C5EDF">
        <w:rPr>
          <w:rFonts w:ascii="Arial" w:hAnsi="Arial" w:cs="Arial"/>
          <w:sz w:val="22"/>
          <w:szCs w:val="22"/>
        </w:rPr>
        <w:t xml:space="preserve"> while </w:t>
      </w:r>
      <w:proofErr w:type="spellStart"/>
      <w:r w:rsidR="003C5EDF">
        <w:rPr>
          <w:rFonts w:ascii="Arial" w:hAnsi="Arial" w:cs="Arial"/>
          <w:sz w:val="22"/>
          <w:szCs w:val="22"/>
        </w:rPr>
        <w:t>dofetilide</w:t>
      </w:r>
      <w:proofErr w:type="spellEnd"/>
      <w:r w:rsidR="003C5EDF">
        <w:rPr>
          <w:rFonts w:ascii="Arial" w:hAnsi="Arial" w:cs="Arial"/>
          <w:sz w:val="22"/>
          <w:szCs w:val="22"/>
        </w:rPr>
        <w:t xml:space="preserve"> </w:t>
      </w:r>
      <w:r w:rsidR="00BC1875">
        <w:rPr>
          <w:rFonts w:ascii="Arial" w:hAnsi="Arial" w:cs="Arial"/>
          <w:sz w:val="22"/>
          <w:szCs w:val="22"/>
        </w:rPr>
        <w:t>can be</w:t>
      </w:r>
      <w:r w:rsidR="003C5EDF">
        <w:rPr>
          <w:rFonts w:ascii="Arial" w:hAnsi="Arial" w:cs="Arial"/>
          <w:sz w:val="22"/>
          <w:szCs w:val="22"/>
        </w:rPr>
        <w:t xml:space="preserve"> limited by renal insufficiency and drug-drug interactions which may lead to QT prolongation. </w:t>
      </w:r>
      <w:r w:rsidR="00BC1875">
        <w:rPr>
          <w:rFonts w:ascii="Arial" w:hAnsi="Arial" w:cs="Arial"/>
          <w:sz w:val="22"/>
          <w:szCs w:val="22"/>
        </w:rPr>
        <w:t xml:space="preserve">Between dronedarone and sotalol, our findings suggest that dronedarone may be preferable given a similar </w:t>
      </w:r>
      <w:r w:rsidR="008931E1">
        <w:rPr>
          <w:rFonts w:ascii="Arial" w:hAnsi="Arial" w:cs="Arial"/>
          <w:sz w:val="22"/>
          <w:szCs w:val="22"/>
        </w:rPr>
        <w:t>effectiveness</w:t>
      </w:r>
      <w:r w:rsidR="003C5EDF">
        <w:rPr>
          <w:rFonts w:ascii="Arial" w:hAnsi="Arial" w:cs="Arial"/>
          <w:sz w:val="22"/>
          <w:szCs w:val="22"/>
        </w:rPr>
        <w:t xml:space="preserve"> for cardiovascular hospitalization and death, but lower rates of ventricular pro-arrhythmia and conduction disease</w:t>
      </w:r>
      <w:r w:rsidR="00BC1875">
        <w:rPr>
          <w:rFonts w:ascii="Arial" w:hAnsi="Arial" w:cs="Arial"/>
          <w:sz w:val="22"/>
          <w:szCs w:val="22"/>
        </w:rPr>
        <w:t>.</w:t>
      </w:r>
      <w:r w:rsidR="003C5EDF">
        <w:rPr>
          <w:rFonts w:ascii="Arial" w:hAnsi="Arial" w:cs="Arial"/>
          <w:sz w:val="22"/>
          <w:szCs w:val="22"/>
        </w:rPr>
        <w:t xml:space="preserve"> </w:t>
      </w:r>
    </w:p>
    <w:p w14:paraId="1DD9AE10" w14:textId="42F76145" w:rsidR="003E555B" w:rsidRDefault="003E555B" w:rsidP="00F66501">
      <w:pPr>
        <w:spacing w:line="480" w:lineRule="auto"/>
        <w:rPr>
          <w:rFonts w:ascii="Arial" w:hAnsi="Arial" w:cs="Arial"/>
          <w:sz w:val="22"/>
          <w:szCs w:val="22"/>
        </w:rPr>
      </w:pPr>
    </w:p>
    <w:p w14:paraId="6BCD2879" w14:textId="55E352FB" w:rsidR="00FB12E8" w:rsidRDefault="0017479E" w:rsidP="00F15DE8">
      <w:pPr>
        <w:spacing w:line="480" w:lineRule="auto"/>
        <w:rPr>
          <w:rFonts w:ascii="Arial" w:hAnsi="Arial" w:cs="Arial"/>
          <w:sz w:val="22"/>
          <w:szCs w:val="22"/>
        </w:rPr>
      </w:pPr>
      <w:r>
        <w:rPr>
          <w:rFonts w:ascii="Arial" w:hAnsi="Arial" w:cs="Arial"/>
          <w:sz w:val="22"/>
          <w:szCs w:val="22"/>
        </w:rPr>
        <w:t xml:space="preserve">In our study, we observed a lower risk </w:t>
      </w:r>
      <w:r w:rsidR="003E555B">
        <w:rPr>
          <w:rFonts w:ascii="Arial" w:hAnsi="Arial" w:cs="Arial"/>
          <w:sz w:val="22"/>
          <w:szCs w:val="22"/>
        </w:rPr>
        <w:t xml:space="preserve">of ventricular pro-arrhythmia and conduction disease with dronedarone </w:t>
      </w:r>
      <w:r>
        <w:rPr>
          <w:rFonts w:ascii="Arial" w:hAnsi="Arial" w:cs="Arial"/>
          <w:sz w:val="22"/>
          <w:szCs w:val="22"/>
        </w:rPr>
        <w:t>than with sotalol</w:t>
      </w:r>
      <w:r w:rsidR="00FB12E8">
        <w:rPr>
          <w:rFonts w:ascii="Arial" w:hAnsi="Arial" w:cs="Arial"/>
          <w:sz w:val="22"/>
          <w:szCs w:val="22"/>
        </w:rPr>
        <w:t xml:space="preserve">. </w:t>
      </w:r>
      <w:r w:rsidR="003E555B">
        <w:rPr>
          <w:rFonts w:ascii="Arial" w:hAnsi="Arial" w:cs="Arial"/>
          <w:sz w:val="22"/>
          <w:szCs w:val="22"/>
        </w:rPr>
        <w:t xml:space="preserve">While dronedarone and sotalol both have class II and class III AAD properties, previous observations on the pro-arrhythmic effects of sotalol led to an FDA recommendation that patients have at least three days of monitoring in a facility that can provide cardiac resuscitation, ECG </w:t>
      </w:r>
      <w:r w:rsidR="003E555B" w:rsidRPr="0017479E">
        <w:rPr>
          <w:rFonts w:ascii="Arial" w:hAnsi="Arial" w:cs="Arial"/>
          <w:sz w:val="22"/>
          <w:szCs w:val="22"/>
        </w:rPr>
        <w:t>monitoring, and calculation of creatinine clearance upon initiation of sotalol.</w:t>
      </w:r>
      <w:r w:rsidR="003E555B" w:rsidRPr="0017479E">
        <w:rPr>
          <w:rFonts w:ascii="Arial" w:hAnsi="Arial" w:cs="Arial"/>
          <w:sz w:val="22"/>
          <w:szCs w:val="22"/>
        </w:rPr>
        <w:fldChar w:fldCharType="begin"/>
      </w:r>
      <w:r w:rsidR="00335DF6" w:rsidRPr="0017479E">
        <w:rPr>
          <w:rFonts w:ascii="Arial" w:hAnsi="Arial" w:cs="Arial"/>
          <w:sz w:val="22"/>
          <w:szCs w:val="22"/>
        </w:rPr>
        <w:instrText xml:space="preserve"> ADDIN ZOTERO_ITEM CSL_CITATION {"citationID":"S5w3wAs9","properties":{"formattedCitation":"\\super 17\\nosupersub{}","plainCitation":"17","noteIndex":0},"citationItems":[{"id":316,"uris":["http://zotero.org/users/9045539/items/G79LN2LD"],"itemData":{"id":316,"type":"document","publisher":"Food and Drug Administration","title":"BETAPACE AF® (sotalol HCl)","URL":"https://www.accessdata.fda.gov/drugsatfda_docs/label/2011/021151s010lbl.pdf"}}],"schema":"https://github.com/citation-style-language/schema/raw/master/csl-citation.json"} </w:instrText>
      </w:r>
      <w:r w:rsidR="003E555B" w:rsidRPr="0017479E">
        <w:rPr>
          <w:rFonts w:ascii="Arial" w:hAnsi="Arial" w:cs="Arial"/>
          <w:sz w:val="22"/>
          <w:szCs w:val="22"/>
        </w:rPr>
        <w:fldChar w:fldCharType="separate"/>
      </w:r>
      <w:r w:rsidR="00335DF6" w:rsidRPr="0017479E">
        <w:rPr>
          <w:rFonts w:ascii="Arial" w:hAnsi="Arial" w:cs="Arial"/>
          <w:sz w:val="22"/>
          <w:vertAlign w:val="superscript"/>
        </w:rPr>
        <w:t>17</w:t>
      </w:r>
      <w:r w:rsidR="003E555B" w:rsidRPr="0017479E">
        <w:rPr>
          <w:rFonts w:ascii="Arial" w:hAnsi="Arial" w:cs="Arial"/>
          <w:sz w:val="22"/>
          <w:szCs w:val="22"/>
        </w:rPr>
        <w:fldChar w:fldCharType="end"/>
      </w:r>
      <w:r w:rsidR="003E555B" w:rsidRPr="0017479E">
        <w:rPr>
          <w:rFonts w:ascii="Arial" w:hAnsi="Arial" w:cs="Arial"/>
          <w:sz w:val="22"/>
          <w:szCs w:val="22"/>
        </w:rPr>
        <w:t xml:space="preserve"> </w:t>
      </w:r>
      <w:r w:rsidR="006D74A3" w:rsidRPr="0017479E">
        <w:rPr>
          <w:rFonts w:ascii="Arial" w:hAnsi="Arial" w:cs="Arial"/>
          <w:sz w:val="22"/>
          <w:szCs w:val="22"/>
        </w:rPr>
        <w:t xml:space="preserve">Dronedarone, similar to amiodarone, also has class IV AAD properties, which may </w:t>
      </w:r>
      <w:r w:rsidRPr="0017479E">
        <w:rPr>
          <w:rFonts w:ascii="Arial" w:hAnsi="Arial" w:cs="Arial"/>
          <w:sz w:val="22"/>
          <w:szCs w:val="22"/>
        </w:rPr>
        <w:t xml:space="preserve">explain the low </w:t>
      </w:r>
      <w:r w:rsidR="00F15DE8">
        <w:rPr>
          <w:rFonts w:ascii="Arial" w:hAnsi="Arial" w:cs="Arial"/>
          <w:sz w:val="22"/>
          <w:szCs w:val="22"/>
        </w:rPr>
        <w:t xml:space="preserve">arrhythmogenicity with regards to </w:t>
      </w:r>
      <w:r>
        <w:rPr>
          <w:rFonts w:ascii="Arial" w:hAnsi="Arial" w:cs="Arial"/>
          <w:sz w:val="22"/>
          <w:szCs w:val="22"/>
        </w:rPr>
        <w:t>ventricular pro</w:t>
      </w:r>
      <w:r w:rsidR="008A6384">
        <w:rPr>
          <w:rFonts w:ascii="Arial" w:hAnsi="Arial" w:cs="Arial"/>
          <w:sz w:val="22"/>
          <w:szCs w:val="22"/>
        </w:rPr>
        <w:t>-</w:t>
      </w:r>
      <w:r>
        <w:rPr>
          <w:rFonts w:ascii="Arial" w:hAnsi="Arial" w:cs="Arial"/>
          <w:sz w:val="22"/>
          <w:szCs w:val="22"/>
        </w:rPr>
        <w:t xml:space="preserve">arrhythmia observed in </w:t>
      </w:r>
      <w:r w:rsidR="00961742">
        <w:rPr>
          <w:rFonts w:ascii="Arial" w:hAnsi="Arial" w:cs="Arial"/>
          <w:sz w:val="22"/>
          <w:szCs w:val="22"/>
        </w:rPr>
        <w:t>the</w:t>
      </w:r>
      <w:r w:rsidR="00F15DE8">
        <w:rPr>
          <w:rFonts w:ascii="Arial" w:hAnsi="Arial" w:cs="Arial"/>
          <w:sz w:val="22"/>
          <w:szCs w:val="22"/>
        </w:rPr>
        <w:t xml:space="preserve"> dronedarone</w:t>
      </w:r>
      <w:r>
        <w:rPr>
          <w:rFonts w:ascii="Arial" w:hAnsi="Arial" w:cs="Arial"/>
          <w:sz w:val="22"/>
          <w:szCs w:val="22"/>
        </w:rPr>
        <w:t xml:space="preserve"> clinical trials.</w:t>
      </w:r>
      <w:r>
        <w:rPr>
          <w:rFonts w:ascii="Arial" w:hAnsi="Arial" w:cs="Arial"/>
          <w:sz w:val="22"/>
          <w:szCs w:val="22"/>
        </w:rPr>
        <w:fldChar w:fldCharType="begin"/>
      </w:r>
      <w:r>
        <w:rPr>
          <w:rFonts w:ascii="Arial" w:hAnsi="Arial" w:cs="Arial"/>
          <w:sz w:val="22"/>
          <w:szCs w:val="22"/>
        </w:rPr>
        <w:instrText xml:space="preserve"> ADDIN ZOTERO_ITEM CSL_CITATION {"citationID":"oPBmtFiD","properties":{"formattedCitation":"\\super 34\\uc0\\u8211{}36\\nosupersub{}","plainCitation":"34–36","noteIndex":0},"citationItems":[{"id":359,"uris":["http://zotero.org/users/9045539/items/DGZXDKR5"],"itemData":{"id":359,"type":"article-journal","abstract":"Although originally synthesized as an antianginal compound, amiodarone has emerged as an effective antiarrhythmic for both supraventricular and ventricular arrhythmias. Over the decades, the properties, the effectiveness, the merits as well as the shortcomings of the compound have been well established. The major limitations of this agent are mainly due to the systemic side effects seen with prolonged therapy. Many of the toxic effects observed are primarily caused by the high iodine content present in the amiodarone molecule. Dronedarone, the first noniodinated amiodarone congener, has been developed largely to obtain the antiarrhythmic efficacy in the control of atrial fibrillation without the known adverse side effects of dronedarone. In this part of the supplement, the focus is the electrophysiological effects of dronedarone with the characterization in normal cardiac cells, in animal models of disease, as well as in human studies.","container-title":"Journal of Cardiovascular Pharmacology and Therapeutics","DOI":"10.1177/1074248410377618","ISSN":"1074-2484, 1940-4034","issue":"4_suppl","journalAbbreviation":"J Cardiovasc Pharmacol Ther","language":"en","page":"6S-14S","source":"DOI.org (Crossref)","title":"A New Agent for Atrial Fibrillation: Electrophysiological Properties of Dronedarone","title-short":"A New Agent for Atrial Fibrillation","volume":"15","author":[{"family":"Singh","given":"Bramah N."},{"family":"Cingolani","given":"Eugenio"}],"issued":{"date-parts":[["2010",12]]}}},{"id":355,"uris":["http://zotero.org/users/9045539/items/5QWB22AP"],"itemData":{"id":355,"type":"article-journal","container-title":"British Journal of Pharmacology","DOI":"10.1038/sj.bjp.0704106","ISSN":"00071188","issue":"5","language":"en","page":"625-634","source":"DOI.org (Crossref)","title":"Electrophysiological effects of dronedarone (SR 33589), a noniodinated amiodarone derivative in the canine heart: comparison with amiodarone: Electrophysiological effects of dronedarone","title-short":"Electrophysiological effects of dronedarone (SR 33589), a noniodinated amiodarone derivative in the canine heart","volume":"133","author":[{"family":"Varró","given":"András"},{"family":"Takács","given":"János"},{"family":"Németh","given":"Miklós"},{"family":"Hála","given":"Ottó"},{"family":"Virág","given":"László"},{"family":"Iost","given":"Norbert"},{"family":"Baláti","given":"Beáta"},{"family":"Ágoston","given":"Márta"},{"family":"Vereckei","given":"András"},{"family":"Pastor","given":"Gilbert"},{"family":"Delbruyère","given":"Martine"},{"family":"Gautier","given":"Patrick"},{"family":"Nisato","given":"Dino"},{"family":"Papp","given":"Julius Gy"}],"issued":{"date-parts":[["2001",7]]}}},{"id":357,"uris":["http://zotero.org/users/9045539/items/FL39DRAU"],"itemData":{"id":357,"type":"article-journal","abstract":"Amiodarone (AM) is an antiarrhythmic agent widely used in the treatment of ventricular and supraventricular arrhythmias. Dronedarone (DR) is a new compound with a pharmacological profile similar to that of AM, but iodine free. We previously demonstrated that chronic AM treatment reduces transmural dispersion of repolarization (TDR) in the canine heart. We used standard microelectrode technique to evaluate the effects of acute AM (100 µM) and DR (30 µM) on epicardial (EPI), endocardial (ENDO), and M region tissues obtained from the left ventricular wall of the canine heart. Amiodarone (100 µM, 120 min of exposure) produced little change in the action potential duration of ENDO and EPI tissues, but it shortened the action potential of M cells, especially at slow rates, leading to a decrease in TDR. Similar results were observed with DR. Acute AM (100 µM) and DR (30 µM) eliminated d-sotalol—induced early afterdepolarizations (EADs) and triggered activity in 3 of 3 and 2 of 6 M cell preparations, respectively. The reduction of TDR and the elimination of EAD-induced triggered activity differentiates AM and DR from other class III agents. These effects may explain the efficacy and low arrhythmogenicity of acute AM and suggest a potential safe use of DR as an antiarrhythmic agent.","container-title":"Journal of Cardiovascular Pharmacology and Therapeutics","DOI":"10.1177/1074248407306906","ISSN":"1074-2484, 1940-4034","issue":"4","journalAbbreviation":"J Cardiovasc Pharmacol Ther","language":"en","page":"314-321","source":"DOI.org (Crossref)","title":"In Vitro Effects of Acute Amiodarone and Dronedarone on Epicardial, Endocardial, and M Cells of the Canine Ventricle","volume":"12","author":[{"family":"Moro","given":"Sandra"},{"family":"Ferreiro","given":"Marcela"},{"family":"Celestino","given":"Daniela"},{"family":"Medei","given":"Emiliano"},{"family":"Elizari","given":"Marcelo V."},{"family":"Sicouri","given":"Serge"}],"issued":{"date-parts":[["2007",12]]}}}],"schema":"https://github.com/citation-style-language/schema/raw/master/csl-citation.json"} </w:instrText>
      </w:r>
      <w:r>
        <w:rPr>
          <w:rFonts w:ascii="Arial" w:hAnsi="Arial" w:cs="Arial"/>
          <w:sz w:val="22"/>
          <w:szCs w:val="22"/>
        </w:rPr>
        <w:fldChar w:fldCharType="separate"/>
      </w:r>
      <w:r w:rsidRPr="0017479E">
        <w:rPr>
          <w:rFonts w:ascii="Arial" w:hAnsi="Arial" w:cs="Arial"/>
          <w:sz w:val="22"/>
          <w:vertAlign w:val="superscript"/>
        </w:rPr>
        <w:t>34–36</w:t>
      </w:r>
      <w:r>
        <w:rPr>
          <w:rFonts w:ascii="Arial" w:hAnsi="Arial" w:cs="Arial"/>
          <w:sz w:val="22"/>
          <w:szCs w:val="22"/>
        </w:rPr>
        <w:fldChar w:fldCharType="end"/>
      </w:r>
      <w:r>
        <w:rPr>
          <w:rFonts w:ascii="Arial" w:hAnsi="Arial" w:cs="Arial"/>
          <w:sz w:val="22"/>
          <w:szCs w:val="22"/>
        </w:rPr>
        <w:t xml:space="preserve"> </w:t>
      </w:r>
      <w:r w:rsidR="006D74A3">
        <w:rPr>
          <w:rFonts w:ascii="Arial" w:hAnsi="Arial" w:cs="Arial"/>
          <w:sz w:val="22"/>
          <w:szCs w:val="22"/>
        </w:rPr>
        <w:t xml:space="preserve">This may </w:t>
      </w:r>
      <w:r>
        <w:rPr>
          <w:rFonts w:ascii="Arial" w:hAnsi="Arial" w:cs="Arial"/>
          <w:sz w:val="22"/>
          <w:szCs w:val="22"/>
        </w:rPr>
        <w:t xml:space="preserve">also </w:t>
      </w:r>
      <w:r w:rsidR="006D74A3">
        <w:rPr>
          <w:rFonts w:ascii="Arial" w:hAnsi="Arial" w:cs="Arial"/>
          <w:sz w:val="22"/>
          <w:szCs w:val="22"/>
        </w:rPr>
        <w:t>explain why</w:t>
      </w:r>
      <w:r w:rsidR="00FB12E8">
        <w:rPr>
          <w:rFonts w:ascii="Arial" w:hAnsi="Arial" w:cs="Arial"/>
          <w:sz w:val="22"/>
          <w:szCs w:val="22"/>
        </w:rPr>
        <w:t xml:space="preserve"> sotalol continues to have a higher risk of class III adverse events than dronedarone</w:t>
      </w:r>
      <w:r w:rsidR="006D74A3">
        <w:rPr>
          <w:rFonts w:ascii="Arial" w:hAnsi="Arial" w:cs="Arial"/>
          <w:sz w:val="22"/>
          <w:szCs w:val="22"/>
        </w:rPr>
        <w:t xml:space="preserve"> in this study</w:t>
      </w:r>
      <w:r w:rsidR="00FB12E8">
        <w:rPr>
          <w:rFonts w:ascii="Arial" w:hAnsi="Arial" w:cs="Arial"/>
          <w:sz w:val="22"/>
          <w:szCs w:val="22"/>
        </w:rPr>
        <w:t xml:space="preserve">, despite selecting for patients who did </w:t>
      </w:r>
      <w:r w:rsidR="00FB12E8">
        <w:rPr>
          <w:rFonts w:ascii="Arial" w:hAnsi="Arial" w:cs="Arial"/>
          <w:sz w:val="22"/>
          <w:szCs w:val="22"/>
        </w:rPr>
        <w:lastRenderedPageBreak/>
        <w:t xml:space="preserve">not have ventricular arrhythmias or excess QT prolongation on initiation. </w:t>
      </w:r>
      <w:r w:rsidR="00F15DE8">
        <w:rPr>
          <w:rFonts w:ascii="Arial" w:hAnsi="Arial" w:cs="Arial"/>
          <w:sz w:val="22"/>
          <w:szCs w:val="22"/>
        </w:rPr>
        <w:t>Since the sotalol cohort only included those individuals who tolerated inpatient sotalol loading and received a subsequent outpatient prescription, our results may underestimate the true ventricular pro-arrhythmia risk associated with sotalol.</w:t>
      </w:r>
    </w:p>
    <w:p w14:paraId="05CE86DF" w14:textId="77777777" w:rsidR="00FB12E8" w:rsidRDefault="00FB12E8" w:rsidP="00F66501">
      <w:pPr>
        <w:spacing w:line="480" w:lineRule="auto"/>
        <w:rPr>
          <w:rFonts w:ascii="Arial" w:hAnsi="Arial" w:cs="Arial"/>
          <w:sz w:val="22"/>
          <w:szCs w:val="22"/>
        </w:rPr>
      </w:pPr>
    </w:p>
    <w:p w14:paraId="0B54D734" w14:textId="5BF9E24E" w:rsidR="00FB12E8" w:rsidRDefault="00FB12E8" w:rsidP="00F66501">
      <w:pPr>
        <w:spacing w:line="480" w:lineRule="auto"/>
        <w:rPr>
          <w:rFonts w:ascii="Arial" w:hAnsi="Arial" w:cs="Arial"/>
          <w:sz w:val="22"/>
          <w:szCs w:val="22"/>
        </w:rPr>
      </w:pPr>
      <w:r w:rsidRPr="00C50C6B">
        <w:rPr>
          <w:rFonts w:ascii="Arial" w:hAnsi="Arial" w:cs="Arial"/>
          <w:sz w:val="22"/>
          <w:szCs w:val="22"/>
        </w:rPr>
        <w:t>Another possible explanation</w:t>
      </w:r>
      <w:r w:rsidR="00E549AE">
        <w:rPr>
          <w:rFonts w:ascii="Arial" w:hAnsi="Arial" w:cs="Arial"/>
          <w:sz w:val="22"/>
          <w:szCs w:val="22"/>
        </w:rPr>
        <w:t xml:space="preserve"> for the difference in risk of ventricular pro-arrhythmia and conduction disease</w:t>
      </w:r>
      <w:r w:rsidRPr="00C50C6B">
        <w:rPr>
          <w:rFonts w:ascii="Arial" w:hAnsi="Arial" w:cs="Arial"/>
          <w:sz w:val="22"/>
          <w:szCs w:val="22"/>
        </w:rPr>
        <w:t xml:space="preserve"> is confounding </w:t>
      </w:r>
      <w:r w:rsidR="00D20587" w:rsidRPr="00C50C6B">
        <w:rPr>
          <w:rFonts w:ascii="Arial" w:hAnsi="Arial" w:cs="Arial"/>
          <w:sz w:val="22"/>
          <w:szCs w:val="22"/>
        </w:rPr>
        <w:t>due</w:t>
      </w:r>
      <w:r w:rsidRPr="00C50C6B">
        <w:rPr>
          <w:rFonts w:ascii="Arial" w:hAnsi="Arial" w:cs="Arial"/>
          <w:sz w:val="22"/>
          <w:szCs w:val="22"/>
        </w:rPr>
        <w:t xml:space="preserve"> to </w:t>
      </w:r>
      <w:r w:rsidR="00D20587" w:rsidRPr="00C50C6B">
        <w:rPr>
          <w:rFonts w:ascii="Arial" w:hAnsi="Arial" w:cs="Arial"/>
          <w:sz w:val="22"/>
          <w:szCs w:val="22"/>
        </w:rPr>
        <w:t xml:space="preserve">unmeasured </w:t>
      </w:r>
      <w:r w:rsidRPr="00C50C6B">
        <w:rPr>
          <w:rFonts w:ascii="Arial" w:hAnsi="Arial" w:cs="Arial"/>
          <w:sz w:val="22"/>
          <w:szCs w:val="22"/>
        </w:rPr>
        <w:t>differences in the two treatment groups.</w:t>
      </w:r>
      <w:r w:rsidR="00722ECF" w:rsidRPr="00C50C6B">
        <w:rPr>
          <w:rFonts w:ascii="Arial" w:hAnsi="Arial" w:cs="Arial"/>
          <w:sz w:val="22"/>
          <w:szCs w:val="22"/>
        </w:rPr>
        <w:t xml:space="preserve"> </w:t>
      </w:r>
      <w:r w:rsidR="00C50C6B" w:rsidRPr="00C50C6B">
        <w:rPr>
          <w:rFonts w:ascii="Arial" w:hAnsi="Arial" w:cs="Arial"/>
          <w:sz w:val="22"/>
          <w:szCs w:val="22"/>
        </w:rPr>
        <w:t xml:space="preserve">However, our initial cohorts were well matched even prior to PSM, likely </w:t>
      </w:r>
      <w:r w:rsidR="00C50C6B">
        <w:rPr>
          <w:rFonts w:ascii="Arial" w:hAnsi="Arial" w:cs="Arial"/>
          <w:sz w:val="22"/>
          <w:szCs w:val="22"/>
        </w:rPr>
        <w:t>owing</w:t>
      </w:r>
      <w:r w:rsidR="00C50C6B" w:rsidRPr="00C50C6B">
        <w:rPr>
          <w:rFonts w:ascii="Arial" w:hAnsi="Arial" w:cs="Arial"/>
          <w:sz w:val="22"/>
          <w:szCs w:val="22"/>
        </w:rPr>
        <w:t xml:space="preserve"> to </w:t>
      </w:r>
      <w:r w:rsidR="00C50C6B">
        <w:rPr>
          <w:rFonts w:ascii="Arial" w:hAnsi="Arial" w:cs="Arial"/>
          <w:sz w:val="22"/>
          <w:szCs w:val="22"/>
        </w:rPr>
        <w:t xml:space="preserve">the </w:t>
      </w:r>
      <w:r w:rsidR="00C50C6B" w:rsidRPr="00C50C6B">
        <w:rPr>
          <w:rFonts w:ascii="Arial" w:hAnsi="Arial" w:cs="Arial"/>
          <w:sz w:val="22"/>
          <w:szCs w:val="22"/>
        </w:rPr>
        <w:t>similar pharmacologic properties</w:t>
      </w:r>
      <w:r w:rsidR="00C50C6B">
        <w:rPr>
          <w:rFonts w:ascii="Arial" w:hAnsi="Arial" w:cs="Arial"/>
          <w:sz w:val="22"/>
          <w:szCs w:val="22"/>
        </w:rPr>
        <w:t xml:space="preserve"> of sotalol and dronedarone </w:t>
      </w:r>
      <w:r w:rsidR="00F15DE8">
        <w:rPr>
          <w:rFonts w:ascii="Arial" w:hAnsi="Arial" w:cs="Arial"/>
          <w:sz w:val="22"/>
          <w:szCs w:val="22"/>
        </w:rPr>
        <w:t>with</w:t>
      </w:r>
      <w:r w:rsidR="00C50C6B">
        <w:rPr>
          <w:rFonts w:ascii="Arial" w:hAnsi="Arial" w:cs="Arial"/>
          <w:sz w:val="22"/>
          <w:szCs w:val="22"/>
        </w:rPr>
        <w:t xml:space="preserve"> similar indications and contraindications for the two drugs in current AF guidelines.</w:t>
      </w:r>
      <w:r w:rsidR="00C50C6B">
        <w:rPr>
          <w:rFonts w:ascii="Arial" w:hAnsi="Arial" w:cs="Arial"/>
          <w:sz w:val="22"/>
          <w:szCs w:val="22"/>
        </w:rPr>
        <w:fldChar w:fldCharType="begin"/>
      </w:r>
      <w:r w:rsidR="00C50C6B">
        <w:rPr>
          <w:rFonts w:ascii="Arial" w:hAnsi="Arial" w:cs="Arial"/>
          <w:sz w:val="22"/>
          <w:szCs w:val="22"/>
        </w:rPr>
        <w:instrText xml:space="preserve"> ADDIN ZOTERO_ITEM CSL_CITATION {"citationID":"Q7SDJEDF","properties":{"formattedCitation":"\\super 2,3\\nosupersub{}","plainCitation":"2,3","noteIndex":0},"citationItems":[{"id":241,"uris":["http://zotero.org/users/9045539/items/UN8CTPD9"],"itemData":{"id":241,"type":"article-journal","container-title":"Circulation","DOI":"10.1161/CIR.0000000000000665","ISSN":"0009-7322, 1524-4539","issue":"2","journalAbbreviation":"Circulation","language":"en","source":"DOI.org (Crossref)","title":"2019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Surgeons","title-short":"2019 AHA/ACC/HRS Focused Update of the 2014 AHA/ACC/HRS Guideline for the Management of Patients With Atrial Fibrillation","URL":"https://www.ahajournals.org/doi/10.1161/CIR.0000000000000665","volume":"140","author":[{"family":"January","given":"Craig T."},{"family":"Wann","given":"L. Samuel"},{"family":"Calkins","given":"Hugh"},{"family":"Chen","given":"Lin Y."},{"family":"Cigarroa","given":"Joaquin E."},{"family":"Cleveland","given":"Joseph C."},{"family":"Ellinor","given":"Patrick T."},{"family":"Ezekowitz","given":"Michael D."},{"family":"Field","given":"Michael E."},{"family":"Furie","given":"Karen L."},{"family":"Heidenreich","given":"Paul A."},{"family":"Murray","given":"Katherine T."},{"family":"Shea","given":"Julie B."},{"family":"Tracy","given":"Cynthia M."},{"family":"Yancy","given":"Clyde W."}],"accessed":{"date-parts":[["2022",6,5]]},"issued":{"date-parts":[["2019",7,9]]}}},{"id":340,"uris":["http://zotero.org/users/9045539/items/KAJ8YAW2"],"itemData":{"id":340,"type":"article-journal","container-title":"European Heart Journal","DOI":"10.1093/eurheartj/ehaa612","ISSN":"0195-668X, 1522-9645","issue":"5","language":"en","page":"373-498","source":"DOI.org (Crossref)","title":"2020 ESC Guidelines for the diagnosis and management of atrial fibrillation developed in collaboration with the European Association for Cardio-Thoracic Surgery (EACTS)","volume":"42","author":[{"family":"Hindricks","given":"Gerhard"},{"family":"Potpara","given":"Tatjana"},{"family":"Dagres","given":"Nikolaos"},{"family":"Arbelo","given":"Elena"},{"family":"Bax","given":"Jeroen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J"},{"family":"Thomas","given":"G Neil"},{"family":"Valgimigli","given":"Marco"},{"family":"Van Gelder","given":"Isabelle C"},{"family":"Van Putte","given":"Bart P"},{"family":"Watkins","given":"Caroline L"},{"literal":"ESC Scientific Document Group"},{"family":"Kirchhof","given":"Paulus"},{"family":"Kühne","given":"Michael"},{"family":"Aboyans","given":"Victor"},{"family":"Ahlsson","given":"Anders"},{"family":"Balsam","given":"Pawel"},{"family":"Bauersachs","given":"Johann"},{"family":"Benussi","given":"Stefano"},{"family":"Brandes","given":"Axel"},{"family":"Braunschweig","given":"Frieder"},{"family":"Camm","given":"A John"},{"family":"Capodanno","given":"Davide"},{"family":"Casadei","given":"Barbara"},{"family":"Conen","given":"David"},{"family":"Crijns","given":"Harry J G M"},{"family":"Delgado","given":"Victoria"},{"family":"Dobrev","given":"Dobromir"},{"family":"Drexel","given":"Heinz"},{"family":"Eckardt","given":"Lars"},{"family":"Fitzsimons","given":"Donna"},{"family":"Folliguet","given":"Thierry"},{"family":"Gale","given":"Chris P"},{"family":"Gorenek","given":"Bulent"},{"family":"Haeusler","given":"Karl Georg"},{"family":"Heidbuchel","given":"Hein"},{"family":"Iung","given":"Bernard"},{"family":"Katus","given":"Hugo A"},{"family":"Kotecha","given":"Dipak"},{"family":"Landmesser","given":"Ulf"},{"family":"Leclercq","given":"Christophe"},{"family":"Lewis","given":"Basil S"},{"family":"Mascherbauer","given":"Julia"},{"family":"Merino","given":"Jose Luis"},{"family":"Merkely","given":"Béla"},{"family":"Mont","given":"Lluís"},{"family":"Mueller","given":"Christian"},{"family":"Nagy","given":"Klaudia V"},{"family":"Oldgren","given":"Jonas"},{"family":"Pavlović","given":"Nikola"},{"family":"Pedretti","given":"Roberto F E"},{"family":"Petersen","given":"Steffen E"},{"family":"Piccini","given":"Jonathan P"},{"family":"Popescu","given":"Bogdan A"},{"family":"Pürerfellner","given":"Helmut"},{"family":"Richter","given":"Dimitrios J"},{"family":"Roffi","given":"Marco"},{"family":"Rubboli","given":"Andrea"},{"family":"Scherr","given":"Daniel"},{"family":"Schnabel","given":"Renate B"},{"family":"Simpson","given":"Iain A"},{"family":"Shlyakhto","given":"Evgeny"},{"family":"Sinner","given":"Moritz F"},{"family":"Steffel","given":"Jan"},{"family":"Sousa-Uva","given":"Miguel"},{"family":"Suwalski","given":"Piotr"},{"family":"Svetlosak","given":"Martin"},{"family":"Touyz","given":"Rhian M"},{"family":"Dagres","given":"Nikolaos"},{"family":"Arbelo","given":"Elena"},{"family":"Bax","given":"Jeroen J"},{"family":"Blomström-Lundqvist","given":"Carina"},{"family":"Boriani","given":"Giuseppe"},{"family":"Castella","given":"Manuel"},{"family":"Dan","given":"Gheorghe-Andrei"},{"family":"Dilaveris","given":"Polychronis E"},{"family":"Fauchier","given":"Laurent"},{"family":"Filippatos","given":"Gerasimos"},{"family":"Kalman","given":"Jonathan M"},{"family":"La Meir","given":"Mark"},{"family":"Lane","given":"Deirdre A"},{"family":"Lebeau","given":"Jean-Pierre"},{"family":"Lettino","given":"Maddalena"},{"family":"Lip","given":"Gregory Y H"},{"family":"Pinto","given":"Fausto J"},{"family":"Neil Thomas","given":"G"},{"family":"Valgimigli","given":"Marco"},{"family":"Van Gelder","given":"Isabelle C"},{"family":"Watkins","given":"Caroline L"},{"family":"Delassi","given":"Tahar"},{"family":"Sisakian","given":"Hamayak S"},{"family":"Scherr","given":"Daniel"},{"family":"Chasnoits","given":"Alexandr"},{"family":"Pauw","given":"Michel De"},{"family":"Smajić","given":"Elnur"},{"family":"Shalganov","given":"Tchavdar"},{"family":"Avraamides","given":"Panayiotis"},{"family":"Kautzner","given":"Josef"},{"family":"Gerdes","given":"Christian"},{"family":"Alaziz","given":"Ahmad Abd"},{"family":"Kampus","given":"Priit"},{"family":"Raatikainen","given":"Pekka"},{"family":"Boveda","given":"Serge"},{"family":"Papiashvili","given":"Giorgi"},{"family":"Eckardt","given":"Lars"},{"family":"Vassilikos","given":"Vassilios"},{"family":"Csanádi","given":"Zoltán"},{"family":"Arnar","given":"David O"},{"family":"Galvin","given":"Joseph"},{"family":"Barsheshet","given":"Alon"},{"family":"Caldarola","given":"Pasquale"},{"family":"Rakisheva","given":"Amina"},{"family":"Bytyçi","given":"Ibadete"},{"family":"Kerimkulova","given":"Alina"},{"family":"Kalejs","given":"Oskars"},{"family":"Njeim","given":"Mario"},{"family":"Puodziukynas","given":"Aras"},{"family":"Groben","given":"Laurent"},{"family":"Sammut","given":"Mark A"},{"family":"Grosu","given":"Aurel"},{"family":"Boskovic","given":"Aneta"},{"family":"Moustaghfir","given":"Abdelhamid"},{"family":"Groot","given":"Natasja","dropping-particle":"de"},{"family":"Poposka","given":"Lidija"},{"family":"Anfinsen","given":"Ole-Gunnar"},{"family":"Mitkowski","given":"Przemyslaw P"},{"family":"Cavaco","given":"Diogo Magalhães"},{"family":"Siliste","given":"Calin"},{"family":"Mikhaylov","given":"Evgeny N"},{"family":"Bertelli","given":"Luca"},{"family":"Kojic","given":"Dejan"},{"family":"Hatala","given":"Robert"},{"family":"Fras","given":"Zlatko"},{"family":"Arribas","given":"Fernando"},{"family":"Juhlin","given":"Tord"},{"family":"Sticherling","given":"Christian"},{"family":"Abid","given":"Leila"},{"family":"Atar","given":"Ilyas"},{"family":"Sychov","given":"Oleg"},{"family":"Bates","given":"Matthew G D"},{"family":"Zakirov","given":"Nodir U"}],"issued":{"date-parts":[["2021",2,1]]}}}],"schema":"https://github.com/citation-style-language/schema/raw/master/csl-citation.json"} </w:instrText>
      </w:r>
      <w:r w:rsidR="00C50C6B">
        <w:rPr>
          <w:rFonts w:ascii="Arial" w:hAnsi="Arial" w:cs="Arial"/>
          <w:sz w:val="22"/>
          <w:szCs w:val="22"/>
        </w:rPr>
        <w:fldChar w:fldCharType="separate"/>
      </w:r>
      <w:r w:rsidR="00C50C6B" w:rsidRPr="00C50C6B">
        <w:rPr>
          <w:rFonts w:ascii="Arial" w:hAnsi="Arial" w:cs="Arial"/>
          <w:sz w:val="22"/>
          <w:vertAlign w:val="superscript"/>
        </w:rPr>
        <w:t>2,3</w:t>
      </w:r>
      <w:r w:rsidR="00C50C6B">
        <w:rPr>
          <w:rFonts w:ascii="Arial" w:hAnsi="Arial" w:cs="Arial"/>
          <w:sz w:val="22"/>
          <w:szCs w:val="22"/>
        </w:rPr>
        <w:fldChar w:fldCharType="end"/>
      </w:r>
      <w:r w:rsidR="00C50C6B">
        <w:rPr>
          <w:rFonts w:ascii="Arial" w:hAnsi="Arial" w:cs="Arial"/>
          <w:sz w:val="22"/>
          <w:szCs w:val="22"/>
        </w:rPr>
        <w:t xml:space="preserve"> </w:t>
      </w:r>
      <w:r w:rsidR="009D2327">
        <w:rPr>
          <w:rFonts w:ascii="Arial" w:hAnsi="Arial" w:cs="Arial"/>
          <w:sz w:val="22"/>
          <w:szCs w:val="22"/>
        </w:rPr>
        <w:t>In</w:t>
      </w:r>
      <w:r>
        <w:rPr>
          <w:rFonts w:ascii="Arial" w:hAnsi="Arial" w:cs="Arial"/>
          <w:sz w:val="22"/>
          <w:szCs w:val="22"/>
        </w:rPr>
        <w:t xml:space="preserve"> our falsification analysis, we found no significant differences in the risk of hip fractures, cancer, or infections between the groups. </w:t>
      </w:r>
      <w:r w:rsidR="00FF54FC">
        <w:rPr>
          <w:rFonts w:ascii="Arial" w:hAnsi="Arial" w:cs="Arial"/>
          <w:sz w:val="22"/>
          <w:szCs w:val="22"/>
        </w:rPr>
        <w:t>The finding of no difference in all-cause mortality between sotalol and dronedarone serves as an additional evaluation for confounding, as prior rhythm control and ablation studies in AF have not demonstrated mortality benefits</w:t>
      </w:r>
      <w:r w:rsidR="006D74F4">
        <w:rPr>
          <w:rFonts w:ascii="Arial" w:hAnsi="Arial" w:cs="Arial"/>
          <w:sz w:val="22"/>
          <w:szCs w:val="22"/>
        </w:rPr>
        <w:t>.</w:t>
      </w:r>
      <w:r w:rsidR="00FF54FC">
        <w:rPr>
          <w:rFonts w:ascii="Arial" w:hAnsi="Arial" w:cs="Arial"/>
          <w:sz w:val="22"/>
          <w:szCs w:val="22"/>
        </w:rPr>
        <w:fldChar w:fldCharType="begin"/>
      </w:r>
      <w:r w:rsidR="009D29D7">
        <w:rPr>
          <w:rFonts w:ascii="Arial" w:hAnsi="Arial" w:cs="Arial"/>
          <w:sz w:val="22"/>
          <w:szCs w:val="22"/>
        </w:rPr>
        <w:instrText xml:space="preserve"> ADDIN ZOTERO_ITEM CSL_CITATION {"citationID":"3KH1FOWr","properties":{"formattedCitation":"\\super 6,37\\nosupersub{}","plainCitation":"6,37","noteIndex":0},"citationItems":[{"id":329,"uris":["http://zotero.org/users/9045539/items/S7HIIT4P"],"itemData":{"id":329,"type":"article-journal","container-title":"New England Journal of Medicine","DOI":"10.1056/NEJMoa2019422","ISSN":"0028-4793, 1533-4406","issue":"14","journalAbbreviation":"N Engl J Med","language":"en","page":"1305-1316","source":"DOI.org (Crossref)","title":"Early Rhythm-Control Therapy in Patients with Atrial Fibrillation","volume":"383","author":[{"family":"Kirchhof","given":"Paulus"},{"family":"Camm","given":"A. John"},{"family":"Goette","given":"Andreas"},{"family":"Brandes","given":"Axel"},{"family":"Eckardt","given":"Lars"},{"family":"Elvan","given":"Arif"},{"family":"Fetsch","given":"Thomas"},{"family":"Gelder","given":"Isabelle C.","non-dropping-particle":"van"},{"family":"Haase","given":"Doreen"},{"family":"Haegeli","given":"Laurent M."},{"family":"Hamann","given":"Frank"},{"family":"Heidbüchel","given":"Hein"},{"family":"Hindricks","given":"Gerhard"},{"family":"Kautzner","given":"Josef"},{"family":"Kuck","given":"Karl-Heinz"},{"family":"Mont","given":"Lluis"},{"family":"Ng","given":"G. Andre"},{"family":"Rekosz","given":"Jerzy"},{"family":"Schoen","given":"Norbert"},{"family":"Schotten","given":"Ulrich"},{"family":"Suling","given":"Anna"},{"family":"Taggeselle","given":"Jens"},{"family":"Themistoclakis","given":"Sakis"},{"family":"Vettorazzi","given":"Eik"},{"family":"Vardas","given":"Panos"},{"family":"Wegscheider","given":"Karl"},{"family":"Willems","given":"Stephan"},{"family":"Crijns","given":"Harry J.G.M."},{"family":"Breithardt","given":"Günter"}],"issued":{"date-parts":[["2020",10,1]]}}},{"id":320,"uris":["http://zotero.org/users/9045539/items/U6GCYNP7"],"itemData":{"id":320,"type":"article-journal","container-title":"New England Journal of Medicine","DOI":"10.1056/NEJMoa021328","ISSN":"0028-4793, 1533-4406","issue":"23","journalAbbreviation":"N Engl J Med","language":"en","page":"1825-1833","source":"DOI.org (Crossref)","title":"A Comparison of Rate Control and Rhythm Control in Patients with Atrial Fibrillation","volume":"347","issued":{"date-parts":[["2002",12,5]]}}}],"schema":"https://github.com/citation-style-language/schema/raw/master/csl-citation.json"} </w:instrText>
      </w:r>
      <w:r w:rsidR="00FF54FC">
        <w:rPr>
          <w:rFonts w:ascii="Arial" w:hAnsi="Arial" w:cs="Arial"/>
          <w:sz w:val="22"/>
          <w:szCs w:val="22"/>
        </w:rPr>
        <w:fldChar w:fldCharType="separate"/>
      </w:r>
      <w:r w:rsidR="009D29D7" w:rsidRPr="009D29D7">
        <w:rPr>
          <w:rFonts w:ascii="Arial" w:hAnsi="Arial" w:cs="Arial"/>
          <w:sz w:val="22"/>
          <w:vertAlign w:val="superscript"/>
        </w:rPr>
        <w:t>6,37</w:t>
      </w:r>
      <w:r w:rsidR="00FF54FC">
        <w:rPr>
          <w:rFonts w:ascii="Arial" w:hAnsi="Arial" w:cs="Arial"/>
          <w:sz w:val="22"/>
          <w:szCs w:val="22"/>
        </w:rPr>
        <w:fldChar w:fldCharType="end"/>
      </w:r>
      <w:r w:rsidR="006D74F4">
        <w:rPr>
          <w:rFonts w:ascii="Arial" w:hAnsi="Arial" w:cs="Arial"/>
          <w:sz w:val="22"/>
          <w:szCs w:val="22"/>
        </w:rPr>
        <w:t xml:space="preserve"> However,</w:t>
      </w:r>
      <w:r w:rsidR="00913BFE">
        <w:rPr>
          <w:rFonts w:ascii="Arial" w:hAnsi="Arial" w:cs="Arial"/>
          <w:sz w:val="22"/>
          <w:szCs w:val="22"/>
        </w:rPr>
        <w:t xml:space="preserve"> a trend for mortality benefit with drone</w:t>
      </w:r>
      <w:r w:rsidR="00732DD0">
        <w:rPr>
          <w:rFonts w:ascii="Arial" w:hAnsi="Arial" w:cs="Arial"/>
          <w:sz w:val="22"/>
          <w:szCs w:val="22"/>
        </w:rPr>
        <w:t xml:space="preserve">darone </w:t>
      </w:r>
      <w:r w:rsidR="00913BFE">
        <w:rPr>
          <w:rFonts w:ascii="Arial" w:hAnsi="Arial" w:cs="Arial"/>
          <w:sz w:val="22"/>
          <w:szCs w:val="22"/>
        </w:rPr>
        <w:t xml:space="preserve">is reassuring, as ventricular pro-arrhythmia events </w:t>
      </w:r>
      <w:r w:rsidR="00634F8E">
        <w:rPr>
          <w:rFonts w:ascii="Arial" w:hAnsi="Arial" w:cs="Arial"/>
          <w:sz w:val="22"/>
          <w:szCs w:val="22"/>
        </w:rPr>
        <w:t xml:space="preserve">with sotalol have previously been </w:t>
      </w:r>
      <w:r w:rsidR="00913BFE">
        <w:rPr>
          <w:rFonts w:ascii="Arial" w:hAnsi="Arial" w:cs="Arial"/>
          <w:sz w:val="22"/>
          <w:szCs w:val="22"/>
        </w:rPr>
        <w:t>associated with increased risk for mortality.</w:t>
      </w:r>
      <w:r w:rsidR="006D74F4">
        <w:rPr>
          <w:rFonts w:ascii="Arial" w:hAnsi="Arial" w:cs="Arial"/>
          <w:sz w:val="22"/>
          <w:szCs w:val="22"/>
        </w:rPr>
        <w:t xml:space="preserve"> </w:t>
      </w:r>
      <w:r w:rsidR="00D20587">
        <w:rPr>
          <w:rFonts w:ascii="Arial" w:hAnsi="Arial" w:cs="Arial"/>
          <w:sz w:val="22"/>
          <w:szCs w:val="22"/>
        </w:rPr>
        <w:t>Additionally</w:t>
      </w:r>
      <w:r>
        <w:rPr>
          <w:rFonts w:ascii="Arial" w:hAnsi="Arial" w:cs="Arial"/>
          <w:sz w:val="22"/>
          <w:szCs w:val="22"/>
        </w:rPr>
        <w:t xml:space="preserve">, the calculated </w:t>
      </w:r>
      <w:r w:rsidR="009C4828">
        <w:rPr>
          <w:rFonts w:ascii="Arial" w:hAnsi="Arial" w:cs="Arial"/>
          <w:sz w:val="22"/>
          <w:szCs w:val="22"/>
        </w:rPr>
        <w:t>E-</w:t>
      </w:r>
      <w:r>
        <w:rPr>
          <w:rFonts w:ascii="Arial" w:hAnsi="Arial" w:cs="Arial"/>
          <w:sz w:val="22"/>
          <w:szCs w:val="22"/>
        </w:rPr>
        <w:t xml:space="preserve">values for ventricular pro-arrhythmia of 2.04 and 3.18 indicate that only a strong confounder associated with both sotalol use and ventricular pro-arrhythmia could account for the observed association. </w:t>
      </w:r>
      <w:r w:rsidR="00582AB4" w:rsidRPr="00582AB4">
        <w:rPr>
          <w:rFonts w:ascii="Arial" w:hAnsi="Arial" w:cs="Arial"/>
          <w:sz w:val="22"/>
          <w:szCs w:val="22"/>
        </w:rPr>
        <w:t>Our results were also consistent across sensitivity analyses that varied our assumptions regarding the cohort, the exposure, and the outcome.</w:t>
      </w:r>
      <w:r w:rsidR="00582AB4">
        <w:rPr>
          <w:rFonts w:ascii="Arial" w:hAnsi="Arial" w:cs="Arial"/>
          <w:sz w:val="22"/>
          <w:szCs w:val="22"/>
        </w:rPr>
        <w:t xml:space="preserve"> </w:t>
      </w:r>
      <w:r>
        <w:rPr>
          <w:rFonts w:ascii="Arial" w:hAnsi="Arial" w:cs="Arial"/>
          <w:sz w:val="22"/>
          <w:szCs w:val="22"/>
        </w:rPr>
        <w:t xml:space="preserve">Overall, these analyses suggest unmeasured confounding is unlikely account for the observed differences between treatment groups. </w:t>
      </w:r>
    </w:p>
    <w:p w14:paraId="333E666C" w14:textId="77777777" w:rsidR="003E555B" w:rsidRDefault="003E555B" w:rsidP="00F66501">
      <w:pPr>
        <w:spacing w:line="480" w:lineRule="auto"/>
        <w:rPr>
          <w:rFonts w:ascii="Arial" w:hAnsi="Arial" w:cs="Arial"/>
          <w:sz w:val="22"/>
          <w:szCs w:val="22"/>
        </w:rPr>
      </w:pPr>
    </w:p>
    <w:p w14:paraId="58FD35EB" w14:textId="70248E6D" w:rsidR="007B22D5" w:rsidRPr="00E34FA8" w:rsidRDefault="00665E0E" w:rsidP="00E34FA8">
      <w:pPr>
        <w:spacing w:line="480" w:lineRule="auto"/>
        <w:rPr>
          <w:rFonts w:ascii="Arial" w:hAnsi="Arial" w:cs="Arial"/>
          <w:sz w:val="22"/>
          <w:szCs w:val="22"/>
        </w:rPr>
      </w:pPr>
      <w:r>
        <w:rPr>
          <w:rFonts w:ascii="Arial" w:hAnsi="Arial" w:cs="Arial"/>
          <w:sz w:val="22"/>
          <w:szCs w:val="22"/>
        </w:rPr>
        <w:t xml:space="preserve">Our study also found high rates of medication discontinuation </w:t>
      </w:r>
      <w:r w:rsidR="00E34FA8">
        <w:rPr>
          <w:rFonts w:ascii="Arial" w:hAnsi="Arial" w:cs="Arial"/>
          <w:sz w:val="22"/>
          <w:szCs w:val="22"/>
        </w:rPr>
        <w:t>in</w:t>
      </w:r>
      <w:r>
        <w:rPr>
          <w:rFonts w:ascii="Arial" w:hAnsi="Arial" w:cs="Arial"/>
          <w:sz w:val="22"/>
          <w:szCs w:val="22"/>
        </w:rPr>
        <w:t xml:space="preserve"> both treatment arms</w:t>
      </w:r>
      <w:r w:rsidR="00E34FA8">
        <w:rPr>
          <w:rFonts w:ascii="Arial" w:hAnsi="Arial" w:cs="Arial"/>
          <w:sz w:val="22"/>
          <w:szCs w:val="22"/>
        </w:rPr>
        <w:t xml:space="preserve">, </w:t>
      </w:r>
      <w:r>
        <w:rPr>
          <w:rFonts w:ascii="Arial" w:hAnsi="Arial" w:cs="Arial"/>
          <w:sz w:val="22"/>
          <w:szCs w:val="22"/>
        </w:rPr>
        <w:t xml:space="preserve">accounting for approximately 70% of censoring events by 24 months. </w:t>
      </w:r>
      <w:r w:rsidR="00C67DC9">
        <w:rPr>
          <w:rFonts w:ascii="Arial" w:hAnsi="Arial" w:cs="Arial"/>
          <w:sz w:val="22"/>
          <w:szCs w:val="22"/>
        </w:rPr>
        <w:t xml:space="preserve">The rates of discontinuation were generally similar: 50.4% for dronedarone vs. 53.1% for sotalol at 6 months, </w:t>
      </w:r>
      <w:r w:rsidR="00C67DC9">
        <w:rPr>
          <w:rFonts w:ascii="Arial" w:hAnsi="Arial" w:cs="Arial"/>
          <w:sz w:val="22"/>
          <w:szCs w:val="22"/>
        </w:rPr>
        <w:lastRenderedPageBreak/>
        <w:t>and 59.6% for dronedarone vs 55.8% for sotalol at 12 months. We</w:t>
      </w:r>
      <w:r w:rsidR="00E34FA8">
        <w:rPr>
          <w:rFonts w:ascii="Arial" w:hAnsi="Arial" w:cs="Arial"/>
          <w:sz w:val="22"/>
          <w:szCs w:val="22"/>
        </w:rPr>
        <w:t xml:space="preserve"> are not able to retrospectively ascertain the reasons for discontinuation, </w:t>
      </w:r>
      <w:r w:rsidR="00C67DC9">
        <w:rPr>
          <w:rFonts w:ascii="Arial" w:hAnsi="Arial" w:cs="Arial"/>
          <w:sz w:val="22"/>
          <w:szCs w:val="22"/>
        </w:rPr>
        <w:t>which may include</w:t>
      </w:r>
      <w:r w:rsidR="00E34FA8">
        <w:rPr>
          <w:rFonts w:ascii="Arial" w:hAnsi="Arial" w:cs="Arial"/>
          <w:sz w:val="22"/>
          <w:szCs w:val="22"/>
        </w:rPr>
        <w:t xml:space="preserve"> </w:t>
      </w:r>
      <w:r w:rsidR="00FF54FC">
        <w:rPr>
          <w:rFonts w:ascii="Arial" w:hAnsi="Arial" w:cs="Arial"/>
          <w:sz w:val="22"/>
          <w:szCs w:val="22"/>
        </w:rPr>
        <w:t xml:space="preserve">lack of effectiveness, </w:t>
      </w:r>
      <w:r w:rsidR="00E34FA8">
        <w:rPr>
          <w:rFonts w:ascii="Arial" w:hAnsi="Arial" w:cs="Arial"/>
          <w:sz w:val="22"/>
          <w:szCs w:val="22"/>
        </w:rPr>
        <w:t>drug-related adverse events, patient intolerance, lapses in prescription or unfilled prescriptions, intended short-term use (either after cardioversion</w:t>
      </w:r>
      <w:r w:rsidR="00FF54FC">
        <w:rPr>
          <w:rFonts w:ascii="Arial" w:hAnsi="Arial" w:cs="Arial"/>
          <w:sz w:val="22"/>
          <w:szCs w:val="22"/>
        </w:rPr>
        <w:t>, ablation,</w:t>
      </w:r>
      <w:r w:rsidR="00E34FA8">
        <w:rPr>
          <w:rFonts w:ascii="Arial" w:hAnsi="Arial" w:cs="Arial"/>
          <w:sz w:val="22"/>
          <w:szCs w:val="22"/>
        </w:rPr>
        <w:t xml:space="preserve"> or inciting event), or provider preference. </w:t>
      </w:r>
      <w:r w:rsidR="00D20587">
        <w:rPr>
          <w:rFonts w:ascii="Arial" w:hAnsi="Arial" w:cs="Arial"/>
          <w:sz w:val="22"/>
          <w:szCs w:val="22"/>
        </w:rPr>
        <w:t>While</w:t>
      </w:r>
      <w:r w:rsidR="00E34FA8">
        <w:rPr>
          <w:rFonts w:ascii="Arial" w:hAnsi="Arial" w:cs="Arial"/>
          <w:sz w:val="22"/>
          <w:szCs w:val="22"/>
        </w:rPr>
        <w:t xml:space="preserve"> the relative contributions of each of these may differ between treatment groups</w:t>
      </w:r>
      <w:r w:rsidR="00D20587">
        <w:rPr>
          <w:rFonts w:ascii="Arial" w:hAnsi="Arial" w:cs="Arial"/>
          <w:sz w:val="22"/>
          <w:szCs w:val="22"/>
        </w:rPr>
        <w:t xml:space="preserve">, our results were consistent with an intention-to-treat analysis that did not censor for drug discontinuation. </w:t>
      </w:r>
      <w:r w:rsidR="00582AB4">
        <w:rPr>
          <w:rFonts w:ascii="Arial" w:hAnsi="Arial" w:cs="Arial"/>
          <w:sz w:val="22"/>
          <w:szCs w:val="22"/>
        </w:rPr>
        <w:t xml:space="preserve">Further studies on differences in AAD persistence and adherence may provide insights on patient-specific factors that favor use of one treatment over the other. </w:t>
      </w:r>
      <w:r w:rsidR="00E34FA8">
        <w:rPr>
          <w:rFonts w:ascii="Arial" w:hAnsi="Arial" w:cs="Arial"/>
          <w:sz w:val="22"/>
          <w:szCs w:val="22"/>
        </w:rPr>
        <w:t xml:space="preserve">With increasing momentum toward early rhythm control in AF, understanding these differences and developing targeted </w:t>
      </w:r>
      <w:r w:rsidR="00582AB4">
        <w:rPr>
          <w:rFonts w:ascii="Arial" w:hAnsi="Arial" w:cs="Arial"/>
          <w:sz w:val="22"/>
          <w:szCs w:val="22"/>
        </w:rPr>
        <w:t xml:space="preserve">provider- and systems-level </w:t>
      </w:r>
      <w:r w:rsidR="00E34FA8">
        <w:rPr>
          <w:rFonts w:ascii="Arial" w:hAnsi="Arial" w:cs="Arial"/>
          <w:sz w:val="22"/>
          <w:szCs w:val="22"/>
        </w:rPr>
        <w:t xml:space="preserve">interventions may be a means to improving AF-related outcomes. </w:t>
      </w:r>
    </w:p>
    <w:p w14:paraId="4F87323F" w14:textId="77777777" w:rsidR="00AC42AA" w:rsidRPr="00AC42AA" w:rsidRDefault="00AC42AA" w:rsidP="00810B7F">
      <w:pPr>
        <w:spacing w:line="480" w:lineRule="auto"/>
        <w:rPr>
          <w:rFonts w:ascii="Arial" w:hAnsi="Arial" w:cs="Arial"/>
          <w:b/>
          <w:bCs/>
          <w:sz w:val="22"/>
          <w:szCs w:val="22"/>
        </w:rPr>
      </w:pPr>
    </w:p>
    <w:p w14:paraId="3F01FBCD" w14:textId="1D817471" w:rsidR="00381E78" w:rsidRPr="00AC42AA" w:rsidRDefault="00AC42AA" w:rsidP="00810B7F">
      <w:pPr>
        <w:spacing w:line="480" w:lineRule="auto"/>
        <w:rPr>
          <w:rFonts w:ascii="Arial" w:hAnsi="Arial" w:cs="Arial"/>
          <w:color w:val="000000"/>
          <w:sz w:val="22"/>
          <w:szCs w:val="22"/>
          <w:u w:val="single"/>
        </w:rPr>
      </w:pPr>
      <w:r>
        <w:rPr>
          <w:rFonts w:ascii="Arial" w:hAnsi="Arial" w:cs="Arial"/>
          <w:color w:val="000000"/>
          <w:sz w:val="22"/>
          <w:szCs w:val="22"/>
          <w:u w:val="single"/>
        </w:rPr>
        <w:t>Limitations</w:t>
      </w:r>
    </w:p>
    <w:p w14:paraId="0344EE63" w14:textId="15212B8A" w:rsidR="004A42B6" w:rsidRDefault="004A42B6" w:rsidP="0086495A">
      <w:pPr>
        <w:spacing w:line="480" w:lineRule="auto"/>
        <w:rPr>
          <w:rFonts w:ascii="Arial" w:hAnsi="Arial" w:cs="Arial"/>
          <w:color w:val="000000"/>
          <w:sz w:val="22"/>
          <w:szCs w:val="22"/>
        </w:rPr>
      </w:pPr>
      <w:r w:rsidRPr="004A42B6">
        <w:rPr>
          <w:rFonts w:ascii="Arial" w:hAnsi="Arial" w:cs="Arial"/>
          <w:color w:val="000000"/>
          <w:sz w:val="22"/>
          <w:szCs w:val="22"/>
        </w:rPr>
        <w:t>Our study has important limitations, most notably that the study design is retrospective</w:t>
      </w:r>
      <w:r w:rsidR="00FF54FC">
        <w:rPr>
          <w:rFonts w:ascii="Arial" w:hAnsi="Arial" w:cs="Arial"/>
          <w:color w:val="000000"/>
          <w:sz w:val="22"/>
          <w:szCs w:val="22"/>
        </w:rPr>
        <w:t xml:space="preserve"> with limited sample size</w:t>
      </w:r>
      <w:r w:rsidRPr="004A42B6">
        <w:rPr>
          <w:rFonts w:ascii="Arial" w:hAnsi="Arial" w:cs="Arial"/>
          <w:color w:val="000000"/>
          <w:sz w:val="22"/>
          <w:szCs w:val="22"/>
        </w:rPr>
        <w:t xml:space="preserve"> and rationale for treatment selection cannot be ascertained, so residual confounding by indication is a possibility. </w:t>
      </w:r>
      <w:r w:rsidR="005A3614">
        <w:rPr>
          <w:rFonts w:ascii="Arial" w:hAnsi="Arial" w:cs="Arial"/>
          <w:color w:val="000000"/>
          <w:sz w:val="22"/>
          <w:szCs w:val="22"/>
        </w:rPr>
        <w:t>P</w:t>
      </w:r>
      <w:r w:rsidRPr="004A42B6">
        <w:rPr>
          <w:rFonts w:ascii="Arial" w:hAnsi="Arial" w:cs="Arial"/>
          <w:color w:val="000000"/>
          <w:sz w:val="22"/>
          <w:szCs w:val="22"/>
        </w:rPr>
        <w:t>atient frailty</w:t>
      </w:r>
      <w:r w:rsidR="005A3614">
        <w:rPr>
          <w:rFonts w:ascii="Arial" w:hAnsi="Arial" w:cs="Arial"/>
          <w:color w:val="000000"/>
          <w:sz w:val="22"/>
          <w:szCs w:val="22"/>
        </w:rPr>
        <w:t xml:space="preserve"> is a potential example of such a confounder. </w:t>
      </w:r>
      <w:r w:rsidR="00381E78">
        <w:rPr>
          <w:rFonts w:ascii="Arial" w:hAnsi="Arial" w:cs="Arial"/>
          <w:color w:val="000000"/>
          <w:sz w:val="22"/>
          <w:szCs w:val="22"/>
        </w:rPr>
        <w:t>While we did not observe</w:t>
      </w:r>
      <w:r w:rsidR="005A3614">
        <w:rPr>
          <w:rFonts w:ascii="Arial" w:hAnsi="Arial" w:cs="Arial"/>
          <w:color w:val="000000"/>
          <w:sz w:val="22"/>
          <w:szCs w:val="22"/>
        </w:rPr>
        <w:t xml:space="preserve"> a</w:t>
      </w:r>
      <w:r w:rsidR="00381E78">
        <w:rPr>
          <w:rFonts w:ascii="Arial" w:hAnsi="Arial" w:cs="Arial"/>
          <w:color w:val="000000"/>
          <w:sz w:val="22"/>
          <w:szCs w:val="22"/>
        </w:rPr>
        <w:t xml:space="preserve"> statistically significant associations with the falsification endpoint, </w:t>
      </w:r>
      <w:r w:rsidR="005A3614">
        <w:rPr>
          <w:rFonts w:ascii="Arial" w:hAnsi="Arial" w:cs="Arial"/>
          <w:color w:val="000000"/>
          <w:sz w:val="22"/>
          <w:szCs w:val="22"/>
        </w:rPr>
        <w:t>the</w:t>
      </w:r>
      <w:r w:rsidR="00381E78">
        <w:rPr>
          <w:rFonts w:ascii="Arial" w:hAnsi="Arial" w:cs="Arial"/>
          <w:color w:val="000000"/>
          <w:sz w:val="22"/>
          <w:szCs w:val="22"/>
        </w:rPr>
        <w:t xml:space="preserve"> point estimate below 1 </w:t>
      </w:r>
      <w:r w:rsidR="005A3614">
        <w:rPr>
          <w:rFonts w:ascii="Arial" w:hAnsi="Arial" w:cs="Arial"/>
          <w:color w:val="000000"/>
          <w:sz w:val="22"/>
          <w:szCs w:val="22"/>
        </w:rPr>
        <w:t>introduces</w:t>
      </w:r>
      <w:r w:rsidR="00381E78">
        <w:rPr>
          <w:rFonts w:ascii="Arial" w:hAnsi="Arial" w:cs="Arial"/>
          <w:color w:val="000000"/>
          <w:sz w:val="22"/>
          <w:szCs w:val="22"/>
        </w:rPr>
        <w:t xml:space="preserve"> </w:t>
      </w:r>
      <w:r w:rsidR="005A3614">
        <w:rPr>
          <w:rFonts w:ascii="Arial" w:hAnsi="Arial" w:cs="Arial"/>
          <w:color w:val="000000"/>
          <w:sz w:val="22"/>
          <w:szCs w:val="22"/>
        </w:rPr>
        <w:t>the possibility that confounding may have contributed to our findings</w:t>
      </w:r>
      <w:r w:rsidR="00381E78">
        <w:rPr>
          <w:rFonts w:ascii="Arial" w:hAnsi="Arial" w:cs="Arial"/>
          <w:color w:val="000000"/>
          <w:sz w:val="22"/>
          <w:szCs w:val="22"/>
        </w:rPr>
        <w:t xml:space="preserve">. </w:t>
      </w:r>
      <w:r w:rsidR="005A3614">
        <w:rPr>
          <w:rFonts w:ascii="Arial" w:hAnsi="Arial" w:cs="Arial"/>
          <w:color w:val="000000"/>
          <w:sz w:val="22"/>
          <w:szCs w:val="22"/>
        </w:rPr>
        <w:t>Second</w:t>
      </w:r>
      <w:r w:rsidRPr="004A42B6">
        <w:rPr>
          <w:rFonts w:ascii="Arial" w:hAnsi="Arial" w:cs="Arial"/>
          <w:color w:val="000000"/>
          <w:sz w:val="22"/>
          <w:szCs w:val="22"/>
        </w:rPr>
        <w:t>, this is a veteran’s cohort that is predominantly male, which may limit the generalizability of the findings to non-veterans</w:t>
      </w:r>
      <w:r w:rsidR="00D63009">
        <w:rPr>
          <w:rFonts w:ascii="Arial" w:hAnsi="Arial" w:cs="Arial"/>
          <w:color w:val="000000"/>
          <w:sz w:val="22"/>
          <w:szCs w:val="22"/>
        </w:rPr>
        <w:t xml:space="preserve">, and underestimate the risk of pro-arrhythmia in women, who have a higher risk of </w:t>
      </w:r>
      <w:proofErr w:type="spellStart"/>
      <w:r w:rsidR="00D63009">
        <w:rPr>
          <w:rFonts w:ascii="Arial" w:hAnsi="Arial" w:cs="Arial"/>
          <w:color w:val="000000"/>
          <w:sz w:val="22"/>
          <w:szCs w:val="22"/>
        </w:rPr>
        <w:t>torsades</w:t>
      </w:r>
      <w:proofErr w:type="spellEnd"/>
      <w:r w:rsidR="00D63009">
        <w:rPr>
          <w:rFonts w:ascii="Arial" w:hAnsi="Arial" w:cs="Arial"/>
          <w:color w:val="000000"/>
          <w:sz w:val="22"/>
          <w:szCs w:val="22"/>
        </w:rPr>
        <w:t xml:space="preserve"> de pointes than men</w:t>
      </w:r>
      <w:r w:rsidRPr="004A42B6">
        <w:rPr>
          <w:rFonts w:ascii="Arial" w:hAnsi="Arial" w:cs="Arial"/>
          <w:color w:val="000000"/>
          <w:sz w:val="22"/>
          <w:szCs w:val="22"/>
        </w:rPr>
        <w:t>.</w:t>
      </w:r>
      <w:r w:rsidR="00D63009">
        <w:rPr>
          <w:rFonts w:ascii="Arial" w:hAnsi="Arial" w:cs="Arial"/>
          <w:color w:val="000000"/>
          <w:sz w:val="22"/>
          <w:szCs w:val="22"/>
        </w:rPr>
        <w:fldChar w:fldCharType="begin"/>
      </w:r>
      <w:r w:rsidR="009D29D7">
        <w:rPr>
          <w:rFonts w:ascii="Arial" w:hAnsi="Arial" w:cs="Arial"/>
          <w:color w:val="000000"/>
          <w:sz w:val="22"/>
          <w:szCs w:val="22"/>
        </w:rPr>
        <w:instrText xml:space="preserve"> ADDIN ZOTERO_ITEM CSL_CITATION {"citationID":"Oc19RgGp","properties":{"formattedCitation":"\\super 38\\nosupersub{}","plainCitation":"38","noteIndex":0},"citationItems":[{"id":398,"uris":["http://zotero.org/users/9045539/items/56B3MMLP"],"itemData":{"id":398,"type":"article-journal","container-title":"JAMA: The Journal of the American Medical Association","DOI":"10.1001/jama.1993.03510210076031","ISSN":"0098-7484","issue":"21","journalAbbreviation":"JAMA","language":"en","page":"2590","source":"DOI.org (Crossref)","title":"Female Gender as a Risk Factor for Torsades de Pointes Associated With Cardiovascular Drugs","volume":"270","author":[{"family":"Makkar","given":"Raj R."}],"issued":{"date-parts":[["1993",12,1]]}}}],"schema":"https://github.com/citation-style-language/schema/raw/master/csl-citation.json"} </w:instrText>
      </w:r>
      <w:r w:rsidR="00D63009">
        <w:rPr>
          <w:rFonts w:ascii="Arial" w:hAnsi="Arial" w:cs="Arial"/>
          <w:color w:val="000000"/>
          <w:sz w:val="22"/>
          <w:szCs w:val="22"/>
        </w:rPr>
        <w:fldChar w:fldCharType="separate"/>
      </w:r>
      <w:r w:rsidR="009D29D7" w:rsidRPr="009D29D7">
        <w:rPr>
          <w:rFonts w:ascii="Arial" w:hAnsi="Arial" w:cs="Arial"/>
          <w:color w:val="000000"/>
          <w:sz w:val="22"/>
          <w:vertAlign w:val="superscript"/>
        </w:rPr>
        <w:t>38</w:t>
      </w:r>
      <w:r w:rsidR="00D63009">
        <w:rPr>
          <w:rFonts w:ascii="Arial" w:hAnsi="Arial" w:cs="Arial"/>
          <w:color w:val="000000"/>
          <w:sz w:val="22"/>
          <w:szCs w:val="22"/>
        </w:rPr>
        <w:fldChar w:fldCharType="end"/>
      </w:r>
      <w:r w:rsidRPr="004A42B6">
        <w:rPr>
          <w:rFonts w:ascii="Arial" w:hAnsi="Arial" w:cs="Arial"/>
          <w:color w:val="000000"/>
          <w:sz w:val="22"/>
          <w:szCs w:val="22"/>
        </w:rPr>
        <w:t xml:space="preserve"> </w:t>
      </w:r>
      <w:r w:rsidR="005A3614">
        <w:rPr>
          <w:rFonts w:ascii="Arial" w:hAnsi="Arial" w:cs="Arial"/>
          <w:color w:val="000000"/>
          <w:sz w:val="22"/>
          <w:szCs w:val="22"/>
        </w:rPr>
        <w:t>Third</w:t>
      </w:r>
      <w:r w:rsidRPr="004A42B6">
        <w:rPr>
          <w:rFonts w:ascii="Arial" w:hAnsi="Arial" w:cs="Arial"/>
          <w:color w:val="000000"/>
          <w:sz w:val="22"/>
          <w:szCs w:val="22"/>
        </w:rPr>
        <w:t xml:space="preserve">, </w:t>
      </w:r>
      <w:r w:rsidR="0086495A">
        <w:rPr>
          <w:rFonts w:ascii="Arial" w:hAnsi="Arial" w:cs="Arial"/>
          <w:color w:val="000000"/>
          <w:sz w:val="22"/>
          <w:szCs w:val="22"/>
        </w:rPr>
        <w:t>d</w:t>
      </w:r>
      <w:r w:rsidR="0086495A" w:rsidRPr="0086495A">
        <w:rPr>
          <w:rFonts w:ascii="Arial" w:hAnsi="Arial" w:cs="Arial"/>
          <w:color w:val="000000"/>
          <w:sz w:val="22"/>
          <w:szCs w:val="22"/>
        </w:rPr>
        <w:t xml:space="preserve">ue to the lack of reliability of ICD codes in separating paroxysmal from non-paroxysmal AF, we </w:t>
      </w:r>
      <w:r w:rsidR="0086495A">
        <w:rPr>
          <w:rFonts w:ascii="Arial" w:hAnsi="Arial" w:cs="Arial"/>
          <w:color w:val="000000"/>
          <w:sz w:val="22"/>
          <w:szCs w:val="22"/>
        </w:rPr>
        <w:t xml:space="preserve">could not match patients based on individual </w:t>
      </w:r>
      <w:r w:rsidR="009C4828">
        <w:rPr>
          <w:rFonts w:ascii="Arial" w:hAnsi="Arial" w:cs="Arial"/>
          <w:color w:val="000000"/>
          <w:sz w:val="22"/>
          <w:szCs w:val="22"/>
        </w:rPr>
        <w:t>AF</w:t>
      </w:r>
      <w:r w:rsidR="0086495A">
        <w:rPr>
          <w:rFonts w:ascii="Arial" w:hAnsi="Arial" w:cs="Arial"/>
          <w:color w:val="000000"/>
          <w:sz w:val="22"/>
          <w:szCs w:val="22"/>
        </w:rPr>
        <w:t xml:space="preserve"> burden or severity, or infer treatment effects by AF subtype. </w:t>
      </w:r>
      <w:r w:rsidR="00CE42F6" w:rsidRPr="00CE42F6">
        <w:rPr>
          <w:rFonts w:ascii="Arial" w:hAnsi="Arial" w:cs="Arial"/>
          <w:color w:val="000000"/>
          <w:sz w:val="22"/>
          <w:szCs w:val="22"/>
        </w:rPr>
        <w:t xml:space="preserve">Fourth, we used cardiovascular hospitalization as a proxy marker for effectiveness of rhythm control of dronedarone and sotalol per prior FDA guidance and landmark clinical trials. However, this does not directly evaluate recurrence or progression of </w:t>
      </w:r>
      <w:r w:rsidR="008A6384">
        <w:rPr>
          <w:rFonts w:ascii="Arial" w:hAnsi="Arial" w:cs="Arial"/>
          <w:color w:val="000000"/>
          <w:sz w:val="22"/>
          <w:szCs w:val="22"/>
        </w:rPr>
        <w:t>AF</w:t>
      </w:r>
      <w:r w:rsidR="00CE42F6" w:rsidRPr="00CE42F6">
        <w:rPr>
          <w:rFonts w:ascii="Arial" w:hAnsi="Arial" w:cs="Arial"/>
          <w:color w:val="000000"/>
          <w:sz w:val="22"/>
          <w:szCs w:val="22"/>
        </w:rPr>
        <w:t xml:space="preserve"> over time, which is </w:t>
      </w:r>
      <w:r w:rsidR="00CE42F6" w:rsidRPr="00CE42F6">
        <w:rPr>
          <w:rFonts w:ascii="Arial" w:hAnsi="Arial" w:cs="Arial"/>
          <w:color w:val="000000"/>
          <w:sz w:val="22"/>
          <w:szCs w:val="22"/>
        </w:rPr>
        <w:lastRenderedPageBreak/>
        <w:t>beyond the scope of our work</w:t>
      </w:r>
      <w:r w:rsidR="00CE42F6">
        <w:rPr>
          <w:rFonts w:ascii="Arial" w:hAnsi="Arial" w:cs="Arial"/>
          <w:color w:val="000000"/>
          <w:sz w:val="22"/>
          <w:szCs w:val="22"/>
        </w:rPr>
        <w:t xml:space="preserve">. </w:t>
      </w:r>
      <w:r w:rsidR="00E057E2" w:rsidRPr="00E057E2">
        <w:rPr>
          <w:rFonts w:ascii="Arial" w:hAnsi="Arial" w:cs="Arial"/>
          <w:color w:val="000000"/>
          <w:sz w:val="22"/>
          <w:szCs w:val="22"/>
        </w:rPr>
        <w:t xml:space="preserve">Fifth, while we performed propensity score matching for OAC use at the time of AAD initiation, there were residual imbalances in the rates of apixaban and warfarin use with absolute standardized mean differences of 0.109 and 0.123, correspondingly. The imbalance may have </w:t>
      </w:r>
      <w:proofErr w:type="gramStart"/>
      <w:r w:rsidR="00E057E2" w:rsidRPr="00E057E2">
        <w:rPr>
          <w:rFonts w:ascii="Arial" w:hAnsi="Arial" w:cs="Arial"/>
          <w:color w:val="000000"/>
          <w:sz w:val="22"/>
          <w:szCs w:val="22"/>
        </w:rPr>
        <w:t>had an effect on</w:t>
      </w:r>
      <w:proofErr w:type="gramEnd"/>
      <w:r w:rsidR="00E057E2" w:rsidRPr="00E057E2">
        <w:rPr>
          <w:rFonts w:ascii="Arial" w:hAnsi="Arial" w:cs="Arial"/>
          <w:color w:val="000000"/>
          <w:sz w:val="22"/>
          <w:szCs w:val="22"/>
        </w:rPr>
        <w:t xml:space="preserve"> rates of cardiovascular hospitalization or mortality, although we expect the effect to be small given the imbalance is small</w:t>
      </w:r>
      <w:r w:rsidR="00E057E2">
        <w:rPr>
          <w:rFonts w:ascii="Arial" w:hAnsi="Arial" w:cs="Arial"/>
          <w:color w:val="000000"/>
          <w:sz w:val="22"/>
          <w:szCs w:val="22"/>
        </w:rPr>
        <w:t>.</w:t>
      </w:r>
      <w:r w:rsidR="002D6218">
        <w:rPr>
          <w:rFonts w:ascii="Arial" w:hAnsi="Arial" w:cs="Arial"/>
          <w:color w:val="000000"/>
          <w:sz w:val="22"/>
          <w:szCs w:val="22"/>
        </w:rPr>
        <w:t xml:space="preserve"> </w:t>
      </w:r>
      <w:r w:rsidR="00E057E2" w:rsidRPr="00E057E2">
        <w:rPr>
          <w:rFonts w:ascii="Arial" w:hAnsi="Arial" w:cs="Arial"/>
          <w:color w:val="000000"/>
          <w:sz w:val="22"/>
          <w:szCs w:val="22"/>
        </w:rPr>
        <w:t>Also, outcome ascertainment of ventricular pro-arrhythmia based on ICD codes is not well validated and may over- or underestimate the true number of events. However, we would expect this to be similar across study arms and not meaningfully impact our results. We do not report the incidence rates for the individual components of the ventricular pro-arrhythmia endpoint as this would convey an unwarranted level of certainty as to the specific type of ventricular pro-arrhythmic event. This could lead readers to interpret associations for which our study is not designed</w:t>
      </w:r>
      <w:r w:rsidR="002D6218" w:rsidRPr="002D6218">
        <w:rPr>
          <w:rFonts w:ascii="Arial" w:hAnsi="Arial" w:cs="Arial"/>
          <w:color w:val="000000"/>
          <w:sz w:val="22"/>
          <w:szCs w:val="22"/>
        </w:rPr>
        <w:t>.</w:t>
      </w:r>
    </w:p>
    <w:p w14:paraId="26276479" w14:textId="50463D10" w:rsidR="00AC42AA" w:rsidRDefault="00AC42AA" w:rsidP="004A42B6">
      <w:pPr>
        <w:spacing w:line="480" w:lineRule="auto"/>
        <w:rPr>
          <w:rFonts w:ascii="Arial" w:hAnsi="Arial" w:cs="Arial"/>
          <w:color w:val="000000"/>
          <w:sz w:val="22"/>
          <w:szCs w:val="22"/>
        </w:rPr>
      </w:pPr>
    </w:p>
    <w:p w14:paraId="31A1771D" w14:textId="2755E3CD" w:rsidR="00AC42AA" w:rsidRPr="004A42B6" w:rsidRDefault="00AC42AA" w:rsidP="004A42B6">
      <w:pPr>
        <w:spacing w:line="480" w:lineRule="auto"/>
        <w:rPr>
          <w:rFonts w:ascii="Arial" w:hAnsi="Arial" w:cs="Arial"/>
          <w:color w:val="000000"/>
          <w:sz w:val="22"/>
          <w:szCs w:val="22"/>
        </w:rPr>
      </w:pPr>
      <w:r>
        <w:rPr>
          <w:rFonts w:ascii="Arial" w:hAnsi="Arial" w:cs="Arial"/>
          <w:color w:val="000000"/>
          <w:sz w:val="22"/>
          <w:szCs w:val="22"/>
          <w:u w:val="single"/>
        </w:rPr>
        <w:t>Conclusions</w:t>
      </w:r>
    </w:p>
    <w:p w14:paraId="04120C27" w14:textId="513CEC62" w:rsidR="00E34FA8" w:rsidRPr="00167671" w:rsidRDefault="00E34FA8" w:rsidP="00167671">
      <w:pPr>
        <w:spacing w:line="480" w:lineRule="auto"/>
        <w:rPr>
          <w:rFonts w:ascii="Arial" w:hAnsi="Arial" w:cs="Arial"/>
          <w:color w:val="000000"/>
          <w:sz w:val="22"/>
          <w:szCs w:val="22"/>
        </w:rPr>
      </w:pPr>
      <w:r>
        <w:rPr>
          <w:rFonts w:ascii="Arial" w:hAnsi="Arial" w:cs="Arial"/>
          <w:color w:val="000000"/>
          <w:sz w:val="22"/>
          <w:szCs w:val="22"/>
        </w:rPr>
        <w:t xml:space="preserve">In this large retrospective study of propensity-matched AAD-naïve patients with AF, dronedarone, compared to sotalol, was associated with lower risk of ventricular pro-arrhythmia and conduction disorders. </w:t>
      </w:r>
      <w:r w:rsidR="005831C5">
        <w:rPr>
          <w:rFonts w:ascii="Arial" w:hAnsi="Arial" w:cs="Arial"/>
          <w:color w:val="000000"/>
          <w:sz w:val="22"/>
          <w:szCs w:val="22"/>
        </w:rPr>
        <w:t xml:space="preserve">The findings were </w:t>
      </w:r>
      <w:r w:rsidR="005A3614">
        <w:rPr>
          <w:rFonts w:ascii="Arial" w:hAnsi="Arial" w:cs="Arial"/>
          <w:color w:val="000000"/>
          <w:sz w:val="22"/>
          <w:szCs w:val="22"/>
        </w:rPr>
        <w:t xml:space="preserve">consistent </w:t>
      </w:r>
      <w:r w:rsidR="005831C5">
        <w:rPr>
          <w:rFonts w:ascii="Arial" w:hAnsi="Arial" w:cs="Arial"/>
          <w:color w:val="000000"/>
          <w:sz w:val="22"/>
          <w:szCs w:val="22"/>
        </w:rPr>
        <w:t>across sensitivity analyses with an intention-to-treat approach</w:t>
      </w:r>
      <w:r w:rsidR="005831C5" w:rsidRPr="005831C5">
        <w:rPr>
          <w:rFonts w:ascii="Arial" w:hAnsi="Arial" w:cs="Arial"/>
          <w:color w:val="000000"/>
          <w:sz w:val="22"/>
          <w:szCs w:val="22"/>
        </w:rPr>
        <w:t xml:space="preserve">, inclusion of QT prolongation within the definition of ventricular pro-arrhythmia, using a baseline covariate assessment without time limitation, excluding atrial flutter, and excluding patients with recent hospitalization for </w:t>
      </w:r>
      <w:r w:rsidR="009C4828">
        <w:rPr>
          <w:rFonts w:ascii="Arial" w:hAnsi="Arial" w:cs="Arial"/>
          <w:color w:val="000000"/>
          <w:sz w:val="22"/>
          <w:szCs w:val="22"/>
        </w:rPr>
        <w:t>AF</w:t>
      </w:r>
      <w:r w:rsidR="005831C5" w:rsidRPr="005831C5">
        <w:rPr>
          <w:rFonts w:ascii="Arial" w:hAnsi="Arial" w:cs="Arial"/>
          <w:color w:val="000000"/>
          <w:sz w:val="22"/>
          <w:szCs w:val="22"/>
        </w:rPr>
        <w:t>.</w:t>
      </w:r>
      <w:r w:rsidR="005831C5">
        <w:rPr>
          <w:rFonts w:ascii="Arial" w:hAnsi="Arial" w:cs="Arial"/>
          <w:color w:val="000000"/>
          <w:sz w:val="22"/>
          <w:szCs w:val="22"/>
        </w:rPr>
        <w:t xml:space="preserve"> The non-significant results in the falsification analysis</w:t>
      </w:r>
      <w:r w:rsidR="00FF54FC">
        <w:rPr>
          <w:rFonts w:ascii="Arial" w:hAnsi="Arial" w:cs="Arial"/>
          <w:color w:val="000000"/>
          <w:sz w:val="22"/>
          <w:szCs w:val="22"/>
        </w:rPr>
        <w:t xml:space="preserve"> and high </w:t>
      </w:r>
      <w:r w:rsidR="009C4828">
        <w:rPr>
          <w:rFonts w:ascii="Arial" w:hAnsi="Arial" w:cs="Arial"/>
          <w:color w:val="000000"/>
          <w:sz w:val="22"/>
          <w:szCs w:val="22"/>
        </w:rPr>
        <w:t>E</w:t>
      </w:r>
      <w:r w:rsidR="00FF54FC">
        <w:rPr>
          <w:rFonts w:ascii="Arial" w:hAnsi="Arial" w:cs="Arial"/>
          <w:color w:val="000000"/>
          <w:sz w:val="22"/>
          <w:szCs w:val="22"/>
        </w:rPr>
        <w:t>-value</w:t>
      </w:r>
      <w:r w:rsidR="005831C5">
        <w:rPr>
          <w:rFonts w:ascii="Arial" w:hAnsi="Arial" w:cs="Arial"/>
          <w:color w:val="000000"/>
          <w:sz w:val="22"/>
          <w:szCs w:val="22"/>
        </w:rPr>
        <w:t xml:space="preserve"> reduce the likelihood </w:t>
      </w:r>
      <w:r w:rsidR="005A3614">
        <w:rPr>
          <w:rFonts w:ascii="Arial" w:hAnsi="Arial" w:cs="Arial"/>
          <w:color w:val="000000"/>
          <w:sz w:val="22"/>
          <w:szCs w:val="22"/>
        </w:rPr>
        <w:t xml:space="preserve">that </w:t>
      </w:r>
      <w:r w:rsidR="005831C5">
        <w:rPr>
          <w:rFonts w:ascii="Arial" w:hAnsi="Arial" w:cs="Arial"/>
          <w:color w:val="000000"/>
          <w:sz w:val="22"/>
          <w:szCs w:val="22"/>
        </w:rPr>
        <w:t xml:space="preserve">residual confounding </w:t>
      </w:r>
      <w:r w:rsidR="005A3614">
        <w:rPr>
          <w:rFonts w:ascii="Arial" w:hAnsi="Arial" w:cs="Arial"/>
          <w:color w:val="000000"/>
          <w:sz w:val="22"/>
          <w:szCs w:val="22"/>
        </w:rPr>
        <w:t xml:space="preserve">explains the differences across </w:t>
      </w:r>
      <w:r w:rsidR="005831C5">
        <w:rPr>
          <w:rFonts w:ascii="Arial" w:hAnsi="Arial" w:cs="Arial"/>
          <w:color w:val="000000"/>
          <w:sz w:val="22"/>
          <w:szCs w:val="22"/>
        </w:rPr>
        <w:t xml:space="preserve">treatment arms. Prospective clinical trials are needed to </w:t>
      </w:r>
      <w:r w:rsidR="00D87D75">
        <w:rPr>
          <w:rFonts w:ascii="Arial" w:hAnsi="Arial" w:cs="Arial"/>
          <w:color w:val="000000"/>
          <w:sz w:val="22"/>
          <w:szCs w:val="22"/>
        </w:rPr>
        <w:t>corroborate</w:t>
      </w:r>
      <w:r w:rsidR="005831C5">
        <w:rPr>
          <w:rFonts w:ascii="Arial" w:hAnsi="Arial" w:cs="Arial"/>
          <w:color w:val="000000"/>
          <w:sz w:val="22"/>
          <w:szCs w:val="22"/>
        </w:rPr>
        <w:t xml:space="preserve"> these findings.</w:t>
      </w:r>
      <w:r>
        <w:rPr>
          <w:rFonts w:ascii="Arial" w:hAnsi="Arial" w:cs="Arial"/>
          <w:b/>
          <w:bCs/>
          <w:sz w:val="22"/>
          <w:szCs w:val="22"/>
        </w:rPr>
        <w:br w:type="page"/>
      </w:r>
    </w:p>
    <w:p w14:paraId="4E821940" w14:textId="7B83A306" w:rsidR="00A83070" w:rsidRPr="00E2233B" w:rsidRDefault="00A83070" w:rsidP="00810B7F">
      <w:pPr>
        <w:spacing w:line="480" w:lineRule="auto"/>
        <w:rPr>
          <w:rFonts w:ascii="Arial" w:hAnsi="Arial" w:cs="Arial"/>
        </w:rPr>
      </w:pPr>
      <w:r w:rsidRPr="00995CF1">
        <w:rPr>
          <w:rFonts w:ascii="Arial" w:hAnsi="Arial" w:cs="Arial"/>
          <w:b/>
          <w:bCs/>
          <w:sz w:val="22"/>
          <w:szCs w:val="22"/>
        </w:rPr>
        <w:lastRenderedPageBreak/>
        <w:t>ACKNOWLEDGEMENTS</w:t>
      </w:r>
    </w:p>
    <w:p w14:paraId="13CA41F7" w14:textId="3490016F" w:rsidR="00810B7F" w:rsidRPr="00167671" w:rsidRDefault="008A6384" w:rsidP="00167671">
      <w:pPr>
        <w:spacing w:line="480" w:lineRule="auto"/>
        <w:rPr>
          <w:rFonts w:ascii="Arial" w:hAnsi="Arial" w:cs="Arial"/>
          <w:sz w:val="22"/>
          <w:szCs w:val="22"/>
        </w:rPr>
      </w:pPr>
      <w:r>
        <w:rPr>
          <w:rFonts w:ascii="Arial" w:hAnsi="Arial" w:cs="Arial"/>
          <w:sz w:val="22"/>
          <w:szCs w:val="22"/>
        </w:rPr>
        <w:t>We thank Charlotte Singh, Sanofi for providing additional critical review.</w:t>
      </w:r>
      <w:r w:rsidR="00810B7F" w:rsidRPr="00995CF1">
        <w:rPr>
          <w:rFonts w:ascii="Arial" w:hAnsi="Arial" w:cs="Arial"/>
          <w:b/>
          <w:bCs/>
          <w:sz w:val="22"/>
          <w:szCs w:val="22"/>
        </w:rPr>
        <w:br w:type="page"/>
      </w:r>
    </w:p>
    <w:p w14:paraId="3903FC52" w14:textId="5AD7A614" w:rsidR="00810B7F" w:rsidRPr="00995CF1" w:rsidRDefault="00A83070" w:rsidP="00810B7F">
      <w:pPr>
        <w:spacing w:line="480" w:lineRule="auto"/>
        <w:rPr>
          <w:rFonts w:ascii="Arial" w:hAnsi="Arial" w:cs="Arial"/>
          <w:b/>
          <w:bCs/>
          <w:sz w:val="22"/>
          <w:szCs w:val="22"/>
        </w:rPr>
      </w:pPr>
      <w:r w:rsidRPr="00995CF1">
        <w:rPr>
          <w:rFonts w:ascii="Arial" w:hAnsi="Arial" w:cs="Arial"/>
          <w:b/>
          <w:bCs/>
          <w:sz w:val="22"/>
          <w:szCs w:val="22"/>
        </w:rPr>
        <w:lastRenderedPageBreak/>
        <w:t>SOURCES OF FUNDING</w:t>
      </w:r>
    </w:p>
    <w:p w14:paraId="2864F263" w14:textId="1876A065" w:rsidR="00A83070" w:rsidRPr="00167671" w:rsidRDefault="00810B7F" w:rsidP="00167671">
      <w:pPr>
        <w:spacing w:line="480" w:lineRule="auto"/>
        <w:rPr>
          <w:rFonts w:ascii="Arial" w:hAnsi="Arial" w:cs="Arial"/>
          <w:sz w:val="22"/>
          <w:szCs w:val="22"/>
        </w:rPr>
      </w:pPr>
      <w:r w:rsidRPr="00995CF1">
        <w:rPr>
          <w:rFonts w:ascii="Arial" w:hAnsi="Arial" w:cs="Arial"/>
          <w:sz w:val="22"/>
          <w:szCs w:val="22"/>
        </w:rPr>
        <w:t xml:space="preserve">This manuscript is the result of work supported with resources and the use of facilities at the VA Palo Alto Health Care System. The study was sponsored by Sanofi. </w:t>
      </w:r>
      <w:r w:rsidR="00A83070" w:rsidRPr="00995CF1">
        <w:rPr>
          <w:rFonts w:ascii="Arial" w:hAnsi="Arial" w:cs="Arial"/>
          <w:b/>
          <w:bCs/>
          <w:sz w:val="22"/>
          <w:szCs w:val="22"/>
        </w:rPr>
        <w:br w:type="page"/>
      </w:r>
    </w:p>
    <w:p w14:paraId="1EC48360" w14:textId="77777777" w:rsidR="00A83070" w:rsidRPr="00995CF1" w:rsidRDefault="00A83070" w:rsidP="00A83070">
      <w:pPr>
        <w:spacing w:line="480" w:lineRule="auto"/>
        <w:rPr>
          <w:rFonts w:ascii="Arial" w:hAnsi="Arial" w:cs="Arial"/>
          <w:b/>
          <w:bCs/>
          <w:sz w:val="22"/>
          <w:szCs w:val="22"/>
        </w:rPr>
      </w:pPr>
      <w:r w:rsidRPr="00995CF1">
        <w:rPr>
          <w:rFonts w:ascii="Arial" w:hAnsi="Arial" w:cs="Arial"/>
          <w:b/>
          <w:bCs/>
          <w:sz w:val="22"/>
          <w:szCs w:val="22"/>
        </w:rPr>
        <w:lastRenderedPageBreak/>
        <w:t>DISCLOSURES</w:t>
      </w:r>
    </w:p>
    <w:p w14:paraId="7006F224" w14:textId="3F265A80" w:rsidR="00A83070" w:rsidRPr="00755274" w:rsidRDefault="00A83070" w:rsidP="00A83070">
      <w:pPr>
        <w:spacing w:line="480" w:lineRule="auto"/>
        <w:rPr>
          <w:rFonts w:ascii="Arial" w:hAnsi="Arial" w:cs="Arial"/>
          <w:b/>
          <w:bCs/>
          <w:sz w:val="22"/>
          <w:szCs w:val="22"/>
        </w:rPr>
      </w:pPr>
      <w:r w:rsidRPr="00995CF1">
        <w:rPr>
          <w:rFonts w:ascii="Arial" w:hAnsi="Arial" w:cs="Arial"/>
          <w:b/>
          <w:bCs/>
          <w:sz w:val="22"/>
          <w:szCs w:val="22"/>
        </w:rPr>
        <w:t>K. Pundi:</w:t>
      </w:r>
      <w:r w:rsidRPr="00995CF1">
        <w:rPr>
          <w:rFonts w:ascii="Arial" w:hAnsi="Arial" w:cs="Arial"/>
          <w:sz w:val="22"/>
          <w:szCs w:val="22"/>
        </w:rPr>
        <w:t xml:space="preserve"> Research grants from the American Heart Association and the American College of Cardiology. </w:t>
      </w:r>
      <w:r w:rsidR="00B1585F">
        <w:rPr>
          <w:rFonts w:ascii="Arial" w:hAnsi="Arial" w:cs="Arial"/>
          <w:sz w:val="22"/>
          <w:szCs w:val="22"/>
        </w:rPr>
        <w:t>Consultant for</w:t>
      </w:r>
      <w:r w:rsidRPr="00995CF1">
        <w:rPr>
          <w:rFonts w:ascii="Arial" w:hAnsi="Arial" w:cs="Arial"/>
          <w:sz w:val="22"/>
          <w:szCs w:val="22"/>
        </w:rPr>
        <w:t xml:space="preserve"> Evidently and 100Pl</w:t>
      </w:r>
      <w:r w:rsidRPr="00755274">
        <w:rPr>
          <w:rFonts w:ascii="Arial" w:hAnsi="Arial" w:cs="Arial"/>
          <w:sz w:val="22"/>
          <w:szCs w:val="22"/>
        </w:rPr>
        <w:t>us.</w:t>
      </w:r>
    </w:p>
    <w:p w14:paraId="558451AD" w14:textId="5CEC8CA1" w:rsidR="00A83070" w:rsidRPr="00755274" w:rsidRDefault="00A83070" w:rsidP="00A83070">
      <w:pPr>
        <w:spacing w:line="480" w:lineRule="auto"/>
        <w:rPr>
          <w:rFonts w:ascii="Arial" w:hAnsi="Arial" w:cs="Arial"/>
          <w:sz w:val="22"/>
          <w:szCs w:val="22"/>
        </w:rPr>
      </w:pPr>
      <w:r w:rsidRPr="00755274">
        <w:rPr>
          <w:rFonts w:ascii="Arial" w:hAnsi="Arial" w:cs="Arial"/>
          <w:b/>
          <w:bCs/>
          <w:sz w:val="22"/>
          <w:szCs w:val="22"/>
        </w:rPr>
        <w:t>J. Fan:</w:t>
      </w:r>
      <w:r w:rsidRPr="00755274">
        <w:rPr>
          <w:rFonts w:ascii="Arial" w:hAnsi="Arial" w:cs="Arial"/>
          <w:sz w:val="22"/>
          <w:szCs w:val="22"/>
        </w:rPr>
        <w:t xml:space="preserve"> None. </w:t>
      </w:r>
    </w:p>
    <w:p w14:paraId="79DBEC5A" w14:textId="11626263" w:rsidR="00A83070" w:rsidRPr="00995CF1" w:rsidRDefault="00A83070" w:rsidP="00A83070">
      <w:pPr>
        <w:spacing w:line="480" w:lineRule="auto"/>
        <w:rPr>
          <w:rFonts w:ascii="Arial" w:hAnsi="Arial" w:cs="Arial"/>
          <w:sz w:val="22"/>
          <w:szCs w:val="22"/>
        </w:rPr>
      </w:pPr>
      <w:r w:rsidRPr="00755274">
        <w:rPr>
          <w:rFonts w:ascii="Arial" w:hAnsi="Arial" w:cs="Arial"/>
          <w:b/>
          <w:bCs/>
          <w:sz w:val="22"/>
          <w:szCs w:val="22"/>
        </w:rPr>
        <w:t xml:space="preserve">S. </w:t>
      </w:r>
      <w:proofErr w:type="spellStart"/>
      <w:r w:rsidRPr="00755274">
        <w:rPr>
          <w:rFonts w:ascii="Arial" w:hAnsi="Arial" w:cs="Arial"/>
          <w:b/>
          <w:bCs/>
          <w:sz w:val="22"/>
          <w:szCs w:val="22"/>
        </w:rPr>
        <w:t>Kabadi</w:t>
      </w:r>
      <w:proofErr w:type="spellEnd"/>
      <w:r w:rsidRPr="00755274">
        <w:rPr>
          <w:rFonts w:ascii="Arial" w:hAnsi="Arial" w:cs="Arial"/>
          <w:sz w:val="22"/>
          <w:szCs w:val="22"/>
        </w:rPr>
        <w:t xml:space="preserve">: </w:t>
      </w:r>
      <w:r w:rsidR="00755274" w:rsidRPr="00755274">
        <w:rPr>
          <w:rFonts w:ascii="Arial" w:hAnsi="Arial" w:cs="Arial"/>
          <w:sz w:val="22"/>
          <w:szCs w:val="22"/>
        </w:rPr>
        <w:t>Employee and shareholder at Sanofi.</w:t>
      </w:r>
    </w:p>
    <w:p w14:paraId="49FBCA9E" w14:textId="13BFE044" w:rsidR="00A83070" w:rsidRPr="00995CF1" w:rsidRDefault="00A83070" w:rsidP="00A83070">
      <w:pPr>
        <w:spacing w:line="480" w:lineRule="auto"/>
        <w:rPr>
          <w:rFonts w:ascii="Arial" w:hAnsi="Arial" w:cs="Arial"/>
          <w:sz w:val="22"/>
          <w:szCs w:val="22"/>
        </w:rPr>
      </w:pPr>
      <w:r w:rsidRPr="00995CF1">
        <w:rPr>
          <w:rFonts w:ascii="Arial" w:hAnsi="Arial" w:cs="Arial"/>
          <w:b/>
          <w:bCs/>
          <w:sz w:val="22"/>
          <w:szCs w:val="22"/>
        </w:rPr>
        <w:t>N. Din:</w:t>
      </w:r>
      <w:r w:rsidRPr="00995CF1">
        <w:rPr>
          <w:rFonts w:ascii="Arial" w:hAnsi="Arial" w:cs="Arial"/>
          <w:sz w:val="22"/>
          <w:szCs w:val="22"/>
        </w:rPr>
        <w:t xml:space="preserve"> None. </w:t>
      </w:r>
    </w:p>
    <w:p w14:paraId="430B575C" w14:textId="22DC55EF" w:rsidR="00A83070" w:rsidRPr="009C54EC" w:rsidRDefault="00A83070" w:rsidP="00A83070">
      <w:pPr>
        <w:spacing w:line="480" w:lineRule="auto"/>
        <w:rPr>
          <w:rFonts w:ascii="Arial" w:hAnsi="Arial" w:cs="Arial"/>
          <w:sz w:val="22"/>
          <w:szCs w:val="22"/>
        </w:rPr>
      </w:pPr>
      <w:r w:rsidRPr="00C67DC9">
        <w:rPr>
          <w:rFonts w:ascii="Arial" w:hAnsi="Arial" w:cs="Arial"/>
          <w:b/>
          <w:bCs/>
          <w:sz w:val="22"/>
          <w:szCs w:val="22"/>
        </w:rPr>
        <w:t xml:space="preserve">C. </w:t>
      </w:r>
      <w:proofErr w:type="spellStart"/>
      <w:r w:rsidRPr="00C67DC9">
        <w:rPr>
          <w:rFonts w:ascii="Arial" w:hAnsi="Arial" w:cs="Arial"/>
          <w:b/>
          <w:bCs/>
          <w:sz w:val="22"/>
          <w:szCs w:val="22"/>
        </w:rPr>
        <w:t>Blomstrom</w:t>
      </w:r>
      <w:proofErr w:type="spellEnd"/>
      <w:r w:rsidRPr="00C67DC9">
        <w:rPr>
          <w:rFonts w:ascii="Arial" w:hAnsi="Arial" w:cs="Arial"/>
          <w:b/>
          <w:bCs/>
          <w:sz w:val="22"/>
          <w:szCs w:val="22"/>
        </w:rPr>
        <w:t xml:space="preserve">-Lundqvist: </w:t>
      </w:r>
      <w:r w:rsidR="00C67DC9" w:rsidRPr="00C67DC9">
        <w:rPr>
          <w:rFonts w:ascii="Arial" w:hAnsi="Arial" w:cs="Arial"/>
          <w:sz w:val="22"/>
          <w:szCs w:val="22"/>
        </w:rPr>
        <w:t xml:space="preserve">Personal fees from Bayer, Medtronic, </w:t>
      </w:r>
      <w:proofErr w:type="spellStart"/>
      <w:r w:rsidR="00C67DC9" w:rsidRPr="00C67DC9">
        <w:rPr>
          <w:rFonts w:ascii="Arial" w:hAnsi="Arial" w:cs="Arial"/>
          <w:sz w:val="22"/>
          <w:szCs w:val="22"/>
        </w:rPr>
        <w:t>CathPrint</w:t>
      </w:r>
      <w:proofErr w:type="spellEnd"/>
      <w:r w:rsidR="00C67DC9" w:rsidRPr="00C67DC9">
        <w:rPr>
          <w:rFonts w:ascii="Arial" w:hAnsi="Arial" w:cs="Arial"/>
          <w:sz w:val="22"/>
          <w:szCs w:val="22"/>
        </w:rPr>
        <w:t xml:space="preserve">, Octopus, Sanofi Aventis, Boston Sci, Merck Sharp &amp; Dohme, </w:t>
      </w:r>
      <w:proofErr w:type="gramStart"/>
      <w:r w:rsidR="00C67DC9" w:rsidRPr="00C67DC9">
        <w:rPr>
          <w:rFonts w:ascii="Arial" w:hAnsi="Arial" w:cs="Arial"/>
          <w:sz w:val="22"/>
          <w:szCs w:val="22"/>
        </w:rPr>
        <w:t>Abbotts</w:t>
      </w:r>
      <w:proofErr w:type="gramEnd"/>
      <w:r w:rsidR="00C67DC9" w:rsidRPr="00C67DC9">
        <w:rPr>
          <w:rFonts w:ascii="Arial" w:hAnsi="Arial" w:cs="Arial"/>
          <w:sz w:val="22"/>
          <w:szCs w:val="22"/>
        </w:rPr>
        <w:t xml:space="preserve"> and Philips</w:t>
      </w:r>
    </w:p>
    <w:p w14:paraId="6F165C4F" w14:textId="511380EB" w:rsidR="00A83070" w:rsidRPr="00755274" w:rsidRDefault="009C54EC" w:rsidP="00A83070">
      <w:pPr>
        <w:spacing w:line="480" w:lineRule="auto"/>
        <w:rPr>
          <w:rFonts w:ascii="Arial" w:hAnsi="Arial" w:cs="Arial"/>
          <w:sz w:val="22"/>
          <w:szCs w:val="22"/>
        </w:rPr>
      </w:pPr>
      <w:r w:rsidRPr="009C54EC">
        <w:rPr>
          <w:rFonts w:ascii="Arial" w:hAnsi="Arial" w:cs="Arial"/>
          <w:b/>
          <w:bCs/>
          <w:sz w:val="22"/>
          <w:szCs w:val="22"/>
        </w:rPr>
        <w:t xml:space="preserve">A. </w:t>
      </w:r>
      <w:r w:rsidR="00A83070" w:rsidRPr="009C54EC">
        <w:rPr>
          <w:rFonts w:ascii="Arial" w:hAnsi="Arial" w:cs="Arial"/>
          <w:b/>
          <w:bCs/>
          <w:sz w:val="22"/>
          <w:szCs w:val="22"/>
        </w:rPr>
        <w:t>J</w:t>
      </w:r>
      <w:r w:rsidRPr="009C54EC">
        <w:rPr>
          <w:rFonts w:ascii="Arial" w:hAnsi="Arial" w:cs="Arial"/>
          <w:b/>
          <w:bCs/>
          <w:sz w:val="22"/>
          <w:szCs w:val="22"/>
        </w:rPr>
        <w:t>ohn</w:t>
      </w:r>
      <w:r w:rsidR="00A83070" w:rsidRPr="009C54EC">
        <w:rPr>
          <w:rFonts w:ascii="Arial" w:hAnsi="Arial" w:cs="Arial"/>
          <w:b/>
          <w:bCs/>
          <w:sz w:val="22"/>
          <w:szCs w:val="22"/>
        </w:rPr>
        <w:t xml:space="preserve"> </w:t>
      </w:r>
      <w:proofErr w:type="spellStart"/>
      <w:r w:rsidR="00A83070" w:rsidRPr="009C54EC">
        <w:rPr>
          <w:rFonts w:ascii="Arial" w:hAnsi="Arial" w:cs="Arial"/>
          <w:b/>
          <w:bCs/>
          <w:sz w:val="22"/>
          <w:szCs w:val="22"/>
        </w:rPr>
        <w:t>Camm</w:t>
      </w:r>
      <w:proofErr w:type="spellEnd"/>
      <w:r w:rsidR="00A83070" w:rsidRPr="009C54EC">
        <w:rPr>
          <w:rFonts w:ascii="Arial" w:hAnsi="Arial" w:cs="Arial"/>
          <w:sz w:val="22"/>
          <w:szCs w:val="22"/>
        </w:rPr>
        <w:t xml:space="preserve">: </w:t>
      </w:r>
      <w:r w:rsidRPr="009C54EC">
        <w:rPr>
          <w:rFonts w:ascii="Arial" w:hAnsi="Arial" w:cs="Arial"/>
          <w:sz w:val="22"/>
          <w:szCs w:val="22"/>
        </w:rPr>
        <w:t xml:space="preserve">Personal fees from Bayer, Daiichi Sankyo, Pfizer/BMS, Medtronic Abbott, Boston Scientific, </w:t>
      </w:r>
      <w:proofErr w:type="spellStart"/>
      <w:r w:rsidRPr="009C54EC">
        <w:rPr>
          <w:rFonts w:ascii="Arial" w:hAnsi="Arial" w:cs="Arial"/>
          <w:sz w:val="22"/>
          <w:szCs w:val="22"/>
        </w:rPr>
        <w:t>Menarini</w:t>
      </w:r>
      <w:proofErr w:type="spellEnd"/>
      <w:r w:rsidRPr="009C54EC">
        <w:rPr>
          <w:rFonts w:ascii="Arial" w:hAnsi="Arial" w:cs="Arial"/>
          <w:sz w:val="22"/>
          <w:szCs w:val="22"/>
        </w:rPr>
        <w:t xml:space="preserve"> and Sanofi.</w:t>
      </w:r>
    </w:p>
    <w:p w14:paraId="46DFF6BF" w14:textId="3422D0F7" w:rsidR="00A83070" w:rsidRPr="00755274" w:rsidRDefault="00A83070" w:rsidP="00A83070">
      <w:pPr>
        <w:spacing w:line="480" w:lineRule="auto"/>
        <w:rPr>
          <w:rFonts w:ascii="Arial" w:hAnsi="Arial" w:cs="Arial"/>
          <w:sz w:val="22"/>
          <w:szCs w:val="22"/>
        </w:rPr>
      </w:pPr>
      <w:r w:rsidRPr="00755274">
        <w:rPr>
          <w:rFonts w:ascii="Arial" w:hAnsi="Arial" w:cs="Arial"/>
          <w:b/>
          <w:bCs/>
          <w:sz w:val="22"/>
          <w:szCs w:val="22"/>
        </w:rPr>
        <w:t xml:space="preserve">P. </w:t>
      </w:r>
      <w:proofErr w:type="spellStart"/>
      <w:r w:rsidRPr="00755274">
        <w:rPr>
          <w:rFonts w:ascii="Arial" w:hAnsi="Arial" w:cs="Arial"/>
          <w:b/>
          <w:bCs/>
          <w:sz w:val="22"/>
          <w:szCs w:val="22"/>
        </w:rPr>
        <w:t>Kowey</w:t>
      </w:r>
      <w:proofErr w:type="spellEnd"/>
      <w:r w:rsidRPr="00755274">
        <w:rPr>
          <w:rFonts w:ascii="Arial" w:hAnsi="Arial" w:cs="Arial"/>
          <w:b/>
          <w:bCs/>
          <w:sz w:val="22"/>
          <w:szCs w:val="22"/>
        </w:rPr>
        <w:t>:</w:t>
      </w:r>
      <w:r w:rsidRPr="00755274">
        <w:rPr>
          <w:rFonts w:ascii="Arial" w:hAnsi="Arial" w:cs="Arial"/>
          <w:sz w:val="22"/>
          <w:szCs w:val="22"/>
        </w:rPr>
        <w:t xml:space="preserve"> </w:t>
      </w:r>
      <w:r w:rsidR="00755274" w:rsidRPr="00755274">
        <w:rPr>
          <w:rFonts w:ascii="Arial" w:hAnsi="Arial" w:cs="Arial"/>
          <w:sz w:val="22"/>
          <w:szCs w:val="22"/>
        </w:rPr>
        <w:t>Ad hoc consultant for Sanofi.</w:t>
      </w:r>
    </w:p>
    <w:p w14:paraId="0E8FEFEA" w14:textId="1B5B6841" w:rsidR="00A83070" w:rsidRPr="00FF54FC" w:rsidRDefault="00A83070" w:rsidP="00A83070">
      <w:pPr>
        <w:spacing w:line="480" w:lineRule="auto"/>
        <w:rPr>
          <w:rFonts w:ascii="Arial" w:hAnsi="Arial" w:cs="Arial"/>
          <w:sz w:val="22"/>
          <w:szCs w:val="22"/>
        </w:rPr>
      </w:pPr>
      <w:r w:rsidRPr="00755274">
        <w:rPr>
          <w:rFonts w:ascii="Arial" w:hAnsi="Arial" w:cs="Arial"/>
          <w:b/>
          <w:bCs/>
          <w:sz w:val="22"/>
          <w:szCs w:val="22"/>
        </w:rPr>
        <w:t>J. Singh</w:t>
      </w:r>
      <w:r w:rsidRPr="00755274">
        <w:rPr>
          <w:rFonts w:ascii="Arial" w:hAnsi="Arial" w:cs="Arial"/>
          <w:sz w:val="22"/>
          <w:szCs w:val="22"/>
        </w:rPr>
        <w:t xml:space="preserve">: </w:t>
      </w:r>
      <w:r w:rsidR="00755274" w:rsidRPr="00755274">
        <w:rPr>
          <w:rFonts w:ascii="Arial" w:hAnsi="Arial" w:cs="Arial"/>
          <w:sz w:val="22"/>
          <w:szCs w:val="22"/>
        </w:rPr>
        <w:t xml:space="preserve">Consultant for </w:t>
      </w:r>
      <w:r w:rsidR="00755274" w:rsidRPr="00FF54FC">
        <w:rPr>
          <w:rFonts w:ascii="Arial" w:hAnsi="Arial" w:cs="Arial"/>
          <w:sz w:val="22"/>
          <w:szCs w:val="22"/>
        </w:rPr>
        <w:t xml:space="preserve">Abbott, </w:t>
      </w:r>
      <w:proofErr w:type="spellStart"/>
      <w:r w:rsidR="00755274" w:rsidRPr="00FF54FC">
        <w:rPr>
          <w:rFonts w:ascii="Arial" w:hAnsi="Arial" w:cs="Arial"/>
          <w:sz w:val="22"/>
          <w:szCs w:val="22"/>
        </w:rPr>
        <w:t>Biotronik</w:t>
      </w:r>
      <w:proofErr w:type="spellEnd"/>
      <w:r w:rsidR="00755274" w:rsidRPr="00FF54FC">
        <w:rPr>
          <w:rFonts w:ascii="Arial" w:hAnsi="Arial" w:cs="Arial"/>
          <w:sz w:val="22"/>
          <w:szCs w:val="22"/>
        </w:rPr>
        <w:t xml:space="preserve">, Boston Sci, </w:t>
      </w:r>
      <w:proofErr w:type="spellStart"/>
      <w:r w:rsidR="00755274" w:rsidRPr="00FF54FC">
        <w:rPr>
          <w:rFonts w:ascii="Arial" w:hAnsi="Arial" w:cs="Arial"/>
          <w:sz w:val="22"/>
          <w:szCs w:val="22"/>
        </w:rPr>
        <w:t>Cardiologs</w:t>
      </w:r>
      <w:proofErr w:type="spellEnd"/>
      <w:r w:rsidR="00755274" w:rsidRPr="00FF54FC">
        <w:rPr>
          <w:rFonts w:ascii="Arial" w:hAnsi="Arial" w:cs="Arial"/>
          <w:sz w:val="22"/>
          <w:szCs w:val="22"/>
        </w:rPr>
        <w:t xml:space="preserve">, Medtronic, </w:t>
      </w:r>
      <w:proofErr w:type="spellStart"/>
      <w:r w:rsidR="00755274" w:rsidRPr="00FF54FC">
        <w:rPr>
          <w:rFonts w:ascii="Arial" w:hAnsi="Arial" w:cs="Arial"/>
          <w:sz w:val="22"/>
          <w:szCs w:val="22"/>
        </w:rPr>
        <w:t>Implicity</w:t>
      </w:r>
      <w:proofErr w:type="spellEnd"/>
      <w:r w:rsidR="00755274" w:rsidRPr="00FF54FC">
        <w:rPr>
          <w:rFonts w:ascii="Arial" w:hAnsi="Arial" w:cs="Arial"/>
          <w:sz w:val="22"/>
          <w:szCs w:val="22"/>
        </w:rPr>
        <w:t xml:space="preserve">, Cardiac Rhythm Group, Sanofi, EBR, </w:t>
      </w:r>
      <w:proofErr w:type="spellStart"/>
      <w:r w:rsidR="00755274" w:rsidRPr="00FF54FC">
        <w:rPr>
          <w:rFonts w:ascii="Arial" w:hAnsi="Arial" w:cs="Arial"/>
          <w:sz w:val="22"/>
          <w:szCs w:val="22"/>
        </w:rPr>
        <w:t>Microport</w:t>
      </w:r>
      <w:proofErr w:type="spellEnd"/>
      <w:r w:rsidR="00755274" w:rsidRPr="00FF54FC">
        <w:rPr>
          <w:rFonts w:ascii="Arial" w:hAnsi="Arial" w:cs="Arial"/>
          <w:sz w:val="22"/>
          <w:szCs w:val="22"/>
        </w:rPr>
        <w:t xml:space="preserve">, </w:t>
      </w:r>
      <w:proofErr w:type="spellStart"/>
      <w:r w:rsidR="00755274" w:rsidRPr="00FF54FC">
        <w:rPr>
          <w:rFonts w:ascii="Arial" w:hAnsi="Arial" w:cs="Arial"/>
          <w:sz w:val="22"/>
          <w:szCs w:val="22"/>
        </w:rPr>
        <w:t>Biosense</w:t>
      </w:r>
      <w:proofErr w:type="spellEnd"/>
      <w:r w:rsidR="00755274" w:rsidRPr="00FF54FC">
        <w:rPr>
          <w:rFonts w:ascii="Arial" w:hAnsi="Arial" w:cs="Arial"/>
          <w:sz w:val="22"/>
          <w:szCs w:val="22"/>
        </w:rPr>
        <w:t xml:space="preserve"> Webster, Sanofi &amp; Orchestra BioMed.</w:t>
      </w:r>
    </w:p>
    <w:p w14:paraId="52BD3C97" w14:textId="1393D0ED" w:rsidR="00A83070" w:rsidRPr="00FF54FC" w:rsidRDefault="00A83070" w:rsidP="00A83070">
      <w:pPr>
        <w:spacing w:line="480" w:lineRule="auto"/>
        <w:rPr>
          <w:rFonts w:ascii="Arial" w:hAnsi="Arial" w:cs="Arial"/>
          <w:sz w:val="22"/>
          <w:szCs w:val="22"/>
        </w:rPr>
      </w:pPr>
      <w:r w:rsidRPr="00FF54FC">
        <w:rPr>
          <w:rFonts w:ascii="Arial" w:hAnsi="Arial" w:cs="Arial"/>
          <w:b/>
          <w:bCs/>
          <w:sz w:val="22"/>
          <w:szCs w:val="22"/>
        </w:rPr>
        <w:t xml:space="preserve">J. </w:t>
      </w:r>
      <w:proofErr w:type="spellStart"/>
      <w:r w:rsidRPr="00FF54FC">
        <w:rPr>
          <w:rFonts w:ascii="Arial" w:hAnsi="Arial" w:cs="Arial"/>
          <w:b/>
          <w:bCs/>
          <w:sz w:val="22"/>
          <w:szCs w:val="22"/>
        </w:rPr>
        <w:t>Rashkin</w:t>
      </w:r>
      <w:proofErr w:type="spellEnd"/>
      <w:r w:rsidRPr="00FF54FC">
        <w:rPr>
          <w:rFonts w:ascii="Arial" w:hAnsi="Arial" w:cs="Arial"/>
          <w:sz w:val="22"/>
          <w:szCs w:val="22"/>
        </w:rPr>
        <w:t xml:space="preserve">: </w:t>
      </w:r>
      <w:r w:rsidR="00FF54FC" w:rsidRPr="00FF54FC">
        <w:rPr>
          <w:rFonts w:ascii="Arial" w:hAnsi="Arial" w:cs="Arial"/>
          <w:sz w:val="22"/>
          <w:szCs w:val="22"/>
        </w:rPr>
        <w:t>Employee at Sanofi.</w:t>
      </w:r>
    </w:p>
    <w:p w14:paraId="3FC43B1D" w14:textId="73F22D38" w:rsidR="00A83070" w:rsidRPr="00995CF1" w:rsidRDefault="00A83070" w:rsidP="00A83070">
      <w:pPr>
        <w:spacing w:line="480" w:lineRule="auto"/>
        <w:rPr>
          <w:rFonts w:ascii="Arial" w:hAnsi="Arial" w:cs="Arial"/>
          <w:sz w:val="22"/>
          <w:szCs w:val="22"/>
        </w:rPr>
      </w:pPr>
      <w:r w:rsidRPr="00FF54FC">
        <w:rPr>
          <w:rFonts w:ascii="Arial" w:hAnsi="Arial" w:cs="Arial"/>
          <w:b/>
          <w:bCs/>
          <w:sz w:val="22"/>
          <w:szCs w:val="22"/>
        </w:rPr>
        <w:t xml:space="preserve">M. </w:t>
      </w:r>
      <w:proofErr w:type="spellStart"/>
      <w:r w:rsidRPr="00FF54FC">
        <w:rPr>
          <w:rFonts w:ascii="Arial" w:hAnsi="Arial" w:cs="Arial"/>
          <w:b/>
          <w:bCs/>
          <w:sz w:val="22"/>
          <w:szCs w:val="22"/>
        </w:rPr>
        <w:t>Wieloch</w:t>
      </w:r>
      <w:proofErr w:type="spellEnd"/>
      <w:r w:rsidRPr="00FF54FC">
        <w:rPr>
          <w:rFonts w:ascii="Arial" w:hAnsi="Arial" w:cs="Arial"/>
          <w:sz w:val="22"/>
          <w:szCs w:val="22"/>
        </w:rPr>
        <w:t xml:space="preserve">: </w:t>
      </w:r>
      <w:r w:rsidR="00FF54FC" w:rsidRPr="00FF54FC">
        <w:rPr>
          <w:rFonts w:ascii="Arial" w:hAnsi="Arial" w:cs="Arial"/>
          <w:sz w:val="22"/>
          <w:szCs w:val="22"/>
        </w:rPr>
        <w:t>Employee and shareholder</w:t>
      </w:r>
      <w:r w:rsidR="00FF54FC" w:rsidRPr="00755274">
        <w:rPr>
          <w:rFonts w:ascii="Arial" w:hAnsi="Arial" w:cs="Arial"/>
          <w:sz w:val="22"/>
          <w:szCs w:val="22"/>
        </w:rPr>
        <w:t xml:space="preserve"> at Sanofi.</w:t>
      </w:r>
    </w:p>
    <w:p w14:paraId="434A3A36" w14:textId="5EC725D2" w:rsidR="00A83070" w:rsidRPr="00582AB4" w:rsidRDefault="00A83070" w:rsidP="00A83070">
      <w:pPr>
        <w:spacing w:line="480" w:lineRule="auto"/>
        <w:rPr>
          <w:rFonts w:ascii="Arial" w:hAnsi="Arial" w:cs="Arial"/>
          <w:sz w:val="22"/>
          <w:szCs w:val="22"/>
        </w:rPr>
      </w:pPr>
      <w:r w:rsidRPr="00995CF1">
        <w:rPr>
          <w:rFonts w:ascii="Arial" w:hAnsi="Arial" w:cs="Arial"/>
          <w:b/>
          <w:bCs/>
          <w:sz w:val="22"/>
          <w:szCs w:val="22"/>
        </w:rPr>
        <w:t>M. Turakhia:</w:t>
      </w:r>
      <w:r w:rsidRPr="00995CF1">
        <w:rPr>
          <w:rFonts w:ascii="Arial" w:hAnsi="Arial" w:cs="Arial"/>
          <w:sz w:val="22"/>
          <w:szCs w:val="22"/>
        </w:rPr>
        <w:t xml:space="preserve"> Research grants from Bristol Myers Squibb, American Heart Association, Apple Inc, Bayer, and the Food and Drug Administration</w:t>
      </w:r>
      <w:r w:rsidR="00755274">
        <w:rPr>
          <w:rFonts w:ascii="Arial" w:hAnsi="Arial" w:cs="Arial"/>
          <w:sz w:val="22"/>
          <w:szCs w:val="22"/>
        </w:rPr>
        <w:t xml:space="preserve">. Consultant for </w:t>
      </w:r>
      <w:r w:rsidRPr="00995CF1">
        <w:rPr>
          <w:rFonts w:ascii="Arial" w:hAnsi="Arial" w:cs="Arial"/>
          <w:sz w:val="22"/>
          <w:szCs w:val="22"/>
        </w:rPr>
        <w:t xml:space="preserve">Medtronic, Abbott, </w:t>
      </w:r>
      <w:proofErr w:type="spellStart"/>
      <w:r w:rsidRPr="00995CF1">
        <w:rPr>
          <w:rFonts w:ascii="Arial" w:hAnsi="Arial" w:cs="Arial"/>
          <w:sz w:val="22"/>
          <w:szCs w:val="22"/>
        </w:rPr>
        <w:t>Biotronik</w:t>
      </w:r>
      <w:proofErr w:type="spellEnd"/>
      <w:r w:rsidRPr="00995CF1">
        <w:rPr>
          <w:rFonts w:ascii="Arial" w:hAnsi="Arial" w:cs="Arial"/>
          <w:sz w:val="22"/>
          <w:szCs w:val="22"/>
        </w:rPr>
        <w:t xml:space="preserve">, Sanofi, Pfizer, </w:t>
      </w:r>
      <w:proofErr w:type="spellStart"/>
      <w:r w:rsidRPr="00995CF1">
        <w:rPr>
          <w:rFonts w:ascii="Arial" w:hAnsi="Arial" w:cs="Arial"/>
          <w:sz w:val="22"/>
          <w:szCs w:val="22"/>
        </w:rPr>
        <w:t>Myokardia</w:t>
      </w:r>
      <w:proofErr w:type="spellEnd"/>
      <w:r w:rsidRPr="00995CF1">
        <w:rPr>
          <w:rFonts w:ascii="Arial" w:hAnsi="Arial" w:cs="Arial"/>
          <w:sz w:val="22"/>
          <w:szCs w:val="22"/>
        </w:rPr>
        <w:t xml:space="preserve">, Johnson &amp; Johnson, Milestone, </w:t>
      </w:r>
      <w:proofErr w:type="spellStart"/>
      <w:r w:rsidRPr="00995CF1">
        <w:rPr>
          <w:rFonts w:ascii="Arial" w:hAnsi="Arial" w:cs="Arial"/>
          <w:sz w:val="22"/>
          <w:szCs w:val="22"/>
        </w:rPr>
        <w:t>InCarda</w:t>
      </w:r>
      <w:proofErr w:type="spellEnd"/>
      <w:r w:rsidRPr="00995CF1">
        <w:rPr>
          <w:rFonts w:ascii="Arial" w:hAnsi="Arial" w:cs="Arial"/>
          <w:sz w:val="22"/>
          <w:szCs w:val="22"/>
        </w:rPr>
        <w:t xml:space="preserve">, 100Plus, </w:t>
      </w:r>
      <w:proofErr w:type="spellStart"/>
      <w:r w:rsidRPr="00995CF1">
        <w:rPr>
          <w:rFonts w:ascii="Arial" w:hAnsi="Arial" w:cs="Arial"/>
          <w:sz w:val="22"/>
          <w:szCs w:val="22"/>
        </w:rPr>
        <w:t>Alivecor</w:t>
      </w:r>
      <w:proofErr w:type="spellEnd"/>
      <w:r w:rsidRPr="00995CF1">
        <w:rPr>
          <w:rFonts w:ascii="Arial" w:hAnsi="Arial" w:cs="Arial"/>
          <w:sz w:val="22"/>
          <w:szCs w:val="22"/>
        </w:rPr>
        <w:t xml:space="preserve">, </w:t>
      </w:r>
      <w:proofErr w:type="spellStart"/>
      <w:r w:rsidRPr="00995CF1">
        <w:rPr>
          <w:rFonts w:ascii="Arial" w:hAnsi="Arial" w:cs="Arial"/>
          <w:sz w:val="22"/>
          <w:szCs w:val="22"/>
        </w:rPr>
        <w:t>Acutus</w:t>
      </w:r>
      <w:proofErr w:type="spellEnd"/>
      <w:r w:rsidRPr="00995CF1">
        <w:rPr>
          <w:rFonts w:ascii="Arial" w:hAnsi="Arial" w:cs="Arial"/>
          <w:sz w:val="22"/>
          <w:szCs w:val="22"/>
        </w:rPr>
        <w:t xml:space="preserve"> Medical, and </w:t>
      </w:r>
      <w:proofErr w:type="spellStart"/>
      <w:r w:rsidRPr="00582AB4">
        <w:rPr>
          <w:rFonts w:ascii="Arial" w:hAnsi="Arial" w:cs="Arial"/>
          <w:sz w:val="22"/>
          <w:szCs w:val="22"/>
        </w:rPr>
        <w:t>BrightInsight</w:t>
      </w:r>
      <w:proofErr w:type="spellEnd"/>
      <w:r w:rsidRPr="00582AB4">
        <w:rPr>
          <w:rFonts w:ascii="Arial" w:hAnsi="Arial" w:cs="Arial"/>
          <w:sz w:val="22"/>
          <w:szCs w:val="22"/>
        </w:rPr>
        <w:t xml:space="preserve">. </w:t>
      </w:r>
    </w:p>
    <w:p w14:paraId="3F9256AE" w14:textId="3CAB8BEF" w:rsidR="00A83070" w:rsidRPr="00167671" w:rsidRDefault="00A83070" w:rsidP="00167671">
      <w:pPr>
        <w:spacing w:line="480" w:lineRule="auto"/>
        <w:rPr>
          <w:rFonts w:ascii="Arial" w:hAnsi="Arial" w:cs="Arial"/>
          <w:sz w:val="22"/>
          <w:szCs w:val="22"/>
        </w:rPr>
      </w:pPr>
      <w:r w:rsidRPr="00582AB4">
        <w:rPr>
          <w:rFonts w:ascii="Arial" w:hAnsi="Arial" w:cs="Arial"/>
          <w:b/>
          <w:bCs/>
          <w:sz w:val="22"/>
          <w:szCs w:val="22"/>
        </w:rPr>
        <w:t xml:space="preserve">A. Sandhu: </w:t>
      </w:r>
      <w:r w:rsidR="00755274">
        <w:rPr>
          <w:rFonts w:ascii="Arial" w:hAnsi="Arial" w:cs="Arial"/>
          <w:sz w:val="22"/>
          <w:szCs w:val="22"/>
        </w:rPr>
        <w:t>Research</w:t>
      </w:r>
      <w:r w:rsidR="005A3614" w:rsidRPr="005A3614">
        <w:rPr>
          <w:rFonts w:ascii="Arial" w:hAnsi="Arial" w:cs="Arial"/>
          <w:sz w:val="22"/>
          <w:szCs w:val="22"/>
        </w:rPr>
        <w:t xml:space="preserve"> grant 1K23HL151672-01 from the National Heart, Lung, and Blood Institute.</w:t>
      </w:r>
      <w:r w:rsidRPr="00995CF1">
        <w:rPr>
          <w:rFonts w:ascii="Arial" w:hAnsi="Arial" w:cs="Arial"/>
          <w:b/>
          <w:bCs/>
          <w:sz w:val="22"/>
          <w:szCs w:val="22"/>
        </w:rPr>
        <w:br w:type="page"/>
      </w:r>
    </w:p>
    <w:p w14:paraId="3DA543DF" w14:textId="0EC85B00" w:rsidR="00A83070" w:rsidRPr="00995CF1" w:rsidRDefault="00A83070" w:rsidP="00D405B9">
      <w:pPr>
        <w:spacing w:line="480" w:lineRule="auto"/>
        <w:rPr>
          <w:rFonts w:ascii="Arial" w:hAnsi="Arial" w:cs="Arial"/>
          <w:b/>
          <w:bCs/>
          <w:sz w:val="22"/>
          <w:szCs w:val="22"/>
        </w:rPr>
      </w:pPr>
      <w:r w:rsidRPr="00995CF1">
        <w:rPr>
          <w:rFonts w:ascii="Arial" w:hAnsi="Arial" w:cs="Arial"/>
          <w:b/>
          <w:bCs/>
          <w:sz w:val="22"/>
          <w:szCs w:val="22"/>
        </w:rPr>
        <w:lastRenderedPageBreak/>
        <w:t>REFERENCES</w:t>
      </w:r>
    </w:p>
    <w:p w14:paraId="6873F5E3" w14:textId="77777777" w:rsidR="009D29D7" w:rsidRPr="009D29D7" w:rsidRDefault="009D29D7" w:rsidP="009D29D7">
      <w:pPr>
        <w:pStyle w:val="Bibliography"/>
        <w:rPr>
          <w:rFonts w:ascii="Arial" w:hAnsi="Arial" w:cs="Arial"/>
          <w:sz w:val="22"/>
        </w:rPr>
      </w:pP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ADDIN ZOTERO_BIBL {"uncited":[],"omitted":[],"custom":[]} CSL_BIBLIOGRAPHY </w:instrText>
      </w:r>
      <w:r>
        <w:rPr>
          <w:rFonts w:ascii="Arial" w:hAnsi="Arial" w:cs="Arial"/>
          <w:sz w:val="22"/>
        </w:rPr>
        <w:fldChar w:fldCharType="separate"/>
      </w:r>
      <w:r w:rsidRPr="009D29D7">
        <w:rPr>
          <w:rFonts w:ascii="Arial" w:hAnsi="Arial" w:cs="Arial"/>
          <w:sz w:val="22"/>
        </w:rPr>
        <w:t xml:space="preserve">1. </w:t>
      </w:r>
      <w:r w:rsidRPr="009D29D7">
        <w:rPr>
          <w:rFonts w:ascii="Arial" w:hAnsi="Arial" w:cs="Arial"/>
          <w:sz w:val="22"/>
        </w:rPr>
        <w:tab/>
        <w:t xml:space="preserve">Tsao CW, Aday AW, Almarzooq ZI, Alonso A, Beaton AZ, Bittencourt MS, Boehme AK, Buxton AE, Carson AP, Commodore-Mensah Y, Elkind MSV, Evenson KR, Eze-Nliam C, Ferguson JF, Generoso G, Ho JE, Kalani R, Khan SS, Kissela BM, Knutson KL, Levine DA, Lewis TT, Liu J, Loop MS, Ma J, Mussolino ME, Navaneethan SD, Perak AM, Poudel R, Rezk-Hanna M, Roth GA, Schroeder EB, Shah SH, Thacker EL, VanWagner LB, Virani SS, Voecks JH, Wang N-Y, Yaffe K, Martin SS, on behalf of the American Heart Association Council on Epidemiology and Prevention Statistics Committee and Stroke Statistics Subcommittee. Heart Disease and Stroke Statistics—2022 Update: A Report From the American Heart Association. </w:t>
      </w:r>
      <w:r w:rsidRPr="009D29D7">
        <w:rPr>
          <w:rFonts w:ascii="Arial" w:hAnsi="Arial" w:cs="Arial"/>
          <w:i/>
          <w:iCs/>
          <w:sz w:val="22"/>
        </w:rPr>
        <w:t>Circulation</w:t>
      </w:r>
      <w:r w:rsidRPr="009D29D7">
        <w:rPr>
          <w:rFonts w:ascii="Arial" w:hAnsi="Arial" w:cs="Arial"/>
          <w:sz w:val="22"/>
        </w:rPr>
        <w:t xml:space="preserve"> [Internet]. 2022 [cited 2022 Apr 25];145. Available from: https://www.ahajournals.org/doi/10.1161/CIR.0000000000001052</w:t>
      </w:r>
    </w:p>
    <w:p w14:paraId="43ACEEAA"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 </w:t>
      </w:r>
      <w:r w:rsidRPr="009D29D7">
        <w:rPr>
          <w:rFonts w:ascii="Arial" w:hAnsi="Arial" w:cs="Arial"/>
          <w:sz w:val="22"/>
        </w:rPr>
        <w:tab/>
        <w:t xml:space="preserve">Hindricks G, Potpara T, Dagres N, Arbelo E, Bax JJ, Blomström-Lundqvist C, Boriani G, Castella M, Dan G-A, Dilaveris PE, Fauchier L, Filippatos G, Kalman JM, La Meir M, Lane DA, Lebeau J-P, Lettino M, Lip GYH, Pinto FJ, Thomas GN, Valgimigli M, Van Gelder IC, Van Putte BP, Watkins CL, ESC Scientific Document Group, Kirchhof P, Kühne M, Aboyans V, Ahlsson A, Balsam P, Bauersachs J, Benussi S, Brandes A, Braunschweig F, Camm AJ, Capodanno D, Casadei B, Conen D, Crijns HJGM, Delgado V, Dobrev D, Drexel H, Eckardt L, Fitzsimons D, Folliguet T, Gale CP, Gorenek B, Haeusler KG, Heidbuchel H, Iung B, Katus HA, Kotecha D, Landmesser U, Leclercq C, Lewis BS, Mascherbauer J, Merino JL, Merkely B, Mont L, Mueller C, Nagy KV, Oldgren J, Pavlović N, Pedretti RFE, Petersen SE, Piccini JP, Popescu BA, Pürerfellner H, Richter DJ, Roffi M, Rubboli A, Scherr D, Schnabel RB, Simpson IA, Shlyakhto E, Sinner MF, Steffel J, Sousa-Uva M, Suwalski P, Svetlosak M, Touyz RM, Dagres N, Arbelo E, Bax JJ, Blomström-Lundqvist C, Boriani G, Castella M, Dan G-A, Dilaveris PE, Fauchier L, Filippatos G, Kalman JM, La Meir M, Lane DA, Lebeau J-P, Lettino M, Lip GYH, Pinto FJ, et al. 2020 ESC Guidelines for the diagnosis and management of atrial fibrillation developed in collaboration with the European Association for Cardio-Thoracic Surgery (EACTS). </w:t>
      </w:r>
      <w:r w:rsidRPr="009D29D7">
        <w:rPr>
          <w:rFonts w:ascii="Arial" w:hAnsi="Arial" w:cs="Arial"/>
          <w:i/>
          <w:iCs/>
          <w:sz w:val="22"/>
        </w:rPr>
        <w:t>European Heart Journal</w:t>
      </w:r>
      <w:r w:rsidRPr="009D29D7">
        <w:rPr>
          <w:rFonts w:ascii="Arial" w:hAnsi="Arial" w:cs="Arial"/>
          <w:sz w:val="22"/>
        </w:rPr>
        <w:t xml:space="preserve">. 2021;42:373–498. </w:t>
      </w:r>
    </w:p>
    <w:p w14:paraId="5C4CCA7F"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 </w:t>
      </w:r>
      <w:r w:rsidRPr="009D29D7">
        <w:rPr>
          <w:rFonts w:ascii="Arial" w:hAnsi="Arial" w:cs="Arial"/>
          <w:sz w:val="22"/>
        </w:rPr>
        <w:tab/>
        <w:t xml:space="preserve">January CT, Wann LS, Calkins H, Chen LY, Cigarroa JE, Cleveland JC, Ellinor PT, Ezekowitz MD, Field ME, Furie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9D29D7">
        <w:rPr>
          <w:rFonts w:ascii="Arial" w:hAnsi="Arial" w:cs="Arial"/>
          <w:i/>
          <w:iCs/>
          <w:sz w:val="22"/>
        </w:rPr>
        <w:t>Circulation</w:t>
      </w:r>
      <w:r w:rsidRPr="009D29D7">
        <w:rPr>
          <w:rFonts w:ascii="Arial" w:hAnsi="Arial" w:cs="Arial"/>
          <w:sz w:val="22"/>
        </w:rPr>
        <w:t xml:space="preserve"> [Internet]. 2019 [cited 2022 Jun 5];140. Available from: https://www.ahajournals.org/doi/10.1161/CIR.0000000000000665</w:t>
      </w:r>
    </w:p>
    <w:p w14:paraId="090142B5"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4. </w:t>
      </w:r>
      <w:r w:rsidRPr="009D29D7">
        <w:rPr>
          <w:rFonts w:ascii="Arial" w:hAnsi="Arial" w:cs="Arial"/>
          <w:sz w:val="22"/>
        </w:rPr>
        <w:tab/>
        <w:t xml:space="preserve">January CT, Wann LS, Alpert JS, Calkins H, Cigarroa JE, Cleveland JC, Conti JB, Ellinor PT, Ezekowitz MD, Field ME, Murray KT, Sacco RL, Stevenson WG, Tchou PJ, Tracy CM, Yancy CW, ACC/AHA Task Force Members. 2014 AHA/ACC/HRS guideline for the management of patients with atrial fibrillation: executive summary: a report of the American College of Cardiology/American Heart Association Task Force on practice guidelines and the Heart Rhythm Society. </w:t>
      </w:r>
      <w:r w:rsidRPr="009D29D7">
        <w:rPr>
          <w:rFonts w:ascii="Arial" w:hAnsi="Arial" w:cs="Arial"/>
          <w:i/>
          <w:iCs/>
          <w:sz w:val="22"/>
        </w:rPr>
        <w:t>Circulation</w:t>
      </w:r>
      <w:r w:rsidRPr="009D29D7">
        <w:rPr>
          <w:rFonts w:ascii="Arial" w:hAnsi="Arial" w:cs="Arial"/>
          <w:sz w:val="22"/>
        </w:rPr>
        <w:t xml:space="preserve">. 2014;130:2071–2104. </w:t>
      </w:r>
    </w:p>
    <w:p w14:paraId="1068C1B2"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5. </w:t>
      </w:r>
      <w:r w:rsidRPr="009D29D7">
        <w:rPr>
          <w:rFonts w:ascii="Arial" w:hAnsi="Arial" w:cs="Arial"/>
          <w:sz w:val="22"/>
        </w:rPr>
        <w:tab/>
        <w:t xml:space="preserve">Turakhia MP, Santangeli P, Winkelmayer WC, Xu X, Ullal AJ, Than CT, Schmitt S, Holmes TH, Frayne SM, Phibbs CS, Yang F, Hoang DD, Ho PM, Heidenreich PA. Increased mortality associated with digoxin in contemporary patients with atrial fibrillation: findings from the TREAT-AF study. </w:t>
      </w:r>
      <w:r w:rsidRPr="009D29D7">
        <w:rPr>
          <w:rFonts w:ascii="Arial" w:hAnsi="Arial" w:cs="Arial"/>
          <w:i/>
          <w:iCs/>
          <w:sz w:val="22"/>
        </w:rPr>
        <w:t>J Am Coll Cardiol</w:t>
      </w:r>
      <w:r w:rsidRPr="009D29D7">
        <w:rPr>
          <w:rFonts w:ascii="Arial" w:hAnsi="Arial" w:cs="Arial"/>
          <w:sz w:val="22"/>
        </w:rPr>
        <w:t xml:space="preserve">. 2014;64:660–668. </w:t>
      </w:r>
    </w:p>
    <w:p w14:paraId="1DDB7606" w14:textId="77777777" w:rsidR="009D29D7" w:rsidRPr="009D29D7" w:rsidRDefault="009D29D7" w:rsidP="009D29D7">
      <w:pPr>
        <w:pStyle w:val="Bibliography"/>
        <w:rPr>
          <w:rFonts w:ascii="Arial" w:hAnsi="Arial" w:cs="Arial"/>
          <w:sz w:val="22"/>
        </w:rPr>
      </w:pPr>
      <w:r w:rsidRPr="009D29D7">
        <w:rPr>
          <w:rFonts w:ascii="Arial" w:hAnsi="Arial" w:cs="Arial"/>
          <w:sz w:val="22"/>
        </w:rPr>
        <w:lastRenderedPageBreak/>
        <w:t xml:space="preserve">6. </w:t>
      </w:r>
      <w:r w:rsidRPr="009D29D7">
        <w:rPr>
          <w:rFonts w:ascii="Arial" w:hAnsi="Arial" w:cs="Arial"/>
          <w:sz w:val="22"/>
        </w:rPr>
        <w:tab/>
        <w:t xml:space="preserve">Kirchhof P, Camm AJ, Goette A, Brandes A, Eckardt L, Elvan A, Fetsch T, van Gelder IC, Haase D, Haegeli LM, Hamann F, Heidbüchel H, Hindricks G, Kautzner J, Kuck K-H, Mont L, Ng GA, Rekosz J, Schoen N, Schotten U, Suling A, Taggeselle J, Themistoclakis S, Vettorazzi E, Vardas P, Wegscheider K, Willems S, Crijns HJGM, Breithardt G. Early Rhythm-Control Therapy in Patients with Atrial Fibrillation. </w:t>
      </w:r>
      <w:r w:rsidRPr="009D29D7">
        <w:rPr>
          <w:rFonts w:ascii="Arial" w:hAnsi="Arial" w:cs="Arial"/>
          <w:i/>
          <w:iCs/>
          <w:sz w:val="22"/>
        </w:rPr>
        <w:t>N Engl J Med</w:t>
      </w:r>
      <w:r w:rsidRPr="009D29D7">
        <w:rPr>
          <w:rFonts w:ascii="Arial" w:hAnsi="Arial" w:cs="Arial"/>
          <w:sz w:val="22"/>
        </w:rPr>
        <w:t xml:space="preserve">. 2020;383:1305–1316. </w:t>
      </w:r>
    </w:p>
    <w:p w14:paraId="074B8C0A"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7. </w:t>
      </w:r>
      <w:r w:rsidRPr="009D29D7">
        <w:rPr>
          <w:rFonts w:ascii="Arial" w:hAnsi="Arial" w:cs="Arial"/>
          <w:sz w:val="22"/>
        </w:rPr>
        <w:tab/>
        <w:t xml:space="preserve">Hohnloser SH, Crijns HJGM, van Eickels M, Gaudin C, Page RL, Torp-Pedersen C, Connolly SJ. Effect of Dronedarone on Cardiovascular Events in Atrial Fibrillation. </w:t>
      </w:r>
      <w:r w:rsidRPr="009D29D7">
        <w:rPr>
          <w:rFonts w:ascii="Arial" w:hAnsi="Arial" w:cs="Arial"/>
          <w:i/>
          <w:iCs/>
          <w:sz w:val="22"/>
        </w:rPr>
        <w:t>N Engl J Med</w:t>
      </w:r>
      <w:r w:rsidRPr="009D29D7">
        <w:rPr>
          <w:rFonts w:ascii="Arial" w:hAnsi="Arial" w:cs="Arial"/>
          <w:sz w:val="22"/>
        </w:rPr>
        <w:t xml:space="preserve">. 2009;360:668–678. </w:t>
      </w:r>
    </w:p>
    <w:p w14:paraId="78481686"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8. </w:t>
      </w:r>
      <w:r w:rsidRPr="009D29D7">
        <w:rPr>
          <w:rFonts w:ascii="Arial" w:hAnsi="Arial" w:cs="Arial"/>
          <w:sz w:val="22"/>
        </w:rPr>
        <w:tab/>
        <w:t xml:space="preserve">Marrouche NF, Brachmann J, Andresen D, Siebels J, Boersma L, Jordaens L, Merkely B, Pokushalov E, Sanders P, Proff J, Schunkert H, Christ H, Vogt J, Bänsch D. Catheter Ablation for Atrial Fibrillation with Heart Failure. </w:t>
      </w:r>
      <w:r w:rsidRPr="009D29D7">
        <w:rPr>
          <w:rFonts w:ascii="Arial" w:hAnsi="Arial" w:cs="Arial"/>
          <w:i/>
          <w:iCs/>
          <w:sz w:val="22"/>
        </w:rPr>
        <w:t>N Engl J Med</w:t>
      </w:r>
      <w:r w:rsidRPr="009D29D7">
        <w:rPr>
          <w:rFonts w:ascii="Arial" w:hAnsi="Arial" w:cs="Arial"/>
          <w:sz w:val="22"/>
        </w:rPr>
        <w:t xml:space="preserve">. 2018;378:417–427. </w:t>
      </w:r>
    </w:p>
    <w:p w14:paraId="00950A0B"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9. </w:t>
      </w:r>
      <w:r w:rsidRPr="009D29D7">
        <w:rPr>
          <w:rFonts w:ascii="Arial" w:hAnsi="Arial" w:cs="Arial"/>
          <w:sz w:val="22"/>
        </w:rPr>
        <w:tab/>
        <w:t xml:space="preserve">Cowper DC, Hynes DM, Kubal JD, Murphy PA. Using administrative databases for outcomes research: select examples from VA Health Services Research and Development. </w:t>
      </w:r>
      <w:r w:rsidRPr="009D29D7">
        <w:rPr>
          <w:rFonts w:ascii="Arial" w:hAnsi="Arial" w:cs="Arial"/>
          <w:i/>
          <w:iCs/>
          <w:sz w:val="22"/>
        </w:rPr>
        <w:t>J Med Syst</w:t>
      </w:r>
      <w:r w:rsidRPr="009D29D7">
        <w:rPr>
          <w:rFonts w:ascii="Arial" w:hAnsi="Arial" w:cs="Arial"/>
          <w:sz w:val="22"/>
        </w:rPr>
        <w:t xml:space="preserve">. 1999;23:249–259. </w:t>
      </w:r>
    </w:p>
    <w:p w14:paraId="70AF091B"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10. </w:t>
      </w:r>
      <w:r w:rsidRPr="009D29D7">
        <w:rPr>
          <w:rFonts w:ascii="Arial" w:hAnsi="Arial" w:cs="Arial"/>
          <w:sz w:val="22"/>
        </w:rPr>
        <w:tab/>
        <w:t xml:space="preserve">Smith MW, Joseph GJ. Pharmacy data in the VA health care system. </w:t>
      </w:r>
      <w:r w:rsidRPr="009D29D7">
        <w:rPr>
          <w:rFonts w:ascii="Arial" w:hAnsi="Arial" w:cs="Arial"/>
          <w:i/>
          <w:iCs/>
          <w:sz w:val="22"/>
        </w:rPr>
        <w:t>Med Care Res Rev</w:t>
      </w:r>
      <w:r w:rsidRPr="009D29D7">
        <w:rPr>
          <w:rFonts w:ascii="Arial" w:hAnsi="Arial" w:cs="Arial"/>
          <w:sz w:val="22"/>
        </w:rPr>
        <w:t xml:space="preserve">. 2003;60:92S-123S. </w:t>
      </w:r>
    </w:p>
    <w:p w14:paraId="05FD4B19"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11. </w:t>
      </w:r>
      <w:r w:rsidRPr="009D29D7">
        <w:rPr>
          <w:rFonts w:ascii="Arial" w:hAnsi="Arial" w:cs="Arial"/>
          <w:sz w:val="22"/>
        </w:rPr>
        <w:tab/>
        <w:t xml:space="preserve">VA Information Resource Center. VIReC Research User Guide: VHA Decision Support System Clinical National Data Extracts. 2nd ed. Hines, IL: US Dept of Veterans Affairs, Health Services Research and Development Service, VA Information Resource Center; 2009. </w:t>
      </w:r>
    </w:p>
    <w:p w14:paraId="6136A784"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12. </w:t>
      </w:r>
      <w:r w:rsidRPr="009D29D7">
        <w:rPr>
          <w:rFonts w:ascii="Arial" w:hAnsi="Arial" w:cs="Arial"/>
          <w:sz w:val="22"/>
        </w:rPr>
        <w:tab/>
        <w:t xml:space="preserve">Hynes DM, Koelling K, Stroupe K, Arnold N, Mallin K, Sohn M-W, Weaver FM, Manheim L, Kok L. Veterans’ access to and use of Medicare and Veterans Affairs health care. </w:t>
      </w:r>
      <w:r w:rsidRPr="009D29D7">
        <w:rPr>
          <w:rFonts w:ascii="Arial" w:hAnsi="Arial" w:cs="Arial"/>
          <w:i/>
          <w:iCs/>
          <w:sz w:val="22"/>
        </w:rPr>
        <w:t>Med Care</w:t>
      </w:r>
      <w:r w:rsidRPr="009D29D7">
        <w:rPr>
          <w:rFonts w:ascii="Arial" w:hAnsi="Arial" w:cs="Arial"/>
          <w:sz w:val="22"/>
        </w:rPr>
        <w:t xml:space="preserve">. 2007;45:214–223. </w:t>
      </w:r>
    </w:p>
    <w:p w14:paraId="08C55DF4"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13. </w:t>
      </w:r>
      <w:r w:rsidRPr="009D29D7">
        <w:rPr>
          <w:rFonts w:ascii="Arial" w:hAnsi="Arial" w:cs="Arial"/>
          <w:sz w:val="22"/>
        </w:rPr>
        <w:tab/>
        <w:t xml:space="preserve">Arnold N, Sohn M-W, Maynard C. VIReC Technical Report 2: VANDI Mortality Data Merge Project. Hines, IL: VA Information Resource Center; 2006. </w:t>
      </w:r>
    </w:p>
    <w:p w14:paraId="16B21BCE"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14. </w:t>
      </w:r>
      <w:r w:rsidRPr="009D29D7">
        <w:rPr>
          <w:rFonts w:ascii="Arial" w:hAnsi="Arial" w:cs="Arial"/>
          <w:sz w:val="22"/>
        </w:rPr>
        <w:tab/>
        <w:t xml:space="preserve">Sohn M-W, Arnold N, Maynard C, Hynes DM. Accuracy and completeness of mortality data in the Department of Veterans Affairs. </w:t>
      </w:r>
      <w:r w:rsidRPr="009D29D7">
        <w:rPr>
          <w:rFonts w:ascii="Arial" w:hAnsi="Arial" w:cs="Arial"/>
          <w:i/>
          <w:iCs/>
          <w:sz w:val="22"/>
        </w:rPr>
        <w:t>Popul Health Metrics</w:t>
      </w:r>
      <w:r w:rsidRPr="009D29D7">
        <w:rPr>
          <w:rFonts w:ascii="Arial" w:hAnsi="Arial" w:cs="Arial"/>
          <w:sz w:val="22"/>
        </w:rPr>
        <w:t xml:space="preserve">. 2006;4:2. </w:t>
      </w:r>
    </w:p>
    <w:p w14:paraId="49E17039"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15. </w:t>
      </w:r>
      <w:r w:rsidRPr="009D29D7">
        <w:rPr>
          <w:rFonts w:ascii="Arial" w:hAnsi="Arial" w:cs="Arial"/>
          <w:sz w:val="22"/>
        </w:rPr>
        <w:tab/>
        <w:t xml:space="preserve">Perino AC, Fan J, Schmitt SK, Askari M, Kaiser DW, Deshmukh A, Heidenreich PA, Swan C, Narayan SM, Wang PJ, Turakhia MP. Treating Specialty and Outcomes in Newly Diagnosed Atrial Fibrillation: From the TREAT-AF Study. </w:t>
      </w:r>
      <w:r w:rsidRPr="009D29D7">
        <w:rPr>
          <w:rFonts w:ascii="Arial" w:hAnsi="Arial" w:cs="Arial"/>
          <w:i/>
          <w:iCs/>
          <w:sz w:val="22"/>
        </w:rPr>
        <w:t>J Am Coll Cardiol</w:t>
      </w:r>
      <w:r w:rsidRPr="009D29D7">
        <w:rPr>
          <w:rFonts w:ascii="Arial" w:hAnsi="Arial" w:cs="Arial"/>
          <w:sz w:val="22"/>
        </w:rPr>
        <w:t xml:space="preserve">. 2017;70:78–86. </w:t>
      </w:r>
    </w:p>
    <w:p w14:paraId="689B11FF"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16. </w:t>
      </w:r>
      <w:r w:rsidRPr="009D29D7">
        <w:rPr>
          <w:rFonts w:ascii="Arial" w:hAnsi="Arial" w:cs="Arial"/>
          <w:sz w:val="22"/>
        </w:rPr>
        <w:tab/>
        <w:t xml:space="preserve">Turakhia MP, Hoang DD, Xu X, Frayne S, Schmitt S, Yang F, Phibbs CS, Than CT, Wang PJ, Heidenreich PA. Differences and trends in stroke prevention anticoagulation in primary care vs cardiology specialty management of new atrial fibrillation: The Retrospective Evaluation and Assessment of Therapies in AF (TREAT-AF) study. </w:t>
      </w:r>
      <w:r w:rsidRPr="009D29D7">
        <w:rPr>
          <w:rFonts w:ascii="Arial" w:hAnsi="Arial" w:cs="Arial"/>
          <w:i/>
          <w:iCs/>
          <w:sz w:val="22"/>
        </w:rPr>
        <w:t>Am Heart J</w:t>
      </w:r>
      <w:r w:rsidRPr="009D29D7">
        <w:rPr>
          <w:rFonts w:ascii="Arial" w:hAnsi="Arial" w:cs="Arial"/>
          <w:sz w:val="22"/>
        </w:rPr>
        <w:t xml:space="preserve">. 2013;165:93-101.e1. </w:t>
      </w:r>
    </w:p>
    <w:p w14:paraId="200E54EE"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17. </w:t>
      </w:r>
      <w:r w:rsidRPr="009D29D7">
        <w:rPr>
          <w:rFonts w:ascii="Arial" w:hAnsi="Arial" w:cs="Arial"/>
          <w:sz w:val="22"/>
        </w:rPr>
        <w:tab/>
        <w:t>BETAPACE AF® (sotalol HCl) [Internet]. Available from: https://www.accessdata.fda.gov/drugsatfda_docs/label/2011/021151s010lbl.pdf</w:t>
      </w:r>
    </w:p>
    <w:p w14:paraId="60DCFA83" w14:textId="77777777" w:rsidR="009D29D7" w:rsidRPr="009D29D7" w:rsidRDefault="009D29D7" w:rsidP="009D29D7">
      <w:pPr>
        <w:pStyle w:val="Bibliography"/>
        <w:rPr>
          <w:rFonts w:ascii="Arial" w:hAnsi="Arial" w:cs="Arial"/>
          <w:sz w:val="22"/>
        </w:rPr>
      </w:pPr>
      <w:r w:rsidRPr="009D29D7">
        <w:rPr>
          <w:rFonts w:ascii="Arial" w:hAnsi="Arial" w:cs="Arial"/>
          <w:sz w:val="22"/>
        </w:rPr>
        <w:lastRenderedPageBreak/>
        <w:t xml:space="preserve">18. </w:t>
      </w:r>
      <w:r w:rsidRPr="009D29D7">
        <w:rPr>
          <w:rFonts w:ascii="Arial" w:hAnsi="Arial" w:cs="Arial"/>
          <w:sz w:val="22"/>
        </w:rPr>
        <w:tab/>
        <w:t xml:space="preserve">Quan H, Sundararajan V, Halfon P, Fong A, Burnand B, Luthi J-C, Saunders LD, Beck CA, Feasby TE, Ghali WA. Coding Algorithms for Defining Comorbidities in ICD-9-CM and ICD-10 Administrative Data: </w:t>
      </w:r>
      <w:r w:rsidRPr="009D29D7">
        <w:rPr>
          <w:rFonts w:ascii="Arial" w:hAnsi="Arial" w:cs="Arial"/>
          <w:i/>
          <w:iCs/>
          <w:sz w:val="22"/>
        </w:rPr>
        <w:t>Medical Care</w:t>
      </w:r>
      <w:r w:rsidRPr="009D29D7">
        <w:rPr>
          <w:rFonts w:ascii="Arial" w:hAnsi="Arial" w:cs="Arial"/>
          <w:sz w:val="22"/>
        </w:rPr>
        <w:t xml:space="preserve">. 2005;43:1130–1139. </w:t>
      </w:r>
    </w:p>
    <w:p w14:paraId="18835B71"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19. </w:t>
      </w:r>
      <w:r w:rsidRPr="009D29D7">
        <w:rPr>
          <w:rFonts w:ascii="Arial" w:hAnsi="Arial" w:cs="Arial"/>
          <w:sz w:val="22"/>
        </w:rPr>
        <w:tab/>
        <w:t xml:space="preserve">Gage BF, Waterman AD, Shannon W, Boechler M, Rich MW, Radford MJ. Validation of Clinical Classification Schemes for Predicting Stroke: Results From the National Registry of Atrial Fibrillation. </w:t>
      </w:r>
      <w:r w:rsidRPr="009D29D7">
        <w:rPr>
          <w:rFonts w:ascii="Arial" w:hAnsi="Arial" w:cs="Arial"/>
          <w:i/>
          <w:iCs/>
          <w:sz w:val="22"/>
        </w:rPr>
        <w:t>JAMA</w:t>
      </w:r>
      <w:r w:rsidRPr="009D29D7">
        <w:rPr>
          <w:rFonts w:ascii="Arial" w:hAnsi="Arial" w:cs="Arial"/>
          <w:sz w:val="22"/>
        </w:rPr>
        <w:t xml:space="preserve">. 2001;285:2864. </w:t>
      </w:r>
    </w:p>
    <w:p w14:paraId="0257CE74"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20. </w:t>
      </w:r>
      <w:r w:rsidRPr="009D29D7">
        <w:rPr>
          <w:rFonts w:ascii="Arial" w:hAnsi="Arial" w:cs="Arial"/>
          <w:sz w:val="22"/>
        </w:rPr>
        <w:tab/>
        <w:t xml:space="preserve">Patterson OV, Freiberg MS, Skanderson M, J. Fodeh S, Brandt CA, DuVall SL. Unlocking echocardiogram measurements for heart disease research through natural language processing. </w:t>
      </w:r>
      <w:r w:rsidRPr="009D29D7">
        <w:rPr>
          <w:rFonts w:ascii="Arial" w:hAnsi="Arial" w:cs="Arial"/>
          <w:i/>
          <w:iCs/>
          <w:sz w:val="22"/>
        </w:rPr>
        <w:t>BMC Cardiovasc Disord</w:t>
      </w:r>
      <w:r w:rsidRPr="009D29D7">
        <w:rPr>
          <w:rFonts w:ascii="Arial" w:hAnsi="Arial" w:cs="Arial"/>
          <w:sz w:val="22"/>
        </w:rPr>
        <w:t xml:space="preserve">. 2017;17:151. </w:t>
      </w:r>
    </w:p>
    <w:p w14:paraId="7D97E7CB"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21. </w:t>
      </w:r>
      <w:r w:rsidRPr="009D29D7">
        <w:rPr>
          <w:rFonts w:ascii="Arial" w:hAnsi="Arial" w:cs="Arial"/>
          <w:sz w:val="22"/>
        </w:rPr>
        <w:tab/>
        <w:t xml:space="preserve">Kim Y, Garvin JH, Goldstein MK, Hwang TS, Redd A, Bolton D, Heidenreich PA, Meystre SM. Extraction of left ventricular ejection fraction information from various types of clinical reports. </w:t>
      </w:r>
      <w:r w:rsidRPr="009D29D7">
        <w:rPr>
          <w:rFonts w:ascii="Arial" w:hAnsi="Arial" w:cs="Arial"/>
          <w:i/>
          <w:iCs/>
          <w:sz w:val="22"/>
        </w:rPr>
        <w:t>Journal of Biomedical Informatics</w:t>
      </w:r>
      <w:r w:rsidRPr="009D29D7">
        <w:rPr>
          <w:rFonts w:ascii="Arial" w:hAnsi="Arial" w:cs="Arial"/>
          <w:sz w:val="22"/>
        </w:rPr>
        <w:t xml:space="preserve">. 2017;67:42–48. </w:t>
      </w:r>
    </w:p>
    <w:p w14:paraId="47A444AB"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22. </w:t>
      </w:r>
      <w:r w:rsidRPr="009D29D7">
        <w:rPr>
          <w:rFonts w:ascii="Arial" w:hAnsi="Arial" w:cs="Arial"/>
          <w:sz w:val="22"/>
        </w:rPr>
        <w:tab/>
        <w:t xml:space="preserve">Austin PC. Balance diagnostics for comparing the distribution of baseline covariates between treatment groups in propensity-score matched samples. </w:t>
      </w:r>
      <w:r w:rsidRPr="009D29D7">
        <w:rPr>
          <w:rFonts w:ascii="Arial" w:hAnsi="Arial" w:cs="Arial"/>
          <w:i/>
          <w:iCs/>
          <w:sz w:val="22"/>
        </w:rPr>
        <w:t>Stat Med</w:t>
      </w:r>
      <w:r w:rsidRPr="009D29D7">
        <w:rPr>
          <w:rFonts w:ascii="Arial" w:hAnsi="Arial" w:cs="Arial"/>
          <w:sz w:val="22"/>
        </w:rPr>
        <w:t xml:space="preserve">. 2009;28:3083–3107. </w:t>
      </w:r>
    </w:p>
    <w:p w14:paraId="03EB3083"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23. </w:t>
      </w:r>
      <w:r w:rsidRPr="009D29D7">
        <w:rPr>
          <w:rFonts w:ascii="Arial" w:hAnsi="Arial" w:cs="Arial"/>
          <w:sz w:val="22"/>
        </w:rPr>
        <w:tab/>
        <w:t xml:space="preserve">Singh BN, Connolly SJ, Crijns HJGM, Roy D, Kowey PR, Capucci A, Radzik D, Aliot EM, Hohnloser SH. Dronedarone for Maintenance of Sinus Rhythm in Atrial Fibrillation or Flutter. </w:t>
      </w:r>
      <w:r w:rsidRPr="009D29D7">
        <w:rPr>
          <w:rFonts w:ascii="Arial" w:hAnsi="Arial" w:cs="Arial"/>
          <w:i/>
          <w:iCs/>
          <w:sz w:val="22"/>
        </w:rPr>
        <w:t>N Engl J Med</w:t>
      </w:r>
      <w:r w:rsidRPr="009D29D7">
        <w:rPr>
          <w:rFonts w:ascii="Arial" w:hAnsi="Arial" w:cs="Arial"/>
          <w:sz w:val="22"/>
        </w:rPr>
        <w:t xml:space="preserve">. 2007;357:987–999. </w:t>
      </w:r>
    </w:p>
    <w:p w14:paraId="70B0C3A4"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24. </w:t>
      </w:r>
      <w:r w:rsidRPr="009D29D7">
        <w:rPr>
          <w:rFonts w:ascii="Arial" w:hAnsi="Arial" w:cs="Arial"/>
          <w:sz w:val="22"/>
        </w:rPr>
        <w:tab/>
        <w:t xml:space="preserve">Le Heuzey J-Y, De Ferrari GM, Radzik D, Santini M, Zhu J, Davy J-M. A Short-Term, Randomized, Double-Blind, Parallel-Group Study to Evaluate the Efficacy and Safety of Dronedarone versus Amiodarone in Patients with Persistent Atrial Fibrillation: The DIONYSOS Study. </w:t>
      </w:r>
      <w:r w:rsidRPr="009D29D7">
        <w:rPr>
          <w:rFonts w:ascii="Arial" w:hAnsi="Arial" w:cs="Arial"/>
          <w:i/>
          <w:iCs/>
          <w:sz w:val="22"/>
        </w:rPr>
        <w:t>Journal of Cardiovascular Electrophysiology</w:t>
      </w:r>
      <w:r w:rsidRPr="009D29D7">
        <w:rPr>
          <w:rFonts w:ascii="Arial" w:hAnsi="Arial" w:cs="Arial"/>
          <w:sz w:val="22"/>
        </w:rPr>
        <w:t xml:space="preserve">. 2010;21:597–605. </w:t>
      </w:r>
    </w:p>
    <w:p w14:paraId="484E514E"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25. </w:t>
      </w:r>
      <w:r w:rsidRPr="009D29D7">
        <w:rPr>
          <w:rFonts w:ascii="Arial" w:hAnsi="Arial" w:cs="Arial"/>
          <w:sz w:val="22"/>
        </w:rPr>
        <w:tab/>
        <w:t xml:space="preserve">Kipp R, Askari M, Fan J, Field ME, Turakhia MP. Real-World Comparison of Classes IC and III Antiarrhythmic Drugs as an Initial Rhythm Control Strategy in Newly Diagnosed Atrial Fibrillation. </w:t>
      </w:r>
      <w:r w:rsidRPr="009D29D7">
        <w:rPr>
          <w:rFonts w:ascii="Arial" w:hAnsi="Arial" w:cs="Arial"/>
          <w:i/>
          <w:iCs/>
          <w:sz w:val="22"/>
        </w:rPr>
        <w:t>JACC: Clinical Electrophysiology</w:t>
      </w:r>
      <w:r w:rsidRPr="009D29D7">
        <w:rPr>
          <w:rFonts w:ascii="Arial" w:hAnsi="Arial" w:cs="Arial"/>
          <w:sz w:val="22"/>
        </w:rPr>
        <w:t xml:space="preserve">. 2019;5:231–241. </w:t>
      </w:r>
    </w:p>
    <w:p w14:paraId="7F91F85F"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26. </w:t>
      </w:r>
      <w:r w:rsidRPr="009D29D7">
        <w:rPr>
          <w:rFonts w:ascii="Arial" w:hAnsi="Arial" w:cs="Arial"/>
          <w:sz w:val="22"/>
        </w:rPr>
        <w:tab/>
        <w:t xml:space="preserve">Friberg L. Ventricular arrhythmia and death among atrial fibrillation patients using anti-arrhythmic drugs. </w:t>
      </w:r>
      <w:r w:rsidRPr="009D29D7">
        <w:rPr>
          <w:rFonts w:ascii="Arial" w:hAnsi="Arial" w:cs="Arial"/>
          <w:i/>
          <w:iCs/>
          <w:sz w:val="22"/>
        </w:rPr>
        <w:t>Am Heart J</w:t>
      </w:r>
      <w:r w:rsidRPr="009D29D7">
        <w:rPr>
          <w:rFonts w:ascii="Arial" w:hAnsi="Arial" w:cs="Arial"/>
          <w:sz w:val="22"/>
        </w:rPr>
        <w:t xml:space="preserve">. 2018;205:118–127. </w:t>
      </w:r>
    </w:p>
    <w:p w14:paraId="1DF248F4"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27. </w:t>
      </w:r>
      <w:r w:rsidRPr="009D29D7">
        <w:rPr>
          <w:rFonts w:ascii="Arial" w:hAnsi="Arial" w:cs="Arial"/>
          <w:sz w:val="22"/>
        </w:rPr>
        <w:tab/>
        <w:t xml:space="preserve">VanderWeele TJ, Ding P. Sensitivity Analysis in Observational Research: Introducing the E-Value. </w:t>
      </w:r>
      <w:r w:rsidRPr="009D29D7">
        <w:rPr>
          <w:rFonts w:ascii="Arial" w:hAnsi="Arial" w:cs="Arial"/>
          <w:i/>
          <w:iCs/>
          <w:sz w:val="22"/>
        </w:rPr>
        <w:t>Ann Intern Med</w:t>
      </w:r>
      <w:r w:rsidRPr="009D29D7">
        <w:rPr>
          <w:rFonts w:ascii="Arial" w:hAnsi="Arial" w:cs="Arial"/>
          <w:sz w:val="22"/>
        </w:rPr>
        <w:t xml:space="preserve">. 2017;167:268–274. </w:t>
      </w:r>
    </w:p>
    <w:p w14:paraId="72E5769B"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28. </w:t>
      </w:r>
      <w:r w:rsidRPr="009D29D7">
        <w:rPr>
          <w:rFonts w:ascii="Arial" w:hAnsi="Arial" w:cs="Arial"/>
          <w:sz w:val="22"/>
        </w:rPr>
        <w:tab/>
        <w:t xml:space="preserve">Van Gelder IC, Hagens VE, Bosker HA, Kingma JH, Kamp O, Kingma T, Said SA, Darmanata JI, Timmermans AJM, Tijssen JGP, Crijns HJGM, Rate Control versus Electrical Cardioversion for Persistent Atrial Fibrillation Study Group. A comparison of rate control and rhythm control in patients with recurrent persistent atrial fibrillation. </w:t>
      </w:r>
      <w:r w:rsidRPr="009D29D7">
        <w:rPr>
          <w:rFonts w:ascii="Arial" w:hAnsi="Arial" w:cs="Arial"/>
          <w:i/>
          <w:iCs/>
          <w:sz w:val="22"/>
        </w:rPr>
        <w:t>N Engl J Med</w:t>
      </w:r>
      <w:r w:rsidRPr="009D29D7">
        <w:rPr>
          <w:rFonts w:ascii="Arial" w:hAnsi="Arial" w:cs="Arial"/>
          <w:sz w:val="22"/>
        </w:rPr>
        <w:t xml:space="preserve">. 2002;347:1834–1840. </w:t>
      </w:r>
    </w:p>
    <w:p w14:paraId="6803FA76"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29. </w:t>
      </w:r>
      <w:r w:rsidRPr="009D29D7">
        <w:rPr>
          <w:rFonts w:ascii="Arial" w:hAnsi="Arial" w:cs="Arial"/>
          <w:sz w:val="22"/>
        </w:rPr>
        <w:tab/>
        <w:t xml:space="preserve">Wyse DG, Waldo AL, DiMarco JP, Domanski MJ, Rosenberg Y, Schron EB, Kellen JC, Greene HL, Mickel MC, Dalquist JE, Corley SD, Atrial Fibrillation Follow-up Investigation of Rhythm Management (AFFIRM) Investigators. A comparison of rate control and rhythm control in patients with atrial fibrillation. </w:t>
      </w:r>
      <w:r w:rsidRPr="009D29D7">
        <w:rPr>
          <w:rFonts w:ascii="Arial" w:hAnsi="Arial" w:cs="Arial"/>
          <w:i/>
          <w:iCs/>
          <w:sz w:val="22"/>
        </w:rPr>
        <w:t>N Engl J Med</w:t>
      </w:r>
      <w:r w:rsidRPr="009D29D7">
        <w:rPr>
          <w:rFonts w:ascii="Arial" w:hAnsi="Arial" w:cs="Arial"/>
          <w:sz w:val="22"/>
        </w:rPr>
        <w:t xml:space="preserve">. 2002;347:1825–1833. </w:t>
      </w:r>
    </w:p>
    <w:p w14:paraId="7BAC7F45" w14:textId="77777777" w:rsidR="009D29D7" w:rsidRPr="009D29D7" w:rsidRDefault="009D29D7" w:rsidP="009D29D7">
      <w:pPr>
        <w:pStyle w:val="Bibliography"/>
        <w:rPr>
          <w:rFonts w:ascii="Arial" w:hAnsi="Arial" w:cs="Arial"/>
          <w:sz w:val="22"/>
        </w:rPr>
      </w:pPr>
      <w:r w:rsidRPr="009D29D7">
        <w:rPr>
          <w:rFonts w:ascii="Arial" w:hAnsi="Arial" w:cs="Arial"/>
          <w:sz w:val="22"/>
        </w:rPr>
        <w:lastRenderedPageBreak/>
        <w:t xml:space="preserve">30. </w:t>
      </w:r>
      <w:r w:rsidRPr="009D29D7">
        <w:rPr>
          <w:rFonts w:ascii="Arial" w:hAnsi="Arial" w:cs="Arial"/>
          <w:sz w:val="22"/>
        </w:rPr>
        <w:tab/>
        <w:t xml:space="preserve">Corley SD, Epstein AE, DiMarco JP, Domanski MJ, Geller N, Greene HL, Josephson RA, Kellen JC, Klein RC, Krahn AD, Mickel M, Mitchell LB, Nelson JD, Rosenberg Y, Schron E, Shemanski L, Waldo AL, Wyse DG, AFFIRM Investigators. Relationships between sinus rhythm, treatment, and survival in the Atrial Fibrillation Follow-Up Investigation of Rhythm Management (AFFIRM) Study. </w:t>
      </w:r>
      <w:r w:rsidRPr="009D29D7">
        <w:rPr>
          <w:rFonts w:ascii="Arial" w:hAnsi="Arial" w:cs="Arial"/>
          <w:i/>
          <w:iCs/>
          <w:sz w:val="22"/>
        </w:rPr>
        <w:t>Circulation</w:t>
      </w:r>
      <w:r w:rsidRPr="009D29D7">
        <w:rPr>
          <w:rFonts w:ascii="Arial" w:hAnsi="Arial" w:cs="Arial"/>
          <w:sz w:val="22"/>
        </w:rPr>
        <w:t xml:space="preserve">. 2004;109:1509–1513. </w:t>
      </w:r>
    </w:p>
    <w:p w14:paraId="239B6451"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31. </w:t>
      </w:r>
      <w:r w:rsidRPr="009D29D7">
        <w:rPr>
          <w:rFonts w:ascii="Arial" w:hAnsi="Arial" w:cs="Arial"/>
          <w:sz w:val="22"/>
        </w:rPr>
        <w:tab/>
        <w:t xml:space="preserve">Di Biase L, Mohanty P, Mohanty S, Santangeli P, Trivedi C, Lakkireddy D, Reddy M, Jais P, Themistoclakis S, Dello Russo A, Casella M, Pelargonio G, Narducci ML, Schweikert R, Neuzil P, Sanchez J, Horton R, Beheiry S, Hongo R, Hao S, Rossillo A, Forleo G, Tondo C, Burkhardt JD, Haissaguerre M, Natale A. Ablation Versus Amiodarone for Treatment of Persistent Atrial Fibrillation in Patients With Congestive Heart Failure and an Implanted Device: Results From the AATAC Multicenter Randomized Trial. </w:t>
      </w:r>
      <w:r w:rsidRPr="009D29D7">
        <w:rPr>
          <w:rFonts w:ascii="Arial" w:hAnsi="Arial" w:cs="Arial"/>
          <w:i/>
          <w:iCs/>
          <w:sz w:val="22"/>
        </w:rPr>
        <w:t>Circulation</w:t>
      </w:r>
      <w:r w:rsidRPr="009D29D7">
        <w:rPr>
          <w:rFonts w:ascii="Arial" w:hAnsi="Arial" w:cs="Arial"/>
          <w:sz w:val="22"/>
        </w:rPr>
        <w:t xml:space="preserve">. 2016;133:1637–1644. </w:t>
      </w:r>
    </w:p>
    <w:p w14:paraId="1B6440C8"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32. </w:t>
      </w:r>
      <w:r w:rsidRPr="009D29D7">
        <w:rPr>
          <w:rFonts w:ascii="Arial" w:hAnsi="Arial" w:cs="Arial"/>
          <w:sz w:val="22"/>
        </w:rPr>
        <w:tab/>
        <w:t xml:space="preserve">Camm AJ, Naccarelli GV, Mittal S, Crijns HJGM, Hohnloser SH, Ma C-S, Natale A, Turakhia MP, Kirchhof P. The Increasing Role of Rhythm Control in Patients With Atrial Fibrillation. </w:t>
      </w:r>
      <w:r w:rsidRPr="009D29D7">
        <w:rPr>
          <w:rFonts w:ascii="Arial" w:hAnsi="Arial" w:cs="Arial"/>
          <w:i/>
          <w:iCs/>
          <w:sz w:val="22"/>
        </w:rPr>
        <w:t>Journal of the American College of Cardiology</w:t>
      </w:r>
      <w:r w:rsidRPr="009D29D7">
        <w:rPr>
          <w:rFonts w:ascii="Arial" w:hAnsi="Arial" w:cs="Arial"/>
          <w:sz w:val="22"/>
        </w:rPr>
        <w:t xml:space="preserve">. 2022;79:1932–1948. </w:t>
      </w:r>
    </w:p>
    <w:p w14:paraId="70160BD3"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33. </w:t>
      </w:r>
      <w:r w:rsidRPr="009D29D7">
        <w:rPr>
          <w:rFonts w:ascii="Arial" w:hAnsi="Arial" w:cs="Arial"/>
          <w:sz w:val="22"/>
        </w:rPr>
        <w:tab/>
        <w:t xml:space="preserve">Allen LaPointe NM, Dai D, Thomas L, Piccini JP, Peterson ED, Al-Khatib SM. Comparisons of Hospitalization Rates Among Younger Atrial Fibrillation Patients Receiving Different Antiarrhythmic Drugs. </w:t>
      </w:r>
      <w:r w:rsidRPr="009D29D7">
        <w:rPr>
          <w:rFonts w:ascii="Arial" w:hAnsi="Arial" w:cs="Arial"/>
          <w:i/>
          <w:iCs/>
          <w:sz w:val="22"/>
        </w:rPr>
        <w:t>Circ: Cardiovascular Quality and Outcomes</w:t>
      </w:r>
      <w:r w:rsidRPr="009D29D7">
        <w:rPr>
          <w:rFonts w:ascii="Arial" w:hAnsi="Arial" w:cs="Arial"/>
          <w:sz w:val="22"/>
        </w:rPr>
        <w:t xml:space="preserve">. 2015;8:292–300. </w:t>
      </w:r>
    </w:p>
    <w:p w14:paraId="18D08F52"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34. </w:t>
      </w:r>
      <w:r w:rsidRPr="009D29D7">
        <w:rPr>
          <w:rFonts w:ascii="Arial" w:hAnsi="Arial" w:cs="Arial"/>
          <w:sz w:val="22"/>
        </w:rPr>
        <w:tab/>
        <w:t xml:space="preserve">Singh BN, Cingolani E. A New Agent for Atrial Fibrillation: Electrophysiological Properties of Dronedarone. </w:t>
      </w:r>
      <w:r w:rsidRPr="009D29D7">
        <w:rPr>
          <w:rFonts w:ascii="Arial" w:hAnsi="Arial" w:cs="Arial"/>
          <w:i/>
          <w:iCs/>
          <w:sz w:val="22"/>
        </w:rPr>
        <w:t>J Cardiovasc Pharmacol Ther</w:t>
      </w:r>
      <w:r w:rsidRPr="009D29D7">
        <w:rPr>
          <w:rFonts w:ascii="Arial" w:hAnsi="Arial" w:cs="Arial"/>
          <w:sz w:val="22"/>
        </w:rPr>
        <w:t xml:space="preserve">. 2010;15:6S-14S. </w:t>
      </w:r>
    </w:p>
    <w:p w14:paraId="14170566"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35. </w:t>
      </w:r>
      <w:r w:rsidRPr="009D29D7">
        <w:rPr>
          <w:rFonts w:ascii="Arial" w:hAnsi="Arial" w:cs="Arial"/>
          <w:sz w:val="22"/>
        </w:rPr>
        <w:tab/>
        <w:t xml:space="preserve">Varró A, Takács J, Németh M, Hála O, Virág L, Iost N, Baláti B, Ágoston M, Vereckei A, Pastor G, Delbruyère M, Gautier P, Nisato D, Papp JG. Electrophysiological effects of dronedarone (SR 33589), a noniodinated amiodarone derivative in the canine heart: comparison with amiodarone: Electrophysiological effects of dronedarone. </w:t>
      </w:r>
      <w:r w:rsidRPr="009D29D7">
        <w:rPr>
          <w:rFonts w:ascii="Arial" w:hAnsi="Arial" w:cs="Arial"/>
          <w:i/>
          <w:iCs/>
          <w:sz w:val="22"/>
        </w:rPr>
        <w:t>British Journal of Pharmacology</w:t>
      </w:r>
      <w:r w:rsidRPr="009D29D7">
        <w:rPr>
          <w:rFonts w:ascii="Arial" w:hAnsi="Arial" w:cs="Arial"/>
          <w:sz w:val="22"/>
        </w:rPr>
        <w:t xml:space="preserve">. 2001;133:625–634. </w:t>
      </w:r>
    </w:p>
    <w:p w14:paraId="5236CDE7"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36. </w:t>
      </w:r>
      <w:r w:rsidRPr="009D29D7">
        <w:rPr>
          <w:rFonts w:ascii="Arial" w:hAnsi="Arial" w:cs="Arial"/>
          <w:sz w:val="22"/>
        </w:rPr>
        <w:tab/>
        <w:t xml:space="preserve">Moro S, Ferreiro M, Celestino D, Medei E, Elizari MV, Sicouri S. In Vitro Effects of Acute Amiodarone and Dronedarone on Epicardial, Endocardial, and M Cells of the Canine Ventricle. </w:t>
      </w:r>
      <w:r w:rsidRPr="009D29D7">
        <w:rPr>
          <w:rFonts w:ascii="Arial" w:hAnsi="Arial" w:cs="Arial"/>
          <w:i/>
          <w:iCs/>
          <w:sz w:val="22"/>
        </w:rPr>
        <w:t>J Cardiovasc Pharmacol Ther</w:t>
      </w:r>
      <w:r w:rsidRPr="009D29D7">
        <w:rPr>
          <w:rFonts w:ascii="Arial" w:hAnsi="Arial" w:cs="Arial"/>
          <w:sz w:val="22"/>
        </w:rPr>
        <w:t xml:space="preserve">. 2007;12:314–321. </w:t>
      </w:r>
    </w:p>
    <w:p w14:paraId="1B860B6F"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37. </w:t>
      </w:r>
      <w:r w:rsidRPr="009D29D7">
        <w:rPr>
          <w:rFonts w:ascii="Arial" w:hAnsi="Arial" w:cs="Arial"/>
          <w:sz w:val="22"/>
        </w:rPr>
        <w:tab/>
        <w:t xml:space="preserve">A Comparison of Rate Control and Rhythm Control in Patients with Atrial Fibrillation. </w:t>
      </w:r>
      <w:r w:rsidRPr="009D29D7">
        <w:rPr>
          <w:rFonts w:ascii="Arial" w:hAnsi="Arial" w:cs="Arial"/>
          <w:i/>
          <w:iCs/>
          <w:sz w:val="22"/>
        </w:rPr>
        <w:t>N Engl J Med</w:t>
      </w:r>
      <w:r w:rsidRPr="009D29D7">
        <w:rPr>
          <w:rFonts w:ascii="Arial" w:hAnsi="Arial" w:cs="Arial"/>
          <w:sz w:val="22"/>
        </w:rPr>
        <w:t xml:space="preserve">. 2002;347:1825–1833. </w:t>
      </w:r>
    </w:p>
    <w:p w14:paraId="0071661D" w14:textId="77777777" w:rsidR="009D29D7" w:rsidRPr="009D29D7" w:rsidRDefault="009D29D7" w:rsidP="009D29D7">
      <w:pPr>
        <w:pStyle w:val="Bibliography"/>
        <w:rPr>
          <w:rFonts w:ascii="Arial" w:hAnsi="Arial" w:cs="Arial"/>
          <w:sz w:val="22"/>
        </w:rPr>
      </w:pPr>
      <w:r w:rsidRPr="009D29D7">
        <w:rPr>
          <w:rFonts w:ascii="Arial" w:hAnsi="Arial" w:cs="Arial"/>
          <w:sz w:val="22"/>
        </w:rPr>
        <w:t xml:space="preserve">38. </w:t>
      </w:r>
      <w:r w:rsidRPr="009D29D7">
        <w:rPr>
          <w:rFonts w:ascii="Arial" w:hAnsi="Arial" w:cs="Arial"/>
          <w:sz w:val="22"/>
        </w:rPr>
        <w:tab/>
        <w:t xml:space="preserve">Makkar RR. Female Gender as a Risk Factor for Torsades de Pointes Associated With Cardiovascular Drugs. </w:t>
      </w:r>
      <w:r w:rsidRPr="009D29D7">
        <w:rPr>
          <w:rFonts w:ascii="Arial" w:hAnsi="Arial" w:cs="Arial"/>
          <w:i/>
          <w:iCs/>
          <w:sz w:val="22"/>
        </w:rPr>
        <w:t>JAMA</w:t>
      </w:r>
      <w:r w:rsidRPr="009D29D7">
        <w:rPr>
          <w:rFonts w:ascii="Arial" w:hAnsi="Arial" w:cs="Arial"/>
          <w:sz w:val="22"/>
        </w:rPr>
        <w:t xml:space="preserve">. 1993;270:2590. </w:t>
      </w:r>
    </w:p>
    <w:p w14:paraId="467F3EBA" w14:textId="5783ED0A" w:rsidR="002C5301" w:rsidRPr="00995CF1" w:rsidRDefault="009D29D7" w:rsidP="00D405B9">
      <w:pPr>
        <w:spacing w:line="480" w:lineRule="auto"/>
        <w:rPr>
          <w:rFonts w:ascii="Arial" w:hAnsi="Arial" w:cs="Arial"/>
          <w:b/>
          <w:bCs/>
          <w:sz w:val="22"/>
          <w:szCs w:val="22"/>
        </w:rPr>
        <w:sectPr w:rsidR="002C5301" w:rsidRPr="00995CF1" w:rsidSect="003A1C04">
          <w:pgSz w:w="12240" w:h="15840"/>
          <w:pgMar w:top="1440" w:right="1440" w:bottom="1440" w:left="1440" w:header="720" w:footer="720" w:gutter="0"/>
          <w:lnNumType w:countBy="1" w:restart="continuous"/>
          <w:cols w:space="720"/>
          <w:docGrid w:linePitch="360"/>
        </w:sectPr>
      </w:pPr>
      <w:r>
        <w:rPr>
          <w:rFonts w:ascii="Arial" w:hAnsi="Arial" w:cs="Arial"/>
          <w:sz w:val="22"/>
        </w:rPr>
        <w:fldChar w:fldCharType="end"/>
      </w:r>
    </w:p>
    <w:p w14:paraId="4220F2B7" w14:textId="77777777" w:rsidR="003B657B" w:rsidRPr="00995CF1" w:rsidRDefault="003B657B" w:rsidP="003B657B">
      <w:pPr>
        <w:spacing w:line="480" w:lineRule="auto"/>
        <w:rPr>
          <w:rFonts w:ascii="Arial" w:hAnsi="Arial" w:cs="Arial"/>
          <w:sz w:val="22"/>
          <w:szCs w:val="22"/>
        </w:rPr>
      </w:pPr>
      <w:r w:rsidRPr="00995CF1">
        <w:rPr>
          <w:rFonts w:ascii="Arial" w:hAnsi="Arial" w:cs="Arial"/>
          <w:b/>
          <w:bCs/>
          <w:sz w:val="22"/>
          <w:szCs w:val="22"/>
        </w:rPr>
        <w:lastRenderedPageBreak/>
        <w:t>FIGURES WITH FIGURE LEGENDS</w:t>
      </w:r>
    </w:p>
    <w:p w14:paraId="050C2143" w14:textId="77777777" w:rsidR="003B657B" w:rsidRPr="00995CF1" w:rsidRDefault="003B657B" w:rsidP="003B657B">
      <w:pPr>
        <w:spacing w:line="480" w:lineRule="auto"/>
        <w:rPr>
          <w:rFonts w:ascii="Arial" w:hAnsi="Arial" w:cs="Arial"/>
          <w:sz w:val="22"/>
          <w:szCs w:val="22"/>
        </w:rPr>
      </w:pPr>
    </w:p>
    <w:p w14:paraId="3D64C575" w14:textId="77777777" w:rsidR="003B657B" w:rsidRPr="00995CF1" w:rsidRDefault="003B657B" w:rsidP="003B657B">
      <w:pPr>
        <w:spacing w:line="480" w:lineRule="auto"/>
        <w:rPr>
          <w:rFonts w:ascii="Arial" w:hAnsi="Arial" w:cs="Arial"/>
          <w:sz w:val="22"/>
          <w:szCs w:val="22"/>
        </w:rPr>
      </w:pPr>
      <w:r w:rsidRPr="00995CF1">
        <w:rPr>
          <w:noProof/>
          <w:sz w:val="22"/>
          <w:szCs w:val="22"/>
        </w:rPr>
        <w:drawing>
          <wp:inline distT="0" distB="0" distL="0" distR="0" wp14:anchorId="07E01050" wp14:editId="39DE8C4D">
            <wp:extent cx="8229600" cy="310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3107055"/>
                    </a:xfrm>
                    <a:prstGeom prst="rect">
                      <a:avLst/>
                    </a:prstGeom>
                  </pic:spPr>
                </pic:pic>
              </a:graphicData>
            </a:graphic>
          </wp:inline>
        </w:drawing>
      </w:r>
    </w:p>
    <w:p w14:paraId="5DF7E33B" w14:textId="77777777" w:rsidR="003B657B" w:rsidRPr="00995CF1" w:rsidRDefault="003B657B" w:rsidP="003B657B">
      <w:pPr>
        <w:spacing w:line="480" w:lineRule="auto"/>
        <w:rPr>
          <w:rFonts w:ascii="Arial" w:hAnsi="Arial" w:cs="Arial"/>
          <w:sz w:val="22"/>
          <w:szCs w:val="22"/>
        </w:rPr>
      </w:pPr>
      <w:r w:rsidRPr="00995CF1">
        <w:rPr>
          <w:rFonts w:ascii="Arial" w:hAnsi="Arial" w:cs="Arial"/>
          <w:b/>
          <w:bCs/>
          <w:sz w:val="22"/>
          <w:szCs w:val="22"/>
        </w:rPr>
        <w:t>Figure 1. Study Design</w:t>
      </w:r>
      <w:r w:rsidRPr="00995CF1">
        <w:rPr>
          <w:rFonts w:ascii="Arial" w:hAnsi="Arial" w:cs="Arial"/>
          <w:sz w:val="22"/>
          <w:szCs w:val="22"/>
        </w:rPr>
        <w:t xml:space="preserve">. The primary analytic cohort consisted of patients prescribed dronedarone or sotalol (at least 160 mg daily combined dose), with the above noted inclusion and exclusion criteria. The index date was the date of dronedarone or sotalol prescription. Covariates for propensity matching were assessed in the 180 days prior to the index date. Patients were followed from the index date until occurrence of outcome, death, medication discontinuation, use of other anti-arrhythmic, or end of follow-up.   </w:t>
      </w:r>
    </w:p>
    <w:p w14:paraId="09D54473" w14:textId="77777777" w:rsidR="003B657B" w:rsidRPr="00995CF1" w:rsidRDefault="003B657B" w:rsidP="003B657B">
      <w:pPr>
        <w:rPr>
          <w:rFonts w:ascii="Arial" w:hAnsi="Arial" w:cs="Arial"/>
          <w:sz w:val="22"/>
          <w:szCs w:val="22"/>
        </w:rPr>
      </w:pPr>
      <w:r w:rsidRPr="00995CF1">
        <w:rPr>
          <w:rFonts w:ascii="Arial" w:hAnsi="Arial" w:cs="Arial"/>
          <w:sz w:val="22"/>
          <w:szCs w:val="22"/>
        </w:rPr>
        <w:br w:type="page"/>
      </w:r>
    </w:p>
    <w:p w14:paraId="55AFA679" w14:textId="77777777" w:rsidR="003B657B" w:rsidRPr="00995CF1" w:rsidRDefault="003B657B" w:rsidP="003B657B">
      <w:pPr>
        <w:spacing w:line="480" w:lineRule="auto"/>
        <w:rPr>
          <w:rFonts w:ascii="Arial" w:hAnsi="Arial" w:cs="Arial"/>
          <w:sz w:val="22"/>
          <w:szCs w:val="22"/>
        </w:rPr>
      </w:pPr>
      <w:r>
        <w:rPr>
          <w:noProof/>
        </w:rPr>
        <w:lastRenderedPageBreak/>
        <w:drawing>
          <wp:inline distT="0" distB="0" distL="0" distR="0" wp14:anchorId="29B94B81" wp14:editId="44924C0F">
            <wp:extent cx="5787483" cy="508264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2398" cy="5095744"/>
                    </a:xfrm>
                    <a:prstGeom prst="rect">
                      <a:avLst/>
                    </a:prstGeom>
                  </pic:spPr>
                </pic:pic>
              </a:graphicData>
            </a:graphic>
          </wp:inline>
        </w:drawing>
      </w:r>
    </w:p>
    <w:p w14:paraId="4E9260B9" w14:textId="77777777" w:rsidR="003B657B" w:rsidRDefault="003B657B" w:rsidP="003B657B">
      <w:pPr>
        <w:spacing w:line="480" w:lineRule="auto"/>
        <w:rPr>
          <w:rFonts w:ascii="Arial" w:hAnsi="Arial" w:cs="Arial"/>
          <w:sz w:val="22"/>
          <w:szCs w:val="22"/>
        </w:rPr>
      </w:pPr>
      <w:r w:rsidRPr="00995CF1">
        <w:rPr>
          <w:rFonts w:ascii="Arial" w:hAnsi="Arial" w:cs="Arial"/>
          <w:b/>
          <w:bCs/>
          <w:sz w:val="22"/>
          <w:szCs w:val="22"/>
        </w:rPr>
        <w:t>Figure 2. Cohort selection diagram</w:t>
      </w:r>
      <w:r w:rsidRPr="00995CF1">
        <w:rPr>
          <w:rFonts w:ascii="Arial" w:hAnsi="Arial" w:cs="Arial"/>
          <w:sz w:val="22"/>
          <w:szCs w:val="22"/>
        </w:rPr>
        <w:t xml:space="preserve">. Inclusion and exclusion criteria used to select initial analysis cohort. </w:t>
      </w:r>
    </w:p>
    <w:p w14:paraId="60958135" w14:textId="77777777" w:rsidR="003B657B" w:rsidRDefault="003B657B" w:rsidP="003B657B">
      <w:pPr>
        <w:rPr>
          <w:rFonts w:ascii="Arial" w:hAnsi="Arial" w:cs="Arial"/>
          <w:sz w:val="22"/>
          <w:szCs w:val="22"/>
        </w:rPr>
      </w:pPr>
      <w:r>
        <w:rPr>
          <w:rFonts w:ascii="Arial" w:hAnsi="Arial" w:cs="Arial"/>
          <w:sz w:val="22"/>
          <w:szCs w:val="22"/>
        </w:rPr>
        <w:br w:type="page"/>
      </w:r>
    </w:p>
    <w:p w14:paraId="628AAC96" w14:textId="77777777" w:rsidR="003B657B" w:rsidRPr="00CE126A" w:rsidRDefault="003B657B" w:rsidP="003B657B">
      <w:pPr>
        <w:spacing w:line="480" w:lineRule="auto"/>
        <w:rPr>
          <w:rFonts w:ascii="Arial" w:hAnsi="Arial" w:cs="Arial"/>
          <w:sz w:val="22"/>
          <w:szCs w:val="22"/>
        </w:rPr>
      </w:pPr>
      <w:r>
        <w:rPr>
          <w:noProof/>
        </w:rPr>
        <w:lastRenderedPageBreak/>
        <w:drawing>
          <wp:inline distT="0" distB="0" distL="0" distR="0" wp14:anchorId="3B7CBE21" wp14:editId="3B96DA4B">
            <wp:extent cx="8229600" cy="4370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4370705"/>
                    </a:xfrm>
                    <a:prstGeom prst="rect">
                      <a:avLst/>
                    </a:prstGeom>
                  </pic:spPr>
                </pic:pic>
              </a:graphicData>
            </a:graphic>
          </wp:inline>
        </w:drawing>
      </w:r>
    </w:p>
    <w:p w14:paraId="7D0BEAA1" w14:textId="77777777" w:rsidR="003B657B" w:rsidRDefault="003B657B" w:rsidP="003B657B">
      <w:pPr>
        <w:spacing w:line="480" w:lineRule="auto"/>
        <w:rPr>
          <w:rFonts w:ascii="Arial" w:hAnsi="Arial" w:cs="Arial"/>
          <w:sz w:val="22"/>
          <w:szCs w:val="22"/>
        </w:rPr>
      </w:pPr>
    </w:p>
    <w:p w14:paraId="4D351128" w14:textId="77777777" w:rsidR="003B657B" w:rsidRPr="00995CF1" w:rsidRDefault="003B657B" w:rsidP="003B657B">
      <w:pPr>
        <w:spacing w:line="480" w:lineRule="auto"/>
        <w:rPr>
          <w:rFonts w:ascii="Arial" w:hAnsi="Arial" w:cs="Arial"/>
          <w:sz w:val="22"/>
          <w:szCs w:val="22"/>
        </w:rPr>
      </w:pPr>
      <w:r w:rsidRPr="00995CF1">
        <w:rPr>
          <w:rFonts w:ascii="Arial" w:hAnsi="Arial" w:cs="Arial"/>
          <w:b/>
          <w:bCs/>
          <w:sz w:val="22"/>
          <w:szCs w:val="22"/>
        </w:rPr>
        <w:t xml:space="preserve">Figure </w:t>
      </w:r>
      <w:r>
        <w:rPr>
          <w:rFonts w:ascii="Arial" w:hAnsi="Arial" w:cs="Arial"/>
          <w:b/>
          <w:bCs/>
          <w:sz w:val="22"/>
          <w:szCs w:val="22"/>
        </w:rPr>
        <w:t>3</w:t>
      </w:r>
      <w:r w:rsidRPr="00995CF1">
        <w:rPr>
          <w:rFonts w:ascii="Arial" w:hAnsi="Arial" w:cs="Arial"/>
          <w:b/>
          <w:bCs/>
          <w:sz w:val="22"/>
          <w:szCs w:val="22"/>
        </w:rPr>
        <w:t xml:space="preserve">. </w:t>
      </w:r>
      <w:r>
        <w:rPr>
          <w:rFonts w:ascii="Arial" w:hAnsi="Arial" w:cs="Arial"/>
          <w:b/>
          <w:bCs/>
          <w:sz w:val="22"/>
          <w:szCs w:val="22"/>
        </w:rPr>
        <w:t>Association of treatment group with primary and secondary outcomes</w:t>
      </w:r>
      <w:r w:rsidRPr="00995CF1">
        <w:rPr>
          <w:rFonts w:ascii="Arial" w:hAnsi="Arial" w:cs="Arial"/>
          <w:sz w:val="22"/>
          <w:szCs w:val="22"/>
        </w:rPr>
        <w:t xml:space="preserve">. </w:t>
      </w:r>
      <w:r>
        <w:rPr>
          <w:rFonts w:ascii="Arial" w:hAnsi="Arial" w:cs="Arial"/>
          <w:sz w:val="22"/>
          <w:szCs w:val="22"/>
        </w:rPr>
        <w:t xml:space="preserve">Hazard ratios for each of the primary and secondary outcomes in the primary analysis using Cox proportional hazard regression. Error bars represents 95% confidence intervals. *CI: Confidence Interval. </w:t>
      </w:r>
    </w:p>
    <w:p w14:paraId="3412D735" w14:textId="58D4DDBC" w:rsidR="00A83070" w:rsidRPr="00995CF1" w:rsidRDefault="00A83070" w:rsidP="00D405B9">
      <w:pPr>
        <w:spacing w:line="480" w:lineRule="auto"/>
        <w:rPr>
          <w:rFonts w:ascii="Arial" w:hAnsi="Arial" w:cs="Arial"/>
          <w:b/>
          <w:bCs/>
          <w:sz w:val="22"/>
          <w:szCs w:val="22"/>
        </w:rPr>
      </w:pPr>
      <w:r w:rsidRPr="00995CF1">
        <w:rPr>
          <w:rFonts w:ascii="Arial" w:hAnsi="Arial" w:cs="Arial"/>
          <w:b/>
          <w:bCs/>
          <w:sz w:val="22"/>
          <w:szCs w:val="22"/>
        </w:rPr>
        <w:lastRenderedPageBreak/>
        <w:t>TABLES</w:t>
      </w:r>
    </w:p>
    <w:p w14:paraId="422D74D0" w14:textId="75F86140" w:rsidR="002C5301" w:rsidRDefault="00BE3725" w:rsidP="002C5301">
      <w:pPr>
        <w:rPr>
          <w:rFonts w:ascii="Arial" w:hAnsi="Arial" w:cs="Arial"/>
          <w:sz w:val="22"/>
          <w:szCs w:val="22"/>
        </w:rPr>
      </w:pPr>
      <w:r>
        <w:rPr>
          <w:rFonts w:ascii="Arial" w:hAnsi="Arial" w:cs="Arial"/>
          <w:b/>
          <w:bCs/>
          <w:sz w:val="22"/>
          <w:szCs w:val="22"/>
        </w:rPr>
        <w:t>Table 1.</w:t>
      </w:r>
      <w:r w:rsidR="002C5301">
        <w:rPr>
          <w:rFonts w:ascii="Arial" w:hAnsi="Arial" w:cs="Arial"/>
          <w:sz w:val="22"/>
          <w:szCs w:val="22"/>
        </w:rPr>
        <w:t xml:space="preserve"> Baseline demographics and clinical characteristics before and after propensity matching.</w:t>
      </w:r>
      <w:r w:rsidR="000A0924">
        <w:rPr>
          <w:rFonts w:ascii="Arial" w:hAnsi="Arial" w:cs="Arial"/>
          <w:sz w:val="22"/>
          <w:szCs w:val="22"/>
        </w:rPr>
        <w:t xml:space="preserve"> </w:t>
      </w:r>
    </w:p>
    <w:p w14:paraId="64E7279A" w14:textId="77777777" w:rsidR="002C5301" w:rsidRDefault="002C5301" w:rsidP="002C5301">
      <w:pPr>
        <w:rPr>
          <w:rFonts w:ascii="Arial" w:hAnsi="Arial" w:cs="Arial"/>
          <w:sz w:val="22"/>
          <w:szCs w:val="22"/>
        </w:rPr>
      </w:pPr>
    </w:p>
    <w:tbl>
      <w:tblPr>
        <w:tblW w:w="12668" w:type="dxa"/>
        <w:tblInd w:w="-5" w:type="dxa"/>
        <w:tblLook w:val="04A0" w:firstRow="1" w:lastRow="0" w:firstColumn="1" w:lastColumn="0" w:noHBand="0" w:noVBand="1"/>
      </w:tblPr>
      <w:tblGrid>
        <w:gridCol w:w="2880"/>
        <w:gridCol w:w="1710"/>
        <w:gridCol w:w="1620"/>
        <w:gridCol w:w="1620"/>
        <w:gridCol w:w="1620"/>
        <w:gridCol w:w="1620"/>
        <w:gridCol w:w="1598"/>
      </w:tblGrid>
      <w:tr w:rsidR="002C5301" w:rsidRPr="00A43015" w14:paraId="649ABFBF" w14:textId="77777777" w:rsidTr="007F4922">
        <w:trPr>
          <w:trHeight w:val="320"/>
        </w:trPr>
        <w:tc>
          <w:tcPr>
            <w:tcW w:w="288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E72932"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Variable</w:t>
            </w:r>
          </w:p>
        </w:tc>
        <w:tc>
          <w:tcPr>
            <w:tcW w:w="3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242C5E"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Prior to Matching</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C6FDC0" w14:textId="25B5404E"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Standardized</w:t>
            </w:r>
            <w:r w:rsidR="00E33A43">
              <w:rPr>
                <w:rFonts w:ascii="Arial" w:eastAsia="Times New Roman" w:hAnsi="Arial" w:cs="Arial"/>
                <w:b/>
                <w:bCs/>
                <w:color w:val="000000"/>
                <w:sz w:val="22"/>
                <w:szCs w:val="22"/>
              </w:rPr>
              <w:t xml:space="preserve"> Mean</w:t>
            </w:r>
            <w:r w:rsidRPr="00A43015">
              <w:rPr>
                <w:rFonts w:ascii="Arial" w:eastAsia="Times New Roman" w:hAnsi="Arial" w:cs="Arial"/>
                <w:b/>
                <w:bCs/>
                <w:color w:val="000000"/>
                <w:sz w:val="22"/>
                <w:szCs w:val="22"/>
              </w:rPr>
              <w:t xml:space="preserve"> Difference</w:t>
            </w:r>
          </w:p>
        </w:tc>
        <w:tc>
          <w:tcPr>
            <w:tcW w:w="324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015BEE"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Matched Cohort</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30A79C" w14:textId="74281EF3"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Standardized</w:t>
            </w:r>
            <w:r w:rsidR="00E33A43">
              <w:rPr>
                <w:rFonts w:ascii="Arial" w:eastAsia="Times New Roman" w:hAnsi="Arial" w:cs="Arial"/>
                <w:b/>
                <w:bCs/>
                <w:color w:val="000000"/>
                <w:sz w:val="22"/>
                <w:szCs w:val="22"/>
              </w:rPr>
              <w:t xml:space="preserve"> </w:t>
            </w:r>
            <w:proofErr w:type="gramStart"/>
            <w:r w:rsidR="00E33A43">
              <w:rPr>
                <w:rFonts w:ascii="Arial" w:eastAsia="Times New Roman" w:hAnsi="Arial" w:cs="Arial"/>
                <w:b/>
                <w:bCs/>
                <w:color w:val="000000"/>
                <w:sz w:val="22"/>
                <w:szCs w:val="22"/>
              </w:rPr>
              <w:t xml:space="preserve">Mean </w:t>
            </w:r>
            <w:r w:rsidRPr="00A43015">
              <w:rPr>
                <w:rFonts w:ascii="Arial" w:eastAsia="Times New Roman" w:hAnsi="Arial" w:cs="Arial"/>
                <w:b/>
                <w:bCs/>
                <w:color w:val="000000"/>
                <w:sz w:val="22"/>
                <w:szCs w:val="22"/>
              </w:rPr>
              <w:t xml:space="preserve"> Difference</w:t>
            </w:r>
            <w:proofErr w:type="gramEnd"/>
            <w:r w:rsidR="00D50AD2">
              <w:rPr>
                <w:rFonts w:ascii="Arial" w:eastAsia="Times New Roman" w:hAnsi="Arial" w:cs="Arial"/>
                <w:b/>
                <w:bCs/>
                <w:color w:val="000000"/>
                <w:sz w:val="22"/>
                <w:szCs w:val="22"/>
              </w:rPr>
              <w:t>*</w:t>
            </w:r>
          </w:p>
        </w:tc>
      </w:tr>
      <w:tr w:rsidR="002C5301" w:rsidRPr="00A43015" w14:paraId="15C51994" w14:textId="77777777" w:rsidTr="007F4922">
        <w:trPr>
          <w:trHeight w:val="320"/>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14:paraId="1FBAE572" w14:textId="77777777" w:rsidR="002C5301" w:rsidRPr="00A43015" w:rsidRDefault="002C5301" w:rsidP="00B110EB">
            <w:pPr>
              <w:rPr>
                <w:rFonts w:ascii="Arial" w:eastAsia="Times New Roman" w:hAnsi="Arial" w:cs="Arial"/>
                <w:b/>
                <w:bCs/>
                <w:color w:val="000000"/>
                <w:sz w:val="22"/>
                <w:szCs w:val="22"/>
              </w:rPr>
            </w:pPr>
          </w:p>
        </w:tc>
        <w:tc>
          <w:tcPr>
            <w:tcW w:w="1710" w:type="dxa"/>
            <w:tcBorders>
              <w:top w:val="nil"/>
              <w:left w:val="nil"/>
              <w:bottom w:val="single" w:sz="4" w:space="0" w:color="000000"/>
              <w:right w:val="single" w:sz="4" w:space="0" w:color="000000"/>
            </w:tcBorders>
            <w:shd w:val="clear" w:color="FFFFFF" w:fill="FFFFFF"/>
            <w:vAlign w:val="center"/>
            <w:hideMark/>
          </w:tcPr>
          <w:p w14:paraId="6000FED5"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Sotalol</w:t>
            </w:r>
          </w:p>
        </w:tc>
        <w:tc>
          <w:tcPr>
            <w:tcW w:w="1620" w:type="dxa"/>
            <w:tcBorders>
              <w:top w:val="nil"/>
              <w:left w:val="nil"/>
              <w:bottom w:val="single" w:sz="4" w:space="0" w:color="000000"/>
              <w:right w:val="single" w:sz="4" w:space="0" w:color="000000"/>
            </w:tcBorders>
            <w:shd w:val="clear" w:color="FFFFFF" w:fill="FFFFFF"/>
            <w:vAlign w:val="center"/>
            <w:hideMark/>
          </w:tcPr>
          <w:p w14:paraId="213D28F7"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Dronedarone</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425961AC" w14:textId="77777777" w:rsidR="002C5301" w:rsidRPr="00A43015" w:rsidRDefault="002C5301" w:rsidP="00B110EB">
            <w:pPr>
              <w:rPr>
                <w:rFonts w:ascii="Arial" w:eastAsia="Times New Roman" w:hAnsi="Arial" w:cs="Arial"/>
                <w:b/>
                <w:bCs/>
                <w:color w:val="000000"/>
                <w:sz w:val="22"/>
                <w:szCs w:val="22"/>
              </w:rPr>
            </w:pPr>
          </w:p>
        </w:tc>
        <w:tc>
          <w:tcPr>
            <w:tcW w:w="1620" w:type="dxa"/>
            <w:tcBorders>
              <w:top w:val="nil"/>
              <w:left w:val="nil"/>
              <w:bottom w:val="single" w:sz="4" w:space="0" w:color="000000"/>
              <w:right w:val="single" w:sz="4" w:space="0" w:color="000000"/>
            </w:tcBorders>
            <w:shd w:val="clear" w:color="FFFFFF" w:fill="FFFFFF"/>
            <w:vAlign w:val="center"/>
            <w:hideMark/>
          </w:tcPr>
          <w:p w14:paraId="7A04EA6F"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Sotalol</w:t>
            </w:r>
          </w:p>
        </w:tc>
        <w:tc>
          <w:tcPr>
            <w:tcW w:w="1620" w:type="dxa"/>
            <w:tcBorders>
              <w:top w:val="nil"/>
              <w:left w:val="nil"/>
              <w:bottom w:val="single" w:sz="4" w:space="0" w:color="000000"/>
              <w:right w:val="single" w:sz="4" w:space="0" w:color="000000"/>
            </w:tcBorders>
            <w:shd w:val="clear" w:color="FFFFFF" w:fill="FFFFFF"/>
            <w:vAlign w:val="center"/>
            <w:hideMark/>
          </w:tcPr>
          <w:p w14:paraId="29A29432"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Dronedarone</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14:paraId="5D1BFCFB" w14:textId="77777777" w:rsidR="002C5301" w:rsidRPr="00A43015" w:rsidRDefault="002C5301" w:rsidP="00B110EB">
            <w:pPr>
              <w:rPr>
                <w:rFonts w:ascii="Arial" w:eastAsia="Times New Roman" w:hAnsi="Arial" w:cs="Arial"/>
                <w:b/>
                <w:bCs/>
                <w:color w:val="000000"/>
                <w:sz w:val="22"/>
                <w:szCs w:val="22"/>
              </w:rPr>
            </w:pPr>
          </w:p>
        </w:tc>
      </w:tr>
      <w:tr w:rsidR="002C5301" w:rsidRPr="00A43015" w14:paraId="45CEEC6B"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57307ED"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Number of patients</w:t>
            </w:r>
          </w:p>
        </w:tc>
        <w:tc>
          <w:tcPr>
            <w:tcW w:w="1710" w:type="dxa"/>
            <w:tcBorders>
              <w:top w:val="nil"/>
              <w:left w:val="nil"/>
              <w:bottom w:val="single" w:sz="4" w:space="0" w:color="000000"/>
              <w:right w:val="single" w:sz="4" w:space="0" w:color="000000"/>
            </w:tcBorders>
            <w:shd w:val="clear" w:color="FFFFFF" w:fill="FFFFFF"/>
            <w:vAlign w:val="center"/>
            <w:hideMark/>
          </w:tcPr>
          <w:p w14:paraId="6903DBA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8,190</w:t>
            </w:r>
          </w:p>
        </w:tc>
        <w:tc>
          <w:tcPr>
            <w:tcW w:w="1620" w:type="dxa"/>
            <w:tcBorders>
              <w:top w:val="nil"/>
              <w:left w:val="nil"/>
              <w:bottom w:val="single" w:sz="4" w:space="0" w:color="000000"/>
              <w:right w:val="single" w:sz="4" w:space="0" w:color="000000"/>
            </w:tcBorders>
            <w:shd w:val="clear" w:color="FFFFFF" w:fill="FFFFFF"/>
            <w:vAlign w:val="center"/>
            <w:hideMark/>
          </w:tcPr>
          <w:p w14:paraId="540F47C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3,106</w:t>
            </w:r>
          </w:p>
        </w:tc>
        <w:tc>
          <w:tcPr>
            <w:tcW w:w="1620" w:type="dxa"/>
            <w:tcBorders>
              <w:top w:val="nil"/>
              <w:left w:val="nil"/>
              <w:bottom w:val="single" w:sz="4" w:space="0" w:color="000000"/>
              <w:right w:val="single" w:sz="4" w:space="0" w:color="000000"/>
            </w:tcBorders>
            <w:shd w:val="clear" w:color="FFFFFF" w:fill="FFFFFF"/>
            <w:vAlign w:val="center"/>
            <w:hideMark/>
          </w:tcPr>
          <w:p w14:paraId="69406AA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nil"/>
              <w:bottom w:val="single" w:sz="4" w:space="0" w:color="000000"/>
              <w:right w:val="single" w:sz="4" w:space="0" w:color="000000"/>
            </w:tcBorders>
            <w:shd w:val="clear" w:color="FFFFFF" w:fill="FFFFFF"/>
            <w:vAlign w:val="center"/>
            <w:hideMark/>
          </w:tcPr>
          <w:p w14:paraId="6748D46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3,106</w:t>
            </w:r>
          </w:p>
        </w:tc>
        <w:tc>
          <w:tcPr>
            <w:tcW w:w="1620" w:type="dxa"/>
            <w:tcBorders>
              <w:top w:val="nil"/>
              <w:left w:val="nil"/>
              <w:bottom w:val="single" w:sz="4" w:space="0" w:color="000000"/>
              <w:right w:val="single" w:sz="4" w:space="0" w:color="000000"/>
            </w:tcBorders>
            <w:shd w:val="clear" w:color="FFFFFF" w:fill="FFFFFF"/>
            <w:vAlign w:val="center"/>
            <w:hideMark/>
          </w:tcPr>
          <w:p w14:paraId="700922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3,106</w:t>
            </w:r>
          </w:p>
        </w:tc>
        <w:tc>
          <w:tcPr>
            <w:tcW w:w="1598" w:type="dxa"/>
            <w:tcBorders>
              <w:top w:val="nil"/>
              <w:left w:val="nil"/>
              <w:bottom w:val="single" w:sz="4" w:space="0" w:color="000000"/>
              <w:right w:val="single" w:sz="4" w:space="0" w:color="000000"/>
            </w:tcBorders>
            <w:shd w:val="clear" w:color="FFFFFF" w:fill="FFFFFF"/>
            <w:vAlign w:val="center"/>
            <w:hideMark/>
          </w:tcPr>
          <w:p w14:paraId="297698C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6FF9F28E"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E50A993"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Cohort Entry Year</w:t>
            </w:r>
          </w:p>
        </w:tc>
        <w:tc>
          <w:tcPr>
            <w:tcW w:w="495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7864B0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5F981E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1B0934A9"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2DB17C9"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...2012; n (%)</w:t>
            </w:r>
          </w:p>
        </w:tc>
        <w:tc>
          <w:tcPr>
            <w:tcW w:w="1710" w:type="dxa"/>
            <w:tcBorders>
              <w:top w:val="nil"/>
              <w:left w:val="nil"/>
              <w:bottom w:val="single" w:sz="4" w:space="0" w:color="000000"/>
              <w:right w:val="single" w:sz="4" w:space="0" w:color="000000"/>
            </w:tcBorders>
            <w:shd w:val="clear" w:color="auto" w:fill="auto"/>
            <w:noWrap/>
            <w:vAlign w:val="center"/>
            <w:hideMark/>
          </w:tcPr>
          <w:p w14:paraId="0A2C70E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836 (10.2%)</w:t>
            </w:r>
          </w:p>
        </w:tc>
        <w:tc>
          <w:tcPr>
            <w:tcW w:w="1620" w:type="dxa"/>
            <w:tcBorders>
              <w:top w:val="nil"/>
              <w:left w:val="nil"/>
              <w:bottom w:val="single" w:sz="4" w:space="0" w:color="000000"/>
              <w:right w:val="single" w:sz="4" w:space="0" w:color="000000"/>
            </w:tcBorders>
            <w:shd w:val="clear" w:color="auto" w:fill="auto"/>
            <w:noWrap/>
            <w:vAlign w:val="center"/>
            <w:hideMark/>
          </w:tcPr>
          <w:p w14:paraId="65F53E6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229 (7.4%)</w:t>
            </w:r>
          </w:p>
        </w:tc>
        <w:tc>
          <w:tcPr>
            <w:tcW w:w="1620"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0C684E3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0.157</w:t>
            </w:r>
          </w:p>
        </w:tc>
        <w:tc>
          <w:tcPr>
            <w:tcW w:w="1620" w:type="dxa"/>
            <w:tcBorders>
              <w:top w:val="nil"/>
              <w:left w:val="nil"/>
              <w:bottom w:val="single" w:sz="4" w:space="0" w:color="000000"/>
              <w:right w:val="single" w:sz="4" w:space="0" w:color="000000"/>
            </w:tcBorders>
            <w:shd w:val="clear" w:color="auto" w:fill="auto"/>
            <w:noWrap/>
            <w:vAlign w:val="center"/>
            <w:hideMark/>
          </w:tcPr>
          <w:p w14:paraId="188C4D9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259 (8.3%)</w:t>
            </w:r>
          </w:p>
        </w:tc>
        <w:tc>
          <w:tcPr>
            <w:tcW w:w="1620" w:type="dxa"/>
            <w:tcBorders>
              <w:top w:val="nil"/>
              <w:left w:val="nil"/>
              <w:bottom w:val="single" w:sz="4" w:space="0" w:color="000000"/>
              <w:right w:val="single" w:sz="4" w:space="0" w:color="000000"/>
            </w:tcBorders>
            <w:shd w:val="clear" w:color="auto" w:fill="auto"/>
            <w:noWrap/>
            <w:vAlign w:val="center"/>
            <w:hideMark/>
          </w:tcPr>
          <w:p w14:paraId="5988B47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229 (7.4%)</w:t>
            </w:r>
          </w:p>
        </w:tc>
        <w:tc>
          <w:tcPr>
            <w:tcW w:w="1598"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6C808F6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0.075</w:t>
            </w:r>
          </w:p>
        </w:tc>
      </w:tr>
      <w:tr w:rsidR="002C5301" w:rsidRPr="00A43015" w14:paraId="0856F17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B3608B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...2013; n (%)</w:t>
            </w:r>
          </w:p>
        </w:tc>
        <w:tc>
          <w:tcPr>
            <w:tcW w:w="1710" w:type="dxa"/>
            <w:tcBorders>
              <w:top w:val="nil"/>
              <w:left w:val="nil"/>
              <w:bottom w:val="single" w:sz="4" w:space="0" w:color="000000"/>
              <w:right w:val="single" w:sz="4" w:space="0" w:color="000000"/>
            </w:tcBorders>
            <w:shd w:val="clear" w:color="auto" w:fill="auto"/>
            <w:noWrap/>
            <w:vAlign w:val="center"/>
            <w:hideMark/>
          </w:tcPr>
          <w:p w14:paraId="72F84B3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779 (9.5%)</w:t>
            </w:r>
          </w:p>
        </w:tc>
        <w:tc>
          <w:tcPr>
            <w:tcW w:w="1620" w:type="dxa"/>
            <w:tcBorders>
              <w:top w:val="nil"/>
              <w:left w:val="nil"/>
              <w:bottom w:val="single" w:sz="4" w:space="0" w:color="000000"/>
              <w:right w:val="single" w:sz="4" w:space="0" w:color="000000"/>
            </w:tcBorders>
            <w:shd w:val="clear" w:color="auto" w:fill="auto"/>
            <w:noWrap/>
            <w:vAlign w:val="center"/>
            <w:hideMark/>
          </w:tcPr>
          <w:p w14:paraId="3A6A397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241 (7.8%)</w:t>
            </w:r>
          </w:p>
        </w:tc>
        <w:tc>
          <w:tcPr>
            <w:tcW w:w="1620" w:type="dxa"/>
            <w:vMerge/>
            <w:tcBorders>
              <w:top w:val="nil"/>
              <w:left w:val="single" w:sz="4" w:space="0" w:color="000000"/>
              <w:bottom w:val="single" w:sz="4" w:space="0" w:color="000000"/>
              <w:right w:val="single" w:sz="4" w:space="0" w:color="000000"/>
            </w:tcBorders>
            <w:vAlign w:val="center"/>
            <w:hideMark/>
          </w:tcPr>
          <w:p w14:paraId="182ABABC"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A4A7C7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240 (7.7%)</w:t>
            </w:r>
          </w:p>
        </w:tc>
        <w:tc>
          <w:tcPr>
            <w:tcW w:w="1620" w:type="dxa"/>
            <w:tcBorders>
              <w:top w:val="nil"/>
              <w:left w:val="nil"/>
              <w:bottom w:val="single" w:sz="4" w:space="0" w:color="000000"/>
              <w:right w:val="single" w:sz="4" w:space="0" w:color="000000"/>
            </w:tcBorders>
            <w:shd w:val="clear" w:color="auto" w:fill="auto"/>
            <w:noWrap/>
            <w:vAlign w:val="center"/>
            <w:hideMark/>
          </w:tcPr>
          <w:p w14:paraId="5696981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241 (7.8%)</w:t>
            </w:r>
          </w:p>
        </w:tc>
        <w:tc>
          <w:tcPr>
            <w:tcW w:w="1598" w:type="dxa"/>
            <w:vMerge/>
            <w:tcBorders>
              <w:top w:val="nil"/>
              <w:left w:val="single" w:sz="4" w:space="0" w:color="000000"/>
              <w:bottom w:val="single" w:sz="4" w:space="0" w:color="000000"/>
              <w:right w:val="single" w:sz="4" w:space="0" w:color="000000"/>
            </w:tcBorders>
            <w:vAlign w:val="center"/>
            <w:hideMark/>
          </w:tcPr>
          <w:p w14:paraId="6A5635B3" w14:textId="77777777" w:rsidR="002C5301" w:rsidRPr="00A43015" w:rsidRDefault="002C5301" w:rsidP="00B110EB">
            <w:pPr>
              <w:rPr>
                <w:rFonts w:ascii="Arial" w:eastAsia="Times New Roman" w:hAnsi="Arial" w:cs="Arial"/>
                <w:color w:val="000000"/>
                <w:sz w:val="22"/>
                <w:szCs w:val="22"/>
              </w:rPr>
            </w:pPr>
          </w:p>
        </w:tc>
      </w:tr>
      <w:tr w:rsidR="002C5301" w:rsidRPr="00A43015" w14:paraId="2E4F138B"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A7A291E"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...2014; n (%)</w:t>
            </w:r>
          </w:p>
        </w:tc>
        <w:tc>
          <w:tcPr>
            <w:tcW w:w="1710" w:type="dxa"/>
            <w:tcBorders>
              <w:top w:val="nil"/>
              <w:left w:val="nil"/>
              <w:bottom w:val="single" w:sz="4" w:space="0" w:color="000000"/>
              <w:right w:val="single" w:sz="4" w:space="0" w:color="000000"/>
            </w:tcBorders>
            <w:shd w:val="clear" w:color="auto" w:fill="auto"/>
            <w:noWrap/>
            <w:vAlign w:val="center"/>
            <w:hideMark/>
          </w:tcPr>
          <w:p w14:paraId="0B8810E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841 (10.3%)</w:t>
            </w:r>
          </w:p>
        </w:tc>
        <w:tc>
          <w:tcPr>
            <w:tcW w:w="1620" w:type="dxa"/>
            <w:tcBorders>
              <w:top w:val="nil"/>
              <w:left w:val="nil"/>
              <w:bottom w:val="single" w:sz="4" w:space="0" w:color="000000"/>
              <w:right w:val="single" w:sz="4" w:space="0" w:color="000000"/>
            </w:tcBorders>
            <w:shd w:val="clear" w:color="auto" w:fill="auto"/>
            <w:noWrap/>
            <w:vAlign w:val="center"/>
            <w:hideMark/>
          </w:tcPr>
          <w:p w14:paraId="7DFE5AA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273 (8.8%)</w:t>
            </w:r>
          </w:p>
        </w:tc>
        <w:tc>
          <w:tcPr>
            <w:tcW w:w="1620" w:type="dxa"/>
            <w:vMerge/>
            <w:tcBorders>
              <w:top w:val="nil"/>
              <w:left w:val="single" w:sz="4" w:space="0" w:color="000000"/>
              <w:bottom w:val="single" w:sz="4" w:space="0" w:color="000000"/>
              <w:right w:val="single" w:sz="4" w:space="0" w:color="000000"/>
            </w:tcBorders>
            <w:vAlign w:val="center"/>
            <w:hideMark/>
          </w:tcPr>
          <w:p w14:paraId="21E934A7"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0A95BF1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288 (9.3%)</w:t>
            </w:r>
          </w:p>
        </w:tc>
        <w:tc>
          <w:tcPr>
            <w:tcW w:w="1620" w:type="dxa"/>
            <w:tcBorders>
              <w:top w:val="nil"/>
              <w:left w:val="nil"/>
              <w:bottom w:val="single" w:sz="4" w:space="0" w:color="000000"/>
              <w:right w:val="single" w:sz="4" w:space="0" w:color="000000"/>
            </w:tcBorders>
            <w:shd w:val="clear" w:color="auto" w:fill="auto"/>
            <w:noWrap/>
            <w:vAlign w:val="center"/>
            <w:hideMark/>
          </w:tcPr>
          <w:p w14:paraId="2DD18A3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273 (8.8%)</w:t>
            </w:r>
          </w:p>
        </w:tc>
        <w:tc>
          <w:tcPr>
            <w:tcW w:w="1598" w:type="dxa"/>
            <w:vMerge/>
            <w:tcBorders>
              <w:top w:val="nil"/>
              <w:left w:val="single" w:sz="4" w:space="0" w:color="000000"/>
              <w:bottom w:val="single" w:sz="4" w:space="0" w:color="000000"/>
              <w:right w:val="single" w:sz="4" w:space="0" w:color="000000"/>
            </w:tcBorders>
            <w:vAlign w:val="center"/>
            <w:hideMark/>
          </w:tcPr>
          <w:p w14:paraId="5AB008D1" w14:textId="77777777" w:rsidR="002C5301" w:rsidRPr="00A43015" w:rsidRDefault="002C5301" w:rsidP="00B110EB">
            <w:pPr>
              <w:rPr>
                <w:rFonts w:ascii="Arial" w:eastAsia="Times New Roman" w:hAnsi="Arial" w:cs="Arial"/>
                <w:color w:val="000000"/>
                <w:sz w:val="22"/>
                <w:szCs w:val="22"/>
              </w:rPr>
            </w:pPr>
          </w:p>
        </w:tc>
      </w:tr>
      <w:tr w:rsidR="002C5301" w:rsidRPr="00A43015" w14:paraId="1880E160"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AAD7844"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...2015; n (%)</w:t>
            </w:r>
          </w:p>
        </w:tc>
        <w:tc>
          <w:tcPr>
            <w:tcW w:w="1710" w:type="dxa"/>
            <w:tcBorders>
              <w:top w:val="nil"/>
              <w:left w:val="nil"/>
              <w:bottom w:val="single" w:sz="4" w:space="0" w:color="000000"/>
              <w:right w:val="single" w:sz="4" w:space="0" w:color="000000"/>
            </w:tcBorders>
            <w:shd w:val="clear" w:color="auto" w:fill="auto"/>
            <w:noWrap/>
            <w:vAlign w:val="center"/>
            <w:hideMark/>
          </w:tcPr>
          <w:p w14:paraId="5BEB881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886 (10.8%)</w:t>
            </w:r>
          </w:p>
        </w:tc>
        <w:tc>
          <w:tcPr>
            <w:tcW w:w="1620" w:type="dxa"/>
            <w:tcBorders>
              <w:top w:val="nil"/>
              <w:left w:val="nil"/>
              <w:bottom w:val="single" w:sz="4" w:space="0" w:color="000000"/>
              <w:right w:val="single" w:sz="4" w:space="0" w:color="000000"/>
            </w:tcBorders>
            <w:shd w:val="clear" w:color="auto" w:fill="auto"/>
            <w:noWrap/>
            <w:vAlign w:val="center"/>
            <w:hideMark/>
          </w:tcPr>
          <w:p w14:paraId="75D0CDD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347 (11.2%)</w:t>
            </w:r>
          </w:p>
        </w:tc>
        <w:tc>
          <w:tcPr>
            <w:tcW w:w="1620" w:type="dxa"/>
            <w:vMerge/>
            <w:tcBorders>
              <w:top w:val="nil"/>
              <w:left w:val="single" w:sz="4" w:space="0" w:color="000000"/>
              <w:bottom w:val="single" w:sz="4" w:space="0" w:color="000000"/>
              <w:right w:val="single" w:sz="4" w:space="0" w:color="000000"/>
            </w:tcBorders>
            <w:vAlign w:val="center"/>
            <w:hideMark/>
          </w:tcPr>
          <w:p w14:paraId="6674C79B"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291A68B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343 (11.0%)</w:t>
            </w:r>
          </w:p>
        </w:tc>
        <w:tc>
          <w:tcPr>
            <w:tcW w:w="1620" w:type="dxa"/>
            <w:tcBorders>
              <w:top w:val="nil"/>
              <w:left w:val="nil"/>
              <w:bottom w:val="single" w:sz="4" w:space="0" w:color="000000"/>
              <w:right w:val="single" w:sz="4" w:space="0" w:color="000000"/>
            </w:tcBorders>
            <w:shd w:val="clear" w:color="auto" w:fill="auto"/>
            <w:noWrap/>
            <w:vAlign w:val="center"/>
            <w:hideMark/>
          </w:tcPr>
          <w:p w14:paraId="7530F5E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347 (11.2%)</w:t>
            </w:r>
          </w:p>
        </w:tc>
        <w:tc>
          <w:tcPr>
            <w:tcW w:w="1598" w:type="dxa"/>
            <w:vMerge/>
            <w:tcBorders>
              <w:top w:val="nil"/>
              <w:left w:val="single" w:sz="4" w:space="0" w:color="000000"/>
              <w:bottom w:val="single" w:sz="4" w:space="0" w:color="000000"/>
              <w:right w:val="single" w:sz="4" w:space="0" w:color="000000"/>
            </w:tcBorders>
            <w:vAlign w:val="center"/>
            <w:hideMark/>
          </w:tcPr>
          <w:p w14:paraId="725741B6" w14:textId="77777777" w:rsidR="002C5301" w:rsidRPr="00A43015" w:rsidRDefault="002C5301" w:rsidP="00B110EB">
            <w:pPr>
              <w:rPr>
                <w:rFonts w:ascii="Arial" w:eastAsia="Times New Roman" w:hAnsi="Arial" w:cs="Arial"/>
                <w:color w:val="000000"/>
                <w:sz w:val="22"/>
                <w:szCs w:val="22"/>
              </w:rPr>
            </w:pPr>
          </w:p>
        </w:tc>
      </w:tr>
      <w:tr w:rsidR="002C5301" w:rsidRPr="00A43015" w14:paraId="5E09412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352D5E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...2016; n (%)</w:t>
            </w:r>
          </w:p>
        </w:tc>
        <w:tc>
          <w:tcPr>
            <w:tcW w:w="1710" w:type="dxa"/>
            <w:tcBorders>
              <w:top w:val="nil"/>
              <w:left w:val="nil"/>
              <w:bottom w:val="single" w:sz="4" w:space="0" w:color="000000"/>
              <w:right w:val="single" w:sz="4" w:space="0" w:color="000000"/>
            </w:tcBorders>
            <w:shd w:val="clear" w:color="auto" w:fill="auto"/>
            <w:noWrap/>
            <w:vAlign w:val="center"/>
            <w:hideMark/>
          </w:tcPr>
          <w:p w14:paraId="3BE4B0F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979 (12.0%)</w:t>
            </w:r>
          </w:p>
        </w:tc>
        <w:tc>
          <w:tcPr>
            <w:tcW w:w="1620" w:type="dxa"/>
            <w:tcBorders>
              <w:top w:val="nil"/>
              <w:left w:val="nil"/>
              <w:bottom w:val="single" w:sz="4" w:space="0" w:color="000000"/>
              <w:right w:val="single" w:sz="4" w:space="0" w:color="000000"/>
            </w:tcBorders>
            <w:shd w:val="clear" w:color="auto" w:fill="auto"/>
            <w:noWrap/>
            <w:vAlign w:val="center"/>
            <w:hideMark/>
          </w:tcPr>
          <w:p w14:paraId="4F6600D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425 (13.7%)</w:t>
            </w:r>
          </w:p>
        </w:tc>
        <w:tc>
          <w:tcPr>
            <w:tcW w:w="1620" w:type="dxa"/>
            <w:vMerge/>
            <w:tcBorders>
              <w:top w:val="nil"/>
              <w:left w:val="single" w:sz="4" w:space="0" w:color="000000"/>
              <w:bottom w:val="single" w:sz="4" w:space="0" w:color="000000"/>
              <w:right w:val="single" w:sz="4" w:space="0" w:color="000000"/>
            </w:tcBorders>
            <w:vAlign w:val="center"/>
            <w:hideMark/>
          </w:tcPr>
          <w:p w14:paraId="173A5341"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398ABB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413 (13.3%)</w:t>
            </w:r>
          </w:p>
        </w:tc>
        <w:tc>
          <w:tcPr>
            <w:tcW w:w="1620" w:type="dxa"/>
            <w:tcBorders>
              <w:top w:val="nil"/>
              <w:left w:val="nil"/>
              <w:bottom w:val="single" w:sz="4" w:space="0" w:color="000000"/>
              <w:right w:val="single" w:sz="4" w:space="0" w:color="000000"/>
            </w:tcBorders>
            <w:shd w:val="clear" w:color="auto" w:fill="auto"/>
            <w:noWrap/>
            <w:vAlign w:val="center"/>
            <w:hideMark/>
          </w:tcPr>
          <w:p w14:paraId="03009A2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425 (13.7%)</w:t>
            </w:r>
          </w:p>
        </w:tc>
        <w:tc>
          <w:tcPr>
            <w:tcW w:w="1598" w:type="dxa"/>
            <w:vMerge/>
            <w:tcBorders>
              <w:top w:val="nil"/>
              <w:left w:val="single" w:sz="4" w:space="0" w:color="000000"/>
              <w:bottom w:val="single" w:sz="4" w:space="0" w:color="000000"/>
              <w:right w:val="single" w:sz="4" w:space="0" w:color="000000"/>
            </w:tcBorders>
            <w:vAlign w:val="center"/>
            <w:hideMark/>
          </w:tcPr>
          <w:p w14:paraId="49265149" w14:textId="77777777" w:rsidR="002C5301" w:rsidRPr="00A43015" w:rsidRDefault="002C5301" w:rsidP="00B110EB">
            <w:pPr>
              <w:rPr>
                <w:rFonts w:ascii="Arial" w:eastAsia="Times New Roman" w:hAnsi="Arial" w:cs="Arial"/>
                <w:color w:val="000000"/>
                <w:sz w:val="22"/>
                <w:szCs w:val="22"/>
              </w:rPr>
            </w:pPr>
          </w:p>
        </w:tc>
      </w:tr>
      <w:tr w:rsidR="002C5301" w:rsidRPr="00A43015" w14:paraId="36DE2C31"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4163C28"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...2017; n (%)</w:t>
            </w:r>
          </w:p>
        </w:tc>
        <w:tc>
          <w:tcPr>
            <w:tcW w:w="1710" w:type="dxa"/>
            <w:tcBorders>
              <w:top w:val="nil"/>
              <w:left w:val="nil"/>
              <w:bottom w:val="single" w:sz="4" w:space="0" w:color="000000"/>
              <w:right w:val="single" w:sz="4" w:space="0" w:color="000000"/>
            </w:tcBorders>
            <w:shd w:val="clear" w:color="auto" w:fill="auto"/>
            <w:noWrap/>
            <w:vAlign w:val="center"/>
            <w:hideMark/>
          </w:tcPr>
          <w:p w14:paraId="040E981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1,022 (12.5%)</w:t>
            </w:r>
          </w:p>
        </w:tc>
        <w:tc>
          <w:tcPr>
            <w:tcW w:w="1620" w:type="dxa"/>
            <w:tcBorders>
              <w:top w:val="nil"/>
              <w:left w:val="nil"/>
              <w:bottom w:val="single" w:sz="4" w:space="0" w:color="000000"/>
              <w:right w:val="single" w:sz="4" w:space="0" w:color="000000"/>
            </w:tcBorders>
            <w:shd w:val="clear" w:color="auto" w:fill="auto"/>
            <w:noWrap/>
            <w:vAlign w:val="center"/>
            <w:hideMark/>
          </w:tcPr>
          <w:p w14:paraId="3EED376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379 (12.2%)</w:t>
            </w:r>
          </w:p>
        </w:tc>
        <w:tc>
          <w:tcPr>
            <w:tcW w:w="1620" w:type="dxa"/>
            <w:vMerge/>
            <w:tcBorders>
              <w:top w:val="nil"/>
              <w:left w:val="single" w:sz="4" w:space="0" w:color="000000"/>
              <w:bottom w:val="single" w:sz="4" w:space="0" w:color="000000"/>
              <w:right w:val="single" w:sz="4" w:space="0" w:color="000000"/>
            </w:tcBorders>
            <w:vAlign w:val="center"/>
            <w:hideMark/>
          </w:tcPr>
          <w:p w14:paraId="2D72E865"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2C4A483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365 (11.8%)</w:t>
            </w:r>
          </w:p>
        </w:tc>
        <w:tc>
          <w:tcPr>
            <w:tcW w:w="1620" w:type="dxa"/>
            <w:tcBorders>
              <w:top w:val="nil"/>
              <w:left w:val="nil"/>
              <w:bottom w:val="single" w:sz="4" w:space="0" w:color="000000"/>
              <w:right w:val="single" w:sz="4" w:space="0" w:color="000000"/>
            </w:tcBorders>
            <w:shd w:val="clear" w:color="auto" w:fill="auto"/>
            <w:noWrap/>
            <w:vAlign w:val="center"/>
            <w:hideMark/>
          </w:tcPr>
          <w:p w14:paraId="38C0C0B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379 (12.2%)</w:t>
            </w:r>
          </w:p>
        </w:tc>
        <w:tc>
          <w:tcPr>
            <w:tcW w:w="1598" w:type="dxa"/>
            <w:vMerge/>
            <w:tcBorders>
              <w:top w:val="nil"/>
              <w:left w:val="single" w:sz="4" w:space="0" w:color="000000"/>
              <w:bottom w:val="single" w:sz="4" w:space="0" w:color="000000"/>
              <w:right w:val="single" w:sz="4" w:space="0" w:color="000000"/>
            </w:tcBorders>
            <w:vAlign w:val="center"/>
            <w:hideMark/>
          </w:tcPr>
          <w:p w14:paraId="55AF084C" w14:textId="77777777" w:rsidR="002C5301" w:rsidRPr="00A43015" w:rsidRDefault="002C5301" w:rsidP="00B110EB">
            <w:pPr>
              <w:rPr>
                <w:rFonts w:ascii="Arial" w:eastAsia="Times New Roman" w:hAnsi="Arial" w:cs="Arial"/>
                <w:color w:val="000000"/>
                <w:sz w:val="22"/>
                <w:szCs w:val="22"/>
              </w:rPr>
            </w:pPr>
          </w:p>
        </w:tc>
      </w:tr>
      <w:tr w:rsidR="002C5301" w:rsidRPr="00A43015" w14:paraId="61FD238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45232D0"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...2018; n (%)</w:t>
            </w:r>
          </w:p>
        </w:tc>
        <w:tc>
          <w:tcPr>
            <w:tcW w:w="1710" w:type="dxa"/>
            <w:tcBorders>
              <w:top w:val="nil"/>
              <w:left w:val="nil"/>
              <w:bottom w:val="single" w:sz="4" w:space="0" w:color="000000"/>
              <w:right w:val="single" w:sz="4" w:space="0" w:color="000000"/>
            </w:tcBorders>
            <w:shd w:val="clear" w:color="auto" w:fill="auto"/>
            <w:noWrap/>
            <w:vAlign w:val="center"/>
            <w:hideMark/>
          </w:tcPr>
          <w:p w14:paraId="6074155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1,021 (12.5%)</w:t>
            </w:r>
          </w:p>
        </w:tc>
        <w:tc>
          <w:tcPr>
            <w:tcW w:w="1620" w:type="dxa"/>
            <w:tcBorders>
              <w:top w:val="nil"/>
              <w:left w:val="nil"/>
              <w:bottom w:val="single" w:sz="4" w:space="0" w:color="000000"/>
              <w:right w:val="single" w:sz="4" w:space="0" w:color="000000"/>
            </w:tcBorders>
            <w:shd w:val="clear" w:color="auto" w:fill="auto"/>
            <w:noWrap/>
            <w:vAlign w:val="center"/>
            <w:hideMark/>
          </w:tcPr>
          <w:p w14:paraId="6063011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415 (13.4%)</w:t>
            </w:r>
          </w:p>
        </w:tc>
        <w:tc>
          <w:tcPr>
            <w:tcW w:w="1620" w:type="dxa"/>
            <w:vMerge/>
            <w:tcBorders>
              <w:top w:val="nil"/>
              <w:left w:val="single" w:sz="4" w:space="0" w:color="000000"/>
              <w:bottom w:val="single" w:sz="4" w:space="0" w:color="000000"/>
              <w:right w:val="single" w:sz="4" w:space="0" w:color="000000"/>
            </w:tcBorders>
            <w:vAlign w:val="center"/>
            <w:hideMark/>
          </w:tcPr>
          <w:p w14:paraId="512DDDCB"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67A29A0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410 (13.2%)</w:t>
            </w:r>
          </w:p>
        </w:tc>
        <w:tc>
          <w:tcPr>
            <w:tcW w:w="1620" w:type="dxa"/>
            <w:tcBorders>
              <w:top w:val="nil"/>
              <w:left w:val="nil"/>
              <w:bottom w:val="single" w:sz="4" w:space="0" w:color="000000"/>
              <w:right w:val="single" w:sz="4" w:space="0" w:color="000000"/>
            </w:tcBorders>
            <w:shd w:val="clear" w:color="auto" w:fill="auto"/>
            <w:noWrap/>
            <w:vAlign w:val="center"/>
            <w:hideMark/>
          </w:tcPr>
          <w:p w14:paraId="63FCAE6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415 (13.4%)</w:t>
            </w:r>
          </w:p>
        </w:tc>
        <w:tc>
          <w:tcPr>
            <w:tcW w:w="1598" w:type="dxa"/>
            <w:vMerge/>
            <w:tcBorders>
              <w:top w:val="nil"/>
              <w:left w:val="single" w:sz="4" w:space="0" w:color="000000"/>
              <w:bottom w:val="single" w:sz="4" w:space="0" w:color="000000"/>
              <w:right w:val="single" w:sz="4" w:space="0" w:color="000000"/>
            </w:tcBorders>
            <w:vAlign w:val="center"/>
            <w:hideMark/>
          </w:tcPr>
          <w:p w14:paraId="6FBA87EB" w14:textId="77777777" w:rsidR="002C5301" w:rsidRPr="00A43015" w:rsidRDefault="002C5301" w:rsidP="00B110EB">
            <w:pPr>
              <w:rPr>
                <w:rFonts w:ascii="Arial" w:eastAsia="Times New Roman" w:hAnsi="Arial" w:cs="Arial"/>
                <w:color w:val="000000"/>
                <w:sz w:val="22"/>
                <w:szCs w:val="22"/>
              </w:rPr>
            </w:pPr>
          </w:p>
        </w:tc>
      </w:tr>
      <w:tr w:rsidR="002C5301" w:rsidRPr="00A43015" w14:paraId="1F59DF1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749C8B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...2019; n (%)</w:t>
            </w:r>
          </w:p>
        </w:tc>
        <w:tc>
          <w:tcPr>
            <w:tcW w:w="1710" w:type="dxa"/>
            <w:tcBorders>
              <w:top w:val="nil"/>
              <w:left w:val="nil"/>
              <w:bottom w:val="single" w:sz="4" w:space="0" w:color="000000"/>
              <w:right w:val="single" w:sz="4" w:space="0" w:color="000000"/>
            </w:tcBorders>
            <w:shd w:val="clear" w:color="auto" w:fill="auto"/>
            <w:noWrap/>
            <w:vAlign w:val="center"/>
            <w:hideMark/>
          </w:tcPr>
          <w:p w14:paraId="74A4FA6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1,034 (12.6%)</w:t>
            </w:r>
          </w:p>
        </w:tc>
        <w:tc>
          <w:tcPr>
            <w:tcW w:w="1620" w:type="dxa"/>
            <w:tcBorders>
              <w:top w:val="nil"/>
              <w:left w:val="nil"/>
              <w:bottom w:val="single" w:sz="4" w:space="0" w:color="000000"/>
              <w:right w:val="single" w:sz="4" w:space="0" w:color="000000"/>
            </w:tcBorders>
            <w:shd w:val="clear" w:color="auto" w:fill="auto"/>
            <w:noWrap/>
            <w:vAlign w:val="center"/>
            <w:hideMark/>
          </w:tcPr>
          <w:p w14:paraId="7828166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448 (14.4%)</w:t>
            </w:r>
          </w:p>
        </w:tc>
        <w:tc>
          <w:tcPr>
            <w:tcW w:w="1620" w:type="dxa"/>
            <w:vMerge/>
            <w:tcBorders>
              <w:top w:val="nil"/>
              <w:left w:val="single" w:sz="4" w:space="0" w:color="000000"/>
              <w:bottom w:val="single" w:sz="4" w:space="0" w:color="000000"/>
              <w:right w:val="single" w:sz="4" w:space="0" w:color="000000"/>
            </w:tcBorders>
            <w:vAlign w:val="center"/>
            <w:hideMark/>
          </w:tcPr>
          <w:p w14:paraId="34F0D339"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15E40F2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434 (14.0%)</w:t>
            </w:r>
          </w:p>
        </w:tc>
        <w:tc>
          <w:tcPr>
            <w:tcW w:w="1620" w:type="dxa"/>
            <w:tcBorders>
              <w:top w:val="nil"/>
              <w:left w:val="nil"/>
              <w:bottom w:val="single" w:sz="4" w:space="0" w:color="000000"/>
              <w:right w:val="single" w:sz="4" w:space="0" w:color="000000"/>
            </w:tcBorders>
            <w:shd w:val="clear" w:color="auto" w:fill="auto"/>
            <w:noWrap/>
            <w:vAlign w:val="center"/>
            <w:hideMark/>
          </w:tcPr>
          <w:p w14:paraId="6925C5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448 (14.4%)</w:t>
            </w:r>
          </w:p>
        </w:tc>
        <w:tc>
          <w:tcPr>
            <w:tcW w:w="1598" w:type="dxa"/>
            <w:vMerge/>
            <w:tcBorders>
              <w:top w:val="nil"/>
              <w:left w:val="single" w:sz="4" w:space="0" w:color="000000"/>
              <w:bottom w:val="single" w:sz="4" w:space="0" w:color="000000"/>
              <w:right w:val="single" w:sz="4" w:space="0" w:color="000000"/>
            </w:tcBorders>
            <w:vAlign w:val="center"/>
            <w:hideMark/>
          </w:tcPr>
          <w:p w14:paraId="690FD48C" w14:textId="77777777" w:rsidR="002C5301" w:rsidRPr="00A43015" w:rsidRDefault="002C5301" w:rsidP="00B110EB">
            <w:pPr>
              <w:rPr>
                <w:rFonts w:ascii="Arial" w:eastAsia="Times New Roman" w:hAnsi="Arial" w:cs="Arial"/>
                <w:color w:val="000000"/>
                <w:sz w:val="22"/>
                <w:szCs w:val="22"/>
              </w:rPr>
            </w:pPr>
          </w:p>
        </w:tc>
      </w:tr>
      <w:tr w:rsidR="002C5301" w:rsidRPr="00A43015" w14:paraId="0E7661D1"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5CF71B5"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...2020; n (%)</w:t>
            </w:r>
          </w:p>
        </w:tc>
        <w:tc>
          <w:tcPr>
            <w:tcW w:w="1710" w:type="dxa"/>
            <w:tcBorders>
              <w:top w:val="nil"/>
              <w:left w:val="nil"/>
              <w:bottom w:val="single" w:sz="4" w:space="0" w:color="000000"/>
              <w:right w:val="single" w:sz="4" w:space="0" w:color="000000"/>
            </w:tcBorders>
            <w:shd w:val="clear" w:color="FFFFFF" w:fill="FFFFFF"/>
            <w:vAlign w:val="center"/>
            <w:hideMark/>
          </w:tcPr>
          <w:p w14:paraId="124A012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792 (9.7%)</w:t>
            </w:r>
          </w:p>
        </w:tc>
        <w:tc>
          <w:tcPr>
            <w:tcW w:w="1620" w:type="dxa"/>
            <w:tcBorders>
              <w:top w:val="nil"/>
              <w:left w:val="nil"/>
              <w:bottom w:val="single" w:sz="4" w:space="0" w:color="000000"/>
              <w:right w:val="single" w:sz="4" w:space="0" w:color="000000"/>
            </w:tcBorders>
            <w:shd w:val="clear" w:color="auto" w:fill="auto"/>
            <w:noWrap/>
            <w:vAlign w:val="center"/>
            <w:hideMark/>
          </w:tcPr>
          <w:p w14:paraId="3C19F05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349 (11.2%)</w:t>
            </w:r>
          </w:p>
        </w:tc>
        <w:tc>
          <w:tcPr>
            <w:tcW w:w="1620" w:type="dxa"/>
            <w:vMerge/>
            <w:tcBorders>
              <w:top w:val="nil"/>
              <w:left w:val="single" w:sz="4" w:space="0" w:color="000000"/>
              <w:bottom w:val="single" w:sz="4" w:space="0" w:color="000000"/>
              <w:right w:val="single" w:sz="4" w:space="0" w:color="000000"/>
            </w:tcBorders>
            <w:vAlign w:val="center"/>
            <w:hideMark/>
          </w:tcPr>
          <w:p w14:paraId="4A25C033"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FFFFFF" w:fill="FFFFFF"/>
            <w:vAlign w:val="center"/>
            <w:hideMark/>
          </w:tcPr>
          <w:p w14:paraId="254B3DC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354 (11.4%)</w:t>
            </w:r>
          </w:p>
        </w:tc>
        <w:tc>
          <w:tcPr>
            <w:tcW w:w="1620" w:type="dxa"/>
            <w:tcBorders>
              <w:top w:val="nil"/>
              <w:left w:val="nil"/>
              <w:bottom w:val="single" w:sz="4" w:space="0" w:color="000000"/>
              <w:right w:val="single" w:sz="4" w:space="0" w:color="000000"/>
            </w:tcBorders>
            <w:shd w:val="clear" w:color="auto" w:fill="auto"/>
            <w:noWrap/>
            <w:vAlign w:val="center"/>
            <w:hideMark/>
          </w:tcPr>
          <w:p w14:paraId="528D6ED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349 (11.2%)</w:t>
            </w:r>
          </w:p>
        </w:tc>
        <w:tc>
          <w:tcPr>
            <w:tcW w:w="1598" w:type="dxa"/>
            <w:vMerge/>
            <w:tcBorders>
              <w:top w:val="nil"/>
              <w:left w:val="single" w:sz="4" w:space="0" w:color="000000"/>
              <w:bottom w:val="single" w:sz="4" w:space="0" w:color="000000"/>
              <w:right w:val="single" w:sz="4" w:space="0" w:color="000000"/>
            </w:tcBorders>
            <w:vAlign w:val="center"/>
            <w:hideMark/>
          </w:tcPr>
          <w:p w14:paraId="16E29B8E" w14:textId="77777777" w:rsidR="002C5301" w:rsidRPr="00A43015" w:rsidRDefault="002C5301" w:rsidP="00B110EB">
            <w:pPr>
              <w:rPr>
                <w:rFonts w:ascii="Arial" w:eastAsia="Times New Roman" w:hAnsi="Arial" w:cs="Arial"/>
                <w:color w:val="000000"/>
                <w:sz w:val="22"/>
                <w:szCs w:val="22"/>
              </w:rPr>
            </w:pPr>
          </w:p>
        </w:tc>
      </w:tr>
      <w:tr w:rsidR="002C5301" w:rsidRPr="00A43015" w14:paraId="4051EC3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E93507C"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...2021; n (%)</w:t>
            </w:r>
          </w:p>
        </w:tc>
        <w:tc>
          <w:tcPr>
            <w:tcW w:w="1710" w:type="dxa"/>
            <w:tcBorders>
              <w:top w:val="nil"/>
              <w:left w:val="nil"/>
              <w:bottom w:val="single" w:sz="4" w:space="0" w:color="000000"/>
              <w:right w:val="single" w:sz="4" w:space="0" w:color="000000"/>
            </w:tcBorders>
            <w:shd w:val="clear" w:color="FFFFFF" w:fill="FFFFFF"/>
            <w:vAlign w:val="center"/>
            <w:hideMark/>
          </w:tcPr>
          <w:p w14:paraId="2483A2C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nil"/>
              <w:bottom w:val="single" w:sz="4" w:space="0" w:color="000000"/>
              <w:right w:val="single" w:sz="4" w:space="0" w:color="000000"/>
            </w:tcBorders>
            <w:shd w:val="clear" w:color="FFFFFF" w:fill="FFFFFF"/>
            <w:vAlign w:val="center"/>
            <w:hideMark/>
          </w:tcPr>
          <w:p w14:paraId="69087E5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nil"/>
              <w:bottom w:val="single" w:sz="4" w:space="0" w:color="000000"/>
              <w:right w:val="single" w:sz="4" w:space="0" w:color="000000"/>
            </w:tcBorders>
            <w:shd w:val="clear" w:color="FFFFFF" w:fill="FFFFFF"/>
            <w:vAlign w:val="center"/>
            <w:hideMark/>
          </w:tcPr>
          <w:p w14:paraId="05E3A57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nil"/>
              <w:bottom w:val="single" w:sz="4" w:space="0" w:color="000000"/>
              <w:right w:val="single" w:sz="4" w:space="0" w:color="000000"/>
            </w:tcBorders>
            <w:shd w:val="clear" w:color="FFFFFF" w:fill="FFFFFF"/>
            <w:vAlign w:val="center"/>
            <w:hideMark/>
          </w:tcPr>
          <w:p w14:paraId="094FF2F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nil"/>
              <w:bottom w:val="single" w:sz="4" w:space="0" w:color="000000"/>
              <w:right w:val="single" w:sz="4" w:space="0" w:color="000000"/>
            </w:tcBorders>
            <w:shd w:val="clear" w:color="FFFFFF" w:fill="FFFFFF"/>
            <w:vAlign w:val="center"/>
            <w:hideMark/>
          </w:tcPr>
          <w:p w14:paraId="5B27D52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598" w:type="dxa"/>
            <w:tcBorders>
              <w:top w:val="nil"/>
              <w:left w:val="nil"/>
              <w:bottom w:val="single" w:sz="4" w:space="0" w:color="000000"/>
              <w:right w:val="single" w:sz="4" w:space="0" w:color="000000"/>
            </w:tcBorders>
            <w:shd w:val="clear" w:color="FFFFFF" w:fill="FFFFFF"/>
            <w:vAlign w:val="center"/>
            <w:hideMark/>
          </w:tcPr>
          <w:p w14:paraId="222A001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6496F1D5"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1DFB181"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Age categories (in years)</w:t>
            </w:r>
          </w:p>
        </w:tc>
        <w:tc>
          <w:tcPr>
            <w:tcW w:w="495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DA96C3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7A874D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42345549"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DC86C2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...18 - 34; n (%)</w:t>
            </w:r>
          </w:p>
        </w:tc>
        <w:tc>
          <w:tcPr>
            <w:tcW w:w="1710" w:type="dxa"/>
            <w:tcBorders>
              <w:top w:val="nil"/>
              <w:left w:val="nil"/>
              <w:bottom w:val="single" w:sz="4" w:space="0" w:color="000000"/>
              <w:right w:val="single" w:sz="4" w:space="0" w:color="000000"/>
            </w:tcBorders>
            <w:shd w:val="clear" w:color="auto" w:fill="auto"/>
            <w:noWrap/>
            <w:vAlign w:val="center"/>
            <w:hideMark/>
          </w:tcPr>
          <w:p w14:paraId="5CE9934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 (0.27%)</w:t>
            </w:r>
          </w:p>
        </w:tc>
        <w:tc>
          <w:tcPr>
            <w:tcW w:w="1620" w:type="dxa"/>
            <w:tcBorders>
              <w:top w:val="nil"/>
              <w:left w:val="nil"/>
              <w:bottom w:val="single" w:sz="4" w:space="0" w:color="000000"/>
              <w:right w:val="single" w:sz="4" w:space="0" w:color="000000"/>
            </w:tcBorders>
            <w:shd w:val="clear" w:color="auto" w:fill="auto"/>
            <w:noWrap/>
            <w:vAlign w:val="center"/>
            <w:hideMark/>
          </w:tcPr>
          <w:p w14:paraId="07C3910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 (0.39%)</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49EFCD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0.298</w:t>
            </w:r>
          </w:p>
        </w:tc>
        <w:tc>
          <w:tcPr>
            <w:tcW w:w="1620" w:type="dxa"/>
            <w:tcBorders>
              <w:top w:val="nil"/>
              <w:left w:val="nil"/>
              <w:bottom w:val="single" w:sz="4" w:space="0" w:color="000000"/>
              <w:right w:val="single" w:sz="4" w:space="0" w:color="000000"/>
            </w:tcBorders>
            <w:shd w:val="clear" w:color="auto" w:fill="auto"/>
            <w:noWrap/>
            <w:vAlign w:val="center"/>
            <w:hideMark/>
          </w:tcPr>
          <w:p w14:paraId="12570C1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 (0.32%)</w:t>
            </w:r>
          </w:p>
        </w:tc>
        <w:tc>
          <w:tcPr>
            <w:tcW w:w="1620" w:type="dxa"/>
            <w:tcBorders>
              <w:top w:val="nil"/>
              <w:left w:val="nil"/>
              <w:bottom w:val="single" w:sz="4" w:space="0" w:color="000000"/>
              <w:right w:val="single" w:sz="4" w:space="0" w:color="000000"/>
            </w:tcBorders>
            <w:shd w:val="clear" w:color="auto" w:fill="auto"/>
            <w:noWrap/>
            <w:vAlign w:val="center"/>
            <w:hideMark/>
          </w:tcPr>
          <w:p w14:paraId="3077A08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 (0.39%)</w:t>
            </w:r>
          </w:p>
        </w:tc>
        <w:tc>
          <w:tcPr>
            <w:tcW w:w="15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857250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0.037</w:t>
            </w:r>
          </w:p>
        </w:tc>
      </w:tr>
      <w:tr w:rsidR="002C5301" w:rsidRPr="00A43015" w14:paraId="1FF9A7B5"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CB89FF8"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...35 - 44; n (%)</w:t>
            </w:r>
          </w:p>
        </w:tc>
        <w:tc>
          <w:tcPr>
            <w:tcW w:w="1710" w:type="dxa"/>
            <w:tcBorders>
              <w:top w:val="nil"/>
              <w:left w:val="nil"/>
              <w:bottom w:val="single" w:sz="4" w:space="0" w:color="000000"/>
              <w:right w:val="single" w:sz="4" w:space="0" w:color="000000"/>
            </w:tcBorders>
            <w:shd w:val="clear" w:color="auto" w:fill="auto"/>
            <w:noWrap/>
            <w:vAlign w:val="center"/>
            <w:hideMark/>
          </w:tcPr>
          <w:p w14:paraId="01DDCDC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66 (0.81%)</w:t>
            </w:r>
          </w:p>
        </w:tc>
        <w:tc>
          <w:tcPr>
            <w:tcW w:w="1620" w:type="dxa"/>
            <w:tcBorders>
              <w:top w:val="nil"/>
              <w:left w:val="nil"/>
              <w:bottom w:val="single" w:sz="4" w:space="0" w:color="000000"/>
              <w:right w:val="single" w:sz="4" w:space="0" w:color="000000"/>
            </w:tcBorders>
            <w:shd w:val="clear" w:color="auto" w:fill="auto"/>
            <w:noWrap/>
            <w:vAlign w:val="center"/>
            <w:hideMark/>
          </w:tcPr>
          <w:p w14:paraId="352B24E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33 (1.1%)</w:t>
            </w:r>
          </w:p>
        </w:tc>
        <w:tc>
          <w:tcPr>
            <w:tcW w:w="1620" w:type="dxa"/>
            <w:vMerge/>
            <w:tcBorders>
              <w:top w:val="nil"/>
              <w:left w:val="single" w:sz="4" w:space="0" w:color="000000"/>
              <w:bottom w:val="single" w:sz="4" w:space="0" w:color="000000"/>
              <w:right w:val="single" w:sz="4" w:space="0" w:color="000000"/>
            </w:tcBorders>
            <w:vAlign w:val="center"/>
            <w:hideMark/>
          </w:tcPr>
          <w:p w14:paraId="53329552"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5697438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35 (1.1%)</w:t>
            </w:r>
          </w:p>
        </w:tc>
        <w:tc>
          <w:tcPr>
            <w:tcW w:w="1620" w:type="dxa"/>
            <w:tcBorders>
              <w:top w:val="nil"/>
              <w:left w:val="nil"/>
              <w:bottom w:val="single" w:sz="4" w:space="0" w:color="000000"/>
              <w:right w:val="single" w:sz="4" w:space="0" w:color="000000"/>
            </w:tcBorders>
            <w:shd w:val="clear" w:color="auto" w:fill="auto"/>
            <w:noWrap/>
            <w:vAlign w:val="center"/>
            <w:hideMark/>
          </w:tcPr>
          <w:p w14:paraId="0405881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33 (1.1%)</w:t>
            </w:r>
          </w:p>
        </w:tc>
        <w:tc>
          <w:tcPr>
            <w:tcW w:w="1598" w:type="dxa"/>
            <w:vMerge/>
            <w:tcBorders>
              <w:top w:val="nil"/>
              <w:left w:val="single" w:sz="4" w:space="0" w:color="000000"/>
              <w:bottom w:val="single" w:sz="4" w:space="0" w:color="000000"/>
              <w:right w:val="single" w:sz="4" w:space="0" w:color="000000"/>
            </w:tcBorders>
            <w:vAlign w:val="center"/>
            <w:hideMark/>
          </w:tcPr>
          <w:p w14:paraId="634317EC" w14:textId="77777777" w:rsidR="002C5301" w:rsidRPr="00A43015" w:rsidRDefault="002C5301" w:rsidP="00B110EB">
            <w:pPr>
              <w:rPr>
                <w:rFonts w:ascii="Arial" w:eastAsia="Times New Roman" w:hAnsi="Arial" w:cs="Arial"/>
                <w:color w:val="000000"/>
                <w:sz w:val="22"/>
                <w:szCs w:val="22"/>
              </w:rPr>
            </w:pPr>
          </w:p>
        </w:tc>
      </w:tr>
      <w:tr w:rsidR="002C5301" w:rsidRPr="00A43015" w14:paraId="361EFDCF"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7A37E9B"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...45 - 54; n (%)</w:t>
            </w:r>
          </w:p>
        </w:tc>
        <w:tc>
          <w:tcPr>
            <w:tcW w:w="1710" w:type="dxa"/>
            <w:tcBorders>
              <w:top w:val="nil"/>
              <w:left w:val="nil"/>
              <w:bottom w:val="single" w:sz="4" w:space="0" w:color="000000"/>
              <w:right w:val="single" w:sz="4" w:space="0" w:color="000000"/>
            </w:tcBorders>
            <w:shd w:val="clear" w:color="auto" w:fill="auto"/>
            <w:noWrap/>
            <w:vAlign w:val="center"/>
            <w:hideMark/>
          </w:tcPr>
          <w:p w14:paraId="663CCE7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412 (5.0%)</w:t>
            </w:r>
          </w:p>
        </w:tc>
        <w:tc>
          <w:tcPr>
            <w:tcW w:w="1620" w:type="dxa"/>
            <w:tcBorders>
              <w:top w:val="nil"/>
              <w:left w:val="nil"/>
              <w:bottom w:val="single" w:sz="4" w:space="0" w:color="000000"/>
              <w:right w:val="single" w:sz="4" w:space="0" w:color="000000"/>
            </w:tcBorders>
            <w:shd w:val="clear" w:color="auto" w:fill="auto"/>
            <w:noWrap/>
            <w:vAlign w:val="center"/>
            <w:hideMark/>
          </w:tcPr>
          <w:p w14:paraId="45C949A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148 (4.8%)</w:t>
            </w:r>
          </w:p>
        </w:tc>
        <w:tc>
          <w:tcPr>
            <w:tcW w:w="1620" w:type="dxa"/>
            <w:vMerge/>
            <w:tcBorders>
              <w:top w:val="nil"/>
              <w:left w:val="single" w:sz="4" w:space="0" w:color="000000"/>
              <w:bottom w:val="single" w:sz="4" w:space="0" w:color="000000"/>
              <w:right w:val="single" w:sz="4" w:space="0" w:color="000000"/>
            </w:tcBorders>
            <w:vAlign w:val="center"/>
            <w:hideMark/>
          </w:tcPr>
          <w:p w14:paraId="561B5BC4"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729C4EB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141 (4.5%)</w:t>
            </w:r>
          </w:p>
        </w:tc>
        <w:tc>
          <w:tcPr>
            <w:tcW w:w="1620" w:type="dxa"/>
            <w:tcBorders>
              <w:top w:val="nil"/>
              <w:left w:val="nil"/>
              <w:bottom w:val="single" w:sz="4" w:space="0" w:color="000000"/>
              <w:right w:val="single" w:sz="4" w:space="0" w:color="000000"/>
            </w:tcBorders>
            <w:shd w:val="clear" w:color="auto" w:fill="auto"/>
            <w:noWrap/>
            <w:vAlign w:val="center"/>
            <w:hideMark/>
          </w:tcPr>
          <w:p w14:paraId="7184742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148 (4.8%)</w:t>
            </w:r>
          </w:p>
        </w:tc>
        <w:tc>
          <w:tcPr>
            <w:tcW w:w="1598" w:type="dxa"/>
            <w:vMerge/>
            <w:tcBorders>
              <w:top w:val="nil"/>
              <w:left w:val="single" w:sz="4" w:space="0" w:color="000000"/>
              <w:bottom w:val="single" w:sz="4" w:space="0" w:color="000000"/>
              <w:right w:val="single" w:sz="4" w:space="0" w:color="000000"/>
            </w:tcBorders>
            <w:vAlign w:val="center"/>
            <w:hideMark/>
          </w:tcPr>
          <w:p w14:paraId="01690CDC" w14:textId="77777777" w:rsidR="002C5301" w:rsidRPr="00A43015" w:rsidRDefault="002C5301" w:rsidP="00B110EB">
            <w:pPr>
              <w:rPr>
                <w:rFonts w:ascii="Arial" w:eastAsia="Times New Roman" w:hAnsi="Arial" w:cs="Arial"/>
                <w:color w:val="000000"/>
                <w:sz w:val="22"/>
                <w:szCs w:val="22"/>
              </w:rPr>
            </w:pPr>
          </w:p>
        </w:tc>
      </w:tr>
      <w:tr w:rsidR="002C5301" w:rsidRPr="00A43015" w14:paraId="733C2CD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DFBB648"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...55 - 64; n (%)</w:t>
            </w:r>
          </w:p>
        </w:tc>
        <w:tc>
          <w:tcPr>
            <w:tcW w:w="1710" w:type="dxa"/>
            <w:tcBorders>
              <w:top w:val="nil"/>
              <w:left w:val="nil"/>
              <w:bottom w:val="single" w:sz="4" w:space="0" w:color="000000"/>
              <w:right w:val="single" w:sz="4" w:space="0" w:color="000000"/>
            </w:tcBorders>
            <w:shd w:val="clear" w:color="auto" w:fill="auto"/>
            <w:noWrap/>
            <w:vAlign w:val="center"/>
            <w:hideMark/>
          </w:tcPr>
          <w:p w14:paraId="1C8CC36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1,776 (21.7%)</w:t>
            </w:r>
          </w:p>
        </w:tc>
        <w:tc>
          <w:tcPr>
            <w:tcW w:w="1620" w:type="dxa"/>
            <w:tcBorders>
              <w:top w:val="nil"/>
              <w:left w:val="nil"/>
              <w:bottom w:val="single" w:sz="4" w:space="0" w:color="000000"/>
              <w:right w:val="single" w:sz="4" w:space="0" w:color="000000"/>
            </w:tcBorders>
            <w:shd w:val="clear" w:color="auto" w:fill="auto"/>
            <w:noWrap/>
            <w:vAlign w:val="center"/>
            <w:hideMark/>
          </w:tcPr>
          <w:p w14:paraId="5F31C2D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479 (15.4%)</w:t>
            </w:r>
          </w:p>
        </w:tc>
        <w:tc>
          <w:tcPr>
            <w:tcW w:w="1620" w:type="dxa"/>
            <w:vMerge/>
            <w:tcBorders>
              <w:top w:val="nil"/>
              <w:left w:val="single" w:sz="4" w:space="0" w:color="000000"/>
              <w:bottom w:val="single" w:sz="4" w:space="0" w:color="000000"/>
              <w:right w:val="single" w:sz="4" w:space="0" w:color="000000"/>
            </w:tcBorders>
            <w:vAlign w:val="center"/>
            <w:hideMark/>
          </w:tcPr>
          <w:p w14:paraId="130CFD04"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7453316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481 (15.5%)</w:t>
            </w:r>
          </w:p>
        </w:tc>
        <w:tc>
          <w:tcPr>
            <w:tcW w:w="1620" w:type="dxa"/>
            <w:tcBorders>
              <w:top w:val="nil"/>
              <w:left w:val="nil"/>
              <w:bottom w:val="single" w:sz="4" w:space="0" w:color="000000"/>
              <w:right w:val="single" w:sz="4" w:space="0" w:color="000000"/>
            </w:tcBorders>
            <w:shd w:val="clear" w:color="auto" w:fill="auto"/>
            <w:noWrap/>
            <w:vAlign w:val="center"/>
            <w:hideMark/>
          </w:tcPr>
          <w:p w14:paraId="369C44E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479 (15.4%)</w:t>
            </w:r>
          </w:p>
        </w:tc>
        <w:tc>
          <w:tcPr>
            <w:tcW w:w="1598" w:type="dxa"/>
            <w:vMerge/>
            <w:tcBorders>
              <w:top w:val="nil"/>
              <w:left w:val="single" w:sz="4" w:space="0" w:color="000000"/>
              <w:bottom w:val="single" w:sz="4" w:space="0" w:color="000000"/>
              <w:right w:val="single" w:sz="4" w:space="0" w:color="000000"/>
            </w:tcBorders>
            <w:vAlign w:val="center"/>
            <w:hideMark/>
          </w:tcPr>
          <w:p w14:paraId="240BC974" w14:textId="77777777" w:rsidR="002C5301" w:rsidRPr="00A43015" w:rsidRDefault="002C5301" w:rsidP="00B110EB">
            <w:pPr>
              <w:rPr>
                <w:rFonts w:ascii="Arial" w:eastAsia="Times New Roman" w:hAnsi="Arial" w:cs="Arial"/>
                <w:color w:val="000000"/>
                <w:sz w:val="22"/>
                <w:szCs w:val="22"/>
              </w:rPr>
            </w:pPr>
          </w:p>
        </w:tc>
      </w:tr>
      <w:tr w:rsidR="002C5301" w:rsidRPr="00A43015" w14:paraId="1B7DB2D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69071A4"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...65 - 74; n (%)</w:t>
            </w:r>
          </w:p>
        </w:tc>
        <w:tc>
          <w:tcPr>
            <w:tcW w:w="1710" w:type="dxa"/>
            <w:tcBorders>
              <w:top w:val="nil"/>
              <w:left w:val="nil"/>
              <w:bottom w:val="single" w:sz="4" w:space="0" w:color="000000"/>
              <w:right w:val="single" w:sz="4" w:space="0" w:color="000000"/>
            </w:tcBorders>
            <w:shd w:val="clear" w:color="auto" w:fill="auto"/>
            <w:noWrap/>
            <w:vAlign w:val="center"/>
            <w:hideMark/>
          </w:tcPr>
          <w:p w14:paraId="4E649C6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3,951 (48.3%)</w:t>
            </w:r>
          </w:p>
        </w:tc>
        <w:tc>
          <w:tcPr>
            <w:tcW w:w="1620" w:type="dxa"/>
            <w:tcBorders>
              <w:top w:val="nil"/>
              <w:left w:val="nil"/>
              <w:bottom w:val="single" w:sz="4" w:space="0" w:color="000000"/>
              <w:right w:val="single" w:sz="4" w:space="0" w:color="000000"/>
            </w:tcBorders>
            <w:shd w:val="clear" w:color="auto" w:fill="auto"/>
            <w:noWrap/>
            <w:vAlign w:val="center"/>
            <w:hideMark/>
          </w:tcPr>
          <w:p w14:paraId="04D231D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1,380 (44.4%)</w:t>
            </w:r>
          </w:p>
        </w:tc>
        <w:tc>
          <w:tcPr>
            <w:tcW w:w="1620" w:type="dxa"/>
            <w:vMerge/>
            <w:tcBorders>
              <w:top w:val="nil"/>
              <w:left w:val="single" w:sz="4" w:space="0" w:color="000000"/>
              <w:bottom w:val="single" w:sz="4" w:space="0" w:color="000000"/>
              <w:right w:val="single" w:sz="4" w:space="0" w:color="000000"/>
            </w:tcBorders>
            <w:vAlign w:val="center"/>
            <w:hideMark/>
          </w:tcPr>
          <w:p w14:paraId="0ECE7440"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214E73C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1,374 (44.2%)</w:t>
            </w:r>
          </w:p>
        </w:tc>
        <w:tc>
          <w:tcPr>
            <w:tcW w:w="1620" w:type="dxa"/>
            <w:tcBorders>
              <w:top w:val="nil"/>
              <w:left w:val="nil"/>
              <w:bottom w:val="single" w:sz="4" w:space="0" w:color="000000"/>
              <w:right w:val="single" w:sz="4" w:space="0" w:color="000000"/>
            </w:tcBorders>
            <w:shd w:val="clear" w:color="auto" w:fill="auto"/>
            <w:noWrap/>
            <w:vAlign w:val="center"/>
            <w:hideMark/>
          </w:tcPr>
          <w:p w14:paraId="59BB3E9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1,380 (44.4%)</w:t>
            </w:r>
          </w:p>
        </w:tc>
        <w:tc>
          <w:tcPr>
            <w:tcW w:w="1598" w:type="dxa"/>
            <w:vMerge/>
            <w:tcBorders>
              <w:top w:val="nil"/>
              <w:left w:val="single" w:sz="4" w:space="0" w:color="000000"/>
              <w:bottom w:val="single" w:sz="4" w:space="0" w:color="000000"/>
              <w:right w:val="single" w:sz="4" w:space="0" w:color="000000"/>
            </w:tcBorders>
            <w:vAlign w:val="center"/>
            <w:hideMark/>
          </w:tcPr>
          <w:p w14:paraId="7F5C8595" w14:textId="77777777" w:rsidR="002C5301" w:rsidRPr="00A43015" w:rsidRDefault="002C5301" w:rsidP="00B110EB">
            <w:pPr>
              <w:rPr>
                <w:rFonts w:ascii="Arial" w:eastAsia="Times New Roman" w:hAnsi="Arial" w:cs="Arial"/>
                <w:color w:val="000000"/>
                <w:sz w:val="22"/>
                <w:szCs w:val="22"/>
              </w:rPr>
            </w:pPr>
          </w:p>
        </w:tc>
      </w:tr>
      <w:tr w:rsidR="002C5301" w:rsidRPr="00A43015" w14:paraId="6D83772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041E859"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...75 - 84; n (%)</w:t>
            </w:r>
          </w:p>
        </w:tc>
        <w:tc>
          <w:tcPr>
            <w:tcW w:w="1710" w:type="dxa"/>
            <w:tcBorders>
              <w:top w:val="nil"/>
              <w:left w:val="nil"/>
              <w:bottom w:val="single" w:sz="4" w:space="0" w:color="000000"/>
              <w:right w:val="single" w:sz="4" w:space="0" w:color="000000"/>
            </w:tcBorders>
            <w:shd w:val="clear" w:color="auto" w:fill="auto"/>
            <w:noWrap/>
            <w:vAlign w:val="center"/>
            <w:hideMark/>
          </w:tcPr>
          <w:p w14:paraId="3B7B71C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1,570 (19.2%)</w:t>
            </w:r>
          </w:p>
        </w:tc>
        <w:tc>
          <w:tcPr>
            <w:tcW w:w="1620" w:type="dxa"/>
            <w:tcBorders>
              <w:top w:val="nil"/>
              <w:left w:val="nil"/>
              <w:bottom w:val="single" w:sz="4" w:space="0" w:color="000000"/>
              <w:right w:val="single" w:sz="4" w:space="0" w:color="000000"/>
            </w:tcBorders>
            <w:shd w:val="clear" w:color="auto" w:fill="auto"/>
            <w:noWrap/>
            <w:vAlign w:val="center"/>
            <w:hideMark/>
          </w:tcPr>
          <w:p w14:paraId="09C9ACA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760 (24.5%)</w:t>
            </w:r>
          </w:p>
        </w:tc>
        <w:tc>
          <w:tcPr>
            <w:tcW w:w="1620" w:type="dxa"/>
            <w:vMerge/>
            <w:tcBorders>
              <w:top w:val="nil"/>
              <w:left w:val="single" w:sz="4" w:space="0" w:color="000000"/>
              <w:bottom w:val="single" w:sz="4" w:space="0" w:color="000000"/>
              <w:right w:val="single" w:sz="4" w:space="0" w:color="000000"/>
            </w:tcBorders>
            <w:vAlign w:val="center"/>
            <w:hideMark/>
          </w:tcPr>
          <w:p w14:paraId="18F13AB8"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7966533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761 (24.5%)</w:t>
            </w:r>
          </w:p>
        </w:tc>
        <w:tc>
          <w:tcPr>
            <w:tcW w:w="1620" w:type="dxa"/>
            <w:tcBorders>
              <w:top w:val="nil"/>
              <w:left w:val="nil"/>
              <w:bottom w:val="single" w:sz="4" w:space="0" w:color="000000"/>
              <w:right w:val="single" w:sz="4" w:space="0" w:color="000000"/>
            </w:tcBorders>
            <w:shd w:val="clear" w:color="auto" w:fill="auto"/>
            <w:noWrap/>
            <w:vAlign w:val="center"/>
            <w:hideMark/>
          </w:tcPr>
          <w:p w14:paraId="65939C4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760 (24.5%)</w:t>
            </w:r>
          </w:p>
        </w:tc>
        <w:tc>
          <w:tcPr>
            <w:tcW w:w="1598" w:type="dxa"/>
            <w:vMerge/>
            <w:tcBorders>
              <w:top w:val="nil"/>
              <w:left w:val="single" w:sz="4" w:space="0" w:color="000000"/>
              <w:bottom w:val="single" w:sz="4" w:space="0" w:color="000000"/>
              <w:right w:val="single" w:sz="4" w:space="0" w:color="000000"/>
            </w:tcBorders>
            <w:vAlign w:val="center"/>
            <w:hideMark/>
          </w:tcPr>
          <w:p w14:paraId="6ADE4ED7" w14:textId="77777777" w:rsidR="002C5301" w:rsidRPr="00A43015" w:rsidRDefault="002C5301" w:rsidP="00B110EB">
            <w:pPr>
              <w:rPr>
                <w:rFonts w:ascii="Arial" w:eastAsia="Times New Roman" w:hAnsi="Arial" w:cs="Arial"/>
                <w:color w:val="000000"/>
                <w:sz w:val="22"/>
                <w:szCs w:val="22"/>
              </w:rPr>
            </w:pPr>
          </w:p>
        </w:tc>
      </w:tr>
      <w:tr w:rsidR="002C5301" w:rsidRPr="00A43015" w14:paraId="0163A695"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77F067B"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...&gt;= 85; n (%)</w:t>
            </w:r>
          </w:p>
        </w:tc>
        <w:tc>
          <w:tcPr>
            <w:tcW w:w="1710" w:type="dxa"/>
            <w:tcBorders>
              <w:top w:val="nil"/>
              <w:left w:val="nil"/>
              <w:bottom w:val="single" w:sz="4" w:space="0" w:color="000000"/>
              <w:right w:val="single" w:sz="4" w:space="0" w:color="000000"/>
            </w:tcBorders>
            <w:shd w:val="clear" w:color="auto" w:fill="auto"/>
            <w:noWrap/>
            <w:vAlign w:val="center"/>
            <w:hideMark/>
          </w:tcPr>
          <w:p w14:paraId="0F288B8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393 (4.8%)</w:t>
            </w:r>
          </w:p>
        </w:tc>
        <w:tc>
          <w:tcPr>
            <w:tcW w:w="1620" w:type="dxa"/>
            <w:tcBorders>
              <w:top w:val="nil"/>
              <w:left w:val="nil"/>
              <w:bottom w:val="single" w:sz="4" w:space="0" w:color="000000"/>
              <w:right w:val="single" w:sz="4" w:space="0" w:color="000000"/>
            </w:tcBorders>
            <w:shd w:val="clear" w:color="auto" w:fill="auto"/>
            <w:noWrap/>
            <w:vAlign w:val="center"/>
            <w:hideMark/>
          </w:tcPr>
          <w:p w14:paraId="217CA02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294 (9.5%)</w:t>
            </w:r>
          </w:p>
        </w:tc>
        <w:tc>
          <w:tcPr>
            <w:tcW w:w="1620" w:type="dxa"/>
            <w:vMerge/>
            <w:tcBorders>
              <w:top w:val="nil"/>
              <w:left w:val="single" w:sz="4" w:space="0" w:color="000000"/>
              <w:bottom w:val="single" w:sz="4" w:space="0" w:color="000000"/>
              <w:right w:val="single" w:sz="4" w:space="0" w:color="000000"/>
            </w:tcBorders>
            <w:vAlign w:val="center"/>
            <w:hideMark/>
          </w:tcPr>
          <w:p w14:paraId="45185B78"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5279F4F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304 (9.8%)</w:t>
            </w:r>
          </w:p>
        </w:tc>
        <w:tc>
          <w:tcPr>
            <w:tcW w:w="1620" w:type="dxa"/>
            <w:tcBorders>
              <w:top w:val="nil"/>
              <w:left w:val="nil"/>
              <w:bottom w:val="single" w:sz="4" w:space="0" w:color="000000"/>
              <w:right w:val="single" w:sz="4" w:space="0" w:color="000000"/>
            </w:tcBorders>
            <w:shd w:val="clear" w:color="auto" w:fill="auto"/>
            <w:noWrap/>
            <w:vAlign w:val="center"/>
            <w:hideMark/>
          </w:tcPr>
          <w:p w14:paraId="2BB88B6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294 (9.5%)</w:t>
            </w:r>
          </w:p>
        </w:tc>
        <w:tc>
          <w:tcPr>
            <w:tcW w:w="1598" w:type="dxa"/>
            <w:vMerge/>
            <w:tcBorders>
              <w:top w:val="nil"/>
              <w:left w:val="single" w:sz="4" w:space="0" w:color="000000"/>
              <w:bottom w:val="single" w:sz="4" w:space="0" w:color="000000"/>
              <w:right w:val="single" w:sz="4" w:space="0" w:color="000000"/>
            </w:tcBorders>
            <w:vAlign w:val="center"/>
            <w:hideMark/>
          </w:tcPr>
          <w:p w14:paraId="61C944DC" w14:textId="77777777" w:rsidR="002C5301" w:rsidRPr="00A43015" w:rsidRDefault="002C5301" w:rsidP="00B110EB">
            <w:pPr>
              <w:rPr>
                <w:rFonts w:ascii="Arial" w:eastAsia="Times New Roman" w:hAnsi="Arial" w:cs="Arial"/>
                <w:color w:val="000000"/>
                <w:sz w:val="22"/>
                <w:szCs w:val="22"/>
              </w:rPr>
            </w:pPr>
          </w:p>
        </w:tc>
      </w:tr>
      <w:tr w:rsidR="002C5301" w:rsidRPr="00A43015" w14:paraId="082E3FBC"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6FA62DD"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Gender categories</w:t>
            </w:r>
          </w:p>
        </w:tc>
        <w:tc>
          <w:tcPr>
            <w:tcW w:w="495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EAFB61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5E974B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3BFEB1A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14FC0D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...Male; n (%)</w:t>
            </w:r>
          </w:p>
        </w:tc>
        <w:tc>
          <w:tcPr>
            <w:tcW w:w="1710" w:type="dxa"/>
            <w:tcBorders>
              <w:top w:val="nil"/>
              <w:left w:val="nil"/>
              <w:bottom w:val="single" w:sz="4" w:space="0" w:color="000000"/>
              <w:right w:val="single" w:sz="4" w:space="0" w:color="000000"/>
            </w:tcBorders>
            <w:shd w:val="clear" w:color="auto" w:fill="auto"/>
            <w:noWrap/>
            <w:vAlign w:val="center"/>
            <w:hideMark/>
          </w:tcPr>
          <w:p w14:paraId="1BA53AF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8,012 (97.8%)</w:t>
            </w:r>
          </w:p>
        </w:tc>
        <w:tc>
          <w:tcPr>
            <w:tcW w:w="1620" w:type="dxa"/>
            <w:tcBorders>
              <w:top w:val="nil"/>
              <w:left w:val="nil"/>
              <w:bottom w:val="single" w:sz="4" w:space="0" w:color="000000"/>
              <w:right w:val="single" w:sz="4" w:space="0" w:color="000000"/>
            </w:tcBorders>
            <w:shd w:val="clear" w:color="auto" w:fill="auto"/>
            <w:noWrap/>
            <w:vAlign w:val="center"/>
            <w:hideMark/>
          </w:tcPr>
          <w:p w14:paraId="2CD3E72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3,030 (97.5%)</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858943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0.018</w:t>
            </w:r>
          </w:p>
        </w:tc>
        <w:tc>
          <w:tcPr>
            <w:tcW w:w="1620" w:type="dxa"/>
            <w:tcBorders>
              <w:top w:val="nil"/>
              <w:left w:val="nil"/>
              <w:bottom w:val="single" w:sz="4" w:space="0" w:color="000000"/>
              <w:right w:val="single" w:sz="4" w:space="0" w:color="000000"/>
            </w:tcBorders>
            <w:shd w:val="clear" w:color="auto" w:fill="auto"/>
            <w:noWrap/>
            <w:vAlign w:val="center"/>
            <w:hideMark/>
          </w:tcPr>
          <w:p w14:paraId="593A1CC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3,031 (97.6%)</w:t>
            </w:r>
          </w:p>
        </w:tc>
        <w:tc>
          <w:tcPr>
            <w:tcW w:w="1620" w:type="dxa"/>
            <w:tcBorders>
              <w:top w:val="nil"/>
              <w:left w:val="nil"/>
              <w:bottom w:val="single" w:sz="4" w:space="0" w:color="000000"/>
              <w:right w:val="single" w:sz="4" w:space="0" w:color="000000"/>
            </w:tcBorders>
            <w:shd w:val="clear" w:color="auto" w:fill="auto"/>
            <w:noWrap/>
            <w:vAlign w:val="center"/>
            <w:hideMark/>
          </w:tcPr>
          <w:p w14:paraId="256DE2B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3,030 (97.6%)</w:t>
            </w:r>
          </w:p>
        </w:tc>
        <w:tc>
          <w:tcPr>
            <w:tcW w:w="15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3A0699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0.002</w:t>
            </w:r>
          </w:p>
        </w:tc>
      </w:tr>
      <w:tr w:rsidR="002C5301" w:rsidRPr="00A43015" w14:paraId="128E8FAC"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4F1FC35"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lastRenderedPageBreak/>
              <w:t>...Female; n (%)</w:t>
            </w:r>
          </w:p>
        </w:tc>
        <w:tc>
          <w:tcPr>
            <w:tcW w:w="1710" w:type="dxa"/>
            <w:tcBorders>
              <w:top w:val="nil"/>
              <w:left w:val="nil"/>
              <w:bottom w:val="single" w:sz="4" w:space="0" w:color="000000"/>
              <w:right w:val="single" w:sz="4" w:space="0" w:color="000000"/>
            </w:tcBorders>
            <w:shd w:val="clear" w:color="auto" w:fill="auto"/>
            <w:noWrap/>
            <w:vAlign w:val="center"/>
            <w:hideMark/>
          </w:tcPr>
          <w:p w14:paraId="42653AF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178 (2.2%)</w:t>
            </w:r>
          </w:p>
        </w:tc>
        <w:tc>
          <w:tcPr>
            <w:tcW w:w="1620" w:type="dxa"/>
            <w:tcBorders>
              <w:top w:val="nil"/>
              <w:left w:val="nil"/>
              <w:bottom w:val="single" w:sz="4" w:space="0" w:color="000000"/>
              <w:right w:val="single" w:sz="4" w:space="0" w:color="000000"/>
            </w:tcBorders>
            <w:shd w:val="clear" w:color="auto" w:fill="auto"/>
            <w:noWrap/>
            <w:vAlign w:val="center"/>
            <w:hideMark/>
          </w:tcPr>
          <w:p w14:paraId="409515E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76 (2.5%)</w:t>
            </w:r>
          </w:p>
        </w:tc>
        <w:tc>
          <w:tcPr>
            <w:tcW w:w="1620" w:type="dxa"/>
            <w:vMerge/>
            <w:tcBorders>
              <w:top w:val="nil"/>
              <w:left w:val="single" w:sz="4" w:space="0" w:color="000000"/>
              <w:bottom w:val="single" w:sz="4" w:space="0" w:color="000000"/>
              <w:right w:val="single" w:sz="4" w:space="0" w:color="000000"/>
            </w:tcBorders>
            <w:vAlign w:val="center"/>
            <w:hideMark/>
          </w:tcPr>
          <w:p w14:paraId="327589B8"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6231330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75 (2.4%)</w:t>
            </w:r>
          </w:p>
        </w:tc>
        <w:tc>
          <w:tcPr>
            <w:tcW w:w="1620" w:type="dxa"/>
            <w:tcBorders>
              <w:top w:val="nil"/>
              <w:left w:val="nil"/>
              <w:bottom w:val="single" w:sz="4" w:space="0" w:color="000000"/>
              <w:right w:val="single" w:sz="4" w:space="0" w:color="000000"/>
            </w:tcBorders>
            <w:shd w:val="clear" w:color="auto" w:fill="auto"/>
            <w:noWrap/>
            <w:vAlign w:val="center"/>
            <w:hideMark/>
          </w:tcPr>
          <w:p w14:paraId="147F95E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76 (2.5%)</w:t>
            </w:r>
          </w:p>
        </w:tc>
        <w:tc>
          <w:tcPr>
            <w:tcW w:w="1598" w:type="dxa"/>
            <w:vMerge/>
            <w:tcBorders>
              <w:top w:val="nil"/>
              <w:left w:val="single" w:sz="4" w:space="0" w:color="000000"/>
              <w:bottom w:val="single" w:sz="4" w:space="0" w:color="000000"/>
              <w:right w:val="single" w:sz="4" w:space="0" w:color="000000"/>
            </w:tcBorders>
            <w:vAlign w:val="center"/>
            <w:hideMark/>
          </w:tcPr>
          <w:p w14:paraId="7DA7344E" w14:textId="77777777" w:rsidR="002C5301" w:rsidRPr="00A43015" w:rsidRDefault="002C5301" w:rsidP="00B110EB">
            <w:pPr>
              <w:rPr>
                <w:rFonts w:ascii="Arial" w:eastAsia="Times New Roman" w:hAnsi="Arial" w:cs="Arial"/>
                <w:color w:val="000000"/>
                <w:sz w:val="22"/>
                <w:szCs w:val="22"/>
              </w:rPr>
            </w:pPr>
          </w:p>
        </w:tc>
      </w:tr>
      <w:tr w:rsidR="002C5301" w:rsidRPr="00A43015" w14:paraId="58E0E2EA"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22A6C5D"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...Missing or Unknown; n (%)</w:t>
            </w:r>
          </w:p>
        </w:tc>
        <w:tc>
          <w:tcPr>
            <w:tcW w:w="1710" w:type="dxa"/>
            <w:tcBorders>
              <w:top w:val="nil"/>
              <w:left w:val="nil"/>
              <w:bottom w:val="single" w:sz="4" w:space="0" w:color="000000"/>
              <w:right w:val="single" w:sz="4" w:space="0" w:color="000000"/>
            </w:tcBorders>
            <w:shd w:val="clear" w:color="FFFFFF" w:fill="FFFFFF"/>
            <w:vAlign w:val="center"/>
            <w:hideMark/>
          </w:tcPr>
          <w:p w14:paraId="308BEC1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w:t>
            </w:r>
          </w:p>
        </w:tc>
        <w:tc>
          <w:tcPr>
            <w:tcW w:w="1620" w:type="dxa"/>
            <w:tcBorders>
              <w:top w:val="nil"/>
              <w:left w:val="nil"/>
              <w:bottom w:val="single" w:sz="4" w:space="0" w:color="000000"/>
              <w:right w:val="single" w:sz="4" w:space="0" w:color="000000"/>
            </w:tcBorders>
            <w:shd w:val="clear" w:color="FFFFFF" w:fill="FFFFFF"/>
            <w:vAlign w:val="center"/>
            <w:hideMark/>
          </w:tcPr>
          <w:p w14:paraId="02EC68E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w:t>
            </w:r>
          </w:p>
        </w:tc>
        <w:tc>
          <w:tcPr>
            <w:tcW w:w="1620" w:type="dxa"/>
            <w:vMerge/>
            <w:tcBorders>
              <w:top w:val="nil"/>
              <w:left w:val="single" w:sz="4" w:space="0" w:color="000000"/>
              <w:bottom w:val="single" w:sz="4" w:space="0" w:color="000000"/>
              <w:right w:val="single" w:sz="4" w:space="0" w:color="000000"/>
            </w:tcBorders>
            <w:vAlign w:val="center"/>
            <w:hideMark/>
          </w:tcPr>
          <w:p w14:paraId="428121C9"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FFFFFF" w:fill="FFFFFF"/>
            <w:vAlign w:val="center"/>
            <w:hideMark/>
          </w:tcPr>
          <w:p w14:paraId="6EF9FAE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w:t>
            </w:r>
          </w:p>
        </w:tc>
        <w:tc>
          <w:tcPr>
            <w:tcW w:w="1620" w:type="dxa"/>
            <w:tcBorders>
              <w:top w:val="nil"/>
              <w:left w:val="nil"/>
              <w:bottom w:val="single" w:sz="4" w:space="0" w:color="000000"/>
              <w:right w:val="single" w:sz="4" w:space="0" w:color="000000"/>
            </w:tcBorders>
            <w:shd w:val="clear" w:color="FFFFFF" w:fill="FFFFFF"/>
            <w:vAlign w:val="center"/>
            <w:hideMark/>
          </w:tcPr>
          <w:p w14:paraId="071A78F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w:t>
            </w:r>
          </w:p>
        </w:tc>
        <w:tc>
          <w:tcPr>
            <w:tcW w:w="1598" w:type="dxa"/>
            <w:vMerge/>
            <w:tcBorders>
              <w:top w:val="nil"/>
              <w:left w:val="single" w:sz="4" w:space="0" w:color="000000"/>
              <w:bottom w:val="single" w:sz="4" w:space="0" w:color="000000"/>
              <w:right w:val="single" w:sz="4" w:space="0" w:color="000000"/>
            </w:tcBorders>
            <w:vAlign w:val="center"/>
            <w:hideMark/>
          </w:tcPr>
          <w:p w14:paraId="1D9E3195" w14:textId="77777777" w:rsidR="002C5301" w:rsidRPr="00A43015" w:rsidRDefault="002C5301" w:rsidP="00B110EB">
            <w:pPr>
              <w:rPr>
                <w:rFonts w:ascii="Arial" w:eastAsia="Times New Roman" w:hAnsi="Arial" w:cs="Arial"/>
                <w:color w:val="000000"/>
                <w:sz w:val="22"/>
                <w:szCs w:val="22"/>
              </w:rPr>
            </w:pPr>
          </w:p>
        </w:tc>
      </w:tr>
      <w:tr w:rsidR="002C5301" w:rsidRPr="00A43015" w14:paraId="004CEDB9"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66E1747"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Race/ethnicity</w:t>
            </w:r>
          </w:p>
        </w:tc>
        <w:tc>
          <w:tcPr>
            <w:tcW w:w="495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87FEAB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E5B515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55EDE3DF"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24887A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...White; n (%)</w:t>
            </w:r>
          </w:p>
        </w:tc>
        <w:tc>
          <w:tcPr>
            <w:tcW w:w="1710" w:type="dxa"/>
            <w:tcBorders>
              <w:top w:val="nil"/>
              <w:left w:val="nil"/>
              <w:bottom w:val="single" w:sz="4" w:space="0" w:color="000000"/>
              <w:right w:val="single" w:sz="4" w:space="0" w:color="000000"/>
            </w:tcBorders>
            <w:shd w:val="clear" w:color="auto" w:fill="auto"/>
            <w:noWrap/>
            <w:vAlign w:val="center"/>
            <w:hideMark/>
          </w:tcPr>
          <w:p w14:paraId="538818E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7459 (91.4%)</w:t>
            </w:r>
          </w:p>
        </w:tc>
        <w:tc>
          <w:tcPr>
            <w:tcW w:w="1620" w:type="dxa"/>
            <w:tcBorders>
              <w:top w:val="nil"/>
              <w:left w:val="nil"/>
              <w:bottom w:val="single" w:sz="4" w:space="0" w:color="000000"/>
              <w:right w:val="single" w:sz="4" w:space="0" w:color="000000"/>
            </w:tcBorders>
            <w:shd w:val="clear" w:color="auto" w:fill="auto"/>
            <w:noWrap/>
            <w:vAlign w:val="center"/>
            <w:hideMark/>
          </w:tcPr>
          <w:p w14:paraId="272F85D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2,857 (92.0%)</w:t>
            </w:r>
          </w:p>
        </w:tc>
        <w:tc>
          <w:tcPr>
            <w:tcW w:w="162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652D9C7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0.064</w:t>
            </w:r>
          </w:p>
        </w:tc>
        <w:tc>
          <w:tcPr>
            <w:tcW w:w="1620" w:type="dxa"/>
            <w:tcBorders>
              <w:top w:val="nil"/>
              <w:left w:val="nil"/>
              <w:bottom w:val="single" w:sz="4" w:space="0" w:color="000000"/>
              <w:right w:val="single" w:sz="4" w:space="0" w:color="000000"/>
            </w:tcBorders>
            <w:shd w:val="clear" w:color="auto" w:fill="auto"/>
            <w:noWrap/>
            <w:vAlign w:val="center"/>
            <w:hideMark/>
          </w:tcPr>
          <w:p w14:paraId="21D8262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2,852 (91.8%)</w:t>
            </w:r>
          </w:p>
        </w:tc>
        <w:tc>
          <w:tcPr>
            <w:tcW w:w="1620" w:type="dxa"/>
            <w:tcBorders>
              <w:top w:val="nil"/>
              <w:left w:val="nil"/>
              <w:bottom w:val="single" w:sz="4" w:space="0" w:color="000000"/>
              <w:right w:val="single" w:sz="4" w:space="0" w:color="000000"/>
            </w:tcBorders>
            <w:shd w:val="clear" w:color="auto" w:fill="auto"/>
            <w:noWrap/>
            <w:vAlign w:val="center"/>
            <w:hideMark/>
          </w:tcPr>
          <w:p w14:paraId="7C3D2E8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2,857 (92.0%)</w:t>
            </w:r>
          </w:p>
        </w:tc>
        <w:tc>
          <w:tcPr>
            <w:tcW w:w="1598" w:type="dxa"/>
            <w:vMerge w:val="restart"/>
            <w:tcBorders>
              <w:top w:val="nil"/>
              <w:left w:val="single" w:sz="4" w:space="0" w:color="000000"/>
              <w:bottom w:val="nil"/>
              <w:right w:val="single" w:sz="4" w:space="0" w:color="000000"/>
            </w:tcBorders>
            <w:shd w:val="clear" w:color="000000" w:fill="FFFFFF"/>
            <w:noWrap/>
            <w:vAlign w:val="center"/>
            <w:hideMark/>
          </w:tcPr>
          <w:p w14:paraId="522E513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0.076</w:t>
            </w:r>
          </w:p>
        </w:tc>
      </w:tr>
      <w:tr w:rsidR="002C5301" w:rsidRPr="00A43015" w14:paraId="1D76C1C5"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24BD3C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...African American; n (%)</w:t>
            </w:r>
          </w:p>
        </w:tc>
        <w:tc>
          <w:tcPr>
            <w:tcW w:w="1710" w:type="dxa"/>
            <w:tcBorders>
              <w:top w:val="nil"/>
              <w:left w:val="nil"/>
              <w:bottom w:val="single" w:sz="4" w:space="0" w:color="000000"/>
              <w:right w:val="single" w:sz="4" w:space="0" w:color="000000"/>
            </w:tcBorders>
            <w:shd w:val="clear" w:color="auto" w:fill="auto"/>
            <w:noWrap/>
            <w:vAlign w:val="center"/>
            <w:hideMark/>
          </w:tcPr>
          <w:p w14:paraId="5207629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490 (6.0%)</w:t>
            </w:r>
          </w:p>
        </w:tc>
        <w:tc>
          <w:tcPr>
            <w:tcW w:w="1620" w:type="dxa"/>
            <w:tcBorders>
              <w:top w:val="nil"/>
              <w:left w:val="nil"/>
              <w:bottom w:val="single" w:sz="4" w:space="0" w:color="000000"/>
              <w:right w:val="single" w:sz="4" w:space="0" w:color="000000"/>
            </w:tcBorders>
            <w:shd w:val="clear" w:color="auto" w:fill="auto"/>
            <w:noWrap/>
            <w:vAlign w:val="center"/>
            <w:hideMark/>
          </w:tcPr>
          <w:p w14:paraId="005EF02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176 (5.7%)</w:t>
            </w:r>
          </w:p>
        </w:tc>
        <w:tc>
          <w:tcPr>
            <w:tcW w:w="1620" w:type="dxa"/>
            <w:vMerge/>
            <w:tcBorders>
              <w:top w:val="nil"/>
              <w:left w:val="single" w:sz="4" w:space="0" w:color="000000"/>
              <w:bottom w:val="single" w:sz="4" w:space="0" w:color="000000"/>
              <w:right w:val="single" w:sz="4" w:space="0" w:color="000000"/>
            </w:tcBorders>
            <w:vAlign w:val="center"/>
            <w:hideMark/>
          </w:tcPr>
          <w:p w14:paraId="5530278A"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369C06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166 (5.3%)</w:t>
            </w:r>
          </w:p>
        </w:tc>
        <w:tc>
          <w:tcPr>
            <w:tcW w:w="1620" w:type="dxa"/>
            <w:tcBorders>
              <w:top w:val="nil"/>
              <w:left w:val="nil"/>
              <w:bottom w:val="single" w:sz="4" w:space="0" w:color="000000"/>
              <w:right w:val="single" w:sz="4" w:space="0" w:color="000000"/>
            </w:tcBorders>
            <w:shd w:val="clear" w:color="auto" w:fill="auto"/>
            <w:noWrap/>
            <w:vAlign w:val="center"/>
            <w:hideMark/>
          </w:tcPr>
          <w:p w14:paraId="7B06635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176 (5.7%)</w:t>
            </w:r>
          </w:p>
        </w:tc>
        <w:tc>
          <w:tcPr>
            <w:tcW w:w="1598" w:type="dxa"/>
            <w:vMerge/>
            <w:tcBorders>
              <w:top w:val="nil"/>
              <w:left w:val="single" w:sz="4" w:space="0" w:color="000000"/>
              <w:bottom w:val="nil"/>
              <w:right w:val="single" w:sz="4" w:space="0" w:color="000000"/>
            </w:tcBorders>
            <w:vAlign w:val="center"/>
            <w:hideMark/>
          </w:tcPr>
          <w:p w14:paraId="3F1ED8FA" w14:textId="77777777" w:rsidR="002C5301" w:rsidRPr="00A43015" w:rsidRDefault="002C5301" w:rsidP="00B110EB">
            <w:pPr>
              <w:rPr>
                <w:rFonts w:ascii="Arial" w:eastAsia="Times New Roman" w:hAnsi="Arial" w:cs="Arial"/>
                <w:color w:val="000000"/>
                <w:sz w:val="22"/>
                <w:szCs w:val="22"/>
              </w:rPr>
            </w:pPr>
          </w:p>
        </w:tc>
      </w:tr>
      <w:tr w:rsidR="002C5301" w:rsidRPr="00A43015" w14:paraId="6FD23C3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FF458F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...Hispanic; n (%)</w:t>
            </w:r>
          </w:p>
        </w:tc>
        <w:tc>
          <w:tcPr>
            <w:tcW w:w="1710" w:type="dxa"/>
            <w:tcBorders>
              <w:top w:val="nil"/>
              <w:left w:val="nil"/>
              <w:bottom w:val="single" w:sz="4" w:space="0" w:color="000000"/>
              <w:right w:val="single" w:sz="4" w:space="0" w:color="000000"/>
            </w:tcBorders>
            <w:shd w:val="clear" w:color="auto" w:fill="auto"/>
            <w:noWrap/>
            <w:vAlign w:val="center"/>
            <w:hideMark/>
          </w:tcPr>
          <w:p w14:paraId="0C05D0A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 (0.15%)</w:t>
            </w:r>
          </w:p>
        </w:tc>
        <w:tc>
          <w:tcPr>
            <w:tcW w:w="1620" w:type="dxa"/>
            <w:tcBorders>
              <w:top w:val="nil"/>
              <w:left w:val="nil"/>
              <w:bottom w:val="single" w:sz="4" w:space="0" w:color="000000"/>
              <w:right w:val="single" w:sz="4" w:space="0" w:color="000000"/>
            </w:tcBorders>
            <w:shd w:val="clear" w:color="auto" w:fill="auto"/>
            <w:noWrap/>
            <w:vAlign w:val="center"/>
            <w:hideMark/>
          </w:tcPr>
          <w:p w14:paraId="56215C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 (0.10%)</w:t>
            </w:r>
          </w:p>
        </w:tc>
        <w:tc>
          <w:tcPr>
            <w:tcW w:w="1620" w:type="dxa"/>
            <w:vMerge/>
            <w:tcBorders>
              <w:top w:val="nil"/>
              <w:left w:val="single" w:sz="4" w:space="0" w:color="000000"/>
              <w:bottom w:val="single" w:sz="4" w:space="0" w:color="000000"/>
              <w:right w:val="single" w:sz="4" w:space="0" w:color="000000"/>
            </w:tcBorders>
            <w:vAlign w:val="center"/>
            <w:hideMark/>
          </w:tcPr>
          <w:p w14:paraId="58DF9998"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151433F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 (0.19%)</w:t>
            </w:r>
          </w:p>
        </w:tc>
        <w:tc>
          <w:tcPr>
            <w:tcW w:w="1620" w:type="dxa"/>
            <w:tcBorders>
              <w:top w:val="nil"/>
              <w:left w:val="nil"/>
              <w:bottom w:val="single" w:sz="4" w:space="0" w:color="000000"/>
              <w:right w:val="single" w:sz="4" w:space="0" w:color="000000"/>
            </w:tcBorders>
            <w:shd w:val="clear" w:color="auto" w:fill="auto"/>
            <w:noWrap/>
            <w:vAlign w:val="center"/>
            <w:hideMark/>
          </w:tcPr>
          <w:p w14:paraId="431A32B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 (0.10%)</w:t>
            </w:r>
          </w:p>
        </w:tc>
        <w:tc>
          <w:tcPr>
            <w:tcW w:w="1598" w:type="dxa"/>
            <w:vMerge/>
            <w:tcBorders>
              <w:top w:val="nil"/>
              <w:left w:val="single" w:sz="4" w:space="0" w:color="000000"/>
              <w:bottom w:val="nil"/>
              <w:right w:val="single" w:sz="4" w:space="0" w:color="000000"/>
            </w:tcBorders>
            <w:vAlign w:val="center"/>
            <w:hideMark/>
          </w:tcPr>
          <w:p w14:paraId="5F197CB6" w14:textId="77777777" w:rsidR="002C5301" w:rsidRPr="00A43015" w:rsidRDefault="002C5301" w:rsidP="00B110EB">
            <w:pPr>
              <w:rPr>
                <w:rFonts w:ascii="Arial" w:eastAsia="Times New Roman" w:hAnsi="Arial" w:cs="Arial"/>
                <w:color w:val="000000"/>
                <w:sz w:val="22"/>
                <w:szCs w:val="22"/>
              </w:rPr>
            </w:pPr>
          </w:p>
        </w:tc>
      </w:tr>
      <w:tr w:rsidR="002C5301" w:rsidRPr="00A43015" w14:paraId="61FC5896"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F5CEB9C"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...Other/Unknown/Missing; n (%)</w:t>
            </w:r>
          </w:p>
        </w:tc>
        <w:tc>
          <w:tcPr>
            <w:tcW w:w="1710" w:type="dxa"/>
            <w:tcBorders>
              <w:top w:val="nil"/>
              <w:left w:val="nil"/>
              <w:bottom w:val="single" w:sz="4" w:space="0" w:color="000000"/>
              <w:right w:val="single" w:sz="4" w:space="0" w:color="000000"/>
            </w:tcBorders>
            <w:shd w:val="clear" w:color="auto" w:fill="auto"/>
            <w:noWrap/>
            <w:vAlign w:val="center"/>
            <w:hideMark/>
          </w:tcPr>
          <w:p w14:paraId="5AC7B39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229 (2.8%)</w:t>
            </w:r>
          </w:p>
        </w:tc>
        <w:tc>
          <w:tcPr>
            <w:tcW w:w="1620" w:type="dxa"/>
            <w:tcBorders>
              <w:top w:val="nil"/>
              <w:left w:val="nil"/>
              <w:bottom w:val="single" w:sz="4" w:space="0" w:color="000000"/>
              <w:right w:val="single" w:sz="4" w:space="0" w:color="000000"/>
            </w:tcBorders>
            <w:shd w:val="clear" w:color="auto" w:fill="auto"/>
            <w:noWrap/>
            <w:vAlign w:val="center"/>
            <w:hideMark/>
          </w:tcPr>
          <w:p w14:paraId="3A415B5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70 (2.3%)</w:t>
            </w:r>
          </w:p>
        </w:tc>
        <w:tc>
          <w:tcPr>
            <w:tcW w:w="1620" w:type="dxa"/>
            <w:vMerge/>
            <w:tcBorders>
              <w:top w:val="nil"/>
              <w:left w:val="single" w:sz="4" w:space="0" w:color="000000"/>
              <w:bottom w:val="single" w:sz="4" w:space="0" w:color="000000"/>
              <w:right w:val="single" w:sz="4" w:space="0" w:color="000000"/>
            </w:tcBorders>
            <w:vAlign w:val="center"/>
            <w:hideMark/>
          </w:tcPr>
          <w:p w14:paraId="78599D8C"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20FE039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82 (2.6%)</w:t>
            </w:r>
          </w:p>
        </w:tc>
        <w:tc>
          <w:tcPr>
            <w:tcW w:w="1620" w:type="dxa"/>
            <w:tcBorders>
              <w:top w:val="nil"/>
              <w:left w:val="nil"/>
              <w:bottom w:val="single" w:sz="4" w:space="0" w:color="000000"/>
              <w:right w:val="single" w:sz="4" w:space="0" w:color="000000"/>
            </w:tcBorders>
            <w:shd w:val="clear" w:color="auto" w:fill="auto"/>
            <w:noWrap/>
            <w:vAlign w:val="center"/>
            <w:hideMark/>
          </w:tcPr>
          <w:p w14:paraId="4BDD6C5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70 (2.3%)</w:t>
            </w:r>
          </w:p>
        </w:tc>
        <w:tc>
          <w:tcPr>
            <w:tcW w:w="1598" w:type="dxa"/>
            <w:vMerge/>
            <w:tcBorders>
              <w:top w:val="nil"/>
              <w:left w:val="single" w:sz="4" w:space="0" w:color="000000"/>
              <w:bottom w:val="nil"/>
              <w:right w:val="single" w:sz="4" w:space="0" w:color="000000"/>
            </w:tcBorders>
            <w:vAlign w:val="center"/>
            <w:hideMark/>
          </w:tcPr>
          <w:p w14:paraId="0891F1F7" w14:textId="77777777" w:rsidR="002C5301" w:rsidRPr="00A43015" w:rsidRDefault="002C5301" w:rsidP="00B110EB">
            <w:pPr>
              <w:rPr>
                <w:rFonts w:ascii="Arial" w:eastAsia="Times New Roman" w:hAnsi="Arial" w:cs="Arial"/>
                <w:color w:val="000000"/>
                <w:sz w:val="22"/>
                <w:szCs w:val="22"/>
              </w:rPr>
            </w:pPr>
          </w:p>
        </w:tc>
      </w:tr>
      <w:tr w:rsidR="002C5301" w:rsidRPr="00A43015" w14:paraId="42BE255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8DF53C0"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Region - US</w:t>
            </w:r>
          </w:p>
        </w:tc>
        <w:tc>
          <w:tcPr>
            <w:tcW w:w="495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A9CBDC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A282FC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3CFBE0D4"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13AB1CA0"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...Northeast; n (%)</w:t>
            </w:r>
          </w:p>
        </w:tc>
        <w:tc>
          <w:tcPr>
            <w:tcW w:w="1710" w:type="dxa"/>
            <w:tcBorders>
              <w:top w:val="nil"/>
              <w:left w:val="nil"/>
              <w:bottom w:val="single" w:sz="4" w:space="0" w:color="000000"/>
              <w:right w:val="single" w:sz="4" w:space="0" w:color="000000"/>
            </w:tcBorders>
            <w:shd w:val="clear" w:color="auto" w:fill="auto"/>
            <w:noWrap/>
            <w:vAlign w:val="center"/>
            <w:hideMark/>
          </w:tcPr>
          <w:p w14:paraId="2675EB7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1,357 (16.6%)</w:t>
            </w:r>
          </w:p>
        </w:tc>
        <w:tc>
          <w:tcPr>
            <w:tcW w:w="1620" w:type="dxa"/>
            <w:tcBorders>
              <w:top w:val="nil"/>
              <w:left w:val="nil"/>
              <w:bottom w:val="single" w:sz="4" w:space="0" w:color="000000"/>
              <w:right w:val="single" w:sz="4" w:space="0" w:color="000000"/>
            </w:tcBorders>
            <w:shd w:val="clear" w:color="auto" w:fill="auto"/>
            <w:noWrap/>
            <w:vAlign w:val="center"/>
            <w:hideMark/>
          </w:tcPr>
          <w:p w14:paraId="14D5DBD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447 (14.4%)</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B5F8AC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0.140</w:t>
            </w:r>
          </w:p>
        </w:tc>
        <w:tc>
          <w:tcPr>
            <w:tcW w:w="1620" w:type="dxa"/>
            <w:tcBorders>
              <w:top w:val="nil"/>
              <w:left w:val="nil"/>
              <w:bottom w:val="single" w:sz="4" w:space="0" w:color="000000"/>
              <w:right w:val="single" w:sz="4" w:space="0" w:color="000000"/>
            </w:tcBorders>
            <w:shd w:val="clear" w:color="auto" w:fill="auto"/>
            <w:noWrap/>
            <w:vAlign w:val="center"/>
            <w:hideMark/>
          </w:tcPr>
          <w:p w14:paraId="4B5B5BD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431 (13.9%)</w:t>
            </w:r>
          </w:p>
        </w:tc>
        <w:tc>
          <w:tcPr>
            <w:tcW w:w="1620" w:type="dxa"/>
            <w:tcBorders>
              <w:top w:val="nil"/>
              <w:left w:val="nil"/>
              <w:bottom w:val="single" w:sz="4" w:space="0" w:color="000000"/>
              <w:right w:val="single" w:sz="4" w:space="0" w:color="000000"/>
            </w:tcBorders>
            <w:shd w:val="clear" w:color="auto" w:fill="auto"/>
            <w:noWrap/>
            <w:vAlign w:val="center"/>
            <w:hideMark/>
          </w:tcPr>
          <w:p w14:paraId="0AE0256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447 (14.4%)</w:t>
            </w:r>
          </w:p>
        </w:tc>
        <w:tc>
          <w:tcPr>
            <w:tcW w:w="15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407740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0.032</w:t>
            </w:r>
          </w:p>
        </w:tc>
      </w:tr>
      <w:tr w:rsidR="002C5301" w:rsidRPr="00A43015" w14:paraId="71520D71"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5ECF125"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...Midwest; n (%)</w:t>
            </w:r>
          </w:p>
        </w:tc>
        <w:tc>
          <w:tcPr>
            <w:tcW w:w="1710" w:type="dxa"/>
            <w:tcBorders>
              <w:top w:val="nil"/>
              <w:left w:val="nil"/>
              <w:bottom w:val="single" w:sz="4" w:space="0" w:color="000000"/>
              <w:right w:val="single" w:sz="4" w:space="0" w:color="000000"/>
            </w:tcBorders>
            <w:shd w:val="clear" w:color="auto" w:fill="auto"/>
            <w:noWrap/>
            <w:vAlign w:val="center"/>
            <w:hideMark/>
          </w:tcPr>
          <w:p w14:paraId="0DEBE0E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2,675 (32.7%)</w:t>
            </w:r>
          </w:p>
        </w:tc>
        <w:tc>
          <w:tcPr>
            <w:tcW w:w="1620" w:type="dxa"/>
            <w:tcBorders>
              <w:top w:val="nil"/>
              <w:left w:val="nil"/>
              <w:bottom w:val="single" w:sz="4" w:space="0" w:color="000000"/>
              <w:right w:val="single" w:sz="4" w:space="0" w:color="000000"/>
            </w:tcBorders>
            <w:shd w:val="clear" w:color="auto" w:fill="auto"/>
            <w:noWrap/>
            <w:vAlign w:val="center"/>
            <w:hideMark/>
          </w:tcPr>
          <w:p w14:paraId="2D1FA3D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1,001 (32.2%)</w:t>
            </w:r>
          </w:p>
        </w:tc>
        <w:tc>
          <w:tcPr>
            <w:tcW w:w="1620" w:type="dxa"/>
            <w:vMerge/>
            <w:tcBorders>
              <w:top w:val="nil"/>
              <w:left w:val="single" w:sz="4" w:space="0" w:color="000000"/>
              <w:bottom w:val="single" w:sz="4" w:space="0" w:color="000000"/>
              <w:right w:val="single" w:sz="4" w:space="0" w:color="000000"/>
            </w:tcBorders>
            <w:vAlign w:val="center"/>
            <w:hideMark/>
          </w:tcPr>
          <w:p w14:paraId="31DCF8C6"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054087F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1,010 (32.5%)</w:t>
            </w:r>
          </w:p>
        </w:tc>
        <w:tc>
          <w:tcPr>
            <w:tcW w:w="1620" w:type="dxa"/>
            <w:tcBorders>
              <w:top w:val="nil"/>
              <w:left w:val="nil"/>
              <w:bottom w:val="single" w:sz="4" w:space="0" w:color="000000"/>
              <w:right w:val="single" w:sz="4" w:space="0" w:color="000000"/>
            </w:tcBorders>
            <w:shd w:val="clear" w:color="auto" w:fill="auto"/>
            <w:noWrap/>
            <w:vAlign w:val="center"/>
            <w:hideMark/>
          </w:tcPr>
          <w:p w14:paraId="17ACE5E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1,001 (32.2%)</w:t>
            </w:r>
          </w:p>
        </w:tc>
        <w:tc>
          <w:tcPr>
            <w:tcW w:w="1598" w:type="dxa"/>
            <w:vMerge/>
            <w:tcBorders>
              <w:top w:val="nil"/>
              <w:left w:val="single" w:sz="4" w:space="0" w:color="000000"/>
              <w:bottom w:val="single" w:sz="4" w:space="0" w:color="000000"/>
              <w:right w:val="single" w:sz="4" w:space="0" w:color="000000"/>
            </w:tcBorders>
            <w:vAlign w:val="center"/>
            <w:hideMark/>
          </w:tcPr>
          <w:p w14:paraId="5EFB7F5D" w14:textId="77777777" w:rsidR="002C5301" w:rsidRPr="00A43015" w:rsidRDefault="002C5301" w:rsidP="00B110EB">
            <w:pPr>
              <w:rPr>
                <w:rFonts w:ascii="Arial" w:eastAsia="Times New Roman" w:hAnsi="Arial" w:cs="Arial"/>
                <w:color w:val="000000"/>
                <w:sz w:val="22"/>
                <w:szCs w:val="22"/>
              </w:rPr>
            </w:pPr>
          </w:p>
        </w:tc>
      </w:tr>
      <w:tr w:rsidR="002C5301" w:rsidRPr="00A43015" w14:paraId="6D2F036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3DA8F2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...Southeast; n (%)</w:t>
            </w:r>
          </w:p>
        </w:tc>
        <w:tc>
          <w:tcPr>
            <w:tcW w:w="1710" w:type="dxa"/>
            <w:tcBorders>
              <w:top w:val="nil"/>
              <w:left w:val="nil"/>
              <w:bottom w:val="single" w:sz="4" w:space="0" w:color="000000"/>
              <w:right w:val="single" w:sz="4" w:space="0" w:color="000000"/>
            </w:tcBorders>
            <w:shd w:val="clear" w:color="auto" w:fill="auto"/>
            <w:noWrap/>
            <w:vAlign w:val="center"/>
            <w:hideMark/>
          </w:tcPr>
          <w:p w14:paraId="22B2A29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3,281 (40.1%)</w:t>
            </w:r>
          </w:p>
        </w:tc>
        <w:tc>
          <w:tcPr>
            <w:tcW w:w="1620" w:type="dxa"/>
            <w:tcBorders>
              <w:top w:val="nil"/>
              <w:left w:val="nil"/>
              <w:bottom w:val="single" w:sz="4" w:space="0" w:color="000000"/>
              <w:right w:val="single" w:sz="4" w:space="0" w:color="000000"/>
            </w:tcBorders>
            <w:shd w:val="clear" w:color="auto" w:fill="auto"/>
            <w:noWrap/>
            <w:vAlign w:val="center"/>
            <w:hideMark/>
          </w:tcPr>
          <w:p w14:paraId="3A15139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1,246 (40.1%)</w:t>
            </w:r>
          </w:p>
        </w:tc>
        <w:tc>
          <w:tcPr>
            <w:tcW w:w="1620" w:type="dxa"/>
            <w:vMerge/>
            <w:tcBorders>
              <w:top w:val="nil"/>
              <w:left w:val="single" w:sz="4" w:space="0" w:color="000000"/>
              <w:bottom w:val="single" w:sz="4" w:space="0" w:color="000000"/>
              <w:right w:val="single" w:sz="4" w:space="0" w:color="000000"/>
            </w:tcBorders>
            <w:vAlign w:val="center"/>
            <w:hideMark/>
          </w:tcPr>
          <w:p w14:paraId="559E38D0"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1F6680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1,249 (40.2%)</w:t>
            </w:r>
          </w:p>
        </w:tc>
        <w:tc>
          <w:tcPr>
            <w:tcW w:w="1620" w:type="dxa"/>
            <w:tcBorders>
              <w:top w:val="nil"/>
              <w:left w:val="nil"/>
              <w:bottom w:val="single" w:sz="4" w:space="0" w:color="000000"/>
              <w:right w:val="single" w:sz="4" w:space="0" w:color="000000"/>
            </w:tcBorders>
            <w:shd w:val="clear" w:color="auto" w:fill="auto"/>
            <w:noWrap/>
            <w:vAlign w:val="center"/>
            <w:hideMark/>
          </w:tcPr>
          <w:p w14:paraId="550237B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1246 (40.1%)</w:t>
            </w:r>
          </w:p>
        </w:tc>
        <w:tc>
          <w:tcPr>
            <w:tcW w:w="1598" w:type="dxa"/>
            <w:vMerge/>
            <w:tcBorders>
              <w:top w:val="nil"/>
              <w:left w:val="single" w:sz="4" w:space="0" w:color="000000"/>
              <w:bottom w:val="single" w:sz="4" w:space="0" w:color="000000"/>
              <w:right w:val="single" w:sz="4" w:space="0" w:color="000000"/>
            </w:tcBorders>
            <w:vAlign w:val="center"/>
            <w:hideMark/>
          </w:tcPr>
          <w:p w14:paraId="5120AA38" w14:textId="77777777" w:rsidR="002C5301" w:rsidRPr="00A43015" w:rsidRDefault="002C5301" w:rsidP="00B110EB">
            <w:pPr>
              <w:rPr>
                <w:rFonts w:ascii="Arial" w:eastAsia="Times New Roman" w:hAnsi="Arial" w:cs="Arial"/>
                <w:color w:val="000000"/>
                <w:sz w:val="22"/>
                <w:szCs w:val="22"/>
              </w:rPr>
            </w:pPr>
          </w:p>
        </w:tc>
      </w:tr>
      <w:tr w:rsidR="002C5301" w:rsidRPr="00A43015" w14:paraId="14C7E37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FA2772F"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...West; n (%)</w:t>
            </w:r>
          </w:p>
        </w:tc>
        <w:tc>
          <w:tcPr>
            <w:tcW w:w="1710" w:type="dxa"/>
            <w:tcBorders>
              <w:top w:val="nil"/>
              <w:left w:val="nil"/>
              <w:bottom w:val="single" w:sz="4" w:space="0" w:color="000000"/>
              <w:right w:val="single" w:sz="4" w:space="0" w:color="000000"/>
            </w:tcBorders>
            <w:shd w:val="clear" w:color="auto" w:fill="auto"/>
            <w:noWrap/>
            <w:vAlign w:val="center"/>
            <w:hideMark/>
          </w:tcPr>
          <w:p w14:paraId="56C32E2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876 (10.7%)</w:t>
            </w:r>
          </w:p>
        </w:tc>
        <w:tc>
          <w:tcPr>
            <w:tcW w:w="1620" w:type="dxa"/>
            <w:tcBorders>
              <w:top w:val="nil"/>
              <w:left w:val="nil"/>
              <w:bottom w:val="single" w:sz="4" w:space="0" w:color="000000"/>
              <w:right w:val="single" w:sz="4" w:space="0" w:color="000000"/>
            </w:tcBorders>
            <w:shd w:val="clear" w:color="auto" w:fill="auto"/>
            <w:noWrap/>
            <w:vAlign w:val="center"/>
            <w:hideMark/>
          </w:tcPr>
          <w:p w14:paraId="18CE4D1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408 (13.1%)</w:t>
            </w:r>
          </w:p>
        </w:tc>
        <w:tc>
          <w:tcPr>
            <w:tcW w:w="1620" w:type="dxa"/>
            <w:vMerge/>
            <w:tcBorders>
              <w:top w:val="nil"/>
              <w:left w:val="single" w:sz="4" w:space="0" w:color="000000"/>
              <w:bottom w:val="single" w:sz="4" w:space="0" w:color="000000"/>
              <w:right w:val="single" w:sz="4" w:space="0" w:color="000000"/>
            </w:tcBorders>
            <w:vAlign w:val="center"/>
            <w:hideMark/>
          </w:tcPr>
          <w:p w14:paraId="3D70F4D4"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16D31B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413 (13.3%)</w:t>
            </w:r>
          </w:p>
        </w:tc>
        <w:tc>
          <w:tcPr>
            <w:tcW w:w="1620" w:type="dxa"/>
            <w:tcBorders>
              <w:top w:val="nil"/>
              <w:left w:val="nil"/>
              <w:bottom w:val="single" w:sz="4" w:space="0" w:color="000000"/>
              <w:right w:val="single" w:sz="4" w:space="0" w:color="000000"/>
            </w:tcBorders>
            <w:shd w:val="clear" w:color="auto" w:fill="auto"/>
            <w:noWrap/>
            <w:vAlign w:val="center"/>
            <w:hideMark/>
          </w:tcPr>
          <w:p w14:paraId="45185AD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408 (13.1%)</w:t>
            </w:r>
          </w:p>
        </w:tc>
        <w:tc>
          <w:tcPr>
            <w:tcW w:w="1598" w:type="dxa"/>
            <w:vMerge/>
            <w:tcBorders>
              <w:top w:val="nil"/>
              <w:left w:val="single" w:sz="4" w:space="0" w:color="000000"/>
              <w:bottom w:val="single" w:sz="4" w:space="0" w:color="000000"/>
              <w:right w:val="single" w:sz="4" w:space="0" w:color="000000"/>
            </w:tcBorders>
            <w:vAlign w:val="center"/>
            <w:hideMark/>
          </w:tcPr>
          <w:p w14:paraId="526200DC" w14:textId="77777777" w:rsidR="002C5301" w:rsidRPr="00A43015" w:rsidRDefault="002C5301" w:rsidP="00B110EB">
            <w:pPr>
              <w:rPr>
                <w:rFonts w:ascii="Arial" w:eastAsia="Times New Roman" w:hAnsi="Arial" w:cs="Arial"/>
                <w:color w:val="000000"/>
                <w:sz w:val="22"/>
                <w:szCs w:val="22"/>
              </w:rPr>
            </w:pPr>
          </w:p>
        </w:tc>
      </w:tr>
      <w:tr w:rsidR="002C5301" w:rsidRPr="00A43015" w14:paraId="09B3CA7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36D58FD"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...Other/Unknown; n (%)</w:t>
            </w:r>
          </w:p>
        </w:tc>
        <w:tc>
          <w:tcPr>
            <w:tcW w:w="1710" w:type="dxa"/>
            <w:tcBorders>
              <w:top w:val="nil"/>
              <w:left w:val="nil"/>
              <w:bottom w:val="single" w:sz="4" w:space="0" w:color="000000"/>
              <w:right w:val="single" w:sz="4" w:space="0" w:color="000000"/>
            </w:tcBorders>
            <w:shd w:val="clear" w:color="auto" w:fill="auto"/>
            <w:noWrap/>
            <w:vAlign w:val="center"/>
            <w:hideMark/>
          </w:tcPr>
          <w:p w14:paraId="24FBD42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 (0.01%)</w:t>
            </w:r>
          </w:p>
        </w:tc>
        <w:tc>
          <w:tcPr>
            <w:tcW w:w="1620" w:type="dxa"/>
            <w:tcBorders>
              <w:top w:val="nil"/>
              <w:left w:val="nil"/>
              <w:bottom w:val="single" w:sz="4" w:space="0" w:color="000000"/>
              <w:right w:val="single" w:sz="4" w:space="0" w:color="000000"/>
            </w:tcBorders>
            <w:shd w:val="clear" w:color="auto" w:fill="auto"/>
            <w:noWrap/>
            <w:vAlign w:val="center"/>
            <w:hideMark/>
          </w:tcPr>
          <w:p w14:paraId="6C079C4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 (0.13%)</w:t>
            </w:r>
          </w:p>
        </w:tc>
        <w:tc>
          <w:tcPr>
            <w:tcW w:w="1620" w:type="dxa"/>
            <w:vMerge/>
            <w:tcBorders>
              <w:top w:val="nil"/>
              <w:left w:val="single" w:sz="4" w:space="0" w:color="000000"/>
              <w:bottom w:val="single" w:sz="4" w:space="0" w:color="000000"/>
              <w:right w:val="single" w:sz="4" w:space="0" w:color="000000"/>
            </w:tcBorders>
            <w:vAlign w:val="center"/>
            <w:hideMark/>
          </w:tcPr>
          <w:p w14:paraId="7B028EFA"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2C34088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 (0.10%)</w:t>
            </w:r>
          </w:p>
        </w:tc>
        <w:tc>
          <w:tcPr>
            <w:tcW w:w="1620" w:type="dxa"/>
            <w:tcBorders>
              <w:top w:val="nil"/>
              <w:left w:val="nil"/>
              <w:bottom w:val="single" w:sz="4" w:space="0" w:color="000000"/>
              <w:right w:val="single" w:sz="4" w:space="0" w:color="000000"/>
            </w:tcBorders>
            <w:shd w:val="clear" w:color="auto" w:fill="auto"/>
            <w:noWrap/>
            <w:vAlign w:val="center"/>
            <w:hideMark/>
          </w:tcPr>
          <w:p w14:paraId="6337F8A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 (0.13%)</w:t>
            </w:r>
          </w:p>
        </w:tc>
        <w:tc>
          <w:tcPr>
            <w:tcW w:w="1598" w:type="dxa"/>
            <w:vMerge/>
            <w:tcBorders>
              <w:top w:val="nil"/>
              <w:left w:val="single" w:sz="4" w:space="0" w:color="000000"/>
              <w:bottom w:val="single" w:sz="4" w:space="0" w:color="000000"/>
              <w:right w:val="single" w:sz="4" w:space="0" w:color="000000"/>
            </w:tcBorders>
            <w:vAlign w:val="center"/>
            <w:hideMark/>
          </w:tcPr>
          <w:p w14:paraId="754C4303" w14:textId="77777777" w:rsidR="002C5301" w:rsidRPr="00A43015" w:rsidRDefault="002C5301" w:rsidP="00B110EB">
            <w:pPr>
              <w:rPr>
                <w:rFonts w:ascii="Arial" w:eastAsia="Times New Roman" w:hAnsi="Arial" w:cs="Arial"/>
                <w:color w:val="000000"/>
                <w:sz w:val="22"/>
                <w:szCs w:val="22"/>
              </w:rPr>
            </w:pPr>
          </w:p>
        </w:tc>
      </w:tr>
      <w:tr w:rsidR="002C5301" w:rsidRPr="00A43015" w14:paraId="69EEA1F1" w14:textId="77777777" w:rsidTr="007F4922">
        <w:trPr>
          <w:trHeight w:val="320"/>
        </w:trPr>
        <w:tc>
          <w:tcPr>
            <w:tcW w:w="2880" w:type="dxa"/>
            <w:tcBorders>
              <w:top w:val="nil"/>
              <w:left w:val="single" w:sz="4" w:space="0" w:color="000000"/>
              <w:bottom w:val="single" w:sz="4" w:space="0" w:color="000000"/>
              <w:right w:val="nil"/>
            </w:tcBorders>
            <w:shd w:val="clear" w:color="FFFFFF" w:fill="FFFFFF"/>
            <w:vAlign w:val="center"/>
            <w:hideMark/>
          </w:tcPr>
          <w:p w14:paraId="516A30BC" w14:textId="763B2CFC" w:rsidR="002C5301" w:rsidRPr="00D50AD2" w:rsidRDefault="002C5301" w:rsidP="00B110EB">
            <w:pPr>
              <w:rPr>
                <w:rFonts w:ascii="Arial" w:eastAsia="Times New Roman" w:hAnsi="Arial" w:cs="Arial"/>
                <w:b/>
                <w:bCs/>
                <w:color w:val="000000"/>
                <w:sz w:val="22"/>
                <w:szCs w:val="22"/>
                <w:vertAlign w:val="superscript"/>
              </w:rPr>
            </w:pPr>
            <w:r w:rsidRPr="00A43015">
              <w:rPr>
                <w:rFonts w:ascii="Arial" w:eastAsia="Times New Roman" w:hAnsi="Arial" w:cs="Arial"/>
                <w:b/>
                <w:bCs/>
                <w:color w:val="000000"/>
                <w:sz w:val="22"/>
                <w:szCs w:val="22"/>
              </w:rPr>
              <w:t>Type of AF</w:t>
            </w:r>
            <w:r w:rsidR="00D50AD2">
              <w:rPr>
                <w:rFonts w:ascii="Arial" w:eastAsia="Times New Roman" w:hAnsi="Arial" w:cs="Arial"/>
                <w:b/>
                <w:bCs/>
                <w:color w:val="000000"/>
                <w:sz w:val="22"/>
                <w:szCs w:val="22"/>
                <w:vertAlign w:val="superscript"/>
              </w:rPr>
              <w:t>#</w:t>
            </w:r>
          </w:p>
        </w:tc>
        <w:tc>
          <w:tcPr>
            <w:tcW w:w="4950" w:type="dxa"/>
            <w:gridSpan w:val="3"/>
            <w:tcBorders>
              <w:top w:val="nil"/>
              <w:left w:val="single" w:sz="4" w:space="0" w:color="000000"/>
              <w:bottom w:val="single" w:sz="4" w:space="0" w:color="000000"/>
              <w:right w:val="single" w:sz="4" w:space="0" w:color="000000"/>
            </w:tcBorders>
            <w:shd w:val="clear" w:color="FFFFFF" w:fill="FFFFFF"/>
            <w:vAlign w:val="center"/>
            <w:hideMark/>
          </w:tcPr>
          <w:p w14:paraId="71DC746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nil"/>
              <w:left w:val="nil"/>
              <w:bottom w:val="single" w:sz="4" w:space="0" w:color="000000"/>
              <w:right w:val="single" w:sz="4" w:space="0" w:color="000000"/>
            </w:tcBorders>
            <w:shd w:val="clear" w:color="FFFFFF" w:fill="FFFFFF"/>
            <w:vAlign w:val="center"/>
            <w:hideMark/>
          </w:tcPr>
          <w:p w14:paraId="316AD15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039D2522"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2C78D7F"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...Unknown AF (ICD-9 only); n (%)</w:t>
            </w:r>
          </w:p>
        </w:tc>
        <w:tc>
          <w:tcPr>
            <w:tcW w:w="1710" w:type="dxa"/>
            <w:tcBorders>
              <w:top w:val="nil"/>
              <w:left w:val="nil"/>
              <w:bottom w:val="single" w:sz="4" w:space="0" w:color="000000"/>
              <w:right w:val="single" w:sz="4" w:space="0" w:color="000000"/>
            </w:tcBorders>
            <w:shd w:val="clear" w:color="auto" w:fill="auto"/>
            <w:noWrap/>
            <w:vAlign w:val="center"/>
            <w:hideMark/>
          </w:tcPr>
          <w:p w14:paraId="3C8BE6A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3,145 (38.4%)</w:t>
            </w:r>
          </w:p>
        </w:tc>
        <w:tc>
          <w:tcPr>
            <w:tcW w:w="1620" w:type="dxa"/>
            <w:tcBorders>
              <w:top w:val="nil"/>
              <w:left w:val="nil"/>
              <w:bottom w:val="single" w:sz="4" w:space="0" w:color="000000"/>
              <w:right w:val="single" w:sz="4" w:space="0" w:color="000000"/>
            </w:tcBorders>
            <w:shd w:val="clear" w:color="auto" w:fill="auto"/>
            <w:noWrap/>
            <w:vAlign w:val="center"/>
            <w:hideMark/>
          </w:tcPr>
          <w:p w14:paraId="5E1D54C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1,017 (32.7%)</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49AC7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0.260</w:t>
            </w:r>
          </w:p>
        </w:tc>
        <w:tc>
          <w:tcPr>
            <w:tcW w:w="1620" w:type="dxa"/>
            <w:tcBorders>
              <w:top w:val="nil"/>
              <w:left w:val="nil"/>
              <w:bottom w:val="single" w:sz="4" w:space="0" w:color="000000"/>
              <w:right w:val="single" w:sz="4" w:space="0" w:color="000000"/>
            </w:tcBorders>
            <w:shd w:val="clear" w:color="auto" w:fill="auto"/>
            <w:noWrap/>
            <w:vAlign w:val="center"/>
            <w:hideMark/>
          </w:tcPr>
          <w:p w14:paraId="736ADD3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1,065 (34.3%)</w:t>
            </w:r>
          </w:p>
        </w:tc>
        <w:tc>
          <w:tcPr>
            <w:tcW w:w="1620" w:type="dxa"/>
            <w:tcBorders>
              <w:top w:val="nil"/>
              <w:left w:val="nil"/>
              <w:bottom w:val="single" w:sz="4" w:space="0" w:color="000000"/>
              <w:right w:val="single" w:sz="4" w:space="0" w:color="000000"/>
            </w:tcBorders>
            <w:shd w:val="clear" w:color="auto" w:fill="auto"/>
            <w:noWrap/>
            <w:vAlign w:val="center"/>
            <w:hideMark/>
          </w:tcPr>
          <w:p w14:paraId="65B6AFA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1,017 (32.7%)</w:t>
            </w:r>
          </w:p>
        </w:tc>
        <w:tc>
          <w:tcPr>
            <w:tcW w:w="15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C7E480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0.035</w:t>
            </w:r>
          </w:p>
        </w:tc>
      </w:tr>
      <w:tr w:rsidR="002C5301" w:rsidRPr="00A43015" w14:paraId="2D001F6B"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EA649DD"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...Unspecified AF; n (%)</w:t>
            </w:r>
          </w:p>
        </w:tc>
        <w:tc>
          <w:tcPr>
            <w:tcW w:w="1710" w:type="dxa"/>
            <w:tcBorders>
              <w:top w:val="nil"/>
              <w:left w:val="nil"/>
              <w:bottom w:val="single" w:sz="4" w:space="0" w:color="000000"/>
              <w:right w:val="single" w:sz="4" w:space="0" w:color="000000"/>
            </w:tcBorders>
            <w:shd w:val="clear" w:color="auto" w:fill="auto"/>
            <w:noWrap/>
            <w:vAlign w:val="center"/>
            <w:hideMark/>
          </w:tcPr>
          <w:p w14:paraId="0C6C8C3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1,837 (22.4%)</w:t>
            </w:r>
          </w:p>
        </w:tc>
        <w:tc>
          <w:tcPr>
            <w:tcW w:w="1620" w:type="dxa"/>
            <w:tcBorders>
              <w:top w:val="nil"/>
              <w:left w:val="nil"/>
              <w:bottom w:val="single" w:sz="4" w:space="0" w:color="000000"/>
              <w:right w:val="single" w:sz="4" w:space="0" w:color="000000"/>
            </w:tcBorders>
            <w:shd w:val="clear" w:color="auto" w:fill="auto"/>
            <w:noWrap/>
            <w:vAlign w:val="center"/>
            <w:hideMark/>
          </w:tcPr>
          <w:p w14:paraId="3B4ACC4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605 (19.5%)</w:t>
            </w:r>
          </w:p>
        </w:tc>
        <w:tc>
          <w:tcPr>
            <w:tcW w:w="1620" w:type="dxa"/>
            <w:vMerge/>
            <w:tcBorders>
              <w:top w:val="nil"/>
              <w:left w:val="single" w:sz="4" w:space="0" w:color="000000"/>
              <w:bottom w:val="single" w:sz="4" w:space="0" w:color="000000"/>
              <w:right w:val="single" w:sz="4" w:space="0" w:color="000000"/>
            </w:tcBorders>
            <w:vAlign w:val="center"/>
            <w:hideMark/>
          </w:tcPr>
          <w:p w14:paraId="3F8C8F06"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0E57A5F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567 (18.3%)</w:t>
            </w:r>
          </w:p>
        </w:tc>
        <w:tc>
          <w:tcPr>
            <w:tcW w:w="1620" w:type="dxa"/>
            <w:tcBorders>
              <w:top w:val="nil"/>
              <w:left w:val="nil"/>
              <w:bottom w:val="single" w:sz="4" w:space="0" w:color="000000"/>
              <w:right w:val="single" w:sz="4" w:space="0" w:color="000000"/>
            </w:tcBorders>
            <w:shd w:val="clear" w:color="auto" w:fill="auto"/>
            <w:noWrap/>
            <w:vAlign w:val="center"/>
            <w:hideMark/>
          </w:tcPr>
          <w:p w14:paraId="53876EF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605 (19.5%)</w:t>
            </w:r>
          </w:p>
        </w:tc>
        <w:tc>
          <w:tcPr>
            <w:tcW w:w="1598" w:type="dxa"/>
            <w:vMerge/>
            <w:tcBorders>
              <w:top w:val="nil"/>
              <w:left w:val="single" w:sz="4" w:space="0" w:color="000000"/>
              <w:bottom w:val="single" w:sz="4" w:space="0" w:color="000000"/>
              <w:right w:val="single" w:sz="4" w:space="0" w:color="000000"/>
            </w:tcBorders>
            <w:vAlign w:val="center"/>
            <w:hideMark/>
          </w:tcPr>
          <w:p w14:paraId="0DB9D3D4" w14:textId="77777777" w:rsidR="002C5301" w:rsidRPr="00A43015" w:rsidRDefault="002C5301" w:rsidP="00B110EB">
            <w:pPr>
              <w:rPr>
                <w:rFonts w:ascii="Arial" w:eastAsia="Times New Roman" w:hAnsi="Arial" w:cs="Arial"/>
                <w:color w:val="000000"/>
                <w:sz w:val="22"/>
                <w:szCs w:val="22"/>
              </w:rPr>
            </w:pPr>
          </w:p>
        </w:tc>
      </w:tr>
      <w:tr w:rsidR="002C5301" w:rsidRPr="00A43015" w14:paraId="7221FCF1"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8C2169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...Paroxysmal AF; n (%)</w:t>
            </w:r>
          </w:p>
        </w:tc>
        <w:tc>
          <w:tcPr>
            <w:tcW w:w="1710" w:type="dxa"/>
            <w:tcBorders>
              <w:top w:val="nil"/>
              <w:left w:val="nil"/>
              <w:bottom w:val="single" w:sz="4" w:space="0" w:color="000000"/>
              <w:right w:val="single" w:sz="4" w:space="0" w:color="000000"/>
            </w:tcBorders>
            <w:shd w:val="clear" w:color="auto" w:fill="auto"/>
            <w:noWrap/>
            <w:vAlign w:val="center"/>
            <w:hideMark/>
          </w:tcPr>
          <w:p w14:paraId="48E8E2E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1,593 (19.5%)</w:t>
            </w:r>
          </w:p>
        </w:tc>
        <w:tc>
          <w:tcPr>
            <w:tcW w:w="1620" w:type="dxa"/>
            <w:tcBorders>
              <w:top w:val="nil"/>
              <w:left w:val="nil"/>
              <w:bottom w:val="single" w:sz="4" w:space="0" w:color="000000"/>
              <w:right w:val="single" w:sz="4" w:space="0" w:color="000000"/>
            </w:tcBorders>
            <w:shd w:val="clear" w:color="auto" w:fill="auto"/>
            <w:noWrap/>
            <w:vAlign w:val="center"/>
            <w:hideMark/>
          </w:tcPr>
          <w:p w14:paraId="2955F8D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947 (30.5%)</w:t>
            </w:r>
          </w:p>
        </w:tc>
        <w:tc>
          <w:tcPr>
            <w:tcW w:w="1620" w:type="dxa"/>
            <w:vMerge/>
            <w:tcBorders>
              <w:top w:val="nil"/>
              <w:left w:val="single" w:sz="4" w:space="0" w:color="000000"/>
              <w:bottom w:val="single" w:sz="4" w:space="0" w:color="000000"/>
              <w:right w:val="single" w:sz="4" w:space="0" w:color="000000"/>
            </w:tcBorders>
            <w:vAlign w:val="center"/>
            <w:hideMark/>
          </w:tcPr>
          <w:p w14:paraId="6238DF32"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AD761B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942 (30.3%)</w:t>
            </w:r>
          </w:p>
        </w:tc>
        <w:tc>
          <w:tcPr>
            <w:tcW w:w="1620" w:type="dxa"/>
            <w:tcBorders>
              <w:top w:val="nil"/>
              <w:left w:val="nil"/>
              <w:bottom w:val="single" w:sz="4" w:space="0" w:color="000000"/>
              <w:right w:val="single" w:sz="4" w:space="0" w:color="000000"/>
            </w:tcBorders>
            <w:shd w:val="clear" w:color="auto" w:fill="auto"/>
            <w:noWrap/>
            <w:vAlign w:val="center"/>
            <w:hideMark/>
          </w:tcPr>
          <w:p w14:paraId="73CDBB6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947 (30.5%)</w:t>
            </w:r>
          </w:p>
        </w:tc>
        <w:tc>
          <w:tcPr>
            <w:tcW w:w="1598" w:type="dxa"/>
            <w:vMerge/>
            <w:tcBorders>
              <w:top w:val="nil"/>
              <w:left w:val="single" w:sz="4" w:space="0" w:color="000000"/>
              <w:bottom w:val="single" w:sz="4" w:space="0" w:color="000000"/>
              <w:right w:val="single" w:sz="4" w:space="0" w:color="000000"/>
            </w:tcBorders>
            <w:vAlign w:val="center"/>
            <w:hideMark/>
          </w:tcPr>
          <w:p w14:paraId="369AF7D2" w14:textId="77777777" w:rsidR="002C5301" w:rsidRPr="00A43015" w:rsidRDefault="002C5301" w:rsidP="00B110EB">
            <w:pPr>
              <w:rPr>
                <w:rFonts w:ascii="Arial" w:eastAsia="Times New Roman" w:hAnsi="Arial" w:cs="Arial"/>
                <w:color w:val="000000"/>
                <w:sz w:val="22"/>
                <w:szCs w:val="22"/>
              </w:rPr>
            </w:pPr>
          </w:p>
        </w:tc>
      </w:tr>
      <w:tr w:rsidR="002C5301" w:rsidRPr="00A43015" w14:paraId="750B28E4"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1CF19899"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...Persistent AF; n (%)</w:t>
            </w:r>
          </w:p>
        </w:tc>
        <w:tc>
          <w:tcPr>
            <w:tcW w:w="1710" w:type="dxa"/>
            <w:tcBorders>
              <w:top w:val="nil"/>
              <w:left w:val="nil"/>
              <w:bottom w:val="single" w:sz="4" w:space="0" w:color="000000"/>
              <w:right w:val="single" w:sz="4" w:space="0" w:color="000000"/>
            </w:tcBorders>
            <w:shd w:val="clear" w:color="auto" w:fill="auto"/>
            <w:noWrap/>
            <w:vAlign w:val="center"/>
            <w:hideMark/>
          </w:tcPr>
          <w:p w14:paraId="7B77E08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643 (7.9%)</w:t>
            </w:r>
          </w:p>
        </w:tc>
        <w:tc>
          <w:tcPr>
            <w:tcW w:w="1620" w:type="dxa"/>
            <w:tcBorders>
              <w:top w:val="nil"/>
              <w:left w:val="nil"/>
              <w:bottom w:val="single" w:sz="4" w:space="0" w:color="000000"/>
              <w:right w:val="single" w:sz="4" w:space="0" w:color="000000"/>
            </w:tcBorders>
            <w:shd w:val="clear" w:color="auto" w:fill="auto"/>
            <w:noWrap/>
            <w:vAlign w:val="center"/>
            <w:hideMark/>
          </w:tcPr>
          <w:p w14:paraId="40EE593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204 (6.6%)</w:t>
            </w:r>
          </w:p>
        </w:tc>
        <w:tc>
          <w:tcPr>
            <w:tcW w:w="1620" w:type="dxa"/>
            <w:vMerge/>
            <w:tcBorders>
              <w:top w:val="nil"/>
              <w:left w:val="single" w:sz="4" w:space="0" w:color="000000"/>
              <w:bottom w:val="single" w:sz="4" w:space="0" w:color="000000"/>
              <w:right w:val="single" w:sz="4" w:space="0" w:color="000000"/>
            </w:tcBorders>
            <w:vAlign w:val="center"/>
            <w:hideMark/>
          </w:tcPr>
          <w:p w14:paraId="12E069DF"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464A44E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209 (6.7%)</w:t>
            </w:r>
          </w:p>
        </w:tc>
        <w:tc>
          <w:tcPr>
            <w:tcW w:w="1620" w:type="dxa"/>
            <w:tcBorders>
              <w:top w:val="nil"/>
              <w:left w:val="nil"/>
              <w:bottom w:val="single" w:sz="4" w:space="0" w:color="000000"/>
              <w:right w:val="single" w:sz="4" w:space="0" w:color="000000"/>
            </w:tcBorders>
            <w:shd w:val="clear" w:color="auto" w:fill="auto"/>
            <w:noWrap/>
            <w:vAlign w:val="center"/>
            <w:hideMark/>
          </w:tcPr>
          <w:p w14:paraId="2A4281A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204 (6.6%)</w:t>
            </w:r>
          </w:p>
        </w:tc>
        <w:tc>
          <w:tcPr>
            <w:tcW w:w="1598" w:type="dxa"/>
            <w:vMerge/>
            <w:tcBorders>
              <w:top w:val="nil"/>
              <w:left w:val="single" w:sz="4" w:space="0" w:color="000000"/>
              <w:bottom w:val="single" w:sz="4" w:space="0" w:color="000000"/>
              <w:right w:val="single" w:sz="4" w:space="0" w:color="000000"/>
            </w:tcBorders>
            <w:vAlign w:val="center"/>
            <w:hideMark/>
          </w:tcPr>
          <w:p w14:paraId="5473AEF1" w14:textId="77777777" w:rsidR="002C5301" w:rsidRPr="00A43015" w:rsidRDefault="002C5301" w:rsidP="00B110EB">
            <w:pPr>
              <w:rPr>
                <w:rFonts w:ascii="Arial" w:eastAsia="Times New Roman" w:hAnsi="Arial" w:cs="Arial"/>
                <w:color w:val="000000"/>
                <w:sz w:val="22"/>
                <w:szCs w:val="22"/>
              </w:rPr>
            </w:pPr>
          </w:p>
        </w:tc>
      </w:tr>
      <w:tr w:rsidR="002C5301" w:rsidRPr="00A43015" w14:paraId="29C8037E"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82CAEC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...Permanent AF; n (%)</w:t>
            </w:r>
          </w:p>
        </w:tc>
        <w:tc>
          <w:tcPr>
            <w:tcW w:w="1710" w:type="dxa"/>
            <w:tcBorders>
              <w:top w:val="nil"/>
              <w:left w:val="nil"/>
              <w:bottom w:val="single" w:sz="4" w:space="0" w:color="000000"/>
              <w:right w:val="single" w:sz="4" w:space="0" w:color="000000"/>
            </w:tcBorders>
            <w:shd w:val="clear" w:color="auto" w:fill="auto"/>
            <w:noWrap/>
            <w:vAlign w:val="center"/>
            <w:hideMark/>
          </w:tcPr>
          <w:p w14:paraId="7539331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972 (11.9%)</w:t>
            </w:r>
          </w:p>
        </w:tc>
        <w:tc>
          <w:tcPr>
            <w:tcW w:w="1620" w:type="dxa"/>
            <w:tcBorders>
              <w:top w:val="nil"/>
              <w:left w:val="nil"/>
              <w:bottom w:val="single" w:sz="4" w:space="0" w:color="000000"/>
              <w:right w:val="single" w:sz="4" w:space="0" w:color="000000"/>
            </w:tcBorders>
            <w:shd w:val="clear" w:color="auto" w:fill="auto"/>
            <w:noWrap/>
            <w:vAlign w:val="center"/>
            <w:hideMark/>
          </w:tcPr>
          <w:p w14:paraId="2E6A322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333 (10.7%)</w:t>
            </w:r>
          </w:p>
        </w:tc>
        <w:tc>
          <w:tcPr>
            <w:tcW w:w="1620" w:type="dxa"/>
            <w:vMerge/>
            <w:tcBorders>
              <w:top w:val="nil"/>
              <w:left w:val="single" w:sz="4" w:space="0" w:color="000000"/>
              <w:bottom w:val="single" w:sz="4" w:space="0" w:color="000000"/>
              <w:right w:val="single" w:sz="4" w:space="0" w:color="000000"/>
            </w:tcBorders>
            <w:vAlign w:val="center"/>
            <w:hideMark/>
          </w:tcPr>
          <w:p w14:paraId="3B11F321"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3AA91C5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323 (10.4%)</w:t>
            </w:r>
          </w:p>
        </w:tc>
        <w:tc>
          <w:tcPr>
            <w:tcW w:w="1620" w:type="dxa"/>
            <w:tcBorders>
              <w:top w:val="nil"/>
              <w:left w:val="nil"/>
              <w:bottom w:val="single" w:sz="4" w:space="0" w:color="000000"/>
              <w:right w:val="single" w:sz="4" w:space="0" w:color="000000"/>
            </w:tcBorders>
            <w:shd w:val="clear" w:color="auto" w:fill="auto"/>
            <w:noWrap/>
            <w:vAlign w:val="center"/>
            <w:hideMark/>
          </w:tcPr>
          <w:p w14:paraId="04B1304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333 (10.7%)</w:t>
            </w:r>
          </w:p>
        </w:tc>
        <w:tc>
          <w:tcPr>
            <w:tcW w:w="1598" w:type="dxa"/>
            <w:vMerge/>
            <w:tcBorders>
              <w:top w:val="nil"/>
              <w:left w:val="single" w:sz="4" w:space="0" w:color="000000"/>
              <w:bottom w:val="single" w:sz="4" w:space="0" w:color="000000"/>
              <w:right w:val="single" w:sz="4" w:space="0" w:color="000000"/>
            </w:tcBorders>
            <w:vAlign w:val="center"/>
            <w:hideMark/>
          </w:tcPr>
          <w:p w14:paraId="1C956172" w14:textId="77777777" w:rsidR="002C5301" w:rsidRPr="00A43015" w:rsidRDefault="002C5301" w:rsidP="00B110EB">
            <w:pPr>
              <w:rPr>
                <w:rFonts w:ascii="Arial" w:eastAsia="Times New Roman" w:hAnsi="Arial" w:cs="Arial"/>
                <w:color w:val="000000"/>
                <w:sz w:val="22"/>
                <w:szCs w:val="22"/>
              </w:rPr>
            </w:pPr>
          </w:p>
        </w:tc>
      </w:tr>
      <w:tr w:rsidR="002C5301" w:rsidRPr="00A43015" w14:paraId="7167CDE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93AD1A3" w14:textId="77777777" w:rsidR="002C5301" w:rsidRPr="00A43015" w:rsidRDefault="002C5301"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Setting of first AF diagnosis</w:t>
            </w:r>
          </w:p>
        </w:tc>
        <w:tc>
          <w:tcPr>
            <w:tcW w:w="495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089446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4838"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D1172A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1C4D468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652E5F8"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...Inpatient; n (%)</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254D26D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1,150 (14.0%)</w:t>
            </w:r>
          </w:p>
        </w:tc>
        <w:tc>
          <w:tcPr>
            <w:tcW w:w="1620" w:type="dxa"/>
            <w:tcBorders>
              <w:top w:val="single" w:sz="4" w:space="0" w:color="000000"/>
              <w:left w:val="nil"/>
              <w:bottom w:val="single" w:sz="4" w:space="0" w:color="000000"/>
              <w:right w:val="nil"/>
            </w:tcBorders>
            <w:shd w:val="clear" w:color="auto" w:fill="auto"/>
            <w:noWrap/>
            <w:vAlign w:val="center"/>
            <w:hideMark/>
          </w:tcPr>
          <w:p w14:paraId="1BD81ED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268 (8.6%)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CC1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0.158</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C162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255 (8.2%)</w:t>
            </w:r>
          </w:p>
        </w:tc>
        <w:tc>
          <w:tcPr>
            <w:tcW w:w="1620" w:type="dxa"/>
            <w:tcBorders>
              <w:top w:val="single" w:sz="4" w:space="0" w:color="000000"/>
              <w:left w:val="nil"/>
              <w:bottom w:val="single" w:sz="4" w:space="0" w:color="000000"/>
              <w:right w:val="nil"/>
            </w:tcBorders>
            <w:shd w:val="clear" w:color="auto" w:fill="auto"/>
            <w:noWrap/>
            <w:vAlign w:val="center"/>
            <w:hideMark/>
          </w:tcPr>
          <w:p w14:paraId="43EA857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268 (8.6%)</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57D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0.055</w:t>
            </w:r>
          </w:p>
        </w:tc>
      </w:tr>
      <w:tr w:rsidR="002C5301" w:rsidRPr="00A43015" w14:paraId="5C0868B0"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B984877"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...ER; n (%)</w:t>
            </w:r>
          </w:p>
        </w:tc>
        <w:tc>
          <w:tcPr>
            <w:tcW w:w="1710" w:type="dxa"/>
            <w:tcBorders>
              <w:top w:val="nil"/>
              <w:left w:val="nil"/>
              <w:bottom w:val="single" w:sz="4" w:space="0" w:color="000000"/>
              <w:right w:val="single" w:sz="4" w:space="0" w:color="000000"/>
            </w:tcBorders>
            <w:shd w:val="clear" w:color="auto" w:fill="auto"/>
            <w:noWrap/>
            <w:vAlign w:val="center"/>
            <w:hideMark/>
          </w:tcPr>
          <w:p w14:paraId="7C20F4B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439 (5.4%)</w:t>
            </w:r>
          </w:p>
        </w:tc>
        <w:tc>
          <w:tcPr>
            <w:tcW w:w="1620" w:type="dxa"/>
            <w:tcBorders>
              <w:top w:val="nil"/>
              <w:left w:val="nil"/>
              <w:bottom w:val="single" w:sz="4" w:space="0" w:color="000000"/>
              <w:right w:val="nil"/>
            </w:tcBorders>
            <w:shd w:val="clear" w:color="auto" w:fill="auto"/>
            <w:noWrap/>
            <w:vAlign w:val="center"/>
            <w:hideMark/>
          </w:tcPr>
          <w:p w14:paraId="1759EC0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166 (5.3%)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FBF80D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20BF4EF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174 (5.6%)</w:t>
            </w:r>
          </w:p>
        </w:tc>
        <w:tc>
          <w:tcPr>
            <w:tcW w:w="1620" w:type="dxa"/>
            <w:tcBorders>
              <w:top w:val="nil"/>
              <w:left w:val="nil"/>
              <w:bottom w:val="single" w:sz="4" w:space="0" w:color="000000"/>
              <w:right w:val="nil"/>
            </w:tcBorders>
            <w:shd w:val="clear" w:color="auto" w:fill="auto"/>
            <w:noWrap/>
            <w:vAlign w:val="center"/>
            <w:hideMark/>
          </w:tcPr>
          <w:p w14:paraId="66461C7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166 (5.3%)</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2ABE27C5"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 </w:t>
            </w:r>
          </w:p>
        </w:tc>
      </w:tr>
      <w:tr w:rsidR="002C5301" w:rsidRPr="00A43015" w14:paraId="6A59EF02"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9A503A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...Outpatient; n (%)</w:t>
            </w:r>
          </w:p>
        </w:tc>
        <w:tc>
          <w:tcPr>
            <w:tcW w:w="1710" w:type="dxa"/>
            <w:tcBorders>
              <w:top w:val="nil"/>
              <w:left w:val="nil"/>
              <w:bottom w:val="single" w:sz="4" w:space="0" w:color="000000"/>
              <w:right w:val="single" w:sz="4" w:space="0" w:color="000000"/>
            </w:tcBorders>
            <w:shd w:val="clear" w:color="auto" w:fill="auto"/>
            <w:noWrap/>
            <w:vAlign w:val="center"/>
            <w:hideMark/>
          </w:tcPr>
          <w:p w14:paraId="5A89DDB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6,601 (80.6%)</w:t>
            </w:r>
          </w:p>
        </w:tc>
        <w:tc>
          <w:tcPr>
            <w:tcW w:w="1620" w:type="dxa"/>
            <w:tcBorders>
              <w:top w:val="nil"/>
              <w:left w:val="nil"/>
              <w:bottom w:val="single" w:sz="4" w:space="0" w:color="000000"/>
              <w:right w:val="nil"/>
            </w:tcBorders>
            <w:shd w:val="clear" w:color="auto" w:fill="auto"/>
            <w:noWrap/>
            <w:vAlign w:val="center"/>
            <w:hideMark/>
          </w:tcPr>
          <w:p w14:paraId="760C346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2,672 (86.0%)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D42918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0DD6DB7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2,677 (86.2%)</w:t>
            </w:r>
          </w:p>
        </w:tc>
        <w:tc>
          <w:tcPr>
            <w:tcW w:w="1620" w:type="dxa"/>
            <w:tcBorders>
              <w:top w:val="nil"/>
              <w:left w:val="nil"/>
              <w:bottom w:val="single" w:sz="4" w:space="0" w:color="000000"/>
              <w:right w:val="nil"/>
            </w:tcBorders>
            <w:shd w:val="clear" w:color="auto" w:fill="auto"/>
            <w:noWrap/>
            <w:vAlign w:val="center"/>
            <w:hideMark/>
          </w:tcPr>
          <w:p w14:paraId="06AE26C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2,672 (86.0%)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6212126E"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 </w:t>
            </w:r>
          </w:p>
        </w:tc>
      </w:tr>
      <w:tr w:rsidR="007F4922" w:rsidRPr="00A43015" w14:paraId="573635B3" w14:textId="77777777" w:rsidTr="0020596F">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808C87D" w14:textId="77777777" w:rsidR="007F4922" w:rsidRPr="00A43015" w:rsidRDefault="007F4922"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Months between first diagnosis of AF and index date</w:t>
            </w:r>
          </w:p>
        </w:tc>
        <w:tc>
          <w:tcPr>
            <w:tcW w:w="9788" w:type="dxa"/>
            <w:gridSpan w:val="6"/>
            <w:tcBorders>
              <w:top w:val="single" w:sz="4" w:space="0" w:color="000000"/>
              <w:left w:val="nil"/>
              <w:bottom w:val="single" w:sz="4" w:space="0" w:color="000000"/>
              <w:right w:val="single" w:sz="4" w:space="0" w:color="000000"/>
            </w:tcBorders>
            <w:shd w:val="clear" w:color="FFFFFF" w:fill="FFFFFF"/>
            <w:vAlign w:val="center"/>
            <w:hideMark/>
          </w:tcPr>
          <w:p w14:paraId="469D8B20" w14:textId="77777777" w:rsidR="007F4922" w:rsidRPr="00126827"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p w14:paraId="22BA114B" w14:textId="44C7F8B8" w:rsidR="007F4922" w:rsidRPr="00A43015"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2097CD14"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5B6EA7E"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lastRenderedPageBreak/>
              <w:t>...mean (STD)</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654ED52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2.22 (2.11)</w:t>
            </w:r>
          </w:p>
        </w:tc>
        <w:tc>
          <w:tcPr>
            <w:tcW w:w="1620" w:type="dxa"/>
            <w:tcBorders>
              <w:top w:val="single" w:sz="4" w:space="0" w:color="000000"/>
              <w:left w:val="nil"/>
              <w:bottom w:val="single" w:sz="4" w:space="0" w:color="000000"/>
              <w:right w:val="nil"/>
            </w:tcBorders>
            <w:shd w:val="clear" w:color="auto" w:fill="auto"/>
            <w:noWrap/>
            <w:vAlign w:val="center"/>
            <w:hideMark/>
          </w:tcPr>
          <w:p w14:paraId="1C53991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2.24 (1.97)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37D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0.008</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AF75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2.28 (2.09)</w:t>
            </w:r>
          </w:p>
        </w:tc>
        <w:tc>
          <w:tcPr>
            <w:tcW w:w="1620" w:type="dxa"/>
            <w:tcBorders>
              <w:top w:val="single" w:sz="4" w:space="0" w:color="000000"/>
              <w:left w:val="nil"/>
              <w:bottom w:val="single" w:sz="4" w:space="0" w:color="000000"/>
              <w:right w:val="nil"/>
            </w:tcBorders>
            <w:shd w:val="clear" w:color="auto" w:fill="auto"/>
            <w:noWrap/>
            <w:vAlign w:val="center"/>
            <w:hideMark/>
          </w:tcPr>
          <w:p w14:paraId="5F4F70B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2.24 (1.97)</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DBF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0.020</w:t>
            </w:r>
          </w:p>
        </w:tc>
      </w:tr>
      <w:tr w:rsidR="002C5301" w:rsidRPr="00A43015" w14:paraId="796DAAC0"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AA34823"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...median [IQR]</w:t>
            </w:r>
          </w:p>
        </w:tc>
        <w:tc>
          <w:tcPr>
            <w:tcW w:w="1710" w:type="dxa"/>
            <w:tcBorders>
              <w:top w:val="nil"/>
              <w:left w:val="nil"/>
              <w:bottom w:val="single" w:sz="4" w:space="0" w:color="000000"/>
              <w:right w:val="single" w:sz="4" w:space="0" w:color="000000"/>
            </w:tcBorders>
            <w:shd w:val="clear" w:color="auto" w:fill="auto"/>
            <w:noWrap/>
            <w:vAlign w:val="center"/>
            <w:hideMark/>
          </w:tcPr>
          <w:p w14:paraId="651358A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2.00 [0.00, 4.00]</w:t>
            </w:r>
          </w:p>
        </w:tc>
        <w:tc>
          <w:tcPr>
            <w:tcW w:w="1620" w:type="dxa"/>
            <w:tcBorders>
              <w:top w:val="nil"/>
              <w:left w:val="nil"/>
              <w:bottom w:val="single" w:sz="4" w:space="0" w:color="000000"/>
              <w:right w:val="nil"/>
            </w:tcBorders>
            <w:shd w:val="clear" w:color="auto" w:fill="auto"/>
            <w:noWrap/>
            <w:vAlign w:val="center"/>
            <w:hideMark/>
          </w:tcPr>
          <w:p w14:paraId="323DEFB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2.00 [1.00, 4.00]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21230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4B49B98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2.00 [0.00, 4.00]</w:t>
            </w:r>
          </w:p>
        </w:tc>
        <w:tc>
          <w:tcPr>
            <w:tcW w:w="1620" w:type="dxa"/>
            <w:tcBorders>
              <w:top w:val="nil"/>
              <w:left w:val="nil"/>
              <w:bottom w:val="single" w:sz="4" w:space="0" w:color="000000"/>
              <w:right w:val="nil"/>
            </w:tcBorders>
            <w:shd w:val="clear" w:color="auto" w:fill="auto"/>
            <w:noWrap/>
            <w:vAlign w:val="center"/>
            <w:hideMark/>
          </w:tcPr>
          <w:p w14:paraId="666059A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2.00 [1.00, 4.00]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195BFFB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7F4922" w:rsidRPr="00A43015" w14:paraId="679BCB59" w14:textId="77777777" w:rsidTr="007F4922">
        <w:trPr>
          <w:trHeight w:val="314"/>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F3C8C72" w14:textId="77777777" w:rsidR="007F4922" w:rsidRPr="00A43015" w:rsidRDefault="007F4922"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Medical History</w:t>
            </w:r>
          </w:p>
        </w:tc>
        <w:tc>
          <w:tcPr>
            <w:tcW w:w="9788" w:type="dxa"/>
            <w:gridSpan w:val="6"/>
            <w:tcBorders>
              <w:top w:val="nil"/>
              <w:left w:val="nil"/>
              <w:bottom w:val="single" w:sz="4" w:space="0" w:color="000000"/>
              <w:right w:val="single" w:sz="4" w:space="0" w:color="000000"/>
            </w:tcBorders>
            <w:shd w:val="clear" w:color="auto" w:fill="auto"/>
            <w:noWrap/>
            <w:vAlign w:val="center"/>
            <w:hideMark/>
          </w:tcPr>
          <w:p w14:paraId="5D678665" w14:textId="1DE33BF3" w:rsidR="007F4922" w:rsidRPr="00A43015" w:rsidRDefault="007F4922" w:rsidP="007F4922">
            <w:pP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5F0CEF6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ED4FC6F"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History of ablation; n (%)</w:t>
            </w:r>
          </w:p>
        </w:tc>
        <w:tc>
          <w:tcPr>
            <w:tcW w:w="1710" w:type="dxa"/>
            <w:tcBorders>
              <w:top w:val="nil"/>
              <w:left w:val="nil"/>
              <w:bottom w:val="single" w:sz="4" w:space="0" w:color="000000"/>
              <w:right w:val="single" w:sz="4" w:space="0" w:color="000000"/>
            </w:tcBorders>
            <w:shd w:val="clear" w:color="auto" w:fill="auto"/>
            <w:noWrap/>
            <w:vAlign w:val="center"/>
            <w:hideMark/>
          </w:tcPr>
          <w:p w14:paraId="2BE505C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30 (0.4%)</w:t>
            </w:r>
          </w:p>
        </w:tc>
        <w:tc>
          <w:tcPr>
            <w:tcW w:w="1620" w:type="dxa"/>
            <w:tcBorders>
              <w:top w:val="nil"/>
              <w:left w:val="nil"/>
              <w:bottom w:val="single" w:sz="4" w:space="0" w:color="000000"/>
              <w:right w:val="single" w:sz="4" w:space="0" w:color="000000"/>
            </w:tcBorders>
            <w:shd w:val="clear" w:color="auto" w:fill="auto"/>
            <w:noWrap/>
            <w:vAlign w:val="center"/>
            <w:hideMark/>
          </w:tcPr>
          <w:p w14:paraId="0C1B091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 (0.5%)</w:t>
            </w:r>
          </w:p>
        </w:tc>
        <w:tc>
          <w:tcPr>
            <w:tcW w:w="1620" w:type="dxa"/>
            <w:tcBorders>
              <w:top w:val="nil"/>
              <w:left w:val="nil"/>
              <w:bottom w:val="single" w:sz="4" w:space="0" w:color="000000"/>
              <w:right w:val="single" w:sz="4" w:space="0" w:color="000000"/>
            </w:tcBorders>
            <w:shd w:val="clear" w:color="auto" w:fill="auto"/>
            <w:noWrap/>
            <w:vAlign w:val="center"/>
            <w:hideMark/>
          </w:tcPr>
          <w:p w14:paraId="0437BB5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0.018</w:t>
            </w:r>
          </w:p>
        </w:tc>
        <w:tc>
          <w:tcPr>
            <w:tcW w:w="1620" w:type="dxa"/>
            <w:tcBorders>
              <w:top w:val="nil"/>
              <w:left w:val="nil"/>
              <w:bottom w:val="single" w:sz="4" w:space="0" w:color="000000"/>
              <w:right w:val="single" w:sz="4" w:space="0" w:color="000000"/>
            </w:tcBorders>
            <w:shd w:val="clear" w:color="auto" w:fill="auto"/>
            <w:noWrap/>
            <w:vAlign w:val="center"/>
            <w:hideMark/>
          </w:tcPr>
          <w:p w14:paraId="691B2DE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 (0.48%)</w:t>
            </w:r>
          </w:p>
        </w:tc>
        <w:tc>
          <w:tcPr>
            <w:tcW w:w="1620" w:type="dxa"/>
            <w:tcBorders>
              <w:top w:val="nil"/>
              <w:left w:val="nil"/>
              <w:bottom w:val="single" w:sz="4" w:space="0" w:color="000000"/>
              <w:right w:val="single" w:sz="4" w:space="0" w:color="000000"/>
            </w:tcBorders>
            <w:shd w:val="clear" w:color="auto" w:fill="auto"/>
            <w:noWrap/>
            <w:vAlign w:val="center"/>
            <w:hideMark/>
          </w:tcPr>
          <w:p w14:paraId="52BDF32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 (0.48%)</w:t>
            </w:r>
          </w:p>
        </w:tc>
        <w:tc>
          <w:tcPr>
            <w:tcW w:w="1598" w:type="dxa"/>
            <w:tcBorders>
              <w:top w:val="nil"/>
              <w:left w:val="nil"/>
              <w:bottom w:val="single" w:sz="4" w:space="0" w:color="000000"/>
              <w:right w:val="single" w:sz="4" w:space="0" w:color="000000"/>
            </w:tcBorders>
            <w:shd w:val="clear" w:color="auto" w:fill="auto"/>
            <w:noWrap/>
            <w:vAlign w:val="center"/>
            <w:hideMark/>
          </w:tcPr>
          <w:p w14:paraId="5C26FEE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0.000</w:t>
            </w:r>
          </w:p>
        </w:tc>
      </w:tr>
      <w:tr w:rsidR="002C5301" w:rsidRPr="00A43015" w14:paraId="3028FC6A"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E49315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Cardiomyopathy or congenital anomalies of the heart; n (%)</w:t>
            </w:r>
          </w:p>
        </w:tc>
        <w:tc>
          <w:tcPr>
            <w:tcW w:w="1710" w:type="dxa"/>
            <w:tcBorders>
              <w:top w:val="nil"/>
              <w:left w:val="nil"/>
              <w:bottom w:val="single" w:sz="4" w:space="0" w:color="000000"/>
              <w:right w:val="single" w:sz="4" w:space="0" w:color="000000"/>
            </w:tcBorders>
            <w:shd w:val="clear" w:color="auto" w:fill="auto"/>
            <w:noWrap/>
            <w:vAlign w:val="center"/>
            <w:hideMark/>
          </w:tcPr>
          <w:p w14:paraId="28F59D4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688 (8.4%)</w:t>
            </w:r>
          </w:p>
        </w:tc>
        <w:tc>
          <w:tcPr>
            <w:tcW w:w="1620" w:type="dxa"/>
            <w:tcBorders>
              <w:top w:val="nil"/>
              <w:left w:val="nil"/>
              <w:bottom w:val="single" w:sz="4" w:space="0" w:color="000000"/>
              <w:right w:val="single" w:sz="4" w:space="0" w:color="000000"/>
            </w:tcBorders>
            <w:shd w:val="clear" w:color="auto" w:fill="auto"/>
            <w:noWrap/>
            <w:vAlign w:val="center"/>
            <w:hideMark/>
          </w:tcPr>
          <w:p w14:paraId="71A0B1F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192 (6.2%)</w:t>
            </w:r>
          </w:p>
        </w:tc>
        <w:tc>
          <w:tcPr>
            <w:tcW w:w="1620" w:type="dxa"/>
            <w:tcBorders>
              <w:top w:val="nil"/>
              <w:left w:val="nil"/>
              <w:bottom w:val="single" w:sz="4" w:space="0" w:color="000000"/>
              <w:right w:val="single" w:sz="4" w:space="0" w:color="000000"/>
            </w:tcBorders>
            <w:shd w:val="clear" w:color="auto" w:fill="auto"/>
            <w:noWrap/>
            <w:vAlign w:val="center"/>
            <w:hideMark/>
          </w:tcPr>
          <w:p w14:paraId="3CD861D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0.085</w:t>
            </w:r>
          </w:p>
        </w:tc>
        <w:tc>
          <w:tcPr>
            <w:tcW w:w="1620" w:type="dxa"/>
            <w:tcBorders>
              <w:top w:val="nil"/>
              <w:left w:val="nil"/>
              <w:bottom w:val="single" w:sz="4" w:space="0" w:color="000000"/>
              <w:right w:val="single" w:sz="4" w:space="0" w:color="000000"/>
            </w:tcBorders>
            <w:shd w:val="clear" w:color="auto" w:fill="auto"/>
            <w:noWrap/>
            <w:vAlign w:val="center"/>
            <w:hideMark/>
          </w:tcPr>
          <w:p w14:paraId="542F555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184 (5.9%)</w:t>
            </w:r>
          </w:p>
        </w:tc>
        <w:tc>
          <w:tcPr>
            <w:tcW w:w="1620" w:type="dxa"/>
            <w:tcBorders>
              <w:top w:val="nil"/>
              <w:left w:val="nil"/>
              <w:bottom w:val="single" w:sz="4" w:space="0" w:color="000000"/>
              <w:right w:val="single" w:sz="4" w:space="0" w:color="000000"/>
            </w:tcBorders>
            <w:shd w:val="clear" w:color="auto" w:fill="auto"/>
            <w:noWrap/>
            <w:vAlign w:val="center"/>
            <w:hideMark/>
          </w:tcPr>
          <w:p w14:paraId="36E9E6B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192 (6.2%)</w:t>
            </w:r>
          </w:p>
        </w:tc>
        <w:tc>
          <w:tcPr>
            <w:tcW w:w="1598" w:type="dxa"/>
            <w:tcBorders>
              <w:top w:val="nil"/>
              <w:left w:val="nil"/>
              <w:bottom w:val="single" w:sz="4" w:space="0" w:color="000000"/>
              <w:right w:val="single" w:sz="4" w:space="0" w:color="000000"/>
            </w:tcBorders>
            <w:shd w:val="clear" w:color="auto" w:fill="auto"/>
            <w:noWrap/>
            <w:vAlign w:val="center"/>
            <w:hideMark/>
          </w:tcPr>
          <w:p w14:paraId="4643BFF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0.011</w:t>
            </w:r>
          </w:p>
        </w:tc>
      </w:tr>
      <w:tr w:rsidR="002C5301" w:rsidRPr="00A43015" w14:paraId="6456F76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F684E7E" w14:textId="5898C69A" w:rsidR="002C5301" w:rsidRPr="00A43015" w:rsidRDefault="002C5301" w:rsidP="00B110EB">
            <w:pPr>
              <w:rPr>
                <w:rFonts w:ascii="Arial" w:eastAsia="Times New Roman" w:hAnsi="Arial" w:cs="Arial"/>
                <w:sz w:val="22"/>
                <w:szCs w:val="22"/>
              </w:rPr>
            </w:pPr>
            <w:r w:rsidRPr="00A43015">
              <w:rPr>
                <w:rFonts w:ascii="Arial" w:eastAsia="Times New Roman" w:hAnsi="Arial" w:cs="Arial"/>
                <w:sz w:val="22"/>
                <w:szCs w:val="22"/>
              </w:rPr>
              <w:t xml:space="preserve">Chronic </w:t>
            </w:r>
            <w:r w:rsidR="00FD63E3">
              <w:rPr>
                <w:rFonts w:ascii="Arial" w:eastAsia="Times New Roman" w:hAnsi="Arial" w:cs="Arial"/>
                <w:sz w:val="22"/>
                <w:szCs w:val="22"/>
              </w:rPr>
              <w:t>kidney</w:t>
            </w:r>
            <w:r w:rsidRPr="00A43015">
              <w:rPr>
                <w:rFonts w:ascii="Arial" w:eastAsia="Times New Roman" w:hAnsi="Arial" w:cs="Arial"/>
                <w:sz w:val="22"/>
                <w:szCs w:val="22"/>
              </w:rPr>
              <w:t xml:space="preserve"> disease; n (%)</w:t>
            </w:r>
          </w:p>
        </w:tc>
        <w:tc>
          <w:tcPr>
            <w:tcW w:w="1710" w:type="dxa"/>
            <w:tcBorders>
              <w:top w:val="nil"/>
              <w:left w:val="nil"/>
              <w:bottom w:val="single" w:sz="4" w:space="0" w:color="000000"/>
              <w:right w:val="single" w:sz="4" w:space="0" w:color="000000"/>
            </w:tcBorders>
            <w:shd w:val="clear" w:color="auto" w:fill="auto"/>
            <w:noWrap/>
            <w:vAlign w:val="center"/>
            <w:hideMark/>
          </w:tcPr>
          <w:p w14:paraId="4F98056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442 (5.4%)</w:t>
            </w:r>
          </w:p>
        </w:tc>
        <w:tc>
          <w:tcPr>
            <w:tcW w:w="1620" w:type="dxa"/>
            <w:tcBorders>
              <w:top w:val="nil"/>
              <w:left w:val="nil"/>
              <w:bottom w:val="single" w:sz="4" w:space="0" w:color="000000"/>
              <w:right w:val="single" w:sz="4" w:space="0" w:color="000000"/>
            </w:tcBorders>
            <w:shd w:val="clear" w:color="auto" w:fill="auto"/>
            <w:noWrap/>
            <w:vAlign w:val="center"/>
            <w:hideMark/>
          </w:tcPr>
          <w:p w14:paraId="1613FAC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274 (8.8%)</w:t>
            </w:r>
          </w:p>
        </w:tc>
        <w:tc>
          <w:tcPr>
            <w:tcW w:w="1620" w:type="dxa"/>
            <w:tcBorders>
              <w:top w:val="nil"/>
              <w:left w:val="nil"/>
              <w:bottom w:val="single" w:sz="4" w:space="0" w:color="000000"/>
              <w:right w:val="single" w:sz="4" w:space="0" w:color="000000"/>
            </w:tcBorders>
            <w:shd w:val="clear" w:color="auto" w:fill="auto"/>
            <w:noWrap/>
            <w:vAlign w:val="center"/>
            <w:hideMark/>
          </w:tcPr>
          <w:p w14:paraId="1788DDF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0.134</w:t>
            </w:r>
          </w:p>
        </w:tc>
        <w:tc>
          <w:tcPr>
            <w:tcW w:w="1620" w:type="dxa"/>
            <w:tcBorders>
              <w:top w:val="nil"/>
              <w:left w:val="nil"/>
              <w:bottom w:val="single" w:sz="4" w:space="0" w:color="000000"/>
              <w:right w:val="single" w:sz="4" w:space="0" w:color="000000"/>
            </w:tcBorders>
            <w:shd w:val="clear" w:color="auto" w:fill="auto"/>
            <w:noWrap/>
            <w:vAlign w:val="center"/>
            <w:hideMark/>
          </w:tcPr>
          <w:p w14:paraId="78B82A9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260 (8.4%)</w:t>
            </w:r>
          </w:p>
        </w:tc>
        <w:tc>
          <w:tcPr>
            <w:tcW w:w="1620" w:type="dxa"/>
            <w:tcBorders>
              <w:top w:val="nil"/>
              <w:left w:val="nil"/>
              <w:bottom w:val="single" w:sz="4" w:space="0" w:color="000000"/>
              <w:right w:val="single" w:sz="4" w:space="0" w:color="000000"/>
            </w:tcBorders>
            <w:shd w:val="clear" w:color="auto" w:fill="auto"/>
            <w:noWrap/>
            <w:vAlign w:val="center"/>
            <w:hideMark/>
          </w:tcPr>
          <w:p w14:paraId="4C47B9B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274 (8.8%)</w:t>
            </w:r>
          </w:p>
        </w:tc>
        <w:tc>
          <w:tcPr>
            <w:tcW w:w="1598" w:type="dxa"/>
            <w:tcBorders>
              <w:top w:val="nil"/>
              <w:left w:val="nil"/>
              <w:bottom w:val="single" w:sz="4" w:space="0" w:color="000000"/>
              <w:right w:val="single" w:sz="4" w:space="0" w:color="000000"/>
            </w:tcBorders>
            <w:shd w:val="clear" w:color="auto" w:fill="auto"/>
            <w:noWrap/>
            <w:vAlign w:val="center"/>
            <w:hideMark/>
          </w:tcPr>
          <w:p w14:paraId="76ACF59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0.016</w:t>
            </w:r>
          </w:p>
        </w:tc>
      </w:tr>
      <w:tr w:rsidR="002C5301" w:rsidRPr="00A43015" w14:paraId="5C597A9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75DF7F7" w14:textId="6DE6D62D" w:rsidR="002C5301" w:rsidRPr="00A43015" w:rsidRDefault="00E549AE" w:rsidP="00B110EB">
            <w:pPr>
              <w:rPr>
                <w:rFonts w:ascii="Arial" w:eastAsia="Times New Roman" w:hAnsi="Arial" w:cs="Arial"/>
                <w:sz w:val="22"/>
                <w:szCs w:val="22"/>
              </w:rPr>
            </w:pPr>
            <w:r>
              <w:rPr>
                <w:rFonts w:ascii="Arial" w:eastAsia="Times New Roman" w:hAnsi="Arial" w:cs="Arial"/>
                <w:sz w:val="22"/>
                <w:szCs w:val="22"/>
              </w:rPr>
              <w:t>Heart</w:t>
            </w:r>
            <w:r w:rsidR="002C5301" w:rsidRPr="00A43015">
              <w:rPr>
                <w:rFonts w:ascii="Arial" w:eastAsia="Times New Roman" w:hAnsi="Arial" w:cs="Arial"/>
                <w:sz w:val="22"/>
                <w:szCs w:val="22"/>
              </w:rPr>
              <w:t xml:space="preserve"> failure; n (%)</w:t>
            </w:r>
          </w:p>
        </w:tc>
        <w:tc>
          <w:tcPr>
            <w:tcW w:w="1710" w:type="dxa"/>
            <w:tcBorders>
              <w:top w:val="nil"/>
              <w:left w:val="nil"/>
              <w:bottom w:val="single" w:sz="4" w:space="0" w:color="000000"/>
              <w:right w:val="single" w:sz="4" w:space="0" w:color="000000"/>
            </w:tcBorders>
            <w:shd w:val="clear" w:color="auto" w:fill="auto"/>
            <w:noWrap/>
            <w:vAlign w:val="center"/>
            <w:hideMark/>
          </w:tcPr>
          <w:p w14:paraId="6AFEBED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1,341 (16.4%)</w:t>
            </w:r>
          </w:p>
        </w:tc>
        <w:tc>
          <w:tcPr>
            <w:tcW w:w="1620" w:type="dxa"/>
            <w:tcBorders>
              <w:top w:val="nil"/>
              <w:left w:val="nil"/>
              <w:bottom w:val="single" w:sz="4" w:space="0" w:color="000000"/>
              <w:right w:val="single" w:sz="4" w:space="0" w:color="000000"/>
            </w:tcBorders>
            <w:shd w:val="clear" w:color="auto" w:fill="auto"/>
            <w:noWrap/>
            <w:vAlign w:val="center"/>
            <w:hideMark/>
          </w:tcPr>
          <w:p w14:paraId="49ECC8C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311 (10.0%)</w:t>
            </w:r>
          </w:p>
        </w:tc>
        <w:tc>
          <w:tcPr>
            <w:tcW w:w="1620" w:type="dxa"/>
            <w:tcBorders>
              <w:top w:val="nil"/>
              <w:left w:val="nil"/>
              <w:bottom w:val="single" w:sz="4" w:space="0" w:color="000000"/>
              <w:right w:val="single" w:sz="4" w:space="0" w:color="000000"/>
            </w:tcBorders>
            <w:shd w:val="clear" w:color="auto" w:fill="auto"/>
            <w:noWrap/>
            <w:vAlign w:val="center"/>
            <w:hideMark/>
          </w:tcPr>
          <w:p w14:paraId="1BDF3F7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0.189</w:t>
            </w:r>
          </w:p>
        </w:tc>
        <w:tc>
          <w:tcPr>
            <w:tcW w:w="1620" w:type="dxa"/>
            <w:tcBorders>
              <w:top w:val="nil"/>
              <w:left w:val="nil"/>
              <w:bottom w:val="single" w:sz="4" w:space="0" w:color="000000"/>
              <w:right w:val="single" w:sz="4" w:space="0" w:color="000000"/>
            </w:tcBorders>
            <w:shd w:val="clear" w:color="auto" w:fill="auto"/>
            <w:noWrap/>
            <w:vAlign w:val="center"/>
            <w:hideMark/>
          </w:tcPr>
          <w:p w14:paraId="5E9211B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297 (9.6%)</w:t>
            </w:r>
          </w:p>
        </w:tc>
        <w:tc>
          <w:tcPr>
            <w:tcW w:w="1620" w:type="dxa"/>
            <w:tcBorders>
              <w:top w:val="nil"/>
              <w:left w:val="nil"/>
              <w:bottom w:val="single" w:sz="4" w:space="0" w:color="000000"/>
              <w:right w:val="single" w:sz="4" w:space="0" w:color="000000"/>
            </w:tcBorders>
            <w:shd w:val="clear" w:color="auto" w:fill="auto"/>
            <w:noWrap/>
            <w:vAlign w:val="center"/>
            <w:hideMark/>
          </w:tcPr>
          <w:p w14:paraId="24BE8BC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311 (10.0%)</w:t>
            </w:r>
          </w:p>
        </w:tc>
        <w:tc>
          <w:tcPr>
            <w:tcW w:w="1598" w:type="dxa"/>
            <w:tcBorders>
              <w:top w:val="nil"/>
              <w:left w:val="nil"/>
              <w:bottom w:val="single" w:sz="4" w:space="0" w:color="000000"/>
              <w:right w:val="single" w:sz="4" w:space="0" w:color="000000"/>
            </w:tcBorders>
            <w:shd w:val="clear" w:color="auto" w:fill="auto"/>
            <w:noWrap/>
            <w:vAlign w:val="center"/>
            <w:hideMark/>
          </w:tcPr>
          <w:p w14:paraId="3D03F84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0.015</w:t>
            </w:r>
          </w:p>
        </w:tc>
      </w:tr>
      <w:tr w:rsidR="002C5301" w:rsidRPr="00A43015" w14:paraId="0754BF9F"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FC1AE4D" w14:textId="77777777" w:rsidR="002C5301" w:rsidRPr="00A43015" w:rsidRDefault="002C5301" w:rsidP="00B110EB">
            <w:pPr>
              <w:rPr>
                <w:rFonts w:ascii="Arial" w:eastAsia="Times New Roman" w:hAnsi="Arial" w:cs="Arial"/>
                <w:sz w:val="22"/>
                <w:szCs w:val="22"/>
              </w:rPr>
            </w:pPr>
            <w:r w:rsidRPr="00A43015">
              <w:rPr>
                <w:rFonts w:ascii="Arial" w:eastAsia="Times New Roman" w:hAnsi="Arial" w:cs="Arial"/>
                <w:sz w:val="22"/>
                <w:szCs w:val="22"/>
              </w:rPr>
              <w:t>Diabetes Mellitus; n (%)</w:t>
            </w:r>
          </w:p>
        </w:tc>
        <w:tc>
          <w:tcPr>
            <w:tcW w:w="1710" w:type="dxa"/>
            <w:tcBorders>
              <w:top w:val="nil"/>
              <w:left w:val="nil"/>
              <w:bottom w:val="single" w:sz="4" w:space="0" w:color="000000"/>
              <w:right w:val="single" w:sz="4" w:space="0" w:color="000000"/>
            </w:tcBorders>
            <w:shd w:val="clear" w:color="auto" w:fill="auto"/>
            <w:noWrap/>
            <w:vAlign w:val="center"/>
            <w:hideMark/>
          </w:tcPr>
          <w:p w14:paraId="7448B4E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2,873(35.1%)</w:t>
            </w:r>
          </w:p>
        </w:tc>
        <w:tc>
          <w:tcPr>
            <w:tcW w:w="1620" w:type="dxa"/>
            <w:tcBorders>
              <w:top w:val="nil"/>
              <w:left w:val="nil"/>
              <w:bottom w:val="single" w:sz="4" w:space="0" w:color="000000"/>
              <w:right w:val="single" w:sz="4" w:space="0" w:color="000000"/>
            </w:tcBorders>
            <w:shd w:val="clear" w:color="auto" w:fill="auto"/>
            <w:noWrap/>
            <w:vAlign w:val="center"/>
            <w:hideMark/>
          </w:tcPr>
          <w:p w14:paraId="2452237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881 (28.4%)</w:t>
            </w:r>
          </w:p>
        </w:tc>
        <w:tc>
          <w:tcPr>
            <w:tcW w:w="1620" w:type="dxa"/>
            <w:tcBorders>
              <w:top w:val="nil"/>
              <w:left w:val="nil"/>
              <w:bottom w:val="single" w:sz="4" w:space="0" w:color="000000"/>
              <w:right w:val="single" w:sz="4" w:space="0" w:color="000000"/>
            </w:tcBorders>
            <w:shd w:val="clear" w:color="auto" w:fill="auto"/>
            <w:noWrap/>
            <w:vAlign w:val="center"/>
            <w:hideMark/>
          </w:tcPr>
          <w:p w14:paraId="7E287D8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0.145</w:t>
            </w:r>
          </w:p>
        </w:tc>
        <w:tc>
          <w:tcPr>
            <w:tcW w:w="1620" w:type="dxa"/>
            <w:tcBorders>
              <w:top w:val="nil"/>
              <w:left w:val="nil"/>
              <w:bottom w:val="single" w:sz="4" w:space="0" w:color="000000"/>
              <w:right w:val="single" w:sz="4" w:space="0" w:color="000000"/>
            </w:tcBorders>
            <w:shd w:val="clear" w:color="auto" w:fill="auto"/>
            <w:noWrap/>
            <w:vAlign w:val="center"/>
            <w:hideMark/>
          </w:tcPr>
          <w:p w14:paraId="72656FD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889 (28.6%)</w:t>
            </w:r>
          </w:p>
        </w:tc>
        <w:tc>
          <w:tcPr>
            <w:tcW w:w="1620" w:type="dxa"/>
            <w:tcBorders>
              <w:top w:val="nil"/>
              <w:left w:val="nil"/>
              <w:bottom w:val="single" w:sz="4" w:space="0" w:color="000000"/>
              <w:right w:val="single" w:sz="4" w:space="0" w:color="000000"/>
            </w:tcBorders>
            <w:shd w:val="clear" w:color="auto" w:fill="auto"/>
            <w:noWrap/>
            <w:vAlign w:val="center"/>
            <w:hideMark/>
          </w:tcPr>
          <w:p w14:paraId="387FD72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881 (28.4%)</w:t>
            </w:r>
          </w:p>
        </w:tc>
        <w:tc>
          <w:tcPr>
            <w:tcW w:w="1598" w:type="dxa"/>
            <w:tcBorders>
              <w:top w:val="nil"/>
              <w:left w:val="nil"/>
              <w:bottom w:val="single" w:sz="4" w:space="0" w:color="000000"/>
              <w:right w:val="single" w:sz="4" w:space="0" w:color="000000"/>
            </w:tcBorders>
            <w:shd w:val="clear" w:color="auto" w:fill="auto"/>
            <w:noWrap/>
            <w:vAlign w:val="center"/>
            <w:hideMark/>
          </w:tcPr>
          <w:p w14:paraId="1B6EDE5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0.006</w:t>
            </w:r>
          </w:p>
        </w:tc>
      </w:tr>
      <w:tr w:rsidR="002C5301" w:rsidRPr="00A43015" w14:paraId="380B6F66"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947EE95" w14:textId="77777777" w:rsidR="002C5301" w:rsidRPr="00A43015" w:rsidRDefault="002C5301" w:rsidP="00B110EB">
            <w:pPr>
              <w:rPr>
                <w:rFonts w:ascii="Arial" w:eastAsia="Times New Roman" w:hAnsi="Arial" w:cs="Arial"/>
                <w:sz w:val="22"/>
                <w:szCs w:val="22"/>
              </w:rPr>
            </w:pPr>
            <w:r w:rsidRPr="00A43015">
              <w:rPr>
                <w:rFonts w:ascii="Arial" w:eastAsia="Times New Roman" w:hAnsi="Arial" w:cs="Arial"/>
                <w:sz w:val="22"/>
                <w:szCs w:val="22"/>
              </w:rPr>
              <w:t>Hypertension; n (%)</w:t>
            </w:r>
          </w:p>
        </w:tc>
        <w:tc>
          <w:tcPr>
            <w:tcW w:w="1710" w:type="dxa"/>
            <w:tcBorders>
              <w:top w:val="nil"/>
              <w:left w:val="nil"/>
              <w:bottom w:val="single" w:sz="4" w:space="0" w:color="000000"/>
              <w:right w:val="single" w:sz="4" w:space="0" w:color="000000"/>
            </w:tcBorders>
            <w:shd w:val="clear" w:color="auto" w:fill="auto"/>
            <w:noWrap/>
            <w:vAlign w:val="center"/>
            <w:hideMark/>
          </w:tcPr>
          <w:p w14:paraId="3798B05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5,637 (68.8%)</w:t>
            </w:r>
          </w:p>
        </w:tc>
        <w:tc>
          <w:tcPr>
            <w:tcW w:w="1620" w:type="dxa"/>
            <w:tcBorders>
              <w:top w:val="nil"/>
              <w:left w:val="nil"/>
              <w:bottom w:val="single" w:sz="4" w:space="0" w:color="000000"/>
              <w:right w:val="single" w:sz="4" w:space="0" w:color="000000"/>
            </w:tcBorders>
            <w:shd w:val="clear" w:color="auto" w:fill="auto"/>
            <w:noWrap/>
            <w:vAlign w:val="center"/>
            <w:hideMark/>
          </w:tcPr>
          <w:p w14:paraId="77B17D6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1,997 (64.3%)</w:t>
            </w:r>
          </w:p>
        </w:tc>
        <w:tc>
          <w:tcPr>
            <w:tcW w:w="1620" w:type="dxa"/>
            <w:tcBorders>
              <w:top w:val="nil"/>
              <w:left w:val="nil"/>
              <w:bottom w:val="single" w:sz="4" w:space="0" w:color="000000"/>
              <w:right w:val="single" w:sz="4" w:space="0" w:color="000000"/>
            </w:tcBorders>
            <w:shd w:val="clear" w:color="auto" w:fill="auto"/>
            <w:noWrap/>
            <w:vAlign w:val="center"/>
            <w:hideMark/>
          </w:tcPr>
          <w:p w14:paraId="6F25A28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0.096</w:t>
            </w:r>
          </w:p>
        </w:tc>
        <w:tc>
          <w:tcPr>
            <w:tcW w:w="1620" w:type="dxa"/>
            <w:tcBorders>
              <w:top w:val="nil"/>
              <w:left w:val="nil"/>
              <w:bottom w:val="single" w:sz="4" w:space="0" w:color="000000"/>
              <w:right w:val="single" w:sz="4" w:space="0" w:color="000000"/>
            </w:tcBorders>
            <w:shd w:val="clear" w:color="auto" w:fill="auto"/>
            <w:noWrap/>
            <w:vAlign w:val="center"/>
            <w:hideMark/>
          </w:tcPr>
          <w:p w14:paraId="11D9E10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2,026 (65.2%)</w:t>
            </w:r>
          </w:p>
        </w:tc>
        <w:tc>
          <w:tcPr>
            <w:tcW w:w="1620" w:type="dxa"/>
            <w:tcBorders>
              <w:top w:val="nil"/>
              <w:left w:val="nil"/>
              <w:bottom w:val="single" w:sz="4" w:space="0" w:color="000000"/>
              <w:right w:val="single" w:sz="4" w:space="0" w:color="000000"/>
            </w:tcBorders>
            <w:shd w:val="clear" w:color="auto" w:fill="auto"/>
            <w:noWrap/>
            <w:vAlign w:val="center"/>
            <w:hideMark/>
          </w:tcPr>
          <w:p w14:paraId="6E9B83D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1,997 (64.3%)</w:t>
            </w:r>
          </w:p>
        </w:tc>
        <w:tc>
          <w:tcPr>
            <w:tcW w:w="1598" w:type="dxa"/>
            <w:tcBorders>
              <w:top w:val="nil"/>
              <w:left w:val="nil"/>
              <w:bottom w:val="single" w:sz="4" w:space="0" w:color="000000"/>
              <w:right w:val="single" w:sz="4" w:space="0" w:color="000000"/>
            </w:tcBorders>
            <w:shd w:val="clear" w:color="auto" w:fill="auto"/>
            <w:noWrap/>
            <w:vAlign w:val="center"/>
            <w:hideMark/>
          </w:tcPr>
          <w:p w14:paraId="5F1EB4D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0.011</w:t>
            </w:r>
          </w:p>
        </w:tc>
      </w:tr>
      <w:tr w:rsidR="002C5301" w:rsidRPr="00A43015" w14:paraId="08FDC608"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9BD5BBF" w14:textId="77777777" w:rsidR="002C5301" w:rsidRPr="00A43015" w:rsidRDefault="002C5301" w:rsidP="00B110EB">
            <w:pPr>
              <w:rPr>
                <w:rFonts w:ascii="Arial" w:eastAsia="Times New Roman" w:hAnsi="Arial" w:cs="Arial"/>
                <w:sz w:val="22"/>
                <w:szCs w:val="22"/>
              </w:rPr>
            </w:pPr>
            <w:r w:rsidRPr="00A43015">
              <w:rPr>
                <w:rFonts w:ascii="Arial" w:eastAsia="Times New Roman" w:hAnsi="Arial" w:cs="Arial"/>
                <w:sz w:val="22"/>
                <w:szCs w:val="22"/>
              </w:rPr>
              <w:t>Coronary artery disease; n (%)</w:t>
            </w:r>
          </w:p>
        </w:tc>
        <w:tc>
          <w:tcPr>
            <w:tcW w:w="1710" w:type="dxa"/>
            <w:tcBorders>
              <w:top w:val="nil"/>
              <w:left w:val="nil"/>
              <w:bottom w:val="single" w:sz="4" w:space="0" w:color="000000"/>
              <w:right w:val="single" w:sz="4" w:space="0" w:color="000000"/>
            </w:tcBorders>
            <w:shd w:val="clear" w:color="auto" w:fill="auto"/>
            <w:noWrap/>
            <w:vAlign w:val="center"/>
            <w:hideMark/>
          </w:tcPr>
          <w:p w14:paraId="607570F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3,416 (41.7%)</w:t>
            </w:r>
          </w:p>
        </w:tc>
        <w:tc>
          <w:tcPr>
            <w:tcW w:w="1620" w:type="dxa"/>
            <w:tcBorders>
              <w:top w:val="nil"/>
              <w:left w:val="nil"/>
              <w:bottom w:val="single" w:sz="4" w:space="0" w:color="000000"/>
              <w:right w:val="single" w:sz="4" w:space="0" w:color="000000"/>
            </w:tcBorders>
            <w:shd w:val="clear" w:color="auto" w:fill="auto"/>
            <w:noWrap/>
            <w:vAlign w:val="center"/>
            <w:hideMark/>
          </w:tcPr>
          <w:p w14:paraId="147CD2D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1,270 (40.9%)</w:t>
            </w:r>
          </w:p>
        </w:tc>
        <w:tc>
          <w:tcPr>
            <w:tcW w:w="1620" w:type="dxa"/>
            <w:tcBorders>
              <w:top w:val="nil"/>
              <w:left w:val="nil"/>
              <w:bottom w:val="single" w:sz="4" w:space="0" w:color="000000"/>
              <w:right w:val="single" w:sz="4" w:space="0" w:color="000000"/>
            </w:tcBorders>
            <w:shd w:val="clear" w:color="auto" w:fill="auto"/>
            <w:noWrap/>
            <w:vAlign w:val="center"/>
            <w:hideMark/>
          </w:tcPr>
          <w:p w14:paraId="13B11A4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0.017</w:t>
            </w:r>
          </w:p>
        </w:tc>
        <w:tc>
          <w:tcPr>
            <w:tcW w:w="1620" w:type="dxa"/>
            <w:tcBorders>
              <w:top w:val="nil"/>
              <w:left w:val="nil"/>
              <w:bottom w:val="single" w:sz="4" w:space="0" w:color="000000"/>
              <w:right w:val="single" w:sz="4" w:space="0" w:color="000000"/>
            </w:tcBorders>
            <w:shd w:val="clear" w:color="auto" w:fill="auto"/>
            <w:noWrap/>
            <w:vAlign w:val="center"/>
            <w:hideMark/>
          </w:tcPr>
          <w:p w14:paraId="0C4B15E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1,277 (41.1%)</w:t>
            </w:r>
          </w:p>
        </w:tc>
        <w:tc>
          <w:tcPr>
            <w:tcW w:w="1620" w:type="dxa"/>
            <w:tcBorders>
              <w:top w:val="nil"/>
              <w:left w:val="nil"/>
              <w:bottom w:val="single" w:sz="4" w:space="0" w:color="000000"/>
              <w:right w:val="single" w:sz="4" w:space="0" w:color="000000"/>
            </w:tcBorders>
            <w:shd w:val="clear" w:color="auto" w:fill="auto"/>
            <w:noWrap/>
            <w:vAlign w:val="center"/>
            <w:hideMark/>
          </w:tcPr>
          <w:p w14:paraId="37930FA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1,270 (40.9%)</w:t>
            </w:r>
          </w:p>
        </w:tc>
        <w:tc>
          <w:tcPr>
            <w:tcW w:w="1598" w:type="dxa"/>
            <w:tcBorders>
              <w:top w:val="nil"/>
              <w:left w:val="nil"/>
              <w:bottom w:val="single" w:sz="4" w:space="0" w:color="000000"/>
              <w:right w:val="single" w:sz="4" w:space="0" w:color="000000"/>
            </w:tcBorders>
            <w:shd w:val="clear" w:color="auto" w:fill="auto"/>
            <w:noWrap/>
            <w:vAlign w:val="center"/>
            <w:hideMark/>
          </w:tcPr>
          <w:p w14:paraId="1FCCA5B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0.005</w:t>
            </w:r>
          </w:p>
        </w:tc>
      </w:tr>
      <w:tr w:rsidR="002C5301" w:rsidRPr="00A43015" w14:paraId="596D80A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AA2DA0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Myocardial infarction; n (%)</w:t>
            </w:r>
          </w:p>
        </w:tc>
        <w:tc>
          <w:tcPr>
            <w:tcW w:w="1710" w:type="dxa"/>
            <w:tcBorders>
              <w:top w:val="nil"/>
              <w:left w:val="nil"/>
              <w:bottom w:val="single" w:sz="4" w:space="0" w:color="000000"/>
              <w:right w:val="single" w:sz="4" w:space="0" w:color="000000"/>
            </w:tcBorders>
            <w:shd w:val="clear" w:color="auto" w:fill="auto"/>
            <w:noWrap/>
            <w:vAlign w:val="center"/>
            <w:hideMark/>
          </w:tcPr>
          <w:p w14:paraId="24921B9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220 (2.7%)</w:t>
            </w:r>
          </w:p>
        </w:tc>
        <w:tc>
          <w:tcPr>
            <w:tcW w:w="1620" w:type="dxa"/>
            <w:tcBorders>
              <w:top w:val="nil"/>
              <w:left w:val="nil"/>
              <w:bottom w:val="single" w:sz="4" w:space="0" w:color="000000"/>
              <w:right w:val="single" w:sz="4" w:space="0" w:color="000000"/>
            </w:tcBorders>
            <w:shd w:val="clear" w:color="auto" w:fill="auto"/>
            <w:noWrap/>
            <w:vAlign w:val="center"/>
            <w:hideMark/>
          </w:tcPr>
          <w:p w14:paraId="1438AD9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 (1.3%)</w:t>
            </w:r>
          </w:p>
        </w:tc>
        <w:tc>
          <w:tcPr>
            <w:tcW w:w="1620" w:type="dxa"/>
            <w:tcBorders>
              <w:top w:val="nil"/>
              <w:left w:val="nil"/>
              <w:bottom w:val="single" w:sz="4" w:space="0" w:color="000000"/>
              <w:right w:val="single" w:sz="4" w:space="0" w:color="000000"/>
            </w:tcBorders>
            <w:shd w:val="clear" w:color="auto" w:fill="auto"/>
            <w:noWrap/>
            <w:vAlign w:val="center"/>
            <w:hideMark/>
          </w:tcPr>
          <w:p w14:paraId="5D6970B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0.098</w:t>
            </w:r>
          </w:p>
        </w:tc>
        <w:tc>
          <w:tcPr>
            <w:tcW w:w="1620" w:type="dxa"/>
            <w:tcBorders>
              <w:top w:val="nil"/>
              <w:left w:val="nil"/>
              <w:bottom w:val="single" w:sz="4" w:space="0" w:color="000000"/>
              <w:right w:val="single" w:sz="4" w:space="0" w:color="000000"/>
            </w:tcBorders>
            <w:shd w:val="clear" w:color="auto" w:fill="auto"/>
            <w:noWrap/>
            <w:vAlign w:val="center"/>
            <w:hideMark/>
          </w:tcPr>
          <w:p w14:paraId="3116396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35 (1.1%)</w:t>
            </w:r>
          </w:p>
        </w:tc>
        <w:tc>
          <w:tcPr>
            <w:tcW w:w="1620" w:type="dxa"/>
            <w:tcBorders>
              <w:top w:val="nil"/>
              <w:left w:val="nil"/>
              <w:bottom w:val="single" w:sz="4" w:space="0" w:color="000000"/>
              <w:right w:val="single" w:sz="4" w:space="0" w:color="000000"/>
            </w:tcBorders>
            <w:shd w:val="clear" w:color="auto" w:fill="auto"/>
            <w:noWrap/>
            <w:vAlign w:val="center"/>
            <w:hideMark/>
          </w:tcPr>
          <w:p w14:paraId="3CA425B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 (1.3%)</w:t>
            </w:r>
          </w:p>
        </w:tc>
        <w:tc>
          <w:tcPr>
            <w:tcW w:w="1598" w:type="dxa"/>
            <w:tcBorders>
              <w:top w:val="nil"/>
              <w:left w:val="nil"/>
              <w:bottom w:val="single" w:sz="4" w:space="0" w:color="000000"/>
              <w:right w:val="single" w:sz="4" w:space="0" w:color="000000"/>
            </w:tcBorders>
            <w:shd w:val="clear" w:color="auto" w:fill="auto"/>
            <w:noWrap/>
            <w:vAlign w:val="center"/>
            <w:hideMark/>
          </w:tcPr>
          <w:p w14:paraId="0047B168"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0.018</w:t>
            </w:r>
          </w:p>
        </w:tc>
      </w:tr>
      <w:tr w:rsidR="002C5301" w:rsidRPr="00A43015" w14:paraId="4809DC04"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58EE58E5"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Peripheral artery disease; n (%)</w:t>
            </w:r>
          </w:p>
        </w:tc>
        <w:tc>
          <w:tcPr>
            <w:tcW w:w="1710" w:type="dxa"/>
            <w:tcBorders>
              <w:top w:val="nil"/>
              <w:left w:val="nil"/>
              <w:bottom w:val="single" w:sz="4" w:space="0" w:color="000000"/>
              <w:right w:val="single" w:sz="4" w:space="0" w:color="000000"/>
            </w:tcBorders>
            <w:shd w:val="clear" w:color="auto" w:fill="auto"/>
            <w:noWrap/>
            <w:vAlign w:val="center"/>
            <w:hideMark/>
          </w:tcPr>
          <w:p w14:paraId="4AD52E9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386 (4.7%)</w:t>
            </w:r>
          </w:p>
        </w:tc>
        <w:tc>
          <w:tcPr>
            <w:tcW w:w="1620" w:type="dxa"/>
            <w:tcBorders>
              <w:top w:val="nil"/>
              <w:left w:val="nil"/>
              <w:bottom w:val="single" w:sz="4" w:space="0" w:color="000000"/>
              <w:right w:val="single" w:sz="4" w:space="0" w:color="000000"/>
            </w:tcBorders>
            <w:shd w:val="clear" w:color="auto" w:fill="auto"/>
            <w:noWrap/>
            <w:vAlign w:val="center"/>
            <w:hideMark/>
          </w:tcPr>
          <w:p w14:paraId="6F6867A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143 (4.6%)</w:t>
            </w:r>
          </w:p>
        </w:tc>
        <w:tc>
          <w:tcPr>
            <w:tcW w:w="1620" w:type="dxa"/>
            <w:tcBorders>
              <w:top w:val="nil"/>
              <w:left w:val="nil"/>
              <w:bottom w:val="single" w:sz="4" w:space="0" w:color="000000"/>
              <w:right w:val="single" w:sz="4" w:space="0" w:color="000000"/>
            </w:tcBorders>
            <w:shd w:val="clear" w:color="auto" w:fill="auto"/>
            <w:noWrap/>
            <w:vAlign w:val="center"/>
            <w:hideMark/>
          </w:tcPr>
          <w:p w14:paraId="135DA9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0.005</w:t>
            </w:r>
          </w:p>
        </w:tc>
        <w:tc>
          <w:tcPr>
            <w:tcW w:w="1620" w:type="dxa"/>
            <w:tcBorders>
              <w:top w:val="nil"/>
              <w:left w:val="nil"/>
              <w:bottom w:val="single" w:sz="4" w:space="0" w:color="000000"/>
              <w:right w:val="single" w:sz="4" w:space="0" w:color="000000"/>
            </w:tcBorders>
            <w:shd w:val="clear" w:color="auto" w:fill="auto"/>
            <w:noWrap/>
            <w:vAlign w:val="center"/>
            <w:hideMark/>
          </w:tcPr>
          <w:p w14:paraId="0B356A1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140 (4.5%)</w:t>
            </w:r>
          </w:p>
        </w:tc>
        <w:tc>
          <w:tcPr>
            <w:tcW w:w="1620" w:type="dxa"/>
            <w:tcBorders>
              <w:top w:val="nil"/>
              <w:left w:val="nil"/>
              <w:bottom w:val="single" w:sz="4" w:space="0" w:color="000000"/>
              <w:right w:val="single" w:sz="4" w:space="0" w:color="000000"/>
            </w:tcBorders>
            <w:shd w:val="clear" w:color="auto" w:fill="auto"/>
            <w:noWrap/>
            <w:vAlign w:val="center"/>
            <w:hideMark/>
          </w:tcPr>
          <w:p w14:paraId="1B328EE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143 (4.6%)</w:t>
            </w:r>
          </w:p>
        </w:tc>
        <w:tc>
          <w:tcPr>
            <w:tcW w:w="1598" w:type="dxa"/>
            <w:tcBorders>
              <w:top w:val="nil"/>
              <w:left w:val="nil"/>
              <w:bottom w:val="single" w:sz="4" w:space="0" w:color="000000"/>
              <w:right w:val="single" w:sz="4" w:space="0" w:color="000000"/>
            </w:tcBorders>
            <w:shd w:val="clear" w:color="auto" w:fill="auto"/>
            <w:noWrap/>
            <w:vAlign w:val="center"/>
            <w:hideMark/>
          </w:tcPr>
          <w:p w14:paraId="7DA1ECE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0.005</w:t>
            </w:r>
          </w:p>
        </w:tc>
      </w:tr>
      <w:tr w:rsidR="002C5301" w:rsidRPr="00A43015" w14:paraId="63A3DC3F"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D4A6297"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Stroke or TIA; n (%)</w:t>
            </w:r>
          </w:p>
        </w:tc>
        <w:tc>
          <w:tcPr>
            <w:tcW w:w="1710" w:type="dxa"/>
            <w:tcBorders>
              <w:top w:val="nil"/>
              <w:left w:val="nil"/>
              <w:bottom w:val="single" w:sz="4" w:space="0" w:color="000000"/>
              <w:right w:val="single" w:sz="4" w:space="0" w:color="000000"/>
            </w:tcBorders>
            <w:shd w:val="clear" w:color="auto" w:fill="auto"/>
            <w:noWrap/>
            <w:vAlign w:val="center"/>
            <w:hideMark/>
          </w:tcPr>
          <w:p w14:paraId="69B50C3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274 (3.4%)</w:t>
            </w:r>
          </w:p>
        </w:tc>
        <w:tc>
          <w:tcPr>
            <w:tcW w:w="1620" w:type="dxa"/>
            <w:tcBorders>
              <w:top w:val="nil"/>
              <w:left w:val="nil"/>
              <w:bottom w:val="single" w:sz="4" w:space="0" w:color="000000"/>
              <w:right w:val="single" w:sz="4" w:space="0" w:color="000000"/>
            </w:tcBorders>
            <w:shd w:val="clear" w:color="auto" w:fill="auto"/>
            <w:noWrap/>
            <w:vAlign w:val="center"/>
            <w:hideMark/>
          </w:tcPr>
          <w:p w14:paraId="61A2F0F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89 (2.9%)</w:t>
            </w:r>
          </w:p>
        </w:tc>
        <w:tc>
          <w:tcPr>
            <w:tcW w:w="1620" w:type="dxa"/>
            <w:tcBorders>
              <w:top w:val="nil"/>
              <w:left w:val="nil"/>
              <w:bottom w:val="single" w:sz="4" w:space="0" w:color="000000"/>
              <w:right w:val="single" w:sz="4" w:space="0" w:color="000000"/>
            </w:tcBorders>
            <w:shd w:val="clear" w:color="auto" w:fill="auto"/>
            <w:noWrap/>
            <w:vAlign w:val="center"/>
            <w:hideMark/>
          </w:tcPr>
          <w:p w14:paraId="430278F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0.028</w:t>
            </w:r>
          </w:p>
        </w:tc>
        <w:tc>
          <w:tcPr>
            <w:tcW w:w="1620" w:type="dxa"/>
            <w:tcBorders>
              <w:top w:val="nil"/>
              <w:left w:val="nil"/>
              <w:bottom w:val="single" w:sz="4" w:space="0" w:color="000000"/>
              <w:right w:val="single" w:sz="4" w:space="0" w:color="000000"/>
            </w:tcBorders>
            <w:shd w:val="clear" w:color="auto" w:fill="auto"/>
            <w:noWrap/>
            <w:vAlign w:val="center"/>
            <w:hideMark/>
          </w:tcPr>
          <w:p w14:paraId="50E84C2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99 (3.2%)</w:t>
            </w:r>
          </w:p>
        </w:tc>
        <w:tc>
          <w:tcPr>
            <w:tcW w:w="1620" w:type="dxa"/>
            <w:tcBorders>
              <w:top w:val="nil"/>
              <w:left w:val="nil"/>
              <w:bottom w:val="single" w:sz="4" w:space="0" w:color="000000"/>
              <w:right w:val="single" w:sz="4" w:space="0" w:color="000000"/>
            </w:tcBorders>
            <w:shd w:val="clear" w:color="auto" w:fill="auto"/>
            <w:noWrap/>
            <w:vAlign w:val="center"/>
            <w:hideMark/>
          </w:tcPr>
          <w:p w14:paraId="7ABEC1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89 (2.9%)</w:t>
            </w:r>
          </w:p>
        </w:tc>
        <w:tc>
          <w:tcPr>
            <w:tcW w:w="1598" w:type="dxa"/>
            <w:tcBorders>
              <w:top w:val="nil"/>
              <w:left w:val="nil"/>
              <w:bottom w:val="single" w:sz="4" w:space="0" w:color="000000"/>
              <w:right w:val="single" w:sz="4" w:space="0" w:color="000000"/>
            </w:tcBorders>
            <w:shd w:val="clear" w:color="auto" w:fill="auto"/>
            <w:noWrap/>
            <w:vAlign w:val="center"/>
            <w:hideMark/>
          </w:tcPr>
          <w:p w14:paraId="030B4D5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0.019</w:t>
            </w:r>
          </w:p>
        </w:tc>
      </w:tr>
      <w:tr w:rsidR="007F4922" w:rsidRPr="00A43015" w14:paraId="19A547F5" w14:textId="77777777" w:rsidTr="002B41B4">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0455992" w14:textId="77777777" w:rsidR="007F4922" w:rsidRPr="00A43015" w:rsidRDefault="007F4922"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Number of non-AF hospitalizations</w:t>
            </w:r>
          </w:p>
        </w:tc>
        <w:tc>
          <w:tcPr>
            <w:tcW w:w="9788" w:type="dxa"/>
            <w:gridSpan w:val="6"/>
            <w:tcBorders>
              <w:top w:val="single" w:sz="4" w:space="0" w:color="000000"/>
              <w:left w:val="nil"/>
              <w:bottom w:val="single" w:sz="4" w:space="0" w:color="000000"/>
              <w:right w:val="single" w:sz="4" w:space="0" w:color="000000"/>
            </w:tcBorders>
            <w:shd w:val="clear" w:color="FFFFFF" w:fill="FFFFFF"/>
            <w:vAlign w:val="center"/>
            <w:hideMark/>
          </w:tcPr>
          <w:p w14:paraId="6ABB8C20" w14:textId="77777777" w:rsidR="007F4922" w:rsidRPr="00126827"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p w14:paraId="0DB2A65F" w14:textId="5C8B6556" w:rsidR="007F4922" w:rsidRPr="00A43015"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4776CC9D"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74C6336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...mean (STD)</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72AE04F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0.55 (0.90)</w:t>
            </w:r>
          </w:p>
        </w:tc>
        <w:tc>
          <w:tcPr>
            <w:tcW w:w="1620" w:type="dxa"/>
            <w:tcBorders>
              <w:top w:val="single" w:sz="4" w:space="0" w:color="000000"/>
              <w:left w:val="nil"/>
              <w:bottom w:val="single" w:sz="4" w:space="0" w:color="000000"/>
              <w:right w:val="nil"/>
            </w:tcBorders>
            <w:shd w:val="clear" w:color="auto" w:fill="auto"/>
            <w:noWrap/>
            <w:vAlign w:val="center"/>
            <w:hideMark/>
          </w:tcPr>
          <w:p w14:paraId="1901C4A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0.28 (0.69)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592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0.330</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29A6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0.28 (0.69)</w:t>
            </w:r>
          </w:p>
        </w:tc>
        <w:tc>
          <w:tcPr>
            <w:tcW w:w="1620" w:type="dxa"/>
            <w:tcBorders>
              <w:top w:val="single" w:sz="4" w:space="0" w:color="000000"/>
              <w:left w:val="nil"/>
              <w:bottom w:val="single" w:sz="4" w:space="0" w:color="000000"/>
              <w:right w:val="nil"/>
            </w:tcBorders>
            <w:shd w:val="clear" w:color="auto" w:fill="auto"/>
            <w:noWrap/>
            <w:vAlign w:val="center"/>
            <w:hideMark/>
          </w:tcPr>
          <w:p w14:paraId="266B84F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0.28 (0.69)</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EB9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0.001</w:t>
            </w:r>
          </w:p>
        </w:tc>
      </w:tr>
      <w:tr w:rsidR="002C5301" w:rsidRPr="00A43015" w14:paraId="142F09EF"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3947010"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...median [IQR]</w:t>
            </w:r>
          </w:p>
        </w:tc>
        <w:tc>
          <w:tcPr>
            <w:tcW w:w="1710" w:type="dxa"/>
            <w:tcBorders>
              <w:top w:val="nil"/>
              <w:left w:val="nil"/>
              <w:bottom w:val="single" w:sz="4" w:space="0" w:color="000000"/>
              <w:right w:val="single" w:sz="4" w:space="0" w:color="000000"/>
            </w:tcBorders>
            <w:shd w:val="clear" w:color="auto" w:fill="auto"/>
            <w:noWrap/>
            <w:vAlign w:val="center"/>
            <w:hideMark/>
          </w:tcPr>
          <w:p w14:paraId="609BE52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 [0.00, 1.00]</w:t>
            </w:r>
          </w:p>
        </w:tc>
        <w:tc>
          <w:tcPr>
            <w:tcW w:w="1620" w:type="dxa"/>
            <w:tcBorders>
              <w:top w:val="nil"/>
              <w:left w:val="nil"/>
              <w:bottom w:val="single" w:sz="4" w:space="0" w:color="000000"/>
              <w:right w:val="nil"/>
            </w:tcBorders>
            <w:shd w:val="clear" w:color="auto" w:fill="auto"/>
            <w:noWrap/>
            <w:vAlign w:val="center"/>
            <w:hideMark/>
          </w:tcPr>
          <w:p w14:paraId="57B33D7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 [0.00, 0.00]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249194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195C857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 [0.00, 0.00]</w:t>
            </w:r>
          </w:p>
        </w:tc>
        <w:tc>
          <w:tcPr>
            <w:tcW w:w="1620" w:type="dxa"/>
            <w:tcBorders>
              <w:top w:val="nil"/>
              <w:left w:val="nil"/>
              <w:bottom w:val="single" w:sz="4" w:space="0" w:color="000000"/>
              <w:right w:val="nil"/>
            </w:tcBorders>
            <w:shd w:val="clear" w:color="auto" w:fill="auto"/>
            <w:noWrap/>
            <w:vAlign w:val="center"/>
            <w:hideMark/>
          </w:tcPr>
          <w:p w14:paraId="0D795F6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 [0.00, 0.00]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044CDFB6" w14:textId="77777777" w:rsidR="002C5301" w:rsidRPr="00A43015" w:rsidRDefault="002C5301" w:rsidP="00B110EB">
            <w:pPr>
              <w:jc w:val="cente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 </w:t>
            </w:r>
          </w:p>
        </w:tc>
      </w:tr>
      <w:tr w:rsidR="007F4922" w:rsidRPr="00A43015" w14:paraId="3D2A4E6B" w14:textId="77777777" w:rsidTr="00AE53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B9CCDDE" w14:textId="77777777" w:rsidR="007F4922" w:rsidRPr="00A43015" w:rsidRDefault="007F4922"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Time since last cardioversion</w:t>
            </w:r>
          </w:p>
        </w:tc>
        <w:tc>
          <w:tcPr>
            <w:tcW w:w="9788" w:type="dxa"/>
            <w:gridSpan w:val="6"/>
            <w:tcBorders>
              <w:top w:val="single" w:sz="4" w:space="0" w:color="000000"/>
              <w:left w:val="nil"/>
              <w:bottom w:val="single" w:sz="4" w:space="0" w:color="000000"/>
              <w:right w:val="single" w:sz="4" w:space="0" w:color="000000"/>
            </w:tcBorders>
            <w:shd w:val="clear" w:color="FFFFFF" w:fill="FFFFFF"/>
            <w:vAlign w:val="center"/>
            <w:hideMark/>
          </w:tcPr>
          <w:p w14:paraId="19FBD63C" w14:textId="77777777" w:rsidR="007F4922" w:rsidRPr="00126827"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p w14:paraId="0CC6AEBD" w14:textId="612D17ED" w:rsidR="007F4922" w:rsidRPr="00A43015" w:rsidRDefault="007F4922"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2C5301" w:rsidRPr="00A43015" w14:paraId="660E251B"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1B0F3CD5"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...No previous cardioversion; n (%)</w:t>
            </w:r>
          </w:p>
        </w:tc>
        <w:tc>
          <w:tcPr>
            <w:tcW w:w="1710" w:type="dxa"/>
            <w:tcBorders>
              <w:top w:val="nil"/>
              <w:left w:val="nil"/>
              <w:bottom w:val="single" w:sz="4" w:space="0" w:color="000000"/>
              <w:right w:val="single" w:sz="4" w:space="0" w:color="000000"/>
            </w:tcBorders>
            <w:shd w:val="clear" w:color="auto" w:fill="auto"/>
            <w:noWrap/>
            <w:vAlign w:val="center"/>
            <w:hideMark/>
          </w:tcPr>
          <w:p w14:paraId="329D88A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7,296 (89.1%)</w:t>
            </w:r>
          </w:p>
        </w:tc>
        <w:tc>
          <w:tcPr>
            <w:tcW w:w="1620" w:type="dxa"/>
            <w:tcBorders>
              <w:top w:val="nil"/>
              <w:left w:val="nil"/>
              <w:bottom w:val="single" w:sz="4" w:space="0" w:color="000000"/>
              <w:right w:val="single" w:sz="4" w:space="0" w:color="000000"/>
            </w:tcBorders>
            <w:shd w:val="clear" w:color="auto" w:fill="auto"/>
            <w:noWrap/>
            <w:vAlign w:val="center"/>
            <w:hideMark/>
          </w:tcPr>
          <w:p w14:paraId="609131C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2,943 (94.8%)</w:t>
            </w:r>
          </w:p>
        </w:tc>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D2EC24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0.209</w:t>
            </w:r>
          </w:p>
        </w:tc>
        <w:tc>
          <w:tcPr>
            <w:tcW w:w="1620" w:type="dxa"/>
            <w:tcBorders>
              <w:top w:val="nil"/>
              <w:left w:val="nil"/>
              <w:bottom w:val="single" w:sz="4" w:space="0" w:color="000000"/>
              <w:right w:val="single" w:sz="4" w:space="0" w:color="000000"/>
            </w:tcBorders>
            <w:shd w:val="clear" w:color="auto" w:fill="auto"/>
            <w:noWrap/>
            <w:vAlign w:val="center"/>
            <w:hideMark/>
          </w:tcPr>
          <w:p w14:paraId="45E11A9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2,962 (95.4%)</w:t>
            </w:r>
          </w:p>
        </w:tc>
        <w:tc>
          <w:tcPr>
            <w:tcW w:w="1620" w:type="dxa"/>
            <w:tcBorders>
              <w:top w:val="nil"/>
              <w:left w:val="nil"/>
              <w:bottom w:val="single" w:sz="4" w:space="0" w:color="000000"/>
              <w:right w:val="single" w:sz="4" w:space="0" w:color="000000"/>
            </w:tcBorders>
            <w:shd w:val="clear" w:color="auto" w:fill="auto"/>
            <w:noWrap/>
            <w:vAlign w:val="center"/>
            <w:hideMark/>
          </w:tcPr>
          <w:p w14:paraId="67C57D5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2,943 (94.8%)</w:t>
            </w:r>
          </w:p>
        </w:tc>
        <w:tc>
          <w:tcPr>
            <w:tcW w:w="15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66BA8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0.028</w:t>
            </w:r>
          </w:p>
        </w:tc>
      </w:tr>
      <w:tr w:rsidR="002C5301" w:rsidRPr="00A43015" w14:paraId="64AC827F"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7B25DC4"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...Cardioversion within previous 2 days; n (%)</w:t>
            </w:r>
          </w:p>
        </w:tc>
        <w:tc>
          <w:tcPr>
            <w:tcW w:w="1710" w:type="dxa"/>
            <w:tcBorders>
              <w:top w:val="nil"/>
              <w:left w:val="nil"/>
              <w:bottom w:val="single" w:sz="4" w:space="0" w:color="000000"/>
              <w:right w:val="single" w:sz="4" w:space="0" w:color="000000"/>
            </w:tcBorders>
            <w:shd w:val="clear" w:color="auto" w:fill="auto"/>
            <w:noWrap/>
            <w:vAlign w:val="center"/>
            <w:hideMark/>
          </w:tcPr>
          <w:p w14:paraId="20C403B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328 (4.0%)</w:t>
            </w:r>
          </w:p>
        </w:tc>
        <w:tc>
          <w:tcPr>
            <w:tcW w:w="1620" w:type="dxa"/>
            <w:tcBorders>
              <w:top w:val="nil"/>
              <w:left w:val="nil"/>
              <w:bottom w:val="single" w:sz="4" w:space="0" w:color="000000"/>
              <w:right w:val="single" w:sz="4" w:space="0" w:color="000000"/>
            </w:tcBorders>
            <w:shd w:val="clear" w:color="auto" w:fill="auto"/>
            <w:noWrap/>
            <w:vAlign w:val="center"/>
            <w:hideMark/>
          </w:tcPr>
          <w:p w14:paraId="1ACE6ED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32 (1.0%)</w:t>
            </w:r>
          </w:p>
        </w:tc>
        <w:tc>
          <w:tcPr>
            <w:tcW w:w="1620" w:type="dxa"/>
            <w:vMerge/>
            <w:tcBorders>
              <w:top w:val="nil"/>
              <w:left w:val="single" w:sz="4" w:space="0" w:color="000000"/>
              <w:bottom w:val="single" w:sz="4" w:space="0" w:color="000000"/>
              <w:right w:val="single" w:sz="4" w:space="0" w:color="000000"/>
            </w:tcBorders>
            <w:vAlign w:val="center"/>
            <w:hideMark/>
          </w:tcPr>
          <w:p w14:paraId="7C7E601A"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1739C24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35 (1.0%)</w:t>
            </w:r>
          </w:p>
        </w:tc>
        <w:tc>
          <w:tcPr>
            <w:tcW w:w="1620" w:type="dxa"/>
            <w:tcBorders>
              <w:top w:val="nil"/>
              <w:left w:val="nil"/>
              <w:bottom w:val="single" w:sz="4" w:space="0" w:color="000000"/>
              <w:right w:val="single" w:sz="4" w:space="0" w:color="000000"/>
            </w:tcBorders>
            <w:shd w:val="clear" w:color="auto" w:fill="auto"/>
            <w:noWrap/>
            <w:vAlign w:val="center"/>
            <w:hideMark/>
          </w:tcPr>
          <w:p w14:paraId="1DDEE8F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32 (1.0%)</w:t>
            </w:r>
          </w:p>
        </w:tc>
        <w:tc>
          <w:tcPr>
            <w:tcW w:w="1598" w:type="dxa"/>
            <w:vMerge/>
            <w:tcBorders>
              <w:top w:val="nil"/>
              <w:left w:val="single" w:sz="4" w:space="0" w:color="000000"/>
              <w:bottom w:val="single" w:sz="4" w:space="0" w:color="000000"/>
              <w:right w:val="single" w:sz="4" w:space="0" w:color="000000"/>
            </w:tcBorders>
            <w:vAlign w:val="center"/>
            <w:hideMark/>
          </w:tcPr>
          <w:p w14:paraId="0B9B6CE0" w14:textId="77777777" w:rsidR="002C5301" w:rsidRPr="00A43015" w:rsidRDefault="002C5301" w:rsidP="00B110EB">
            <w:pPr>
              <w:rPr>
                <w:rFonts w:ascii="Arial" w:eastAsia="Times New Roman" w:hAnsi="Arial" w:cs="Arial"/>
                <w:color w:val="000000"/>
                <w:sz w:val="22"/>
                <w:szCs w:val="22"/>
              </w:rPr>
            </w:pPr>
          </w:p>
        </w:tc>
      </w:tr>
      <w:tr w:rsidR="002C5301" w:rsidRPr="00A43015" w14:paraId="15057D15" w14:textId="77777777" w:rsidTr="007F4922">
        <w:trPr>
          <w:trHeight w:val="60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9173A06"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lastRenderedPageBreak/>
              <w:t>...Cardioversion more than 2 days before; n (%)</w:t>
            </w:r>
          </w:p>
        </w:tc>
        <w:tc>
          <w:tcPr>
            <w:tcW w:w="1710" w:type="dxa"/>
            <w:tcBorders>
              <w:top w:val="nil"/>
              <w:left w:val="nil"/>
              <w:bottom w:val="single" w:sz="4" w:space="0" w:color="000000"/>
              <w:right w:val="single" w:sz="4" w:space="0" w:color="000000"/>
            </w:tcBorders>
            <w:shd w:val="clear" w:color="auto" w:fill="auto"/>
            <w:noWrap/>
            <w:vAlign w:val="center"/>
            <w:hideMark/>
          </w:tcPr>
          <w:p w14:paraId="1B19C3A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652 (8.0%)</w:t>
            </w:r>
          </w:p>
        </w:tc>
        <w:tc>
          <w:tcPr>
            <w:tcW w:w="1620" w:type="dxa"/>
            <w:tcBorders>
              <w:top w:val="nil"/>
              <w:left w:val="nil"/>
              <w:bottom w:val="single" w:sz="4" w:space="0" w:color="000000"/>
              <w:right w:val="single" w:sz="4" w:space="0" w:color="000000"/>
            </w:tcBorders>
            <w:shd w:val="clear" w:color="auto" w:fill="auto"/>
            <w:noWrap/>
            <w:vAlign w:val="center"/>
            <w:hideMark/>
          </w:tcPr>
          <w:p w14:paraId="4672F4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138 (4.4%)</w:t>
            </w:r>
          </w:p>
        </w:tc>
        <w:tc>
          <w:tcPr>
            <w:tcW w:w="1620" w:type="dxa"/>
            <w:vMerge/>
            <w:tcBorders>
              <w:top w:val="nil"/>
              <w:left w:val="single" w:sz="4" w:space="0" w:color="000000"/>
              <w:bottom w:val="single" w:sz="4" w:space="0" w:color="000000"/>
              <w:right w:val="single" w:sz="4" w:space="0" w:color="000000"/>
            </w:tcBorders>
            <w:vAlign w:val="center"/>
            <w:hideMark/>
          </w:tcPr>
          <w:p w14:paraId="4313B8CB" w14:textId="77777777" w:rsidR="002C5301" w:rsidRPr="00A43015" w:rsidRDefault="002C5301" w:rsidP="00B110EB">
            <w:pP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hideMark/>
          </w:tcPr>
          <w:p w14:paraId="66A516C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116 (3.7%)</w:t>
            </w:r>
          </w:p>
        </w:tc>
        <w:tc>
          <w:tcPr>
            <w:tcW w:w="1620" w:type="dxa"/>
            <w:tcBorders>
              <w:top w:val="nil"/>
              <w:left w:val="nil"/>
              <w:bottom w:val="single" w:sz="4" w:space="0" w:color="000000"/>
              <w:right w:val="single" w:sz="4" w:space="0" w:color="000000"/>
            </w:tcBorders>
            <w:shd w:val="clear" w:color="auto" w:fill="auto"/>
            <w:noWrap/>
            <w:vAlign w:val="center"/>
            <w:hideMark/>
          </w:tcPr>
          <w:p w14:paraId="666740E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138 (4.4%)</w:t>
            </w:r>
          </w:p>
        </w:tc>
        <w:tc>
          <w:tcPr>
            <w:tcW w:w="1598" w:type="dxa"/>
            <w:vMerge/>
            <w:tcBorders>
              <w:top w:val="nil"/>
              <w:left w:val="single" w:sz="4" w:space="0" w:color="000000"/>
              <w:bottom w:val="single" w:sz="4" w:space="0" w:color="000000"/>
              <w:right w:val="single" w:sz="4" w:space="0" w:color="000000"/>
            </w:tcBorders>
            <w:vAlign w:val="center"/>
            <w:hideMark/>
          </w:tcPr>
          <w:p w14:paraId="2232E199" w14:textId="77777777" w:rsidR="002C5301" w:rsidRPr="00A43015" w:rsidRDefault="002C5301" w:rsidP="00B110EB">
            <w:pPr>
              <w:rPr>
                <w:rFonts w:ascii="Arial" w:eastAsia="Times New Roman" w:hAnsi="Arial" w:cs="Arial"/>
                <w:color w:val="000000"/>
                <w:sz w:val="22"/>
                <w:szCs w:val="22"/>
              </w:rPr>
            </w:pPr>
          </w:p>
        </w:tc>
      </w:tr>
      <w:tr w:rsidR="007F4922" w:rsidRPr="00A43015" w14:paraId="004F7D82" w14:textId="77777777" w:rsidTr="00F153E7">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0E9C4195" w14:textId="77777777" w:rsidR="007F4922" w:rsidRPr="00A43015" w:rsidRDefault="007F4922" w:rsidP="00B110EB">
            <w:pPr>
              <w:rPr>
                <w:rFonts w:ascii="Arial" w:eastAsia="Times New Roman" w:hAnsi="Arial" w:cs="Arial"/>
                <w:b/>
                <w:bCs/>
                <w:color w:val="000000"/>
                <w:sz w:val="22"/>
                <w:szCs w:val="22"/>
              </w:rPr>
            </w:pPr>
            <w:r w:rsidRPr="00A43015">
              <w:rPr>
                <w:rFonts w:ascii="Arial" w:eastAsia="Times New Roman" w:hAnsi="Arial" w:cs="Arial"/>
                <w:b/>
                <w:bCs/>
                <w:color w:val="000000"/>
                <w:sz w:val="22"/>
                <w:szCs w:val="22"/>
              </w:rPr>
              <w:t>Medications</w:t>
            </w:r>
          </w:p>
        </w:tc>
        <w:tc>
          <w:tcPr>
            <w:tcW w:w="9788" w:type="dxa"/>
            <w:gridSpan w:val="6"/>
            <w:tcBorders>
              <w:top w:val="nil"/>
              <w:left w:val="nil"/>
              <w:bottom w:val="single" w:sz="4" w:space="0" w:color="000000"/>
              <w:right w:val="single" w:sz="4" w:space="0" w:color="000000"/>
            </w:tcBorders>
            <w:shd w:val="clear" w:color="auto" w:fill="auto"/>
            <w:noWrap/>
            <w:vAlign w:val="center"/>
            <w:hideMark/>
          </w:tcPr>
          <w:p w14:paraId="0EF8F804" w14:textId="7F5F106E" w:rsidR="007F4922" w:rsidRPr="00A43015" w:rsidRDefault="007F4922" w:rsidP="007F4922">
            <w:pPr>
              <w:rPr>
                <w:rFonts w:ascii="Arial" w:eastAsia="Times New Roman" w:hAnsi="Arial" w:cs="Arial"/>
                <w:color w:val="000000"/>
                <w:sz w:val="22"/>
                <w:szCs w:val="22"/>
              </w:rPr>
            </w:pPr>
            <w:r w:rsidRPr="00A43015">
              <w:rPr>
                <w:rFonts w:ascii="Arial" w:eastAsia="Times New Roman" w:hAnsi="Arial" w:cs="Arial"/>
                <w:color w:val="000000"/>
                <w:sz w:val="22"/>
                <w:szCs w:val="22"/>
              </w:rPr>
              <w:t> </w:t>
            </w:r>
          </w:p>
        </w:tc>
      </w:tr>
      <w:tr w:rsidR="00582AB4" w:rsidRPr="00A43015" w14:paraId="71C65F56"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3903240F" w14:textId="4FE637BC" w:rsidR="00582AB4" w:rsidRPr="00A43015" w:rsidRDefault="00582AB4" w:rsidP="000D27D7">
            <w:pPr>
              <w:rPr>
                <w:rFonts w:ascii="Arial" w:eastAsia="Times New Roman" w:hAnsi="Arial" w:cs="Arial"/>
                <w:color w:val="000000"/>
                <w:sz w:val="22"/>
                <w:szCs w:val="22"/>
              </w:rPr>
            </w:pPr>
            <w:r w:rsidRPr="00A43015">
              <w:rPr>
                <w:rFonts w:ascii="Arial" w:eastAsia="Times New Roman" w:hAnsi="Arial" w:cs="Arial"/>
                <w:color w:val="000000"/>
                <w:sz w:val="22"/>
                <w:szCs w:val="22"/>
              </w:rPr>
              <w:t>Anticoagulants</w:t>
            </w:r>
            <w:r w:rsidRPr="00582AB4">
              <w:rPr>
                <w:rFonts w:ascii="Arial" w:eastAsia="Times New Roman" w:hAnsi="Arial" w:cs="Arial"/>
                <w:color w:val="000000"/>
                <w:sz w:val="22"/>
                <w:szCs w:val="22"/>
              </w:rPr>
              <w:t>;</w:t>
            </w:r>
            <w:r w:rsidRPr="00A43015">
              <w:rPr>
                <w:rFonts w:ascii="Arial" w:eastAsia="Times New Roman" w:hAnsi="Arial" w:cs="Arial"/>
                <w:color w:val="000000"/>
                <w:sz w:val="22"/>
                <w:szCs w:val="22"/>
              </w:rPr>
              <w:t xml:space="preserve"> n (%)</w:t>
            </w:r>
          </w:p>
        </w:tc>
        <w:tc>
          <w:tcPr>
            <w:tcW w:w="1710" w:type="dxa"/>
            <w:tcBorders>
              <w:top w:val="nil"/>
              <w:left w:val="nil"/>
              <w:bottom w:val="single" w:sz="4" w:space="0" w:color="000000"/>
              <w:right w:val="single" w:sz="4" w:space="0" w:color="000000"/>
            </w:tcBorders>
            <w:shd w:val="clear" w:color="auto" w:fill="auto"/>
            <w:noWrap/>
            <w:vAlign w:val="center"/>
            <w:hideMark/>
          </w:tcPr>
          <w:p w14:paraId="488B1383"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4,178 (51.0%)</w:t>
            </w:r>
          </w:p>
        </w:tc>
        <w:tc>
          <w:tcPr>
            <w:tcW w:w="1620" w:type="dxa"/>
            <w:tcBorders>
              <w:top w:val="nil"/>
              <w:left w:val="nil"/>
              <w:bottom w:val="single" w:sz="4" w:space="0" w:color="000000"/>
              <w:right w:val="single" w:sz="4" w:space="0" w:color="000000"/>
            </w:tcBorders>
            <w:shd w:val="clear" w:color="auto" w:fill="auto"/>
            <w:noWrap/>
            <w:vAlign w:val="center"/>
            <w:hideMark/>
          </w:tcPr>
          <w:p w14:paraId="1A786E0C"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1,654 (53.3%)</w:t>
            </w:r>
          </w:p>
        </w:tc>
        <w:tc>
          <w:tcPr>
            <w:tcW w:w="1620" w:type="dxa"/>
            <w:tcBorders>
              <w:top w:val="nil"/>
              <w:left w:val="nil"/>
              <w:bottom w:val="single" w:sz="4" w:space="0" w:color="000000"/>
              <w:right w:val="single" w:sz="4" w:space="0" w:color="000000"/>
            </w:tcBorders>
            <w:shd w:val="clear" w:color="auto" w:fill="auto"/>
            <w:noWrap/>
            <w:vAlign w:val="center"/>
            <w:hideMark/>
          </w:tcPr>
          <w:p w14:paraId="19227397"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0.045</w:t>
            </w:r>
          </w:p>
        </w:tc>
        <w:tc>
          <w:tcPr>
            <w:tcW w:w="1620" w:type="dxa"/>
            <w:tcBorders>
              <w:top w:val="nil"/>
              <w:left w:val="nil"/>
              <w:bottom w:val="single" w:sz="4" w:space="0" w:color="000000"/>
              <w:right w:val="single" w:sz="4" w:space="0" w:color="000000"/>
            </w:tcBorders>
            <w:shd w:val="clear" w:color="auto" w:fill="auto"/>
            <w:noWrap/>
            <w:vAlign w:val="center"/>
            <w:hideMark/>
          </w:tcPr>
          <w:p w14:paraId="59B9284B"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1,673 (53.9%)</w:t>
            </w:r>
          </w:p>
        </w:tc>
        <w:tc>
          <w:tcPr>
            <w:tcW w:w="1620" w:type="dxa"/>
            <w:tcBorders>
              <w:top w:val="nil"/>
              <w:left w:val="nil"/>
              <w:bottom w:val="single" w:sz="4" w:space="0" w:color="000000"/>
              <w:right w:val="single" w:sz="4" w:space="0" w:color="000000"/>
            </w:tcBorders>
            <w:shd w:val="clear" w:color="auto" w:fill="auto"/>
            <w:noWrap/>
            <w:vAlign w:val="center"/>
            <w:hideMark/>
          </w:tcPr>
          <w:p w14:paraId="2F4BA72E"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1,654 (53.3%)</w:t>
            </w:r>
          </w:p>
        </w:tc>
        <w:tc>
          <w:tcPr>
            <w:tcW w:w="1598" w:type="dxa"/>
            <w:tcBorders>
              <w:top w:val="nil"/>
              <w:left w:val="nil"/>
              <w:bottom w:val="single" w:sz="4" w:space="0" w:color="000000"/>
              <w:right w:val="single" w:sz="4" w:space="0" w:color="000000"/>
            </w:tcBorders>
            <w:shd w:val="clear" w:color="auto" w:fill="auto"/>
            <w:noWrap/>
            <w:vAlign w:val="center"/>
            <w:hideMark/>
          </w:tcPr>
          <w:p w14:paraId="045952B3" w14:textId="77777777" w:rsidR="00582AB4" w:rsidRPr="00A43015" w:rsidRDefault="00582AB4" w:rsidP="00582AB4">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0.012</w:t>
            </w:r>
          </w:p>
        </w:tc>
      </w:tr>
      <w:tr w:rsidR="00582AB4" w:rsidRPr="00A43015" w14:paraId="1B741006"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0A9AF659" w14:textId="2D6880EA" w:rsidR="00582AB4" w:rsidRPr="00A43015" w:rsidRDefault="00582AB4" w:rsidP="00582AB4">
            <w:pPr>
              <w:jc w:val="right"/>
              <w:rPr>
                <w:rFonts w:ascii="Arial" w:eastAsia="Times New Roman" w:hAnsi="Arial" w:cs="Arial"/>
                <w:color w:val="000000"/>
                <w:sz w:val="22"/>
                <w:szCs w:val="22"/>
              </w:rPr>
            </w:pPr>
            <w:r>
              <w:rPr>
                <w:rFonts w:ascii="Arial" w:eastAsia="Times New Roman" w:hAnsi="Arial" w:cs="Arial"/>
                <w:color w:val="000000"/>
                <w:sz w:val="22"/>
                <w:szCs w:val="22"/>
              </w:rPr>
              <w:t>Apixaban; n (%)</w:t>
            </w:r>
          </w:p>
        </w:tc>
        <w:tc>
          <w:tcPr>
            <w:tcW w:w="1710" w:type="dxa"/>
            <w:tcBorders>
              <w:top w:val="nil"/>
              <w:left w:val="nil"/>
              <w:bottom w:val="single" w:sz="4" w:space="0" w:color="000000"/>
              <w:right w:val="single" w:sz="4" w:space="0" w:color="000000"/>
            </w:tcBorders>
            <w:shd w:val="clear" w:color="auto" w:fill="auto"/>
            <w:noWrap/>
            <w:vAlign w:val="center"/>
            <w:hideMark/>
          </w:tcPr>
          <w:p w14:paraId="75E975F7" w14:textId="51CB51F3"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1,315 (16.1%)</w:t>
            </w:r>
          </w:p>
        </w:tc>
        <w:tc>
          <w:tcPr>
            <w:tcW w:w="1620" w:type="dxa"/>
            <w:tcBorders>
              <w:top w:val="nil"/>
              <w:left w:val="nil"/>
              <w:bottom w:val="single" w:sz="4" w:space="0" w:color="000000"/>
              <w:right w:val="single" w:sz="4" w:space="0" w:color="000000"/>
            </w:tcBorders>
            <w:shd w:val="clear" w:color="auto" w:fill="auto"/>
            <w:noWrap/>
            <w:vAlign w:val="center"/>
            <w:hideMark/>
          </w:tcPr>
          <w:p w14:paraId="185F896E" w14:textId="0F1F9655"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742 (23.9%)</w:t>
            </w:r>
          </w:p>
        </w:tc>
        <w:tc>
          <w:tcPr>
            <w:tcW w:w="1620" w:type="dxa"/>
            <w:tcBorders>
              <w:top w:val="nil"/>
              <w:left w:val="nil"/>
              <w:bottom w:val="single" w:sz="4" w:space="0" w:color="000000"/>
              <w:right w:val="single" w:sz="4" w:space="0" w:color="000000"/>
            </w:tcBorders>
            <w:shd w:val="clear" w:color="auto" w:fill="auto"/>
            <w:noWrap/>
            <w:vAlign w:val="center"/>
            <w:hideMark/>
          </w:tcPr>
          <w:p w14:paraId="24280ED0" w14:textId="555ABA32"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b/>
                <w:bCs/>
                <w:sz w:val="22"/>
                <w:szCs w:val="22"/>
              </w:rPr>
              <w:t>0.197</w:t>
            </w:r>
          </w:p>
        </w:tc>
        <w:tc>
          <w:tcPr>
            <w:tcW w:w="1620" w:type="dxa"/>
            <w:tcBorders>
              <w:top w:val="nil"/>
              <w:left w:val="nil"/>
              <w:bottom w:val="single" w:sz="4" w:space="0" w:color="000000"/>
              <w:right w:val="single" w:sz="4" w:space="0" w:color="000000"/>
            </w:tcBorders>
            <w:shd w:val="clear" w:color="auto" w:fill="auto"/>
            <w:noWrap/>
            <w:vAlign w:val="center"/>
            <w:hideMark/>
          </w:tcPr>
          <w:p w14:paraId="2FCD10D7" w14:textId="3E0BC325"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602 (19.4%)</w:t>
            </w:r>
          </w:p>
        </w:tc>
        <w:tc>
          <w:tcPr>
            <w:tcW w:w="1620" w:type="dxa"/>
            <w:tcBorders>
              <w:top w:val="nil"/>
              <w:left w:val="nil"/>
              <w:bottom w:val="single" w:sz="4" w:space="0" w:color="000000"/>
              <w:right w:val="single" w:sz="4" w:space="0" w:color="000000"/>
            </w:tcBorders>
            <w:shd w:val="clear" w:color="auto" w:fill="auto"/>
            <w:noWrap/>
            <w:vAlign w:val="center"/>
            <w:hideMark/>
          </w:tcPr>
          <w:p w14:paraId="690BC253" w14:textId="0ED20983"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742 (23.9%)</w:t>
            </w:r>
          </w:p>
        </w:tc>
        <w:tc>
          <w:tcPr>
            <w:tcW w:w="1598" w:type="dxa"/>
            <w:tcBorders>
              <w:top w:val="nil"/>
              <w:left w:val="nil"/>
              <w:bottom w:val="single" w:sz="4" w:space="0" w:color="000000"/>
              <w:right w:val="single" w:sz="4" w:space="0" w:color="000000"/>
            </w:tcBorders>
            <w:shd w:val="clear" w:color="auto" w:fill="auto"/>
            <w:noWrap/>
            <w:vAlign w:val="center"/>
            <w:hideMark/>
          </w:tcPr>
          <w:p w14:paraId="032AC92A" w14:textId="2F30965F" w:rsidR="00582AB4" w:rsidRPr="00582AB4" w:rsidRDefault="00582AB4" w:rsidP="00582AB4">
            <w:pPr>
              <w:jc w:val="center"/>
              <w:rPr>
                <w:rFonts w:ascii="Arial" w:eastAsia="Times New Roman" w:hAnsi="Arial" w:cs="Arial"/>
                <w:b/>
                <w:bCs/>
                <w:color w:val="000000"/>
                <w:sz w:val="22"/>
                <w:szCs w:val="22"/>
              </w:rPr>
            </w:pPr>
            <w:r w:rsidRPr="00582AB4">
              <w:rPr>
                <w:rFonts w:ascii="Arial" w:hAnsi="Arial" w:cs="Arial"/>
                <w:b/>
                <w:bCs/>
                <w:sz w:val="22"/>
                <w:szCs w:val="22"/>
              </w:rPr>
              <w:t>0.109</w:t>
            </w:r>
          </w:p>
        </w:tc>
      </w:tr>
      <w:tr w:rsidR="00582AB4" w:rsidRPr="00A43015" w14:paraId="71683121"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7D76A3FF" w14:textId="3D87F986" w:rsidR="00582AB4" w:rsidRPr="00A43015" w:rsidRDefault="00582AB4" w:rsidP="00582AB4">
            <w:pPr>
              <w:jc w:val="right"/>
              <w:rPr>
                <w:rFonts w:ascii="Arial" w:eastAsia="Times New Roman" w:hAnsi="Arial" w:cs="Arial"/>
                <w:color w:val="000000"/>
                <w:sz w:val="22"/>
                <w:szCs w:val="22"/>
              </w:rPr>
            </w:pPr>
            <w:r>
              <w:rPr>
                <w:rFonts w:ascii="Arial" w:eastAsia="Times New Roman" w:hAnsi="Arial" w:cs="Arial"/>
                <w:color w:val="000000"/>
                <w:sz w:val="22"/>
                <w:szCs w:val="22"/>
              </w:rPr>
              <w:t>Dabigatran; n (%)</w:t>
            </w:r>
          </w:p>
        </w:tc>
        <w:tc>
          <w:tcPr>
            <w:tcW w:w="1710" w:type="dxa"/>
            <w:tcBorders>
              <w:top w:val="nil"/>
              <w:left w:val="nil"/>
              <w:bottom w:val="single" w:sz="4" w:space="0" w:color="000000"/>
              <w:right w:val="single" w:sz="4" w:space="0" w:color="000000"/>
            </w:tcBorders>
            <w:shd w:val="clear" w:color="auto" w:fill="auto"/>
            <w:noWrap/>
            <w:vAlign w:val="center"/>
            <w:hideMark/>
          </w:tcPr>
          <w:p w14:paraId="4B7E6BE4" w14:textId="53362B6D"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717 (8.8%)</w:t>
            </w:r>
          </w:p>
        </w:tc>
        <w:tc>
          <w:tcPr>
            <w:tcW w:w="1620" w:type="dxa"/>
            <w:tcBorders>
              <w:top w:val="nil"/>
              <w:left w:val="nil"/>
              <w:bottom w:val="single" w:sz="4" w:space="0" w:color="000000"/>
              <w:right w:val="single" w:sz="4" w:space="0" w:color="000000"/>
            </w:tcBorders>
            <w:shd w:val="clear" w:color="auto" w:fill="auto"/>
            <w:noWrap/>
            <w:vAlign w:val="center"/>
            <w:hideMark/>
          </w:tcPr>
          <w:p w14:paraId="4BFDE637" w14:textId="354E29F3"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227 (7.3%)</w:t>
            </w:r>
          </w:p>
        </w:tc>
        <w:tc>
          <w:tcPr>
            <w:tcW w:w="1620" w:type="dxa"/>
            <w:tcBorders>
              <w:top w:val="nil"/>
              <w:left w:val="nil"/>
              <w:bottom w:val="single" w:sz="4" w:space="0" w:color="000000"/>
              <w:right w:val="single" w:sz="4" w:space="0" w:color="000000"/>
            </w:tcBorders>
            <w:shd w:val="clear" w:color="auto" w:fill="auto"/>
            <w:noWrap/>
            <w:vAlign w:val="center"/>
            <w:hideMark/>
          </w:tcPr>
          <w:p w14:paraId="6675A465" w14:textId="722DD002"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0.053</w:t>
            </w:r>
          </w:p>
        </w:tc>
        <w:tc>
          <w:tcPr>
            <w:tcW w:w="1620" w:type="dxa"/>
            <w:tcBorders>
              <w:top w:val="nil"/>
              <w:left w:val="nil"/>
              <w:bottom w:val="single" w:sz="4" w:space="0" w:color="000000"/>
              <w:right w:val="single" w:sz="4" w:space="0" w:color="000000"/>
            </w:tcBorders>
            <w:shd w:val="clear" w:color="auto" w:fill="auto"/>
            <w:noWrap/>
            <w:vAlign w:val="center"/>
            <w:hideMark/>
          </w:tcPr>
          <w:p w14:paraId="4A309D6B" w14:textId="0D34F1E9"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258 (8.3%)</w:t>
            </w:r>
          </w:p>
        </w:tc>
        <w:tc>
          <w:tcPr>
            <w:tcW w:w="1620" w:type="dxa"/>
            <w:tcBorders>
              <w:top w:val="nil"/>
              <w:left w:val="nil"/>
              <w:bottom w:val="single" w:sz="4" w:space="0" w:color="000000"/>
              <w:right w:val="single" w:sz="4" w:space="0" w:color="000000"/>
            </w:tcBorders>
            <w:shd w:val="clear" w:color="auto" w:fill="auto"/>
            <w:noWrap/>
            <w:vAlign w:val="center"/>
            <w:hideMark/>
          </w:tcPr>
          <w:p w14:paraId="4613ECD6" w14:textId="4E814AC1"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227 (7.3%)</w:t>
            </w:r>
          </w:p>
        </w:tc>
        <w:tc>
          <w:tcPr>
            <w:tcW w:w="1598" w:type="dxa"/>
            <w:tcBorders>
              <w:top w:val="nil"/>
              <w:left w:val="nil"/>
              <w:bottom w:val="single" w:sz="4" w:space="0" w:color="000000"/>
              <w:right w:val="single" w:sz="4" w:space="0" w:color="000000"/>
            </w:tcBorders>
            <w:shd w:val="clear" w:color="auto" w:fill="auto"/>
            <w:noWrap/>
            <w:vAlign w:val="center"/>
            <w:hideMark/>
          </w:tcPr>
          <w:p w14:paraId="057194DA" w14:textId="7B61DA8F"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0.037</w:t>
            </w:r>
          </w:p>
        </w:tc>
      </w:tr>
      <w:tr w:rsidR="00582AB4" w:rsidRPr="00A43015" w14:paraId="539748AD"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6E85B366" w14:textId="4E2333B5" w:rsidR="00582AB4" w:rsidRPr="00A43015" w:rsidRDefault="00582AB4" w:rsidP="00582AB4">
            <w:pPr>
              <w:jc w:val="right"/>
              <w:rPr>
                <w:rFonts w:ascii="Arial" w:eastAsia="Times New Roman" w:hAnsi="Arial" w:cs="Arial"/>
                <w:color w:val="000000"/>
                <w:sz w:val="22"/>
                <w:szCs w:val="22"/>
              </w:rPr>
            </w:pPr>
            <w:proofErr w:type="spellStart"/>
            <w:r>
              <w:rPr>
                <w:rFonts w:ascii="Arial" w:eastAsia="Times New Roman" w:hAnsi="Arial" w:cs="Arial"/>
                <w:color w:val="000000"/>
                <w:sz w:val="22"/>
                <w:szCs w:val="22"/>
              </w:rPr>
              <w:t>Edoxaban</w:t>
            </w:r>
            <w:proofErr w:type="spellEnd"/>
            <w:r>
              <w:rPr>
                <w:rFonts w:ascii="Arial" w:eastAsia="Times New Roman" w:hAnsi="Arial" w:cs="Arial"/>
                <w:color w:val="000000"/>
                <w:sz w:val="22"/>
                <w:szCs w:val="22"/>
              </w:rPr>
              <w:t>; n (%)</w:t>
            </w:r>
          </w:p>
        </w:tc>
        <w:tc>
          <w:tcPr>
            <w:tcW w:w="1710" w:type="dxa"/>
            <w:tcBorders>
              <w:top w:val="nil"/>
              <w:left w:val="nil"/>
              <w:bottom w:val="single" w:sz="4" w:space="0" w:color="000000"/>
              <w:right w:val="single" w:sz="4" w:space="0" w:color="000000"/>
            </w:tcBorders>
            <w:shd w:val="clear" w:color="auto" w:fill="auto"/>
            <w:noWrap/>
            <w:vAlign w:val="center"/>
            <w:hideMark/>
          </w:tcPr>
          <w:p w14:paraId="1A405248" w14:textId="6FAF86E9"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17 (0.21%)</w:t>
            </w:r>
          </w:p>
        </w:tc>
        <w:tc>
          <w:tcPr>
            <w:tcW w:w="1620" w:type="dxa"/>
            <w:tcBorders>
              <w:top w:val="nil"/>
              <w:left w:val="nil"/>
              <w:bottom w:val="single" w:sz="4" w:space="0" w:color="000000"/>
              <w:right w:val="single" w:sz="4" w:space="0" w:color="000000"/>
            </w:tcBorders>
            <w:shd w:val="clear" w:color="auto" w:fill="auto"/>
            <w:noWrap/>
            <w:vAlign w:val="center"/>
            <w:hideMark/>
          </w:tcPr>
          <w:p w14:paraId="30A1624F" w14:textId="54F65DDB"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6 (0.19%)</w:t>
            </w:r>
          </w:p>
        </w:tc>
        <w:tc>
          <w:tcPr>
            <w:tcW w:w="1620" w:type="dxa"/>
            <w:tcBorders>
              <w:top w:val="nil"/>
              <w:left w:val="nil"/>
              <w:bottom w:val="single" w:sz="4" w:space="0" w:color="000000"/>
              <w:right w:val="single" w:sz="4" w:space="0" w:color="000000"/>
            </w:tcBorders>
            <w:shd w:val="clear" w:color="auto" w:fill="auto"/>
            <w:noWrap/>
            <w:vAlign w:val="center"/>
            <w:hideMark/>
          </w:tcPr>
          <w:p w14:paraId="3A45357C" w14:textId="4066399C"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0.003</w:t>
            </w:r>
          </w:p>
        </w:tc>
        <w:tc>
          <w:tcPr>
            <w:tcW w:w="1620" w:type="dxa"/>
            <w:tcBorders>
              <w:top w:val="nil"/>
              <w:left w:val="nil"/>
              <w:bottom w:val="single" w:sz="4" w:space="0" w:color="000000"/>
              <w:right w:val="single" w:sz="4" w:space="0" w:color="000000"/>
            </w:tcBorders>
            <w:shd w:val="clear" w:color="auto" w:fill="auto"/>
            <w:noWrap/>
            <w:vAlign w:val="center"/>
            <w:hideMark/>
          </w:tcPr>
          <w:p w14:paraId="0C21A626" w14:textId="68261BC9"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11 (0.35%)</w:t>
            </w:r>
          </w:p>
        </w:tc>
        <w:tc>
          <w:tcPr>
            <w:tcW w:w="1620" w:type="dxa"/>
            <w:tcBorders>
              <w:top w:val="nil"/>
              <w:left w:val="nil"/>
              <w:bottom w:val="single" w:sz="4" w:space="0" w:color="000000"/>
              <w:right w:val="single" w:sz="4" w:space="0" w:color="000000"/>
            </w:tcBorders>
            <w:shd w:val="clear" w:color="auto" w:fill="auto"/>
            <w:noWrap/>
            <w:vAlign w:val="center"/>
            <w:hideMark/>
          </w:tcPr>
          <w:p w14:paraId="01EFB9F4" w14:textId="691AA195"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6 (0.19%)</w:t>
            </w:r>
          </w:p>
        </w:tc>
        <w:tc>
          <w:tcPr>
            <w:tcW w:w="1598" w:type="dxa"/>
            <w:tcBorders>
              <w:top w:val="nil"/>
              <w:left w:val="nil"/>
              <w:bottom w:val="single" w:sz="4" w:space="0" w:color="000000"/>
              <w:right w:val="single" w:sz="4" w:space="0" w:color="000000"/>
            </w:tcBorders>
            <w:shd w:val="clear" w:color="auto" w:fill="auto"/>
            <w:noWrap/>
            <w:vAlign w:val="center"/>
            <w:hideMark/>
          </w:tcPr>
          <w:p w14:paraId="64BD7751" w14:textId="7E8F10B3"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0.031</w:t>
            </w:r>
          </w:p>
        </w:tc>
      </w:tr>
      <w:tr w:rsidR="00582AB4" w:rsidRPr="00A43015" w14:paraId="2DA789DD"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6BA06268" w14:textId="6787C7E7" w:rsidR="00582AB4" w:rsidRPr="00A43015" w:rsidRDefault="00582AB4" w:rsidP="00582AB4">
            <w:pPr>
              <w:jc w:val="right"/>
              <w:rPr>
                <w:rFonts w:ascii="Arial" w:eastAsia="Times New Roman" w:hAnsi="Arial" w:cs="Arial"/>
                <w:color w:val="000000"/>
                <w:sz w:val="22"/>
                <w:szCs w:val="22"/>
              </w:rPr>
            </w:pPr>
            <w:r>
              <w:rPr>
                <w:rFonts w:ascii="Arial" w:eastAsia="Times New Roman" w:hAnsi="Arial" w:cs="Arial"/>
                <w:color w:val="000000"/>
                <w:sz w:val="22"/>
                <w:szCs w:val="22"/>
              </w:rPr>
              <w:t>Rivaroxaban; n (%)</w:t>
            </w:r>
          </w:p>
        </w:tc>
        <w:tc>
          <w:tcPr>
            <w:tcW w:w="1710" w:type="dxa"/>
            <w:tcBorders>
              <w:top w:val="nil"/>
              <w:left w:val="nil"/>
              <w:bottom w:val="single" w:sz="4" w:space="0" w:color="000000"/>
              <w:right w:val="single" w:sz="4" w:space="0" w:color="000000"/>
            </w:tcBorders>
            <w:shd w:val="clear" w:color="auto" w:fill="auto"/>
            <w:noWrap/>
            <w:vAlign w:val="center"/>
            <w:hideMark/>
          </w:tcPr>
          <w:p w14:paraId="02EC116B" w14:textId="60626756"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723 (8.8%)</w:t>
            </w:r>
          </w:p>
        </w:tc>
        <w:tc>
          <w:tcPr>
            <w:tcW w:w="1620" w:type="dxa"/>
            <w:tcBorders>
              <w:top w:val="nil"/>
              <w:left w:val="nil"/>
              <w:bottom w:val="single" w:sz="4" w:space="0" w:color="000000"/>
              <w:right w:val="single" w:sz="4" w:space="0" w:color="000000"/>
            </w:tcBorders>
            <w:shd w:val="clear" w:color="auto" w:fill="auto"/>
            <w:noWrap/>
            <w:vAlign w:val="center"/>
            <w:hideMark/>
          </w:tcPr>
          <w:p w14:paraId="3564DD0F" w14:textId="74748064"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342 (11.0%)</w:t>
            </w:r>
          </w:p>
        </w:tc>
        <w:tc>
          <w:tcPr>
            <w:tcW w:w="1620" w:type="dxa"/>
            <w:tcBorders>
              <w:top w:val="nil"/>
              <w:left w:val="nil"/>
              <w:bottom w:val="single" w:sz="4" w:space="0" w:color="000000"/>
              <w:right w:val="single" w:sz="4" w:space="0" w:color="000000"/>
            </w:tcBorders>
            <w:shd w:val="clear" w:color="auto" w:fill="auto"/>
            <w:noWrap/>
            <w:vAlign w:val="center"/>
            <w:hideMark/>
          </w:tcPr>
          <w:p w14:paraId="79816236" w14:textId="09BB4C7A"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0.073</w:t>
            </w:r>
          </w:p>
        </w:tc>
        <w:tc>
          <w:tcPr>
            <w:tcW w:w="1620" w:type="dxa"/>
            <w:tcBorders>
              <w:top w:val="nil"/>
              <w:left w:val="nil"/>
              <w:bottom w:val="single" w:sz="4" w:space="0" w:color="000000"/>
              <w:right w:val="single" w:sz="4" w:space="0" w:color="000000"/>
            </w:tcBorders>
            <w:shd w:val="clear" w:color="auto" w:fill="auto"/>
            <w:noWrap/>
            <w:vAlign w:val="center"/>
            <w:hideMark/>
          </w:tcPr>
          <w:p w14:paraId="73A1B9AF" w14:textId="2C15F316"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314 (10.1%)</w:t>
            </w:r>
          </w:p>
        </w:tc>
        <w:tc>
          <w:tcPr>
            <w:tcW w:w="1620" w:type="dxa"/>
            <w:tcBorders>
              <w:top w:val="nil"/>
              <w:left w:val="nil"/>
              <w:bottom w:val="single" w:sz="4" w:space="0" w:color="000000"/>
              <w:right w:val="single" w:sz="4" w:space="0" w:color="000000"/>
            </w:tcBorders>
            <w:shd w:val="clear" w:color="auto" w:fill="auto"/>
            <w:noWrap/>
            <w:vAlign w:val="center"/>
            <w:hideMark/>
          </w:tcPr>
          <w:p w14:paraId="1E5D6962" w14:textId="7356429E"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342 (11.0%)</w:t>
            </w:r>
          </w:p>
        </w:tc>
        <w:tc>
          <w:tcPr>
            <w:tcW w:w="1598" w:type="dxa"/>
            <w:tcBorders>
              <w:top w:val="nil"/>
              <w:left w:val="nil"/>
              <w:bottom w:val="single" w:sz="4" w:space="0" w:color="000000"/>
              <w:right w:val="single" w:sz="4" w:space="0" w:color="000000"/>
            </w:tcBorders>
            <w:shd w:val="clear" w:color="auto" w:fill="auto"/>
            <w:noWrap/>
            <w:vAlign w:val="center"/>
            <w:hideMark/>
          </w:tcPr>
          <w:p w14:paraId="00A0A35B" w14:textId="643C94D4"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0.029</w:t>
            </w:r>
          </w:p>
        </w:tc>
      </w:tr>
      <w:tr w:rsidR="00582AB4" w:rsidRPr="00A43015" w14:paraId="73106CDE" w14:textId="77777777" w:rsidTr="00582AB4">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4B79D8D8" w14:textId="748627EC" w:rsidR="00582AB4" w:rsidRPr="00A43015" w:rsidRDefault="00582AB4" w:rsidP="00582AB4">
            <w:pPr>
              <w:jc w:val="right"/>
              <w:rPr>
                <w:rFonts w:ascii="Arial" w:eastAsia="Times New Roman" w:hAnsi="Arial" w:cs="Arial"/>
                <w:color w:val="000000"/>
                <w:sz w:val="22"/>
                <w:szCs w:val="22"/>
              </w:rPr>
            </w:pPr>
            <w:r>
              <w:rPr>
                <w:rFonts w:ascii="Arial" w:eastAsia="Times New Roman" w:hAnsi="Arial" w:cs="Arial"/>
                <w:color w:val="000000"/>
                <w:sz w:val="22"/>
                <w:szCs w:val="22"/>
              </w:rPr>
              <w:t>Warfarin; n (%)</w:t>
            </w:r>
          </w:p>
        </w:tc>
        <w:tc>
          <w:tcPr>
            <w:tcW w:w="1710" w:type="dxa"/>
            <w:tcBorders>
              <w:top w:val="nil"/>
              <w:left w:val="nil"/>
              <w:bottom w:val="single" w:sz="4" w:space="0" w:color="000000"/>
              <w:right w:val="single" w:sz="4" w:space="0" w:color="000000"/>
            </w:tcBorders>
            <w:shd w:val="clear" w:color="auto" w:fill="auto"/>
            <w:noWrap/>
            <w:vAlign w:val="center"/>
            <w:hideMark/>
          </w:tcPr>
          <w:p w14:paraId="1C80AED0" w14:textId="4AF23950"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1,611 (19.7%)</w:t>
            </w:r>
          </w:p>
        </w:tc>
        <w:tc>
          <w:tcPr>
            <w:tcW w:w="1620" w:type="dxa"/>
            <w:tcBorders>
              <w:top w:val="nil"/>
              <w:left w:val="nil"/>
              <w:bottom w:val="single" w:sz="4" w:space="0" w:color="000000"/>
              <w:right w:val="single" w:sz="4" w:space="0" w:color="000000"/>
            </w:tcBorders>
            <w:shd w:val="clear" w:color="auto" w:fill="auto"/>
            <w:noWrap/>
            <w:vAlign w:val="center"/>
            <w:hideMark/>
          </w:tcPr>
          <w:p w14:paraId="0FBF1AF6" w14:textId="54E3FE1C"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421 (13.6%)</w:t>
            </w:r>
          </w:p>
        </w:tc>
        <w:tc>
          <w:tcPr>
            <w:tcW w:w="1620" w:type="dxa"/>
            <w:tcBorders>
              <w:top w:val="nil"/>
              <w:left w:val="nil"/>
              <w:bottom w:val="single" w:sz="4" w:space="0" w:color="000000"/>
              <w:right w:val="single" w:sz="4" w:space="0" w:color="000000"/>
            </w:tcBorders>
            <w:shd w:val="clear" w:color="auto" w:fill="auto"/>
            <w:noWrap/>
            <w:vAlign w:val="center"/>
            <w:hideMark/>
          </w:tcPr>
          <w:p w14:paraId="317A0817" w14:textId="72DCD6C7"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b/>
                <w:bCs/>
                <w:sz w:val="22"/>
                <w:szCs w:val="22"/>
              </w:rPr>
              <w:t>0.165</w:t>
            </w:r>
          </w:p>
        </w:tc>
        <w:tc>
          <w:tcPr>
            <w:tcW w:w="1620" w:type="dxa"/>
            <w:tcBorders>
              <w:top w:val="nil"/>
              <w:left w:val="nil"/>
              <w:bottom w:val="single" w:sz="4" w:space="0" w:color="000000"/>
              <w:right w:val="single" w:sz="4" w:space="0" w:color="000000"/>
            </w:tcBorders>
            <w:shd w:val="clear" w:color="auto" w:fill="auto"/>
            <w:noWrap/>
            <w:vAlign w:val="center"/>
            <w:hideMark/>
          </w:tcPr>
          <w:p w14:paraId="31952117" w14:textId="3636C12A"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560 (18.0%)</w:t>
            </w:r>
          </w:p>
        </w:tc>
        <w:tc>
          <w:tcPr>
            <w:tcW w:w="1620" w:type="dxa"/>
            <w:tcBorders>
              <w:top w:val="nil"/>
              <w:left w:val="nil"/>
              <w:bottom w:val="single" w:sz="4" w:space="0" w:color="000000"/>
              <w:right w:val="single" w:sz="4" w:space="0" w:color="000000"/>
            </w:tcBorders>
            <w:shd w:val="clear" w:color="auto" w:fill="auto"/>
            <w:noWrap/>
            <w:vAlign w:val="center"/>
            <w:hideMark/>
          </w:tcPr>
          <w:p w14:paraId="412334D0" w14:textId="42264B79" w:rsidR="00582AB4" w:rsidRPr="00A43015" w:rsidRDefault="00582AB4" w:rsidP="00582AB4">
            <w:pPr>
              <w:jc w:val="center"/>
              <w:rPr>
                <w:rFonts w:ascii="Arial" w:eastAsia="Times New Roman" w:hAnsi="Arial" w:cs="Arial"/>
                <w:color w:val="000000"/>
                <w:sz w:val="22"/>
                <w:szCs w:val="22"/>
              </w:rPr>
            </w:pPr>
            <w:r w:rsidRPr="00402EEE">
              <w:rPr>
                <w:rFonts w:ascii="Arial" w:hAnsi="Arial" w:cs="Arial"/>
                <w:sz w:val="22"/>
                <w:szCs w:val="22"/>
              </w:rPr>
              <w:t>421 (13.6%)</w:t>
            </w:r>
          </w:p>
        </w:tc>
        <w:tc>
          <w:tcPr>
            <w:tcW w:w="1598" w:type="dxa"/>
            <w:tcBorders>
              <w:top w:val="nil"/>
              <w:left w:val="nil"/>
              <w:bottom w:val="single" w:sz="4" w:space="0" w:color="000000"/>
              <w:right w:val="single" w:sz="4" w:space="0" w:color="000000"/>
            </w:tcBorders>
            <w:shd w:val="clear" w:color="auto" w:fill="auto"/>
            <w:noWrap/>
            <w:vAlign w:val="center"/>
            <w:hideMark/>
          </w:tcPr>
          <w:p w14:paraId="7EADF802" w14:textId="3A15AAA9" w:rsidR="00582AB4" w:rsidRPr="00582AB4" w:rsidRDefault="00582AB4" w:rsidP="00582AB4">
            <w:pPr>
              <w:jc w:val="center"/>
              <w:rPr>
                <w:rFonts w:ascii="Arial" w:eastAsia="Times New Roman" w:hAnsi="Arial" w:cs="Arial"/>
                <w:b/>
                <w:bCs/>
                <w:color w:val="000000"/>
                <w:sz w:val="22"/>
                <w:szCs w:val="22"/>
              </w:rPr>
            </w:pPr>
            <w:r w:rsidRPr="00582AB4">
              <w:rPr>
                <w:rFonts w:ascii="Arial" w:hAnsi="Arial" w:cs="Arial"/>
                <w:b/>
                <w:bCs/>
                <w:sz w:val="22"/>
                <w:szCs w:val="22"/>
              </w:rPr>
              <w:t>0.123</w:t>
            </w:r>
          </w:p>
        </w:tc>
      </w:tr>
      <w:tr w:rsidR="00582AB4" w:rsidRPr="00A43015" w14:paraId="79BFBB1A"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tcPr>
          <w:p w14:paraId="100526ED" w14:textId="77777777" w:rsidR="00582AB4" w:rsidRPr="00A43015" w:rsidRDefault="00582AB4" w:rsidP="00B110EB">
            <w:pPr>
              <w:rPr>
                <w:rFonts w:ascii="Arial" w:eastAsia="Times New Roman" w:hAnsi="Arial" w:cs="Arial"/>
                <w:color w:val="000000"/>
                <w:sz w:val="22"/>
                <w:szCs w:val="22"/>
              </w:rPr>
            </w:pPr>
          </w:p>
        </w:tc>
        <w:tc>
          <w:tcPr>
            <w:tcW w:w="1710" w:type="dxa"/>
            <w:tcBorders>
              <w:top w:val="nil"/>
              <w:left w:val="nil"/>
              <w:bottom w:val="single" w:sz="4" w:space="0" w:color="000000"/>
              <w:right w:val="single" w:sz="4" w:space="0" w:color="000000"/>
            </w:tcBorders>
            <w:shd w:val="clear" w:color="auto" w:fill="auto"/>
            <w:noWrap/>
            <w:vAlign w:val="center"/>
          </w:tcPr>
          <w:p w14:paraId="30B30174" w14:textId="77777777" w:rsidR="00582AB4" w:rsidRPr="00A43015" w:rsidRDefault="00582AB4" w:rsidP="00B110EB">
            <w:pPr>
              <w:jc w:val="cente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tcPr>
          <w:p w14:paraId="5E4B9130" w14:textId="77777777" w:rsidR="00582AB4" w:rsidRPr="00A43015" w:rsidRDefault="00582AB4" w:rsidP="00B110EB">
            <w:pPr>
              <w:jc w:val="cente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tcPr>
          <w:p w14:paraId="140DB44F" w14:textId="77777777" w:rsidR="00582AB4" w:rsidRPr="00A43015" w:rsidRDefault="00582AB4" w:rsidP="00B110EB">
            <w:pPr>
              <w:jc w:val="cente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tcPr>
          <w:p w14:paraId="6CCAF451" w14:textId="77777777" w:rsidR="00582AB4" w:rsidRPr="00A43015" w:rsidRDefault="00582AB4" w:rsidP="00B110EB">
            <w:pPr>
              <w:jc w:val="center"/>
              <w:rPr>
                <w:rFonts w:ascii="Arial" w:eastAsia="Times New Roman" w:hAnsi="Arial" w:cs="Arial"/>
                <w:color w:val="000000"/>
                <w:sz w:val="22"/>
                <w:szCs w:val="22"/>
              </w:rPr>
            </w:pPr>
          </w:p>
        </w:tc>
        <w:tc>
          <w:tcPr>
            <w:tcW w:w="1620" w:type="dxa"/>
            <w:tcBorders>
              <w:top w:val="nil"/>
              <w:left w:val="nil"/>
              <w:bottom w:val="single" w:sz="4" w:space="0" w:color="000000"/>
              <w:right w:val="single" w:sz="4" w:space="0" w:color="000000"/>
            </w:tcBorders>
            <w:shd w:val="clear" w:color="auto" w:fill="auto"/>
            <w:noWrap/>
            <w:vAlign w:val="center"/>
          </w:tcPr>
          <w:p w14:paraId="410BBB6A" w14:textId="77777777" w:rsidR="00582AB4" w:rsidRPr="00A43015" w:rsidRDefault="00582AB4" w:rsidP="00B110EB">
            <w:pPr>
              <w:jc w:val="center"/>
              <w:rPr>
                <w:rFonts w:ascii="Arial" w:eastAsia="Times New Roman" w:hAnsi="Arial" w:cs="Arial"/>
                <w:color w:val="000000"/>
                <w:sz w:val="22"/>
                <w:szCs w:val="22"/>
              </w:rPr>
            </w:pPr>
          </w:p>
        </w:tc>
        <w:tc>
          <w:tcPr>
            <w:tcW w:w="1598" w:type="dxa"/>
            <w:tcBorders>
              <w:top w:val="nil"/>
              <w:left w:val="nil"/>
              <w:bottom w:val="single" w:sz="4" w:space="0" w:color="000000"/>
              <w:right w:val="single" w:sz="4" w:space="0" w:color="000000"/>
            </w:tcBorders>
            <w:shd w:val="clear" w:color="auto" w:fill="auto"/>
            <w:noWrap/>
            <w:vAlign w:val="center"/>
          </w:tcPr>
          <w:p w14:paraId="7A21B23D" w14:textId="77777777" w:rsidR="00582AB4" w:rsidRPr="00A43015" w:rsidRDefault="00582AB4" w:rsidP="00B110EB">
            <w:pPr>
              <w:jc w:val="center"/>
              <w:rPr>
                <w:rFonts w:ascii="Arial" w:eastAsia="Times New Roman" w:hAnsi="Arial" w:cs="Arial"/>
                <w:color w:val="000000"/>
                <w:sz w:val="22"/>
                <w:szCs w:val="22"/>
              </w:rPr>
            </w:pPr>
          </w:p>
        </w:tc>
      </w:tr>
      <w:tr w:rsidR="002C5301" w:rsidRPr="00A43015" w14:paraId="6F0329E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B63326A"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Digoxin; n (%)</w:t>
            </w:r>
          </w:p>
        </w:tc>
        <w:tc>
          <w:tcPr>
            <w:tcW w:w="1710" w:type="dxa"/>
            <w:tcBorders>
              <w:top w:val="nil"/>
              <w:left w:val="nil"/>
              <w:bottom w:val="single" w:sz="4" w:space="0" w:color="000000"/>
              <w:right w:val="single" w:sz="4" w:space="0" w:color="000000"/>
            </w:tcBorders>
            <w:shd w:val="clear" w:color="auto" w:fill="auto"/>
            <w:noWrap/>
            <w:vAlign w:val="center"/>
            <w:hideMark/>
          </w:tcPr>
          <w:p w14:paraId="3791DFD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465 (5.7%)</w:t>
            </w:r>
          </w:p>
        </w:tc>
        <w:tc>
          <w:tcPr>
            <w:tcW w:w="1620" w:type="dxa"/>
            <w:tcBorders>
              <w:top w:val="nil"/>
              <w:left w:val="nil"/>
              <w:bottom w:val="single" w:sz="4" w:space="0" w:color="000000"/>
              <w:right w:val="single" w:sz="4" w:space="0" w:color="000000"/>
            </w:tcBorders>
            <w:shd w:val="clear" w:color="auto" w:fill="auto"/>
            <w:noWrap/>
            <w:vAlign w:val="center"/>
            <w:hideMark/>
          </w:tcPr>
          <w:p w14:paraId="7244A14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132 (4.3%)</w:t>
            </w:r>
          </w:p>
        </w:tc>
        <w:tc>
          <w:tcPr>
            <w:tcW w:w="1620" w:type="dxa"/>
            <w:tcBorders>
              <w:top w:val="nil"/>
              <w:left w:val="nil"/>
              <w:bottom w:val="single" w:sz="4" w:space="0" w:color="000000"/>
              <w:right w:val="single" w:sz="4" w:space="0" w:color="000000"/>
            </w:tcBorders>
            <w:shd w:val="clear" w:color="auto" w:fill="auto"/>
            <w:noWrap/>
            <w:vAlign w:val="center"/>
            <w:hideMark/>
          </w:tcPr>
          <w:p w14:paraId="4DEB214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0.066</w:t>
            </w:r>
          </w:p>
        </w:tc>
        <w:tc>
          <w:tcPr>
            <w:tcW w:w="1620" w:type="dxa"/>
            <w:tcBorders>
              <w:top w:val="nil"/>
              <w:left w:val="nil"/>
              <w:bottom w:val="single" w:sz="4" w:space="0" w:color="000000"/>
              <w:right w:val="single" w:sz="4" w:space="0" w:color="000000"/>
            </w:tcBorders>
            <w:shd w:val="clear" w:color="auto" w:fill="auto"/>
            <w:noWrap/>
            <w:vAlign w:val="center"/>
            <w:hideMark/>
          </w:tcPr>
          <w:p w14:paraId="506801D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148 (4.8%)</w:t>
            </w:r>
          </w:p>
        </w:tc>
        <w:tc>
          <w:tcPr>
            <w:tcW w:w="1620" w:type="dxa"/>
            <w:tcBorders>
              <w:top w:val="nil"/>
              <w:left w:val="nil"/>
              <w:bottom w:val="single" w:sz="4" w:space="0" w:color="000000"/>
              <w:right w:val="single" w:sz="4" w:space="0" w:color="000000"/>
            </w:tcBorders>
            <w:shd w:val="clear" w:color="auto" w:fill="auto"/>
            <w:noWrap/>
            <w:vAlign w:val="center"/>
            <w:hideMark/>
          </w:tcPr>
          <w:p w14:paraId="411BBAF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132 (4.3%)</w:t>
            </w:r>
          </w:p>
        </w:tc>
        <w:tc>
          <w:tcPr>
            <w:tcW w:w="1598" w:type="dxa"/>
            <w:tcBorders>
              <w:top w:val="nil"/>
              <w:left w:val="nil"/>
              <w:bottom w:val="single" w:sz="4" w:space="0" w:color="000000"/>
              <w:right w:val="single" w:sz="4" w:space="0" w:color="000000"/>
            </w:tcBorders>
            <w:shd w:val="clear" w:color="auto" w:fill="auto"/>
            <w:noWrap/>
            <w:vAlign w:val="center"/>
            <w:hideMark/>
          </w:tcPr>
          <w:p w14:paraId="5FE1A85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0.025</w:t>
            </w:r>
          </w:p>
        </w:tc>
      </w:tr>
      <w:tr w:rsidR="002C5301" w:rsidRPr="00A43015" w14:paraId="608E3E79"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76B742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Beta-blockers; n (%)</w:t>
            </w:r>
          </w:p>
        </w:tc>
        <w:tc>
          <w:tcPr>
            <w:tcW w:w="1710" w:type="dxa"/>
            <w:tcBorders>
              <w:top w:val="nil"/>
              <w:left w:val="nil"/>
              <w:bottom w:val="single" w:sz="4" w:space="0" w:color="000000"/>
              <w:right w:val="single" w:sz="4" w:space="0" w:color="000000"/>
            </w:tcBorders>
            <w:shd w:val="clear" w:color="auto" w:fill="auto"/>
            <w:noWrap/>
            <w:vAlign w:val="center"/>
            <w:hideMark/>
          </w:tcPr>
          <w:p w14:paraId="205327E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3,897 (47.6%)</w:t>
            </w:r>
          </w:p>
        </w:tc>
        <w:tc>
          <w:tcPr>
            <w:tcW w:w="1620" w:type="dxa"/>
            <w:tcBorders>
              <w:top w:val="nil"/>
              <w:left w:val="nil"/>
              <w:bottom w:val="single" w:sz="4" w:space="0" w:color="000000"/>
              <w:right w:val="single" w:sz="4" w:space="0" w:color="000000"/>
            </w:tcBorders>
            <w:shd w:val="clear" w:color="auto" w:fill="auto"/>
            <w:noWrap/>
            <w:vAlign w:val="center"/>
            <w:hideMark/>
          </w:tcPr>
          <w:p w14:paraId="312D88F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1,531 (49.3%)</w:t>
            </w:r>
          </w:p>
        </w:tc>
        <w:tc>
          <w:tcPr>
            <w:tcW w:w="1620" w:type="dxa"/>
            <w:tcBorders>
              <w:top w:val="nil"/>
              <w:left w:val="nil"/>
              <w:bottom w:val="single" w:sz="4" w:space="0" w:color="000000"/>
              <w:right w:val="single" w:sz="4" w:space="0" w:color="000000"/>
            </w:tcBorders>
            <w:shd w:val="clear" w:color="auto" w:fill="auto"/>
            <w:noWrap/>
            <w:vAlign w:val="center"/>
            <w:hideMark/>
          </w:tcPr>
          <w:p w14:paraId="3AEBC48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0.034</w:t>
            </w:r>
          </w:p>
        </w:tc>
        <w:tc>
          <w:tcPr>
            <w:tcW w:w="1620" w:type="dxa"/>
            <w:tcBorders>
              <w:top w:val="nil"/>
              <w:left w:val="nil"/>
              <w:bottom w:val="single" w:sz="4" w:space="0" w:color="000000"/>
              <w:right w:val="single" w:sz="4" w:space="0" w:color="000000"/>
            </w:tcBorders>
            <w:shd w:val="clear" w:color="auto" w:fill="auto"/>
            <w:noWrap/>
            <w:vAlign w:val="center"/>
            <w:hideMark/>
          </w:tcPr>
          <w:p w14:paraId="01DFE26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1,506 (48.5%)</w:t>
            </w:r>
          </w:p>
        </w:tc>
        <w:tc>
          <w:tcPr>
            <w:tcW w:w="1620" w:type="dxa"/>
            <w:tcBorders>
              <w:top w:val="nil"/>
              <w:left w:val="nil"/>
              <w:bottom w:val="single" w:sz="4" w:space="0" w:color="000000"/>
              <w:right w:val="single" w:sz="4" w:space="0" w:color="000000"/>
            </w:tcBorders>
            <w:shd w:val="clear" w:color="auto" w:fill="auto"/>
            <w:noWrap/>
            <w:vAlign w:val="center"/>
            <w:hideMark/>
          </w:tcPr>
          <w:p w14:paraId="04FDAEC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1,531 (49.3%)</w:t>
            </w:r>
          </w:p>
        </w:tc>
        <w:tc>
          <w:tcPr>
            <w:tcW w:w="1598" w:type="dxa"/>
            <w:tcBorders>
              <w:top w:val="nil"/>
              <w:left w:val="nil"/>
              <w:bottom w:val="single" w:sz="4" w:space="0" w:color="000000"/>
              <w:right w:val="single" w:sz="4" w:space="0" w:color="000000"/>
            </w:tcBorders>
            <w:shd w:val="clear" w:color="auto" w:fill="auto"/>
            <w:noWrap/>
            <w:vAlign w:val="center"/>
            <w:hideMark/>
          </w:tcPr>
          <w:p w14:paraId="13272A4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0.016</w:t>
            </w:r>
          </w:p>
        </w:tc>
      </w:tr>
      <w:tr w:rsidR="002C5301" w:rsidRPr="00A43015" w14:paraId="23A3F39C"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4BFFA49A"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Calcium-channel blockers; n (%)</w:t>
            </w:r>
          </w:p>
        </w:tc>
        <w:tc>
          <w:tcPr>
            <w:tcW w:w="1710" w:type="dxa"/>
            <w:tcBorders>
              <w:top w:val="nil"/>
              <w:left w:val="nil"/>
              <w:bottom w:val="single" w:sz="4" w:space="0" w:color="000000"/>
              <w:right w:val="single" w:sz="4" w:space="0" w:color="000000"/>
            </w:tcBorders>
            <w:shd w:val="clear" w:color="auto" w:fill="auto"/>
            <w:noWrap/>
            <w:vAlign w:val="center"/>
            <w:hideMark/>
          </w:tcPr>
          <w:p w14:paraId="295A74A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2,354 (28.7%)</w:t>
            </w:r>
          </w:p>
        </w:tc>
        <w:tc>
          <w:tcPr>
            <w:tcW w:w="1620" w:type="dxa"/>
            <w:tcBorders>
              <w:top w:val="nil"/>
              <w:left w:val="nil"/>
              <w:bottom w:val="single" w:sz="4" w:space="0" w:color="000000"/>
              <w:right w:val="single" w:sz="4" w:space="0" w:color="000000"/>
            </w:tcBorders>
            <w:shd w:val="clear" w:color="auto" w:fill="auto"/>
            <w:noWrap/>
            <w:vAlign w:val="center"/>
            <w:hideMark/>
          </w:tcPr>
          <w:p w14:paraId="0E3AC454"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862 (27.8%)</w:t>
            </w:r>
          </w:p>
        </w:tc>
        <w:tc>
          <w:tcPr>
            <w:tcW w:w="1620" w:type="dxa"/>
            <w:tcBorders>
              <w:top w:val="nil"/>
              <w:left w:val="nil"/>
              <w:bottom w:val="single" w:sz="4" w:space="0" w:color="000000"/>
              <w:right w:val="single" w:sz="4" w:space="0" w:color="000000"/>
            </w:tcBorders>
            <w:shd w:val="clear" w:color="auto" w:fill="auto"/>
            <w:noWrap/>
            <w:vAlign w:val="center"/>
            <w:hideMark/>
          </w:tcPr>
          <w:p w14:paraId="7F8A75D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0.022</w:t>
            </w:r>
          </w:p>
        </w:tc>
        <w:tc>
          <w:tcPr>
            <w:tcW w:w="1620" w:type="dxa"/>
            <w:tcBorders>
              <w:top w:val="nil"/>
              <w:left w:val="nil"/>
              <w:bottom w:val="single" w:sz="4" w:space="0" w:color="000000"/>
              <w:right w:val="single" w:sz="4" w:space="0" w:color="000000"/>
            </w:tcBorders>
            <w:shd w:val="clear" w:color="auto" w:fill="auto"/>
            <w:noWrap/>
            <w:vAlign w:val="center"/>
            <w:hideMark/>
          </w:tcPr>
          <w:p w14:paraId="7DD6F90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875 (28.2%)</w:t>
            </w:r>
          </w:p>
        </w:tc>
        <w:tc>
          <w:tcPr>
            <w:tcW w:w="1620" w:type="dxa"/>
            <w:tcBorders>
              <w:top w:val="nil"/>
              <w:left w:val="nil"/>
              <w:bottom w:val="single" w:sz="4" w:space="0" w:color="000000"/>
              <w:right w:val="single" w:sz="4" w:space="0" w:color="000000"/>
            </w:tcBorders>
            <w:shd w:val="clear" w:color="auto" w:fill="auto"/>
            <w:noWrap/>
            <w:vAlign w:val="center"/>
            <w:hideMark/>
          </w:tcPr>
          <w:p w14:paraId="3B1CE94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862 (27.8%)</w:t>
            </w:r>
          </w:p>
        </w:tc>
        <w:tc>
          <w:tcPr>
            <w:tcW w:w="1598" w:type="dxa"/>
            <w:tcBorders>
              <w:top w:val="nil"/>
              <w:left w:val="nil"/>
              <w:bottom w:val="single" w:sz="4" w:space="0" w:color="000000"/>
              <w:right w:val="single" w:sz="4" w:space="0" w:color="000000"/>
            </w:tcBorders>
            <w:shd w:val="clear" w:color="auto" w:fill="auto"/>
            <w:noWrap/>
            <w:vAlign w:val="center"/>
            <w:hideMark/>
          </w:tcPr>
          <w:p w14:paraId="5F2EDB6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0.009</w:t>
            </w:r>
          </w:p>
        </w:tc>
      </w:tr>
      <w:tr w:rsidR="002C5301" w:rsidRPr="00A43015" w14:paraId="6E398407"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63C55E71"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Ezetimibe; n (%)</w:t>
            </w:r>
          </w:p>
        </w:tc>
        <w:tc>
          <w:tcPr>
            <w:tcW w:w="1710" w:type="dxa"/>
            <w:tcBorders>
              <w:top w:val="nil"/>
              <w:left w:val="nil"/>
              <w:bottom w:val="single" w:sz="4" w:space="0" w:color="000000"/>
              <w:right w:val="single" w:sz="4" w:space="0" w:color="000000"/>
            </w:tcBorders>
            <w:shd w:val="clear" w:color="auto" w:fill="auto"/>
            <w:noWrap/>
            <w:vAlign w:val="center"/>
            <w:hideMark/>
          </w:tcPr>
          <w:p w14:paraId="25C50CC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72 (0.9%)</w:t>
            </w:r>
          </w:p>
        </w:tc>
        <w:tc>
          <w:tcPr>
            <w:tcW w:w="1620" w:type="dxa"/>
            <w:tcBorders>
              <w:top w:val="nil"/>
              <w:left w:val="nil"/>
              <w:bottom w:val="single" w:sz="4" w:space="0" w:color="000000"/>
              <w:right w:val="single" w:sz="4" w:space="0" w:color="000000"/>
            </w:tcBorders>
            <w:shd w:val="clear" w:color="auto" w:fill="auto"/>
            <w:noWrap/>
            <w:vAlign w:val="center"/>
            <w:hideMark/>
          </w:tcPr>
          <w:p w14:paraId="13885EE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21 (0.7%)</w:t>
            </w:r>
          </w:p>
        </w:tc>
        <w:tc>
          <w:tcPr>
            <w:tcW w:w="1620" w:type="dxa"/>
            <w:tcBorders>
              <w:top w:val="nil"/>
              <w:left w:val="nil"/>
              <w:bottom w:val="single" w:sz="4" w:space="0" w:color="000000"/>
              <w:right w:val="single" w:sz="4" w:space="0" w:color="000000"/>
            </w:tcBorders>
            <w:shd w:val="clear" w:color="auto" w:fill="auto"/>
            <w:noWrap/>
            <w:vAlign w:val="center"/>
            <w:hideMark/>
          </w:tcPr>
          <w:p w14:paraId="71AD7C43"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0.023</w:t>
            </w:r>
          </w:p>
        </w:tc>
        <w:tc>
          <w:tcPr>
            <w:tcW w:w="1620" w:type="dxa"/>
            <w:tcBorders>
              <w:top w:val="nil"/>
              <w:left w:val="nil"/>
              <w:bottom w:val="single" w:sz="4" w:space="0" w:color="000000"/>
              <w:right w:val="single" w:sz="4" w:space="0" w:color="000000"/>
            </w:tcBorders>
            <w:shd w:val="clear" w:color="auto" w:fill="auto"/>
            <w:noWrap/>
            <w:vAlign w:val="center"/>
            <w:hideMark/>
          </w:tcPr>
          <w:p w14:paraId="278506F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25 (0.8%)</w:t>
            </w:r>
          </w:p>
        </w:tc>
        <w:tc>
          <w:tcPr>
            <w:tcW w:w="1620" w:type="dxa"/>
            <w:tcBorders>
              <w:top w:val="nil"/>
              <w:left w:val="nil"/>
              <w:bottom w:val="single" w:sz="4" w:space="0" w:color="000000"/>
              <w:right w:val="single" w:sz="4" w:space="0" w:color="000000"/>
            </w:tcBorders>
            <w:shd w:val="clear" w:color="auto" w:fill="auto"/>
            <w:noWrap/>
            <w:vAlign w:val="center"/>
            <w:hideMark/>
          </w:tcPr>
          <w:p w14:paraId="3568BF25"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21 (0.7%)</w:t>
            </w:r>
          </w:p>
        </w:tc>
        <w:tc>
          <w:tcPr>
            <w:tcW w:w="1598" w:type="dxa"/>
            <w:tcBorders>
              <w:top w:val="nil"/>
              <w:left w:val="nil"/>
              <w:bottom w:val="single" w:sz="4" w:space="0" w:color="000000"/>
              <w:right w:val="single" w:sz="4" w:space="0" w:color="000000"/>
            </w:tcBorders>
            <w:shd w:val="clear" w:color="auto" w:fill="auto"/>
            <w:noWrap/>
            <w:vAlign w:val="center"/>
            <w:hideMark/>
          </w:tcPr>
          <w:p w14:paraId="0E79B5A0"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0.015</w:t>
            </w:r>
          </w:p>
        </w:tc>
      </w:tr>
      <w:tr w:rsidR="002C5301" w:rsidRPr="00A43015" w14:paraId="06028CE3"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F8AF6A2"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Statins; n (%)</w:t>
            </w:r>
          </w:p>
        </w:tc>
        <w:tc>
          <w:tcPr>
            <w:tcW w:w="1710" w:type="dxa"/>
            <w:tcBorders>
              <w:top w:val="nil"/>
              <w:left w:val="nil"/>
              <w:bottom w:val="single" w:sz="4" w:space="0" w:color="000000"/>
              <w:right w:val="single" w:sz="4" w:space="0" w:color="000000"/>
            </w:tcBorders>
            <w:shd w:val="clear" w:color="auto" w:fill="auto"/>
            <w:noWrap/>
            <w:vAlign w:val="center"/>
            <w:hideMark/>
          </w:tcPr>
          <w:p w14:paraId="0124628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4,673 (57.1%)</w:t>
            </w:r>
          </w:p>
        </w:tc>
        <w:tc>
          <w:tcPr>
            <w:tcW w:w="1620" w:type="dxa"/>
            <w:tcBorders>
              <w:top w:val="nil"/>
              <w:left w:val="nil"/>
              <w:bottom w:val="single" w:sz="4" w:space="0" w:color="000000"/>
              <w:right w:val="single" w:sz="4" w:space="0" w:color="000000"/>
            </w:tcBorders>
            <w:shd w:val="clear" w:color="auto" w:fill="auto"/>
            <w:noWrap/>
            <w:vAlign w:val="center"/>
            <w:hideMark/>
          </w:tcPr>
          <w:p w14:paraId="6BE44E9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1,711 (55.1%)</w:t>
            </w:r>
          </w:p>
        </w:tc>
        <w:tc>
          <w:tcPr>
            <w:tcW w:w="1620" w:type="dxa"/>
            <w:tcBorders>
              <w:top w:val="nil"/>
              <w:left w:val="nil"/>
              <w:bottom w:val="single" w:sz="4" w:space="0" w:color="000000"/>
              <w:right w:val="single" w:sz="4" w:space="0" w:color="000000"/>
            </w:tcBorders>
            <w:shd w:val="clear" w:color="auto" w:fill="auto"/>
            <w:noWrap/>
            <w:vAlign w:val="center"/>
            <w:hideMark/>
          </w:tcPr>
          <w:p w14:paraId="30A82BF6"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0.04</w:t>
            </w:r>
          </w:p>
        </w:tc>
        <w:tc>
          <w:tcPr>
            <w:tcW w:w="1620" w:type="dxa"/>
            <w:tcBorders>
              <w:top w:val="nil"/>
              <w:left w:val="nil"/>
              <w:bottom w:val="single" w:sz="4" w:space="0" w:color="000000"/>
              <w:right w:val="single" w:sz="4" w:space="0" w:color="000000"/>
            </w:tcBorders>
            <w:shd w:val="clear" w:color="auto" w:fill="auto"/>
            <w:noWrap/>
            <w:vAlign w:val="center"/>
            <w:hideMark/>
          </w:tcPr>
          <w:p w14:paraId="3EAB3C6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1,721 (55.4%)</w:t>
            </w:r>
          </w:p>
        </w:tc>
        <w:tc>
          <w:tcPr>
            <w:tcW w:w="1620" w:type="dxa"/>
            <w:tcBorders>
              <w:top w:val="nil"/>
              <w:left w:val="nil"/>
              <w:bottom w:val="single" w:sz="4" w:space="0" w:color="000000"/>
              <w:right w:val="single" w:sz="4" w:space="0" w:color="000000"/>
            </w:tcBorders>
            <w:shd w:val="clear" w:color="auto" w:fill="auto"/>
            <w:noWrap/>
            <w:vAlign w:val="center"/>
            <w:hideMark/>
          </w:tcPr>
          <w:p w14:paraId="4A3A2D6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1,711 (55.1%)</w:t>
            </w:r>
          </w:p>
        </w:tc>
        <w:tc>
          <w:tcPr>
            <w:tcW w:w="1598" w:type="dxa"/>
            <w:tcBorders>
              <w:top w:val="nil"/>
              <w:left w:val="nil"/>
              <w:bottom w:val="single" w:sz="4" w:space="0" w:color="000000"/>
              <w:right w:val="single" w:sz="4" w:space="0" w:color="000000"/>
            </w:tcBorders>
            <w:shd w:val="clear" w:color="auto" w:fill="auto"/>
            <w:noWrap/>
            <w:vAlign w:val="center"/>
            <w:hideMark/>
          </w:tcPr>
          <w:p w14:paraId="34ED131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0.006</w:t>
            </w:r>
          </w:p>
        </w:tc>
      </w:tr>
      <w:tr w:rsidR="002C5301" w:rsidRPr="00A43015" w14:paraId="5C007A63"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2AE39C09" w14:textId="77777777"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PCSK9 inhibitor; n (%)</w:t>
            </w:r>
          </w:p>
        </w:tc>
        <w:tc>
          <w:tcPr>
            <w:tcW w:w="1710" w:type="dxa"/>
            <w:tcBorders>
              <w:top w:val="nil"/>
              <w:left w:val="nil"/>
              <w:bottom w:val="single" w:sz="4" w:space="0" w:color="000000"/>
              <w:right w:val="single" w:sz="4" w:space="0" w:color="000000"/>
            </w:tcBorders>
            <w:shd w:val="clear" w:color="auto" w:fill="auto"/>
            <w:noWrap/>
            <w:vAlign w:val="center"/>
            <w:hideMark/>
          </w:tcPr>
          <w:p w14:paraId="78E5C841"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5 (0.06%)</w:t>
            </w:r>
          </w:p>
        </w:tc>
        <w:tc>
          <w:tcPr>
            <w:tcW w:w="1620" w:type="dxa"/>
            <w:tcBorders>
              <w:top w:val="nil"/>
              <w:left w:val="nil"/>
              <w:bottom w:val="single" w:sz="4" w:space="0" w:color="000000"/>
              <w:right w:val="single" w:sz="4" w:space="0" w:color="000000"/>
            </w:tcBorders>
            <w:shd w:val="clear" w:color="auto" w:fill="auto"/>
            <w:noWrap/>
            <w:vAlign w:val="center"/>
            <w:hideMark/>
          </w:tcPr>
          <w:p w14:paraId="22404E4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 (0.03%)</w:t>
            </w:r>
          </w:p>
        </w:tc>
        <w:tc>
          <w:tcPr>
            <w:tcW w:w="1620" w:type="dxa"/>
            <w:tcBorders>
              <w:top w:val="nil"/>
              <w:left w:val="nil"/>
              <w:bottom w:val="single" w:sz="4" w:space="0" w:color="000000"/>
              <w:right w:val="single" w:sz="4" w:space="0" w:color="000000"/>
            </w:tcBorders>
            <w:shd w:val="clear" w:color="auto" w:fill="auto"/>
            <w:noWrap/>
            <w:vAlign w:val="center"/>
            <w:hideMark/>
          </w:tcPr>
          <w:p w14:paraId="18083D49"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0.001</w:t>
            </w:r>
          </w:p>
        </w:tc>
        <w:tc>
          <w:tcPr>
            <w:tcW w:w="1620" w:type="dxa"/>
            <w:tcBorders>
              <w:top w:val="nil"/>
              <w:left w:val="nil"/>
              <w:bottom w:val="single" w:sz="4" w:space="0" w:color="000000"/>
              <w:right w:val="single" w:sz="4" w:space="0" w:color="000000"/>
            </w:tcBorders>
            <w:shd w:val="clear" w:color="auto" w:fill="auto"/>
            <w:noWrap/>
            <w:vAlign w:val="center"/>
            <w:hideMark/>
          </w:tcPr>
          <w:p w14:paraId="0F23C92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 (0.03%)</w:t>
            </w:r>
          </w:p>
        </w:tc>
        <w:tc>
          <w:tcPr>
            <w:tcW w:w="1620" w:type="dxa"/>
            <w:tcBorders>
              <w:top w:val="nil"/>
              <w:left w:val="nil"/>
              <w:bottom w:val="single" w:sz="4" w:space="0" w:color="000000"/>
              <w:right w:val="single" w:sz="4" w:space="0" w:color="000000"/>
            </w:tcBorders>
            <w:shd w:val="clear" w:color="auto" w:fill="auto"/>
            <w:noWrap/>
            <w:vAlign w:val="center"/>
            <w:hideMark/>
          </w:tcPr>
          <w:p w14:paraId="6AE98AE7"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 (0.03%)</w:t>
            </w:r>
          </w:p>
        </w:tc>
        <w:tc>
          <w:tcPr>
            <w:tcW w:w="1598" w:type="dxa"/>
            <w:tcBorders>
              <w:top w:val="nil"/>
              <w:left w:val="nil"/>
              <w:bottom w:val="single" w:sz="4" w:space="0" w:color="000000"/>
              <w:right w:val="single" w:sz="4" w:space="0" w:color="000000"/>
            </w:tcBorders>
            <w:shd w:val="clear" w:color="auto" w:fill="auto"/>
            <w:noWrap/>
            <w:vAlign w:val="center"/>
            <w:hideMark/>
          </w:tcPr>
          <w:p w14:paraId="1C82ABAB"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w:t>
            </w:r>
          </w:p>
        </w:tc>
      </w:tr>
      <w:tr w:rsidR="002C5301" w:rsidRPr="00A43015" w14:paraId="723E99E5" w14:textId="77777777" w:rsidTr="007F4922">
        <w:trPr>
          <w:trHeight w:val="320"/>
        </w:trPr>
        <w:tc>
          <w:tcPr>
            <w:tcW w:w="2880" w:type="dxa"/>
            <w:tcBorders>
              <w:top w:val="nil"/>
              <w:left w:val="single" w:sz="4" w:space="0" w:color="000000"/>
              <w:bottom w:val="single" w:sz="4" w:space="0" w:color="000000"/>
              <w:right w:val="single" w:sz="4" w:space="0" w:color="000000"/>
            </w:tcBorders>
            <w:shd w:val="clear" w:color="FFFFFF" w:fill="FFFFFF"/>
            <w:vAlign w:val="center"/>
            <w:hideMark/>
          </w:tcPr>
          <w:p w14:paraId="19641BCF" w14:textId="2E9DF738" w:rsidR="002C5301" w:rsidRPr="00A43015" w:rsidRDefault="002C5301" w:rsidP="00B110EB">
            <w:pPr>
              <w:rPr>
                <w:rFonts w:ascii="Arial" w:eastAsia="Times New Roman" w:hAnsi="Arial" w:cs="Arial"/>
                <w:color w:val="000000"/>
                <w:sz w:val="22"/>
                <w:szCs w:val="22"/>
              </w:rPr>
            </w:pPr>
            <w:r w:rsidRPr="00A43015">
              <w:rPr>
                <w:rFonts w:ascii="Arial" w:eastAsia="Times New Roman" w:hAnsi="Arial" w:cs="Arial"/>
                <w:color w:val="000000"/>
                <w:sz w:val="22"/>
                <w:szCs w:val="22"/>
              </w:rPr>
              <w:t>Pulmonary medication</w:t>
            </w:r>
            <w:r w:rsidR="00582AB4">
              <w:rPr>
                <w:rFonts w:ascii="Arial" w:eastAsia="Times New Roman" w:hAnsi="Arial" w:cs="Arial"/>
                <w:color w:val="000000"/>
                <w:sz w:val="22"/>
                <w:szCs w:val="22"/>
              </w:rPr>
              <w:t>s</w:t>
            </w:r>
            <w:r w:rsidR="00582AB4" w:rsidRPr="00582AB4">
              <w:rPr>
                <w:rFonts w:ascii="Arial" w:hAnsi="Arial" w:cs="Arial"/>
                <w:b/>
                <w:bCs/>
                <w:sz w:val="22"/>
                <w:szCs w:val="22"/>
                <w:vertAlign w:val="superscript"/>
              </w:rPr>
              <w:t>†</w:t>
            </w:r>
            <w:r w:rsidRPr="00582AB4">
              <w:rPr>
                <w:rFonts w:ascii="Arial" w:eastAsia="Times New Roman" w:hAnsi="Arial" w:cs="Arial"/>
                <w:color w:val="000000"/>
                <w:sz w:val="22"/>
                <w:szCs w:val="22"/>
              </w:rPr>
              <w:t xml:space="preserve">; </w:t>
            </w:r>
            <w:r w:rsidRPr="00A43015">
              <w:rPr>
                <w:rFonts w:ascii="Arial" w:eastAsia="Times New Roman" w:hAnsi="Arial" w:cs="Arial"/>
                <w:color w:val="000000"/>
                <w:sz w:val="22"/>
                <w:szCs w:val="22"/>
              </w:rPr>
              <w:t>n (%)</w:t>
            </w:r>
          </w:p>
        </w:tc>
        <w:tc>
          <w:tcPr>
            <w:tcW w:w="1710" w:type="dxa"/>
            <w:tcBorders>
              <w:top w:val="nil"/>
              <w:left w:val="nil"/>
              <w:bottom w:val="single" w:sz="4" w:space="0" w:color="000000"/>
              <w:right w:val="single" w:sz="4" w:space="0" w:color="000000"/>
            </w:tcBorders>
            <w:shd w:val="clear" w:color="auto" w:fill="auto"/>
            <w:noWrap/>
            <w:vAlign w:val="center"/>
            <w:hideMark/>
          </w:tcPr>
          <w:p w14:paraId="308B80A2"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1,733 (21.2%)</w:t>
            </w:r>
          </w:p>
        </w:tc>
        <w:tc>
          <w:tcPr>
            <w:tcW w:w="1620" w:type="dxa"/>
            <w:tcBorders>
              <w:top w:val="nil"/>
              <w:left w:val="nil"/>
              <w:bottom w:val="single" w:sz="4" w:space="0" w:color="000000"/>
              <w:right w:val="single" w:sz="4" w:space="0" w:color="000000"/>
            </w:tcBorders>
            <w:shd w:val="clear" w:color="auto" w:fill="auto"/>
            <w:noWrap/>
            <w:vAlign w:val="center"/>
            <w:hideMark/>
          </w:tcPr>
          <w:p w14:paraId="72D295AC"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686 (22.1%)</w:t>
            </w:r>
          </w:p>
        </w:tc>
        <w:tc>
          <w:tcPr>
            <w:tcW w:w="1620" w:type="dxa"/>
            <w:tcBorders>
              <w:top w:val="nil"/>
              <w:left w:val="nil"/>
              <w:bottom w:val="single" w:sz="4" w:space="0" w:color="000000"/>
              <w:right w:val="single" w:sz="4" w:space="0" w:color="000000"/>
            </w:tcBorders>
            <w:shd w:val="clear" w:color="auto" w:fill="auto"/>
            <w:noWrap/>
            <w:vAlign w:val="center"/>
            <w:hideMark/>
          </w:tcPr>
          <w:p w14:paraId="13C4EAFD"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0.023</w:t>
            </w:r>
          </w:p>
        </w:tc>
        <w:tc>
          <w:tcPr>
            <w:tcW w:w="1620" w:type="dxa"/>
            <w:tcBorders>
              <w:top w:val="nil"/>
              <w:left w:val="nil"/>
              <w:bottom w:val="single" w:sz="4" w:space="0" w:color="000000"/>
              <w:right w:val="single" w:sz="4" w:space="0" w:color="000000"/>
            </w:tcBorders>
            <w:shd w:val="clear" w:color="auto" w:fill="auto"/>
            <w:noWrap/>
            <w:vAlign w:val="center"/>
            <w:hideMark/>
          </w:tcPr>
          <w:p w14:paraId="047796FF"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703 (22.6%)</w:t>
            </w:r>
          </w:p>
        </w:tc>
        <w:tc>
          <w:tcPr>
            <w:tcW w:w="1620" w:type="dxa"/>
            <w:tcBorders>
              <w:top w:val="nil"/>
              <w:left w:val="nil"/>
              <w:bottom w:val="single" w:sz="4" w:space="0" w:color="000000"/>
              <w:right w:val="single" w:sz="4" w:space="0" w:color="000000"/>
            </w:tcBorders>
            <w:shd w:val="clear" w:color="auto" w:fill="auto"/>
            <w:noWrap/>
            <w:vAlign w:val="center"/>
            <w:hideMark/>
          </w:tcPr>
          <w:p w14:paraId="7AE8791E"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686 (22.1%)</w:t>
            </w:r>
          </w:p>
        </w:tc>
        <w:tc>
          <w:tcPr>
            <w:tcW w:w="1598" w:type="dxa"/>
            <w:tcBorders>
              <w:top w:val="nil"/>
              <w:left w:val="nil"/>
              <w:bottom w:val="single" w:sz="4" w:space="0" w:color="000000"/>
              <w:right w:val="single" w:sz="4" w:space="0" w:color="000000"/>
            </w:tcBorders>
            <w:shd w:val="clear" w:color="auto" w:fill="auto"/>
            <w:noWrap/>
            <w:vAlign w:val="center"/>
            <w:hideMark/>
          </w:tcPr>
          <w:p w14:paraId="437B74DA" w14:textId="77777777" w:rsidR="002C5301" w:rsidRPr="00A43015" w:rsidRDefault="002C5301" w:rsidP="00B110EB">
            <w:pPr>
              <w:jc w:val="center"/>
              <w:rPr>
                <w:rFonts w:ascii="Arial" w:eastAsia="Times New Roman" w:hAnsi="Arial" w:cs="Arial"/>
                <w:color w:val="000000"/>
                <w:sz w:val="22"/>
                <w:szCs w:val="22"/>
              </w:rPr>
            </w:pPr>
            <w:r w:rsidRPr="00A43015">
              <w:rPr>
                <w:rFonts w:ascii="Arial" w:eastAsia="Times New Roman" w:hAnsi="Arial" w:cs="Arial"/>
                <w:color w:val="000000"/>
                <w:sz w:val="22"/>
                <w:szCs w:val="22"/>
              </w:rPr>
              <w:t>0.013</w:t>
            </w:r>
          </w:p>
        </w:tc>
      </w:tr>
      <w:tr w:rsidR="008D34BF" w:rsidRPr="008D34BF" w14:paraId="31EE433D" w14:textId="77777777" w:rsidTr="00170839">
        <w:trPr>
          <w:trHeight w:val="320"/>
        </w:trPr>
        <w:tc>
          <w:tcPr>
            <w:tcW w:w="12668" w:type="dxa"/>
            <w:gridSpan w:val="7"/>
            <w:tcBorders>
              <w:top w:val="nil"/>
              <w:left w:val="nil"/>
              <w:bottom w:val="nil"/>
              <w:right w:val="nil"/>
            </w:tcBorders>
            <w:shd w:val="clear" w:color="FFFFFF" w:fill="FFFFFF"/>
            <w:noWrap/>
            <w:vAlign w:val="center"/>
            <w:hideMark/>
          </w:tcPr>
          <w:p w14:paraId="22D367FB" w14:textId="4AD987BF" w:rsidR="008D34BF" w:rsidRDefault="008D34BF" w:rsidP="008D34BF">
            <w:pPr>
              <w:rPr>
                <w:rFonts w:ascii="Arial" w:eastAsia="Times New Roman" w:hAnsi="Arial" w:cs="Arial"/>
                <w:b/>
                <w:bCs/>
                <w:color w:val="000000"/>
                <w:sz w:val="20"/>
                <w:szCs w:val="20"/>
              </w:rPr>
            </w:pPr>
            <w:r w:rsidRPr="00A43015">
              <w:rPr>
                <w:rFonts w:ascii="Arial" w:eastAsia="Times New Roman" w:hAnsi="Arial" w:cs="Arial"/>
                <w:b/>
                <w:bCs/>
                <w:color w:val="000000"/>
                <w:sz w:val="20"/>
                <w:szCs w:val="20"/>
              </w:rPr>
              <w:t>AF</w:t>
            </w:r>
            <w:r>
              <w:rPr>
                <w:rFonts w:ascii="Arial" w:eastAsia="Times New Roman" w:hAnsi="Arial" w:cs="Arial"/>
                <w:b/>
                <w:bCs/>
                <w:color w:val="000000"/>
                <w:sz w:val="20"/>
                <w:szCs w:val="20"/>
              </w:rPr>
              <w:t>:</w:t>
            </w:r>
            <w:r w:rsidR="001E57EC">
              <w:rPr>
                <w:rFonts w:ascii="Arial" w:eastAsia="Times New Roman" w:hAnsi="Arial" w:cs="Arial"/>
                <w:b/>
                <w:bCs/>
                <w:color w:val="000000"/>
                <w:sz w:val="20"/>
                <w:szCs w:val="20"/>
              </w:rPr>
              <w:t xml:space="preserve"> A</w:t>
            </w:r>
            <w:r w:rsidRPr="00A43015">
              <w:rPr>
                <w:rFonts w:ascii="Arial" w:eastAsia="Times New Roman" w:hAnsi="Arial" w:cs="Arial"/>
                <w:b/>
                <w:bCs/>
                <w:color w:val="000000"/>
                <w:sz w:val="20"/>
                <w:szCs w:val="20"/>
              </w:rPr>
              <w:t>trial fibrillation</w:t>
            </w:r>
            <w:r>
              <w:rPr>
                <w:rFonts w:ascii="Arial" w:eastAsia="Times New Roman" w:hAnsi="Arial" w:cs="Arial"/>
                <w:b/>
                <w:bCs/>
                <w:color w:val="000000"/>
                <w:sz w:val="20"/>
                <w:szCs w:val="20"/>
              </w:rPr>
              <w:t xml:space="preserve">; </w:t>
            </w:r>
            <w:r w:rsidRPr="00A43015">
              <w:rPr>
                <w:rFonts w:ascii="Arial" w:eastAsia="Times New Roman" w:hAnsi="Arial" w:cs="Arial"/>
                <w:b/>
                <w:bCs/>
                <w:color w:val="000000"/>
                <w:sz w:val="20"/>
                <w:szCs w:val="20"/>
              </w:rPr>
              <w:t>IQR</w:t>
            </w:r>
            <w:r>
              <w:rPr>
                <w:rFonts w:ascii="Arial" w:eastAsia="Times New Roman" w:hAnsi="Arial" w:cs="Arial"/>
                <w:b/>
                <w:bCs/>
                <w:color w:val="000000"/>
                <w:sz w:val="20"/>
                <w:szCs w:val="20"/>
              </w:rPr>
              <w:t>:</w:t>
            </w:r>
            <w:r w:rsidR="001E57EC">
              <w:rPr>
                <w:rFonts w:ascii="Arial" w:eastAsia="Times New Roman" w:hAnsi="Arial" w:cs="Arial"/>
                <w:b/>
                <w:bCs/>
                <w:color w:val="000000"/>
                <w:sz w:val="20"/>
                <w:szCs w:val="20"/>
              </w:rPr>
              <w:t xml:space="preserve"> I</w:t>
            </w:r>
            <w:r w:rsidRPr="00A43015">
              <w:rPr>
                <w:rFonts w:ascii="Arial" w:eastAsia="Times New Roman" w:hAnsi="Arial" w:cs="Arial"/>
                <w:b/>
                <w:bCs/>
                <w:color w:val="000000"/>
                <w:sz w:val="20"/>
                <w:szCs w:val="20"/>
              </w:rPr>
              <w:t>nterquartile range; STD</w:t>
            </w:r>
            <w:r>
              <w:rPr>
                <w:rFonts w:ascii="Arial" w:eastAsia="Times New Roman" w:hAnsi="Arial" w:cs="Arial"/>
                <w:b/>
                <w:bCs/>
                <w:color w:val="000000"/>
                <w:sz w:val="20"/>
                <w:szCs w:val="20"/>
              </w:rPr>
              <w:t>:</w:t>
            </w:r>
            <w:r w:rsidR="001E57EC">
              <w:rPr>
                <w:rFonts w:ascii="Arial" w:eastAsia="Times New Roman" w:hAnsi="Arial" w:cs="Arial"/>
                <w:b/>
                <w:bCs/>
                <w:color w:val="000000"/>
                <w:sz w:val="20"/>
                <w:szCs w:val="20"/>
              </w:rPr>
              <w:t xml:space="preserve"> S</w:t>
            </w:r>
            <w:r w:rsidRPr="00A43015">
              <w:rPr>
                <w:rFonts w:ascii="Arial" w:eastAsia="Times New Roman" w:hAnsi="Arial" w:cs="Arial"/>
                <w:b/>
                <w:bCs/>
                <w:color w:val="000000"/>
                <w:sz w:val="20"/>
                <w:szCs w:val="20"/>
              </w:rPr>
              <w:t>tandard deviation</w:t>
            </w:r>
          </w:p>
          <w:p w14:paraId="2A1C4A00" w14:textId="171C613A" w:rsidR="00D50AD2" w:rsidRPr="00D50AD2" w:rsidRDefault="00D50AD2" w:rsidP="008D34BF">
            <w:pPr>
              <w:rPr>
                <w:rFonts w:ascii="Arial" w:eastAsia="Times New Roman" w:hAnsi="Arial" w:cs="Arial"/>
                <w:b/>
                <w:bCs/>
                <w:color w:val="000000"/>
                <w:sz w:val="20"/>
                <w:szCs w:val="20"/>
              </w:rPr>
            </w:pPr>
            <w:r w:rsidRPr="00D50AD2">
              <w:rPr>
                <w:rFonts w:ascii="Arial" w:hAnsi="Arial" w:cs="Arial"/>
                <w:b/>
                <w:bCs/>
                <w:sz w:val="20"/>
                <w:szCs w:val="20"/>
              </w:rPr>
              <w:t>*A</w:t>
            </w:r>
            <w:r w:rsidR="00E33A43">
              <w:rPr>
                <w:rFonts w:ascii="Arial" w:hAnsi="Arial" w:cs="Arial"/>
                <w:b/>
                <w:bCs/>
                <w:sz w:val="20"/>
                <w:szCs w:val="20"/>
              </w:rPr>
              <w:t>n absolute</w:t>
            </w:r>
            <w:r w:rsidRPr="00D50AD2">
              <w:rPr>
                <w:rFonts w:ascii="Arial" w:hAnsi="Arial" w:cs="Arial"/>
                <w:b/>
                <w:bCs/>
                <w:sz w:val="20"/>
                <w:szCs w:val="20"/>
              </w:rPr>
              <w:t xml:space="preserve"> standardized </w:t>
            </w:r>
            <w:r w:rsidR="00E33A43">
              <w:rPr>
                <w:rFonts w:ascii="Arial" w:hAnsi="Arial" w:cs="Arial"/>
                <w:b/>
                <w:bCs/>
                <w:sz w:val="20"/>
                <w:szCs w:val="20"/>
              </w:rPr>
              <w:t xml:space="preserve">mean </w:t>
            </w:r>
            <w:r w:rsidRPr="00D50AD2">
              <w:rPr>
                <w:rFonts w:ascii="Arial" w:hAnsi="Arial" w:cs="Arial"/>
                <w:b/>
                <w:bCs/>
                <w:sz w:val="20"/>
                <w:szCs w:val="20"/>
              </w:rPr>
              <w:t>difference &lt;0.1 after propensity score matching is generally deemed acceptable.</w:t>
            </w:r>
          </w:p>
          <w:p w14:paraId="298FDA7C" w14:textId="6CB8CAC3" w:rsidR="00582AB4" w:rsidRPr="00582AB4" w:rsidRDefault="00D50AD2" w:rsidP="008D34BF">
            <w:pPr>
              <w:rPr>
                <w:rFonts w:ascii="Arial" w:eastAsia="Times New Roman" w:hAnsi="Arial" w:cs="Arial"/>
                <w:b/>
                <w:bCs/>
                <w:color w:val="000000"/>
                <w:sz w:val="20"/>
                <w:szCs w:val="20"/>
              </w:rPr>
            </w:pPr>
            <w:r>
              <w:rPr>
                <w:rFonts w:ascii="Arial" w:eastAsia="Times New Roman" w:hAnsi="Arial" w:cs="Arial"/>
                <w:b/>
                <w:bCs/>
                <w:color w:val="000000"/>
                <w:sz w:val="20"/>
                <w:szCs w:val="20"/>
                <w:vertAlign w:val="superscript"/>
              </w:rPr>
              <w:t>#</w:t>
            </w:r>
            <w:r w:rsidR="00582AB4" w:rsidRPr="00582AB4">
              <w:rPr>
                <w:rFonts w:ascii="Arial" w:eastAsia="Times New Roman" w:hAnsi="Arial" w:cs="Arial"/>
                <w:b/>
                <w:bCs/>
                <w:color w:val="000000"/>
                <w:sz w:val="20"/>
                <w:szCs w:val="20"/>
              </w:rPr>
              <w:t>Based on most recent atrial fibrillation diagnosis code in the 180 days prior to index prescription date</w:t>
            </w:r>
            <w:r w:rsidR="00E549AE">
              <w:rPr>
                <w:rFonts w:ascii="Arial" w:eastAsia="Times New Roman" w:hAnsi="Arial" w:cs="Arial"/>
                <w:b/>
                <w:bCs/>
                <w:color w:val="000000"/>
                <w:sz w:val="20"/>
                <w:szCs w:val="20"/>
              </w:rPr>
              <w:t>. Patients with ICD codes for permanent AF were not excluded from analysis due to poor specificity of codes to actual AF burden.</w:t>
            </w:r>
          </w:p>
          <w:p w14:paraId="14724965" w14:textId="54B7D653" w:rsidR="00582AB4" w:rsidRPr="00D50AD2" w:rsidRDefault="00582AB4" w:rsidP="00582AB4">
            <w:pPr>
              <w:rPr>
                <w:rFonts w:ascii="Arial" w:hAnsi="Arial" w:cs="Arial"/>
                <w:b/>
                <w:bCs/>
                <w:sz w:val="20"/>
                <w:szCs w:val="20"/>
              </w:rPr>
            </w:pPr>
            <w:r w:rsidRPr="00582AB4">
              <w:rPr>
                <w:rFonts w:ascii="Arial" w:hAnsi="Arial" w:cs="Arial"/>
                <w:b/>
                <w:bCs/>
                <w:sz w:val="20"/>
                <w:szCs w:val="20"/>
                <w:vertAlign w:val="superscript"/>
              </w:rPr>
              <w:t>†</w:t>
            </w:r>
            <w:r w:rsidRPr="00582AB4">
              <w:rPr>
                <w:rFonts w:ascii="Arial" w:hAnsi="Arial" w:cs="Arial"/>
                <w:b/>
                <w:bCs/>
                <w:sz w:val="20"/>
                <w:szCs w:val="20"/>
              </w:rPr>
              <w:t xml:space="preserve">Any outpatient </w:t>
            </w:r>
            <w:r>
              <w:rPr>
                <w:rFonts w:ascii="Arial" w:hAnsi="Arial" w:cs="Arial"/>
                <w:b/>
                <w:bCs/>
                <w:sz w:val="20"/>
                <w:szCs w:val="20"/>
              </w:rPr>
              <w:t xml:space="preserve">prescription in the ascertainment </w:t>
            </w:r>
            <w:r w:rsidRPr="00D50AD2">
              <w:rPr>
                <w:rFonts w:ascii="Arial" w:hAnsi="Arial" w:cs="Arial"/>
                <w:b/>
                <w:bCs/>
                <w:sz w:val="20"/>
                <w:szCs w:val="20"/>
              </w:rPr>
              <w:t>period with a World Health Organization Anatomical Therapeutic Chemical Classification prefix of “R03”</w:t>
            </w:r>
          </w:p>
          <w:p w14:paraId="2BA61495" w14:textId="38655D0F" w:rsidR="00D50AD2" w:rsidRPr="00D50AD2" w:rsidRDefault="00D50AD2" w:rsidP="00582AB4">
            <w:pPr>
              <w:rPr>
                <w:rFonts w:ascii="Arial" w:hAnsi="Arial" w:cs="Arial"/>
                <w:b/>
                <w:bCs/>
                <w:sz w:val="20"/>
                <w:szCs w:val="20"/>
              </w:rPr>
            </w:pPr>
          </w:p>
          <w:p w14:paraId="10EC4965" w14:textId="77777777" w:rsidR="00582AB4" w:rsidRPr="00582AB4" w:rsidRDefault="00582AB4" w:rsidP="008D34BF">
            <w:pPr>
              <w:rPr>
                <w:rFonts w:ascii="Arial" w:eastAsia="Times New Roman" w:hAnsi="Arial" w:cs="Arial"/>
                <w:b/>
                <w:bCs/>
                <w:color w:val="000000"/>
                <w:sz w:val="20"/>
                <w:szCs w:val="20"/>
              </w:rPr>
            </w:pPr>
          </w:p>
          <w:p w14:paraId="5E34FD82" w14:textId="652A79CF" w:rsidR="00582AB4" w:rsidRPr="00A43015" w:rsidRDefault="00582AB4" w:rsidP="008D34BF">
            <w:pPr>
              <w:rPr>
                <w:rFonts w:ascii="Arial" w:eastAsia="Times New Roman" w:hAnsi="Arial" w:cs="Arial"/>
                <w:b/>
                <w:bCs/>
                <w:sz w:val="20"/>
                <w:szCs w:val="20"/>
              </w:rPr>
            </w:pPr>
          </w:p>
        </w:tc>
      </w:tr>
    </w:tbl>
    <w:p w14:paraId="794B6B15" w14:textId="77777777" w:rsidR="00A83070" w:rsidRDefault="00A83070" w:rsidP="00D405B9">
      <w:pPr>
        <w:spacing w:line="480" w:lineRule="auto"/>
        <w:rPr>
          <w:rFonts w:ascii="Arial" w:hAnsi="Arial" w:cs="Arial"/>
          <w:b/>
          <w:bCs/>
        </w:rPr>
      </w:pPr>
      <w:r>
        <w:rPr>
          <w:rFonts w:ascii="Arial" w:hAnsi="Arial" w:cs="Arial"/>
          <w:b/>
          <w:bCs/>
        </w:rPr>
        <w:br w:type="page"/>
      </w:r>
    </w:p>
    <w:p w14:paraId="00C0E53B" w14:textId="17A705A7" w:rsidR="00D739B2" w:rsidRDefault="00D739B2" w:rsidP="00D739B2">
      <w:pPr>
        <w:rPr>
          <w:rFonts w:ascii="Arial" w:hAnsi="Arial" w:cs="Arial"/>
          <w:sz w:val="22"/>
          <w:szCs w:val="22"/>
        </w:rPr>
      </w:pPr>
      <w:r w:rsidRPr="00D739B2">
        <w:rPr>
          <w:rFonts w:ascii="Arial" w:hAnsi="Arial" w:cs="Arial"/>
          <w:b/>
          <w:bCs/>
          <w:sz w:val="22"/>
          <w:szCs w:val="22"/>
        </w:rPr>
        <w:lastRenderedPageBreak/>
        <w:t>Table 2</w:t>
      </w:r>
      <w:r>
        <w:rPr>
          <w:rFonts w:ascii="Arial" w:hAnsi="Arial" w:cs="Arial"/>
          <w:b/>
          <w:bCs/>
          <w:sz w:val="22"/>
          <w:szCs w:val="22"/>
        </w:rPr>
        <w:t xml:space="preserve">. </w:t>
      </w:r>
      <w:r w:rsidRPr="00D739B2">
        <w:rPr>
          <w:rFonts w:ascii="Arial" w:hAnsi="Arial" w:cs="Arial"/>
          <w:sz w:val="22"/>
          <w:szCs w:val="22"/>
        </w:rPr>
        <w:t>Incidence rates of primary outcome</w:t>
      </w:r>
      <w:r w:rsidR="00CC7B03">
        <w:rPr>
          <w:rFonts w:ascii="Arial" w:hAnsi="Arial" w:cs="Arial"/>
          <w:sz w:val="22"/>
          <w:szCs w:val="22"/>
        </w:rPr>
        <w:t>s</w:t>
      </w:r>
      <w:r w:rsidRPr="00D739B2">
        <w:rPr>
          <w:rFonts w:ascii="Arial" w:hAnsi="Arial" w:cs="Arial"/>
          <w:sz w:val="22"/>
          <w:szCs w:val="22"/>
        </w:rPr>
        <w:t>, by exposure group.</w:t>
      </w:r>
    </w:p>
    <w:tbl>
      <w:tblPr>
        <w:tblW w:w="10946" w:type="dxa"/>
        <w:tblLook w:val="04A0" w:firstRow="1" w:lastRow="0" w:firstColumn="1" w:lastColumn="0" w:noHBand="0" w:noVBand="1"/>
      </w:tblPr>
      <w:tblGrid>
        <w:gridCol w:w="3510"/>
        <w:gridCol w:w="1980"/>
        <w:gridCol w:w="1980"/>
        <w:gridCol w:w="1766"/>
        <w:gridCol w:w="1710"/>
      </w:tblGrid>
      <w:tr w:rsidR="00D739B2" w:rsidRPr="00D739B2" w14:paraId="22F808A7" w14:textId="77777777" w:rsidTr="004E51AC">
        <w:trPr>
          <w:trHeight w:val="280"/>
        </w:trPr>
        <w:tc>
          <w:tcPr>
            <w:tcW w:w="3510" w:type="dxa"/>
            <w:tcBorders>
              <w:top w:val="nil"/>
              <w:left w:val="nil"/>
              <w:bottom w:val="nil"/>
              <w:right w:val="nil"/>
            </w:tcBorders>
            <w:shd w:val="clear" w:color="auto" w:fill="auto"/>
            <w:noWrap/>
            <w:vAlign w:val="bottom"/>
            <w:hideMark/>
          </w:tcPr>
          <w:p w14:paraId="48FD942E" w14:textId="77777777" w:rsidR="00D739B2" w:rsidRPr="00D739B2" w:rsidRDefault="00D739B2" w:rsidP="00D739B2">
            <w:pPr>
              <w:rPr>
                <w:rFonts w:ascii="Arial" w:eastAsia="Times New Roman" w:hAnsi="Arial" w:cs="Arial"/>
                <w:sz w:val="22"/>
                <w:szCs w:val="22"/>
              </w:rPr>
            </w:pPr>
          </w:p>
        </w:tc>
        <w:tc>
          <w:tcPr>
            <w:tcW w:w="1980" w:type="dxa"/>
            <w:tcBorders>
              <w:top w:val="nil"/>
              <w:left w:val="nil"/>
              <w:right w:val="nil"/>
            </w:tcBorders>
            <w:shd w:val="clear" w:color="auto" w:fill="auto"/>
            <w:noWrap/>
            <w:vAlign w:val="bottom"/>
            <w:hideMark/>
          </w:tcPr>
          <w:p w14:paraId="432A834D" w14:textId="77777777" w:rsidR="00D739B2" w:rsidRPr="00D739B2" w:rsidRDefault="00D739B2" w:rsidP="00D739B2">
            <w:pPr>
              <w:rPr>
                <w:rFonts w:ascii="Arial" w:eastAsia="Times New Roman" w:hAnsi="Arial" w:cs="Arial"/>
                <w:sz w:val="22"/>
                <w:szCs w:val="22"/>
              </w:rPr>
            </w:pPr>
          </w:p>
        </w:tc>
        <w:tc>
          <w:tcPr>
            <w:tcW w:w="1980" w:type="dxa"/>
            <w:tcBorders>
              <w:top w:val="nil"/>
              <w:left w:val="nil"/>
              <w:right w:val="nil"/>
            </w:tcBorders>
            <w:shd w:val="clear" w:color="auto" w:fill="auto"/>
            <w:noWrap/>
            <w:vAlign w:val="bottom"/>
            <w:hideMark/>
          </w:tcPr>
          <w:p w14:paraId="50FBEB9A" w14:textId="77777777" w:rsidR="00D739B2" w:rsidRPr="00D739B2" w:rsidRDefault="00D739B2" w:rsidP="00D739B2">
            <w:pPr>
              <w:rPr>
                <w:rFonts w:ascii="Arial" w:eastAsia="Times New Roman" w:hAnsi="Arial" w:cs="Arial"/>
                <w:sz w:val="22"/>
                <w:szCs w:val="22"/>
              </w:rPr>
            </w:pPr>
          </w:p>
        </w:tc>
        <w:tc>
          <w:tcPr>
            <w:tcW w:w="1766" w:type="dxa"/>
            <w:tcBorders>
              <w:top w:val="nil"/>
              <w:left w:val="nil"/>
              <w:right w:val="nil"/>
            </w:tcBorders>
            <w:shd w:val="clear" w:color="auto" w:fill="auto"/>
            <w:noWrap/>
            <w:vAlign w:val="bottom"/>
            <w:hideMark/>
          </w:tcPr>
          <w:p w14:paraId="6B8A497C" w14:textId="77777777" w:rsidR="00D739B2" w:rsidRPr="00D739B2" w:rsidRDefault="00D739B2" w:rsidP="00D739B2">
            <w:pPr>
              <w:rPr>
                <w:rFonts w:ascii="Arial" w:eastAsia="Times New Roman" w:hAnsi="Arial" w:cs="Arial"/>
                <w:sz w:val="22"/>
                <w:szCs w:val="22"/>
              </w:rPr>
            </w:pPr>
          </w:p>
        </w:tc>
        <w:tc>
          <w:tcPr>
            <w:tcW w:w="1710" w:type="dxa"/>
            <w:tcBorders>
              <w:top w:val="nil"/>
              <w:left w:val="nil"/>
              <w:right w:val="nil"/>
            </w:tcBorders>
            <w:shd w:val="clear" w:color="auto" w:fill="auto"/>
            <w:noWrap/>
            <w:vAlign w:val="bottom"/>
            <w:hideMark/>
          </w:tcPr>
          <w:p w14:paraId="33321262" w14:textId="77777777" w:rsidR="00D739B2" w:rsidRPr="00D739B2" w:rsidRDefault="00D739B2" w:rsidP="00D739B2">
            <w:pPr>
              <w:rPr>
                <w:rFonts w:ascii="Arial" w:eastAsia="Times New Roman" w:hAnsi="Arial" w:cs="Arial"/>
                <w:sz w:val="22"/>
                <w:szCs w:val="22"/>
              </w:rPr>
            </w:pPr>
          </w:p>
        </w:tc>
      </w:tr>
      <w:tr w:rsidR="004E51AC" w:rsidRPr="00D739B2" w14:paraId="00D57FD2" w14:textId="77777777" w:rsidTr="004E51AC">
        <w:trPr>
          <w:trHeight w:val="280"/>
        </w:trPr>
        <w:tc>
          <w:tcPr>
            <w:tcW w:w="3510" w:type="dxa"/>
            <w:tcBorders>
              <w:top w:val="nil"/>
              <w:left w:val="nil"/>
              <w:right w:val="nil"/>
            </w:tcBorders>
            <w:shd w:val="clear" w:color="auto" w:fill="auto"/>
            <w:noWrap/>
            <w:vAlign w:val="bottom"/>
            <w:hideMark/>
          </w:tcPr>
          <w:p w14:paraId="2070BA59" w14:textId="77777777" w:rsidR="00D739B2" w:rsidRPr="00D739B2" w:rsidRDefault="00D739B2" w:rsidP="00D739B2">
            <w:pPr>
              <w:rPr>
                <w:rFonts w:ascii="Arial" w:eastAsia="Times New Roman" w:hAnsi="Arial" w:cs="Arial"/>
                <w:sz w:val="22"/>
                <w:szCs w:val="22"/>
              </w:rPr>
            </w:pPr>
          </w:p>
        </w:tc>
        <w:tc>
          <w:tcPr>
            <w:tcW w:w="3960" w:type="dxa"/>
            <w:gridSpan w:val="2"/>
            <w:tcBorders>
              <w:top w:val="nil"/>
              <w:left w:val="nil"/>
              <w:bottom w:val="single" w:sz="4" w:space="0" w:color="auto"/>
              <w:right w:val="single" w:sz="4" w:space="0" w:color="auto"/>
            </w:tcBorders>
            <w:shd w:val="clear" w:color="auto" w:fill="auto"/>
            <w:noWrap/>
            <w:vAlign w:val="center"/>
            <w:hideMark/>
          </w:tcPr>
          <w:p w14:paraId="1FA9AD58" w14:textId="028D4FB0" w:rsidR="00D739B2" w:rsidRPr="00D739B2" w:rsidRDefault="00D739B2" w:rsidP="00D739B2">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 xml:space="preserve">Cardiovascular </w:t>
            </w:r>
            <w:r w:rsidR="006E65FE">
              <w:rPr>
                <w:rFonts w:ascii="Arial" w:eastAsia="Times New Roman" w:hAnsi="Arial" w:cs="Arial"/>
                <w:b/>
                <w:bCs/>
                <w:color w:val="000000"/>
                <w:sz w:val="22"/>
                <w:szCs w:val="22"/>
              </w:rPr>
              <w:t>h</w:t>
            </w:r>
            <w:r w:rsidRPr="00D739B2">
              <w:rPr>
                <w:rFonts w:ascii="Arial" w:eastAsia="Times New Roman" w:hAnsi="Arial" w:cs="Arial"/>
                <w:b/>
                <w:bCs/>
                <w:color w:val="000000"/>
                <w:sz w:val="22"/>
                <w:szCs w:val="22"/>
              </w:rPr>
              <w:t>ospitalization</w:t>
            </w:r>
          </w:p>
        </w:tc>
        <w:tc>
          <w:tcPr>
            <w:tcW w:w="3476" w:type="dxa"/>
            <w:gridSpan w:val="2"/>
            <w:tcBorders>
              <w:top w:val="nil"/>
              <w:left w:val="single" w:sz="4" w:space="0" w:color="auto"/>
              <w:bottom w:val="single" w:sz="4" w:space="0" w:color="auto"/>
              <w:right w:val="nil"/>
            </w:tcBorders>
            <w:shd w:val="clear" w:color="auto" w:fill="auto"/>
            <w:noWrap/>
            <w:vAlign w:val="center"/>
            <w:hideMark/>
          </w:tcPr>
          <w:p w14:paraId="4B6BC79C" w14:textId="77777777" w:rsidR="00D739B2" w:rsidRPr="00D739B2" w:rsidRDefault="00D739B2" w:rsidP="00D739B2">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Ventricular pro-arrhythmia</w:t>
            </w:r>
          </w:p>
        </w:tc>
      </w:tr>
      <w:tr w:rsidR="00D739B2" w:rsidRPr="00D739B2" w14:paraId="2E50FD5C" w14:textId="77777777" w:rsidTr="004E51AC">
        <w:trPr>
          <w:trHeight w:val="280"/>
        </w:trPr>
        <w:tc>
          <w:tcPr>
            <w:tcW w:w="3510" w:type="dxa"/>
            <w:tcBorders>
              <w:top w:val="nil"/>
              <w:left w:val="nil"/>
              <w:bottom w:val="single" w:sz="4" w:space="0" w:color="auto"/>
              <w:right w:val="nil"/>
            </w:tcBorders>
            <w:shd w:val="clear" w:color="auto" w:fill="auto"/>
            <w:noWrap/>
            <w:vAlign w:val="bottom"/>
            <w:hideMark/>
          </w:tcPr>
          <w:p w14:paraId="19954E18" w14:textId="77777777" w:rsidR="00D739B2" w:rsidRPr="00D739B2" w:rsidRDefault="00D739B2" w:rsidP="00D739B2">
            <w:pPr>
              <w:jc w:val="center"/>
              <w:rPr>
                <w:rFonts w:ascii="Arial" w:eastAsia="Times New Roman" w:hAnsi="Arial" w:cs="Arial"/>
                <w:b/>
                <w:bCs/>
                <w:color w:val="000000"/>
                <w:sz w:val="22"/>
                <w:szCs w:val="22"/>
              </w:rPr>
            </w:pPr>
          </w:p>
        </w:tc>
        <w:tc>
          <w:tcPr>
            <w:tcW w:w="1980" w:type="dxa"/>
            <w:tcBorders>
              <w:top w:val="single" w:sz="4" w:space="0" w:color="auto"/>
              <w:left w:val="nil"/>
              <w:bottom w:val="single" w:sz="4" w:space="0" w:color="auto"/>
              <w:right w:val="nil"/>
            </w:tcBorders>
            <w:shd w:val="clear" w:color="auto" w:fill="auto"/>
            <w:noWrap/>
            <w:vAlign w:val="center"/>
            <w:hideMark/>
          </w:tcPr>
          <w:p w14:paraId="0FE1A80B" w14:textId="77777777" w:rsidR="00D739B2" w:rsidRPr="00D739B2" w:rsidRDefault="00D739B2" w:rsidP="004E51AC">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Dronedarone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EF86B40" w14:textId="77777777" w:rsidR="00D739B2" w:rsidRPr="00D739B2" w:rsidRDefault="00D739B2" w:rsidP="004E51AC">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Sotalol</w:t>
            </w:r>
          </w:p>
        </w:tc>
        <w:tc>
          <w:tcPr>
            <w:tcW w:w="1766" w:type="dxa"/>
            <w:tcBorders>
              <w:top w:val="single" w:sz="4" w:space="0" w:color="auto"/>
              <w:left w:val="single" w:sz="4" w:space="0" w:color="auto"/>
              <w:bottom w:val="single" w:sz="4" w:space="0" w:color="auto"/>
              <w:right w:val="nil"/>
            </w:tcBorders>
            <w:shd w:val="clear" w:color="auto" w:fill="auto"/>
            <w:noWrap/>
            <w:vAlign w:val="center"/>
            <w:hideMark/>
          </w:tcPr>
          <w:p w14:paraId="7B374FC0" w14:textId="77777777" w:rsidR="00D739B2" w:rsidRPr="00D739B2" w:rsidRDefault="00D739B2" w:rsidP="004E51AC">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Dronedarone</w:t>
            </w:r>
          </w:p>
        </w:tc>
        <w:tc>
          <w:tcPr>
            <w:tcW w:w="1710" w:type="dxa"/>
            <w:tcBorders>
              <w:top w:val="single" w:sz="4" w:space="0" w:color="auto"/>
              <w:left w:val="nil"/>
              <w:bottom w:val="single" w:sz="4" w:space="0" w:color="auto"/>
              <w:right w:val="nil"/>
            </w:tcBorders>
            <w:shd w:val="clear" w:color="auto" w:fill="auto"/>
            <w:noWrap/>
            <w:vAlign w:val="center"/>
            <w:hideMark/>
          </w:tcPr>
          <w:p w14:paraId="13FB64A6" w14:textId="77777777" w:rsidR="00D739B2" w:rsidRPr="00D739B2" w:rsidRDefault="00D739B2" w:rsidP="004E51AC">
            <w:pPr>
              <w:jc w:val="cente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Sotalol</w:t>
            </w:r>
          </w:p>
        </w:tc>
      </w:tr>
      <w:tr w:rsidR="00D739B2" w:rsidRPr="00D739B2" w14:paraId="3398A777" w14:textId="77777777" w:rsidTr="004E51AC">
        <w:trPr>
          <w:trHeight w:val="280"/>
        </w:trPr>
        <w:tc>
          <w:tcPr>
            <w:tcW w:w="3510" w:type="dxa"/>
            <w:tcBorders>
              <w:top w:val="single" w:sz="4" w:space="0" w:color="auto"/>
              <w:left w:val="nil"/>
              <w:bottom w:val="nil"/>
              <w:right w:val="nil"/>
            </w:tcBorders>
            <w:shd w:val="clear" w:color="auto" w:fill="auto"/>
            <w:noWrap/>
            <w:vAlign w:val="bottom"/>
            <w:hideMark/>
          </w:tcPr>
          <w:p w14:paraId="74149014" w14:textId="77777777" w:rsidR="00D739B2" w:rsidRPr="00D739B2" w:rsidRDefault="00D739B2" w:rsidP="00D739B2">
            <w:pP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Follow-Up</w:t>
            </w:r>
          </w:p>
        </w:tc>
        <w:tc>
          <w:tcPr>
            <w:tcW w:w="1980" w:type="dxa"/>
            <w:tcBorders>
              <w:top w:val="single" w:sz="4" w:space="0" w:color="auto"/>
              <w:left w:val="nil"/>
              <w:bottom w:val="nil"/>
              <w:right w:val="nil"/>
            </w:tcBorders>
            <w:shd w:val="clear" w:color="auto" w:fill="auto"/>
            <w:noWrap/>
            <w:vAlign w:val="bottom"/>
            <w:hideMark/>
          </w:tcPr>
          <w:p w14:paraId="53E8516A" w14:textId="77777777" w:rsidR="00D739B2" w:rsidRPr="00D739B2" w:rsidRDefault="00D739B2" w:rsidP="00D739B2">
            <w:pPr>
              <w:rPr>
                <w:rFonts w:ascii="Arial" w:eastAsia="Times New Roman" w:hAnsi="Arial" w:cs="Arial"/>
                <w:b/>
                <w:bCs/>
                <w:color w:val="000000"/>
                <w:sz w:val="22"/>
                <w:szCs w:val="22"/>
              </w:rPr>
            </w:pPr>
          </w:p>
        </w:tc>
        <w:tc>
          <w:tcPr>
            <w:tcW w:w="1980" w:type="dxa"/>
            <w:tcBorders>
              <w:top w:val="single" w:sz="4" w:space="0" w:color="auto"/>
              <w:left w:val="nil"/>
              <w:bottom w:val="nil"/>
              <w:right w:val="single" w:sz="4" w:space="0" w:color="auto"/>
            </w:tcBorders>
            <w:shd w:val="clear" w:color="auto" w:fill="auto"/>
            <w:noWrap/>
            <w:vAlign w:val="bottom"/>
            <w:hideMark/>
          </w:tcPr>
          <w:p w14:paraId="12883CFB" w14:textId="77777777" w:rsidR="00D739B2" w:rsidRPr="00D739B2" w:rsidRDefault="00D739B2" w:rsidP="00D739B2">
            <w:pPr>
              <w:rPr>
                <w:rFonts w:ascii="Arial" w:eastAsia="Times New Roman" w:hAnsi="Arial" w:cs="Arial"/>
                <w:sz w:val="22"/>
                <w:szCs w:val="22"/>
              </w:rPr>
            </w:pPr>
          </w:p>
        </w:tc>
        <w:tc>
          <w:tcPr>
            <w:tcW w:w="1766" w:type="dxa"/>
            <w:tcBorders>
              <w:top w:val="single" w:sz="4" w:space="0" w:color="auto"/>
              <w:left w:val="single" w:sz="4" w:space="0" w:color="auto"/>
              <w:bottom w:val="nil"/>
              <w:right w:val="nil"/>
            </w:tcBorders>
            <w:shd w:val="clear" w:color="auto" w:fill="auto"/>
            <w:noWrap/>
            <w:vAlign w:val="bottom"/>
            <w:hideMark/>
          </w:tcPr>
          <w:p w14:paraId="0F982B20" w14:textId="77777777" w:rsidR="00D739B2" w:rsidRPr="00D739B2" w:rsidRDefault="00D739B2" w:rsidP="00D739B2">
            <w:pPr>
              <w:rPr>
                <w:rFonts w:ascii="Arial" w:eastAsia="Times New Roman" w:hAnsi="Arial" w:cs="Arial"/>
                <w:sz w:val="22"/>
                <w:szCs w:val="22"/>
              </w:rPr>
            </w:pPr>
          </w:p>
        </w:tc>
        <w:tc>
          <w:tcPr>
            <w:tcW w:w="1710" w:type="dxa"/>
            <w:tcBorders>
              <w:top w:val="single" w:sz="4" w:space="0" w:color="auto"/>
              <w:left w:val="nil"/>
              <w:bottom w:val="nil"/>
              <w:right w:val="nil"/>
            </w:tcBorders>
            <w:shd w:val="clear" w:color="auto" w:fill="auto"/>
            <w:noWrap/>
            <w:vAlign w:val="bottom"/>
            <w:hideMark/>
          </w:tcPr>
          <w:p w14:paraId="5BBB181B" w14:textId="77777777" w:rsidR="00D739B2" w:rsidRPr="00D739B2" w:rsidRDefault="00D739B2" w:rsidP="00D739B2">
            <w:pPr>
              <w:rPr>
                <w:rFonts w:ascii="Arial" w:eastAsia="Times New Roman" w:hAnsi="Arial" w:cs="Arial"/>
                <w:sz w:val="22"/>
                <w:szCs w:val="22"/>
              </w:rPr>
            </w:pPr>
          </w:p>
        </w:tc>
      </w:tr>
      <w:tr w:rsidR="00D739B2" w:rsidRPr="00D739B2" w14:paraId="1F217DFF" w14:textId="77777777" w:rsidTr="004E51AC">
        <w:trPr>
          <w:trHeight w:val="280"/>
        </w:trPr>
        <w:tc>
          <w:tcPr>
            <w:tcW w:w="3510" w:type="dxa"/>
            <w:tcBorders>
              <w:top w:val="nil"/>
              <w:left w:val="nil"/>
              <w:bottom w:val="nil"/>
              <w:right w:val="nil"/>
            </w:tcBorders>
            <w:shd w:val="clear" w:color="auto" w:fill="auto"/>
            <w:noWrap/>
            <w:vAlign w:val="bottom"/>
            <w:hideMark/>
          </w:tcPr>
          <w:p w14:paraId="025D4A0A"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Patient years, total</w:t>
            </w:r>
          </w:p>
        </w:tc>
        <w:tc>
          <w:tcPr>
            <w:tcW w:w="1980" w:type="dxa"/>
            <w:tcBorders>
              <w:top w:val="nil"/>
              <w:left w:val="nil"/>
              <w:bottom w:val="nil"/>
              <w:right w:val="nil"/>
            </w:tcBorders>
            <w:shd w:val="clear" w:color="auto" w:fill="auto"/>
            <w:noWrap/>
            <w:vAlign w:val="center"/>
            <w:hideMark/>
          </w:tcPr>
          <w:p w14:paraId="4FEE11E3"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3307</w:t>
            </w:r>
          </w:p>
        </w:tc>
        <w:tc>
          <w:tcPr>
            <w:tcW w:w="1980" w:type="dxa"/>
            <w:tcBorders>
              <w:top w:val="nil"/>
              <w:left w:val="nil"/>
              <w:bottom w:val="nil"/>
              <w:right w:val="single" w:sz="4" w:space="0" w:color="auto"/>
            </w:tcBorders>
            <w:shd w:val="clear" w:color="auto" w:fill="auto"/>
            <w:noWrap/>
            <w:vAlign w:val="center"/>
            <w:hideMark/>
          </w:tcPr>
          <w:p w14:paraId="7B310A6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3035</w:t>
            </w:r>
          </w:p>
        </w:tc>
        <w:tc>
          <w:tcPr>
            <w:tcW w:w="1766" w:type="dxa"/>
            <w:tcBorders>
              <w:top w:val="nil"/>
              <w:left w:val="single" w:sz="4" w:space="0" w:color="auto"/>
              <w:bottom w:val="nil"/>
              <w:right w:val="nil"/>
            </w:tcBorders>
            <w:shd w:val="clear" w:color="auto" w:fill="auto"/>
            <w:noWrap/>
            <w:vAlign w:val="center"/>
            <w:hideMark/>
          </w:tcPr>
          <w:p w14:paraId="23691991"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3549</w:t>
            </w:r>
          </w:p>
        </w:tc>
        <w:tc>
          <w:tcPr>
            <w:tcW w:w="1710" w:type="dxa"/>
            <w:tcBorders>
              <w:top w:val="nil"/>
              <w:left w:val="nil"/>
              <w:bottom w:val="nil"/>
              <w:right w:val="nil"/>
            </w:tcBorders>
            <w:shd w:val="clear" w:color="auto" w:fill="auto"/>
            <w:noWrap/>
            <w:vAlign w:val="center"/>
            <w:hideMark/>
          </w:tcPr>
          <w:p w14:paraId="120684CE"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3146</w:t>
            </w:r>
          </w:p>
        </w:tc>
      </w:tr>
      <w:tr w:rsidR="00D739B2" w:rsidRPr="00D739B2" w14:paraId="0B113ECF" w14:textId="77777777" w:rsidTr="004E51AC">
        <w:trPr>
          <w:trHeight w:val="280"/>
        </w:trPr>
        <w:tc>
          <w:tcPr>
            <w:tcW w:w="3510" w:type="dxa"/>
            <w:tcBorders>
              <w:top w:val="nil"/>
              <w:left w:val="nil"/>
              <w:bottom w:val="nil"/>
              <w:right w:val="nil"/>
            </w:tcBorders>
            <w:shd w:val="clear" w:color="auto" w:fill="auto"/>
            <w:noWrap/>
            <w:vAlign w:val="bottom"/>
            <w:hideMark/>
          </w:tcPr>
          <w:p w14:paraId="62EB6B16"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Median [IQR] per patient</w:t>
            </w:r>
          </w:p>
        </w:tc>
        <w:tc>
          <w:tcPr>
            <w:tcW w:w="1980" w:type="dxa"/>
            <w:tcBorders>
              <w:top w:val="nil"/>
              <w:left w:val="nil"/>
              <w:bottom w:val="nil"/>
              <w:right w:val="nil"/>
            </w:tcBorders>
            <w:shd w:val="clear" w:color="auto" w:fill="auto"/>
            <w:noWrap/>
            <w:vAlign w:val="center"/>
            <w:hideMark/>
          </w:tcPr>
          <w:p w14:paraId="7C7827D2"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0.5 (0.2-1.2)</w:t>
            </w:r>
          </w:p>
        </w:tc>
        <w:tc>
          <w:tcPr>
            <w:tcW w:w="1980" w:type="dxa"/>
            <w:tcBorders>
              <w:top w:val="nil"/>
              <w:left w:val="nil"/>
              <w:bottom w:val="nil"/>
              <w:right w:val="single" w:sz="4" w:space="0" w:color="auto"/>
            </w:tcBorders>
            <w:shd w:val="clear" w:color="auto" w:fill="auto"/>
            <w:noWrap/>
            <w:vAlign w:val="center"/>
            <w:hideMark/>
          </w:tcPr>
          <w:p w14:paraId="289C94A8"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0.5 (0.2-1.3)</w:t>
            </w:r>
          </w:p>
        </w:tc>
        <w:tc>
          <w:tcPr>
            <w:tcW w:w="1766" w:type="dxa"/>
            <w:tcBorders>
              <w:top w:val="nil"/>
              <w:left w:val="single" w:sz="4" w:space="0" w:color="auto"/>
              <w:bottom w:val="nil"/>
              <w:right w:val="nil"/>
            </w:tcBorders>
            <w:shd w:val="clear" w:color="auto" w:fill="auto"/>
            <w:noWrap/>
            <w:vAlign w:val="center"/>
            <w:hideMark/>
          </w:tcPr>
          <w:p w14:paraId="19FFC421"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0.5 (0.2-1.3)</w:t>
            </w:r>
          </w:p>
        </w:tc>
        <w:tc>
          <w:tcPr>
            <w:tcW w:w="1710" w:type="dxa"/>
            <w:tcBorders>
              <w:top w:val="nil"/>
              <w:left w:val="nil"/>
              <w:bottom w:val="nil"/>
              <w:right w:val="nil"/>
            </w:tcBorders>
            <w:shd w:val="clear" w:color="auto" w:fill="auto"/>
            <w:noWrap/>
            <w:vAlign w:val="center"/>
            <w:hideMark/>
          </w:tcPr>
          <w:p w14:paraId="0413EA54"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0.5 (0.2-1.3)</w:t>
            </w:r>
          </w:p>
        </w:tc>
      </w:tr>
      <w:tr w:rsidR="00D739B2" w:rsidRPr="00D739B2" w14:paraId="12F3B8DE" w14:textId="77777777" w:rsidTr="004E51AC">
        <w:trPr>
          <w:trHeight w:val="280"/>
        </w:trPr>
        <w:tc>
          <w:tcPr>
            <w:tcW w:w="3510" w:type="dxa"/>
            <w:tcBorders>
              <w:top w:val="nil"/>
              <w:left w:val="nil"/>
              <w:bottom w:val="nil"/>
              <w:right w:val="nil"/>
            </w:tcBorders>
            <w:shd w:val="clear" w:color="auto" w:fill="auto"/>
            <w:noWrap/>
            <w:vAlign w:val="bottom"/>
            <w:hideMark/>
          </w:tcPr>
          <w:p w14:paraId="2FA337B5" w14:textId="77777777" w:rsidR="00D739B2" w:rsidRPr="00D739B2" w:rsidRDefault="00D739B2" w:rsidP="00D739B2">
            <w:pPr>
              <w:jc w:val="center"/>
              <w:rPr>
                <w:rFonts w:ascii="Arial" w:eastAsia="Times New Roman" w:hAnsi="Arial" w:cs="Arial"/>
                <w:color w:val="000000"/>
                <w:sz w:val="22"/>
                <w:szCs w:val="22"/>
              </w:rPr>
            </w:pPr>
          </w:p>
        </w:tc>
        <w:tc>
          <w:tcPr>
            <w:tcW w:w="1980" w:type="dxa"/>
            <w:tcBorders>
              <w:top w:val="nil"/>
              <w:left w:val="nil"/>
              <w:bottom w:val="nil"/>
              <w:right w:val="nil"/>
            </w:tcBorders>
            <w:shd w:val="clear" w:color="auto" w:fill="auto"/>
            <w:noWrap/>
            <w:vAlign w:val="center"/>
            <w:hideMark/>
          </w:tcPr>
          <w:p w14:paraId="239CF08D" w14:textId="77777777" w:rsidR="00D739B2" w:rsidRPr="00D739B2" w:rsidRDefault="00D739B2" w:rsidP="00D739B2">
            <w:pPr>
              <w:jc w:val="center"/>
              <w:rPr>
                <w:rFonts w:ascii="Arial" w:eastAsia="Times New Roman" w:hAnsi="Arial" w:cs="Arial"/>
                <w:sz w:val="22"/>
                <w:szCs w:val="22"/>
              </w:rPr>
            </w:pPr>
          </w:p>
        </w:tc>
        <w:tc>
          <w:tcPr>
            <w:tcW w:w="1980" w:type="dxa"/>
            <w:tcBorders>
              <w:top w:val="nil"/>
              <w:left w:val="nil"/>
              <w:bottom w:val="nil"/>
              <w:right w:val="single" w:sz="4" w:space="0" w:color="auto"/>
            </w:tcBorders>
            <w:shd w:val="clear" w:color="auto" w:fill="auto"/>
            <w:noWrap/>
            <w:vAlign w:val="center"/>
            <w:hideMark/>
          </w:tcPr>
          <w:p w14:paraId="56C503E0"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5F327A1F"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2E83D79F" w14:textId="77777777" w:rsidR="00D739B2" w:rsidRPr="00D739B2" w:rsidRDefault="00D739B2" w:rsidP="00D739B2">
            <w:pPr>
              <w:jc w:val="center"/>
              <w:rPr>
                <w:rFonts w:ascii="Arial" w:eastAsia="Times New Roman" w:hAnsi="Arial" w:cs="Arial"/>
                <w:sz w:val="22"/>
                <w:szCs w:val="22"/>
              </w:rPr>
            </w:pPr>
          </w:p>
        </w:tc>
      </w:tr>
      <w:tr w:rsidR="00D739B2" w:rsidRPr="00D739B2" w14:paraId="119B1EDA" w14:textId="77777777" w:rsidTr="004E51AC">
        <w:trPr>
          <w:trHeight w:val="280"/>
        </w:trPr>
        <w:tc>
          <w:tcPr>
            <w:tcW w:w="3510" w:type="dxa"/>
            <w:tcBorders>
              <w:top w:val="nil"/>
              <w:left w:val="nil"/>
              <w:bottom w:val="nil"/>
              <w:right w:val="nil"/>
            </w:tcBorders>
            <w:shd w:val="clear" w:color="auto" w:fill="auto"/>
            <w:noWrap/>
            <w:vAlign w:val="bottom"/>
            <w:hideMark/>
          </w:tcPr>
          <w:p w14:paraId="2B07E8C7" w14:textId="04C50046" w:rsidR="00D739B2" w:rsidRPr="00D739B2" w:rsidRDefault="00BA0CA8" w:rsidP="00D739B2">
            <w:pPr>
              <w:rPr>
                <w:rFonts w:ascii="Arial" w:eastAsia="Times New Roman" w:hAnsi="Arial" w:cs="Arial"/>
                <w:b/>
                <w:bCs/>
                <w:color w:val="000000"/>
                <w:sz w:val="22"/>
                <w:szCs w:val="22"/>
              </w:rPr>
            </w:pPr>
            <w:r>
              <w:rPr>
                <w:rFonts w:ascii="Arial" w:eastAsia="Times New Roman" w:hAnsi="Arial" w:cs="Arial"/>
                <w:b/>
                <w:bCs/>
                <w:color w:val="000000"/>
                <w:sz w:val="22"/>
                <w:szCs w:val="22"/>
              </w:rPr>
              <w:t>Reasons for Censoring by</w:t>
            </w:r>
            <w:r w:rsidR="00D739B2" w:rsidRPr="00D739B2">
              <w:rPr>
                <w:rFonts w:ascii="Arial" w:eastAsia="Times New Roman" w:hAnsi="Arial" w:cs="Arial"/>
                <w:b/>
                <w:bCs/>
                <w:color w:val="000000"/>
                <w:sz w:val="22"/>
                <w:szCs w:val="22"/>
              </w:rPr>
              <w:t xml:space="preserve"> 24 months</w:t>
            </w:r>
          </w:p>
        </w:tc>
        <w:tc>
          <w:tcPr>
            <w:tcW w:w="1980" w:type="dxa"/>
            <w:tcBorders>
              <w:top w:val="nil"/>
              <w:left w:val="nil"/>
              <w:bottom w:val="nil"/>
              <w:right w:val="nil"/>
            </w:tcBorders>
            <w:shd w:val="clear" w:color="auto" w:fill="auto"/>
            <w:noWrap/>
            <w:vAlign w:val="center"/>
            <w:hideMark/>
          </w:tcPr>
          <w:p w14:paraId="6979E2BF" w14:textId="77777777" w:rsidR="00D739B2" w:rsidRPr="00D739B2" w:rsidRDefault="00D739B2" w:rsidP="00D739B2">
            <w:pPr>
              <w:jc w:val="center"/>
              <w:rPr>
                <w:rFonts w:ascii="Arial" w:eastAsia="Times New Roman" w:hAnsi="Arial" w:cs="Arial"/>
                <w:b/>
                <w:bCs/>
                <w:color w:val="000000"/>
                <w:sz w:val="22"/>
                <w:szCs w:val="22"/>
              </w:rPr>
            </w:pPr>
          </w:p>
        </w:tc>
        <w:tc>
          <w:tcPr>
            <w:tcW w:w="1980" w:type="dxa"/>
            <w:tcBorders>
              <w:top w:val="nil"/>
              <w:left w:val="nil"/>
              <w:bottom w:val="nil"/>
              <w:right w:val="single" w:sz="4" w:space="0" w:color="auto"/>
            </w:tcBorders>
            <w:shd w:val="clear" w:color="auto" w:fill="auto"/>
            <w:noWrap/>
            <w:vAlign w:val="center"/>
            <w:hideMark/>
          </w:tcPr>
          <w:p w14:paraId="03FCAC08"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0F605EF0"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7F26E138" w14:textId="77777777" w:rsidR="00D739B2" w:rsidRPr="00D739B2" w:rsidRDefault="00D739B2" w:rsidP="00D739B2">
            <w:pPr>
              <w:jc w:val="center"/>
              <w:rPr>
                <w:rFonts w:ascii="Arial" w:eastAsia="Times New Roman" w:hAnsi="Arial" w:cs="Arial"/>
                <w:sz w:val="22"/>
                <w:szCs w:val="22"/>
              </w:rPr>
            </w:pPr>
          </w:p>
        </w:tc>
      </w:tr>
      <w:tr w:rsidR="00D739B2" w:rsidRPr="00D739B2" w14:paraId="54B8B627" w14:textId="77777777" w:rsidTr="004E51AC">
        <w:trPr>
          <w:trHeight w:val="280"/>
        </w:trPr>
        <w:tc>
          <w:tcPr>
            <w:tcW w:w="3510" w:type="dxa"/>
            <w:tcBorders>
              <w:top w:val="nil"/>
              <w:left w:val="nil"/>
              <w:bottom w:val="nil"/>
              <w:right w:val="nil"/>
            </w:tcBorders>
            <w:shd w:val="clear" w:color="auto" w:fill="auto"/>
            <w:noWrap/>
            <w:vAlign w:val="bottom"/>
            <w:hideMark/>
          </w:tcPr>
          <w:p w14:paraId="06FB4E44"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Occurrence of outcome; n (%)</w:t>
            </w:r>
          </w:p>
        </w:tc>
        <w:tc>
          <w:tcPr>
            <w:tcW w:w="1980" w:type="dxa"/>
            <w:tcBorders>
              <w:top w:val="nil"/>
              <w:left w:val="nil"/>
              <w:bottom w:val="nil"/>
              <w:right w:val="nil"/>
            </w:tcBorders>
            <w:shd w:val="clear" w:color="auto" w:fill="auto"/>
            <w:noWrap/>
            <w:vAlign w:val="center"/>
            <w:hideMark/>
          </w:tcPr>
          <w:p w14:paraId="71F63B9A"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250 (8.0%)</w:t>
            </w:r>
          </w:p>
        </w:tc>
        <w:tc>
          <w:tcPr>
            <w:tcW w:w="1980" w:type="dxa"/>
            <w:tcBorders>
              <w:top w:val="nil"/>
              <w:left w:val="nil"/>
              <w:bottom w:val="nil"/>
              <w:right w:val="single" w:sz="4" w:space="0" w:color="auto"/>
            </w:tcBorders>
            <w:shd w:val="clear" w:color="auto" w:fill="auto"/>
            <w:noWrap/>
            <w:vAlign w:val="center"/>
            <w:hideMark/>
          </w:tcPr>
          <w:p w14:paraId="0E5965EE" w14:textId="2A636FE6"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270</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(8.7%)</w:t>
            </w:r>
          </w:p>
        </w:tc>
        <w:tc>
          <w:tcPr>
            <w:tcW w:w="1766" w:type="dxa"/>
            <w:tcBorders>
              <w:top w:val="nil"/>
              <w:left w:val="single" w:sz="4" w:space="0" w:color="auto"/>
              <w:bottom w:val="nil"/>
              <w:right w:val="nil"/>
            </w:tcBorders>
            <w:shd w:val="clear" w:color="auto" w:fill="auto"/>
            <w:noWrap/>
            <w:vAlign w:val="center"/>
            <w:hideMark/>
          </w:tcPr>
          <w:p w14:paraId="16A80CFE"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44 (1.4%)</w:t>
            </w:r>
          </w:p>
        </w:tc>
        <w:tc>
          <w:tcPr>
            <w:tcW w:w="1710" w:type="dxa"/>
            <w:tcBorders>
              <w:top w:val="nil"/>
              <w:left w:val="nil"/>
              <w:bottom w:val="nil"/>
              <w:right w:val="nil"/>
            </w:tcBorders>
            <w:shd w:val="clear" w:color="auto" w:fill="auto"/>
            <w:noWrap/>
            <w:vAlign w:val="center"/>
            <w:hideMark/>
          </w:tcPr>
          <w:p w14:paraId="48072239" w14:textId="1168DE72"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91</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(2.9%)</w:t>
            </w:r>
          </w:p>
        </w:tc>
      </w:tr>
      <w:tr w:rsidR="00D739B2" w:rsidRPr="00D739B2" w14:paraId="425A3290" w14:textId="77777777" w:rsidTr="004E51AC">
        <w:trPr>
          <w:trHeight w:val="280"/>
        </w:trPr>
        <w:tc>
          <w:tcPr>
            <w:tcW w:w="3510" w:type="dxa"/>
            <w:tcBorders>
              <w:top w:val="nil"/>
              <w:left w:val="nil"/>
              <w:bottom w:val="nil"/>
              <w:right w:val="nil"/>
            </w:tcBorders>
            <w:shd w:val="clear" w:color="auto" w:fill="auto"/>
            <w:noWrap/>
            <w:vAlign w:val="bottom"/>
            <w:hideMark/>
          </w:tcPr>
          <w:p w14:paraId="4D30E104"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End of data; n (%)</w:t>
            </w:r>
          </w:p>
        </w:tc>
        <w:tc>
          <w:tcPr>
            <w:tcW w:w="1980" w:type="dxa"/>
            <w:tcBorders>
              <w:top w:val="nil"/>
              <w:left w:val="nil"/>
              <w:bottom w:val="nil"/>
              <w:right w:val="nil"/>
            </w:tcBorders>
            <w:shd w:val="clear" w:color="auto" w:fill="auto"/>
            <w:noWrap/>
            <w:vAlign w:val="center"/>
            <w:hideMark/>
          </w:tcPr>
          <w:p w14:paraId="6735310A"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451 (14.5%)</w:t>
            </w:r>
          </w:p>
        </w:tc>
        <w:tc>
          <w:tcPr>
            <w:tcW w:w="1980" w:type="dxa"/>
            <w:tcBorders>
              <w:top w:val="nil"/>
              <w:left w:val="nil"/>
              <w:bottom w:val="nil"/>
              <w:right w:val="single" w:sz="4" w:space="0" w:color="auto"/>
            </w:tcBorders>
            <w:shd w:val="clear" w:color="auto" w:fill="auto"/>
            <w:noWrap/>
            <w:vAlign w:val="center"/>
            <w:hideMark/>
          </w:tcPr>
          <w:p w14:paraId="7EA73D9F"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455 (14.7%)</w:t>
            </w:r>
          </w:p>
        </w:tc>
        <w:tc>
          <w:tcPr>
            <w:tcW w:w="1766" w:type="dxa"/>
            <w:tcBorders>
              <w:top w:val="nil"/>
              <w:left w:val="single" w:sz="4" w:space="0" w:color="auto"/>
              <w:bottom w:val="nil"/>
              <w:right w:val="nil"/>
            </w:tcBorders>
            <w:shd w:val="clear" w:color="auto" w:fill="auto"/>
            <w:noWrap/>
            <w:vAlign w:val="center"/>
            <w:hideMark/>
          </w:tcPr>
          <w:p w14:paraId="70F3F9AA" w14:textId="364BA114"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480</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(15.5%)</w:t>
            </w:r>
          </w:p>
        </w:tc>
        <w:tc>
          <w:tcPr>
            <w:tcW w:w="1710" w:type="dxa"/>
            <w:tcBorders>
              <w:top w:val="nil"/>
              <w:left w:val="nil"/>
              <w:bottom w:val="nil"/>
              <w:right w:val="nil"/>
            </w:tcBorders>
            <w:shd w:val="clear" w:color="auto" w:fill="auto"/>
            <w:noWrap/>
            <w:vAlign w:val="center"/>
            <w:hideMark/>
          </w:tcPr>
          <w:p w14:paraId="5ABDE72B" w14:textId="7F2A66CB"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475</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(15.3%)</w:t>
            </w:r>
          </w:p>
        </w:tc>
      </w:tr>
      <w:tr w:rsidR="00D739B2" w:rsidRPr="00D739B2" w14:paraId="45F931BD" w14:textId="77777777" w:rsidTr="004E51AC">
        <w:trPr>
          <w:trHeight w:val="280"/>
        </w:trPr>
        <w:tc>
          <w:tcPr>
            <w:tcW w:w="3510" w:type="dxa"/>
            <w:tcBorders>
              <w:top w:val="nil"/>
              <w:left w:val="nil"/>
              <w:bottom w:val="nil"/>
              <w:right w:val="nil"/>
            </w:tcBorders>
            <w:shd w:val="clear" w:color="auto" w:fill="auto"/>
            <w:noWrap/>
            <w:vAlign w:val="bottom"/>
            <w:hideMark/>
          </w:tcPr>
          <w:p w14:paraId="1952A544"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Death; n (%)</w:t>
            </w:r>
          </w:p>
        </w:tc>
        <w:tc>
          <w:tcPr>
            <w:tcW w:w="1980" w:type="dxa"/>
            <w:tcBorders>
              <w:top w:val="nil"/>
              <w:left w:val="nil"/>
              <w:bottom w:val="nil"/>
              <w:right w:val="nil"/>
            </w:tcBorders>
            <w:shd w:val="clear" w:color="auto" w:fill="auto"/>
            <w:noWrap/>
            <w:vAlign w:val="center"/>
            <w:hideMark/>
          </w:tcPr>
          <w:p w14:paraId="129AEB36"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68 (2.2%)</w:t>
            </w:r>
          </w:p>
        </w:tc>
        <w:tc>
          <w:tcPr>
            <w:tcW w:w="1980" w:type="dxa"/>
            <w:tcBorders>
              <w:top w:val="nil"/>
              <w:left w:val="nil"/>
              <w:bottom w:val="nil"/>
              <w:right w:val="single" w:sz="4" w:space="0" w:color="auto"/>
            </w:tcBorders>
            <w:shd w:val="clear" w:color="auto" w:fill="auto"/>
            <w:noWrap/>
            <w:vAlign w:val="center"/>
            <w:hideMark/>
          </w:tcPr>
          <w:p w14:paraId="5C3E315C"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74 (2.4%)</w:t>
            </w:r>
          </w:p>
        </w:tc>
        <w:tc>
          <w:tcPr>
            <w:tcW w:w="1766" w:type="dxa"/>
            <w:tcBorders>
              <w:top w:val="nil"/>
              <w:left w:val="single" w:sz="4" w:space="0" w:color="auto"/>
              <w:bottom w:val="nil"/>
              <w:right w:val="nil"/>
            </w:tcBorders>
            <w:shd w:val="clear" w:color="auto" w:fill="auto"/>
            <w:noWrap/>
            <w:vAlign w:val="center"/>
            <w:hideMark/>
          </w:tcPr>
          <w:p w14:paraId="58F87FD8" w14:textId="0E6F48EC"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71</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(2.3%)</w:t>
            </w:r>
          </w:p>
        </w:tc>
        <w:tc>
          <w:tcPr>
            <w:tcW w:w="1710" w:type="dxa"/>
            <w:tcBorders>
              <w:top w:val="nil"/>
              <w:left w:val="nil"/>
              <w:bottom w:val="nil"/>
              <w:right w:val="nil"/>
            </w:tcBorders>
            <w:shd w:val="clear" w:color="auto" w:fill="auto"/>
            <w:noWrap/>
            <w:vAlign w:val="center"/>
            <w:hideMark/>
          </w:tcPr>
          <w:p w14:paraId="504D711C"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83 (2.7%)</w:t>
            </w:r>
          </w:p>
        </w:tc>
      </w:tr>
      <w:tr w:rsidR="00D739B2" w:rsidRPr="00D739B2" w14:paraId="70C79C82" w14:textId="77777777" w:rsidTr="004E51AC">
        <w:trPr>
          <w:trHeight w:val="280"/>
        </w:trPr>
        <w:tc>
          <w:tcPr>
            <w:tcW w:w="3510" w:type="dxa"/>
            <w:tcBorders>
              <w:top w:val="nil"/>
              <w:left w:val="nil"/>
              <w:bottom w:val="nil"/>
              <w:right w:val="nil"/>
            </w:tcBorders>
            <w:shd w:val="clear" w:color="auto" w:fill="auto"/>
            <w:noWrap/>
            <w:vAlign w:val="bottom"/>
            <w:hideMark/>
          </w:tcPr>
          <w:p w14:paraId="03F5EF17"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Medication discontinuation; n (%)</w:t>
            </w:r>
          </w:p>
        </w:tc>
        <w:tc>
          <w:tcPr>
            <w:tcW w:w="1980" w:type="dxa"/>
            <w:tcBorders>
              <w:top w:val="nil"/>
              <w:left w:val="nil"/>
              <w:bottom w:val="nil"/>
              <w:right w:val="nil"/>
            </w:tcBorders>
            <w:shd w:val="clear" w:color="auto" w:fill="auto"/>
            <w:noWrap/>
            <w:vAlign w:val="center"/>
            <w:hideMark/>
          </w:tcPr>
          <w:p w14:paraId="0CE1E72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2225 (71.6%)</w:t>
            </w:r>
          </w:p>
        </w:tc>
        <w:tc>
          <w:tcPr>
            <w:tcW w:w="1980" w:type="dxa"/>
            <w:tcBorders>
              <w:top w:val="nil"/>
              <w:left w:val="nil"/>
              <w:bottom w:val="nil"/>
              <w:right w:val="single" w:sz="4" w:space="0" w:color="auto"/>
            </w:tcBorders>
            <w:shd w:val="clear" w:color="auto" w:fill="auto"/>
            <w:noWrap/>
            <w:vAlign w:val="center"/>
            <w:hideMark/>
          </w:tcPr>
          <w:p w14:paraId="516D7392"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2199 (70.8%)</w:t>
            </w:r>
          </w:p>
        </w:tc>
        <w:tc>
          <w:tcPr>
            <w:tcW w:w="1766" w:type="dxa"/>
            <w:tcBorders>
              <w:top w:val="nil"/>
              <w:left w:val="single" w:sz="4" w:space="0" w:color="auto"/>
              <w:bottom w:val="nil"/>
              <w:right w:val="nil"/>
            </w:tcBorders>
            <w:shd w:val="clear" w:color="auto" w:fill="auto"/>
            <w:noWrap/>
            <w:vAlign w:val="center"/>
            <w:hideMark/>
          </w:tcPr>
          <w:p w14:paraId="6EF78EEA" w14:textId="528D4A51"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2356</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(75.9%)</w:t>
            </w:r>
          </w:p>
        </w:tc>
        <w:tc>
          <w:tcPr>
            <w:tcW w:w="1710" w:type="dxa"/>
            <w:tcBorders>
              <w:top w:val="nil"/>
              <w:left w:val="nil"/>
              <w:bottom w:val="nil"/>
              <w:right w:val="nil"/>
            </w:tcBorders>
            <w:shd w:val="clear" w:color="auto" w:fill="auto"/>
            <w:noWrap/>
            <w:vAlign w:val="center"/>
            <w:hideMark/>
          </w:tcPr>
          <w:p w14:paraId="2A328FE9" w14:textId="18B68078"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2310</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(74.4%)</w:t>
            </w:r>
          </w:p>
        </w:tc>
      </w:tr>
      <w:tr w:rsidR="00D739B2" w:rsidRPr="00D739B2" w14:paraId="0FEB0A5D" w14:textId="77777777" w:rsidTr="004E51AC">
        <w:trPr>
          <w:trHeight w:val="280"/>
        </w:trPr>
        <w:tc>
          <w:tcPr>
            <w:tcW w:w="3510" w:type="dxa"/>
            <w:tcBorders>
              <w:top w:val="nil"/>
              <w:left w:val="nil"/>
              <w:bottom w:val="nil"/>
              <w:right w:val="nil"/>
            </w:tcBorders>
            <w:shd w:val="clear" w:color="auto" w:fill="auto"/>
            <w:noWrap/>
            <w:vAlign w:val="bottom"/>
            <w:hideMark/>
          </w:tcPr>
          <w:p w14:paraId="34CC1047"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Switched to other AAD; n (%)</w:t>
            </w:r>
          </w:p>
        </w:tc>
        <w:tc>
          <w:tcPr>
            <w:tcW w:w="1980" w:type="dxa"/>
            <w:tcBorders>
              <w:top w:val="nil"/>
              <w:left w:val="nil"/>
              <w:bottom w:val="nil"/>
              <w:right w:val="nil"/>
            </w:tcBorders>
            <w:shd w:val="clear" w:color="auto" w:fill="auto"/>
            <w:noWrap/>
            <w:vAlign w:val="center"/>
            <w:hideMark/>
          </w:tcPr>
          <w:p w14:paraId="139940BF"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112 (3.6%)</w:t>
            </w:r>
          </w:p>
        </w:tc>
        <w:tc>
          <w:tcPr>
            <w:tcW w:w="1980" w:type="dxa"/>
            <w:tcBorders>
              <w:top w:val="nil"/>
              <w:left w:val="nil"/>
              <w:bottom w:val="nil"/>
              <w:right w:val="single" w:sz="4" w:space="0" w:color="auto"/>
            </w:tcBorders>
            <w:shd w:val="clear" w:color="auto" w:fill="auto"/>
            <w:noWrap/>
            <w:vAlign w:val="center"/>
            <w:hideMark/>
          </w:tcPr>
          <w:p w14:paraId="7955A7C4" w14:textId="43C88AC5"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108</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(3.5%)</w:t>
            </w:r>
          </w:p>
        </w:tc>
        <w:tc>
          <w:tcPr>
            <w:tcW w:w="1766" w:type="dxa"/>
            <w:tcBorders>
              <w:top w:val="nil"/>
              <w:left w:val="single" w:sz="4" w:space="0" w:color="auto"/>
              <w:bottom w:val="nil"/>
              <w:right w:val="nil"/>
            </w:tcBorders>
            <w:shd w:val="clear" w:color="auto" w:fill="auto"/>
            <w:noWrap/>
            <w:vAlign w:val="center"/>
            <w:hideMark/>
          </w:tcPr>
          <w:p w14:paraId="6611F5E0"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155 (5.0%)</w:t>
            </w:r>
          </w:p>
        </w:tc>
        <w:tc>
          <w:tcPr>
            <w:tcW w:w="1710" w:type="dxa"/>
            <w:tcBorders>
              <w:top w:val="nil"/>
              <w:left w:val="nil"/>
              <w:bottom w:val="nil"/>
              <w:right w:val="nil"/>
            </w:tcBorders>
            <w:shd w:val="clear" w:color="auto" w:fill="auto"/>
            <w:noWrap/>
            <w:vAlign w:val="center"/>
            <w:hideMark/>
          </w:tcPr>
          <w:p w14:paraId="5A126CF6" w14:textId="2C6B45D9"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147</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(4.7%)</w:t>
            </w:r>
          </w:p>
        </w:tc>
      </w:tr>
      <w:tr w:rsidR="00D739B2" w:rsidRPr="00D739B2" w14:paraId="45F4C826" w14:textId="77777777" w:rsidTr="004E51AC">
        <w:trPr>
          <w:trHeight w:val="280"/>
        </w:trPr>
        <w:tc>
          <w:tcPr>
            <w:tcW w:w="3510" w:type="dxa"/>
            <w:tcBorders>
              <w:top w:val="nil"/>
              <w:left w:val="nil"/>
              <w:bottom w:val="nil"/>
              <w:right w:val="nil"/>
            </w:tcBorders>
            <w:shd w:val="clear" w:color="auto" w:fill="auto"/>
            <w:noWrap/>
            <w:vAlign w:val="bottom"/>
            <w:hideMark/>
          </w:tcPr>
          <w:p w14:paraId="46F941F7" w14:textId="77777777" w:rsidR="00D739B2" w:rsidRPr="00D739B2" w:rsidRDefault="00D739B2" w:rsidP="00D739B2">
            <w:pPr>
              <w:jc w:val="center"/>
              <w:rPr>
                <w:rFonts w:ascii="Arial" w:eastAsia="Times New Roman" w:hAnsi="Arial" w:cs="Arial"/>
                <w:color w:val="000000"/>
                <w:sz w:val="22"/>
                <w:szCs w:val="22"/>
              </w:rPr>
            </w:pPr>
          </w:p>
        </w:tc>
        <w:tc>
          <w:tcPr>
            <w:tcW w:w="1980" w:type="dxa"/>
            <w:tcBorders>
              <w:top w:val="nil"/>
              <w:left w:val="nil"/>
              <w:bottom w:val="nil"/>
              <w:right w:val="nil"/>
            </w:tcBorders>
            <w:shd w:val="clear" w:color="auto" w:fill="auto"/>
            <w:noWrap/>
            <w:vAlign w:val="center"/>
            <w:hideMark/>
          </w:tcPr>
          <w:p w14:paraId="636472B3" w14:textId="77777777" w:rsidR="00D739B2" w:rsidRPr="00D739B2" w:rsidRDefault="00D739B2" w:rsidP="00D739B2">
            <w:pPr>
              <w:jc w:val="center"/>
              <w:rPr>
                <w:rFonts w:ascii="Arial" w:eastAsia="Times New Roman" w:hAnsi="Arial" w:cs="Arial"/>
                <w:sz w:val="22"/>
                <w:szCs w:val="22"/>
              </w:rPr>
            </w:pPr>
          </w:p>
        </w:tc>
        <w:tc>
          <w:tcPr>
            <w:tcW w:w="1980" w:type="dxa"/>
            <w:tcBorders>
              <w:top w:val="nil"/>
              <w:left w:val="nil"/>
              <w:bottom w:val="nil"/>
              <w:right w:val="single" w:sz="4" w:space="0" w:color="auto"/>
            </w:tcBorders>
            <w:shd w:val="clear" w:color="auto" w:fill="auto"/>
            <w:noWrap/>
            <w:vAlign w:val="center"/>
            <w:hideMark/>
          </w:tcPr>
          <w:p w14:paraId="1F91324B"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204324FD"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4AEECB29" w14:textId="77777777" w:rsidR="00D739B2" w:rsidRPr="00D739B2" w:rsidRDefault="00D739B2" w:rsidP="00D739B2">
            <w:pPr>
              <w:jc w:val="center"/>
              <w:rPr>
                <w:rFonts w:ascii="Arial" w:eastAsia="Times New Roman" w:hAnsi="Arial" w:cs="Arial"/>
                <w:sz w:val="22"/>
                <w:szCs w:val="22"/>
              </w:rPr>
            </w:pPr>
          </w:p>
        </w:tc>
      </w:tr>
      <w:tr w:rsidR="00D739B2" w:rsidRPr="00D739B2" w14:paraId="11D2A514" w14:textId="77777777" w:rsidTr="004E51AC">
        <w:trPr>
          <w:trHeight w:val="300"/>
        </w:trPr>
        <w:tc>
          <w:tcPr>
            <w:tcW w:w="3510" w:type="dxa"/>
            <w:tcBorders>
              <w:top w:val="nil"/>
              <w:left w:val="nil"/>
              <w:bottom w:val="nil"/>
              <w:right w:val="nil"/>
            </w:tcBorders>
            <w:shd w:val="clear" w:color="auto" w:fill="auto"/>
            <w:vAlign w:val="bottom"/>
            <w:hideMark/>
          </w:tcPr>
          <w:p w14:paraId="5AAF34FE" w14:textId="6E33DEC1" w:rsidR="00D739B2" w:rsidRPr="00D739B2" w:rsidRDefault="00D739B2" w:rsidP="00D739B2">
            <w:pP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 xml:space="preserve">Outcome Incidence (per 100 </w:t>
            </w:r>
            <w:r>
              <w:rPr>
                <w:rFonts w:ascii="Arial" w:eastAsia="Times New Roman" w:hAnsi="Arial" w:cs="Arial"/>
                <w:b/>
                <w:bCs/>
                <w:color w:val="000000"/>
                <w:sz w:val="22"/>
                <w:szCs w:val="22"/>
              </w:rPr>
              <w:t>patient</w:t>
            </w:r>
            <w:r w:rsidRPr="00D739B2">
              <w:rPr>
                <w:rFonts w:ascii="Arial" w:eastAsia="Times New Roman" w:hAnsi="Arial" w:cs="Arial"/>
                <w:b/>
                <w:bCs/>
                <w:color w:val="000000"/>
                <w:sz w:val="22"/>
                <w:szCs w:val="22"/>
              </w:rPr>
              <w:t>-years)</w:t>
            </w:r>
          </w:p>
        </w:tc>
        <w:tc>
          <w:tcPr>
            <w:tcW w:w="1980" w:type="dxa"/>
            <w:tcBorders>
              <w:top w:val="nil"/>
              <w:left w:val="nil"/>
              <w:bottom w:val="nil"/>
              <w:right w:val="nil"/>
            </w:tcBorders>
            <w:shd w:val="clear" w:color="auto" w:fill="auto"/>
            <w:noWrap/>
            <w:vAlign w:val="center"/>
            <w:hideMark/>
          </w:tcPr>
          <w:p w14:paraId="0E90D04A" w14:textId="77777777" w:rsidR="00D739B2" w:rsidRPr="00D739B2" w:rsidRDefault="00D739B2" w:rsidP="00D739B2">
            <w:pPr>
              <w:jc w:val="center"/>
              <w:rPr>
                <w:rFonts w:ascii="Arial" w:eastAsia="Times New Roman" w:hAnsi="Arial" w:cs="Arial"/>
                <w:b/>
                <w:bCs/>
                <w:color w:val="000000"/>
                <w:sz w:val="22"/>
                <w:szCs w:val="22"/>
              </w:rPr>
            </w:pPr>
          </w:p>
        </w:tc>
        <w:tc>
          <w:tcPr>
            <w:tcW w:w="1980" w:type="dxa"/>
            <w:tcBorders>
              <w:top w:val="nil"/>
              <w:left w:val="nil"/>
              <w:bottom w:val="nil"/>
              <w:right w:val="single" w:sz="4" w:space="0" w:color="auto"/>
            </w:tcBorders>
            <w:shd w:val="clear" w:color="auto" w:fill="auto"/>
            <w:noWrap/>
            <w:vAlign w:val="center"/>
            <w:hideMark/>
          </w:tcPr>
          <w:p w14:paraId="64935C74"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044EC97A"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5D94000C" w14:textId="77777777" w:rsidR="00D739B2" w:rsidRPr="00D739B2" w:rsidRDefault="00D739B2" w:rsidP="00D739B2">
            <w:pPr>
              <w:jc w:val="center"/>
              <w:rPr>
                <w:rFonts w:ascii="Arial" w:eastAsia="Times New Roman" w:hAnsi="Arial" w:cs="Arial"/>
                <w:sz w:val="22"/>
                <w:szCs w:val="22"/>
              </w:rPr>
            </w:pPr>
          </w:p>
        </w:tc>
      </w:tr>
      <w:tr w:rsidR="00D739B2" w:rsidRPr="00D739B2" w14:paraId="56B670E8" w14:textId="77777777" w:rsidTr="004E51AC">
        <w:trPr>
          <w:trHeight w:val="280"/>
        </w:trPr>
        <w:tc>
          <w:tcPr>
            <w:tcW w:w="3510" w:type="dxa"/>
            <w:tcBorders>
              <w:top w:val="nil"/>
              <w:left w:val="nil"/>
              <w:bottom w:val="nil"/>
              <w:right w:val="nil"/>
            </w:tcBorders>
            <w:shd w:val="clear" w:color="auto" w:fill="auto"/>
            <w:noWrap/>
            <w:vAlign w:val="bottom"/>
            <w:hideMark/>
          </w:tcPr>
          <w:p w14:paraId="5913A623"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Total; n (%)</w:t>
            </w:r>
          </w:p>
        </w:tc>
        <w:tc>
          <w:tcPr>
            <w:tcW w:w="1980" w:type="dxa"/>
            <w:tcBorders>
              <w:top w:val="nil"/>
              <w:left w:val="nil"/>
              <w:bottom w:val="nil"/>
              <w:right w:val="nil"/>
            </w:tcBorders>
            <w:shd w:val="clear" w:color="auto" w:fill="auto"/>
            <w:noWrap/>
            <w:vAlign w:val="center"/>
            <w:hideMark/>
          </w:tcPr>
          <w:p w14:paraId="61D97D8E" w14:textId="1F3BB23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310</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(10.0%)</w:t>
            </w:r>
          </w:p>
        </w:tc>
        <w:tc>
          <w:tcPr>
            <w:tcW w:w="1980" w:type="dxa"/>
            <w:tcBorders>
              <w:top w:val="nil"/>
              <w:left w:val="nil"/>
              <w:bottom w:val="nil"/>
              <w:right w:val="single" w:sz="4" w:space="0" w:color="auto"/>
            </w:tcBorders>
            <w:shd w:val="clear" w:color="auto" w:fill="auto"/>
            <w:noWrap/>
            <w:vAlign w:val="center"/>
            <w:hideMark/>
          </w:tcPr>
          <w:p w14:paraId="6FB29F8D"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296 (9.5%)</w:t>
            </w:r>
          </w:p>
        </w:tc>
        <w:tc>
          <w:tcPr>
            <w:tcW w:w="1766" w:type="dxa"/>
            <w:tcBorders>
              <w:top w:val="nil"/>
              <w:left w:val="single" w:sz="4" w:space="0" w:color="auto"/>
              <w:bottom w:val="nil"/>
              <w:right w:val="nil"/>
            </w:tcBorders>
            <w:shd w:val="clear" w:color="auto" w:fill="auto"/>
            <w:noWrap/>
            <w:vAlign w:val="center"/>
            <w:hideMark/>
          </w:tcPr>
          <w:p w14:paraId="329FE4CD"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58 (1.9%)</w:t>
            </w:r>
          </w:p>
        </w:tc>
        <w:tc>
          <w:tcPr>
            <w:tcW w:w="1710" w:type="dxa"/>
            <w:tcBorders>
              <w:top w:val="nil"/>
              <w:left w:val="nil"/>
              <w:bottom w:val="nil"/>
              <w:right w:val="nil"/>
            </w:tcBorders>
            <w:shd w:val="clear" w:color="auto" w:fill="auto"/>
            <w:noWrap/>
            <w:vAlign w:val="center"/>
            <w:hideMark/>
          </w:tcPr>
          <w:p w14:paraId="3B195AA0" w14:textId="34612578"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105</w:t>
            </w:r>
            <w:r w:rsidR="00BA0CA8">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(3.4%)</w:t>
            </w:r>
          </w:p>
        </w:tc>
      </w:tr>
      <w:tr w:rsidR="00D739B2" w:rsidRPr="00D739B2" w14:paraId="440AF06D" w14:textId="77777777" w:rsidTr="004E51AC">
        <w:trPr>
          <w:trHeight w:val="280"/>
        </w:trPr>
        <w:tc>
          <w:tcPr>
            <w:tcW w:w="3510" w:type="dxa"/>
            <w:tcBorders>
              <w:top w:val="nil"/>
              <w:left w:val="nil"/>
              <w:bottom w:val="nil"/>
              <w:right w:val="nil"/>
            </w:tcBorders>
            <w:shd w:val="clear" w:color="auto" w:fill="auto"/>
            <w:noWrap/>
            <w:vAlign w:val="bottom"/>
            <w:hideMark/>
          </w:tcPr>
          <w:p w14:paraId="30166ABF"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3 months (95% CI)</w:t>
            </w:r>
          </w:p>
        </w:tc>
        <w:tc>
          <w:tcPr>
            <w:tcW w:w="1980" w:type="dxa"/>
            <w:tcBorders>
              <w:top w:val="nil"/>
              <w:left w:val="nil"/>
              <w:bottom w:val="nil"/>
              <w:right w:val="nil"/>
            </w:tcBorders>
            <w:shd w:val="clear" w:color="auto" w:fill="auto"/>
            <w:noWrap/>
            <w:vAlign w:val="center"/>
            <w:hideMark/>
          </w:tcPr>
          <w:p w14:paraId="6709DB8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18.4 (15.3 - 22.0)</w:t>
            </w:r>
          </w:p>
        </w:tc>
        <w:tc>
          <w:tcPr>
            <w:tcW w:w="1980" w:type="dxa"/>
            <w:tcBorders>
              <w:top w:val="nil"/>
              <w:left w:val="nil"/>
              <w:bottom w:val="nil"/>
              <w:right w:val="single" w:sz="4" w:space="0" w:color="auto"/>
            </w:tcBorders>
            <w:shd w:val="clear" w:color="auto" w:fill="auto"/>
            <w:noWrap/>
            <w:vAlign w:val="center"/>
            <w:hideMark/>
          </w:tcPr>
          <w:p w14:paraId="0037C874"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17.6 (14.8 - 21.1)</w:t>
            </w:r>
          </w:p>
        </w:tc>
        <w:tc>
          <w:tcPr>
            <w:tcW w:w="1766" w:type="dxa"/>
            <w:tcBorders>
              <w:top w:val="nil"/>
              <w:left w:val="single" w:sz="4" w:space="0" w:color="auto"/>
              <w:bottom w:val="nil"/>
              <w:right w:val="nil"/>
            </w:tcBorders>
            <w:shd w:val="clear" w:color="auto" w:fill="auto"/>
            <w:noWrap/>
            <w:vAlign w:val="center"/>
            <w:hideMark/>
          </w:tcPr>
          <w:p w14:paraId="7711A7A9"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2.6 (1.6 - 4.2)</w:t>
            </w:r>
          </w:p>
        </w:tc>
        <w:tc>
          <w:tcPr>
            <w:tcW w:w="1710" w:type="dxa"/>
            <w:tcBorders>
              <w:top w:val="nil"/>
              <w:left w:val="nil"/>
              <w:bottom w:val="nil"/>
              <w:right w:val="nil"/>
            </w:tcBorders>
            <w:shd w:val="clear" w:color="auto" w:fill="auto"/>
            <w:noWrap/>
            <w:vAlign w:val="center"/>
            <w:hideMark/>
          </w:tcPr>
          <w:p w14:paraId="7B59EDF6"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5.6 (4.1 - 7.7)</w:t>
            </w:r>
          </w:p>
        </w:tc>
      </w:tr>
      <w:tr w:rsidR="00D739B2" w:rsidRPr="00D739B2" w14:paraId="06D672C0" w14:textId="77777777" w:rsidTr="004E51AC">
        <w:trPr>
          <w:trHeight w:val="280"/>
        </w:trPr>
        <w:tc>
          <w:tcPr>
            <w:tcW w:w="3510" w:type="dxa"/>
            <w:tcBorders>
              <w:top w:val="nil"/>
              <w:left w:val="nil"/>
              <w:bottom w:val="nil"/>
              <w:right w:val="nil"/>
            </w:tcBorders>
            <w:shd w:val="clear" w:color="auto" w:fill="auto"/>
            <w:noWrap/>
            <w:vAlign w:val="bottom"/>
            <w:hideMark/>
          </w:tcPr>
          <w:p w14:paraId="72B65B63"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6 months (95% CI)</w:t>
            </w:r>
          </w:p>
        </w:tc>
        <w:tc>
          <w:tcPr>
            <w:tcW w:w="1980" w:type="dxa"/>
            <w:tcBorders>
              <w:top w:val="nil"/>
              <w:left w:val="nil"/>
              <w:bottom w:val="nil"/>
              <w:right w:val="nil"/>
            </w:tcBorders>
            <w:shd w:val="clear" w:color="auto" w:fill="auto"/>
            <w:noWrap/>
            <w:vAlign w:val="center"/>
            <w:hideMark/>
          </w:tcPr>
          <w:p w14:paraId="58DCE45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14.9 (12.7 - 17.4)</w:t>
            </w:r>
          </w:p>
        </w:tc>
        <w:tc>
          <w:tcPr>
            <w:tcW w:w="1980" w:type="dxa"/>
            <w:tcBorders>
              <w:top w:val="nil"/>
              <w:left w:val="nil"/>
              <w:bottom w:val="nil"/>
              <w:right w:val="single" w:sz="4" w:space="0" w:color="auto"/>
            </w:tcBorders>
            <w:shd w:val="clear" w:color="auto" w:fill="auto"/>
            <w:noWrap/>
            <w:vAlign w:val="center"/>
            <w:hideMark/>
          </w:tcPr>
          <w:p w14:paraId="2D30D5B8"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14.6 (12.5 - 17.0)</w:t>
            </w:r>
          </w:p>
        </w:tc>
        <w:tc>
          <w:tcPr>
            <w:tcW w:w="1766" w:type="dxa"/>
            <w:tcBorders>
              <w:top w:val="nil"/>
              <w:left w:val="single" w:sz="4" w:space="0" w:color="auto"/>
              <w:bottom w:val="nil"/>
              <w:right w:val="nil"/>
            </w:tcBorders>
            <w:shd w:val="clear" w:color="auto" w:fill="auto"/>
            <w:noWrap/>
            <w:vAlign w:val="center"/>
            <w:hideMark/>
          </w:tcPr>
          <w:p w14:paraId="4583ADD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1.9 (1.3 - 3.0)</w:t>
            </w:r>
          </w:p>
        </w:tc>
        <w:tc>
          <w:tcPr>
            <w:tcW w:w="1710" w:type="dxa"/>
            <w:tcBorders>
              <w:top w:val="nil"/>
              <w:left w:val="nil"/>
              <w:bottom w:val="nil"/>
              <w:right w:val="nil"/>
            </w:tcBorders>
            <w:shd w:val="clear" w:color="auto" w:fill="auto"/>
            <w:noWrap/>
            <w:vAlign w:val="center"/>
            <w:hideMark/>
          </w:tcPr>
          <w:p w14:paraId="67B0DB35"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4.6 (3.5 - 6.0)</w:t>
            </w:r>
          </w:p>
        </w:tc>
      </w:tr>
      <w:tr w:rsidR="00D739B2" w:rsidRPr="00D739B2" w14:paraId="22B0E7D0" w14:textId="77777777" w:rsidTr="004E51AC">
        <w:trPr>
          <w:trHeight w:val="280"/>
        </w:trPr>
        <w:tc>
          <w:tcPr>
            <w:tcW w:w="3510" w:type="dxa"/>
            <w:tcBorders>
              <w:top w:val="nil"/>
              <w:left w:val="nil"/>
              <w:bottom w:val="nil"/>
              <w:right w:val="nil"/>
            </w:tcBorders>
            <w:shd w:val="clear" w:color="auto" w:fill="auto"/>
            <w:noWrap/>
            <w:vAlign w:val="bottom"/>
            <w:hideMark/>
          </w:tcPr>
          <w:p w14:paraId="6BFCD1D7"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9 months (95% CI)</w:t>
            </w:r>
          </w:p>
        </w:tc>
        <w:tc>
          <w:tcPr>
            <w:tcW w:w="1980" w:type="dxa"/>
            <w:tcBorders>
              <w:top w:val="nil"/>
              <w:left w:val="nil"/>
              <w:bottom w:val="nil"/>
              <w:right w:val="nil"/>
            </w:tcBorders>
            <w:shd w:val="clear" w:color="auto" w:fill="auto"/>
            <w:noWrap/>
            <w:vAlign w:val="center"/>
            <w:hideMark/>
          </w:tcPr>
          <w:p w14:paraId="5D0B17BF"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13.2 (11.4 - 15.3)</w:t>
            </w:r>
          </w:p>
        </w:tc>
        <w:tc>
          <w:tcPr>
            <w:tcW w:w="1980" w:type="dxa"/>
            <w:tcBorders>
              <w:top w:val="nil"/>
              <w:left w:val="nil"/>
              <w:bottom w:val="nil"/>
              <w:right w:val="single" w:sz="4" w:space="0" w:color="auto"/>
            </w:tcBorders>
            <w:shd w:val="clear" w:color="auto" w:fill="auto"/>
            <w:noWrap/>
            <w:vAlign w:val="center"/>
            <w:hideMark/>
          </w:tcPr>
          <w:p w14:paraId="0D9AD0EF"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12.9 (11.2 - 14.8)</w:t>
            </w:r>
          </w:p>
        </w:tc>
        <w:tc>
          <w:tcPr>
            <w:tcW w:w="1766" w:type="dxa"/>
            <w:tcBorders>
              <w:top w:val="nil"/>
              <w:left w:val="single" w:sz="4" w:space="0" w:color="auto"/>
              <w:bottom w:val="nil"/>
              <w:right w:val="nil"/>
            </w:tcBorders>
            <w:shd w:val="clear" w:color="auto" w:fill="auto"/>
            <w:noWrap/>
            <w:vAlign w:val="center"/>
            <w:hideMark/>
          </w:tcPr>
          <w:p w14:paraId="074E0C70"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1.7 (1.2 - 2.6)</w:t>
            </w:r>
          </w:p>
        </w:tc>
        <w:tc>
          <w:tcPr>
            <w:tcW w:w="1710" w:type="dxa"/>
            <w:tcBorders>
              <w:top w:val="nil"/>
              <w:left w:val="nil"/>
              <w:bottom w:val="nil"/>
              <w:right w:val="nil"/>
            </w:tcBorders>
            <w:shd w:val="clear" w:color="auto" w:fill="auto"/>
            <w:noWrap/>
            <w:vAlign w:val="center"/>
            <w:hideMark/>
          </w:tcPr>
          <w:p w14:paraId="583FCD39"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4.3 (3.4 - 5.5)</w:t>
            </w:r>
          </w:p>
        </w:tc>
      </w:tr>
      <w:tr w:rsidR="00D739B2" w:rsidRPr="00D739B2" w14:paraId="5189E07C" w14:textId="77777777" w:rsidTr="004E51AC">
        <w:trPr>
          <w:trHeight w:val="280"/>
        </w:trPr>
        <w:tc>
          <w:tcPr>
            <w:tcW w:w="3510" w:type="dxa"/>
            <w:tcBorders>
              <w:top w:val="nil"/>
              <w:left w:val="nil"/>
              <w:bottom w:val="nil"/>
              <w:right w:val="nil"/>
            </w:tcBorders>
            <w:shd w:val="clear" w:color="auto" w:fill="auto"/>
            <w:noWrap/>
            <w:vAlign w:val="bottom"/>
            <w:hideMark/>
          </w:tcPr>
          <w:p w14:paraId="77B9E3CF"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12 months (95% CI)</w:t>
            </w:r>
          </w:p>
        </w:tc>
        <w:tc>
          <w:tcPr>
            <w:tcW w:w="1980" w:type="dxa"/>
            <w:tcBorders>
              <w:top w:val="nil"/>
              <w:left w:val="nil"/>
              <w:bottom w:val="nil"/>
              <w:right w:val="nil"/>
            </w:tcBorders>
            <w:shd w:val="clear" w:color="auto" w:fill="auto"/>
            <w:noWrap/>
            <w:vAlign w:val="center"/>
            <w:hideMark/>
          </w:tcPr>
          <w:p w14:paraId="316586D1"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12.3 (10.8 - 14.1)</w:t>
            </w:r>
          </w:p>
        </w:tc>
        <w:tc>
          <w:tcPr>
            <w:tcW w:w="1980" w:type="dxa"/>
            <w:tcBorders>
              <w:top w:val="nil"/>
              <w:left w:val="nil"/>
              <w:bottom w:val="nil"/>
              <w:right w:val="single" w:sz="4" w:space="0" w:color="auto"/>
            </w:tcBorders>
            <w:shd w:val="clear" w:color="auto" w:fill="auto"/>
            <w:noWrap/>
            <w:vAlign w:val="center"/>
            <w:hideMark/>
          </w:tcPr>
          <w:p w14:paraId="1EF1DB44"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12.2 (10.6 - 13.9)</w:t>
            </w:r>
          </w:p>
        </w:tc>
        <w:tc>
          <w:tcPr>
            <w:tcW w:w="1766" w:type="dxa"/>
            <w:tcBorders>
              <w:top w:val="nil"/>
              <w:left w:val="single" w:sz="4" w:space="0" w:color="auto"/>
              <w:bottom w:val="nil"/>
              <w:right w:val="nil"/>
            </w:tcBorders>
            <w:shd w:val="clear" w:color="auto" w:fill="auto"/>
            <w:noWrap/>
            <w:vAlign w:val="center"/>
            <w:hideMark/>
          </w:tcPr>
          <w:p w14:paraId="3F75834A"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2.0 (1.4 - 2.8)</w:t>
            </w:r>
          </w:p>
        </w:tc>
        <w:tc>
          <w:tcPr>
            <w:tcW w:w="1710" w:type="dxa"/>
            <w:tcBorders>
              <w:top w:val="nil"/>
              <w:left w:val="nil"/>
              <w:bottom w:val="nil"/>
              <w:right w:val="nil"/>
            </w:tcBorders>
            <w:shd w:val="clear" w:color="auto" w:fill="auto"/>
            <w:noWrap/>
            <w:vAlign w:val="center"/>
            <w:hideMark/>
          </w:tcPr>
          <w:p w14:paraId="1A3A8195"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3.8 (3.0 - 4.8)</w:t>
            </w:r>
          </w:p>
        </w:tc>
      </w:tr>
      <w:tr w:rsidR="00D739B2" w:rsidRPr="00D739B2" w14:paraId="031A02E4" w14:textId="77777777" w:rsidTr="004E51AC">
        <w:trPr>
          <w:trHeight w:val="280"/>
        </w:trPr>
        <w:tc>
          <w:tcPr>
            <w:tcW w:w="3510" w:type="dxa"/>
            <w:tcBorders>
              <w:top w:val="nil"/>
              <w:left w:val="nil"/>
              <w:bottom w:val="nil"/>
              <w:right w:val="nil"/>
            </w:tcBorders>
            <w:shd w:val="clear" w:color="auto" w:fill="auto"/>
            <w:noWrap/>
            <w:vAlign w:val="bottom"/>
            <w:hideMark/>
          </w:tcPr>
          <w:p w14:paraId="3175C718"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24 months (95% CI)</w:t>
            </w:r>
          </w:p>
        </w:tc>
        <w:tc>
          <w:tcPr>
            <w:tcW w:w="1980" w:type="dxa"/>
            <w:tcBorders>
              <w:top w:val="nil"/>
              <w:left w:val="nil"/>
              <w:bottom w:val="nil"/>
              <w:right w:val="nil"/>
            </w:tcBorders>
            <w:shd w:val="clear" w:color="auto" w:fill="auto"/>
            <w:noWrap/>
            <w:vAlign w:val="center"/>
            <w:hideMark/>
          </w:tcPr>
          <w:p w14:paraId="0E63B997"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10.2 (9.0 - 11.6)</w:t>
            </w:r>
          </w:p>
        </w:tc>
        <w:tc>
          <w:tcPr>
            <w:tcW w:w="1980" w:type="dxa"/>
            <w:tcBorders>
              <w:top w:val="nil"/>
              <w:left w:val="nil"/>
              <w:bottom w:val="nil"/>
              <w:right w:val="single" w:sz="4" w:space="0" w:color="auto"/>
            </w:tcBorders>
            <w:shd w:val="clear" w:color="auto" w:fill="auto"/>
            <w:noWrap/>
            <w:vAlign w:val="center"/>
            <w:hideMark/>
          </w:tcPr>
          <w:p w14:paraId="22D38F7A"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10.7 (9.5 - 12.0)</w:t>
            </w:r>
          </w:p>
        </w:tc>
        <w:tc>
          <w:tcPr>
            <w:tcW w:w="1766" w:type="dxa"/>
            <w:tcBorders>
              <w:top w:val="nil"/>
              <w:left w:val="single" w:sz="4" w:space="0" w:color="auto"/>
              <w:bottom w:val="nil"/>
              <w:right w:val="nil"/>
            </w:tcBorders>
            <w:shd w:val="clear" w:color="auto" w:fill="auto"/>
            <w:noWrap/>
            <w:vAlign w:val="center"/>
            <w:hideMark/>
          </w:tcPr>
          <w:p w14:paraId="293408F3"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1.8 (1.3 - 2.4)</w:t>
            </w:r>
          </w:p>
        </w:tc>
        <w:tc>
          <w:tcPr>
            <w:tcW w:w="1710" w:type="dxa"/>
            <w:tcBorders>
              <w:top w:val="nil"/>
              <w:left w:val="nil"/>
              <w:bottom w:val="nil"/>
              <w:right w:val="nil"/>
            </w:tcBorders>
            <w:shd w:val="clear" w:color="auto" w:fill="auto"/>
            <w:noWrap/>
            <w:vAlign w:val="center"/>
            <w:hideMark/>
          </w:tcPr>
          <w:p w14:paraId="4C480CA5"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3.4 (2.7 - 4.2)</w:t>
            </w:r>
          </w:p>
        </w:tc>
      </w:tr>
      <w:tr w:rsidR="00D739B2" w:rsidRPr="00D739B2" w14:paraId="0D486849" w14:textId="77777777" w:rsidTr="004E51AC">
        <w:trPr>
          <w:trHeight w:val="280"/>
        </w:trPr>
        <w:tc>
          <w:tcPr>
            <w:tcW w:w="3510" w:type="dxa"/>
            <w:tcBorders>
              <w:top w:val="nil"/>
              <w:left w:val="nil"/>
              <w:bottom w:val="nil"/>
              <w:right w:val="nil"/>
            </w:tcBorders>
            <w:shd w:val="clear" w:color="auto" w:fill="auto"/>
            <w:noWrap/>
            <w:vAlign w:val="bottom"/>
            <w:hideMark/>
          </w:tcPr>
          <w:p w14:paraId="17ED9C5A" w14:textId="77777777" w:rsidR="00D739B2" w:rsidRPr="00D739B2" w:rsidRDefault="00D739B2" w:rsidP="00D739B2">
            <w:pPr>
              <w:jc w:val="center"/>
              <w:rPr>
                <w:rFonts w:ascii="Arial" w:eastAsia="Times New Roman" w:hAnsi="Arial" w:cs="Arial"/>
                <w:color w:val="000000"/>
                <w:sz w:val="22"/>
                <w:szCs w:val="22"/>
              </w:rPr>
            </w:pPr>
          </w:p>
        </w:tc>
        <w:tc>
          <w:tcPr>
            <w:tcW w:w="1980" w:type="dxa"/>
            <w:tcBorders>
              <w:top w:val="nil"/>
              <w:left w:val="nil"/>
              <w:bottom w:val="nil"/>
              <w:right w:val="nil"/>
            </w:tcBorders>
            <w:shd w:val="clear" w:color="auto" w:fill="auto"/>
            <w:noWrap/>
            <w:vAlign w:val="center"/>
            <w:hideMark/>
          </w:tcPr>
          <w:p w14:paraId="1193F308" w14:textId="77777777" w:rsidR="00D739B2" w:rsidRPr="00D739B2" w:rsidRDefault="00D739B2" w:rsidP="00D739B2">
            <w:pPr>
              <w:jc w:val="center"/>
              <w:rPr>
                <w:rFonts w:ascii="Arial" w:eastAsia="Times New Roman" w:hAnsi="Arial" w:cs="Arial"/>
                <w:sz w:val="22"/>
                <w:szCs w:val="22"/>
              </w:rPr>
            </w:pPr>
          </w:p>
        </w:tc>
        <w:tc>
          <w:tcPr>
            <w:tcW w:w="1980" w:type="dxa"/>
            <w:tcBorders>
              <w:top w:val="nil"/>
              <w:left w:val="nil"/>
              <w:bottom w:val="nil"/>
              <w:right w:val="single" w:sz="4" w:space="0" w:color="auto"/>
            </w:tcBorders>
            <w:shd w:val="clear" w:color="auto" w:fill="auto"/>
            <w:noWrap/>
            <w:vAlign w:val="center"/>
            <w:hideMark/>
          </w:tcPr>
          <w:p w14:paraId="73DF2536"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52A3885E"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66B372CF" w14:textId="77777777" w:rsidR="00D739B2" w:rsidRPr="00D739B2" w:rsidRDefault="00D739B2" w:rsidP="00D739B2">
            <w:pPr>
              <w:jc w:val="center"/>
              <w:rPr>
                <w:rFonts w:ascii="Arial" w:eastAsia="Times New Roman" w:hAnsi="Arial" w:cs="Arial"/>
                <w:sz w:val="22"/>
                <w:szCs w:val="22"/>
              </w:rPr>
            </w:pPr>
          </w:p>
        </w:tc>
      </w:tr>
      <w:tr w:rsidR="00D739B2" w:rsidRPr="00D739B2" w14:paraId="087FB486" w14:textId="77777777" w:rsidTr="004E51AC">
        <w:trPr>
          <w:trHeight w:val="280"/>
        </w:trPr>
        <w:tc>
          <w:tcPr>
            <w:tcW w:w="3510" w:type="dxa"/>
            <w:tcBorders>
              <w:top w:val="nil"/>
              <w:left w:val="nil"/>
              <w:bottom w:val="nil"/>
              <w:right w:val="nil"/>
            </w:tcBorders>
            <w:shd w:val="clear" w:color="auto" w:fill="auto"/>
            <w:noWrap/>
            <w:vAlign w:val="bottom"/>
            <w:hideMark/>
          </w:tcPr>
          <w:p w14:paraId="2DD58061" w14:textId="77777777" w:rsidR="00D739B2" w:rsidRPr="00D739B2" w:rsidRDefault="00D739B2" w:rsidP="00D739B2">
            <w:pPr>
              <w:rPr>
                <w:rFonts w:ascii="Arial" w:eastAsia="Times New Roman" w:hAnsi="Arial" w:cs="Arial"/>
                <w:b/>
                <w:bCs/>
                <w:color w:val="000000"/>
                <w:sz w:val="22"/>
                <w:szCs w:val="22"/>
              </w:rPr>
            </w:pPr>
            <w:r w:rsidRPr="00D739B2">
              <w:rPr>
                <w:rFonts w:ascii="Arial" w:eastAsia="Times New Roman" w:hAnsi="Arial" w:cs="Arial"/>
                <w:b/>
                <w:bCs/>
                <w:color w:val="000000"/>
                <w:sz w:val="22"/>
                <w:szCs w:val="22"/>
              </w:rPr>
              <w:t>Medications at Time of Outcome</w:t>
            </w:r>
          </w:p>
        </w:tc>
        <w:tc>
          <w:tcPr>
            <w:tcW w:w="1980" w:type="dxa"/>
            <w:tcBorders>
              <w:top w:val="nil"/>
              <w:left w:val="nil"/>
              <w:bottom w:val="nil"/>
              <w:right w:val="nil"/>
            </w:tcBorders>
            <w:shd w:val="clear" w:color="auto" w:fill="auto"/>
            <w:noWrap/>
            <w:vAlign w:val="center"/>
            <w:hideMark/>
          </w:tcPr>
          <w:p w14:paraId="72AAC421" w14:textId="77777777" w:rsidR="00D739B2" w:rsidRPr="00D739B2" w:rsidRDefault="00D739B2" w:rsidP="00D739B2">
            <w:pPr>
              <w:jc w:val="center"/>
              <w:rPr>
                <w:rFonts w:ascii="Arial" w:eastAsia="Times New Roman" w:hAnsi="Arial" w:cs="Arial"/>
                <w:b/>
                <w:bCs/>
                <w:color w:val="000000"/>
                <w:sz w:val="22"/>
                <w:szCs w:val="22"/>
              </w:rPr>
            </w:pPr>
          </w:p>
        </w:tc>
        <w:tc>
          <w:tcPr>
            <w:tcW w:w="1980" w:type="dxa"/>
            <w:tcBorders>
              <w:top w:val="nil"/>
              <w:left w:val="nil"/>
              <w:bottom w:val="nil"/>
              <w:right w:val="single" w:sz="4" w:space="0" w:color="auto"/>
            </w:tcBorders>
            <w:shd w:val="clear" w:color="auto" w:fill="auto"/>
            <w:noWrap/>
            <w:vAlign w:val="center"/>
            <w:hideMark/>
          </w:tcPr>
          <w:p w14:paraId="1C331D5A" w14:textId="77777777" w:rsidR="00D739B2" w:rsidRPr="00D739B2" w:rsidRDefault="00D739B2" w:rsidP="00D739B2">
            <w:pPr>
              <w:jc w:val="center"/>
              <w:rPr>
                <w:rFonts w:ascii="Arial" w:eastAsia="Times New Roman" w:hAnsi="Arial" w:cs="Arial"/>
                <w:sz w:val="22"/>
                <w:szCs w:val="22"/>
              </w:rPr>
            </w:pPr>
          </w:p>
        </w:tc>
        <w:tc>
          <w:tcPr>
            <w:tcW w:w="1766" w:type="dxa"/>
            <w:tcBorders>
              <w:top w:val="nil"/>
              <w:left w:val="single" w:sz="4" w:space="0" w:color="auto"/>
              <w:bottom w:val="nil"/>
              <w:right w:val="nil"/>
            </w:tcBorders>
            <w:shd w:val="clear" w:color="auto" w:fill="auto"/>
            <w:noWrap/>
            <w:vAlign w:val="center"/>
            <w:hideMark/>
          </w:tcPr>
          <w:p w14:paraId="6FF9C6CE" w14:textId="77777777" w:rsidR="00D739B2" w:rsidRPr="00D739B2" w:rsidRDefault="00D739B2" w:rsidP="00D739B2">
            <w:pPr>
              <w:jc w:val="center"/>
              <w:rPr>
                <w:rFonts w:ascii="Arial" w:eastAsia="Times New Roman" w:hAnsi="Arial" w:cs="Arial"/>
                <w:sz w:val="22"/>
                <w:szCs w:val="22"/>
              </w:rPr>
            </w:pPr>
          </w:p>
        </w:tc>
        <w:tc>
          <w:tcPr>
            <w:tcW w:w="1710" w:type="dxa"/>
            <w:tcBorders>
              <w:top w:val="nil"/>
              <w:left w:val="nil"/>
              <w:bottom w:val="nil"/>
              <w:right w:val="nil"/>
            </w:tcBorders>
            <w:shd w:val="clear" w:color="auto" w:fill="auto"/>
            <w:noWrap/>
            <w:vAlign w:val="center"/>
            <w:hideMark/>
          </w:tcPr>
          <w:p w14:paraId="5C4CC71E" w14:textId="77777777" w:rsidR="00D739B2" w:rsidRPr="00D739B2" w:rsidRDefault="00D739B2" w:rsidP="00D739B2">
            <w:pPr>
              <w:jc w:val="center"/>
              <w:rPr>
                <w:rFonts w:ascii="Arial" w:eastAsia="Times New Roman" w:hAnsi="Arial" w:cs="Arial"/>
                <w:sz w:val="22"/>
                <w:szCs w:val="22"/>
              </w:rPr>
            </w:pPr>
          </w:p>
        </w:tc>
      </w:tr>
      <w:tr w:rsidR="00D739B2" w:rsidRPr="00D739B2" w14:paraId="14AF982D" w14:textId="77777777" w:rsidTr="001E57EC">
        <w:trPr>
          <w:trHeight w:val="280"/>
        </w:trPr>
        <w:tc>
          <w:tcPr>
            <w:tcW w:w="3510" w:type="dxa"/>
            <w:tcBorders>
              <w:top w:val="nil"/>
              <w:left w:val="nil"/>
              <w:right w:val="nil"/>
            </w:tcBorders>
            <w:shd w:val="clear" w:color="auto" w:fill="auto"/>
            <w:noWrap/>
            <w:vAlign w:val="bottom"/>
            <w:hideMark/>
          </w:tcPr>
          <w:p w14:paraId="263D3E5D"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Anticoagulant use</w:t>
            </w:r>
          </w:p>
        </w:tc>
        <w:tc>
          <w:tcPr>
            <w:tcW w:w="1980" w:type="dxa"/>
            <w:tcBorders>
              <w:top w:val="nil"/>
              <w:left w:val="nil"/>
              <w:right w:val="nil"/>
            </w:tcBorders>
            <w:shd w:val="clear" w:color="auto" w:fill="auto"/>
            <w:noWrap/>
            <w:vAlign w:val="center"/>
            <w:hideMark/>
          </w:tcPr>
          <w:p w14:paraId="168E4CC8" w14:textId="5805E1E1"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17</w:t>
            </w:r>
            <w:r w:rsidR="00D2251C">
              <w:rPr>
                <w:rFonts w:ascii="Arial" w:eastAsia="Times New Roman" w:hAnsi="Arial" w:cs="Arial"/>
                <w:color w:val="000000"/>
                <w:sz w:val="22"/>
                <w:szCs w:val="22"/>
              </w:rPr>
              <w:t xml:space="preserve">1 </w:t>
            </w:r>
            <w:r w:rsidRPr="00D739B2">
              <w:rPr>
                <w:rFonts w:ascii="Arial" w:eastAsia="Times New Roman" w:hAnsi="Arial" w:cs="Arial"/>
                <w:color w:val="000000"/>
                <w:sz w:val="22"/>
                <w:szCs w:val="22"/>
              </w:rPr>
              <w:t>(55.2%)</w:t>
            </w:r>
          </w:p>
        </w:tc>
        <w:tc>
          <w:tcPr>
            <w:tcW w:w="1980" w:type="dxa"/>
            <w:tcBorders>
              <w:top w:val="nil"/>
              <w:left w:val="nil"/>
              <w:right w:val="single" w:sz="4" w:space="0" w:color="auto"/>
            </w:tcBorders>
            <w:shd w:val="clear" w:color="auto" w:fill="auto"/>
            <w:noWrap/>
            <w:vAlign w:val="center"/>
            <w:hideMark/>
          </w:tcPr>
          <w:p w14:paraId="6C2443B5" w14:textId="74B747D5"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188</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(63.5%)</w:t>
            </w:r>
          </w:p>
        </w:tc>
        <w:tc>
          <w:tcPr>
            <w:tcW w:w="1766" w:type="dxa"/>
            <w:tcBorders>
              <w:top w:val="nil"/>
              <w:left w:val="single" w:sz="4" w:space="0" w:color="auto"/>
              <w:right w:val="nil"/>
            </w:tcBorders>
            <w:shd w:val="clear" w:color="auto" w:fill="auto"/>
            <w:noWrap/>
            <w:vAlign w:val="center"/>
            <w:hideMark/>
          </w:tcPr>
          <w:p w14:paraId="464679A7" w14:textId="7807384A"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23</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(39.7%)</w:t>
            </w:r>
          </w:p>
        </w:tc>
        <w:tc>
          <w:tcPr>
            <w:tcW w:w="1710" w:type="dxa"/>
            <w:tcBorders>
              <w:top w:val="nil"/>
              <w:left w:val="nil"/>
              <w:right w:val="nil"/>
            </w:tcBorders>
            <w:shd w:val="clear" w:color="auto" w:fill="auto"/>
            <w:noWrap/>
            <w:vAlign w:val="center"/>
            <w:hideMark/>
          </w:tcPr>
          <w:p w14:paraId="18B5E219" w14:textId="5030B7C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58</w:t>
            </w:r>
            <w:r w:rsidR="00D2251C">
              <w:rPr>
                <w:rFonts w:ascii="Arial" w:eastAsia="Times New Roman" w:hAnsi="Arial" w:cs="Arial"/>
                <w:color w:val="000000"/>
                <w:sz w:val="22"/>
                <w:szCs w:val="22"/>
              </w:rPr>
              <w:t xml:space="preserve"> </w:t>
            </w:r>
            <w:r w:rsidRPr="00D739B2">
              <w:rPr>
                <w:rFonts w:ascii="Arial" w:eastAsia="Times New Roman" w:hAnsi="Arial" w:cs="Arial"/>
                <w:color w:val="000000"/>
                <w:sz w:val="22"/>
                <w:szCs w:val="22"/>
              </w:rPr>
              <w:t>(55.2%)</w:t>
            </w:r>
          </w:p>
        </w:tc>
      </w:tr>
      <w:tr w:rsidR="00D739B2" w:rsidRPr="00D739B2" w14:paraId="530D09E4" w14:textId="77777777" w:rsidTr="001E57EC">
        <w:trPr>
          <w:trHeight w:val="280"/>
        </w:trPr>
        <w:tc>
          <w:tcPr>
            <w:tcW w:w="3510" w:type="dxa"/>
            <w:tcBorders>
              <w:top w:val="nil"/>
              <w:left w:val="nil"/>
              <w:bottom w:val="single" w:sz="4" w:space="0" w:color="auto"/>
              <w:right w:val="nil"/>
            </w:tcBorders>
            <w:shd w:val="clear" w:color="auto" w:fill="auto"/>
            <w:noWrap/>
            <w:vAlign w:val="bottom"/>
            <w:hideMark/>
          </w:tcPr>
          <w:p w14:paraId="2F6DA794" w14:textId="77777777" w:rsidR="00D739B2" w:rsidRPr="00D739B2" w:rsidRDefault="00D739B2" w:rsidP="00D739B2">
            <w:pPr>
              <w:jc w:val="right"/>
              <w:rPr>
                <w:rFonts w:ascii="Arial" w:eastAsia="Times New Roman" w:hAnsi="Arial" w:cs="Arial"/>
                <w:color w:val="000000"/>
                <w:sz w:val="22"/>
                <w:szCs w:val="22"/>
              </w:rPr>
            </w:pPr>
            <w:r w:rsidRPr="00D739B2">
              <w:rPr>
                <w:rFonts w:ascii="Arial" w:eastAsia="Times New Roman" w:hAnsi="Arial" w:cs="Arial"/>
                <w:color w:val="000000"/>
                <w:sz w:val="22"/>
                <w:szCs w:val="22"/>
              </w:rPr>
              <w:t>Sotalol dose (median [IQR])</w:t>
            </w:r>
          </w:p>
        </w:tc>
        <w:tc>
          <w:tcPr>
            <w:tcW w:w="1980" w:type="dxa"/>
            <w:tcBorders>
              <w:top w:val="nil"/>
              <w:left w:val="nil"/>
              <w:bottom w:val="single" w:sz="4" w:space="0" w:color="auto"/>
              <w:right w:val="nil"/>
            </w:tcBorders>
            <w:shd w:val="clear" w:color="auto" w:fill="auto"/>
            <w:noWrap/>
            <w:vAlign w:val="center"/>
            <w:hideMark/>
          </w:tcPr>
          <w:p w14:paraId="1CC29935" w14:textId="6EBFC9E9"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N/A</w:t>
            </w:r>
          </w:p>
        </w:tc>
        <w:tc>
          <w:tcPr>
            <w:tcW w:w="1980" w:type="dxa"/>
            <w:tcBorders>
              <w:top w:val="nil"/>
              <w:left w:val="nil"/>
              <w:bottom w:val="single" w:sz="4" w:space="0" w:color="auto"/>
              <w:right w:val="single" w:sz="4" w:space="0" w:color="auto"/>
            </w:tcBorders>
            <w:shd w:val="clear" w:color="auto" w:fill="auto"/>
            <w:noWrap/>
            <w:vAlign w:val="center"/>
            <w:hideMark/>
          </w:tcPr>
          <w:p w14:paraId="707C41D2"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160 [160-240]</w:t>
            </w:r>
          </w:p>
        </w:tc>
        <w:tc>
          <w:tcPr>
            <w:tcW w:w="1766" w:type="dxa"/>
            <w:tcBorders>
              <w:top w:val="nil"/>
              <w:left w:val="single" w:sz="4" w:space="0" w:color="auto"/>
              <w:bottom w:val="single" w:sz="4" w:space="0" w:color="auto"/>
              <w:right w:val="nil"/>
            </w:tcBorders>
            <w:shd w:val="clear" w:color="auto" w:fill="auto"/>
            <w:noWrap/>
            <w:vAlign w:val="center"/>
            <w:hideMark/>
          </w:tcPr>
          <w:p w14:paraId="69F5FEA3" w14:textId="2E03678D"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N/A</w:t>
            </w:r>
          </w:p>
        </w:tc>
        <w:tc>
          <w:tcPr>
            <w:tcW w:w="1710" w:type="dxa"/>
            <w:tcBorders>
              <w:top w:val="nil"/>
              <w:left w:val="nil"/>
              <w:bottom w:val="single" w:sz="4" w:space="0" w:color="auto"/>
              <w:right w:val="nil"/>
            </w:tcBorders>
            <w:shd w:val="clear" w:color="auto" w:fill="auto"/>
            <w:noWrap/>
            <w:vAlign w:val="center"/>
            <w:hideMark/>
          </w:tcPr>
          <w:p w14:paraId="1D369C0B" w14:textId="77777777" w:rsidR="00D739B2" w:rsidRPr="00D739B2" w:rsidRDefault="00D739B2" w:rsidP="00D739B2">
            <w:pPr>
              <w:jc w:val="center"/>
              <w:rPr>
                <w:rFonts w:ascii="Arial" w:eastAsia="Times New Roman" w:hAnsi="Arial" w:cs="Arial"/>
                <w:color w:val="000000"/>
                <w:sz w:val="22"/>
                <w:szCs w:val="22"/>
              </w:rPr>
            </w:pPr>
            <w:r w:rsidRPr="00D739B2">
              <w:rPr>
                <w:rFonts w:ascii="Arial" w:eastAsia="Times New Roman" w:hAnsi="Arial" w:cs="Arial"/>
                <w:color w:val="000000"/>
                <w:sz w:val="22"/>
                <w:szCs w:val="22"/>
              </w:rPr>
              <w:t>160 [160-240]</w:t>
            </w:r>
          </w:p>
        </w:tc>
      </w:tr>
      <w:tr w:rsidR="001E57EC" w:rsidRPr="00D739B2" w14:paraId="3A444CCC" w14:textId="77777777" w:rsidTr="001E57EC">
        <w:trPr>
          <w:trHeight w:val="60"/>
        </w:trPr>
        <w:tc>
          <w:tcPr>
            <w:tcW w:w="10946" w:type="dxa"/>
            <w:gridSpan w:val="5"/>
            <w:tcBorders>
              <w:top w:val="single" w:sz="4" w:space="0" w:color="auto"/>
              <w:left w:val="nil"/>
              <w:bottom w:val="nil"/>
              <w:right w:val="nil"/>
            </w:tcBorders>
            <w:shd w:val="clear" w:color="auto" w:fill="auto"/>
            <w:noWrap/>
            <w:vAlign w:val="bottom"/>
          </w:tcPr>
          <w:p w14:paraId="7FDC1CA8" w14:textId="28585101" w:rsidR="001E57EC" w:rsidRPr="001E57EC" w:rsidRDefault="001E57EC" w:rsidP="001E57EC">
            <w:pPr>
              <w:rPr>
                <w:rFonts w:ascii="Arial" w:eastAsia="Times New Roman" w:hAnsi="Arial" w:cs="Arial"/>
                <w:color w:val="000000"/>
                <w:sz w:val="20"/>
                <w:szCs w:val="20"/>
              </w:rPr>
            </w:pPr>
            <w:r>
              <w:rPr>
                <w:rFonts w:ascii="Arial" w:eastAsia="Times New Roman" w:hAnsi="Arial" w:cs="Arial"/>
                <w:b/>
                <w:bCs/>
                <w:color w:val="000000"/>
                <w:sz w:val="20"/>
                <w:szCs w:val="20"/>
              </w:rPr>
              <w:t xml:space="preserve">AAD: Anti-arrhythmic drug; </w:t>
            </w:r>
            <w:r w:rsidRPr="001E57EC">
              <w:rPr>
                <w:rFonts w:ascii="Arial" w:eastAsia="Times New Roman" w:hAnsi="Arial" w:cs="Arial"/>
                <w:b/>
                <w:bCs/>
                <w:color w:val="000000"/>
                <w:sz w:val="20"/>
                <w:szCs w:val="20"/>
              </w:rPr>
              <w:t>CI: Confidence interval; IQR: Interquartile range</w:t>
            </w:r>
          </w:p>
        </w:tc>
      </w:tr>
    </w:tbl>
    <w:p w14:paraId="618E59B8" w14:textId="77777777" w:rsidR="00D739B2" w:rsidRDefault="00D739B2" w:rsidP="00D739B2">
      <w:pPr>
        <w:rPr>
          <w:rFonts w:ascii="Arial" w:hAnsi="Arial" w:cs="Arial"/>
          <w:b/>
          <w:bCs/>
          <w:sz w:val="22"/>
          <w:szCs w:val="22"/>
        </w:rPr>
      </w:pPr>
    </w:p>
    <w:p w14:paraId="1564AE0D" w14:textId="77777777" w:rsidR="00197DF1" w:rsidRDefault="00197DF1" w:rsidP="00197DF1">
      <w:pPr>
        <w:rPr>
          <w:rFonts w:ascii="Arial" w:hAnsi="Arial" w:cs="Arial"/>
          <w:b/>
          <w:bCs/>
          <w:sz w:val="22"/>
          <w:szCs w:val="22"/>
        </w:rPr>
      </w:pPr>
    </w:p>
    <w:p w14:paraId="1247B744" w14:textId="5E9CE7D7" w:rsidR="00197DF1" w:rsidRDefault="00197DF1" w:rsidP="00197DF1">
      <w:pPr>
        <w:tabs>
          <w:tab w:val="left" w:pos="1025"/>
        </w:tabs>
        <w:rPr>
          <w:rFonts w:ascii="Arial" w:hAnsi="Arial" w:cs="Arial"/>
          <w:b/>
          <w:bCs/>
          <w:sz w:val="22"/>
          <w:szCs w:val="22"/>
        </w:rPr>
      </w:pPr>
      <w:r>
        <w:rPr>
          <w:rFonts w:ascii="Arial" w:hAnsi="Arial" w:cs="Arial"/>
          <w:b/>
          <w:bCs/>
          <w:sz w:val="22"/>
          <w:szCs w:val="22"/>
        </w:rPr>
        <w:tab/>
      </w:r>
    </w:p>
    <w:p w14:paraId="44770928" w14:textId="25A72C82" w:rsidR="00197DF1" w:rsidRDefault="00197DF1" w:rsidP="00197DF1">
      <w:pPr>
        <w:tabs>
          <w:tab w:val="left" w:pos="1025"/>
        </w:tabs>
        <w:rPr>
          <w:rFonts w:ascii="Arial" w:hAnsi="Arial" w:cs="Arial"/>
          <w:b/>
          <w:bCs/>
          <w:sz w:val="22"/>
          <w:szCs w:val="22"/>
        </w:rPr>
      </w:pPr>
    </w:p>
    <w:p w14:paraId="19633D10" w14:textId="0F2A4D62" w:rsidR="00197DF1" w:rsidRDefault="00197DF1" w:rsidP="00197DF1">
      <w:pPr>
        <w:tabs>
          <w:tab w:val="left" w:pos="1025"/>
        </w:tabs>
        <w:rPr>
          <w:rFonts w:ascii="Arial" w:hAnsi="Arial" w:cs="Arial"/>
          <w:b/>
          <w:bCs/>
          <w:sz w:val="22"/>
          <w:szCs w:val="22"/>
        </w:rPr>
      </w:pPr>
    </w:p>
    <w:p w14:paraId="64E74F6A" w14:textId="3F2A6A74" w:rsidR="00197DF1" w:rsidRDefault="00197DF1" w:rsidP="00197DF1">
      <w:pPr>
        <w:tabs>
          <w:tab w:val="left" w:pos="1025"/>
        </w:tabs>
        <w:rPr>
          <w:rFonts w:ascii="Arial" w:hAnsi="Arial" w:cs="Arial"/>
          <w:sz w:val="22"/>
          <w:szCs w:val="22"/>
        </w:rPr>
      </w:pPr>
      <w:r>
        <w:rPr>
          <w:rFonts w:ascii="Arial" w:hAnsi="Arial" w:cs="Arial"/>
          <w:b/>
          <w:bCs/>
          <w:sz w:val="22"/>
          <w:szCs w:val="22"/>
        </w:rPr>
        <w:t xml:space="preserve">Table </w:t>
      </w:r>
      <w:r w:rsidR="00126827">
        <w:rPr>
          <w:rFonts w:ascii="Arial" w:hAnsi="Arial" w:cs="Arial"/>
          <w:b/>
          <w:bCs/>
          <w:sz w:val="22"/>
          <w:szCs w:val="22"/>
        </w:rPr>
        <w:t>3</w:t>
      </w:r>
      <w:r>
        <w:rPr>
          <w:rFonts w:ascii="Arial" w:hAnsi="Arial" w:cs="Arial"/>
          <w:sz w:val="22"/>
          <w:szCs w:val="22"/>
        </w:rPr>
        <w:t>. Incidence rates of secondary outcomes, by exposure group.</w:t>
      </w:r>
    </w:p>
    <w:p w14:paraId="730357AC" w14:textId="624755FF" w:rsidR="00197DF1" w:rsidRDefault="00197DF1" w:rsidP="00197DF1">
      <w:pPr>
        <w:tabs>
          <w:tab w:val="left" w:pos="1025"/>
        </w:tabs>
        <w:rPr>
          <w:rFonts w:ascii="Arial" w:hAnsi="Arial" w:cs="Arial"/>
          <w:sz w:val="22"/>
          <w:szCs w:val="22"/>
        </w:rPr>
      </w:pPr>
    </w:p>
    <w:tbl>
      <w:tblPr>
        <w:tblW w:w="13958" w:type="dxa"/>
        <w:tblInd w:w="-360" w:type="dxa"/>
        <w:tblLook w:val="04A0" w:firstRow="1" w:lastRow="0" w:firstColumn="1" w:lastColumn="0" w:noHBand="0" w:noVBand="1"/>
      </w:tblPr>
      <w:tblGrid>
        <w:gridCol w:w="3051"/>
        <w:gridCol w:w="1409"/>
        <w:gridCol w:w="1211"/>
        <w:gridCol w:w="1469"/>
        <w:gridCol w:w="1469"/>
        <w:gridCol w:w="1461"/>
        <w:gridCol w:w="1222"/>
        <w:gridCol w:w="1461"/>
        <w:gridCol w:w="1174"/>
        <w:gridCol w:w="31"/>
      </w:tblGrid>
      <w:tr w:rsidR="00197DF1" w:rsidRPr="00556E12" w14:paraId="04E9A6B5" w14:textId="77777777" w:rsidTr="00556E12">
        <w:trPr>
          <w:gridAfter w:val="1"/>
          <w:wAfter w:w="31" w:type="dxa"/>
          <w:trHeight w:val="260"/>
        </w:trPr>
        <w:tc>
          <w:tcPr>
            <w:tcW w:w="3051" w:type="dxa"/>
            <w:tcBorders>
              <w:top w:val="nil"/>
              <w:left w:val="nil"/>
              <w:bottom w:val="nil"/>
              <w:right w:val="nil"/>
            </w:tcBorders>
            <w:shd w:val="clear" w:color="auto" w:fill="auto"/>
            <w:noWrap/>
            <w:vAlign w:val="bottom"/>
            <w:hideMark/>
          </w:tcPr>
          <w:p w14:paraId="6F3C9AAA" w14:textId="0B5D1CDC" w:rsidR="00197DF1" w:rsidRPr="00197DF1" w:rsidRDefault="00197DF1" w:rsidP="00EF17DA">
            <w:pPr>
              <w:rPr>
                <w:rFonts w:ascii="Arial" w:eastAsia="Times New Roman" w:hAnsi="Arial" w:cs="Arial"/>
                <w:b/>
                <w:bCs/>
                <w:sz w:val="16"/>
                <w:szCs w:val="16"/>
              </w:rPr>
            </w:pPr>
          </w:p>
        </w:tc>
        <w:tc>
          <w:tcPr>
            <w:tcW w:w="2620" w:type="dxa"/>
            <w:gridSpan w:val="2"/>
            <w:tcBorders>
              <w:top w:val="nil"/>
              <w:left w:val="nil"/>
              <w:bottom w:val="single" w:sz="4" w:space="0" w:color="auto"/>
              <w:right w:val="single" w:sz="4" w:space="0" w:color="000000"/>
            </w:tcBorders>
            <w:shd w:val="clear" w:color="auto" w:fill="auto"/>
            <w:noWrap/>
            <w:vAlign w:val="center"/>
            <w:hideMark/>
          </w:tcPr>
          <w:p w14:paraId="030669DE" w14:textId="77777777"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Mortality</w:t>
            </w:r>
          </w:p>
        </w:tc>
        <w:tc>
          <w:tcPr>
            <w:tcW w:w="2938" w:type="dxa"/>
            <w:gridSpan w:val="2"/>
            <w:tcBorders>
              <w:top w:val="nil"/>
              <w:left w:val="nil"/>
              <w:bottom w:val="single" w:sz="4" w:space="0" w:color="auto"/>
              <w:right w:val="single" w:sz="4" w:space="0" w:color="000000"/>
            </w:tcBorders>
            <w:shd w:val="clear" w:color="auto" w:fill="auto"/>
            <w:noWrap/>
            <w:vAlign w:val="center"/>
            <w:hideMark/>
          </w:tcPr>
          <w:p w14:paraId="281811BD" w14:textId="159D1573"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Conduction disorders</w:t>
            </w:r>
            <w:r w:rsidR="00D33FAA">
              <w:rPr>
                <w:rFonts w:ascii="Arial" w:eastAsia="Times New Roman" w:hAnsi="Arial" w:cs="Arial"/>
                <w:b/>
                <w:bCs/>
                <w:color w:val="000000"/>
                <w:sz w:val="16"/>
                <w:szCs w:val="16"/>
              </w:rPr>
              <w:t>*</w:t>
            </w:r>
          </w:p>
        </w:tc>
        <w:tc>
          <w:tcPr>
            <w:tcW w:w="2683" w:type="dxa"/>
            <w:gridSpan w:val="2"/>
            <w:tcBorders>
              <w:top w:val="nil"/>
              <w:left w:val="nil"/>
              <w:bottom w:val="single" w:sz="4" w:space="0" w:color="auto"/>
              <w:right w:val="single" w:sz="4" w:space="0" w:color="000000"/>
            </w:tcBorders>
            <w:shd w:val="clear" w:color="auto" w:fill="auto"/>
            <w:noWrap/>
            <w:vAlign w:val="center"/>
            <w:hideMark/>
          </w:tcPr>
          <w:p w14:paraId="3E6D39F5" w14:textId="464CA096" w:rsidR="00197DF1" w:rsidRPr="00D33FAA" w:rsidRDefault="00197DF1" w:rsidP="008E5503">
            <w:pPr>
              <w:jc w:val="center"/>
              <w:rPr>
                <w:rFonts w:ascii="Arial" w:eastAsia="Times New Roman" w:hAnsi="Arial" w:cs="Arial"/>
                <w:b/>
                <w:bCs/>
                <w:color w:val="000000"/>
                <w:sz w:val="16"/>
                <w:szCs w:val="16"/>
                <w:vertAlign w:val="superscript"/>
              </w:rPr>
            </w:pPr>
            <w:r w:rsidRPr="00197DF1">
              <w:rPr>
                <w:rFonts w:ascii="Arial" w:eastAsia="Times New Roman" w:hAnsi="Arial" w:cs="Arial"/>
                <w:b/>
                <w:bCs/>
                <w:color w:val="000000"/>
                <w:sz w:val="16"/>
                <w:szCs w:val="16"/>
              </w:rPr>
              <w:t>Symptomatic bradycardia</w:t>
            </w:r>
            <w:r w:rsidR="00D33FAA">
              <w:rPr>
                <w:rFonts w:ascii="Arial" w:eastAsia="Times New Roman" w:hAnsi="Arial" w:cs="Arial"/>
                <w:b/>
                <w:bCs/>
                <w:color w:val="000000"/>
                <w:sz w:val="16"/>
                <w:szCs w:val="16"/>
                <w:vertAlign w:val="superscript"/>
              </w:rPr>
              <w:t>#</w:t>
            </w:r>
          </w:p>
        </w:tc>
        <w:tc>
          <w:tcPr>
            <w:tcW w:w="2635" w:type="dxa"/>
            <w:gridSpan w:val="2"/>
            <w:tcBorders>
              <w:top w:val="nil"/>
              <w:left w:val="nil"/>
              <w:bottom w:val="single" w:sz="4" w:space="0" w:color="auto"/>
              <w:right w:val="nil"/>
            </w:tcBorders>
            <w:shd w:val="clear" w:color="auto" w:fill="auto"/>
            <w:noWrap/>
            <w:vAlign w:val="center"/>
            <w:hideMark/>
          </w:tcPr>
          <w:p w14:paraId="7F55429E" w14:textId="46EE2113"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 xml:space="preserve">Bradycardia with </w:t>
            </w:r>
            <w:r w:rsidRPr="00D33FAA">
              <w:rPr>
                <w:rFonts w:ascii="Arial" w:eastAsia="Times New Roman" w:hAnsi="Arial" w:cs="Arial"/>
                <w:b/>
                <w:bCs/>
                <w:color w:val="000000"/>
                <w:sz w:val="16"/>
                <w:szCs w:val="16"/>
              </w:rPr>
              <w:t>pacemaker</w:t>
            </w:r>
            <w:r w:rsidR="00D33FAA" w:rsidRPr="00D33FAA">
              <w:rPr>
                <w:rFonts w:ascii="Arial" w:hAnsi="Arial" w:cs="Arial"/>
                <w:b/>
                <w:bCs/>
                <w:sz w:val="16"/>
                <w:szCs w:val="16"/>
                <w:vertAlign w:val="superscript"/>
              </w:rPr>
              <w:t>†</w:t>
            </w:r>
          </w:p>
        </w:tc>
      </w:tr>
      <w:tr w:rsidR="008E5503" w:rsidRPr="00556E12" w14:paraId="1173D768" w14:textId="77777777" w:rsidTr="00556E12">
        <w:trPr>
          <w:trHeight w:val="260"/>
        </w:trPr>
        <w:tc>
          <w:tcPr>
            <w:tcW w:w="3051" w:type="dxa"/>
            <w:tcBorders>
              <w:top w:val="nil"/>
              <w:left w:val="nil"/>
              <w:bottom w:val="single" w:sz="4" w:space="0" w:color="auto"/>
              <w:right w:val="nil"/>
            </w:tcBorders>
            <w:shd w:val="clear" w:color="auto" w:fill="auto"/>
            <w:noWrap/>
            <w:vAlign w:val="bottom"/>
            <w:hideMark/>
          </w:tcPr>
          <w:p w14:paraId="12AD123F" w14:textId="034DAB12" w:rsidR="00197DF1" w:rsidRPr="00197DF1" w:rsidRDefault="00197DF1" w:rsidP="008E5503">
            <w:pPr>
              <w:jc w:val="center"/>
              <w:rPr>
                <w:rFonts w:ascii="Arial" w:eastAsia="Times New Roman" w:hAnsi="Arial" w:cs="Arial"/>
                <w:color w:val="000000"/>
                <w:sz w:val="16"/>
                <w:szCs w:val="16"/>
              </w:rPr>
            </w:pPr>
          </w:p>
        </w:tc>
        <w:tc>
          <w:tcPr>
            <w:tcW w:w="1409" w:type="dxa"/>
            <w:tcBorders>
              <w:top w:val="nil"/>
              <w:left w:val="nil"/>
              <w:bottom w:val="single" w:sz="4" w:space="0" w:color="auto"/>
              <w:right w:val="nil"/>
            </w:tcBorders>
            <w:shd w:val="clear" w:color="auto" w:fill="auto"/>
            <w:noWrap/>
            <w:vAlign w:val="center"/>
            <w:hideMark/>
          </w:tcPr>
          <w:p w14:paraId="14A1BFF9" w14:textId="77777777" w:rsidR="00197DF1" w:rsidRPr="00197DF1" w:rsidRDefault="00197DF1" w:rsidP="008E5503">
            <w:pPr>
              <w:ind w:left="-106" w:right="-204" w:hanging="77"/>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Dronedarone</w:t>
            </w:r>
          </w:p>
        </w:tc>
        <w:tc>
          <w:tcPr>
            <w:tcW w:w="1211" w:type="dxa"/>
            <w:tcBorders>
              <w:top w:val="nil"/>
              <w:left w:val="nil"/>
              <w:bottom w:val="single" w:sz="4" w:space="0" w:color="auto"/>
              <w:right w:val="single" w:sz="4" w:space="0" w:color="auto"/>
            </w:tcBorders>
            <w:shd w:val="clear" w:color="auto" w:fill="auto"/>
            <w:noWrap/>
            <w:vAlign w:val="center"/>
            <w:hideMark/>
          </w:tcPr>
          <w:p w14:paraId="1C4E7911" w14:textId="77777777"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Sotalol</w:t>
            </w:r>
          </w:p>
        </w:tc>
        <w:tc>
          <w:tcPr>
            <w:tcW w:w="1469" w:type="dxa"/>
            <w:tcBorders>
              <w:top w:val="nil"/>
              <w:left w:val="nil"/>
              <w:bottom w:val="single" w:sz="4" w:space="0" w:color="auto"/>
              <w:right w:val="nil"/>
            </w:tcBorders>
            <w:shd w:val="clear" w:color="auto" w:fill="auto"/>
            <w:noWrap/>
            <w:vAlign w:val="center"/>
            <w:hideMark/>
          </w:tcPr>
          <w:p w14:paraId="09875134" w14:textId="77777777" w:rsidR="00197DF1" w:rsidRPr="00197DF1" w:rsidRDefault="00197DF1" w:rsidP="008E5503">
            <w:pPr>
              <w:ind w:left="-115" w:right="-204" w:hanging="76"/>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Dronedarone</w:t>
            </w:r>
          </w:p>
        </w:tc>
        <w:tc>
          <w:tcPr>
            <w:tcW w:w="1469" w:type="dxa"/>
            <w:tcBorders>
              <w:top w:val="nil"/>
              <w:left w:val="nil"/>
              <w:bottom w:val="single" w:sz="4" w:space="0" w:color="auto"/>
              <w:right w:val="single" w:sz="4" w:space="0" w:color="auto"/>
            </w:tcBorders>
            <w:shd w:val="clear" w:color="auto" w:fill="auto"/>
            <w:noWrap/>
            <w:vAlign w:val="center"/>
            <w:hideMark/>
          </w:tcPr>
          <w:p w14:paraId="2742EB12" w14:textId="77777777"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Sotalol</w:t>
            </w:r>
          </w:p>
        </w:tc>
        <w:tc>
          <w:tcPr>
            <w:tcW w:w="1461" w:type="dxa"/>
            <w:tcBorders>
              <w:top w:val="nil"/>
              <w:left w:val="nil"/>
              <w:bottom w:val="single" w:sz="4" w:space="0" w:color="auto"/>
              <w:right w:val="nil"/>
            </w:tcBorders>
            <w:shd w:val="clear" w:color="auto" w:fill="auto"/>
            <w:noWrap/>
            <w:vAlign w:val="center"/>
            <w:hideMark/>
          </w:tcPr>
          <w:p w14:paraId="4D40C756" w14:textId="77777777" w:rsidR="00197DF1" w:rsidRPr="00197DF1" w:rsidRDefault="00197DF1" w:rsidP="008E5503">
            <w:pPr>
              <w:ind w:left="-112" w:right="-286" w:hanging="144"/>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Dronedarone</w:t>
            </w:r>
          </w:p>
        </w:tc>
        <w:tc>
          <w:tcPr>
            <w:tcW w:w="1222" w:type="dxa"/>
            <w:tcBorders>
              <w:top w:val="nil"/>
              <w:left w:val="nil"/>
              <w:bottom w:val="single" w:sz="4" w:space="0" w:color="auto"/>
              <w:right w:val="single" w:sz="4" w:space="0" w:color="auto"/>
            </w:tcBorders>
            <w:shd w:val="clear" w:color="auto" w:fill="auto"/>
            <w:noWrap/>
            <w:vAlign w:val="center"/>
            <w:hideMark/>
          </w:tcPr>
          <w:p w14:paraId="492C181E" w14:textId="77777777"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Sotalol</w:t>
            </w:r>
          </w:p>
        </w:tc>
        <w:tc>
          <w:tcPr>
            <w:tcW w:w="1461" w:type="dxa"/>
            <w:tcBorders>
              <w:top w:val="nil"/>
              <w:left w:val="nil"/>
              <w:bottom w:val="single" w:sz="4" w:space="0" w:color="auto"/>
              <w:right w:val="nil"/>
            </w:tcBorders>
            <w:shd w:val="clear" w:color="auto" w:fill="auto"/>
            <w:noWrap/>
            <w:vAlign w:val="center"/>
            <w:hideMark/>
          </w:tcPr>
          <w:p w14:paraId="3BA603A0" w14:textId="77777777" w:rsidR="00197DF1" w:rsidRPr="00197DF1" w:rsidRDefault="00197DF1" w:rsidP="008E5503">
            <w:pPr>
              <w:ind w:left="-150" w:right="-229" w:hanging="90"/>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Dronedarone</w:t>
            </w:r>
          </w:p>
        </w:tc>
        <w:tc>
          <w:tcPr>
            <w:tcW w:w="1205" w:type="dxa"/>
            <w:gridSpan w:val="2"/>
            <w:tcBorders>
              <w:top w:val="nil"/>
              <w:left w:val="nil"/>
              <w:bottom w:val="single" w:sz="4" w:space="0" w:color="auto"/>
              <w:right w:val="nil"/>
            </w:tcBorders>
            <w:shd w:val="clear" w:color="auto" w:fill="auto"/>
            <w:noWrap/>
            <w:vAlign w:val="center"/>
            <w:hideMark/>
          </w:tcPr>
          <w:p w14:paraId="6AE5EAF6" w14:textId="77777777" w:rsidR="00197DF1" w:rsidRPr="00197DF1" w:rsidRDefault="00197DF1" w:rsidP="008E5503">
            <w:pPr>
              <w:jc w:val="cente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Sotalol</w:t>
            </w:r>
          </w:p>
        </w:tc>
      </w:tr>
      <w:tr w:rsidR="008E5503" w:rsidRPr="00556E12" w14:paraId="35EC4700" w14:textId="77777777" w:rsidTr="008E5503">
        <w:trPr>
          <w:trHeight w:val="134"/>
        </w:trPr>
        <w:tc>
          <w:tcPr>
            <w:tcW w:w="3051" w:type="dxa"/>
            <w:tcBorders>
              <w:top w:val="nil"/>
              <w:left w:val="nil"/>
              <w:bottom w:val="nil"/>
              <w:right w:val="nil"/>
            </w:tcBorders>
            <w:shd w:val="clear" w:color="auto" w:fill="auto"/>
            <w:noWrap/>
            <w:vAlign w:val="bottom"/>
            <w:hideMark/>
          </w:tcPr>
          <w:p w14:paraId="241B63F6" w14:textId="77777777" w:rsidR="00197DF1" w:rsidRPr="00197DF1" w:rsidRDefault="00197DF1" w:rsidP="008E5503">
            <w:pP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Follow-Up</w:t>
            </w:r>
          </w:p>
        </w:tc>
        <w:tc>
          <w:tcPr>
            <w:tcW w:w="1409" w:type="dxa"/>
            <w:tcBorders>
              <w:top w:val="nil"/>
              <w:left w:val="nil"/>
              <w:bottom w:val="nil"/>
              <w:right w:val="nil"/>
            </w:tcBorders>
            <w:shd w:val="clear" w:color="auto" w:fill="auto"/>
            <w:noWrap/>
            <w:vAlign w:val="center"/>
            <w:hideMark/>
          </w:tcPr>
          <w:p w14:paraId="49D68A2A" w14:textId="77777777" w:rsidR="00197DF1" w:rsidRPr="00197DF1" w:rsidRDefault="00197DF1" w:rsidP="008E5503">
            <w:pPr>
              <w:rPr>
                <w:rFonts w:ascii="Arial" w:eastAsia="Times New Roman" w:hAnsi="Arial" w:cs="Arial"/>
                <w:b/>
                <w:bCs/>
                <w:color w:val="000000"/>
                <w:sz w:val="16"/>
                <w:szCs w:val="16"/>
              </w:rPr>
            </w:pPr>
          </w:p>
        </w:tc>
        <w:tc>
          <w:tcPr>
            <w:tcW w:w="1211" w:type="dxa"/>
            <w:tcBorders>
              <w:top w:val="nil"/>
              <w:left w:val="nil"/>
              <w:bottom w:val="nil"/>
              <w:right w:val="single" w:sz="4" w:space="0" w:color="auto"/>
            </w:tcBorders>
            <w:shd w:val="clear" w:color="auto" w:fill="auto"/>
            <w:noWrap/>
            <w:vAlign w:val="center"/>
            <w:hideMark/>
          </w:tcPr>
          <w:p w14:paraId="467F572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1E3E801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5EC4591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2D9B327B"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35EC721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4AE11121"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375AEABE"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6A09143B" w14:textId="77777777" w:rsidTr="008E5503">
        <w:trPr>
          <w:trHeight w:val="77"/>
        </w:trPr>
        <w:tc>
          <w:tcPr>
            <w:tcW w:w="3051" w:type="dxa"/>
            <w:tcBorders>
              <w:top w:val="nil"/>
              <w:left w:val="nil"/>
              <w:bottom w:val="nil"/>
              <w:right w:val="nil"/>
            </w:tcBorders>
            <w:shd w:val="clear" w:color="auto" w:fill="auto"/>
            <w:noWrap/>
            <w:vAlign w:val="bottom"/>
            <w:hideMark/>
          </w:tcPr>
          <w:p w14:paraId="446CABE2"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Patient years, total</w:t>
            </w:r>
          </w:p>
        </w:tc>
        <w:tc>
          <w:tcPr>
            <w:tcW w:w="1409" w:type="dxa"/>
            <w:tcBorders>
              <w:top w:val="nil"/>
              <w:left w:val="nil"/>
              <w:bottom w:val="nil"/>
              <w:right w:val="nil"/>
            </w:tcBorders>
            <w:shd w:val="clear" w:color="auto" w:fill="auto"/>
            <w:noWrap/>
            <w:vAlign w:val="center"/>
            <w:hideMark/>
          </w:tcPr>
          <w:p w14:paraId="180AD1A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3610</w:t>
            </w:r>
          </w:p>
        </w:tc>
        <w:tc>
          <w:tcPr>
            <w:tcW w:w="1211" w:type="dxa"/>
            <w:tcBorders>
              <w:top w:val="nil"/>
              <w:left w:val="nil"/>
              <w:bottom w:val="nil"/>
              <w:right w:val="single" w:sz="4" w:space="0" w:color="auto"/>
            </w:tcBorders>
            <w:shd w:val="clear" w:color="auto" w:fill="auto"/>
            <w:noWrap/>
            <w:vAlign w:val="center"/>
            <w:hideMark/>
          </w:tcPr>
          <w:p w14:paraId="7218966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3251</w:t>
            </w:r>
          </w:p>
        </w:tc>
        <w:tc>
          <w:tcPr>
            <w:tcW w:w="1469" w:type="dxa"/>
            <w:tcBorders>
              <w:top w:val="nil"/>
              <w:left w:val="nil"/>
              <w:bottom w:val="nil"/>
              <w:right w:val="nil"/>
            </w:tcBorders>
            <w:shd w:val="clear" w:color="auto" w:fill="auto"/>
            <w:noWrap/>
            <w:vAlign w:val="center"/>
            <w:hideMark/>
          </w:tcPr>
          <w:p w14:paraId="344EDED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2998</w:t>
            </w:r>
          </w:p>
        </w:tc>
        <w:tc>
          <w:tcPr>
            <w:tcW w:w="1469" w:type="dxa"/>
            <w:tcBorders>
              <w:top w:val="nil"/>
              <w:left w:val="nil"/>
              <w:bottom w:val="nil"/>
              <w:right w:val="single" w:sz="4" w:space="0" w:color="auto"/>
            </w:tcBorders>
            <w:shd w:val="clear" w:color="auto" w:fill="auto"/>
            <w:noWrap/>
            <w:vAlign w:val="center"/>
            <w:hideMark/>
          </w:tcPr>
          <w:p w14:paraId="50C8780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2816</w:t>
            </w:r>
          </w:p>
        </w:tc>
        <w:tc>
          <w:tcPr>
            <w:tcW w:w="1461" w:type="dxa"/>
            <w:tcBorders>
              <w:top w:val="nil"/>
              <w:left w:val="nil"/>
              <w:bottom w:val="nil"/>
              <w:right w:val="nil"/>
            </w:tcBorders>
            <w:shd w:val="clear" w:color="auto" w:fill="auto"/>
            <w:noWrap/>
            <w:vAlign w:val="center"/>
            <w:hideMark/>
          </w:tcPr>
          <w:p w14:paraId="35B2C4F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3581</w:t>
            </w:r>
          </w:p>
        </w:tc>
        <w:tc>
          <w:tcPr>
            <w:tcW w:w="1222" w:type="dxa"/>
            <w:tcBorders>
              <w:top w:val="nil"/>
              <w:left w:val="nil"/>
              <w:bottom w:val="nil"/>
              <w:right w:val="single" w:sz="4" w:space="0" w:color="auto"/>
            </w:tcBorders>
            <w:shd w:val="clear" w:color="auto" w:fill="auto"/>
            <w:noWrap/>
            <w:vAlign w:val="center"/>
            <w:hideMark/>
          </w:tcPr>
          <w:p w14:paraId="263C338B"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3183</w:t>
            </w:r>
          </w:p>
        </w:tc>
        <w:tc>
          <w:tcPr>
            <w:tcW w:w="1461" w:type="dxa"/>
            <w:tcBorders>
              <w:top w:val="nil"/>
              <w:left w:val="nil"/>
              <w:bottom w:val="nil"/>
              <w:right w:val="nil"/>
            </w:tcBorders>
            <w:shd w:val="clear" w:color="auto" w:fill="auto"/>
            <w:noWrap/>
            <w:vAlign w:val="center"/>
            <w:hideMark/>
          </w:tcPr>
          <w:p w14:paraId="6E922B3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3106</w:t>
            </w:r>
          </w:p>
        </w:tc>
        <w:tc>
          <w:tcPr>
            <w:tcW w:w="1205" w:type="dxa"/>
            <w:gridSpan w:val="2"/>
            <w:tcBorders>
              <w:top w:val="nil"/>
              <w:left w:val="nil"/>
              <w:bottom w:val="nil"/>
              <w:right w:val="nil"/>
            </w:tcBorders>
            <w:shd w:val="clear" w:color="auto" w:fill="auto"/>
            <w:noWrap/>
            <w:vAlign w:val="center"/>
            <w:hideMark/>
          </w:tcPr>
          <w:p w14:paraId="7890E75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3106</w:t>
            </w:r>
          </w:p>
        </w:tc>
      </w:tr>
      <w:tr w:rsidR="008E5503" w:rsidRPr="00556E12" w14:paraId="6B609081" w14:textId="77777777" w:rsidTr="008E5503">
        <w:trPr>
          <w:trHeight w:val="117"/>
        </w:trPr>
        <w:tc>
          <w:tcPr>
            <w:tcW w:w="3051" w:type="dxa"/>
            <w:tcBorders>
              <w:top w:val="nil"/>
              <w:left w:val="nil"/>
              <w:bottom w:val="nil"/>
              <w:right w:val="nil"/>
            </w:tcBorders>
            <w:shd w:val="clear" w:color="auto" w:fill="auto"/>
            <w:noWrap/>
            <w:vAlign w:val="bottom"/>
            <w:hideMark/>
          </w:tcPr>
          <w:p w14:paraId="795A0AD9"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Median [IQR] per patient</w:t>
            </w:r>
          </w:p>
        </w:tc>
        <w:tc>
          <w:tcPr>
            <w:tcW w:w="1409" w:type="dxa"/>
            <w:tcBorders>
              <w:top w:val="nil"/>
              <w:left w:val="nil"/>
              <w:bottom w:val="nil"/>
              <w:right w:val="nil"/>
            </w:tcBorders>
            <w:shd w:val="clear" w:color="auto" w:fill="auto"/>
            <w:noWrap/>
            <w:vAlign w:val="center"/>
            <w:hideMark/>
          </w:tcPr>
          <w:p w14:paraId="0E5F2AD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0.5 (0.2,1.3)</w:t>
            </w:r>
          </w:p>
        </w:tc>
        <w:tc>
          <w:tcPr>
            <w:tcW w:w="1211" w:type="dxa"/>
            <w:tcBorders>
              <w:top w:val="nil"/>
              <w:left w:val="nil"/>
              <w:bottom w:val="nil"/>
              <w:right w:val="single" w:sz="4" w:space="0" w:color="auto"/>
            </w:tcBorders>
            <w:shd w:val="clear" w:color="auto" w:fill="auto"/>
            <w:noWrap/>
            <w:vAlign w:val="center"/>
            <w:hideMark/>
          </w:tcPr>
          <w:p w14:paraId="73FBEF7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0.6 (0.2,1.3)</w:t>
            </w:r>
          </w:p>
        </w:tc>
        <w:tc>
          <w:tcPr>
            <w:tcW w:w="1469" w:type="dxa"/>
            <w:tcBorders>
              <w:top w:val="nil"/>
              <w:left w:val="nil"/>
              <w:bottom w:val="nil"/>
              <w:right w:val="nil"/>
            </w:tcBorders>
            <w:shd w:val="clear" w:color="auto" w:fill="auto"/>
            <w:noWrap/>
            <w:vAlign w:val="center"/>
            <w:hideMark/>
          </w:tcPr>
          <w:p w14:paraId="231FB01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0.44 (0.2,1.1)</w:t>
            </w:r>
          </w:p>
        </w:tc>
        <w:tc>
          <w:tcPr>
            <w:tcW w:w="1469" w:type="dxa"/>
            <w:tcBorders>
              <w:top w:val="nil"/>
              <w:left w:val="nil"/>
              <w:bottom w:val="nil"/>
              <w:right w:val="single" w:sz="4" w:space="0" w:color="auto"/>
            </w:tcBorders>
            <w:shd w:val="clear" w:color="auto" w:fill="auto"/>
            <w:noWrap/>
            <w:vAlign w:val="center"/>
            <w:hideMark/>
          </w:tcPr>
          <w:p w14:paraId="11B3D50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0.47 (0.2,1.2)</w:t>
            </w:r>
          </w:p>
        </w:tc>
        <w:tc>
          <w:tcPr>
            <w:tcW w:w="1461" w:type="dxa"/>
            <w:tcBorders>
              <w:top w:val="nil"/>
              <w:left w:val="nil"/>
              <w:bottom w:val="nil"/>
              <w:right w:val="nil"/>
            </w:tcBorders>
            <w:shd w:val="clear" w:color="auto" w:fill="auto"/>
            <w:noWrap/>
            <w:vAlign w:val="center"/>
            <w:hideMark/>
          </w:tcPr>
          <w:p w14:paraId="3B01140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0.5 (0.2,1.3)</w:t>
            </w:r>
          </w:p>
        </w:tc>
        <w:tc>
          <w:tcPr>
            <w:tcW w:w="1222" w:type="dxa"/>
            <w:tcBorders>
              <w:top w:val="nil"/>
              <w:left w:val="nil"/>
              <w:bottom w:val="nil"/>
              <w:right w:val="single" w:sz="4" w:space="0" w:color="auto"/>
            </w:tcBorders>
            <w:shd w:val="clear" w:color="auto" w:fill="auto"/>
            <w:noWrap/>
            <w:vAlign w:val="center"/>
            <w:hideMark/>
          </w:tcPr>
          <w:p w14:paraId="33698B1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0.5 (0.2,1.3)</w:t>
            </w:r>
          </w:p>
        </w:tc>
        <w:tc>
          <w:tcPr>
            <w:tcW w:w="1461" w:type="dxa"/>
            <w:tcBorders>
              <w:top w:val="nil"/>
              <w:left w:val="nil"/>
              <w:bottom w:val="nil"/>
              <w:right w:val="nil"/>
            </w:tcBorders>
            <w:shd w:val="clear" w:color="auto" w:fill="auto"/>
            <w:noWrap/>
            <w:vAlign w:val="center"/>
            <w:hideMark/>
          </w:tcPr>
          <w:p w14:paraId="7309963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0.5 (0.2,1.3)</w:t>
            </w:r>
          </w:p>
        </w:tc>
        <w:tc>
          <w:tcPr>
            <w:tcW w:w="1205" w:type="dxa"/>
            <w:gridSpan w:val="2"/>
            <w:tcBorders>
              <w:top w:val="nil"/>
              <w:left w:val="nil"/>
              <w:bottom w:val="nil"/>
              <w:right w:val="nil"/>
            </w:tcBorders>
            <w:shd w:val="clear" w:color="auto" w:fill="auto"/>
            <w:noWrap/>
            <w:vAlign w:val="center"/>
            <w:hideMark/>
          </w:tcPr>
          <w:p w14:paraId="51D4CA4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0.56 (0.2,1.3)</w:t>
            </w:r>
          </w:p>
        </w:tc>
      </w:tr>
      <w:tr w:rsidR="008E5503" w:rsidRPr="00556E12" w14:paraId="4CC4894C" w14:textId="77777777" w:rsidTr="008E5503">
        <w:trPr>
          <w:trHeight w:val="77"/>
        </w:trPr>
        <w:tc>
          <w:tcPr>
            <w:tcW w:w="3051" w:type="dxa"/>
            <w:tcBorders>
              <w:top w:val="nil"/>
              <w:left w:val="nil"/>
              <w:bottom w:val="nil"/>
              <w:right w:val="nil"/>
            </w:tcBorders>
            <w:shd w:val="clear" w:color="auto" w:fill="auto"/>
            <w:noWrap/>
            <w:vAlign w:val="bottom"/>
            <w:hideMark/>
          </w:tcPr>
          <w:p w14:paraId="7294A417" w14:textId="77777777" w:rsidR="00197DF1" w:rsidRPr="00197DF1" w:rsidRDefault="00197DF1" w:rsidP="008E5503">
            <w:pPr>
              <w:jc w:val="center"/>
              <w:rPr>
                <w:rFonts w:ascii="Arial" w:eastAsia="Times New Roman" w:hAnsi="Arial" w:cs="Arial"/>
                <w:color w:val="000000"/>
                <w:sz w:val="16"/>
                <w:szCs w:val="16"/>
              </w:rPr>
            </w:pPr>
          </w:p>
        </w:tc>
        <w:tc>
          <w:tcPr>
            <w:tcW w:w="1409" w:type="dxa"/>
            <w:tcBorders>
              <w:top w:val="nil"/>
              <w:left w:val="nil"/>
              <w:bottom w:val="nil"/>
              <w:right w:val="nil"/>
            </w:tcBorders>
            <w:shd w:val="clear" w:color="auto" w:fill="auto"/>
            <w:noWrap/>
            <w:vAlign w:val="center"/>
            <w:hideMark/>
          </w:tcPr>
          <w:p w14:paraId="4B67F0AE" w14:textId="77777777" w:rsidR="00197DF1" w:rsidRPr="00197DF1" w:rsidRDefault="00197DF1" w:rsidP="008E5503">
            <w:pPr>
              <w:rPr>
                <w:rFonts w:ascii="Times New Roman" w:eastAsia="Times New Roman" w:hAnsi="Times New Roman" w:cs="Times New Roman"/>
                <w:sz w:val="16"/>
                <w:szCs w:val="16"/>
              </w:rPr>
            </w:pPr>
          </w:p>
        </w:tc>
        <w:tc>
          <w:tcPr>
            <w:tcW w:w="1211" w:type="dxa"/>
            <w:tcBorders>
              <w:top w:val="nil"/>
              <w:left w:val="nil"/>
              <w:bottom w:val="nil"/>
              <w:right w:val="single" w:sz="4" w:space="0" w:color="auto"/>
            </w:tcBorders>
            <w:shd w:val="clear" w:color="auto" w:fill="auto"/>
            <w:noWrap/>
            <w:vAlign w:val="center"/>
            <w:hideMark/>
          </w:tcPr>
          <w:p w14:paraId="6D89137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3EBC5DF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5B6D033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00219AA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243665D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55EE926C"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3C7417DF"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2BB5F9C6" w14:textId="77777777" w:rsidTr="00556E12">
        <w:trPr>
          <w:trHeight w:val="260"/>
        </w:trPr>
        <w:tc>
          <w:tcPr>
            <w:tcW w:w="3051" w:type="dxa"/>
            <w:tcBorders>
              <w:top w:val="nil"/>
              <w:left w:val="nil"/>
              <w:bottom w:val="nil"/>
              <w:right w:val="nil"/>
            </w:tcBorders>
            <w:shd w:val="clear" w:color="auto" w:fill="auto"/>
            <w:noWrap/>
            <w:vAlign w:val="bottom"/>
            <w:hideMark/>
          </w:tcPr>
          <w:p w14:paraId="2AD406CC" w14:textId="77777777" w:rsidR="00197DF1" w:rsidRPr="00197DF1" w:rsidRDefault="00197DF1" w:rsidP="008E5503">
            <w:pPr>
              <w:ind w:right="-120"/>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Reasons for Censoring by 24 months</w:t>
            </w:r>
          </w:p>
        </w:tc>
        <w:tc>
          <w:tcPr>
            <w:tcW w:w="1409" w:type="dxa"/>
            <w:tcBorders>
              <w:top w:val="nil"/>
              <w:left w:val="nil"/>
              <w:bottom w:val="nil"/>
              <w:right w:val="nil"/>
            </w:tcBorders>
            <w:shd w:val="clear" w:color="auto" w:fill="auto"/>
            <w:noWrap/>
            <w:vAlign w:val="center"/>
            <w:hideMark/>
          </w:tcPr>
          <w:p w14:paraId="23157FF3" w14:textId="77777777" w:rsidR="00197DF1" w:rsidRPr="00197DF1" w:rsidRDefault="00197DF1" w:rsidP="008E5503">
            <w:pPr>
              <w:rPr>
                <w:rFonts w:ascii="Arial" w:eastAsia="Times New Roman" w:hAnsi="Arial" w:cs="Arial"/>
                <w:b/>
                <w:bCs/>
                <w:color w:val="000000"/>
                <w:sz w:val="16"/>
                <w:szCs w:val="16"/>
              </w:rPr>
            </w:pPr>
          </w:p>
        </w:tc>
        <w:tc>
          <w:tcPr>
            <w:tcW w:w="1211" w:type="dxa"/>
            <w:tcBorders>
              <w:top w:val="nil"/>
              <w:left w:val="nil"/>
              <w:bottom w:val="nil"/>
              <w:right w:val="single" w:sz="4" w:space="0" w:color="auto"/>
            </w:tcBorders>
            <w:shd w:val="clear" w:color="auto" w:fill="auto"/>
            <w:noWrap/>
            <w:vAlign w:val="center"/>
            <w:hideMark/>
          </w:tcPr>
          <w:p w14:paraId="0ADA5DD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764E4B9B"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34B75EF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79C3D61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68FA1E4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5E697545"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0EC4B73B"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1FD13C55" w14:textId="77777777" w:rsidTr="008E5503">
        <w:trPr>
          <w:trHeight w:val="77"/>
        </w:trPr>
        <w:tc>
          <w:tcPr>
            <w:tcW w:w="3051" w:type="dxa"/>
            <w:tcBorders>
              <w:top w:val="nil"/>
              <w:left w:val="nil"/>
              <w:bottom w:val="nil"/>
              <w:right w:val="nil"/>
            </w:tcBorders>
            <w:shd w:val="clear" w:color="auto" w:fill="auto"/>
            <w:noWrap/>
            <w:vAlign w:val="bottom"/>
            <w:hideMark/>
          </w:tcPr>
          <w:p w14:paraId="7F3BE243"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Occurrence of outcome; n (%)</w:t>
            </w:r>
          </w:p>
        </w:tc>
        <w:tc>
          <w:tcPr>
            <w:tcW w:w="1409" w:type="dxa"/>
            <w:tcBorders>
              <w:top w:val="nil"/>
              <w:left w:val="nil"/>
              <w:bottom w:val="nil"/>
              <w:right w:val="nil"/>
            </w:tcBorders>
            <w:shd w:val="clear" w:color="auto" w:fill="auto"/>
            <w:noWrap/>
            <w:vAlign w:val="center"/>
            <w:hideMark/>
          </w:tcPr>
          <w:p w14:paraId="3764338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75 (2.4%)</w:t>
            </w:r>
          </w:p>
        </w:tc>
        <w:tc>
          <w:tcPr>
            <w:tcW w:w="1211" w:type="dxa"/>
            <w:tcBorders>
              <w:top w:val="nil"/>
              <w:left w:val="nil"/>
              <w:bottom w:val="nil"/>
              <w:right w:val="single" w:sz="4" w:space="0" w:color="auto"/>
            </w:tcBorders>
            <w:shd w:val="clear" w:color="auto" w:fill="auto"/>
            <w:noWrap/>
            <w:vAlign w:val="center"/>
            <w:hideMark/>
          </w:tcPr>
          <w:p w14:paraId="1A19A06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89 (2.9%)</w:t>
            </w:r>
          </w:p>
        </w:tc>
        <w:tc>
          <w:tcPr>
            <w:tcW w:w="1469" w:type="dxa"/>
            <w:tcBorders>
              <w:top w:val="nil"/>
              <w:left w:val="nil"/>
              <w:bottom w:val="nil"/>
              <w:right w:val="nil"/>
            </w:tcBorders>
            <w:shd w:val="clear" w:color="auto" w:fill="auto"/>
            <w:noWrap/>
            <w:vAlign w:val="center"/>
            <w:hideMark/>
          </w:tcPr>
          <w:p w14:paraId="642A770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373 (12.0%)</w:t>
            </w:r>
          </w:p>
        </w:tc>
        <w:tc>
          <w:tcPr>
            <w:tcW w:w="1469" w:type="dxa"/>
            <w:tcBorders>
              <w:top w:val="nil"/>
              <w:left w:val="nil"/>
              <w:bottom w:val="nil"/>
              <w:right w:val="single" w:sz="4" w:space="0" w:color="auto"/>
            </w:tcBorders>
            <w:shd w:val="clear" w:color="auto" w:fill="auto"/>
            <w:noWrap/>
            <w:vAlign w:val="center"/>
            <w:hideMark/>
          </w:tcPr>
          <w:p w14:paraId="4C249CC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397 (12.8%)</w:t>
            </w:r>
          </w:p>
        </w:tc>
        <w:tc>
          <w:tcPr>
            <w:tcW w:w="1461" w:type="dxa"/>
            <w:tcBorders>
              <w:top w:val="nil"/>
              <w:left w:val="nil"/>
              <w:bottom w:val="nil"/>
              <w:right w:val="nil"/>
            </w:tcBorders>
            <w:shd w:val="clear" w:color="auto" w:fill="auto"/>
            <w:noWrap/>
            <w:vAlign w:val="center"/>
            <w:hideMark/>
          </w:tcPr>
          <w:p w14:paraId="339EA32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26 (0.84%)</w:t>
            </w:r>
          </w:p>
        </w:tc>
        <w:tc>
          <w:tcPr>
            <w:tcW w:w="1222" w:type="dxa"/>
            <w:tcBorders>
              <w:top w:val="nil"/>
              <w:left w:val="nil"/>
              <w:bottom w:val="nil"/>
              <w:right w:val="single" w:sz="4" w:space="0" w:color="auto"/>
            </w:tcBorders>
            <w:shd w:val="clear" w:color="auto" w:fill="auto"/>
            <w:noWrap/>
            <w:vAlign w:val="center"/>
            <w:hideMark/>
          </w:tcPr>
          <w:p w14:paraId="67E6FA5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52 (1.7%)</w:t>
            </w:r>
          </w:p>
        </w:tc>
        <w:tc>
          <w:tcPr>
            <w:tcW w:w="1461" w:type="dxa"/>
            <w:tcBorders>
              <w:top w:val="nil"/>
              <w:left w:val="nil"/>
              <w:bottom w:val="nil"/>
              <w:right w:val="nil"/>
            </w:tcBorders>
            <w:shd w:val="clear" w:color="auto" w:fill="auto"/>
            <w:noWrap/>
            <w:vAlign w:val="center"/>
            <w:hideMark/>
          </w:tcPr>
          <w:p w14:paraId="231EEB9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 (0.74%)</w:t>
            </w:r>
          </w:p>
        </w:tc>
        <w:tc>
          <w:tcPr>
            <w:tcW w:w="1205" w:type="dxa"/>
            <w:gridSpan w:val="2"/>
            <w:tcBorders>
              <w:top w:val="nil"/>
              <w:left w:val="nil"/>
              <w:bottom w:val="nil"/>
              <w:right w:val="nil"/>
            </w:tcBorders>
            <w:shd w:val="clear" w:color="auto" w:fill="auto"/>
            <w:noWrap/>
            <w:vAlign w:val="center"/>
            <w:hideMark/>
          </w:tcPr>
          <w:p w14:paraId="7441EA9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47 (1.5%)</w:t>
            </w:r>
          </w:p>
        </w:tc>
      </w:tr>
      <w:tr w:rsidR="008E5503" w:rsidRPr="00556E12" w14:paraId="7C657DB8" w14:textId="77777777" w:rsidTr="008E5503">
        <w:trPr>
          <w:trHeight w:val="77"/>
        </w:trPr>
        <w:tc>
          <w:tcPr>
            <w:tcW w:w="3051" w:type="dxa"/>
            <w:tcBorders>
              <w:top w:val="nil"/>
              <w:left w:val="nil"/>
              <w:bottom w:val="nil"/>
              <w:right w:val="nil"/>
            </w:tcBorders>
            <w:shd w:val="clear" w:color="auto" w:fill="auto"/>
            <w:noWrap/>
            <w:vAlign w:val="bottom"/>
            <w:hideMark/>
          </w:tcPr>
          <w:p w14:paraId="3904596D"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End of data; n (%)</w:t>
            </w:r>
          </w:p>
        </w:tc>
        <w:tc>
          <w:tcPr>
            <w:tcW w:w="1409" w:type="dxa"/>
            <w:tcBorders>
              <w:top w:val="nil"/>
              <w:left w:val="nil"/>
              <w:bottom w:val="nil"/>
              <w:right w:val="nil"/>
            </w:tcBorders>
            <w:shd w:val="clear" w:color="auto" w:fill="auto"/>
            <w:noWrap/>
            <w:vAlign w:val="center"/>
            <w:hideMark/>
          </w:tcPr>
          <w:p w14:paraId="76E78E8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486 (15.7%)</w:t>
            </w:r>
          </w:p>
        </w:tc>
        <w:tc>
          <w:tcPr>
            <w:tcW w:w="1211" w:type="dxa"/>
            <w:tcBorders>
              <w:top w:val="nil"/>
              <w:left w:val="nil"/>
              <w:bottom w:val="nil"/>
              <w:right w:val="single" w:sz="4" w:space="0" w:color="auto"/>
            </w:tcBorders>
            <w:shd w:val="clear" w:color="auto" w:fill="auto"/>
            <w:noWrap/>
            <w:vAlign w:val="center"/>
            <w:hideMark/>
          </w:tcPr>
          <w:p w14:paraId="2C549CE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499 (16.1%)</w:t>
            </w:r>
          </w:p>
        </w:tc>
        <w:tc>
          <w:tcPr>
            <w:tcW w:w="1469" w:type="dxa"/>
            <w:tcBorders>
              <w:top w:val="nil"/>
              <w:left w:val="nil"/>
              <w:bottom w:val="nil"/>
              <w:right w:val="nil"/>
            </w:tcBorders>
            <w:shd w:val="clear" w:color="auto" w:fill="auto"/>
            <w:noWrap/>
            <w:vAlign w:val="center"/>
            <w:hideMark/>
          </w:tcPr>
          <w:p w14:paraId="4514102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393 (13.0%)</w:t>
            </w:r>
          </w:p>
        </w:tc>
        <w:tc>
          <w:tcPr>
            <w:tcW w:w="1469" w:type="dxa"/>
            <w:tcBorders>
              <w:top w:val="nil"/>
              <w:left w:val="nil"/>
              <w:bottom w:val="nil"/>
              <w:right w:val="single" w:sz="4" w:space="0" w:color="auto"/>
            </w:tcBorders>
            <w:shd w:val="clear" w:color="auto" w:fill="auto"/>
            <w:noWrap/>
            <w:vAlign w:val="center"/>
            <w:hideMark/>
          </w:tcPr>
          <w:p w14:paraId="2DBB7D0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408 (14.1%)</w:t>
            </w:r>
          </w:p>
        </w:tc>
        <w:tc>
          <w:tcPr>
            <w:tcW w:w="1461" w:type="dxa"/>
            <w:tcBorders>
              <w:top w:val="nil"/>
              <w:left w:val="nil"/>
              <w:bottom w:val="nil"/>
              <w:right w:val="nil"/>
            </w:tcBorders>
            <w:shd w:val="clear" w:color="auto" w:fill="auto"/>
            <w:noWrap/>
            <w:vAlign w:val="center"/>
            <w:hideMark/>
          </w:tcPr>
          <w:p w14:paraId="0CB87AD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485 (15.6%)</w:t>
            </w:r>
          </w:p>
        </w:tc>
        <w:tc>
          <w:tcPr>
            <w:tcW w:w="1222" w:type="dxa"/>
            <w:tcBorders>
              <w:top w:val="nil"/>
              <w:left w:val="nil"/>
              <w:bottom w:val="nil"/>
              <w:right w:val="single" w:sz="4" w:space="0" w:color="auto"/>
            </w:tcBorders>
            <w:shd w:val="clear" w:color="auto" w:fill="auto"/>
            <w:noWrap/>
            <w:vAlign w:val="center"/>
            <w:hideMark/>
          </w:tcPr>
          <w:p w14:paraId="1C4D694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487 (15.7%)</w:t>
            </w:r>
          </w:p>
        </w:tc>
        <w:tc>
          <w:tcPr>
            <w:tcW w:w="1461" w:type="dxa"/>
            <w:tcBorders>
              <w:top w:val="nil"/>
              <w:left w:val="nil"/>
              <w:bottom w:val="nil"/>
              <w:right w:val="nil"/>
            </w:tcBorders>
            <w:shd w:val="clear" w:color="auto" w:fill="auto"/>
            <w:noWrap/>
            <w:vAlign w:val="center"/>
            <w:hideMark/>
          </w:tcPr>
          <w:p w14:paraId="60CC236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485 (15.6%)</w:t>
            </w:r>
          </w:p>
        </w:tc>
        <w:tc>
          <w:tcPr>
            <w:tcW w:w="1205" w:type="dxa"/>
            <w:gridSpan w:val="2"/>
            <w:tcBorders>
              <w:top w:val="nil"/>
              <w:left w:val="nil"/>
              <w:bottom w:val="nil"/>
              <w:right w:val="nil"/>
            </w:tcBorders>
            <w:shd w:val="clear" w:color="auto" w:fill="auto"/>
            <w:noWrap/>
            <w:vAlign w:val="center"/>
            <w:hideMark/>
          </w:tcPr>
          <w:p w14:paraId="12770E1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487 (15.7%)</w:t>
            </w:r>
          </w:p>
        </w:tc>
      </w:tr>
      <w:tr w:rsidR="008E5503" w:rsidRPr="00556E12" w14:paraId="566A722E" w14:textId="77777777" w:rsidTr="008E5503">
        <w:trPr>
          <w:trHeight w:val="77"/>
        </w:trPr>
        <w:tc>
          <w:tcPr>
            <w:tcW w:w="3051" w:type="dxa"/>
            <w:tcBorders>
              <w:top w:val="nil"/>
              <w:left w:val="nil"/>
              <w:bottom w:val="nil"/>
              <w:right w:val="nil"/>
            </w:tcBorders>
            <w:shd w:val="clear" w:color="auto" w:fill="auto"/>
            <w:noWrap/>
            <w:vAlign w:val="bottom"/>
            <w:hideMark/>
          </w:tcPr>
          <w:p w14:paraId="5C950077"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Death; n (%)</w:t>
            </w:r>
          </w:p>
        </w:tc>
        <w:tc>
          <w:tcPr>
            <w:tcW w:w="1409" w:type="dxa"/>
            <w:tcBorders>
              <w:top w:val="nil"/>
              <w:left w:val="nil"/>
              <w:bottom w:val="nil"/>
              <w:right w:val="nil"/>
            </w:tcBorders>
            <w:shd w:val="clear" w:color="auto" w:fill="auto"/>
            <w:noWrap/>
            <w:vAlign w:val="center"/>
            <w:hideMark/>
          </w:tcPr>
          <w:p w14:paraId="5B3FC28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11" w:type="dxa"/>
            <w:tcBorders>
              <w:top w:val="nil"/>
              <w:left w:val="nil"/>
              <w:bottom w:val="nil"/>
              <w:right w:val="single" w:sz="4" w:space="0" w:color="auto"/>
            </w:tcBorders>
            <w:shd w:val="clear" w:color="auto" w:fill="auto"/>
            <w:noWrap/>
            <w:vAlign w:val="center"/>
            <w:hideMark/>
          </w:tcPr>
          <w:p w14:paraId="3817759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469" w:type="dxa"/>
            <w:tcBorders>
              <w:top w:val="nil"/>
              <w:left w:val="nil"/>
              <w:bottom w:val="nil"/>
              <w:right w:val="nil"/>
            </w:tcBorders>
            <w:shd w:val="clear" w:color="auto" w:fill="auto"/>
            <w:noWrap/>
            <w:vAlign w:val="center"/>
            <w:hideMark/>
          </w:tcPr>
          <w:p w14:paraId="7706D79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66 (2.1%)</w:t>
            </w:r>
          </w:p>
        </w:tc>
        <w:tc>
          <w:tcPr>
            <w:tcW w:w="1469" w:type="dxa"/>
            <w:tcBorders>
              <w:top w:val="nil"/>
              <w:left w:val="nil"/>
              <w:bottom w:val="nil"/>
              <w:right w:val="single" w:sz="4" w:space="0" w:color="auto"/>
            </w:tcBorders>
            <w:shd w:val="clear" w:color="auto" w:fill="auto"/>
            <w:noWrap/>
            <w:vAlign w:val="center"/>
            <w:hideMark/>
          </w:tcPr>
          <w:p w14:paraId="5C892BAB"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75 (2.4%)</w:t>
            </w:r>
          </w:p>
        </w:tc>
        <w:tc>
          <w:tcPr>
            <w:tcW w:w="1461" w:type="dxa"/>
            <w:tcBorders>
              <w:top w:val="nil"/>
              <w:left w:val="nil"/>
              <w:bottom w:val="nil"/>
              <w:right w:val="nil"/>
            </w:tcBorders>
            <w:shd w:val="clear" w:color="auto" w:fill="auto"/>
            <w:noWrap/>
            <w:vAlign w:val="center"/>
            <w:hideMark/>
          </w:tcPr>
          <w:p w14:paraId="155D365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73 (2.4%)</w:t>
            </w:r>
          </w:p>
        </w:tc>
        <w:tc>
          <w:tcPr>
            <w:tcW w:w="1222" w:type="dxa"/>
            <w:tcBorders>
              <w:top w:val="nil"/>
              <w:left w:val="nil"/>
              <w:bottom w:val="nil"/>
              <w:right w:val="single" w:sz="4" w:space="0" w:color="auto"/>
            </w:tcBorders>
            <w:shd w:val="clear" w:color="auto" w:fill="auto"/>
            <w:noWrap/>
            <w:vAlign w:val="center"/>
            <w:hideMark/>
          </w:tcPr>
          <w:p w14:paraId="33FA345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88 (2.8%)</w:t>
            </w:r>
          </w:p>
        </w:tc>
        <w:tc>
          <w:tcPr>
            <w:tcW w:w="1461" w:type="dxa"/>
            <w:tcBorders>
              <w:top w:val="nil"/>
              <w:left w:val="nil"/>
              <w:bottom w:val="nil"/>
              <w:right w:val="nil"/>
            </w:tcBorders>
            <w:shd w:val="clear" w:color="auto" w:fill="auto"/>
            <w:noWrap/>
            <w:vAlign w:val="center"/>
            <w:hideMark/>
          </w:tcPr>
          <w:p w14:paraId="20B6E92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73 (2.4%)</w:t>
            </w:r>
          </w:p>
        </w:tc>
        <w:tc>
          <w:tcPr>
            <w:tcW w:w="1205" w:type="dxa"/>
            <w:gridSpan w:val="2"/>
            <w:tcBorders>
              <w:top w:val="nil"/>
              <w:left w:val="nil"/>
              <w:bottom w:val="nil"/>
              <w:right w:val="nil"/>
            </w:tcBorders>
            <w:shd w:val="clear" w:color="auto" w:fill="auto"/>
            <w:noWrap/>
            <w:vAlign w:val="center"/>
            <w:hideMark/>
          </w:tcPr>
          <w:p w14:paraId="241BB7E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88 (2.8%)</w:t>
            </w:r>
          </w:p>
        </w:tc>
      </w:tr>
      <w:tr w:rsidR="008E5503" w:rsidRPr="00556E12" w14:paraId="5FEE63DE" w14:textId="77777777" w:rsidTr="008E5503">
        <w:trPr>
          <w:trHeight w:val="77"/>
        </w:trPr>
        <w:tc>
          <w:tcPr>
            <w:tcW w:w="3051" w:type="dxa"/>
            <w:tcBorders>
              <w:top w:val="nil"/>
              <w:left w:val="nil"/>
              <w:bottom w:val="nil"/>
              <w:right w:val="nil"/>
            </w:tcBorders>
            <w:shd w:val="clear" w:color="auto" w:fill="auto"/>
            <w:noWrap/>
            <w:vAlign w:val="bottom"/>
            <w:hideMark/>
          </w:tcPr>
          <w:p w14:paraId="4CAB2C12"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Medication discontinuation; n (%)</w:t>
            </w:r>
          </w:p>
        </w:tc>
        <w:tc>
          <w:tcPr>
            <w:tcW w:w="1409" w:type="dxa"/>
            <w:tcBorders>
              <w:top w:val="nil"/>
              <w:left w:val="nil"/>
              <w:bottom w:val="nil"/>
              <w:right w:val="nil"/>
            </w:tcBorders>
            <w:shd w:val="clear" w:color="auto" w:fill="auto"/>
            <w:noWrap/>
            <w:vAlign w:val="center"/>
            <w:hideMark/>
          </w:tcPr>
          <w:p w14:paraId="5DC694D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2387 (76.9%)</w:t>
            </w:r>
          </w:p>
        </w:tc>
        <w:tc>
          <w:tcPr>
            <w:tcW w:w="1211" w:type="dxa"/>
            <w:tcBorders>
              <w:top w:val="nil"/>
              <w:left w:val="nil"/>
              <w:bottom w:val="nil"/>
              <w:right w:val="single" w:sz="4" w:space="0" w:color="auto"/>
            </w:tcBorders>
            <w:shd w:val="clear" w:color="auto" w:fill="auto"/>
            <w:noWrap/>
            <w:vAlign w:val="center"/>
            <w:hideMark/>
          </w:tcPr>
          <w:p w14:paraId="2647ED7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2359 (76.0%)</w:t>
            </w:r>
          </w:p>
        </w:tc>
        <w:tc>
          <w:tcPr>
            <w:tcW w:w="1469" w:type="dxa"/>
            <w:tcBorders>
              <w:top w:val="nil"/>
              <w:left w:val="nil"/>
              <w:bottom w:val="nil"/>
              <w:right w:val="nil"/>
            </w:tcBorders>
            <w:shd w:val="clear" w:color="auto" w:fill="auto"/>
            <w:noWrap/>
            <w:vAlign w:val="center"/>
            <w:hideMark/>
          </w:tcPr>
          <w:p w14:paraId="306CE7E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2146 (69.1%)</w:t>
            </w:r>
          </w:p>
        </w:tc>
        <w:tc>
          <w:tcPr>
            <w:tcW w:w="1469" w:type="dxa"/>
            <w:tcBorders>
              <w:top w:val="nil"/>
              <w:left w:val="nil"/>
              <w:bottom w:val="nil"/>
              <w:right w:val="single" w:sz="4" w:space="0" w:color="auto"/>
            </w:tcBorders>
            <w:shd w:val="clear" w:color="auto" w:fill="auto"/>
            <w:noWrap/>
            <w:vAlign w:val="center"/>
            <w:hideMark/>
          </w:tcPr>
          <w:p w14:paraId="5D08AF2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2098 (67.6%)</w:t>
            </w:r>
          </w:p>
        </w:tc>
        <w:tc>
          <w:tcPr>
            <w:tcW w:w="1461" w:type="dxa"/>
            <w:tcBorders>
              <w:top w:val="nil"/>
              <w:left w:val="nil"/>
              <w:bottom w:val="nil"/>
              <w:right w:val="nil"/>
            </w:tcBorders>
            <w:shd w:val="clear" w:color="auto" w:fill="auto"/>
            <w:noWrap/>
            <w:vAlign w:val="center"/>
            <w:hideMark/>
          </w:tcPr>
          <w:p w14:paraId="3134542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2368 (76.2%)</w:t>
            </w:r>
          </w:p>
        </w:tc>
        <w:tc>
          <w:tcPr>
            <w:tcW w:w="1222" w:type="dxa"/>
            <w:tcBorders>
              <w:top w:val="nil"/>
              <w:left w:val="nil"/>
              <w:bottom w:val="nil"/>
              <w:right w:val="single" w:sz="4" w:space="0" w:color="auto"/>
            </w:tcBorders>
            <w:shd w:val="clear" w:color="auto" w:fill="auto"/>
            <w:noWrap/>
            <w:vAlign w:val="center"/>
            <w:hideMark/>
          </w:tcPr>
          <w:p w14:paraId="3F8CD54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2322 (74.8%)</w:t>
            </w:r>
          </w:p>
        </w:tc>
        <w:tc>
          <w:tcPr>
            <w:tcW w:w="1461" w:type="dxa"/>
            <w:tcBorders>
              <w:top w:val="nil"/>
              <w:left w:val="nil"/>
              <w:bottom w:val="nil"/>
              <w:right w:val="nil"/>
            </w:tcBorders>
            <w:shd w:val="clear" w:color="auto" w:fill="auto"/>
            <w:noWrap/>
            <w:vAlign w:val="center"/>
            <w:hideMark/>
          </w:tcPr>
          <w:p w14:paraId="18DEC35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2368 (76.2%)</w:t>
            </w:r>
          </w:p>
        </w:tc>
        <w:tc>
          <w:tcPr>
            <w:tcW w:w="1205" w:type="dxa"/>
            <w:gridSpan w:val="2"/>
            <w:tcBorders>
              <w:top w:val="nil"/>
              <w:left w:val="nil"/>
              <w:bottom w:val="nil"/>
              <w:right w:val="nil"/>
            </w:tcBorders>
            <w:shd w:val="clear" w:color="auto" w:fill="auto"/>
            <w:noWrap/>
            <w:vAlign w:val="center"/>
            <w:hideMark/>
          </w:tcPr>
          <w:p w14:paraId="34F96D9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2326 (74.9%)</w:t>
            </w:r>
          </w:p>
        </w:tc>
      </w:tr>
      <w:tr w:rsidR="008E5503" w:rsidRPr="00556E12" w14:paraId="56FE8959" w14:textId="77777777" w:rsidTr="008E5503">
        <w:trPr>
          <w:trHeight w:val="77"/>
        </w:trPr>
        <w:tc>
          <w:tcPr>
            <w:tcW w:w="3051" w:type="dxa"/>
            <w:tcBorders>
              <w:top w:val="nil"/>
              <w:left w:val="nil"/>
              <w:bottom w:val="nil"/>
              <w:right w:val="nil"/>
            </w:tcBorders>
            <w:shd w:val="clear" w:color="auto" w:fill="auto"/>
            <w:noWrap/>
            <w:vAlign w:val="bottom"/>
            <w:hideMark/>
          </w:tcPr>
          <w:p w14:paraId="577A1AF5"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Switched to other AAD; n (%)</w:t>
            </w:r>
          </w:p>
        </w:tc>
        <w:tc>
          <w:tcPr>
            <w:tcW w:w="1409" w:type="dxa"/>
            <w:tcBorders>
              <w:top w:val="nil"/>
              <w:left w:val="nil"/>
              <w:bottom w:val="nil"/>
              <w:right w:val="nil"/>
            </w:tcBorders>
            <w:shd w:val="clear" w:color="auto" w:fill="auto"/>
            <w:noWrap/>
            <w:vAlign w:val="center"/>
            <w:hideMark/>
          </w:tcPr>
          <w:p w14:paraId="026904A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158 (5.1%)</w:t>
            </w:r>
          </w:p>
        </w:tc>
        <w:tc>
          <w:tcPr>
            <w:tcW w:w="1211" w:type="dxa"/>
            <w:tcBorders>
              <w:top w:val="nil"/>
              <w:left w:val="nil"/>
              <w:bottom w:val="nil"/>
              <w:right w:val="single" w:sz="4" w:space="0" w:color="auto"/>
            </w:tcBorders>
            <w:shd w:val="clear" w:color="auto" w:fill="auto"/>
            <w:noWrap/>
            <w:vAlign w:val="center"/>
            <w:hideMark/>
          </w:tcPr>
          <w:p w14:paraId="11E3E70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1588 (5.1%)</w:t>
            </w:r>
          </w:p>
        </w:tc>
        <w:tc>
          <w:tcPr>
            <w:tcW w:w="1469" w:type="dxa"/>
            <w:tcBorders>
              <w:top w:val="nil"/>
              <w:left w:val="nil"/>
              <w:bottom w:val="nil"/>
              <w:right w:val="nil"/>
            </w:tcBorders>
            <w:shd w:val="clear" w:color="auto" w:fill="auto"/>
            <w:noWrap/>
            <w:vAlign w:val="center"/>
            <w:hideMark/>
          </w:tcPr>
          <w:p w14:paraId="6F232DD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128 (4.1%)</w:t>
            </w:r>
          </w:p>
        </w:tc>
        <w:tc>
          <w:tcPr>
            <w:tcW w:w="1469" w:type="dxa"/>
            <w:tcBorders>
              <w:top w:val="nil"/>
              <w:left w:val="nil"/>
              <w:bottom w:val="nil"/>
              <w:right w:val="single" w:sz="4" w:space="0" w:color="auto"/>
            </w:tcBorders>
            <w:shd w:val="clear" w:color="auto" w:fill="auto"/>
            <w:noWrap/>
            <w:vAlign w:val="center"/>
            <w:hideMark/>
          </w:tcPr>
          <w:p w14:paraId="33A2A5B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128 (4.1%)</w:t>
            </w:r>
          </w:p>
        </w:tc>
        <w:tc>
          <w:tcPr>
            <w:tcW w:w="1461" w:type="dxa"/>
            <w:tcBorders>
              <w:top w:val="nil"/>
              <w:left w:val="nil"/>
              <w:bottom w:val="nil"/>
              <w:right w:val="nil"/>
            </w:tcBorders>
            <w:shd w:val="clear" w:color="auto" w:fill="auto"/>
            <w:noWrap/>
            <w:vAlign w:val="center"/>
            <w:hideMark/>
          </w:tcPr>
          <w:p w14:paraId="01BB324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154 (5.0%)</w:t>
            </w:r>
          </w:p>
        </w:tc>
        <w:tc>
          <w:tcPr>
            <w:tcW w:w="1222" w:type="dxa"/>
            <w:tcBorders>
              <w:top w:val="nil"/>
              <w:left w:val="nil"/>
              <w:bottom w:val="nil"/>
              <w:right w:val="single" w:sz="4" w:space="0" w:color="auto"/>
            </w:tcBorders>
            <w:shd w:val="clear" w:color="auto" w:fill="auto"/>
            <w:noWrap/>
            <w:vAlign w:val="center"/>
            <w:hideMark/>
          </w:tcPr>
          <w:p w14:paraId="0584590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157 (5.1%)</w:t>
            </w:r>
          </w:p>
        </w:tc>
        <w:tc>
          <w:tcPr>
            <w:tcW w:w="1461" w:type="dxa"/>
            <w:tcBorders>
              <w:top w:val="nil"/>
              <w:left w:val="nil"/>
              <w:bottom w:val="nil"/>
              <w:right w:val="nil"/>
            </w:tcBorders>
            <w:shd w:val="clear" w:color="auto" w:fill="auto"/>
            <w:noWrap/>
            <w:vAlign w:val="center"/>
            <w:hideMark/>
          </w:tcPr>
          <w:p w14:paraId="41586B3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154 (5.0%)</w:t>
            </w:r>
          </w:p>
        </w:tc>
        <w:tc>
          <w:tcPr>
            <w:tcW w:w="1205" w:type="dxa"/>
            <w:gridSpan w:val="2"/>
            <w:tcBorders>
              <w:top w:val="nil"/>
              <w:left w:val="nil"/>
              <w:bottom w:val="nil"/>
              <w:right w:val="nil"/>
            </w:tcBorders>
            <w:shd w:val="clear" w:color="auto" w:fill="auto"/>
            <w:noWrap/>
            <w:vAlign w:val="center"/>
            <w:hideMark/>
          </w:tcPr>
          <w:p w14:paraId="7814F4C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158 (5.1%)</w:t>
            </w:r>
          </w:p>
        </w:tc>
      </w:tr>
      <w:tr w:rsidR="008E5503" w:rsidRPr="00556E12" w14:paraId="6BF4B386" w14:textId="77777777" w:rsidTr="008E5503">
        <w:trPr>
          <w:trHeight w:val="77"/>
        </w:trPr>
        <w:tc>
          <w:tcPr>
            <w:tcW w:w="3051" w:type="dxa"/>
            <w:tcBorders>
              <w:top w:val="nil"/>
              <w:left w:val="nil"/>
              <w:bottom w:val="nil"/>
              <w:right w:val="nil"/>
            </w:tcBorders>
            <w:shd w:val="clear" w:color="auto" w:fill="auto"/>
            <w:noWrap/>
            <w:vAlign w:val="bottom"/>
            <w:hideMark/>
          </w:tcPr>
          <w:p w14:paraId="7DE7F145" w14:textId="77777777" w:rsidR="00197DF1" w:rsidRPr="00197DF1" w:rsidRDefault="00197DF1" w:rsidP="008E5503">
            <w:pPr>
              <w:jc w:val="center"/>
              <w:rPr>
                <w:rFonts w:ascii="Arial" w:eastAsia="Times New Roman" w:hAnsi="Arial" w:cs="Arial"/>
                <w:color w:val="000000"/>
                <w:sz w:val="16"/>
                <w:szCs w:val="16"/>
              </w:rPr>
            </w:pPr>
          </w:p>
        </w:tc>
        <w:tc>
          <w:tcPr>
            <w:tcW w:w="1409" w:type="dxa"/>
            <w:tcBorders>
              <w:top w:val="nil"/>
              <w:left w:val="nil"/>
              <w:bottom w:val="nil"/>
              <w:right w:val="nil"/>
            </w:tcBorders>
            <w:shd w:val="clear" w:color="auto" w:fill="auto"/>
            <w:noWrap/>
            <w:vAlign w:val="center"/>
            <w:hideMark/>
          </w:tcPr>
          <w:p w14:paraId="461FF162" w14:textId="77777777" w:rsidR="00197DF1" w:rsidRPr="00197DF1" w:rsidRDefault="00197DF1" w:rsidP="008E5503">
            <w:pPr>
              <w:rPr>
                <w:rFonts w:ascii="Times New Roman" w:eastAsia="Times New Roman" w:hAnsi="Times New Roman" w:cs="Times New Roman"/>
                <w:sz w:val="16"/>
                <w:szCs w:val="16"/>
              </w:rPr>
            </w:pPr>
          </w:p>
        </w:tc>
        <w:tc>
          <w:tcPr>
            <w:tcW w:w="1211" w:type="dxa"/>
            <w:tcBorders>
              <w:top w:val="nil"/>
              <w:left w:val="nil"/>
              <w:bottom w:val="nil"/>
              <w:right w:val="single" w:sz="4" w:space="0" w:color="auto"/>
            </w:tcBorders>
            <w:shd w:val="clear" w:color="auto" w:fill="auto"/>
            <w:noWrap/>
            <w:vAlign w:val="center"/>
            <w:hideMark/>
          </w:tcPr>
          <w:p w14:paraId="527C064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7B08DAA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1DB9403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66E1481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6B97401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2483ADB8"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6AAC3832"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76B739F0" w14:textId="77777777" w:rsidTr="008E5503">
        <w:trPr>
          <w:trHeight w:val="126"/>
        </w:trPr>
        <w:tc>
          <w:tcPr>
            <w:tcW w:w="3051" w:type="dxa"/>
            <w:tcBorders>
              <w:top w:val="nil"/>
              <w:left w:val="nil"/>
              <w:bottom w:val="nil"/>
              <w:right w:val="nil"/>
            </w:tcBorders>
            <w:shd w:val="clear" w:color="auto" w:fill="auto"/>
            <w:vAlign w:val="bottom"/>
            <w:hideMark/>
          </w:tcPr>
          <w:p w14:paraId="259801F5" w14:textId="77777777" w:rsidR="00197DF1" w:rsidRPr="00197DF1" w:rsidRDefault="00197DF1" w:rsidP="008E5503">
            <w:pP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Outcome Incidence (per 100 patient-years)</w:t>
            </w:r>
          </w:p>
        </w:tc>
        <w:tc>
          <w:tcPr>
            <w:tcW w:w="1409" w:type="dxa"/>
            <w:tcBorders>
              <w:top w:val="nil"/>
              <w:left w:val="nil"/>
              <w:bottom w:val="nil"/>
              <w:right w:val="nil"/>
            </w:tcBorders>
            <w:shd w:val="clear" w:color="auto" w:fill="auto"/>
            <w:noWrap/>
            <w:vAlign w:val="center"/>
            <w:hideMark/>
          </w:tcPr>
          <w:p w14:paraId="538FEB98" w14:textId="77777777" w:rsidR="00197DF1" w:rsidRPr="00197DF1" w:rsidRDefault="00197DF1" w:rsidP="008E5503">
            <w:pPr>
              <w:rPr>
                <w:rFonts w:ascii="Arial" w:eastAsia="Times New Roman" w:hAnsi="Arial" w:cs="Arial"/>
                <w:b/>
                <w:bCs/>
                <w:color w:val="000000"/>
                <w:sz w:val="16"/>
                <w:szCs w:val="16"/>
              </w:rPr>
            </w:pPr>
          </w:p>
        </w:tc>
        <w:tc>
          <w:tcPr>
            <w:tcW w:w="1211" w:type="dxa"/>
            <w:tcBorders>
              <w:top w:val="nil"/>
              <w:left w:val="nil"/>
              <w:bottom w:val="nil"/>
              <w:right w:val="single" w:sz="4" w:space="0" w:color="auto"/>
            </w:tcBorders>
            <w:shd w:val="clear" w:color="auto" w:fill="auto"/>
            <w:noWrap/>
            <w:vAlign w:val="center"/>
            <w:hideMark/>
          </w:tcPr>
          <w:p w14:paraId="534E0D0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74565AB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2FE43AB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61AE271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711FAE8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6777117C"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5DE6B4E9"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270C1E8E" w14:textId="77777777" w:rsidTr="008E5503">
        <w:trPr>
          <w:trHeight w:val="77"/>
        </w:trPr>
        <w:tc>
          <w:tcPr>
            <w:tcW w:w="3051" w:type="dxa"/>
            <w:tcBorders>
              <w:top w:val="nil"/>
              <w:left w:val="nil"/>
              <w:bottom w:val="nil"/>
              <w:right w:val="nil"/>
            </w:tcBorders>
            <w:shd w:val="clear" w:color="auto" w:fill="auto"/>
            <w:noWrap/>
            <w:vAlign w:val="bottom"/>
            <w:hideMark/>
          </w:tcPr>
          <w:p w14:paraId="6E36B095"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Total; n (%)</w:t>
            </w:r>
          </w:p>
        </w:tc>
        <w:tc>
          <w:tcPr>
            <w:tcW w:w="1409" w:type="dxa"/>
            <w:tcBorders>
              <w:top w:val="nil"/>
              <w:left w:val="nil"/>
              <w:bottom w:val="nil"/>
              <w:right w:val="nil"/>
            </w:tcBorders>
            <w:shd w:val="clear" w:color="auto" w:fill="auto"/>
            <w:noWrap/>
            <w:vAlign w:val="center"/>
            <w:hideMark/>
          </w:tcPr>
          <w:p w14:paraId="432142D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118 (3.8%)</w:t>
            </w:r>
          </w:p>
        </w:tc>
        <w:tc>
          <w:tcPr>
            <w:tcW w:w="1211" w:type="dxa"/>
            <w:tcBorders>
              <w:top w:val="nil"/>
              <w:left w:val="nil"/>
              <w:bottom w:val="nil"/>
              <w:right w:val="single" w:sz="4" w:space="0" w:color="auto"/>
            </w:tcBorders>
            <w:shd w:val="clear" w:color="auto" w:fill="auto"/>
            <w:noWrap/>
            <w:vAlign w:val="center"/>
            <w:hideMark/>
          </w:tcPr>
          <w:p w14:paraId="6E0DC53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113 (3.6%)</w:t>
            </w:r>
          </w:p>
        </w:tc>
        <w:tc>
          <w:tcPr>
            <w:tcW w:w="1469" w:type="dxa"/>
            <w:tcBorders>
              <w:top w:val="nil"/>
              <w:left w:val="nil"/>
              <w:bottom w:val="nil"/>
              <w:right w:val="nil"/>
            </w:tcBorders>
            <w:shd w:val="clear" w:color="auto" w:fill="auto"/>
            <w:noWrap/>
            <w:vAlign w:val="center"/>
            <w:hideMark/>
          </w:tcPr>
          <w:p w14:paraId="21538EA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418 (13.5%)</w:t>
            </w:r>
          </w:p>
        </w:tc>
        <w:tc>
          <w:tcPr>
            <w:tcW w:w="1469" w:type="dxa"/>
            <w:tcBorders>
              <w:top w:val="nil"/>
              <w:left w:val="nil"/>
              <w:bottom w:val="nil"/>
              <w:right w:val="single" w:sz="4" w:space="0" w:color="auto"/>
            </w:tcBorders>
            <w:shd w:val="clear" w:color="auto" w:fill="auto"/>
            <w:noWrap/>
            <w:vAlign w:val="center"/>
            <w:hideMark/>
          </w:tcPr>
          <w:p w14:paraId="1D951F3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421 (13.6%)</w:t>
            </w:r>
          </w:p>
        </w:tc>
        <w:tc>
          <w:tcPr>
            <w:tcW w:w="1461" w:type="dxa"/>
            <w:tcBorders>
              <w:top w:val="nil"/>
              <w:left w:val="nil"/>
              <w:bottom w:val="nil"/>
              <w:right w:val="nil"/>
            </w:tcBorders>
            <w:shd w:val="clear" w:color="auto" w:fill="auto"/>
            <w:noWrap/>
            <w:vAlign w:val="center"/>
            <w:hideMark/>
          </w:tcPr>
          <w:p w14:paraId="7CDC87A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33 (1.1%)</w:t>
            </w:r>
          </w:p>
        </w:tc>
        <w:tc>
          <w:tcPr>
            <w:tcW w:w="1222" w:type="dxa"/>
            <w:tcBorders>
              <w:top w:val="nil"/>
              <w:left w:val="nil"/>
              <w:bottom w:val="nil"/>
              <w:right w:val="single" w:sz="4" w:space="0" w:color="auto"/>
            </w:tcBorders>
            <w:shd w:val="clear" w:color="auto" w:fill="auto"/>
            <w:noWrap/>
            <w:vAlign w:val="center"/>
            <w:hideMark/>
          </w:tcPr>
          <w:p w14:paraId="334D14B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56 (1.8%)</w:t>
            </w:r>
          </w:p>
        </w:tc>
        <w:tc>
          <w:tcPr>
            <w:tcW w:w="1461" w:type="dxa"/>
            <w:tcBorders>
              <w:top w:val="nil"/>
              <w:left w:val="nil"/>
              <w:bottom w:val="nil"/>
              <w:right w:val="nil"/>
            </w:tcBorders>
            <w:shd w:val="clear" w:color="auto" w:fill="auto"/>
            <w:noWrap/>
            <w:vAlign w:val="center"/>
            <w:hideMark/>
          </w:tcPr>
          <w:p w14:paraId="2F20A4D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29 (0.93%)</w:t>
            </w:r>
          </w:p>
        </w:tc>
        <w:tc>
          <w:tcPr>
            <w:tcW w:w="1205" w:type="dxa"/>
            <w:gridSpan w:val="2"/>
            <w:tcBorders>
              <w:top w:val="nil"/>
              <w:left w:val="nil"/>
              <w:bottom w:val="nil"/>
              <w:right w:val="nil"/>
            </w:tcBorders>
            <w:shd w:val="clear" w:color="auto" w:fill="auto"/>
            <w:noWrap/>
            <w:vAlign w:val="center"/>
            <w:hideMark/>
          </w:tcPr>
          <w:p w14:paraId="1260CFA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50 (1.6%)</w:t>
            </w:r>
          </w:p>
        </w:tc>
      </w:tr>
      <w:tr w:rsidR="008E5503" w:rsidRPr="00556E12" w14:paraId="25BDD30C" w14:textId="77777777" w:rsidTr="008E5503">
        <w:trPr>
          <w:trHeight w:val="77"/>
        </w:trPr>
        <w:tc>
          <w:tcPr>
            <w:tcW w:w="3051" w:type="dxa"/>
            <w:tcBorders>
              <w:top w:val="nil"/>
              <w:left w:val="nil"/>
              <w:bottom w:val="nil"/>
              <w:right w:val="nil"/>
            </w:tcBorders>
            <w:shd w:val="clear" w:color="auto" w:fill="auto"/>
            <w:noWrap/>
            <w:vAlign w:val="bottom"/>
            <w:hideMark/>
          </w:tcPr>
          <w:p w14:paraId="16FCE6FC"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3 months (95% CI)</w:t>
            </w:r>
          </w:p>
        </w:tc>
        <w:tc>
          <w:tcPr>
            <w:tcW w:w="1409" w:type="dxa"/>
            <w:tcBorders>
              <w:top w:val="nil"/>
              <w:left w:val="nil"/>
              <w:bottom w:val="nil"/>
              <w:right w:val="nil"/>
            </w:tcBorders>
            <w:shd w:val="clear" w:color="auto" w:fill="auto"/>
            <w:noWrap/>
            <w:vAlign w:val="center"/>
            <w:hideMark/>
          </w:tcPr>
          <w:p w14:paraId="7F360A4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3.7 (2.5 - 5.5)</w:t>
            </w:r>
          </w:p>
        </w:tc>
        <w:tc>
          <w:tcPr>
            <w:tcW w:w="1211" w:type="dxa"/>
            <w:tcBorders>
              <w:top w:val="nil"/>
              <w:left w:val="nil"/>
              <w:bottom w:val="nil"/>
              <w:right w:val="single" w:sz="4" w:space="0" w:color="auto"/>
            </w:tcBorders>
            <w:shd w:val="clear" w:color="auto" w:fill="auto"/>
            <w:noWrap/>
            <w:vAlign w:val="center"/>
            <w:hideMark/>
          </w:tcPr>
          <w:p w14:paraId="5734BFC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4.2 (2.9 - 6.0)</w:t>
            </w:r>
          </w:p>
        </w:tc>
        <w:tc>
          <w:tcPr>
            <w:tcW w:w="1469" w:type="dxa"/>
            <w:tcBorders>
              <w:top w:val="nil"/>
              <w:left w:val="nil"/>
              <w:bottom w:val="nil"/>
              <w:right w:val="nil"/>
            </w:tcBorders>
            <w:shd w:val="clear" w:color="auto" w:fill="auto"/>
            <w:noWrap/>
            <w:vAlign w:val="center"/>
            <w:hideMark/>
          </w:tcPr>
          <w:p w14:paraId="1DAEE0E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27.2 (23.4 - 31.6)</w:t>
            </w:r>
          </w:p>
        </w:tc>
        <w:tc>
          <w:tcPr>
            <w:tcW w:w="1469" w:type="dxa"/>
            <w:tcBorders>
              <w:top w:val="nil"/>
              <w:left w:val="nil"/>
              <w:bottom w:val="nil"/>
              <w:right w:val="single" w:sz="4" w:space="0" w:color="auto"/>
            </w:tcBorders>
            <w:shd w:val="clear" w:color="auto" w:fill="auto"/>
            <w:noWrap/>
            <w:vAlign w:val="center"/>
            <w:hideMark/>
          </w:tcPr>
          <w:p w14:paraId="58F7F2E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28.7 (24.9 - 33.1)</w:t>
            </w:r>
          </w:p>
        </w:tc>
        <w:tc>
          <w:tcPr>
            <w:tcW w:w="1461" w:type="dxa"/>
            <w:tcBorders>
              <w:top w:val="nil"/>
              <w:left w:val="nil"/>
              <w:bottom w:val="nil"/>
              <w:right w:val="nil"/>
            </w:tcBorders>
            <w:shd w:val="clear" w:color="auto" w:fill="auto"/>
            <w:noWrap/>
            <w:vAlign w:val="center"/>
            <w:hideMark/>
          </w:tcPr>
          <w:p w14:paraId="3B2EB66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1.8 (1.0 - 3.2)</w:t>
            </w:r>
          </w:p>
        </w:tc>
        <w:tc>
          <w:tcPr>
            <w:tcW w:w="1222" w:type="dxa"/>
            <w:tcBorders>
              <w:top w:val="nil"/>
              <w:left w:val="nil"/>
              <w:bottom w:val="nil"/>
              <w:right w:val="single" w:sz="4" w:space="0" w:color="auto"/>
            </w:tcBorders>
            <w:shd w:val="clear" w:color="auto" w:fill="auto"/>
            <w:noWrap/>
            <w:vAlign w:val="center"/>
            <w:hideMark/>
          </w:tcPr>
          <w:p w14:paraId="0A194F0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3.0 (2.0 - 4.7)</w:t>
            </w:r>
          </w:p>
        </w:tc>
        <w:tc>
          <w:tcPr>
            <w:tcW w:w="1461" w:type="dxa"/>
            <w:tcBorders>
              <w:top w:val="nil"/>
              <w:left w:val="nil"/>
              <w:bottom w:val="nil"/>
              <w:right w:val="nil"/>
            </w:tcBorders>
            <w:shd w:val="clear" w:color="auto" w:fill="auto"/>
            <w:noWrap/>
            <w:vAlign w:val="center"/>
            <w:hideMark/>
          </w:tcPr>
          <w:p w14:paraId="07F8F0A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1.7 (0.9 - 3.0)</w:t>
            </w:r>
          </w:p>
        </w:tc>
        <w:tc>
          <w:tcPr>
            <w:tcW w:w="1205" w:type="dxa"/>
            <w:gridSpan w:val="2"/>
            <w:tcBorders>
              <w:top w:val="nil"/>
              <w:left w:val="nil"/>
              <w:bottom w:val="nil"/>
              <w:right w:val="nil"/>
            </w:tcBorders>
            <w:shd w:val="clear" w:color="auto" w:fill="auto"/>
            <w:noWrap/>
            <w:vAlign w:val="center"/>
            <w:hideMark/>
          </w:tcPr>
          <w:p w14:paraId="7434B98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2.7 (1.7 - 4.3)</w:t>
            </w:r>
          </w:p>
        </w:tc>
      </w:tr>
      <w:tr w:rsidR="008E5503" w:rsidRPr="00556E12" w14:paraId="2BBF7F45" w14:textId="77777777" w:rsidTr="008E5503">
        <w:trPr>
          <w:trHeight w:val="77"/>
        </w:trPr>
        <w:tc>
          <w:tcPr>
            <w:tcW w:w="3051" w:type="dxa"/>
            <w:tcBorders>
              <w:top w:val="nil"/>
              <w:left w:val="nil"/>
              <w:bottom w:val="nil"/>
              <w:right w:val="nil"/>
            </w:tcBorders>
            <w:shd w:val="clear" w:color="auto" w:fill="auto"/>
            <w:noWrap/>
            <w:vAlign w:val="bottom"/>
            <w:hideMark/>
          </w:tcPr>
          <w:p w14:paraId="7E5641F5"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6 months (95% CI)</w:t>
            </w:r>
          </w:p>
        </w:tc>
        <w:tc>
          <w:tcPr>
            <w:tcW w:w="1409" w:type="dxa"/>
            <w:tcBorders>
              <w:top w:val="nil"/>
              <w:left w:val="nil"/>
              <w:bottom w:val="nil"/>
              <w:right w:val="nil"/>
            </w:tcBorders>
            <w:shd w:val="clear" w:color="auto" w:fill="auto"/>
            <w:noWrap/>
            <w:vAlign w:val="center"/>
            <w:hideMark/>
          </w:tcPr>
          <w:p w14:paraId="4E2D429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2.9 (2.1 - 4.1)</w:t>
            </w:r>
          </w:p>
        </w:tc>
        <w:tc>
          <w:tcPr>
            <w:tcW w:w="1211" w:type="dxa"/>
            <w:tcBorders>
              <w:top w:val="nil"/>
              <w:left w:val="nil"/>
              <w:bottom w:val="nil"/>
              <w:right w:val="single" w:sz="4" w:space="0" w:color="auto"/>
            </w:tcBorders>
            <w:shd w:val="clear" w:color="auto" w:fill="auto"/>
            <w:noWrap/>
            <w:vAlign w:val="center"/>
            <w:hideMark/>
          </w:tcPr>
          <w:p w14:paraId="3960C55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3.6 (2.7 - 4.9)</w:t>
            </w:r>
          </w:p>
        </w:tc>
        <w:tc>
          <w:tcPr>
            <w:tcW w:w="1469" w:type="dxa"/>
            <w:tcBorders>
              <w:top w:val="nil"/>
              <w:left w:val="nil"/>
              <w:bottom w:val="nil"/>
              <w:right w:val="nil"/>
            </w:tcBorders>
            <w:shd w:val="clear" w:color="auto" w:fill="auto"/>
            <w:noWrap/>
            <w:vAlign w:val="center"/>
            <w:hideMark/>
          </w:tcPr>
          <w:p w14:paraId="507E972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22.4 (19.7 - 25.4)</w:t>
            </w:r>
          </w:p>
        </w:tc>
        <w:tc>
          <w:tcPr>
            <w:tcW w:w="1469" w:type="dxa"/>
            <w:tcBorders>
              <w:top w:val="nil"/>
              <w:left w:val="nil"/>
              <w:bottom w:val="nil"/>
              <w:right w:val="single" w:sz="4" w:space="0" w:color="auto"/>
            </w:tcBorders>
            <w:shd w:val="clear" w:color="auto" w:fill="auto"/>
            <w:noWrap/>
            <w:vAlign w:val="center"/>
            <w:hideMark/>
          </w:tcPr>
          <w:p w14:paraId="237AA8F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23.0 (20.4 - 26.1)</w:t>
            </w:r>
          </w:p>
        </w:tc>
        <w:tc>
          <w:tcPr>
            <w:tcW w:w="1461" w:type="dxa"/>
            <w:tcBorders>
              <w:top w:val="nil"/>
              <w:left w:val="nil"/>
              <w:bottom w:val="nil"/>
              <w:right w:val="nil"/>
            </w:tcBorders>
            <w:shd w:val="clear" w:color="auto" w:fill="auto"/>
            <w:noWrap/>
            <w:vAlign w:val="center"/>
            <w:hideMark/>
          </w:tcPr>
          <w:p w14:paraId="33B1AD4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 (1.0 - 2.5)</w:t>
            </w:r>
          </w:p>
        </w:tc>
        <w:tc>
          <w:tcPr>
            <w:tcW w:w="1222" w:type="dxa"/>
            <w:tcBorders>
              <w:top w:val="nil"/>
              <w:left w:val="nil"/>
              <w:bottom w:val="nil"/>
              <w:right w:val="single" w:sz="4" w:space="0" w:color="auto"/>
            </w:tcBorders>
            <w:shd w:val="clear" w:color="auto" w:fill="auto"/>
            <w:noWrap/>
            <w:vAlign w:val="center"/>
            <w:hideMark/>
          </w:tcPr>
          <w:p w14:paraId="42506B0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2.8 (2.0 - 3.9)</w:t>
            </w:r>
          </w:p>
        </w:tc>
        <w:tc>
          <w:tcPr>
            <w:tcW w:w="1461" w:type="dxa"/>
            <w:tcBorders>
              <w:top w:val="nil"/>
              <w:left w:val="nil"/>
              <w:bottom w:val="nil"/>
              <w:right w:val="nil"/>
            </w:tcBorders>
            <w:shd w:val="clear" w:color="auto" w:fill="auto"/>
            <w:noWrap/>
            <w:vAlign w:val="center"/>
            <w:hideMark/>
          </w:tcPr>
          <w:p w14:paraId="2227ED2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1.4 (0.8 - 2.3)</w:t>
            </w:r>
          </w:p>
        </w:tc>
        <w:tc>
          <w:tcPr>
            <w:tcW w:w="1205" w:type="dxa"/>
            <w:gridSpan w:val="2"/>
            <w:tcBorders>
              <w:top w:val="nil"/>
              <w:left w:val="nil"/>
              <w:bottom w:val="nil"/>
              <w:right w:val="nil"/>
            </w:tcBorders>
            <w:shd w:val="clear" w:color="auto" w:fill="auto"/>
            <w:noWrap/>
            <w:vAlign w:val="center"/>
            <w:hideMark/>
          </w:tcPr>
          <w:p w14:paraId="70C0B3D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2.5 (1.7 - 3.6)</w:t>
            </w:r>
          </w:p>
        </w:tc>
      </w:tr>
      <w:tr w:rsidR="008E5503" w:rsidRPr="00556E12" w14:paraId="79887E57" w14:textId="77777777" w:rsidTr="008E5503">
        <w:trPr>
          <w:trHeight w:val="77"/>
        </w:trPr>
        <w:tc>
          <w:tcPr>
            <w:tcW w:w="3051" w:type="dxa"/>
            <w:tcBorders>
              <w:top w:val="nil"/>
              <w:left w:val="nil"/>
              <w:bottom w:val="nil"/>
              <w:right w:val="nil"/>
            </w:tcBorders>
            <w:shd w:val="clear" w:color="auto" w:fill="auto"/>
            <w:noWrap/>
            <w:vAlign w:val="bottom"/>
            <w:hideMark/>
          </w:tcPr>
          <w:p w14:paraId="6C8236D5"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9 months (95% CI)</w:t>
            </w:r>
          </w:p>
        </w:tc>
        <w:tc>
          <w:tcPr>
            <w:tcW w:w="1409" w:type="dxa"/>
            <w:tcBorders>
              <w:top w:val="nil"/>
              <w:left w:val="nil"/>
              <w:bottom w:val="nil"/>
              <w:right w:val="nil"/>
            </w:tcBorders>
            <w:shd w:val="clear" w:color="auto" w:fill="auto"/>
            <w:noWrap/>
            <w:vAlign w:val="center"/>
            <w:hideMark/>
          </w:tcPr>
          <w:p w14:paraId="5A7E6F2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3.3 (2.5 - 4.4)</w:t>
            </w:r>
          </w:p>
        </w:tc>
        <w:tc>
          <w:tcPr>
            <w:tcW w:w="1211" w:type="dxa"/>
            <w:tcBorders>
              <w:top w:val="nil"/>
              <w:left w:val="nil"/>
              <w:bottom w:val="nil"/>
              <w:right w:val="single" w:sz="4" w:space="0" w:color="auto"/>
            </w:tcBorders>
            <w:shd w:val="clear" w:color="auto" w:fill="auto"/>
            <w:noWrap/>
            <w:vAlign w:val="center"/>
            <w:hideMark/>
          </w:tcPr>
          <w:p w14:paraId="3F7A389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3.6 (2.8 - 4.7)</w:t>
            </w:r>
          </w:p>
        </w:tc>
        <w:tc>
          <w:tcPr>
            <w:tcW w:w="1469" w:type="dxa"/>
            <w:tcBorders>
              <w:top w:val="nil"/>
              <w:left w:val="nil"/>
              <w:bottom w:val="nil"/>
              <w:right w:val="nil"/>
            </w:tcBorders>
            <w:shd w:val="clear" w:color="auto" w:fill="auto"/>
            <w:noWrap/>
            <w:vAlign w:val="center"/>
            <w:hideMark/>
          </w:tcPr>
          <w:p w14:paraId="4EDA503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20.1 (17.9 - 22.7)</w:t>
            </w:r>
          </w:p>
        </w:tc>
        <w:tc>
          <w:tcPr>
            <w:tcW w:w="1469" w:type="dxa"/>
            <w:tcBorders>
              <w:top w:val="nil"/>
              <w:left w:val="nil"/>
              <w:bottom w:val="nil"/>
              <w:right w:val="single" w:sz="4" w:space="0" w:color="auto"/>
            </w:tcBorders>
            <w:shd w:val="clear" w:color="auto" w:fill="auto"/>
            <w:noWrap/>
            <w:vAlign w:val="center"/>
            <w:hideMark/>
          </w:tcPr>
          <w:p w14:paraId="28438FB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20.6 (18.4 - 23.1)</w:t>
            </w:r>
          </w:p>
        </w:tc>
        <w:tc>
          <w:tcPr>
            <w:tcW w:w="1461" w:type="dxa"/>
            <w:tcBorders>
              <w:top w:val="nil"/>
              <w:left w:val="nil"/>
              <w:bottom w:val="nil"/>
              <w:right w:val="nil"/>
            </w:tcBorders>
            <w:shd w:val="clear" w:color="auto" w:fill="auto"/>
            <w:noWrap/>
            <w:vAlign w:val="center"/>
            <w:hideMark/>
          </w:tcPr>
          <w:p w14:paraId="42ED3B7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1.3 (0.8 - 2.0)</w:t>
            </w:r>
          </w:p>
        </w:tc>
        <w:tc>
          <w:tcPr>
            <w:tcW w:w="1222" w:type="dxa"/>
            <w:tcBorders>
              <w:top w:val="nil"/>
              <w:left w:val="nil"/>
              <w:bottom w:val="nil"/>
              <w:right w:val="single" w:sz="4" w:space="0" w:color="auto"/>
            </w:tcBorders>
            <w:shd w:val="clear" w:color="auto" w:fill="auto"/>
            <w:noWrap/>
            <w:vAlign w:val="center"/>
            <w:hideMark/>
          </w:tcPr>
          <w:p w14:paraId="22102CB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2.4 (1.7 - 3.3)</w:t>
            </w:r>
          </w:p>
        </w:tc>
        <w:tc>
          <w:tcPr>
            <w:tcW w:w="1461" w:type="dxa"/>
            <w:tcBorders>
              <w:top w:val="nil"/>
              <w:left w:val="nil"/>
              <w:bottom w:val="nil"/>
              <w:right w:val="nil"/>
            </w:tcBorders>
            <w:shd w:val="clear" w:color="auto" w:fill="auto"/>
            <w:noWrap/>
            <w:vAlign w:val="center"/>
            <w:hideMark/>
          </w:tcPr>
          <w:p w14:paraId="6190171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1.1 (0.7 - 1.8)</w:t>
            </w:r>
          </w:p>
        </w:tc>
        <w:tc>
          <w:tcPr>
            <w:tcW w:w="1205" w:type="dxa"/>
            <w:gridSpan w:val="2"/>
            <w:tcBorders>
              <w:top w:val="nil"/>
              <w:left w:val="nil"/>
              <w:bottom w:val="nil"/>
              <w:right w:val="nil"/>
            </w:tcBorders>
            <w:shd w:val="clear" w:color="auto" w:fill="auto"/>
            <w:noWrap/>
            <w:vAlign w:val="center"/>
            <w:hideMark/>
          </w:tcPr>
          <w:p w14:paraId="6FD2801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2.1 (1.5 - 3.0)</w:t>
            </w:r>
          </w:p>
        </w:tc>
      </w:tr>
      <w:tr w:rsidR="008E5503" w:rsidRPr="00556E12" w14:paraId="0D857A0B" w14:textId="77777777" w:rsidTr="008E5503">
        <w:trPr>
          <w:trHeight w:val="77"/>
        </w:trPr>
        <w:tc>
          <w:tcPr>
            <w:tcW w:w="3051" w:type="dxa"/>
            <w:tcBorders>
              <w:top w:val="nil"/>
              <w:left w:val="nil"/>
              <w:bottom w:val="nil"/>
              <w:right w:val="nil"/>
            </w:tcBorders>
            <w:shd w:val="clear" w:color="auto" w:fill="auto"/>
            <w:noWrap/>
            <w:vAlign w:val="bottom"/>
            <w:hideMark/>
          </w:tcPr>
          <w:p w14:paraId="0463D236"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12 months (95% CI)</w:t>
            </w:r>
          </w:p>
        </w:tc>
        <w:tc>
          <w:tcPr>
            <w:tcW w:w="1409" w:type="dxa"/>
            <w:tcBorders>
              <w:top w:val="nil"/>
              <w:left w:val="nil"/>
              <w:bottom w:val="nil"/>
              <w:right w:val="nil"/>
            </w:tcBorders>
            <w:shd w:val="clear" w:color="auto" w:fill="auto"/>
            <w:noWrap/>
            <w:vAlign w:val="center"/>
            <w:hideMark/>
          </w:tcPr>
          <w:p w14:paraId="048405D0"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3.4 (2.6 - 4.3)</w:t>
            </w:r>
          </w:p>
        </w:tc>
        <w:tc>
          <w:tcPr>
            <w:tcW w:w="1211" w:type="dxa"/>
            <w:tcBorders>
              <w:top w:val="nil"/>
              <w:left w:val="nil"/>
              <w:bottom w:val="nil"/>
              <w:right w:val="single" w:sz="4" w:space="0" w:color="auto"/>
            </w:tcBorders>
            <w:shd w:val="clear" w:color="auto" w:fill="auto"/>
            <w:noWrap/>
            <w:vAlign w:val="center"/>
            <w:hideMark/>
          </w:tcPr>
          <w:p w14:paraId="57DFA5C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3.7 (2.9 - 4.6)</w:t>
            </w:r>
          </w:p>
        </w:tc>
        <w:tc>
          <w:tcPr>
            <w:tcW w:w="1469" w:type="dxa"/>
            <w:tcBorders>
              <w:top w:val="nil"/>
              <w:left w:val="nil"/>
              <w:bottom w:val="nil"/>
              <w:right w:val="nil"/>
            </w:tcBorders>
            <w:shd w:val="clear" w:color="auto" w:fill="auto"/>
            <w:noWrap/>
            <w:vAlign w:val="center"/>
            <w:hideMark/>
          </w:tcPr>
          <w:p w14:paraId="39E7730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19.1 (17.1 - 21.3)</w:t>
            </w:r>
          </w:p>
        </w:tc>
        <w:tc>
          <w:tcPr>
            <w:tcW w:w="1469" w:type="dxa"/>
            <w:tcBorders>
              <w:top w:val="nil"/>
              <w:left w:val="nil"/>
              <w:bottom w:val="nil"/>
              <w:right w:val="single" w:sz="4" w:space="0" w:color="auto"/>
            </w:tcBorders>
            <w:shd w:val="clear" w:color="auto" w:fill="auto"/>
            <w:noWrap/>
            <w:vAlign w:val="center"/>
            <w:hideMark/>
          </w:tcPr>
          <w:p w14:paraId="7F347BB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18.9 (17.0 - 21.1)</w:t>
            </w:r>
          </w:p>
        </w:tc>
        <w:tc>
          <w:tcPr>
            <w:tcW w:w="1461" w:type="dxa"/>
            <w:tcBorders>
              <w:top w:val="nil"/>
              <w:left w:val="nil"/>
              <w:bottom w:val="nil"/>
              <w:right w:val="nil"/>
            </w:tcBorders>
            <w:shd w:val="clear" w:color="auto" w:fill="auto"/>
            <w:noWrap/>
            <w:vAlign w:val="center"/>
            <w:hideMark/>
          </w:tcPr>
          <w:p w14:paraId="1B7A900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1.2 (0.8 - 1.8)</w:t>
            </w:r>
          </w:p>
        </w:tc>
        <w:tc>
          <w:tcPr>
            <w:tcW w:w="1222" w:type="dxa"/>
            <w:tcBorders>
              <w:top w:val="nil"/>
              <w:left w:val="nil"/>
              <w:bottom w:val="nil"/>
              <w:right w:val="single" w:sz="4" w:space="0" w:color="auto"/>
            </w:tcBorders>
            <w:shd w:val="clear" w:color="auto" w:fill="auto"/>
            <w:noWrap/>
            <w:vAlign w:val="center"/>
            <w:hideMark/>
          </w:tcPr>
          <w:p w14:paraId="47F3CB6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2.1 (1.5 - 2.9)</w:t>
            </w:r>
          </w:p>
        </w:tc>
        <w:tc>
          <w:tcPr>
            <w:tcW w:w="1461" w:type="dxa"/>
            <w:tcBorders>
              <w:top w:val="nil"/>
              <w:left w:val="nil"/>
              <w:bottom w:val="nil"/>
              <w:right w:val="nil"/>
            </w:tcBorders>
            <w:shd w:val="clear" w:color="auto" w:fill="auto"/>
            <w:noWrap/>
            <w:vAlign w:val="center"/>
            <w:hideMark/>
          </w:tcPr>
          <w:p w14:paraId="6ECE57F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1.0 (0.6 - 1.6)</w:t>
            </w:r>
          </w:p>
        </w:tc>
        <w:tc>
          <w:tcPr>
            <w:tcW w:w="1205" w:type="dxa"/>
            <w:gridSpan w:val="2"/>
            <w:tcBorders>
              <w:top w:val="nil"/>
              <w:left w:val="nil"/>
              <w:bottom w:val="nil"/>
              <w:right w:val="nil"/>
            </w:tcBorders>
            <w:shd w:val="clear" w:color="auto" w:fill="auto"/>
            <w:noWrap/>
            <w:vAlign w:val="center"/>
            <w:hideMark/>
          </w:tcPr>
          <w:p w14:paraId="7D10EDF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1.9 (1.3 - 2.6)</w:t>
            </w:r>
          </w:p>
        </w:tc>
      </w:tr>
      <w:tr w:rsidR="008E5503" w:rsidRPr="00556E12" w14:paraId="69186107" w14:textId="77777777" w:rsidTr="008E5503">
        <w:trPr>
          <w:trHeight w:val="77"/>
        </w:trPr>
        <w:tc>
          <w:tcPr>
            <w:tcW w:w="3051" w:type="dxa"/>
            <w:tcBorders>
              <w:top w:val="nil"/>
              <w:left w:val="nil"/>
              <w:bottom w:val="nil"/>
              <w:right w:val="nil"/>
            </w:tcBorders>
            <w:shd w:val="clear" w:color="auto" w:fill="auto"/>
            <w:noWrap/>
            <w:vAlign w:val="bottom"/>
            <w:hideMark/>
          </w:tcPr>
          <w:p w14:paraId="54A7A7B9"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24 months (95% CI)</w:t>
            </w:r>
          </w:p>
        </w:tc>
        <w:tc>
          <w:tcPr>
            <w:tcW w:w="1409" w:type="dxa"/>
            <w:tcBorders>
              <w:top w:val="nil"/>
              <w:left w:val="nil"/>
              <w:bottom w:val="nil"/>
              <w:right w:val="nil"/>
            </w:tcBorders>
            <w:shd w:val="clear" w:color="auto" w:fill="auto"/>
            <w:noWrap/>
            <w:vAlign w:val="center"/>
            <w:hideMark/>
          </w:tcPr>
          <w:p w14:paraId="3EDA591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3.0 (2.4 - 3.8)</w:t>
            </w:r>
          </w:p>
        </w:tc>
        <w:tc>
          <w:tcPr>
            <w:tcW w:w="1211" w:type="dxa"/>
            <w:tcBorders>
              <w:top w:val="nil"/>
              <w:left w:val="nil"/>
              <w:bottom w:val="nil"/>
              <w:right w:val="single" w:sz="4" w:space="0" w:color="auto"/>
            </w:tcBorders>
            <w:shd w:val="clear" w:color="auto" w:fill="auto"/>
            <w:noWrap/>
            <w:vAlign w:val="center"/>
            <w:hideMark/>
          </w:tcPr>
          <w:p w14:paraId="5998D55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3.4 (2.8 - 4.2)</w:t>
            </w:r>
          </w:p>
        </w:tc>
        <w:tc>
          <w:tcPr>
            <w:tcW w:w="1469" w:type="dxa"/>
            <w:tcBorders>
              <w:top w:val="nil"/>
              <w:left w:val="nil"/>
              <w:bottom w:val="nil"/>
              <w:right w:val="nil"/>
            </w:tcBorders>
            <w:shd w:val="clear" w:color="auto" w:fill="auto"/>
            <w:noWrap/>
            <w:vAlign w:val="center"/>
            <w:hideMark/>
          </w:tcPr>
          <w:p w14:paraId="573D72D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16.0 (14.5 - 17.8)</w:t>
            </w:r>
          </w:p>
        </w:tc>
        <w:tc>
          <w:tcPr>
            <w:tcW w:w="1469" w:type="dxa"/>
            <w:tcBorders>
              <w:top w:val="nil"/>
              <w:left w:val="nil"/>
              <w:bottom w:val="nil"/>
              <w:right w:val="single" w:sz="4" w:space="0" w:color="auto"/>
            </w:tcBorders>
            <w:shd w:val="clear" w:color="auto" w:fill="auto"/>
            <w:noWrap/>
            <w:vAlign w:val="center"/>
            <w:hideMark/>
          </w:tcPr>
          <w:p w14:paraId="6B6AEB0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15.3 (13.8 - 16.9)</w:t>
            </w:r>
          </w:p>
        </w:tc>
        <w:tc>
          <w:tcPr>
            <w:tcW w:w="1461" w:type="dxa"/>
            <w:tcBorders>
              <w:top w:val="nil"/>
              <w:left w:val="nil"/>
              <w:bottom w:val="nil"/>
              <w:right w:val="nil"/>
            </w:tcBorders>
            <w:shd w:val="clear" w:color="auto" w:fill="auto"/>
            <w:noWrap/>
            <w:vAlign w:val="center"/>
            <w:hideMark/>
          </w:tcPr>
          <w:p w14:paraId="7FC77EB3"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0.9 (0.6 - 1.4)</w:t>
            </w:r>
          </w:p>
        </w:tc>
        <w:tc>
          <w:tcPr>
            <w:tcW w:w="1222" w:type="dxa"/>
            <w:tcBorders>
              <w:top w:val="nil"/>
              <w:left w:val="nil"/>
              <w:bottom w:val="nil"/>
              <w:right w:val="single" w:sz="4" w:space="0" w:color="auto"/>
            </w:tcBorders>
            <w:shd w:val="clear" w:color="auto" w:fill="auto"/>
            <w:noWrap/>
            <w:vAlign w:val="center"/>
            <w:hideMark/>
          </w:tcPr>
          <w:p w14:paraId="23548F5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1.7 (1.2 - 2.2)</w:t>
            </w:r>
          </w:p>
        </w:tc>
        <w:tc>
          <w:tcPr>
            <w:tcW w:w="1461" w:type="dxa"/>
            <w:tcBorders>
              <w:top w:val="nil"/>
              <w:left w:val="nil"/>
              <w:bottom w:val="nil"/>
              <w:right w:val="nil"/>
            </w:tcBorders>
            <w:shd w:val="clear" w:color="auto" w:fill="auto"/>
            <w:noWrap/>
            <w:vAlign w:val="center"/>
            <w:hideMark/>
          </w:tcPr>
          <w:p w14:paraId="7E0BCF3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0.8 (0.5 - 1.2)</w:t>
            </w:r>
          </w:p>
        </w:tc>
        <w:tc>
          <w:tcPr>
            <w:tcW w:w="1205" w:type="dxa"/>
            <w:gridSpan w:val="2"/>
            <w:tcBorders>
              <w:top w:val="nil"/>
              <w:left w:val="nil"/>
              <w:bottom w:val="nil"/>
              <w:right w:val="nil"/>
            </w:tcBorders>
            <w:shd w:val="clear" w:color="auto" w:fill="auto"/>
            <w:noWrap/>
            <w:vAlign w:val="center"/>
            <w:hideMark/>
          </w:tcPr>
          <w:p w14:paraId="261AB18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1.5 (1.1 - 2.0)</w:t>
            </w:r>
          </w:p>
        </w:tc>
      </w:tr>
      <w:tr w:rsidR="008E5503" w:rsidRPr="00556E12" w14:paraId="50921D7A" w14:textId="77777777" w:rsidTr="008E5503">
        <w:trPr>
          <w:trHeight w:val="77"/>
        </w:trPr>
        <w:tc>
          <w:tcPr>
            <w:tcW w:w="3051" w:type="dxa"/>
            <w:tcBorders>
              <w:top w:val="nil"/>
              <w:left w:val="nil"/>
              <w:bottom w:val="nil"/>
              <w:right w:val="nil"/>
            </w:tcBorders>
            <w:shd w:val="clear" w:color="auto" w:fill="auto"/>
            <w:noWrap/>
            <w:vAlign w:val="bottom"/>
            <w:hideMark/>
          </w:tcPr>
          <w:p w14:paraId="674F281A" w14:textId="77777777" w:rsidR="00197DF1" w:rsidRPr="00197DF1" w:rsidRDefault="00197DF1" w:rsidP="008E5503">
            <w:pPr>
              <w:jc w:val="center"/>
              <w:rPr>
                <w:rFonts w:ascii="Arial" w:eastAsia="Times New Roman" w:hAnsi="Arial" w:cs="Arial"/>
                <w:color w:val="000000"/>
                <w:sz w:val="16"/>
                <w:szCs w:val="16"/>
              </w:rPr>
            </w:pPr>
          </w:p>
        </w:tc>
        <w:tc>
          <w:tcPr>
            <w:tcW w:w="1409" w:type="dxa"/>
            <w:tcBorders>
              <w:top w:val="nil"/>
              <w:left w:val="nil"/>
              <w:bottom w:val="nil"/>
              <w:right w:val="nil"/>
            </w:tcBorders>
            <w:shd w:val="clear" w:color="auto" w:fill="auto"/>
            <w:noWrap/>
            <w:vAlign w:val="center"/>
            <w:hideMark/>
          </w:tcPr>
          <w:p w14:paraId="62C25020" w14:textId="77777777" w:rsidR="00197DF1" w:rsidRPr="00197DF1" w:rsidRDefault="00197DF1" w:rsidP="008E5503">
            <w:pPr>
              <w:jc w:val="right"/>
              <w:rPr>
                <w:rFonts w:ascii="Times New Roman" w:eastAsia="Times New Roman" w:hAnsi="Times New Roman" w:cs="Times New Roman"/>
                <w:sz w:val="16"/>
                <w:szCs w:val="16"/>
              </w:rPr>
            </w:pPr>
          </w:p>
        </w:tc>
        <w:tc>
          <w:tcPr>
            <w:tcW w:w="1211" w:type="dxa"/>
            <w:tcBorders>
              <w:top w:val="nil"/>
              <w:left w:val="nil"/>
              <w:bottom w:val="nil"/>
              <w:right w:val="single" w:sz="4" w:space="0" w:color="auto"/>
            </w:tcBorders>
            <w:shd w:val="clear" w:color="auto" w:fill="auto"/>
            <w:noWrap/>
            <w:vAlign w:val="center"/>
            <w:hideMark/>
          </w:tcPr>
          <w:p w14:paraId="5388BDE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3FEB394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3E019FF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5F6225D6"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5352668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1B34E09A"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56994252"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5F49B434" w14:textId="77777777" w:rsidTr="008E5503">
        <w:trPr>
          <w:trHeight w:val="77"/>
        </w:trPr>
        <w:tc>
          <w:tcPr>
            <w:tcW w:w="3051" w:type="dxa"/>
            <w:tcBorders>
              <w:top w:val="nil"/>
              <w:left w:val="nil"/>
              <w:bottom w:val="nil"/>
              <w:right w:val="nil"/>
            </w:tcBorders>
            <w:shd w:val="clear" w:color="auto" w:fill="auto"/>
            <w:noWrap/>
            <w:vAlign w:val="bottom"/>
            <w:hideMark/>
          </w:tcPr>
          <w:p w14:paraId="1081BB6C" w14:textId="77777777" w:rsidR="00197DF1" w:rsidRPr="00197DF1" w:rsidRDefault="00197DF1" w:rsidP="008E5503">
            <w:pPr>
              <w:rPr>
                <w:rFonts w:ascii="Arial" w:eastAsia="Times New Roman" w:hAnsi="Arial" w:cs="Arial"/>
                <w:b/>
                <w:bCs/>
                <w:color w:val="000000"/>
                <w:sz w:val="16"/>
                <w:szCs w:val="16"/>
              </w:rPr>
            </w:pPr>
            <w:r w:rsidRPr="00197DF1">
              <w:rPr>
                <w:rFonts w:ascii="Arial" w:eastAsia="Times New Roman" w:hAnsi="Arial" w:cs="Arial"/>
                <w:b/>
                <w:bCs/>
                <w:color w:val="000000"/>
                <w:sz w:val="16"/>
                <w:szCs w:val="16"/>
              </w:rPr>
              <w:t>Medications at Time of Outcome</w:t>
            </w:r>
          </w:p>
        </w:tc>
        <w:tc>
          <w:tcPr>
            <w:tcW w:w="1409" w:type="dxa"/>
            <w:tcBorders>
              <w:top w:val="nil"/>
              <w:left w:val="nil"/>
              <w:bottom w:val="nil"/>
              <w:right w:val="nil"/>
            </w:tcBorders>
            <w:shd w:val="clear" w:color="auto" w:fill="auto"/>
            <w:noWrap/>
            <w:vAlign w:val="center"/>
            <w:hideMark/>
          </w:tcPr>
          <w:p w14:paraId="5BFFD980" w14:textId="77777777" w:rsidR="00197DF1" w:rsidRPr="00197DF1" w:rsidRDefault="00197DF1" w:rsidP="008E5503">
            <w:pPr>
              <w:rPr>
                <w:rFonts w:ascii="Arial" w:eastAsia="Times New Roman" w:hAnsi="Arial" w:cs="Arial"/>
                <w:b/>
                <w:bCs/>
                <w:color w:val="000000"/>
                <w:sz w:val="16"/>
                <w:szCs w:val="16"/>
              </w:rPr>
            </w:pPr>
          </w:p>
        </w:tc>
        <w:tc>
          <w:tcPr>
            <w:tcW w:w="1211" w:type="dxa"/>
            <w:tcBorders>
              <w:top w:val="nil"/>
              <w:left w:val="nil"/>
              <w:bottom w:val="nil"/>
              <w:right w:val="single" w:sz="4" w:space="0" w:color="auto"/>
            </w:tcBorders>
            <w:shd w:val="clear" w:color="auto" w:fill="auto"/>
            <w:noWrap/>
            <w:vAlign w:val="center"/>
            <w:hideMark/>
          </w:tcPr>
          <w:p w14:paraId="0147F75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nil"/>
            </w:tcBorders>
            <w:shd w:val="clear" w:color="auto" w:fill="auto"/>
            <w:noWrap/>
            <w:vAlign w:val="center"/>
            <w:hideMark/>
          </w:tcPr>
          <w:p w14:paraId="40E89767"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9" w:type="dxa"/>
            <w:tcBorders>
              <w:top w:val="nil"/>
              <w:left w:val="nil"/>
              <w:bottom w:val="nil"/>
              <w:right w:val="single" w:sz="4" w:space="0" w:color="auto"/>
            </w:tcBorders>
            <w:shd w:val="clear" w:color="auto" w:fill="auto"/>
            <w:noWrap/>
            <w:vAlign w:val="center"/>
            <w:hideMark/>
          </w:tcPr>
          <w:p w14:paraId="3605193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7CA6481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222" w:type="dxa"/>
            <w:tcBorders>
              <w:top w:val="nil"/>
              <w:left w:val="nil"/>
              <w:bottom w:val="nil"/>
              <w:right w:val="single" w:sz="4" w:space="0" w:color="auto"/>
            </w:tcBorders>
            <w:shd w:val="clear" w:color="auto" w:fill="auto"/>
            <w:noWrap/>
            <w:vAlign w:val="center"/>
            <w:hideMark/>
          </w:tcPr>
          <w:p w14:paraId="1229BCF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 </w:t>
            </w:r>
          </w:p>
        </w:tc>
        <w:tc>
          <w:tcPr>
            <w:tcW w:w="1461" w:type="dxa"/>
            <w:tcBorders>
              <w:top w:val="nil"/>
              <w:left w:val="nil"/>
              <w:bottom w:val="nil"/>
              <w:right w:val="nil"/>
            </w:tcBorders>
            <w:shd w:val="clear" w:color="auto" w:fill="auto"/>
            <w:noWrap/>
            <w:vAlign w:val="center"/>
            <w:hideMark/>
          </w:tcPr>
          <w:p w14:paraId="6643BC6D" w14:textId="77777777" w:rsidR="00197DF1" w:rsidRPr="00197DF1" w:rsidRDefault="00197DF1" w:rsidP="008E5503">
            <w:pPr>
              <w:jc w:val="center"/>
              <w:rPr>
                <w:rFonts w:ascii="Arial" w:eastAsia="Times New Roman" w:hAnsi="Arial" w:cs="Arial"/>
                <w:color w:val="000000"/>
                <w:sz w:val="16"/>
                <w:szCs w:val="16"/>
              </w:rPr>
            </w:pPr>
          </w:p>
        </w:tc>
        <w:tc>
          <w:tcPr>
            <w:tcW w:w="1205" w:type="dxa"/>
            <w:gridSpan w:val="2"/>
            <w:tcBorders>
              <w:top w:val="nil"/>
              <w:left w:val="nil"/>
              <w:bottom w:val="nil"/>
              <w:right w:val="nil"/>
            </w:tcBorders>
            <w:shd w:val="clear" w:color="auto" w:fill="auto"/>
            <w:noWrap/>
            <w:vAlign w:val="center"/>
            <w:hideMark/>
          </w:tcPr>
          <w:p w14:paraId="4FA09A3B" w14:textId="77777777" w:rsidR="00197DF1" w:rsidRPr="00197DF1" w:rsidRDefault="00197DF1" w:rsidP="008E5503">
            <w:pPr>
              <w:jc w:val="center"/>
              <w:rPr>
                <w:rFonts w:ascii="Times New Roman" w:eastAsia="Times New Roman" w:hAnsi="Times New Roman" w:cs="Times New Roman"/>
                <w:sz w:val="16"/>
                <w:szCs w:val="16"/>
              </w:rPr>
            </w:pPr>
          </w:p>
        </w:tc>
      </w:tr>
      <w:tr w:rsidR="008E5503" w:rsidRPr="00556E12" w14:paraId="2BA498F7" w14:textId="77777777" w:rsidTr="00E549AE">
        <w:trPr>
          <w:trHeight w:val="77"/>
        </w:trPr>
        <w:tc>
          <w:tcPr>
            <w:tcW w:w="3051" w:type="dxa"/>
            <w:tcBorders>
              <w:top w:val="nil"/>
              <w:left w:val="nil"/>
              <w:right w:val="nil"/>
            </w:tcBorders>
            <w:shd w:val="clear" w:color="auto" w:fill="auto"/>
            <w:noWrap/>
            <w:vAlign w:val="bottom"/>
            <w:hideMark/>
          </w:tcPr>
          <w:p w14:paraId="299328E0"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Anticoagulant use</w:t>
            </w:r>
          </w:p>
        </w:tc>
        <w:tc>
          <w:tcPr>
            <w:tcW w:w="1409" w:type="dxa"/>
            <w:tcBorders>
              <w:top w:val="nil"/>
              <w:left w:val="nil"/>
              <w:right w:val="nil"/>
            </w:tcBorders>
            <w:shd w:val="clear" w:color="auto" w:fill="auto"/>
            <w:noWrap/>
            <w:vAlign w:val="center"/>
            <w:hideMark/>
          </w:tcPr>
          <w:p w14:paraId="0D93E821"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44 (37.3%)</w:t>
            </w:r>
          </w:p>
        </w:tc>
        <w:tc>
          <w:tcPr>
            <w:tcW w:w="1211" w:type="dxa"/>
            <w:tcBorders>
              <w:top w:val="nil"/>
              <w:left w:val="nil"/>
              <w:right w:val="single" w:sz="4" w:space="0" w:color="auto"/>
            </w:tcBorders>
            <w:shd w:val="clear" w:color="auto" w:fill="auto"/>
            <w:noWrap/>
            <w:vAlign w:val="center"/>
            <w:hideMark/>
          </w:tcPr>
          <w:p w14:paraId="7E3CE9C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57 (50.4%)</w:t>
            </w:r>
          </w:p>
        </w:tc>
        <w:tc>
          <w:tcPr>
            <w:tcW w:w="1469" w:type="dxa"/>
            <w:tcBorders>
              <w:top w:val="nil"/>
              <w:left w:val="nil"/>
              <w:right w:val="nil"/>
            </w:tcBorders>
            <w:shd w:val="clear" w:color="auto" w:fill="auto"/>
            <w:noWrap/>
            <w:vAlign w:val="center"/>
            <w:hideMark/>
          </w:tcPr>
          <w:p w14:paraId="01E1E63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469" w:type="dxa"/>
            <w:tcBorders>
              <w:top w:val="nil"/>
              <w:left w:val="nil"/>
              <w:right w:val="single" w:sz="4" w:space="0" w:color="auto"/>
            </w:tcBorders>
            <w:shd w:val="clear" w:color="auto" w:fill="auto"/>
            <w:noWrap/>
            <w:vAlign w:val="center"/>
            <w:hideMark/>
          </w:tcPr>
          <w:p w14:paraId="524A95B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461" w:type="dxa"/>
            <w:tcBorders>
              <w:top w:val="nil"/>
              <w:left w:val="nil"/>
              <w:right w:val="nil"/>
            </w:tcBorders>
            <w:shd w:val="clear" w:color="auto" w:fill="auto"/>
            <w:noWrap/>
            <w:vAlign w:val="center"/>
            <w:hideMark/>
          </w:tcPr>
          <w:p w14:paraId="125F5CDD"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22" w:type="dxa"/>
            <w:tcBorders>
              <w:top w:val="nil"/>
              <w:left w:val="nil"/>
              <w:right w:val="single" w:sz="4" w:space="0" w:color="auto"/>
            </w:tcBorders>
            <w:shd w:val="clear" w:color="auto" w:fill="auto"/>
            <w:noWrap/>
            <w:vAlign w:val="center"/>
            <w:hideMark/>
          </w:tcPr>
          <w:p w14:paraId="6F7A55A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461" w:type="dxa"/>
            <w:tcBorders>
              <w:top w:val="nil"/>
              <w:left w:val="nil"/>
              <w:right w:val="nil"/>
            </w:tcBorders>
            <w:shd w:val="clear" w:color="auto" w:fill="auto"/>
            <w:noWrap/>
            <w:vAlign w:val="center"/>
            <w:hideMark/>
          </w:tcPr>
          <w:p w14:paraId="43352A42"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05" w:type="dxa"/>
            <w:gridSpan w:val="2"/>
            <w:tcBorders>
              <w:top w:val="nil"/>
              <w:left w:val="nil"/>
              <w:right w:val="nil"/>
            </w:tcBorders>
            <w:shd w:val="clear" w:color="auto" w:fill="auto"/>
            <w:noWrap/>
            <w:vAlign w:val="center"/>
            <w:hideMark/>
          </w:tcPr>
          <w:p w14:paraId="69A2F52C"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r>
      <w:tr w:rsidR="008E5503" w:rsidRPr="00556E12" w14:paraId="4F74A481" w14:textId="77777777" w:rsidTr="00E549AE">
        <w:trPr>
          <w:trHeight w:val="77"/>
        </w:trPr>
        <w:tc>
          <w:tcPr>
            <w:tcW w:w="3051" w:type="dxa"/>
            <w:tcBorders>
              <w:top w:val="nil"/>
              <w:left w:val="nil"/>
              <w:bottom w:val="single" w:sz="4" w:space="0" w:color="auto"/>
              <w:right w:val="nil"/>
            </w:tcBorders>
            <w:shd w:val="clear" w:color="auto" w:fill="auto"/>
            <w:noWrap/>
            <w:vAlign w:val="bottom"/>
            <w:hideMark/>
          </w:tcPr>
          <w:p w14:paraId="648CF87F" w14:textId="77777777" w:rsidR="00197DF1" w:rsidRPr="00197DF1" w:rsidRDefault="00197DF1" w:rsidP="008E5503">
            <w:pPr>
              <w:jc w:val="right"/>
              <w:rPr>
                <w:rFonts w:ascii="Arial" w:eastAsia="Times New Roman" w:hAnsi="Arial" w:cs="Arial"/>
                <w:color w:val="000000"/>
                <w:sz w:val="16"/>
                <w:szCs w:val="16"/>
              </w:rPr>
            </w:pPr>
            <w:r w:rsidRPr="00197DF1">
              <w:rPr>
                <w:rFonts w:ascii="Arial" w:eastAsia="Times New Roman" w:hAnsi="Arial" w:cs="Arial"/>
                <w:color w:val="000000"/>
                <w:sz w:val="16"/>
                <w:szCs w:val="16"/>
              </w:rPr>
              <w:t>Sotalol dose (median [IQR])</w:t>
            </w:r>
          </w:p>
        </w:tc>
        <w:tc>
          <w:tcPr>
            <w:tcW w:w="1409" w:type="dxa"/>
            <w:tcBorders>
              <w:top w:val="nil"/>
              <w:left w:val="nil"/>
              <w:bottom w:val="single" w:sz="4" w:space="0" w:color="auto"/>
              <w:right w:val="nil"/>
            </w:tcBorders>
            <w:shd w:val="clear" w:color="auto" w:fill="auto"/>
            <w:noWrap/>
            <w:vAlign w:val="center"/>
            <w:hideMark/>
          </w:tcPr>
          <w:p w14:paraId="0F2605E5"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11" w:type="dxa"/>
            <w:tcBorders>
              <w:top w:val="nil"/>
              <w:left w:val="nil"/>
              <w:bottom w:val="single" w:sz="4" w:space="0" w:color="auto"/>
              <w:right w:val="single" w:sz="4" w:space="0" w:color="auto"/>
            </w:tcBorders>
            <w:shd w:val="clear" w:color="auto" w:fill="auto"/>
            <w:noWrap/>
            <w:vAlign w:val="center"/>
            <w:hideMark/>
          </w:tcPr>
          <w:p w14:paraId="40BCC8EE"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160 [160-240]</w:t>
            </w:r>
          </w:p>
        </w:tc>
        <w:tc>
          <w:tcPr>
            <w:tcW w:w="1469" w:type="dxa"/>
            <w:tcBorders>
              <w:top w:val="nil"/>
              <w:left w:val="nil"/>
              <w:bottom w:val="single" w:sz="4" w:space="0" w:color="auto"/>
              <w:right w:val="nil"/>
            </w:tcBorders>
            <w:shd w:val="clear" w:color="auto" w:fill="auto"/>
            <w:noWrap/>
            <w:vAlign w:val="center"/>
            <w:hideMark/>
          </w:tcPr>
          <w:p w14:paraId="257528C8"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469" w:type="dxa"/>
            <w:tcBorders>
              <w:top w:val="nil"/>
              <w:left w:val="nil"/>
              <w:bottom w:val="single" w:sz="4" w:space="0" w:color="auto"/>
              <w:right w:val="single" w:sz="4" w:space="0" w:color="auto"/>
            </w:tcBorders>
            <w:shd w:val="clear" w:color="auto" w:fill="auto"/>
            <w:noWrap/>
            <w:vAlign w:val="center"/>
            <w:hideMark/>
          </w:tcPr>
          <w:p w14:paraId="1AAA3DBA"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160 [160-240]</w:t>
            </w:r>
          </w:p>
        </w:tc>
        <w:tc>
          <w:tcPr>
            <w:tcW w:w="1461" w:type="dxa"/>
            <w:tcBorders>
              <w:top w:val="nil"/>
              <w:left w:val="nil"/>
              <w:bottom w:val="single" w:sz="4" w:space="0" w:color="auto"/>
              <w:right w:val="nil"/>
            </w:tcBorders>
            <w:shd w:val="clear" w:color="auto" w:fill="auto"/>
            <w:noWrap/>
            <w:vAlign w:val="center"/>
            <w:hideMark/>
          </w:tcPr>
          <w:p w14:paraId="100EBD7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22" w:type="dxa"/>
            <w:tcBorders>
              <w:top w:val="nil"/>
              <w:left w:val="nil"/>
              <w:bottom w:val="single" w:sz="4" w:space="0" w:color="auto"/>
              <w:right w:val="single" w:sz="4" w:space="0" w:color="auto"/>
            </w:tcBorders>
            <w:shd w:val="clear" w:color="auto" w:fill="auto"/>
            <w:noWrap/>
            <w:vAlign w:val="center"/>
            <w:hideMark/>
          </w:tcPr>
          <w:p w14:paraId="20878794"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160 [160-240]</w:t>
            </w:r>
          </w:p>
        </w:tc>
        <w:tc>
          <w:tcPr>
            <w:tcW w:w="1461" w:type="dxa"/>
            <w:tcBorders>
              <w:top w:val="nil"/>
              <w:left w:val="nil"/>
              <w:bottom w:val="single" w:sz="4" w:space="0" w:color="auto"/>
              <w:right w:val="nil"/>
            </w:tcBorders>
            <w:shd w:val="clear" w:color="auto" w:fill="auto"/>
            <w:noWrap/>
            <w:vAlign w:val="center"/>
            <w:hideMark/>
          </w:tcPr>
          <w:p w14:paraId="0A68EA39"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N/A</w:t>
            </w:r>
          </w:p>
        </w:tc>
        <w:tc>
          <w:tcPr>
            <w:tcW w:w="1205" w:type="dxa"/>
            <w:gridSpan w:val="2"/>
            <w:tcBorders>
              <w:top w:val="nil"/>
              <w:left w:val="nil"/>
              <w:bottom w:val="single" w:sz="4" w:space="0" w:color="auto"/>
              <w:right w:val="nil"/>
            </w:tcBorders>
            <w:shd w:val="clear" w:color="auto" w:fill="auto"/>
            <w:noWrap/>
            <w:vAlign w:val="center"/>
            <w:hideMark/>
          </w:tcPr>
          <w:p w14:paraId="75EE3BAF" w14:textId="77777777" w:rsidR="00197DF1" w:rsidRPr="00197DF1" w:rsidRDefault="00197DF1" w:rsidP="008E5503">
            <w:pPr>
              <w:jc w:val="center"/>
              <w:rPr>
                <w:rFonts w:ascii="Arial" w:eastAsia="Times New Roman" w:hAnsi="Arial" w:cs="Arial"/>
                <w:color w:val="000000"/>
                <w:sz w:val="16"/>
                <w:szCs w:val="16"/>
              </w:rPr>
            </w:pPr>
            <w:r w:rsidRPr="00197DF1">
              <w:rPr>
                <w:rFonts w:ascii="Arial" w:eastAsia="Times New Roman" w:hAnsi="Arial" w:cs="Arial"/>
                <w:color w:val="000000"/>
                <w:sz w:val="16"/>
                <w:szCs w:val="16"/>
              </w:rPr>
              <w:t>160 [160-240]</w:t>
            </w:r>
          </w:p>
        </w:tc>
      </w:tr>
      <w:tr w:rsidR="00E549AE" w:rsidRPr="00556E12" w14:paraId="77B0ECD7" w14:textId="77777777" w:rsidTr="00BF169F">
        <w:trPr>
          <w:trHeight w:val="77"/>
        </w:trPr>
        <w:tc>
          <w:tcPr>
            <w:tcW w:w="13958" w:type="dxa"/>
            <w:gridSpan w:val="10"/>
            <w:tcBorders>
              <w:top w:val="single" w:sz="4" w:space="0" w:color="auto"/>
              <w:left w:val="nil"/>
              <w:bottom w:val="nil"/>
            </w:tcBorders>
            <w:shd w:val="clear" w:color="auto" w:fill="auto"/>
            <w:noWrap/>
            <w:vAlign w:val="bottom"/>
          </w:tcPr>
          <w:p w14:paraId="62DE7132" w14:textId="00422172" w:rsidR="001E57EC" w:rsidRDefault="001E57EC" w:rsidP="00E549AE">
            <w:pPr>
              <w:rPr>
                <w:rFonts w:ascii="Arial" w:eastAsia="Times New Roman" w:hAnsi="Arial" w:cs="Arial"/>
                <w:b/>
                <w:bCs/>
                <w:color w:val="000000"/>
                <w:sz w:val="16"/>
                <w:szCs w:val="16"/>
              </w:rPr>
            </w:pPr>
            <w:r>
              <w:rPr>
                <w:rFonts w:ascii="Arial" w:eastAsia="Times New Roman" w:hAnsi="Arial" w:cs="Arial"/>
                <w:b/>
                <w:bCs/>
                <w:color w:val="000000"/>
                <w:sz w:val="16"/>
                <w:szCs w:val="16"/>
              </w:rPr>
              <w:t>AAD: Anti-arrhythmic drug; CI: Confidence interval; IQR: Interquartile range</w:t>
            </w:r>
          </w:p>
          <w:p w14:paraId="607036C8" w14:textId="40F71B48" w:rsidR="00E549AE" w:rsidRPr="00D33FAA" w:rsidRDefault="00E549AE" w:rsidP="00E549AE">
            <w:pPr>
              <w:rPr>
                <w:rFonts w:ascii="Arial" w:eastAsia="Times New Roman" w:hAnsi="Arial" w:cs="Arial"/>
                <w:b/>
                <w:bCs/>
                <w:color w:val="000000"/>
                <w:sz w:val="16"/>
                <w:szCs w:val="16"/>
              </w:rPr>
            </w:pPr>
            <w:r w:rsidRPr="00D33FAA">
              <w:rPr>
                <w:rFonts w:ascii="Arial" w:eastAsia="Times New Roman" w:hAnsi="Arial" w:cs="Arial"/>
                <w:b/>
                <w:bCs/>
                <w:color w:val="000000"/>
                <w:sz w:val="16"/>
                <w:szCs w:val="16"/>
              </w:rPr>
              <w:t>*</w:t>
            </w:r>
            <w:r w:rsidR="00D33FAA" w:rsidRPr="00D33FAA">
              <w:rPr>
                <w:rFonts w:ascii="Arial" w:eastAsia="Times New Roman" w:hAnsi="Arial" w:cs="Arial"/>
                <w:b/>
                <w:bCs/>
                <w:color w:val="000000"/>
                <w:sz w:val="16"/>
                <w:szCs w:val="16"/>
              </w:rPr>
              <w:t>Based on international classification of disease (ICD) or current procedural terminology (CPT) codes for bradycardia, sick sinus syndrome, 2</w:t>
            </w:r>
            <w:r w:rsidR="00D33FAA" w:rsidRPr="00D33FAA">
              <w:rPr>
                <w:rFonts w:ascii="Arial" w:eastAsia="Times New Roman" w:hAnsi="Arial" w:cs="Arial"/>
                <w:b/>
                <w:bCs/>
                <w:color w:val="000000"/>
                <w:sz w:val="16"/>
                <w:szCs w:val="16"/>
                <w:vertAlign w:val="superscript"/>
              </w:rPr>
              <w:t>nd</w:t>
            </w:r>
            <w:r w:rsidR="00D33FAA" w:rsidRPr="00D33FAA">
              <w:rPr>
                <w:rFonts w:ascii="Arial" w:eastAsia="Times New Roman" w:hAnsi="Arial" w:cs="Arial"/>
                <w:b/>
                <w:bCs/>
                <w:color w:val="000000"/>
                <w:sz w:val="16"/>
                <w:szCs w:val="16"/>
              </w:rPr>
              <w:t xml:space="preserve"> or 3</w:t>
            </w:r>
            <w:r w:rsidR="00D33FAA" w:rsidRPr="00D33FAA">
              <w:rPr>
                <w:rFonts w:ascii="Arial" w:eastAsia="Times New Roman" w:hAnsi="Arial" w:cs="Arial"/>
                <w:b/>
                <w:bCs/>
                <w:color w:val="000000"/>
                <w:sz w:val="16"/>
                <w:szCs w:val="16"/>
                <w:vertAlign w:val="superscript"/>
              </w:rPr>
              <w:t>rd</w:t>
            </w:r>
            <w:r w:rsidR="00D33FAA" w:rsidRPr="00D33FAA">
              <w:rPr>
                <w:rFonts w:ascii="Arial" w:eastAsia="Times New Roman" w:hAnsi="Arial" w:cs="Arial"/>
                <w:b/>
                <w:bCs/>
                <w:color w:val="000000"/>
                <w:sz w:val="16"/>
                <w:szCs w:val="16"/>
              </w:rPr>
              <w:t xml:space="preserve"> degree atrioventricular block, or pacemaker insertion</w:t>
            </w:r>
          </w:p>
          <w:p w14:paraId="0C71FCA8" w14:textId="3052CFF9" w:rsidR="00D33FAA" w:rsidRPr="00D33FAA" w:rsidRDefault="00D33FAA" w:rsidP="00E549AE">
            <w:pPr>
              <w:rPr>
                <w:rFonts w:ascii="Arial" w:eastAsia="Times New Roman" w:hAnsi="Arial" w:cs="Arial"/>
                <w:b/>
                <w:bCs/>
                <w:color w:val="000000"/>
                <w:sz w:val="16"/>
                <w:szCs w:val="16"/>
              </w:rPr>
            </w:pPr>
            <w:r w:rsidRPr="00D33FAA">
              <w:rPr>
                <w:rFonts w:ascii="Arial" w:eastAsia="Times New Roman" w:hAnsi="Arial" w:cs="Arial"/>
                <w:b/>
                <w:bCs/>
                <w:color w:val="000000"/>
                <w:sz w:val="16"/>
                <w:szCs w:val="16"/>
                <w:vertAlign w:val="superscript"/>
              </w:rPr>
              <w:t>#</w:t>
            </w:r>
            <w:r>
              <w:rPr>
                <w:rFonts w:ascii="Arial" w:eastAsia="Times New Roman" w:hAnsi="Arial" w:cs="Arial"/>
                <w:b/>
                <w:bCs/>
                <w:color w:val="000000"/>
                <w:sz w:val="16"/>
                <w:szCs w:val="16"/>
              </w:rPr>
              <w:t>Combination of an inpatient or ambulatory encounter with a primary or secondary ICD code for bradycardia, sick sinus syndrome, or 2</w:t>
            </w:r>
            <w:r w:rsidRPr="00D33FAA">
              <w:rPr>
                <w:rFonts w:ascii="Arial" w:eastAsia="Times New Roman" w:hAnsi="Arial" w:cs="Arial"/>
                <w:b/>
                <w:bCs/>
                <w:color w:val="000000"/>
                <w:sz w:val="16"/>
                <w:szCs w:val="16"/>
                <w:vertAlign w:val="superscript"/>
              </w:rPr>
              <w:t>nd</w:t>
            </w:r>
            <w:r>
              <w:rPr>
                <w:rFonts w:ascii="Arial" w:eastAsia="Times New Roman" w:hAnsi="Arial" w:cs="Arial"/>
                <w:b/>
                <w:bCs/>
                <w:color w:val="000000"/>
                <w:sz w:val="16"/>
                <w:szCs w:val="16"/>
              </w:rPr>
              <w:t xml:space="preserve"> or 3</w:t>
            </w:r>
            <w:r w:rsidRPr="00D33FAA">
              <w:rPr>
                <w:rFonts w:ascii="Arial" w:eastAsia="Times New Roman" w:hAnsi="Arial" w:cs="Arial"/>
                <w:b/>
                <w:bCs/>
                <w:color w:val="000000"/>
                <w:sz w:val="16"/>
                <w:szCs w:val="16"/>
                <w:vertAlign w:val="superscript"/>
              </w:rPr>
              <w:t>rd</w:t>
            </w:r>
            <w:r>
              <w:rPr>
                <w:rFonts w:ascii="Arial" w:eastAsia="Times New Roman" w:hAnsi="Arial" w:cs="Arial"/>
                <w:b/>
                <w:bCs/>
                <w:color w:val="000000"/>
                <w:sz w:val="16"/>
                <w:szCs w:val="16"/>
              </w:rPr>
              <w:t xml:space="preserve"> degree AV block within 5 days of an inpatient or ambulatory encounter with an ICD code for syncope or an inpatient or ambulatory encounter with pacemaker insertion</w:t>
            </w:r>
          </w:p>
          <w:p w14:paraId="59E9C17E" w14:textId="6B2A2A1C" w:rsidR="00D33FAA" w:rsidRPr="00D33FAA" w:rsidRDefault="00D33FAA" w:rsidP="00E549AE">
            <w:pPr>
              <w:rPr>
                <w:rFonts w:ascii="Arial" w:eastAsia="Times New Roman" w:hAnsi="Arial" w:cs="Arial"/>
                <w:b/>
                <w:bCs/>
                <w:color w:val="000000"/>
                <w:sz w:val="16"/>
                <w:szCs w:val="16"/>
              </w:rPr>
            </w:pPr>
            <w:r w:rsidRPr="00D33FAA">
              <w:rPr>
                <w:rFonts w:ascii="Arial" w:hAnsi="Arial" w:cs="Arial"/>
                <w:b/>
                <w:bCs/>
                <w:sz w:val="20"/>
                <w:szCs w:val="20"/>
                <w:vertAlign w:val="superscript"/>
              </w:rPr>
              <w:t>†</w:t>
            </w:r>
            <w:r>
              <w:rPr>
                <w:rFonts w:ascii="Arial" w:eastAsia="Times New Roman" w:hAnsi="Arial" w:cs="Arial"/>
                <w:b/>
                <w:bCs/>
                <w:color w:val="000000"/>
                <w:sz w:val="16"/>
                <w:szCs w:val="16"/>
              </w:rPr>
              <w:t>Combination of an inpatient or ambulatory encounter with a primary or secondary ICD code for bradycardia, sick sinus syndrome, or 2</w:t>
            </w:r>
            <w:r w:rsidRPr="00D33FAA">
              <w:rPr>
                <w:rFonts w:ascii="Arial" w:eastAsia="Times New Roman" w:hAnsi="Arial" w:cs="Arial"/>
                <w:b/>
                <w:bCs/>
                <w:color w:val="000000"/>
                <w:sz w:val="16"/>
                <w:szCs w:val="16"/>
                <w:vertAlign w:val="superscript"/>
              </w:rPr>
              <w:t>nd</w:t>
            </w:r>
            <w:r>
              <w:rPr>
                <w:rFonts w:ascii="Arial" w:eastAsia="Times New Roman" w:hAnsi="Arial" w:cs="Arial"/>
                <w:b/>
                <w:bCs/>
                <w:color w:val="000000"/>
                <w:sz w:val="16"/>
                <w:szCs w:val="16"/>
              </w:rPr>
              <w:t xml:space="preserve"> or 3</w:t>
            </w:r>
            <w:r w:rsidRPr="00D33FAA">
              <w:rPr>
                <w:rFonts w:ascii="Arial" w:eastAsia="Times New Roman" w:hAnsi="Arial" w:cs="Arial"/>
                <w:b/>
                <w:bCs/>
                <w:color w:val="000000"/>
                <w:sz w:val="16"/>
                <w:szCs w:val="16"/>
                <w:vertAlign w:val="superscript"/>
              </w:rPr>
              <w:t>rd</w:t>
            </w:r>
            <w:r>
              <w:rPr>
                <w:rFonts w:ascii="Arial" w:eastAsia="Times New Roman" w:hAnsi="Arial" w:cs="Arial"/>
                <w:b/>
                <w:bCs/>
                <w:color w:val="000000"/>
                <w:sz w:val="16"/>
                <w:szCs w:val="16"/>
              </w:rPr>
              <w:t xml:space="preserve"> degree AV block within 5 days of an inpatient or ambulatory encounter with pacemaker insertion</w:t>
            </w:r>
          </w:p>
        </w:tc>
      </w:tr>
    </w:tbl>
    <w:p w14:paraId="65BB02DB" w14:textId="77777777" w:rsidR="00197DF1" w:rsidRPr="00197DF1" w:rsidRDefault="00197DF1" w:rsidP="00197DF1">
      <w:pPr>
        <w:tabs>
          <w:tab w:val="left" w:pos="1025"/>
        </w:tabs>
        <w:rPr>
          <w:rFonts w:ascii="Arial" w:hAnsi="Arial" w:cs="Arial"/>
          <w:sz w:val="22"/>
          <w:szCs w:val="22"/>
        </w:rPr>
      </w:pPr>
    </w:p>
    <w:p w14:paraId="380EEB4E" w14:textId="24F58D5C" w:rsidR="004E51AC" w:rsidRDefault="00197DF1" w:rsidP="00197DF1">
      <w:pPr>
        <w:tabs>
          <w:tab w:val="left" w:pos="1025"/>
        </w:tabs>
        <w:rPr>
          <w:rFonts w:ascii="Arial" w:hAnsi="Arial" w:cs="Arial"/>
          <w:sz w:val="22"/>
          <w:szCs w:val="22"/>
        </w:rPr>
      </w:pPr>
      <w:r>
        <w:rPr>
          <w:rFonts w:ascii="Arial" w:hAnsi="Arial" w:cs="Arial"/>
          <w:sz w:val="22"/>
          <w:szCs w:val="22"/>
        </w:rPr>
        <w:tab/>
      </w:r>
    </w:p>
    <w:p w14:paraId="7B3CCEEC" w14:textId="77777777" w:rsidR="004E51AC" w:rsidRDefault="004E51AC">
      <w:pPr>
        <w:rPr>
          <w:rFonts w:ascii="Arial" w:hAnsi="Arial" w:cs="Arial"/>
          <w:sz w:val="22"/>
          <w:szCs w:val="22"/>
        </w:rPr>
      </w:pPr>
      <w:r>
        <w:rPr>
          <w:rFonts w:ascii="Arial" w:hAnsi="Arial" w:cs="Arial"/>
          <w:sz w:val="22"/>
          <w:szCs w:val="22"/>
        </w:rPr>
        <w:br w:type="page"/>
      </w:r>
    </w:p>
    <w:p w14:paraId="6F326F79" w14:textId="0FA71965" w:rsidR="004E51AC" w:rsidRDefault="004E51AC" w:rsidP="00197DF1">
      <w:pPr>
        <w:tabs>
          <w:tab w:val="left" w:pos="1025"/>
        </w:tabs>
        <w:rPr>
          <w:rFonts w:ascii="Arial" w:hAnsi="Arial" w:cs="Arial"/>
          <w:sz w:val="22"/>
          <w:szCs w:val="22"/>
        </w:rPr>
      </w:pPr>
      <w:r>
        <w:rPr>
          <w:rFonts w:ascii="Arial" w:hAnsi="Arial" w:cs="Arial"/>
          <w:b/>
          <w:bCs/>
          <w:sz w:val="22"/>
          <w:szCs w:val="22"/>
        </w:rPr>
        <w:lastRenderedPageBreak/>
        <w:t>Table 4.</w:t>
      </w:r>
      <w:r>
        <w:rPr>
          <w:rFonts w:ascii="Arial" w:hAnsi="Arial" w:cs="Arial"/>
          <w:sz w:val="22"/>
          <w:szCs w:val="22"/>
        </w:rPr>
        <w:t xml:space="preserve"> </w:t>
      </w:r>
      <w:r w:rsidR="004276D9">
        <w:rPr>
          <w:rFonts w:ascii="Arial" w:hAnsi="Arial" w:cs="Arial"/>
          <w:sz w:val="22"/>
          <w:szCs w:val="22"/>
        </w:rPr>
        <w:t>A</w:t>
      </w:r>
      <w:r>
        <w:rPr>
          <w:rFonts w:ascii="Arial" w:hAnsi="Arial" w:cs="Arial"/>
          <w:sz w:val="22"/>
          <w:szCs w:val="22"/>
        </w:rPr>
        <w:t>ssociations of treatment group with primary and secondary outcomes</w:t>
      </w:r>
      <w:r w:rsidR="00D52554">
        <w:rPr>
          <w:rFonts w:ascii="Arial" w:hAnsi="Arial" w:cs="Arial"/>
          <w:sz w:val="22"/>
          <w:szCs w:val="22"/>
        </w:rPr>
        <w:t xml:space="preserve"> in sensitivity analyses. </w:t>
      </w:r>
    </w:p>
    <w:p w14:paraId="7022B5D4" w14:textId="77777777" w:rsidR="004E51AC" w:rsidRDefault="004E51AC" w:rsidP="00197DF1">
      <w:pPr>
        <w:tabs>
          <w:tab w:val="left" w:pos="1025"/>
        </w:tabs>
        <w:rPr>
          <w:rFonts w:ascii="Arial" w:hAnsi="Arial" w:cs="Arial"/>
          <w:sz w:val="22"/>
          <w:szCs w:val="22"/>
        </w:rPr>
      </w:pPr>
    </w:p>
    <w:p w14:paraId="538F3A13" w14:textId="77777777" w:rsidR="004E51AC" w:rsidRDefault="004E51AC" w:rsidP="00197DF1">
      <w:pPr>
        <w:tabs>
          <w:tab w:val="left" w:pos="1025"/>
        </w:tabs>
        <w:rPr>
          <w:rFonts w:ascii="Arial" w:hAnsi="Arial" w:cs="Arial"/>
          <w:sz w:val="22"/>
          <w:szCs w:val="22"/>
        </w:rPr>
      </w:pPr>
    </w:p>
    <w:tbl>
      <w:tblPr>
        <w:tblStyle w:val="TableGrid"/>
        <w:tblW w:w="133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080"/>
        <w:gridCol w:w="810"/>
        <w:gridCol w:w="1080"/>
        <w:gridCol w:w="900"/>
        <w:gridCol w:w="1170"/>
        <w:gridCol w:w="810"/>
        <w:gridCol w:w="1080"/>
        <w:gridCol w:w="810"/>
        <w:gridCol w:w="1080"/>
        <w:gridCol w:w="810"/>
        <w:gridCol w:w="1037"/>
        <w:gridCol w:w="853"/>
      </w:tblGrid>
      <w:tr w:rsidR="00D33FAA" w:rsidRPr="004E51AC" w14:paraId="6C2E2514" w14:textId="77777777" w:rsidTr="00C72323">
        <w:trPr>
          <w:trHeight w:val="423"/>
        </w:trPr>
        <w:tc>
          <w:tcPr>
            <w:tcW w:w="1800" w:type="dxa"/>
            <w:hideMark/>
          </w:tcPr>
          <w:p w14:paraId="77190349" w14:textId="60AB75E5" w:rsidR="00D33FAA" w:rsidRPr="00EF17DA" w:rsidRDefault="00D33FAA" w:rsidP="00D33FAA">
            <w:pPr>
              <w:tabs>
                <w:tab w:val="left" w:pos="1025"/>
              </w:tabs>
              <w:rPr>
                <w:rFonts w:ascii="Arial" w:hAnsi="Arial" w:cs="Arial"/>
                <w:b/>
                <w:bCs/>
                <w:sz w:val="18"/>
                <w:szCs w:val="18"/>
              </w:rPr>
            </w:pPr>
            <w:r w:rsidRPr="00EF17DA">
              <w:rPr>
                <w:rFonts w:ascii="Arial" w:hAnsi="Arial" w:cs="Arial"/>
                <w:b/>
                <w:bCs/>
                <w:sz w:val="18"/>
                <w:szCs w:val="18"/>
              </w:rPr>
              <w:t>Sensitivity Analysis</w:t>
            </w:r>
          </w:p>
        </w:tc>
        <w:tc>
          <w:tcPr>
            <w:tcW w:w="1890" w:type="dxa"/>
            <w:gridSpan w:val="2"/>
            <w:tcBorders>
              <w:bottom w:val="single" w:sz="4" w:space="0" w:color="auto"/>
              <w:right w:val="single" w:sz="4" w:space="0" w:color="auto"/>
            </w:tcBorders>
            <w:hideMark/>
          </w:tcPr>
          <w:p w14:paraId="15A008B3" w14:textId="77777777"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Cardiovascular hospitalization</w:t>
            </w:r>
          </w:p>
        </w:tc>
        <w:tc>
          <w:tcPr>
            <w:tcW w:w="1980" w:type="dxa"/>
            <w:gridSpan w:val="2"/>
            <w:tcBorders>
              <w:left w:val="single" w:sz="4" w:space="0" w:color="auto"/>
              <w:bottom w:val="single" w:sz="4" w:space="0" w:color="auto"/>
              <w:right w:val="single" w:sz="4" w:space="0" w:color="auto"/>
            </w:tcBorders>
            <w:hideMark/>
          </w:tcPr>
          <w:p w14:paraId="377A7433" w14:textId="77777777"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Ventricular pro-arrhythmia</w:t>
            </w:r>
          </w:p>
        </w:tc>
        <w:tc>
          <w:tcPr>
            <w:tcW w:w="1980" w:type="dxa"/>
            <w:gridSpan w:val="2"/>
            <w:tcBorders>
              <w:left w:val="single" w:sz="4" w:space="0" w:color="auto"/>
              <w:bottom w:val="single" w:sz="4" w:space="0" w:color="auto"/>
              <w:right w:val="single" w:sz="4" w:space="0" w:color="auto"/>
            </w:tcBorders>
            <w:hideMark/>
          </w:tcPr>
          <w:p w14:paraId="6FC892B4" w14:textId="77777777"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Mortality</w:t>
            </w:r>
          </w:p>
        </w:tc>
        <w:tc>
          <w:tcPr>
            <w:tcW w:w="1890" w:type="dxa"/>
            <w:gridSpan w:val="2"/>
            <w:tcBorders>
              <w:left w:val="single" w:sz="4" w:space="0" w:color="auto"/>
              <w:bottom w:val="single" w:sz="4" w:space="0" w:color="auto"/>
              <w:right w:val="single" w:sz="4" w:space="0" w:color="auto"/>
            </w:tcBorders>
            <w:hideMark/>
          </w:tcPr>
          <w:p w14:paraId="7CB0FCD9" w14:textId="267374CF"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Conduction disorders</w:t>
            </w:r>
            <w:r w:rsidR="00937FEB" w:rsidRPr="00D33FAA">
              <w:rPr>
                <w:rFonts w:ascii="Arial" w:eastAsia="Times New Roman" w:hAnsi="Arial" w:cs="Arial"/>
                <w:b/>
                <w:bCs/>
                <w:color w:val="000000"/>
                <w:sz w:val="18"/>
                <w:szCs w:val="18"/>
              </w:rPr>
              <w:t>*</w:t>
            </w:r>
          </w:p>
        </w:tc>
        <w:tc>
          <w:tcPr>
            <w:tcW w:w="1890" w:type="dxa"/>
            <w:gridSpan w:val="2"/>
            <w:tcBorders>
              <w:left w:val="single" w:sz="4" w:space="0" w:color="auto"/>
              <w:bottom w:val="single" w:sz="4" w:space="0" w:color="auto"/>
              <w:right w:val="single" w:sz="4" w:space="0" w:color="auto"/>
            </w:tcBorders>
            <w:hideMark/>
          </w:tcPr>
          <w:p w14:paraId="2CE0FB9B" w14:textId="6C48DEA1"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Symptomatic bradycardia</w:t>
            </w:r>
            <w:r w:rsidR="00937FEB" w:rsidRPr="00D33FAA">
              <w:rPr>
                <w:rFonts w:ascii="Arial" w:eastAsia="Times New Roman" w:hAnsi="Arial" w:cs="Arial"/>
                <w:b/>
                <w:bCs/>
                <w:color w:val="000000"/>
                <w:sz w:val="18"/>
                <w:szCs w:val="18"/>
                <w:vertAlign w:val="superscript"/>
              </w:rPr>
              <w:t>#</w:t>
            </w:r>
          </w:p>
        </w:tc>
        <w:tc>
          <w:tcPr>
            <w:tcW w:w="1890" w:type="dxa"/>
            <w:gridSpan w:val="2"/>
            <w:tcBorders>
              <w:left w:val="single" w:sz="4" w:space="0" w:color="auto"/>
              <w:bottom w:val="single" w:sz="4" w:space="0" w:color="auto"/>
            </w:tcBorders>
            <w:hideMark/>
          </w:tcPr>
          <w:p w14:paraId="4E213D01" w14:textId="5FBBDE45"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Bradycardia with pacemaker</w:t>
            </w:r>
            <w:r w:rsidR="00937FEB" w:rsidRPr="00D33FAA">
              <w:rPr>
                <w:rFonts w:ascii="Arial" w:hAnsi="Arial" w:cs="Arial"/>
                <w:b/>
                <w:bCs/>
                <w:sz w:val="18"/>
                <w:szCs w:val="18"/>
                <w:vertAlign w:val="superscript"/>
              </w:rPr>
              <w:t>†</w:t>
            </w:r>
          </w:p>
        </w:tc>
      </w:tr>
      <w:tr w:rsidR="00D33FAA" w:rsidRPr="004E51AC" w14:paraId="0E3CF420" w14:textId="77777777" w:rsidTr="00DA5B33">
        <w:trPr>
          <w:trHeight w:val="440"/>
        </w:trPr>
        <w:tc>
          <w:tcPr>
            <w:tcW w:w="1800" w:type="dxa"/>
            <w:tcBorders>
              <w:bottom w:val="single" w:sz="4" w:space="0" w:color="auto"/>
            </w:tcBorders>
            <w:hideMark/>
          </w:tcPr>
          <w:p w14:paraId="415168AD" w14:textId="77777777" w:rsidR="00D33FAA" w:rsidRPr="004E51AC" w:rsidRDefault="00D33FAA" w:rsidP="00D33FAA">
            <w:pPr>
              <w:tabs>
                <w:tab w:val="left" w:pos="1025"/>
              </w:tabs>
              <w:rPr>
                <w:rFonts w:ascii="Arial" w:hAnsi="Arial" w:cs="Arial"/>
                <w:b/>
                <w:bCs/>
                <w:sz w:val="18"/>
                <w:szCs w:val="18"/>
              </w:rPr>
            </w:pPr>
          </w:p>
        </w:tc>
        <w:tc>
          <w:tcPr>
            <w:tcW w:w="1080" w:type="dxa"/>
            <w:tcBorders>
              <w:top w:val="single" w:sz="4" w:space="0" w:color="auto"/>
              <w:bottom w:val="single" w:sz="4" w:space="0" w:color="auto"/>
            </w:tcBorders>
            <w:vAlign w:val="center"/>
            <w:hideMark/>
          </w:tcPr>
          <w:p w14:paraId="340923A0" w14:textId="520004C7" w:rsidR="00D33FAA" w:rsidRDefault="00D33FAA" w:rsidP="00D33FAA">
            <w:pPr>
              <w:tabs>
                <w:tab w:val="left" w:pos="1025"/>
              </w:tabs>
              <w:ind w:left="-204"/>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6B298ACA" w14:textId="04791437" w:rsidR="00D33FAA" w:rsidRPr="004E51AC" w:rsidRDefault="00D33FAA" w:rsidP="00D33FAA">
            <w:pPr>
              <w:tabs>
                <w:tab w:val="left" w:pos="606"/>
              </w:tabs>
              <w:ind w:left="-204"/>
              <w:jc w:val="center"/>
              <w:rPr>
                <w:rFonts w:ascii="Arial" w:hAnsi="Arial" w:cs="Arial"/>
                <w:b/>
                <w:bCs/>
                <w:sz w:val="18"/>
                <w:szCs w:val="18"/>
              </w:rPr>
            </w:pPr>
            <w:r w:rsidRPr="004E51AC">
              <w:rPr>
                <w:rFonts w:ascii="Arial" w:hAnsi="Arial" w:cs="Arial"/>
                <w:b/>
                <w:bCs/>
                <w:sz w:val="18"/>
                <w:szCs w:val="18"/>
              </w:rPr>
              <w:t>(95% CI)</w:t>
            </w:r>
          </w:p>
        </w:tc>
        <w:tc>
          <w:tcPr>
            <w:tcW w:w="810" w:type="dxa"/>
            <w:tcBorders>
              <w:top w:val="single" w:sz="4" w:space="0" w:color="auto"/>
              <w:bottom w:val="single" w:sz="4" w:space="0" w:color="auto"/>
              <w:right w:val="single" w:sz="4" w:space="0" w:color="auto"/>
            </w:tcBorders>
            <w:hideMark/>
          </w:tcPr>
          <w:p w14:paraId="33BE4E56" w14:textId="77777777"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P Value</w:t>
            </w:r>
          </w:p>
        </w:tc>
        <w:tc>
          <w:tcPr>
            <w:tcW w:w="1080" w:type="dxa"/>
            <w:tcBorders>
              <w:top w:val="single" w:sz="4" w:space="0" w:color="auto"/>
              <w:left w:val="single" w:sz="4" w:space="0" w:color="auto"/>
              <w:bottom w:val="single" w:sz="4" w:space="0" w:color="auto"/>
            </w:tcBorders>
            <w:hideMark/>
          </w:tcPr>
          <w:p w14:paraId="13CCD2C1" w14:textId="03D626AC" w:rsidR="00D33FAA" w:rsidRDefault="00D33FAA" w:rsidP="00D33FAA">
            <w:pPr>
              <w:tabs>
                <w:tab w:val="left" w:pos="702"/>
              </w:tabs>
              <w:ind w:left="-40"/>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26D002E6" w14:textId="33BDF308" w:rsidR="00D33FAA" w:rsidRPr="004E51AC" w:rsidRDefault="00D33FAA" w:rsidP="00D33FAA">
            <w:pPr>
              <w:tabs>
                <w:tab w:val="left" w:pos="702"/>
              </w:tabs>
              <w:ind w:left="-40"/>
              <w:jc w:val="center"/>
              <w:rPr>
                <w:rFonts w:ascii="Arial" w:hAnsi="Arial" w:cs="Arial"/>
                <w:b/>
                <w:bCs/>
                <w:sz w:val="18"/>
                <w:szCs w:val="18"/>
              </w:rPr>
            </w:pPr>
            <w:r w:rsidRPr="004E51AC">
              <w:rPr>
                <w:rFonts w:ascii="Arial" w:hAnsi="Arial" w:cs="Arial"/>
                <w:b/>
                <w:bCs/>
                <w:sz w:val="18"/>
                <w:szCs w:val="18"/>
              </w:rPr>
              <w:t>(95% CI)</w:t>
            </w:r>
          </w:p>
        </w:tc>
        <w:tc>
          <w:tcPr>
            <w:tcW w:w="900" w:type="dxa"/>
            <w:tcBorders>
              <w:top w:val="single" w:sz="4" w:space="0" w:color="auto"/>
              <w:bottom w:val="single" w:sz="4" w:space="0" w:color="auto"/>
              <w:right w:val="single" w:sz="4" w:space="0" w:color="auto"/>
            </w:tcBorders>
            <w:hideMark/>
          </w:tcPr>
          <w:p w14:paraId="7711FDF8" w14:textId="77777777" w:rsidR="00DA5B33" w:rsidRDefault="00DA5B33" w:rsidP="00D33FAA">
            <w:pPr>
              <w:tabs>
                <w:tab w:val="left" w:pos="1025"/>
              </w:tabs>
              <w:jc w:val="center"/>
              <w:rPr>
                <w:rFonts w:ascii="Arial" w:hAnsi="Arial" w:cs="Arial"/>
                <w:b/>
                <w:bCs/>
                <w:sz w:val="18"/>
                <w:szCs w:val="18"/>
              </w:rPr>
            </w:pPr>
            <w:r w:rsidRPr="004E51AC">
              <w:rPr>
                <w:rFonts w:ascii="Arial" w:hAnsi="Arial" w:cs="Arial"/>
                <w:b/>
                <w:bCs/>
                <w:sz w:val="18"/>
                <w:szCs w:val="18"/>
              </w:rPr>
              <w:t xml:space="preserve">P </w:t>
            </w:r>
          </w:p>
          <w:p w14:paraId="150BFA3D" w14:textId="0845C137" w:rsidR="00D33FAA" w:rsidRPr="004E51AC" w:rsidRDefault="00DA5B33" w:rsidP="00D33FAA">
            <w:pPr>
              <w:tabs>
                <w:tab w:val="left" w:pos="1025"/>
              </w:tabs>
              <w:jc w:val="center"/>
              <w:rPr>
                <w:rFonts w:ascii="Arial" w:hAnsi="Arial" w:cs="Arial"/>
                <w:b/>
                <w:bCs/>
                <w:sz w:val="18"/>
                <w:szCs w:val="18"/>
              </w:rPr>
            </w:pPr>
            <w:r w:rsidRPr="004E51AC">
              <w:rPr>
                <w:rFonts w:ascii="Arial" w:hAnsi="Arial" w:cs="Arial"/>
                <w:b/>
                <w:bCs/>
                <w:sz w:val="18"/>
                <w:szCs w:val="18"/>
              </w:rPr>
              <w:t>Value</w:t>
            </w:r>
          </w:p>
        </w:tc>
        <w:tc>
          <w:tcPr>
            <w:tcW w:w="1170" w:type="dxa"/>
            <w:tcBorders>
              <w:top w:val="single" w:sz="4" w:space="0" w:color="auto"/>
              <w:left w:val="single" w:sz="4" w:space="0" w:color="auto"/>
              <w:bottom w:val="single" w:sz="4" w:space="0" w:color="auto"/>
            </w:tcBorders>
            <w:hideMark/>
          </w:tcPr>
          <w:p w14:paraId="1F0DA2F5" w14:textId="77777777" w:rsidR="00D33FAA" w:rsidRDefault="00D33FAA" w:rsidP="00D33FAA">
            <w:pPr>
              <w:tabs>
                <w:tab w:val="left" w:pos="797"/>
              </w:tabs>
              <w:ind w:left="-103"/>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078BB0FC" w14:textId="69316658" w:rsidR="00D33FAA" w:rsidRPr="004E51AC" w:rsidRDefault="00D33FAA" w:rsidP="00D33FAA">
            <w:pPr>
              <w:tabs>
                <w:tab w:val="left" w:pos="1025"/>
              </w:tabs>
              <w:ind w:left="-32" w:right="76"/>
              <w:jc w:val="center"/>
              <w:rPr>
                <w:rFonts w:ascii="Arial" w:hAnsi="Arial" w:cs="Arial"/>
                <w:b/>
                <w:bCs/>
                <w:sz w:val="18"/>
                <w:szCs w:val="18"/>
              </w:rPr>
            </w:pPr>
            <w:r w:rsidRPr="004E51AC">
              <w:rPr>
                <w:rFonts w:ascii="Arial" w:hAnsi="Arial" w:cs="Arial"/>
                <w:b/>
                <w:bCs/>
                <w:sz w:val="18"/>
                <w:szCs w:val="18"/>
              </w:rPr>
              <w:t>(95% CI)</w:t>
            </w:r>
          </w:p>
        </w:tc>
        <w:tc>
          <w:tcPr>
            <w:tcW w:w="810" w:type="dxa"/>
            <w:tcBorders>
              <w:top w:val="single" w:sz="4" w:space="0" w:color="auto"/>
              <w:bottom w:val="single" w:sz="4" w:space="0" w:color="auto"/>
              <w:right w:val="single" w:sz="4" w:space="0" w:color="auto"/>
            </w:tcBorders>
            <w:hideMark/>
          </w:tcPr>
          <w:p w14:paraId="15115737" w14:textId="0463E289" w:rsidR="00D33FAA" w:rsidRPr="004E51AC" w:rsidRDefault="00DA5B33" w:rsidP="00D33FAA">
            <w:pPr>
              <w:tabs>
                <w:tab w:val="left" w:pos="1025"/>
              </w:tabs>
              <w:jc w:val="center"/>
              <w:rPr>
                <w:rFonts w:ascii="Arial" w:hAnsi="Arial" w:cs="Arial"/>
                <w:b/>
                <w:bCs/>
                <w:sz w:val="18"/>
                <w:szCs w:val="18"/>
              </w:rPr>
            </w:pPr>
            <w:r w:rsidRPr="004E51AC">
              <w:rPr>
                <w:rFonts w:ascii="Arial" w:hAnsi="Arial" w:cs="Arial"/>
                <w:b/>
                <w:bCs/>
                <w:sz w:val="18"/>
                <w:szCs w:val="18"/>
              </w:rPr>
              <w:t>P Value</w:t>
            </w:r>
          </w:p>
        </w:tc>
        <w:tc>
          <w:tcPr>
            <w:tcW w:w="1080" w:type="dxa"/>
            <w:tcBorders>
              <w:top w:val="single" w:sz="4" w:space="0" w:color="auto"/>
              <w:left w:val="single" w:sz="4" w:space="0" w:color="auto"/>
              <w:bottom w:val="single" w:sz="4" w:space="0" w:color="auto"/>
            </w:tcBorders>
            <w:hideMark/>
          </w:tcPr>
          <w:p w14:paraId="0E28D333" w14:textId="77777777" w:rsidR="00D33FAA" w:rsidRDefault="00D33FAA" w:rsidP="00D33FAA">
            <w:pPr>
              <w:tabs>
                <w:tab w:val="left" w:pos="877"/>
              </w:tabs>
              <w:ind w:left="-113" w:right="38"/>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554B9E23" w14:textId="4F3B1302" w:rsidR="00D33FAA" w:rsidRPr="004E51AC" w:rsidRDefault="00D33FAA" w:rsidP="00D33FAA">
            <w:pPr>
              <w:tabs>
                <w:tab w:val="left" w:pos="877"/>
              </w:tabs>
              <w:ind w:left="-113" w:right="38"/>
              <w:jc w:val="center"/>
              <w:rPr>
                <w:rFonts w:ascii="Arial" w:hAnsi="Arial" w:cs="Arial"/>
                <w:b/>
                <w:bCs/>
                <w:sz w:val="18"/>
                <w:szCs w:val="18"/>
              </w:rPr>
            </w:pPr>
            <w:r w:rsidRPr="004E51AC">
              <w:rPr>
                <w:rFonts w:ascii="Arial" w:hAnsi="Arial" w:cs="Arial"/>
                <w:b/>
                <w:bCs/>
                <w:sz w:val="18"/>
                <w:szCs w:val="18"/>
              </w:rPr>
              <w:t>(95% CI)</w:t>
            </w:r>
          </w:p>
        </w:tc>
        <w:tc>
          <w:tcPr>
            <w:tcW w:w="810" w:type="dxa"/>
            <w:tcBorders>
              <w:top w:val="single" w:sz="4" w:space="0" w:color="auto"/>
              <w:bottom w:val="single" w:sz="4" w:space="0" w:color="auto"/>
              <w:right w:val="single" w:sz="4" w:space="0" w:color="auto"/>
            </w:tcBorders>
            <w:hideMark/>
          </w:tcPr>
          <w:p w14:paraId="50FE97A7" w14:textId="227F90BA"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P Value</w:t>
            </w:r>
          </w:p>
        </w:tc>
        <w:tc>
          <w:tcPr>
            <w:tcW w:w="1080" w:type="dxa"/>
            <w:tcBorders>
              <w:top w:val="single" w:sz="4" w:space="0" w:color="auto"/>
              <w:left w:val="single" w:sz="4" w:space="0" w:color="auto"/>
              <w:bottom w:val="single" w:sz="4" w:space="0" w:color="auto"/>
            </w:tcBorders>
            <w:hideMark/>
          </w:tcPr>
          <w:p w14:paraId="0958E7B6" w14:textId="49F4F2FE" w:rsidR="00D33FAA" w:rsidRDefault="00D33FAA" w:rsidP="00D33FAA">
            <w:pPr>
              <w:tabs>
                <w:tab w:val="left" w:pos="797"/>
              </w:tabs>
              <w:ind w:left="-103"/>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520CD3EF" w14:textId="32BDF21E" w:rsidR="00D33FAA" w:rsidRPr="004E51AC" w:rsidRDefault="00D33FAA" w:rsidP="00D33FAA">
            <w:pPr>
              <w:tabs>
                <w:tab w:val="left" w:pos="797"/>
              </w:tabs>
              <w:ind w:left="-103"/>
              <w:jc w:val="center"/>
              <w:rPr>
                <w:rFonts w:ascii="Arial" w:hAnsi="Arial" w:cs="Arial"/>
                <w:b/>
                <w:bCs/>
                <w:sz w:val="18"/>
                <w:szCs w:val="18"/>
              </w:rPr>
            </w:pPr>
            <w:r w:rsidRPr="004E51AC">
              <w:rPr>
                <w:rFonts w:ascii="Arial" w:hAnsi="Arial" w:cs="Arial"/>
                <w:b/>
                <w:bCs/>
                <w:sz w:val="18"/>
                <w:szCs w:val="18"/>
              </w:rPr>
              <w:t>(95% CI)</w:t>
            </w:r>
          </w:p>
        </w:tc>
        <w:tc>
          <w:tcPr>
            <w:tcW w:w="810" w:type="dxa"/>
            <w:tcBorders>
              <w:top w:val="single" w:sz="4" w:space="0" w:color="auto"/>
              <w:bottom w:val="single" w:sz="4" w:space="0" w:color="auto"/>
              <w:right w:val="single" w:sz="4" w:space="0" w:color="auto"/>
            </w:tcBorders>
            <w:hideMark/>
          </w:tcPr>
          <w:p w14:paraId="512B51BD" w14:textId="24BEE97C"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P Value</w:t>
            </w:r>
          </w:p>
        </w:tc>
        <w:tc>
          <w:tcPr>
            <w:tcW w:w="1037" w:type="dxa"/>
            <w:tcBorders>
              <w:top w:val="single" w:sz="4" w:space="0" w:color="auto"/>
              <w:left w:val="single" w:sz="4" w:space="0" w:color="auto"/>
              <w:bottom w:val="single" w:sz="4" w:space="0" w:color="auto"/>
            </w:tcBorders>
            <w:hideMark/>
          </w:tcPr>
          <w:p w14:paraId="7A7CAD12" w14:textId="33194379" w:rsidR="00D33FAA" w:rsidRDefault="00D33FAA" w:rsidP="00D33FAA">
            <w:pPr>
              <w:tabs>
                <w:tab w:val="left" w:pos="874"/>
              </w:tabs>
              <w:ind w:left="-116"/>
              <w:jc w:val="center"/>
              <w:rPr>
                <w:rFonts w:ascii="Arial" w:hAnsi="Arial" w:cs="Arial"/>
                <w:b/>
                <w:bCs/>
                <w:sz w:val="18"/>
                <w:szCs w:val="18"/>
              </w:rPr>
            </w:pPr>
            <w:r w:rsidRPr="004E51AC">
              <w:rPr>
                <w:rFonts w:ascii="Arial" w:hAnsi="Arial" w:cs="Arial"/>
                <w:b/>
                <w:bCs/>
                <w:sz w:val="18"/>
                <w:szCs w:val="18"/>
              </w:rPr>
              <w:t>HR</w:t>
            </w:r>
            <w:r>
              <w:rPr>
                <w:rFonts w:ascii="Arial" w:hAnsi="Arial" w:cs="Arial"/>
                <w:b/>
                <w:bCs/>
                <w:sz w:val="18"/>
                <w:szCs w:val="18"/>
                <w:vertAlign w:val="superscript"/>
              </w:rPr>
              <w:sym w:font="Symbol" w:char="F064"/>
            </w:r>
          </w:p>
          <w:p w14:paraId="05EB984E" w14:textId="1C087EA2" w:rsidR="00D33FAA" w:rsidRPr="004E51AC" w:rsidRDefault="00D33FAA" w:rsidP="00D33FAA">
            <w:pPr>
              <w:tabs>
                <w:tab w:val="left" w:pos="874"/>
              </w:tabs>
              <w:ind w:left="-116"/>
              <w:jc w:val="center"/>
              <w:rPr>
                <w:rFonts w:ascii="Arial" w:hAnsi="Arial" w:cs="Arial"/>
                <w:b/>
                <w:bCs/>
                <w:sz w:val="18"/>
                <w:szCs w:val="18"/>
              </w:rPr>
            </w:pPr>
            <w:r w:rsidRPr="004E51AC">
              <w:rPr>
                <w:rFonts w:ascii="Arial" w:hAnsi="Arial" w:cs="Arial"/>
                <w:b/>
                <w:bCs/>
                <w:sz w:val="18"/>
                <w:szCs w:val="18"/>
              </w:rPr>
              <w:t>(95% CI)</w:t>
            </w:r>
          </w:p>
        </w:tc>
        <w:tc>
          <w:tcPr>
            <w:tcW w:w="853" w:type="dxa"/>
            <w:tcBorders>
              <w:top w:val="single" w:sz="4" w:space="0" w:color="auto"/>
              <w:bottom w:val="single" w:sz="4" w:space="0" w:color="auto"/>
            </w:tcBorders>
            <w:hideMark/>
          </w:tcPr>
          <w:p w14:paraId="3A3E973E" w14:textId="3E552830" w:rsidR="00D33FAA" w:rsidRPr="004E51AC" w:rsidRDefault="00D33FAA" w:rsidP="00D33FAA">
            <w:pPr>
              <w:tabs>
                <w:tab w:val="left" w:pos="1025"/>
              </w:tabs>
              <w:jc w:val="center"/>
              <w:rPr>
                <w:rFonts w:ascii="Arial" w:hAnsi="Arial" w:cs="Arial"/>
                <w:b/>
                <w:bCs/>
                <w:sz w:val="18"/>
                <w:szCs w:val="18"/>
              </w:rPr>
            </w:pPr>
            <w:r w:rsidRPr="004E51AC">
              <w:rPr>
                <w:rFonts w:ascii="Arial" w:hAnsi="Arial" w:cs="Arial"/>
                <w:b/>
                <w:bCs/>
                <w:sz w:val="18"/>
                <w:szCs w:val="18"/>
              </w:rPr>
              <w:t>P Value</w:t>
            </w:r>
          </w:p>
        </w:tc>
      </w:tr>
      <w:tr w:rsidR="00DA5B33" w:rsidRPr="004E51AC" w14:paraId="6D16128C" w14:textId="77777777" w:rsidTr="00DA5B33">
        <w:trPr>
          <w:trHeight w:val="440"/>
        </w:trPr>
        <w:tc>
          <w:tcPr>
            <w:tcW w:w="1800" w:type="dxa"/>
            <w:tcBorders>
              <w:top w:val="single" w:sz="4" w:space="0" w:color="auto"/>
            </w:tcBorders>
          </w:tcPr>
          <w:p w14:paraId="3E1FED22" w14:textId="5D4436D5" w:rsidR="00DA5B33" w:rsidRPr="00C72323" w:rsidRDefault="00DA5B33" w:rsidP="00DA5B33">
            <w:pPr>
              <w:tabs>
                <w:tab w:val="left" w:pos="1025"/>
              </w:tabs>
              <w:rPr>
                <w:rFonts w:ascii="Arial" w:hAnsi="Arial" w:cs="Arial"/>
                <w:b/>
                <w:bCs/>
                <w:sz w:val="18"/>
                <w:szCs w:val="18"/>
              </w:rPr>
            </w:pPr>
            <w:r w:rsidRPr="00C72323">
              <w:rPr>
                <w:rFonts w:ascii="Arial" w:hAnsi="Arial" w:cs="Arial"/>
                <w:b/>
                <w:bCs/>
                <w:sz w:val="18"/>
                <w:szCs w:val="18"/>
              </w:rPr>
              <w:t>Primary analysis</w:t>
            </w:r>
          </w:p>
        </w:tc>
        <w:tc>
          <w:tcPr>
            <w:tcW w:w="1080" w:type="dxa"/>
            <w:tcBorders>
              <w:top w:val="single" w:sz="4" w:space="0" w:color="auto"/>
            </w:tcBorders>
          </w:tcPr>
          <w:p w14:paraId="74863EE9" w14:textId="77777777" w:rsidR="00DA5B33" w:rsidRDefault="00DA5B33" w:rsidP="00DA5B33">
            <w:pPr>
              <w:tabs>
                <w:tab w:val="left" w:pos="1025"/>
              </w:tabs>
              <w:ind w:left="-204"/>
              <w:jc w:val="center"/>
              <w:rPr>
                <w:rFonts w:ascii="Arial" w:hAnsi="Arial" w:cs="Arial"/>
                <w:sz w:val="18"/>
                <w:szCs w:val="18"/>
              </w:rPr>
            </w:pPr>
            <w:r w:rsidRPr="00C72323">
              <w:rPr>
                <w:rFonts w:ascii="Arial" w:hAnsi="Arial" w:cs="Arial"/>
                <w:sz w:val="18"/>
                <w:szCs w:val="18"/>
              </w:rPr>
              <w:t xml:space="preserve">1.03 </w:t>
            </w:r>
          </w:p>
          <w:p w14:paraId="69D910CF" w14:textId="6D947CD7" w:rsidR="00DA5B33" w:rsidRPr="00C72323" w:rsidRDefault="00DA5B33" w:rsidP="00DA5B33">
            <w:pPr>
              <w:tabs>
                <w:tab w:val="left" w:pos="1025"/>
              </w:tabs>
              <w:ind w:left="-204"/>
              <w:jc w:val="center"/>
              <w:rPr>
                <w:rFonts w:ascii="Arial" w:hAnsi="Arial" w:cs="Arial"/>
                <w:b/>
                <w:bCs/>
                <w:sz w:val="18"/>
                <w:szCs w:val="18"/>
              </w:rPr>
            </w:pPr>
            <w:r w:rsidRPr="00C72323">
              <w:rPr>
                <w:rFonts w:ascii="Arial" w:hAnsi="Arial" w:cs="Arial"/>
                <w:sz w:val="18"/>
                <w:szCs w:val="18"/>
              </w:rPr>
              <w:t>(0.88-1.21)</w:t>
            </w:r>
          </w:p>
        </w:tc>
        <w:tc>
          <w:tcPr>
            <w:tcW w:w="810" w:type="dxa"/>
            <w:tcBorders>
              <w:top w:val="single" w:sz="4" w:space="0" w:color="auto"/>
              <w:right w:val="single" w:sz="4" w:space="0" w:color="auto"/>
            </w:tcBorders>
          </w:tcPr>
          <w:p w14:paraId="4766BEC6" w14:textId="3AC47915"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0.7291</w:t>
            </w:r>
          </w:p>
        </w:tc>
        <w:tc>
          <w:tcPr>
            <w:tcW w:w="1080" w:type="dxa"/>
            <w:tcBorders>
              <w:top w:val="single" w:sz="4" w:space="0" w:color="auto"/>
              <w:left w:val="single" w:sz="4" w:space="0" w:color="auto"/>
            </w:tcBorders>
          </w:tcPr>
          <w:p w14:paraId="71D499B7" w14:textId="77777777" w:rsidR="00DA5B33" w:rsidRDefault="00DA5B33" w:rsidP="00DA5B33">
            <w:pPr>
              <w:tabs>
                <w:tab w:val="left" w:pos="702"/>
              </w:tabs>
              <w:ind w:left="-40"/>
              <w:jc w:val="center"/>
              <w:rPr>
                <w:rFonts w:ascii="Arial" w:hAnsi="Arial" w:cs="Arial"/>
                <w:sz w:val="18"/>
                <w:szCs w:val="18"/>
              </w:rPr>
            </w:pPr>
            <w:r w:rsidRPr="00C72323">
              <w:rPr>
                <w:rFonts w:ascii="Arial" w:hAnsi="Arial" w:cs="Arial"/>
                <w:sz w:val="18"/>
                <w:szCs w:val="18"/>
              </w:rPr>
              <w:t xml:space="preserve">0.53 </w:t>
            </w:r>
          </w:p>
          <w:p w14:paraId="4BB18925" w14:textId="5D2865C2" w:rsidR="00DA5B33" w:rsidRPr="00C72323" w:rsidRDefault="00DA5B33" w:rsidP="00DA5B33">
            <w:pPr>
              <w:tabs>
                <w:tab w:val="left" w:pos="702"/>
              </w:tabs>
              <w:ind w:left="-40"/>
              <w:jc w:val="center"/>
              <w:rPr>
                <w:rFonts w:ascii="Arial" w:hAnsi="Arial" w:cs="Arial"/>
                <w:b/>
                <w:bCs/>
                <w:sz w:val="18"/>
                <w:szCs w:val="18"/>
              </w:rPr>
            </w:pPr>
            <w:r w:rsidRPr="00C72323">
              <w:rPr>
                <w:rFonts w:ascii="Arial" w:hAnsi="Arial" w:cs="Arial"/>
                <w:sz w:val="18"/>
                <w:szCs w:val="18"/>
              </w:rPr>
              <w:t>(0.38-0.74)</w:t>
            </w:r>
          </w:p>
        </w:tc>
        <w:tc>
          <w:tcPr>
            <w:tcW w:w="900" w:type="dxa"/>
            <w:tcBorders>
              <w:top w:val="single" w:sz="4" w:space="0" w:color="auto"/>
              <w:right w:val="single" w:sz="4" w:space="0" w:color="auto"/>
            </w:tcBorders>
          </w:tcPr>
          <w:p w14:paraId="74E73AC3" w14:textId="5950194C"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0.0002</w:t>
            </w:r>
          </w:p>
        </w:tc>
        <w:tc>
          <w:tcPr>
            <w:tcW w:w="1170" w:type="dxa"/>
            <w:tcBorders>
              <w:top w:val="single" w:sz="4" w:space="0" w:color="auto"/>
              <w:left w:val="single" w:sz="4" w:space="0" w:color="auto"/>
            </w:tcBorders>
          </w:tcPr>
          <w:p w14:paraId="53BA04FC" w14:textId="77777777" w:rsidR="00DA5B33" w:rsidRPr="00C72323" w:rsidRDefault="00DA5B33" w:rsidP="00DA5B33">
            <w:pPr>
              <w:tabs>
                <w:tab w:val="left" w:pos="1025"/>
              </w:tabs>
              <w:ind w:left="-32" w:right="76"/>
              <w:jc w:val="center"/>
              <w:rPr>
                <w:rFonts w:ascii="Arial" w:hAnsi="Arial" w:cs="Arial"/>
                <w:sz w:val="18"/>
                <w:szCs w:val="18"/>
              </w:rPr>
            </w:pPr>
            <w:r w:rsidRPr="00C72323">
              <w:rPr>
                <w:rFonts w:ascii="Arial" w:hAnsi="Arial" w:cs="Arial"/>
                <w:sz w:val="18"/>
                <w:szCs w:val="18"/>
              </w:rPr>
              <w:t>0.89</w:t>
            </w:r>
          </w:p>
          <w:p w14:paraId="65C64160" w14:textId="225E167C" w:rsidR="00DA5B33" w:rsidRPr="00C72323" w:rsidRDefault="00DA5B33" w:rsidP="00DA5B33">
            <w:pPr>
              <w:tabs>
                <w:tab w:val="left" w:pos="1025"/>
              </w:tabs>
              <w:ind w:left="-32" w:right="76"/>
              <w:jc w:val="center"/>
              <w:rPr>
                <w:rFonts w:ascii="Arial" w:hAnsi="Arial" w:cs="Arial"/>
                <w:b/>
                <w:bCs/>
                <w:sz w:val="18"/>
                <w:szCs w:val="18"/>
              </w:rPr>
            </w:pPr>
            <w:r w:rsidRPr="00C72323">
              <w:rPr>
                <w:rFonts w:ascii="Arial" w:hAnsi="Arial" w:cs="Arial"/>
                <w:sz w:val="18"/>
                <w:szCs w:val="18"/>
              </w:rPr>
              <w:t>(0.68-1.16)</w:t>
            </w:r>
          </w:p>
        </w:tc>
        <w:tc>
          <w:tcPr>
            <w:tcW w:w="810" w:type="dxa"/>
            <w:tcBorders>
              <w:top w:val="single" w:sz="4" w:space="0" w:color="auto"/>
              <w:right w:val="single" w:sz="4" w:space="0" w:color="auto"/>
            </w:tcBorders>
          </w:tcPr>
          <w:p w14:paraId="01C6E781" w14:textId="77176B2B"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0.3994</w:t>
            </w:r>
          </w:p>
        </w:tc>
        <w:tc>
          <w:tcPr>
            <w:tcW w:w="1080" w:type="dxa"/>
            <w:tcBorders>
              <w:top w:val="single" w:sz="4" w:space="0" w:color="auto"/>
              <w:left w:val="single" w:sz="4" w:space="0" w:color="auto"/>
            </w:tcBorders>
          </w:tcPr>
          <w:p w14:paraId="46ABFB5B" w14:textId="1B01244A" w:rsidR="00DA5B33" w:rsidRPr="00C72323" w:rsidRDefault="00DA5B33" w:rsidP="00DA5B33">
            <w:pPr>
              <w:tabs>
                <w:tab w:val="left" w:pos="877"/>
              </w:tabs>
              <w:ind w:left="-113" w:right="38"/>
              <w:jc w:val="center"/>
              <w:rPr>
                <w:rFonts w:ascii="Arial" w:hAnsi="Arial" w:cs="Arial"/>
                <w:b/>
                <w:bCs/>
                <w:sz w:val="18"/>
                <w:szCs w:val="18"/>
              </w:rPr>
            </w:pPr>
            <w:r w:rsidRPr="00C72323">
              <w:rPr>
                <w:rFonts w:ascii="Arial" w:hAnsi="Arial" w:cs="Arial"/>
                <w:sz w:val="18"/>
                <w:szCs w:val="18"/>
              </w:rPr>
              <w:t>0.996 (0.87-1.14)</w:t>
            </w:r>
          </w:p>
        </w:tc>
        <w:tc>
          <w:tcPr>
            <w:tcW w:w="810" w:type="dxa"/>
            <w:tcBorders>
              <w:top w:val="single" w:sz="4" w:space="0" w:color="auto"/>
              <w:right w:val="single" w:sz="4" w:space="0" w:color="auto"/>
            </w:tcBorders>
          </w:tcPr>
          <w:p w14:paraId="4ED6B471" w14:textId="64DD8271"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0.9578</w:t>
            </w:r>
          </w:p>
        </w:tc>
        <w:tc>
          <w:tcPr>
            <w:tcW w:w="1080" w:type="dxa"/>
            <w:tcBorders>
              <w:top w:val="single" w:sz="4" w:space="0" w:color="auto"/>
              <w:left w:val="single" w:sz="4" w:space="0" w:color="auto"/>
            </w:tcBorders>
          </w:tcPr>
          <w:p w14:paraId="2338C70C" w14:textId="77777777" w:rsidR="00DA5B33" w:rsidRDefault="00DA5B33" w:rsidP="00DA5B33">
            <w:pPr>
              <w:tabs>
                <w:tab w:val="left" w:pos="797"/>
              </w:tabs>
              <w:ind w:left="-103"/>
              <w:jc w:val="center"/>
              <w:rPr>
                <w:rFonts w:ascii="Arial" w:hAnsi="Arial" w:cs="Arial"/>
                <w:sz w:val="18"/>
                <w:szCs w:val="18"/>
              </w:rPr>
            </w:pPr>
            <w:r w:rsidRPr="00C72323">
              <w:rPr>
                <w:rFonts w:ascii="Arial" w:hAnsi="Arial" w:cs="Arial"/>
                <w:sz w:val="18"/>
                <w:szCs w:val="18"/>
              </w:rPr>
              <w:t xml:space="preserve">0.56 </w:t>
            </w:r>
          </w:p>
          <w:p w14:paraId="1DD5307D" w14:textId="01B54C32" w:rsidR="00DA5B33" w:rsidRPr="00C72323" w:rsidRDefault="00DA5B33" w:rsidP="00DA5B33">
            <w:pPr>
              <w:tabs>
                <w:tab w:val="left" w:pos="797"/>
              </w:tabs>
              <w:ind w:left="-103"/>
              <w:jc w:val="center"/>
              <w:rPr>
                <w:rFonts w:ascii="Arial" w:hAnsi="Arial" w:cs="Arial"/>
                <w:b/>
                <w:bCs/>
                <w:sz w:val="18"/>
                <w:szCs w:val="18"/>
              </w:rPr>
            </w:pPr>
            <w:r w:rsidRPr="00C72323">
              <w:rPr>
                <w:rFonts w:ascii="Arial" w:hAnsi="Arial" w:cs="Arial"/>
                <w:sz w:val="18"/>
                <w:szCs w:val="18"/>
              </w:rPr>
              <w:t>(0.37-0.87)</w:t>
            </w:r>
          </w:p>
        </w:tc>
        <w:tc>
          <w:tcPr>
            <w:tcW w:w="810" w:type="dxa"/>
            <w:tcBorders>
              <w:top w:val="single" w:sz="4" w:space="0" w:color="auto"/>
              <w:right w:val="single" w:sz="4" w:space="0" w:color="auto"/>
            </w:tcBorders>
          </w:tcPr>
          <w:p w14:paraId="16B1F24C" w14:textId="40E746EC"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0.0079</w:t>
            </w:r>
          </w:p>
        </w:tc>
        <w:tc>
          <w:tcPr>
            <w:tcW w:w="1037" w:type="dxa"/>
            <w:tcBorders>
              <w:top w:val="single" w:sz="4" w:space="0" w:color="auto"/>
              <w:left w:val="single" w:sz="4" w:space="0" w:color="auto"/>
            </w:tcBorders>
          </w:tcPr>
          <w:p w14:paraId="3D5668FA" w14:textId="77777777" w:rsidR="00DA5B33" w:rsidRDefault="00DA5B33" w:rsidP="00DA5B33">
            <w:pPr>
              <w:tabs>
                <w:tab w:val="left" w:pos="874"/>
              </w:tabs>
              <w:ind w:left="-116"/>
              <w:jc w:val="center"/>
              <w:rPr>
                <w:rFonts w:ascii="Arial" w:hAnsi="Arial" w:cs="Arial"/>
                <w:sz w:val="18"/>
                <w:szCs w:val="18"/>
              </w:rPr>
            </w:pPr>
            <w:r w:rsidRPr="00C72323">
              <w:rPr>
                <w:rFonts w:ascii="Arial" w:hAnsi="Arial" w:cs="Arial"/>
                <w:sz w:val="18"/>
                <w:szCs w:val="18"/>
              </w:rPr>
              <w:t xml:space="preserve">0.56 </w:t>
            </w:r>
          </w:p>
          <w:p w14:paraId="43A8FAA4" w14:textId="17FF6F1D" w:rsidR="00DA5B33" w:rsidRPr="00C72323" w:rsidRDefault="00DA5B33" w:rsidP="00DA5B33">
            <w:pPr>
              <w:tabs>
                <w:tab w:val="left" w:pos="874"/>
              </w:tabs>
              <w:ind w:left="-116"/>
              <w:jc w:val="center"/>
              <w:rPr>
                <w:rFonts w:ascii="Arial" w:hAnsi="Arial" w:cs="Arial"/>
                <w:b/>
                <w:bCs/>
                <w:sz w:val="18"/>
                <w:szCs w:val="18"/>
              </w:rPr>
            </w:pPr>
            <w:r w:rsidRPr="00C72323">
              <w:rPr>
                <w:rFonts w:ascii="Arial" w:hAnsi="Arial" w:cs="Arial"/>
                <w:sz w:val="18"/>
                <w:szCs w:val="18"/>
              </w:rPr>
              <w:t>(0.36-0.89)</w:t>
            </w:r>
          </w:p>
        </w:tc>
        <w:tc>
          <w:tcPr>
            <w:tcW w:w="853" w:type="dxa"/>
            <w:tcBorders>
              <w:top w:val="single" w:sz="4" w:space="0" w:color="auto"/>
            </w:tcBorders>
          </w:tcPr>
          <w:p w14:paraId="44A445C9" w14:textId="6DC8755F" w:rsidR="00DA5B33" w:rsidRPr="00C72323" w:rsidRDefault="00DA5B33" w:rsidP="00DA5B33">
            <w:pPr>
              <w:tabs>
                <w:tab w:val="left" w:pos="1025"/>
              </w:tabs>
              <w:jc w:val="center"/>
              <w:rPr>
                <w:rFonts w:ascii="Arial" w:hAnsi="Arial" w:cs="Arial"/>
                <w:b/>
                <w:bCs/>
                <w:sz w:val="18"/>
                <w:szCs w:val="18"/>
              </w:rPr>
            </w:pPr>
            <w:r w:rsidRPr="00C72323">
              <w:rPr>
                <w:rFonts w:ascii="Arial" w:hAnsi="Arial" w:cs="Arial"/>
                <w:sz w:val="18"/>
                <w:szCs w:val="18"/>
              </w:rPr>
              <w:t>0.0119</w:t>
            </w:r>
          </w:p>
        </w:tc>
      </w:tr>
      <w:tr w:rsidR="00DA5B33" w:rsidRPr="004E51AC" w14:paraId="2B4819BA" w14:textId="77777777" w:rsidTr="00DA5B33">
        <w:trPr>
          <w:trHeight w:val="77"/>
        </w:trPr>
        <w:tc>
          <w:tcPr>
            <w:tcW w:w="1800" w:type="dxa"/>
          </w:tcPr>
          <w:p w14:paraId="561156D6" w14:textId="77777777" w:rsidR="00DA5B33" w:rsidRPr="00C72323" w:rsidRDefault="00DA5B33" w:rsidP="00DA5B33">
            <w:pPr>
              <w:tabs>
                <w:tab w:val="left" w:pos="1025"/>
              </w:tabs>
              <w:rPr>
                <w:rFonts w:ascii="Arial" w:hAnsi="Arial" w:cs="Arial"/>
                <w:b/>
                <w:bCs/>
                <w:sz w:val="18"/>
                <w:szCs w:val="18"/>
              </w:rPr>
            </w:pPr>
          </w:p>
        </w:tc>
        <w:tc>
          <w:tcPr>
            <w:tcW w:w="1080" w:type="dxa"/>
          </w:tcPr>
          <w:p w14:paraId="723D2981" w14:textId="77777777" w:rsidR="00DA5B33" w:rsidRPr="00C72323" w:rsidRDefault="00DA5B33" w:rsidP="00DA5B33">
            <w:pPr>
              <w:tabs>
                <w:tab w:val="left" w:pos="1025"/>
              </w:tabs>
              <w:ind w:left="-204"/>
              <w:jc w:val="center"/>
              <w:rPr>
                <w:rFonts w:ascii="Arial" w:hAnsi="Arial" w:cs="Arial"/>
                <w:sz w:val="18"/>
                <w:szCs w:val="18"/>
              </w:rPr>
            </w:pPr>
          </w:p>
        </w:tc>
        <w:tc>
          <w:tcPr>
            <w:tcW w:w="810" w:type="dxa"/>
            <w:tcBorders>
              <w:right w:val="single" w:sz="4" w:space="0" w:color="auto"/>
            </w:tcBorders>
          </w:tcPr>
          <w:p w14:paraId="2F6E2AEE" w14:textId="77777777" w:rsidR="00DA5B33" w:rsidRPr="00C7232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3071CA0C" w14:textId="77777777" w:rsidR="00DA5B33" w:rsidRPr="00C72323" w:rsidRDefault="00DA5B33" w:rsidP="00DA5B33">
            <w:pPr>
              <w:tabs>
                <w:tab w:val="left" w:pos="702"/>
              </w:tabs>
              <w:ind w:left="-40"/>
              <w:jc w:val="center"/>
              <w:rPr>
                <w:rFonts w:ascii="Arial" w:hAnsi="Arial" w:cs="Arial"/>
                <w:sz w:val="18"/>
                <w:szCs w:val="18"/>
              </w:rPr>
            </w:pPr>
          </w:p>
        </w:tc>
        <w:tc>
          <w:tcPr>
            <w:tcW w:w="900" w:type="dxa"/>
            <w:tcBorders>
              <w:right w:val="single" w:sz="4" w:space="0" w:color="auto"/>
            </w:tcBorders>
          </w:tcPr>
          <w:p w14:paraId="1861032E" w14:textId="77777777" w:rsidR="00DA5B33" w:rsidRPr="00C72323" w:rsidRDefault="00DA5B33" w:rsidP="00DA5B33">
            <w:pPr>
              <w:tabs>
                <w:tab w:val="left" w:pos="1025"/>
              </w:tabs>
              <w:jc w:val="center"/>
              <w:rPr>
                <w:rFonts w:ascii="Arial" w:hAnsi="Arial" w:cs="Arial"/>
                <w:sz w:val="18"/>
                <w:szCs w:val="18"/>
              </w:rPr>
            </w:pPr>
          </w:p>
        </w:tc>
        <w:tc>
          <w:tcPr>
            <w:tcW w:w="1170" w:type="dxa"/>
            <w:tcBorders>
              <w:left w:val="single" w:sz="4" w:space="0" w:color="auto"/>
            </w:tcBorders>
          </w:tcPr>
          <w:p w14:paraId="5CC3C6DD" w14:textId="77777777" w:rsidR="00DA5B33" w:rsidRPr="00C72323" w:rsidRDefault="00DA5B33" w:rsidP="00DA5B33">
            <w:pPr>
              <w:tabs>
                <w:tab w:val="left" w:pos="1025"/>
              </w:tabs>
              <w:ind w:left="-32" w:right="76"/>
              <w:jc w:val="center"/>
              <w:rPr>
                <w:rFonts w:ascii="Arial" w:hAnsi="Arial" w:cs="Arial"/>
                <w:sz w:val="18"/>
                <w:szCs w:val="18"/>
              </w:rPr>
            </w:pPr>
          </w:p>
        </w:tc>
        <w:tc>
          <w:tcPr>
            <w:tcW w:w="810" w:type="dxa"/>
            <w:tcBorders>
              <w:right w:val="single" w:sz="4" w:space="0" w:color="auto"/>
            </w:tcBorders>
          </w:tcPr>
          <w:p w14:paraId="5DB0ED3E" w14:textId="77777777" w:rsidR="00DA5B33" w:rsidRPr="00C7232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678A3F02" w14:textId="77777777" w:rsidR="00DA5B33" w:rsidRPr="00C72323" w:rsidRDefault="00DA5B33" w:rsidP="00DA5B33">
            <w:pPr>
              <w:tabs>
                <w:tab w:val="left" w:pos="877"/>
              </w:tabs>
              <w:ind w:left="-113" w:right="38"/>
              <w:jc w:val="center"/>
              <w:rPr>
                <w:rFonts w:ascii="Arial" w:hAnsi="Arial" w:cs="Arial"/>
                <w:sz w:val="18"/>
                <w:szCs w:val="18"/>
              </w:rPr>
            </w:pPr>
          </w:p>
        </w:tc>
        <w:tc>
          <w:tcPr>
            <w:tcW w:w="810" w:type="dxa"/>
            <w:tcBorders>
              <w:right w:val="single" w:sz="4" w:space="0" w:color="auto"/>
            </w:tcBorders>
          </w:tcPr>
          <w:p w14:paraId="3DA0279D" w14:textId="77777777" w:rsidR="00DA5B33" w:rsidRPr="00C7232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441C7D7D" w14:textId="77777777" w:rsidR="00DA5B33" w:rsidRPr="00C72323" w:rsidRDefault="00DA5B33" w:rsidP="00DA5B33">
            <w:pPr>
              <w:tabs>
                <w:tab w:val="left" w:pos="797"/>
              </w:tabs>
              <w:ind w:left="-103"/>
              <w:jc w:val="center"/>
              <w:rPr>
                <w:rFonts w:ascii="Arial" w:hAnsi="Arial" w:cs="Arial"/>
                <w:sz w:val="18"/>
                <w:szCs w:val="18"/>
              </w:rPr>
            </w:pPr>
          </w:p>
        </w:tc>
        <w:tc>
          <w:tcPr>
            <w:tcW w:w="810" w:type="dxa"/>
            <w:tcBorders>
              <w:right w:val="single" w:sz="4" w:space="0" w:color="auto"/>
            </w:tcBorders>
          </w:tcPr>
          <w:p w14:paraId="1406FAE1" w14:textId="77777777" w:rsidR="00DA5B33" w:rsidRPr="00C72323" w:rsidRDefault="00DA5B33" w:rsidP="00DA5B33">
            <w:pPr>
              <w:tabs>
                <w:tab w:val="left" w:pos="1025"/>
              </w:tabs>
              <w:jc w:val="center"/>
              <w:rPr>
                <w:rFonts w:ascii="Arial" w:hAnsi="Arial" w:cs="Arial"/>
                <w:sz w:val="18"/>
                <w:szCs w:val="18"/>
              </w:rPr>
            </w:pPr>
          </w:p>
        </w:tc>
        <w:tc>
          <w:tcPr>
            <w:tcW w:w="1037" w:type="dxa"/>
            <w:tcBorders>
              <w:left w:val="single" w:sz="4" w:space="0" w:color="auto"/>
            </w:tcBorders>
          </w:tcPr>
          <w:p w14:paraId="6AD354BD" w14:textId="77777777" w:rsidR="00DA5B33" w:rsidRPr="00C72323" w:rsidRDefault="00DA5B33" w:rsidP="00DA5B33">
            <w:pPr>
              <w:tabs>
                <w:tab w:val="left" w:pos="874"/>
              </w:tabs>
              <w:ind w:left="-116"/>
              <w:jc w:val="center"/>
              <w:rPr>
                <w:rFonts w:ascii="Arial" w:hAnsi="Arial" w:cs="Arial"/>
                <w:sz w:val="18"/>
                <w:szCs w:val="18"/>
              </w:rPr>
            </w:pPr>
          </w:p>
        </w:tc>
        <w:tc>
          <w:tcPr>
            <w:tcW w:w="853" w:type="dxa"/>
          </w:tcPr>
          <w:p w14:paraId="4866D00B" w14:textId="77777777" w:rsidR="00DA5B33" w:rsidRPr="00C72323" w:rsidRDefault="00DA5B33" w:rsidP="00DA5B33">
            <w:pPr>
              <w:tabs>
                <w:tab w:val="left" w:pos="1025"/>
              </w:tabs>
              <w:jc w:val="center"/>
              <w:rPr>
                <w:rFonts w:ascii="Arial" w:hAnsi="Arial" w:cs="Arial"/>
                <w:sz w:val="18"/>
                <w:szCs w:val="18"/>
              </w:rPr>
            </w:pPr>
          </w:p>
        </w:tc>
      </w:tr>
      <w:tr w:rsidR="00DA5B33" w:rsidRPr="004E51AC" w14:paraId="699C4531" w14:textId="77777777" w:rsidTr="00DA5B33">
        <w:trPr>
          <w:trHeight w:val="341"/>
        </w:trPr>
        <w:tc>
          <w:tcPr>
            <w:tcW w:w="1800" w:type="dxa"/>
            <w:hideMark/>
          </w:tcPr>
          <w:p w14:paraId="536E37DB" w14:textId="4D0C35B4" w:rsidR="00DA5B33" w:rsidRPr="004E51AC" w:rsidRDefault="00DA5B33" w:rsidP="00DA5B33">
            <w:pPr>
              <w:tabs>
                <w:tab w:val="left" w:pos="1025"/>
              </w:tabs>
              <w:rPr>
                <w:rFonts w:ascii="Arial" w:hAnsi="Arial" w:cs="Arial"/>
                <w:b/>
                <w:bCs/>
                <w:sz w:val="18"/>
                <w:szCs w:val="18"/>
              </w:rPr>
            </w:pPr>
            <w:r w:rsidRPr="004E51AC">
              <w:rPr>
                <w:rFonts w:ascii="Arial" w:hAnsi="Arial" w:cs="Arial"/>
                <w:b/>
                <w:bCs/>
                <w:sz w:val="18"/>
                <w:szCs w:val="18"/>
              </w:rPr>
              <w:t>Intention</w:t>
            </w:r>
            <w:r>
              <w:rPr>
                <w:rFonts w:ascii="Arial" w:hAnsi="Arial" w:cs="Arial"/>
                <w:b/>
                <w:bCs/>
                <w:sz w:val="18"/>
                <w:szCs w:val="18"/>
              </w:rPr>
              <w:t xml:space="preserve"> to </w:t>
            </w:r>
            <w:r w:rsidRPr="004E51AC">
              <w:rPr>
                <w:rFonts w:ascii="Arial" w:hAnsi="Arial" w:cs="Arial"/>
                <w:b/>
                <w:bCs/>
                <w:sz w:val="18"/>
                <w:szCs w:val="18"/>
              </w:rPr>
              <w:t>treat</w:t>
            </w:r>
          </w:p>
        </w:tc>
        <w:tc>
          <w:tcPr>
            <w:tcW w:w="1080" w:type="dxa"/>
            <w:hideMark/>
          </w:tcPr>
          <w:p w14:paraId="17AA0DFB" w14:textId="5209787D" w:rsidR="00DA5B33"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0.998</w:t>
            </w:r>
          </w:p>
          <w:p w14:paraId="4661AA4B" w14:textId="0F10EEE9" w:rsidR="00DA5B33" w:rsidRPr="004E51AC"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(0.91-1.1)</w:t>
            </w:r>
          </w:p>
        </w:tc>
        <w:tc>
          <w:tcPr>
            <w:tcW w:w="810" w:type="dxa"/>
            <w:tcBorders>
              <w:right w:val="single" w:sz="4" w:space="0" w:color="auto"/>
            </w:tcBorders>
            <w:hideMark/>
          </w:tcPr>
          <w:p w14:paraId="2BCEE201"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0.9701</w:t>
            </w:r>
          </w:p>
        </w:tc>
        <w:tc>
          <w:tcPr>
            <w:tcW w:w="1080" w:type="dxa"/>
            <w:tcBorders>
              <w:left w:val="single" w:sz="4" w:space="0" w:color="auto"/>
            </w:tcBorders>
            <w:hideMark/>
          </w:tcPr>
          <w:p w14:paraId="01971B8D" w14:textId="50602648" w:rsidR="00DA5B33"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0.76</w:t>
            </w:r>
          </w:p>
          <w:p w14:paraId="3AC10346" w14:textId="72FD7C51" w:rsidR="00DA5B33" w:rsidRPr="004E51AC"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(0.64-0.9)</w:t>
            </w:r>
          </w:p>
        </w:tc>
        <w:tc>
          <w:tcPr>
            <w:tcW w:w="900" w:type="dxa"/>
            <w:tcBorders>
              <w:right w:val="single" w:sz="4" w:space="0" w:color="auto"/>
            </w:tcBorders>
            <w:hideMark/>
          </w:tcPr>
          <w:p w14:paraId="19A77624" w14:textId="78AB70E8"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0.0017</w:t>
            </w:r>
          </w:p>
        </w:tc>
        <w:tc>
          <w:tcPr>
            <w:tcW w:w="1170" w:type="dxa"/>
            <w:tcBorders>
              <w:left w:val="single" w:sz="4" w:space="0" w:color="auto"/>
            </w:tcBorders>
            <w:hideMark/>
          </w:tcPr>
          <w:p w14:paraId="70B88A9C" w14:textId="77777777" w:rsidR="00DA5B33"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0.89</w:t>
            </w:r>
          </w:p>
          <w:p w14:paraId="486BF129" w14:textId="72AA874B" w:rsidR="00DA5B33" w:rsidRPr="004E51AC"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(0.8-0.997)</w:t>
            </w:r>
          </w:p>
        </w:tc>
        <w:tc>
          <w:tcPr>
            <w:tcW w:w="810" w:type="dxa"/>
            <w:tcBorders>
              <w:right w:val="single" w:sz="4" w:space="0" w:color="auto"/>
            </w:tcBorders>
            <w:hideMark/>
          </w:tcPr>
          <w:p w14:paraId="700F8091" w14:textId="2FB4D61E"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0.0377</w:t>
            </w:r>
          </w:p>
        </w:tc>
        <w:tc>
          <w:tcPr>
            <w:tcW w:w="1080" w:type="dxa"/>
            <w:tcBorders>
              <w:left w:val="single" w:sz="4" w:space="0" w:color="auto"/>
            </w:tcBorders>
            <w:hideMark/>
          </w:tcPr>
          <w:p w14:paraId="1CA0B375" w14:textId="77777777" w:rsidR="00DA5B33"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 xml:space="preserve">1.08 </w:t>
            </w:r>
          </w:p>
          <w:p w14:paraId="1DC4303E" w14:textId="5C113E42" w:rsidR="00DA5B33" w:rsidRPr="004E51AC"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(0.98-1.19)</w:t>
            </w:r>
          </w:p>
        </w:tc>
        <w:tc>
          <w:tcPr>
            <w:tcW w:w="810" w:type="dxa"/>
            <w:tcBorders>
              <w:right w:val="single" w:sz="4" w:space="0" w:color="auto"/>
            </w:tcBorders>
            <w:hideMark/>
          </w:tcPr>
          <w:p w14:paraId="0A7B6DDA" w14:textId="1AC663D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0.1202</w:t>
            </w:r>
          </w:p>
        </w:tc>
        <w:tc>
          <w:tcPr>
            <w:tcW w:w="1080" w:type="dxa"/>
            <w:tcBorders>
              <w:left w:val="single" w:sz="4" w:space="0" w:color="auto"/>
            </w:tcBorders>
            <w:hideMark/>
          </w:tcPr>
          <w:p w14:paraId="192DBE29" w14:textId="4F493438" w:rsidR="00DA5B33"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0.85</w:t>
            </w:r>
          </w:p>
          <w:p w14:paraId="3C3207EE" w14:textId="06DE4C9C" w:rsidR="00DA5B33" w:rsidRPr="004E51AC"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(0.66-1.1)</w:t>
            </w:r>
          </w:p>
        </w:tc>
        <w:tc>
          <w:tcPr>
            <w:tcW w:w="810" w:type="dxa"/>
            <w:tcBorders>
              <w:right w:val="single" w:sz="4" w:space="0" w:color="auto"/>
            </w:tcBorders>
            <w:hideMark/>
          </w:tcPr>
          <w:p w14:paraId="66671717"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0.2141</w:t>
            </w:r>
          </w:p>
        </w:tc>
        <w:tc>
          <w:tcPr>
            <w:tcW w:w="1037" w:type="dxa"/>
            <w:tcBorders>
              <w:left w:val="single" w:sz="4" w:space="0" w:color="auto"/>
            </w:tcBorders>
            <w:hideMark/>
          </w:tcPr>
          <w:p w14:paraId="799D53F4" w14:textId="77777777" w:rsidR="00DA5B33"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 xml:space="preserve">0.88 </w:t>
            </w:r>
          </w:p>
          <w:p w14:paraId="1BEDC132" w14:textId="23AAA962" w:rsidR="00DA5B33" w:rsidRPr="004E51AC"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(0.66-1.15)</w:t>
            </w:r>
          </w:p>
        </w:tc>
        <w:tc>
          <w:tcPr>
            <w:tcW w:w="853" w:type="dxa"/>
            <w:hideMark/>
          </w:tcPr>
          <w:p w14:paraId="0B196DF7" w14:textId="1FB14850"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0.3731</w:t>
            </w:r>
          </w:p>
        </w:tc>
      </w:tr>
      <w:tr w:rsidR="00DA5B33" w:rsidRPr="004E51AC" w14:paraId="01AE6B60" w14:textId="77777777" w:rsidTr="00DA5B33">
        <w:trPr>
          <w:trHeight w:val="341"/>
        </w:trPr>
        <w:tc>
          <w:tcPr>
            <w:tcW w:w="1800" w:type="dxa"/>
          </w:tcPr>
          <w:p w14:paraId="20386FAE" w14:textId="77777777" w:rsidR="00DA5B33" w:rsidRPr="004E51AC" w:rsidRDefault="00DA5B33" w:rsidP="00DA5B33">
            <w:pPr>
              <w:tabs>
                <w:tab w:val="left" w:pos="1025"/>
              </w:tabs>
              <w:rPr>
                <w:rFonts w:ascii="Arial" w:hAnsi="Arial" w:cs="Arial"/>
                <w:b/>
                <w:bCs/>
                <w:sz w:val="18"/>
                <w:szCs w:val="18"/>
              </w:rPr>
            </w:pPr>
          </w:p>
        </w:tc>
        <w:tc>
          <w:tcPr>
            <w:tcW w:w="1080" w:type="dxa"/>
          </w:tcPr>
          <w:p w14:paraId="30211B09" w14:textId="77777777" w:rsidR="00DA5B33" w:rsidRPr="004E51AC" w:rsidRDefault="00DA5B33" w:rsidP="00DA5B33">
            <w:pPr>
              <w:tabs>
                <w:tab w:val="left" w:pos="1025"/>
              </w:tabs>
              <w:ind w:left="-204"/>
              <w:jc w:val="center"/>
              <w:rPr>
                <w:rFonts w:ascii="Arial" w:hAnsi="Arial" w:cs="Arial"/>
                <w:sz w:val="18"/>
                <w:szCs w:val="18"/>
              </w:rPr>
            </w:pPr>
          </w:p>
        </w:tc>
        <w:tc>
          <w:tcPr>
            <w:tcW w:w="810" w:type="dxa"/>
            <w:tcBorders>
              <w:right w:val="single" w:sz="4" w:space="0" w:color="auto"/>
            </w:tcBorders>
          </w:tcPr>
          <w:p w14:paraId="01170449"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6B0C1A17" w14:textId="77777777" w:rsidR="00DA5B33" w:rsidRPr="004E51AC" w:rsidRDefault="00DA5B33" w:rsidP="00DA5B33">
            <w:pPr>
              <w:tabs>
                <w:tab w:val="left" w:pos="702"/>
              </w:tabs>
              <w:ind w:left="-40"/>
              <w:jc w:val="center"/>
              <w:rPr>
                <w:rFonts w:ascii="Arial" w:hAnsi="Arial" w:cs="Arial"/>
                <w:sz w:val="18"/>
                <w:szCs w:val="18"/>
              </w:rPr>
            </w:pPr>
          </w:p>
        </w:tc>
        <w:tc>
          <w:tcPr>
            <w:tcW w:w="900" w:type="dxa"/>
            <w:tcBorders>
              <w:right w:val="single" w:sz="4" w:space="0" w:color="auto"/>
            </w:tcBorders>
          </w:tcPr>
          <w:p w14:paraId="4A51DFB0" w14:textId="77777777" w:rsidR="00DA5B33" w:rsidRPr="004E51AC" w:rsidRDefault="00DA5B33" w:rsidP="00DA5B33">
            <w:pPr>
              <w:tabs>
                <w:tab w:val="left" w:pos="1025"/>
              </w:tabs>
              <w:jc w:val="center"/>
              <w:rPr>
                <w:rFonts w:ascii="Arial" w:hAnsi="Arial" w:cs="Arial"/>
                <w:sz w:val="18"/>
                <w:szCs w:val="18"/>
              </w:rPr>
            </w:pPr>
          </w:p>
        </w:tc>
        <w:tc>
          <w:tcPr>
            <w:tcW w:w="1170" w:type="dxa"/>
            <w:tcBorders>
              <w:left w:val="single" w:sz="4" w:space="0" w:color="auto"/>
            </w:tcBorders>
          </w:tcPr>
          <w:p w14:paraId="41FF4791" w14:textId="77777777" w:rsidR="00DA5B33" w:rsidRPr="004E51AC" w:rsidRDefault="00DA5B33" w:rsidP="00DA5B33">
            <w:pPr>
              <w:tabs>
                <w:tab w:val="left" w:pos="1025"/>
              </w:tabs>
              <w:ind w:left="-32" w:right="76"/>
              <w:jc w:val="center"/>
              <w:rPr>
                <w:rFonts w:ascii="Arial" w:hAnsi="Arial" w:cs="Arial"/>
                <w:sz w:val="18"/>
                <w:szCs w:val="18"/>
              </w:rPr>
            </w:pPr>
          </w:p>
        </w:tc>
        <w:tc>
          <w:tcPr>
            <w:tcW w:w="810" w:type="dxa"/>
            <w:tcBorders>
              <w:right w:val="single" w:sz="4" w:space="0" w:color="auto"/>
            </w:tcBorders>
          </w:tcPr>
          <w:p w14:paraId="79695D57"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5A2EC060" w14:textId="77777777" w:rsidR="00DA5B33" w:rsidRPr="004E51AC" w:rsidRDefault="00DA5B33" w:rsidP="00DA5B33">
            <w:pPr>
              <w:tabs>
                <w:tab w:val="left" w:pos="877"/>
              </w:tabs>
              <w:ind w:left="-113" w:right="38"/>
              <w:jc w:val="center"/>
              <w:rPr>
                <w:rFonts w:ascii="Arial" w:hAnsi="Arial" w:cs="Arial"/>
                <w:sz w:val="18"/>
                <w:szCs w:val="18"/>
              </w:rPr>
            </w:pPr>
          </w:p>
        </w:tc>
        <w:tc>
          <w:tcPr>
            <w:tcW w:w="810" w:type="dxa"/>
            <w:tcBorders>
              <w:right w:val="single" w:sz="4" w:space="0" w:color="auto"/>
            </w:tcBorders>
          </w:tcPr>
          <w:p w14:paraId="4E9700C2"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1205032C" w14:textId="77777777" w:rsidR="00DA5B33" w:rsidRPr="004E51AC" w:rsidRDefault="00DA5B33" w:rsidP="00DA5B33">
            <w:pPr>
              <w:tabs>
                <w:tab w:val="left" w:pos="797"/>
              </w:tabs>
              <w:ind w:left="-103"/>
              <w:jc w:val="center"/>
              <w:rPr>
                <w:rFonts w:ascii="Arial" w:hAnsi="Arial" w:cs="Arial"/>
                <w:sz w:val="18"/>
                <w:szCs w:val="18"/>
              </w:rPr>
            </w:pPr>
          </w:p>
        </w:tc>
        <w:tc>
          <w:tcPr>
            <w:tcW w:w="810" w:type="dxa"/>
            <w:tcBorders>
              <w:right w:val="single" w:sz="4" w:space="0" w:color="auto"/>
            </w:tcBorders>
          </w:tcPr>
          <w:p w14:paraId="655769A7" w14:textId="77777777" w:rsidR="00DA5B33" w:rsidRPr="004E51AC" w:rsidRDefault="00DA5B33" w:rsidP="00DA5B33">
            <w:pPr>
              <w:tabs>
                <w:tab w:val="left" w:pos="1025"/>
              </w:tabs>
              <w:jc w:val="center"/>
              <w:rPr>
                <w:rFonts w:ascii="Arial" w:hAnsi="Arial" w:cs="Arial"/>
                <w:sz w:val="18"/>
                <w:szCs w:val="18"/>
              </w:rPr>
            </w:pPr>
          </w:p>
        </w:tc>
        <w:tc>
          <w:tcPr>
            <w:tcW w:w="1037" w:type="dxa"/>
            <w:tcBorders>
              <w:left w:val="single" w:sz="4" w:space="0" w:color="auto"/>
            </w:tcBorders>
          </w:tcPr>
          <w:p w14:paraId="657D0E1F" w14:textId="77777777" w:rsidR="00DA5B33" w:rsidRPr="004E51AC" w:rsidRDefault="00DA5B33" w:rsidP="00DA5B33">
            <w:pPr>
              <w:tabs>
                <w:tab w:val="left" w:pos="874"/>
              </w:tabs>
              <w:ind w:left="-116"/>
              <w:jc w:val="center"/>
              <w:rPr>
                <w:rFonts w:ascii="Arial" w:hAnsi="Arial" w:cs="Arial"/>
                <w:sz w:val="18"/>
                <w:szCs w:val="18"/>
              </w:rPr>
            </w:pPr>
          </w:p>
        </w:tc>
        <w:tc>
          <w:tcPr>
            <w:tcW w:w="853" w:type="dxa"/>
          </w:tcPr>
          <w:p w14:paraId="0993AF08" w14:textId="77777777" w:rsidR="00DA5B33" w:rsidRPr="004E51AC" w:rsidRDefault="00DA5B33" w:rsidP="00DA5B33">
            <w:pPr>
              <w:tabs>
                <w:tab w:val="left" w:pos="1025"/>
              </w:tabs>
              <w:jc w:val="center"/>
              <w:rPr>
                <w:rFonts w:ascii="Arial" w:hAnsi="Arial" w:cs="Arial"/>
                <w:sz w:val="18"/>
                <w:szCs w:val="18"/>
              </w:rPr>
            </w:pPr>
          </w:p>
        </w:tc>
      </w:tr>
      <w:tr w:rsidR="00DA5B33" w:rsidRPr="004E51AC" w14:paraId="6E286B0F" w14:textId="77777777" w:rsidTr="00DA5B33">
        <w:trPr>
          <w:trHeight w:val="738"/>
        </w:trPr>
        <w:tc>
          <w:tcPr>
            <w:tcW w:w="1800" w:type="dxa"/>
            <w:hideMark/>
          </w:tcPr>
          <w:p w14:paraId="2B1745F0" w14:textId="623470EA" w:rsidR="00DA5B33" w:rsidRPr="004E51AC" w:rsidRDefault="00DA5B33" w:rsidP="00DA5B33">
            <w:pPr>
              <w:tabs>
                <w:tab w:val="left" w:pos="1025"/>
              </w:tabs>
              <w:rPr>
                <w:rFonts w:ascii="Arial" w:hAnsi="Arial" w:cs="Arial"/>
                <w:b/>
                <w:bCs/>
                <w:sz w:val="18"/>
                <w:szCs w:val="18"/>
              </w:rPr>
            </w:pPr>
            <w:r w:rsidRPr="004E51AC">
              <w:rPr>
                <w:rFonts w:ascii="Arial" w:hAnsi="Arial" w:cs="Arial"/>
                <w:b/>
                <w:bCs/>
                <w:sz w:val="18"/>
                <w:szCs w:val="18"/>
              </w:rPr>
              <w:t>QT prolongation in</w:t>
            </w:r>
            <w:r>
              <w:rPr>
                <w:rFonts w:ascii="Arial" w:hAnsi="Arial" w:cs="Arial"/>
                <w:b/>
                <w:bCs/>
                <w:sz w:val="18"/>
                <w:szCs w:val="18"/>
              </w:rPr>
              <w:t>cluded in</w:t>
            </w:r>
            <w:r w:rsidRPr="004E51AC">
              <w:rPr>
                <w:rFonts w:ascii="Arial" w:hAnsi="Arial" w:cs="Arial"/>
                <w:b/>
                <w:bCs/>
                <w:sz w:val="18"/>
                <w:szCs w:val="18"/>
              </w:rPr>
              <w:t xml:space="preserve"> ventricular pro-arrhythmia</w:t>
            </w:r>
          </w:p>
        </w:tc>
        <w:tc>
          <w:tcPr>
            <w:tcW w:w="1080" w:type="dxa"/>
            <w:hideMark/>
          </w:tcPr>
          <w:p w14:paraId="36E2D98F" w14:textId="77777777" w:rsidR="00DA5B33" w:rsidRPr="004E51AC"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hideMark/>
          </w:tcPr>
          <w:p w14:paraId="37C126D4" w14:textId="77B3166B"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hideMark/>
          </w:tcPr>
          <w:p w14:paraId="701DD475" w14:textId="65EBDC4A" w:rsidR="00DA5B33"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0.54</w:t>
            </w:r>
          </w:p>
          <w:p w14:paraId="07FB71BB" w14:textId="1D08A7E6" w:rsidR="00DA5B33" w:rsidRPr="004E51AC"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(0.39-0.74)</w:t>
            </w:r>
          </w:p>
        </w:tc>
        <w:tc>
          <w:tcPr>
            <w:tcW w:w="900" w:type="dxa"/>
            <w:tcBorders>
              <w:right w:val="single" w:sz="4" w:space="0" w:color="auto"/>
            </w:tcBorders>
            <w:hideMark/>
          </w:tcPr>
          <w:p w14:paraId="5446B6D3" w14:textId="72BA0C58"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0.0002</w:t>
            </w:r>
          </w:p>
        </w:tc>
        <w:tc>
          <w:tcPr>
            <w:tcW w:w="1170" w:type="dxa"/>
            <w:tcBorders>
              <w:left w:val="single" w:sz="4" w:space="0" w:color="auto"/>
            </w:tcBorders>
            <w:hideMark/>
          </w:tcPr>
          <w:p w14:paraId="37E096B8" w14:textId="2021F4A4" w:rsidR="00DA5B33" w:rsidRPr="004E51AC"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hideMark/>
          </w:tcPr>
          <w:p w14:paraId="3E02D10F" w14:textId="5C65766A"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hideMark/>
          </w:tcPr>
          <w:p w14:paraId="0D1AF97B" w14:textId="7FA9FA5E" w:rsidR="00DA5B33" w:rsidRPr="004E51AC"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hideMark/>
          </w:tcPr>
          <w:p w14:paraId="5EE18CAB" w14:textId="363A391A"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hideMark/>
          </w:tcPr>
          <w:p w14:paraId="0DDE63AD" w14:textId="77777777" w:rsidR="00DA5B33" w:rsidRPr="004E51AC"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hideMark/>
          </w:tcPr>
          <w:p w14:paraId="27A29860" w14:textId="5ED52C34"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37" w:type="dxa"/>
            <w:tcBorders>
              <w:left w:val="single" w:sz="4" w:space="0" w:color="auto"/>
            </w:tcBorders>
            <w:hideMark/>
          </w:tcPr>
          <w:p w14:paraId="23BC5B04" w14:textId="1D02903C" w:rsidR="00DA5B33" w:rsidRPr="004E51AC"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N/A</w:t>
            </w:r>
          </w:p>
        </w:tc>
        <w:tc>
          <w:tcPr>
            <w:tcW w:w="853" w:type="dxa"/>
            <w:hideMark/>
          </w:tcPr>
          <w:p w14:paraId="0BFC6E84" w14:textId="463E2458"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r>
      <w:tr w:rsidR="00DA5B33" w:rsidRPr="004E51AC" w14:paraId="30D7C467" w14:textId="77777777" w:rsidTr="00DA5B33">
        <w:trPr>
          <w:trHeight w:val="88"/>
        </w:trPr>
        <w:tc>
          <w:tcPr>
            <w:tcW w:w="1800" w:type="dxa"/>
          </w:tcPr>
          <w:p w14:paraId="2EA83E80" w14:textId="77777777" w:rsidR="00DA5B33" w:rsidRPr="004E51AC" w:rsidRDefault="00DA5B33" w:rsidP="00DA5B33">
            <w:pPr>
              <w:tabs>
                <w:tab w:val="left" w:pos="1025"/>
              </w:tabs>
              <w:rPr>
                <w:rFonts w:ascii="Arial" w:hAnsi="Arial" w:cs="Arial"/>
                <w:b/>
                <w:bCs/>
                <w:sz w:val="18"/>
                <w:szCs w:val="18"/>
              </w:rPr>
            </w:pPr>
          </w:p>
        </w:tc>
        <w:tc>
          <w:tcPr>
            <w:tcW w:w="1080" w:type="dxa"/>
          </w:tcPr>
          <w:p w14:paraId="0772794A" w14:textId="77777777" w:rsidR="00DA5B33" w:rsidRPr="004E51AC" w:rsidRDefault="00DA5B33" w:rsidP="00DA5B33">
            <w:pPr>
              <w:tabs>
                <w:tab w:val="left" w:pos="1025"/>
              </w:tabs>
              <w:ind w:left="-204"/>
              <w:jc w:val="center"/>
              <w:rPr>
                <w:rFonts w:ascii="Arial" w:hAnsi="Arial" w:cs="Arial"/>
                <w:sz w:val="18"/>
                <w:szCs w:val="18"/>
              </w:rPr>
            </w:pPr>
          </w:p>
        </w:tc>
        <w:tc>
          <w:tcPr>
            <w:tcW w:w="810" w:type="dxa"/>
            <w:tcBorders>
              <w:right w:val="single" w:sz="4" w:space="0" w:color="auto"/>
            </w:tcBorders>
          </w:tcPr>
          <w:p w14:paraId="4DA3B59E" w14:textId="77777777" w:rsidR="00DA5B3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1C7B4EE9" w14:textId="77777777" w:rsidR="00DA5B33" w:rsidRPr="004E51AC" w:rsidRDefault="00DA5B33" w:rsidP="00DA5B33">
            <w:pPr>
              <w:tabs>
                <w:tab w:val="left" w:pos="702"/>
              </w:tabs>
              <w:ind w:left="-40"/>
              <w:jc w:val="center"/>
              <w:rPr>
                <w:rFonts w:ascii="Arial" w:hAnsi="Arial" w:cs="Arial"/>
                <w:sz w:val="18"/>
                <w:szCs w:val="18"/>
              </w:rPr>
            </w:pPr>
          </w:p>
        </w:tc>
        <w:tc>
          <w:tcPr>
            <w:tcW w:w="900" w:type="dxa"/>
            <w:tcBorders>
              <w:right w:val="single" w:sz="4" w:space="0" w:color="auto"/>
            </w:tcBorders>
          </w:tcPr>
          <w:p w14:paraId="418EF252" w14:textId="77777777" w:rsidR="00DA5B33" w:rsidRPr="004E51AC" w:rsidRDefault="00DA5B33" w:rsidP="00DA5B33">
            <w:pPr>
              <w:tabs>
                <w:tab w:val="left" w:pos="1025"/>
              </w:tabs>
              <w:jc w:val="center"/>
              <w:rPr>
                <w:rFonts w:ascii="Arial" w:hAnsi="Arial" w:cs="Arial"/>
                <w:sz w:val="18"/>
                <w:szCs w:val="18"/>
              </w:rPr>
            </w:pPr>
          </w:p>
        </w:tc>
        <w:tc>
          <w:tcPr>
            <w:tcW w:w="1170" w:type="dxa"/>
            <w:tcBorders>
              <w:left w:val="single" w:sz="4" w:space="0" w:color="auto"/>
            </w:tcBorders>
          </w:tcPr>
          <w:p w14:paraId="23F31E0A" w14:textId="77777777" w:rsidR="00DA5B33" w:rsidRPr="004E51AC" w:rsidRDefault="00DA5B33" w:rsidP="00DA5B33">
            <w:pPr>
              <w:tabs>
                <w:tab w:val="left" w:pos="1025"/>
              </w:tabs>
              <w:ind w:left="-32" w:right="76"/>
              <w:jc w:val="center"/>
              <w:rPr>
                <w:rFonts w:ascii="Arial" w:hAnsi="Arial" w:cs="Arial"/>
                <w:sz w:val="18"/>
                <w:szCs w:val="18"/>
              </w:rPr>
            </w:pPr>
          </w:p>
        </w:tc>
        <w:tc>
          <w:tcPr>
            <w:tcW w:w="810" w:type="dxa"/>
            <w:tcBorders>
              <w:right w:val="single" w:sz="4" w:space="0" w:color="auto"/>
            </w:tcBorders>
          </w:tcPr>
          <w:p w14:paraId="40D42ED7" w14:textId="77777777" w:rsidR="00DA5B3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2715B357" w14:textId="77777777" w:rsidR="00DA5B33" w:rsidRPr="004E51AC" w:rsidRDefault="00DA5B33" w:rsidP="00DA5B33">
            <w:pPr>
              <w:tabs>
                <w:tab w:val="left" w:pos="877"/>
              </w:tabs>
              <w:ind w:left="-113" w:right="38"/>
              <w:jc w:val="center"/>
              <w:rPr>
                <w:rFonts w:ascii="Arial" w:hAnsi="Arial" w:cs="Arial"/>
                <w:sz w:val="18"/>
                <w:szCs w:val="18"/>
              </w:rPr>
            </w:pPr>
          </w:p>
        </w:tc>
        <w:tc>
          <w:tcPr>
            <w:tcW w:w="810" w:type="dxa"/>
            <w:tcBorders>
              <w:right w:val="single" w:sz="4" w:space="0" w:color="auto"/>
            </w:tcBorders>
          </w:tcPr>
          <w:p w14:paraId="068DE428" w14:textId="77777777" w:rsidR="00DA5B33"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0C7673F4" w14:textId="77777777" w:rsidR="00DA5B33" w:rsidRPr="004E51AC" w:rsidRDefault="00DA5B33" w:rsidP="00DA5B33">
            <w:pPr>
              <w:tabs>
                <w:tab w:val="left" w:pos="797"/>
              </w:tabs>
              <w:ind w:left="-103"/>
              <w:jc w:val="center"/>
              <w:rPr>
                <w:rFonts w:ascii="Arial" w:hAnsi="Arial" w:cs="Arial"/>
                <w:sz w:val="18"/>
                <w:szCs w:val="18"/>
              </w:rPr>
            </w:pPr>
          </w:p>
        </w:tc>
        <w:tc>
          <w:tcPr>
            <w:tcW w:w="810" w:type="dxa"/>
            <w:tcBorders>
              <w:right w:val="single" w:sz="4" w:space="0" w:color="auto"/>
            </w:tcBorders>
          </w:tcPr>
          <w:p w14:paraId="374B0B91" w14:textId="77777777" w:rsidR="00DA5B33" w:rsidRDefault="00DA5B33" w:rsidP="00DA5B33">
            <w:pPr>
              <w:tabs>
                <w:tab w:val="left" w:pos="1025"/>
              </w:tabs>
              <w:jc w:val="center"/>
              <w:rPr>
                <w:rFonts w:ascii="Arial" w:hAnsi="Arial" w:cs="Arial"/>
                <w:sz w:val="18"/>
                <w:szCs w:val="18"/>
              </w:rPr>
            </w:pPr>
          </w:p>
        </w:tc>
        <w:tc>
          <w:tcPr>
            <w:tcW w:w="1037" w:type="dxa"/>
            <w:tcBorders>
              <w:left w:val="single" w:sz="4" w:space="0" w:color="auto"/>
            </w:tcBorders>
          </w:tcPr>
          <w:p w14:paraId="55078ECB" w14:textId="77777777" w:rsidR="00DA5B33" w:rsidRPr="004E51AC" w:rsidRDefault="00DA5B33" w:rsidP="00DA5B33">
            <w:pPr>
              <w:tabs>
                <w:tab w:val="left" w:pos="874"/>
              </w:tabs>
              <w:ind w:left="-116"/>
              <w:jc w:val="center"/>
              <w:rPr>
                <w:rFonts w:ascii="Arial" w:hAnsi="Arial" w:cs="Arial"/>
                <w:sz w:val="18"/>
                <w:szCs w:val="18"/>
              </w:rPr>
            </w:pPr>
          </w:p>
        </w:tc>
        <w:tc>
          <w:tcPr>
            <w:tcW w:w="853" w:type="dxa"/>
          </w:tcPr>
          <w:p w14:paraId="1DFDE8C6" w14:textId="77777777" w:rsidR="00DA5B33" w:rsidRDefault="00DA5B33" w:rsidP="00DA5B33">
            <w:pPr>
              <w:tabs>
                <w:tab w:val="left" w:pos="1025"/>
              </w:tabs>
              <w:jc w:val="center"/>
              <w:rPr>
                <w:rFonts w:ascii="Arial" w:hAnsi="Arial" w:cs="Arial"/>
                <w:sz w:val="18"/>
                <w:szCs w:val="18"/>
              </w:rPr>
            </w:pPr>
          </w:p>
        </w:tc>
      </w:tr>
      <w:tr w:rsidR="00DA5B33" w:rsidRPr="004E51AC" w14:paraId="64EF1DBC" w14:textId="77777777" w:rsidTr="00DA5B33">
        <w:trPr>
          <w:trHeight w:val="378"/>
        </w:trPr>
        <w:tc>
          <w:tcPr>
            <w:tcW w:w="1800" w:type="dxa"/>
            <w:hideMark/>
          </w:tcPr>
          <w:p w14:paraId="1FA005A1" w14:textId="58268060" w:rsidR="00DA5B33" w:rsidRPr="004E51AC" w:rsidRDefault="00DA5B33" w:rsidP="00DA5B33">
            <w:pPr>
              <w:tabs>
                <w:tab w:val="left" w:pos="1025"/>
              </w:tabs>
              <w:rPr>
                <w:rFonts w:ascii="Arial" w:hAnsi="Arial" w:cs="Arial"/>
                <w:b/>
                <w:bCs/>
                <w:sz w:val="18"/>
                <w:szCs w:val="18"/>
              </w:rPr>
            </w:pPr>
            <w:r>
              <w:rPr>
                <w:rFonts w:ascii="Arial" w:hAnsi="Arial" w:cs="Arial"/>
                <w:b/>
                <w:bCs/>
                <w:sz w:val="18"/>
                <w:szCs w:val="18"/>
              </w:rPr>
              <w:t>Baseline covariate</w:t>
            </w:r>
            <w:r w:rsidRPr="004E51AC">
              <w:rPr>
                <w:rFonts w:ascii="Arial" w:hAnsi="Arial" w:cs="Arial"/>
                <w:b/>
                <w:bCs/>
                <w:sz w:val="18"/>
                <w:szCs w:val="18"/>
              </w:rPr>
              <w:t xml:space="preserve"> assessment without time limit</w:t>
            </w:r>
          </w:p>
        </w:tc>
        <w:tc>
          <w:tcPr>
            <w:tcW w:w="1080" w:type="dxa"/>
            <w:hideMark/>
          </w:tcPr>
          <w:p w14:paraId="45514850" w14:textId="246EFAFF" w:rsidR="00DA5B33"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0.98</w:t>
            </w:r>
          </w:p>
          <w:p w14:paraId="5904A99C" w14:textId="5A352ECD" w:rsidR="00DA5B33" w:rsidRPr="004E51AC"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(0.84-1.15)</w:t>
            </w:r>
          </w:p>
        </w:tc>
        <w:tc>
          <w:tcPr>
            <w:tcW w:w="810" w:type="dxa"/>
            <w:tcBorders>
              <w:right w:val="single" w:sz="4" w:space="0" w:color="auto"/>
            </w:tcBorders>
            <w:hideMark/>
          </w:tcPr>
          <w:p w14:paraId="22EBA163"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0.8128</w:t>
            </w:r>
          </w:p>
        </w:tc>
        <w:tc>
          <w:tcPr>
            <w:tcW w:w="1080" w:type="dxa"/>
            <w:tcBorders>
              <w:left w:val="single" w:sz="4" w:space="0" w:color="auto"/>
            </w:tcBorders>
            <w:hideMark/>
          </w:tcPr>
          <w:p w14:paraId="32300DB7" w14:textId="509FC2A1" w:rsidR="00DA5B33"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0.56</w:t>
            </w:r>
          </w:p>
          <w:p w14:paraId="449B1307" w14:textId="436C70CC" w:rsidR="00DA5B33" w:rsidRPr="004E51AC"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(0.4-0.78)</w:t>
            </w:r>
          </w:p>
        </w:tc>
        <w:tc>
          <w:tcPr>
            <w:tcW w:w="900" w:type="dxa"/>
            <w:tcBorders>
              <w:right w:val="single" w:sz="4" w:space="0" w:color="auto"/>
            </w:tcBorders>
            <w:hideMark/>
          </w:tcPr>
          <w:p w14:paraId="0C35D900" w14:textId="368A09A1"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0.0007</w:t>
            </w:r>
          </w:p>
        </w:tc>
        <w:tc>
          <w:tcPr>
            <w:tcW w:w="1170" w:type="dxa"/>
            <w:tcBorders>
              <w:left w:val="single" w:sz="4" w:space="0" w:color="auto"/>
            </w:tcBorders>
            <w:hideMark/>
          </w:tcPr>
          <w:p w14:paraId="3831235F" w14:textId="77777777" w:rsidR="00DA5B33"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0.88</w:t>
            </w:r>
          </w:p>
          <w:p w14:paraId="08D2863B" w14:textId="5026D49E" w:rsidR="00DA5B33" w:rsidRPr="004E51AC"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(0.68-1.15)</w:t>
            </w:r>
          </w:p>
        </w:tc>
        <w:tc>
          <w:tcPr>
            <w:tcW w:w="810" w:type="dxa"/>
            <w:tcBorders>
              <w:right w:val="single" w:sz="4" w:space="0" w:color="auto"/>
            </w:tcBorders>
            <w:hideMark/>
          </w:tcPr>
          <w:p w14:paraId="0F7445E0" w14:textId="2ABB59EF"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0.3457</w:t>
            </w:r>
          </w:p>
        </w:tc>
        <w:tc>
          <w:tcPr>
            <w:tcW w:w="1080" w:type="dxa"/>
            <w:tcBorders>
              <w:left w:val="single" w:sz="4" w:space="0" w:color="auto"/>
            </w:tcBorders>
            <w:hideMark/>
          </w:tcPr>
          <w:p w14:paraId="031688E9" w14:textId="77777777" w:rsidR="00DA5B33"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 xml:space="preserve">1.1 </w:t>
            </w:r>
          </w:p>
          <w:p w14:paraId="7AA95DF1" w14:textId="128F0F90" w:rsidR="00DA5B33" w:rsidRPr="004E51AC"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(0.96-1.27)</w:t>
            </w:r>
          </w:p>
        </w:tc>
        <w:tc>
          <w:tcPr>
            <w:tcW w:w="810" w:type="dxa"/>
            <w:tcBorders>
              <w:right w:val="single" w:sz="4" w:space="0" w:color="auto"/>
            </w:tcBorders>
            <w:hideMark/>
          </w:tcPr>
          <w:p w14:paraId="4E85CFE6" w14:textId="726E7370"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0.1829</w:t>
            </w:r>
          </w:p>
        </w:tc>
        <w:tc>
          <w:tcPr>
            <w:tcW w:w="1080" w:type="dxa"/>
            <w:tcBorders>
              <w:left w:val="single" w:sz="4" w:space="0" w:color="auto"/>
            </w:tcBorders>
            <w:hideMark/>
          </w:tcPr>
          <w:p w14:paraId="1B7EFFFB" w14:textId="77777777" w:rsidR="00DA5B33"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0.75</w:t>
            </w:r>
          </w:p>
          <w:p w14:paraId="7E859360" w14:textId="58464983" w:rsidR="00DA5B33" w:rsidRPr="004E51AC"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(0.48-1.19)</w:t>
            </w:r>
          </w:p>
        </w:tc>
        <w:tc>
          <w:tcPr>
            <w:tcW w:w="810" w:type="dxa"/>
            <w:tcBorders>
              <w:right w:val="single" w:sz="4" w:space="0" w:color="auto"/>
            </w:tcBorders>
            <w:hideMark/>
          </w:tcPr>
          <w:p w14:paraId="6573CE7F"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0.2160</w:t>
            </w:r>
          </w:p>
        </w:tc>
        <w:tc>
          <w:tcPr>
            <w:tcW w:w="1037" w:type="dxa"/>
            <w:tcBorders>
              <w:left w:val="single" w:sz="4" w:space="0" w:color="auto"/>
            </w:tcBorders>
            <w:hideMark/>
          </w:tcPr>
          <w:p w14:paraId="31B4BE22" w14:textId="77777777" w:rsidR="00DA5B33"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 xml:space="preserve">0.75 </w:t>
            </w:r>
          </w:p>
          <w:p w14:paraId="26C5CB75" w14:textId="7DEEFCFC" w:rsidR="00DA5B33" w:rsidRPr="004E51AC"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(0.46-1.22)</w:t>
            </w:r>
          </w:p>
        </w:tc>
        <w:tc>
          <w:tcPr>
            <w:tcW w:w="853" w:type="dxa"/>
            <w:hideMark/>
          </w:tcPr>
          <w:p w14:paraId="0D1B21DF" w14:textId="56DB117F"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0.2503</w:t>
            </w:r>
          </w:p>
        </w:tc>
      </w:tr>
      <w:tr w:rsidR="00DA5B33" w:rsidRPr="004E51AC" w14:paraId="51AD3607" w14:textId="77777777" w:rsidTr="00DA5B33">
        <w:trPr>
          <w:trHeight w:val="88"/>
        </w:trPr>
        <w:tc>
          <w:tcPr>
            <w:tcW w:w="1800" w:type="dxa"/>
          </w:tcPr>
          <w:p w14:paraId="26BF12A7" w14:textId="77777777" w:rsidR="00DA5B33" w:rsidRDefault="00DA5B33" w:rsidP="00DA5B33">
            <w:pPr>
              <w:tabs>
                <w:tab w:val="left" w:pos="1025"/>
              </w:tabs>
              <w:rPr>
                <w:rFonts w:ascii="Arial" w:hAnsi="Arial" w:cs="Arial"/>
                <w:b/>
                <w:bCs/>
                <w:sz w:val="18"/>
                <w:szCs w:val="18"/>
              </w:rPr>
            </w:pPr>
          </w:p>
        </w:tc>
        <w:tc>
          <w:tcPr>
            <w:tcW w:w="1080" w:type="dxa"/>
          </w:tcPr>
          <w:p w14:paraId="0B3B5F92" w14:textId="77777777" w:rsidR="00DA5B33" w:rsidRPr="004E51AC" w:rsidRDefault="00DA5B33" w:rsidP="00DA5B33">
            <w:pPr>
              <w:tabs>
                <w:tab w:val="left" w:pos="1025"/>
              </w:tabs>
              <w:ind w:left="-204"/>
              <w:jc w:val="center"/>
              <w:rPr>
                <w:rFonts w:ascii="Arial" w:hAnsi="Arial" w:cs="Arial"/>
                <w:sz w:val="18"/>
                <w:szCs w:val="18"/>
              </w:rPr>
            </w:pPr>
          </w:p>
        </w:tc>
        <w:tc>
          <w:tcPr>
            <w:tcW w:w="810" w:type="dxa"/>
            <w:tcBorders>
              <w:right w:val="single" w:sz="4" w:space="0" w:color="auto"/>
            </w:tcBorders>
          </w:tcPr>
          <w:p w14:paraId="7FCE21C7"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21F2C2E9" w14:textId="77777777" w:rsidR="00DA5B33" w:rsidRPr="004E51AC" w:rsidRDefault="00DA5B33" w:rsidP="00DA5B33">
            <w:pPr>
              <w:tabs>
                <w:tab w:val="left" w:pos="702"/>
              </w:tabs>
              <w:ind w:left="-40"/>
              <w:jc w:val="center"/>
              <w:rPr>
                <w:rFonts w:ascii="Arial" w:hAnsi="Arial" w:cs="Arial"/>
                <w:sz w:val="18"/>
                <w:szCs w:val="18"/>
              </w:rPr>
            </w:pPr>
          </w:p>
        </w:tc>
        <w:tc>
          <w:tcPr>
            <w:tcW w:w="900" w:type="dxa"/>
            <w:tcBorders>
              <w:right w:val="single" w:sz="4" w:space="0" w:color="auto"/>
            </w:tcBorders>
          </w:tcPr>
          <w:p w14:paraId="792C229B" w14:textId="77777777" w:rsidR="00DA5B33" w:rsidRPr="004E51AC" w:rsidRDefault="00DA5B33" w:rsidP="00DA5B33">
            <w:pPr>
              <w:tabs>
                <w:tab w:val="left" w:pos="1025"/>
              </w:tabs>
              <w:jc w:val="center"/>
              <w:rPr>
                <w:rFonts w:ascii="Arial" w:hAnsi="Arial" w:cs="Arial"/>
                <w:sz w:val="18"/>
                <w:szCs w:val="18"/>
              </w:rPr>
            </w:pPr>
          </w:p>
        </w:tc>
        <w:tc>
          <w:tcPr>
            <w:tcW w:w="1170" w:type="dxa"/>
            <w:tcBorders>
              <w:left w:val="single" w:sz="4" w:space="0" w:color="auto"/>
            </w:tcBorders>
          </w:tcPr>
          <w:p w14:paraId="2D389CD4" w14:textId="77777777" w:rsidR="00DA5B33" w:rsidRPr="004E51AC" w:rsidRDefault="00DA5B33" w:rsidP="00DA5B33">
            <w:pPr>
              <w:tabs>
                <w:tab w:val="left" w:pos="1025"/>
              </w:tabs>
              <w:ind w:left="-32" w:right="76"/>
              <w:jc w:val="center"/>
              <w:rPr>
                <w:rFonts w:ascii="Arial" w:hAnsi="Arial" w:cs="Arial"/>
                <w:sz w:val="18"/>
                <w:szCs w:val="18"/>
              </w:rPr>
            </w:pPr>
          </w:p>
        </w:tc>
        <w:tc>
          <w:tcPr>
            <w:tcW w:w="810" w:type="dxa"/>
            <w:tcBorders>
              <w:right w:val="single" w:sz="4" w:space="0" w:color="auto"/>
            </w:tcBorders>
          </w:tcPr>
          <w:p w14:paraId="6FE5490E"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4A308855" w14:textId="77777777" w:rsidR="00DA5B33" w:rsidRPr="004E51AC" w:rsidRDefault="00DA5B33" w:rsidP="00DA5B33">
            <w:pPr>
              <w:tabs>
                <w:tab w:val="left" w:pos="877"/>
              </w:tabs>
              <w:ind w:left="-113" w:right="38"/>
              <w:jc w:val="center"/>
              <w:rPr>
                <w:rFonts w:ascii="Arial" w:hAnsi="Arial" w:cs="Arial"/>
                <w:sz w:val="18"/>
                <w:szCs w:val="18"/>
              </w:rPr>
            </w:pPr>
          </w:p>
        </w:tc>
        <w:tc>
          <w:tcPr>
            <w:tcW w:w="810" w:type="dxa"/>
            <w:tcBorders>
              <w:right w:val="single" w:sz="4" w:space="0" w:color="auto"/>
            </w:tcBorders>
          </w:tcPr>
          <w:p w14:paraId="42EB1499"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4F8204C0" w14:textId="77777777" w:rsidR="00DA5B33" w:rsidRPr="004E51AC" w:rsidRDefault="00DA5B33" w:rsidP="00DA5B33">
            <w:pPr>
              <w:tabs>
                <w:tab w:val="left" w:pos="797"/>
              </w:tabs>
              <w:ind w:left="-103"/>
              <w:jc w:val="center"/>
              <w:rPr>
                <w:rFonts w:ascii="Arial" w:hAnsi="Arial" w:cs="Arial"/>
                <w:sz w:val="18"/>
                <w:szCs w:val="18"/>
              </w:rPr>
            </w:pPr>
          </w:p>
        </w:tc>
        <w:tc>
          <w:tcPr>
            <w:tcW w:w="810" w:type="dxa"/>
            <w:tcBorders>
              <w:right w:val="single" w:sz="4" w:space="0" w:color="auto"/>
            </w:tcBorders>
          </w:tcPr>
          <w:p w14:paraId="49FD2B6A" w14:textId="77777777" w:rsidR="00DA5B33" w:rsidRPr="004E51AC" w:rsidRDefault="00DA5B33" w:rsidP="00DA5B33">
            <w:pPr>
              <w:tabs>
                <w:tab w:val="left" w:pos="1025"/>
              </w:tabs>
              <w:jc w:val="center"/>
              <w:rPr>
                <w:rFonts w:ascii="Arial" w:hAnsi="Arial" w:cs="Arial"/>
                <w:sz w:val="18"/>
                <w:szCs w:val="18"/>
              </w:rPr>
            </w:pPr>
          </w:p>
        </w:tc>
        <w:tc>
          <w:tcPr>
            <w:tcW w:w="1037" w:type="dxa"/>
            <w:tcBorders>
              <w:left w:val="single" w:sz="4" w:space="0" w:color="auto"/>
            </w:tcBorders>
          </w:tcPr>
          <w:p w14:paraId="10777068" w14:textId="77777777" w:rsidR="00DA5B33" w:rsidRPr="004E51AC" w:rsidRDefault="00DA5B33" w:rsidP="00DA5B33">
            <w:pPr>
              <w:tabs>
                <w:tab w:val="left" w:pos="874"/>
              </w:tabs>
              <w:ind w:left="-116"/>
              <w:jc w:val="center"/>
              <w:rPr>
                <w:rFonts w:ascii="Arial" w:hAnsi="Arial" w:cs="Arial"/>
                <w:sz w:val="18"/>
                <w:szCs w:val="18"/>
              </w:rPr>
            </w:pPr>
          </w:p>
        </w:tc>
        <w:tc>
          <w:tcPr>
            <w:tcW w:w="853" w:type="dxa"/>
          </w:tcPr>
          <w:p w14:paraId="511FF2AA" w14:textId="77777777" w:rsidR="00DA5B33" w:rsidRPr="004E51AC" w:rsidRDefault="00DA5B33" w:rsidP="00DA5B33">
            <w:pPr>
              <w:tabs>
                <w:tab w:val="left" w:pos="1025"/>
              </w:tabs>
              <w:jc w:val="center"/>
              <w:rPr>
                <w:rFonts w:ascii="Arial" w:hAnsi="Arial" w:cs="Arial"/>
                <w:sz w:val="18"/>
                <w:szCs w:val="18"/>
              </w:rPr>
            </w:pPr>
          </w:p>
        </w:tc>
      </w:tr>
      <w:tr w:rsidR="00DA5B33" w:rsidRPr="004E51AC" w14:paraId="2696C31B" w14:textId="77777777" w:rsidTr="00DA5B33">
        <w:trPr>
          <w:trHeight w:val="88"/>
        </w:trPr>
        <w:tc>
          <w:tcPr>
            <w:tcW w:w="1800" w:type="dxa"/>
            <w:hideMark/>
          </w:tcPr>
          <w:p w14:paraId="44549834" w14:textId="77777777" w:rsidR="00DA5B33" w:rsidRPr="004E51AC" w:rsidRDefault="00DA5B33" w:rsidP="00DA5B33">
            <w:pPr>
              <w:tabs>
                <w:tab w:val="left" w:pos="1025"/>
              </w:tabs>
              <w:rPr>
                <w:rFonts w:ascii="Arial" w:hAnsi="Arial" w:cs="Arial"/>
                <w:b/>
                <w:bCs/>
                <w:sz w:val="18"/>
                <w:szCs w:val="18"/>
              </w:rPr>
            </w:pPr>
            <w:r w:rsidRPr="004E51AC">
              <w:rPr>
                <w:rFonts w:ascii="Arial" w:hAnsi="Arial" w:cs="Arial"/>
                <w:b/>
                <w:bCs/>
                <w:sz w:val="18"/>
                <w:szCs w:val="18"/>
              </w:rPr>
              <w:t>Excluded atrial flutter</w:t>
            </w:r>
          </w:p>
        </w:tc>
        <w:tc>
          <w:tcPr>
            <w:tcW w:w="1080" w:type="dxa"/>
            <w:hideMark/>
          </w:tcPr>
          <w:p w14:paraId="48B963B0" w14:textId="75B1A521" w:rsidR="00DA5B33"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1.01</w:t>
            </w:r>
          </w:p>
          <w:p w14:paraId="7C5FD3BC" w14:textId="5A4FF6BC" w:rsidR="00DA5B33" w:rsidRPr="004E51AC"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(0.84-1.2)</w:t>
            </w:r>
          </w:p>
        </w:tc>
        <w:tc>
          <w:tcPr>
            <w:tcW w:w="810" w:type="dxa"/>
            <w:tcBorders>
              <w:right w:val="single" w:sz="4" w:space="0" w:color="auto"/>
            </w:tcBorders>
            <w:hideMark/>
          </w:tcPr>
          <w:p w14:paraId="034AD321"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0.9200</w:t>
            </w:r>
          </w:p>
        </w:tc>
        <w:tc>
          <w:tcPr>
            <w:tcW w:w="1080" w:type="dxa"/>
            <w:tcBorders>
              <w:left w:val="single" w:sz="4" w:space="0" w:color="auto"/>
            </w:tcBorders>
            <w:hideMark/>
          </w:tcPr>
          <w:p w14:paraId="03474E72" w14:textId="3B18D1CF" w:rsidR="00DA5B33"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0.45</w:t>
            </w:r>
          </w:p>
          <w:p w14:paraId="689247F7" w14:textId="788AE385" w:rsidR="00DA5B33" w:rsidRPr="004E51AC"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(0.32-0.65)</w:t>
            </w:r>
          </w:p>
        </w:tc>
        <w:tc>
          <w:tcPr>
            <w:tcW w:w="900" w:type="dxa"/>
            <w:tcBorders>
              <w:right w:val="single" w:sz="4" w:space="0" w:color="auto"/>
            </w:tcBorders>
            <w:hideMark/>
          </w:tcPr>
          <w:p w14:paraId="4EDFCAAA" w14:textId="67486413"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&lt;0.0001</w:t>
            </w:r>
          </w:p>
        </w:tc>
        <w:tc>
          <w:tcPr>
            <w:tcW w:w="1170" w:type="dxa"/>
            <w:tcBorders>
              <w:left w:val="single" w:sz="4" w:space="0" w:color="auto"/>
            </w:tcBorders>
            <w:hideMark/>
          </w:tcPr>
          <w:p w14:paraId="77D885B5" w14:textId="77777777" w:rsidR="00DA5B33"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0.84</w:t>
            </w:r>
          </w:p>
          <w:p w14:paraId="7A6EB6DE" w14:textId="488E572E" w:rsidR="00DA5B33" w:rsidRPr="004E51AC"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(0.63-1.11)</w:t>
            </w:r>
          </w:p>
        </w:tc>
        <w:tc>
          <w:tcPr>
            <w:tcW w:w="810" w:type="dxa"/>
            <w:tcBorders>
              <w:right w:val="single" w:sz="4" w:space="0" w:color="auto"/>
            </w:tcBorders>
            <w:hideMark/>
          </w:tcPr>
          <w:p w14:paraId="046A5E0F" w14:textId="583FB3B8"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0.2297</w:t>
            </w:r>
          </w:p>
        </w:tc>
        <w:tc>
          <w:tcPr>
            <w:tcW w:w="1080" w:type="dxa"/>
            <w:tcBorders>
              <w:left w:val="single" w:sz="4" w:space="0" w:color="auto"/>
            </w:tcBorders>
            <w:hideMark/>
          </w:tcPr>
          <w:p w14:paraId="0F89C403" w14:textId="77777777" w:rsidR="00DA5B33"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 xml:space="preserve">1.05 </w:t>
            </w:r>
          </w:p>
          <w:p w14:paraId="7FA71F37" w14:textId="33316009" w:rsidR="00DA5B33" w:rsidRPr="004E51AC"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(0.91-1.23)</w:t>
            </w:r>
          </w:p>
        </w:tc>
        <w:tc>
          <w:tcPr>
            <w:tcW w:w="810" w:type="dxa"/>
            <w:tcBorders>
              <w:right w:val="single" w:sz="4" w:space="0" w:color="auto"/>
            </w:tcBorders>
            <w:hideMark/>
          </w:tcPr>
          <w:p w14:paraId="496582E8" w14:textId="50B4E7BD"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0.5365</w:t>
            </w:r>
          </w:p>
        </w:tc>
        <w:tc>
          <w:tcPr>
            <w:tcW w:w="1080" w:type="dxa"/>
            <w:tcBorders>
              <w:left w:val="single" w:sz="4" w:space="0" w:color="auto"/>
            </w:tcBorders>
            <w:hideMark/>
          </w:tcPr>
          <w:p w14:paraId="12489DE6" w14:textId="338142DD" w:rsidR="00DA5B33"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0.82</w:t>
            </w:r>
          </w:p>
          <w:p w14:paraId="565BD6EC" w14:textId="722F0E68" w:rsidR="00DA5B33" w:rsidRPr="004E51AC"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(0.5-1.35)</w:t>
            </w:r>
          </w:p>
        </w:tc>
        <w:tc>
          <w:tcPr>
            <w:tcW w:w="810" w:type="dxa"/>
            <w:tcBorders>
              <w:right w:val="single" w:sz="4" w:space="0" w:color="auto"/>
            </w:tcBorders>
            <w:hideMark/>
          </w:tcPr>
          <w:p w14:paraId="1C50F101"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0.4419</w:t>
            </w:r>
          </w:p>
        </w:tc>
        <w:tc>
          <w:tcPr>
            <w:tcW w:w="1037" w:type="dxa"/>
            <w:tcBorders>
              <w:left w:val="single" w:sz="4" w:space="0" w:color="auto"/>
            </w:tcBorders>
            <w:hideMark/>
          </w:tcPr>
          <w:p w14:paraId="51AB5119" w14:textId="77777777" w:rsidR="00DA5B33"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 xml:space="preserve">0.84 </w:t>
            </w:r>
          </w:p>
          <w:p w14:paraId="683A81F6" w14:textId="345310C9" w:rsidR="00DA5B33" w:rsidRPr="004E51AC"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(0.49-1.43)</w:t>
            </w:r>
          </w:p>
        </w:tc>
        <w:tc>
          <w:tcPr>
            <w:tcW w:w="853" w:type="dxa"/>
            <w:hideMark/>
          </w:tcPr>
          <w:p w14:paraId="2798A8F7" w14:textId="33596951"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0.5342</w:t>
            </w:r>
          </w:p>
        </w:tc>
      </w:tr>
      <w:tr w:rsidR="00DA5B33" w:rsidRPr="004E51AC" w14:paraId="4B9E4912" w14:textId="77777777" w:rsidTr="00856813">
        <w:trPr>
          <w:trHeight w:val="90"/>
        </w:trPr>
        <w:tc>
          <w:tcPr>
            <w:tcW w:w="1800" w:type="dxa"/>
          </w:tcPr>
          <w:p w14:paraId="2A4172F4" w14:textId="77777777" w:rsidR="00DA5B33" w:rsidRPr="004E51AC" w:rsidRDefault="00DA5B33" w:rsidP="00DA5B33">
            <w:pPr>
              <w:tabs>
                <w:tab w:val="left" w:pos="1025"/>
              </w:tabs>
              <w:rPr>
                <w:rFonts w:ascii="Arial" w:hAnsi="Arial" w:cs="Arial"/>
                <w:b/>
                <w:bCs/>
                <w:sz w:val="18"/>
                <w:szCs w:val="18"/>
              </w:rPr>
            </w:pPr>
          </w:p>
        </w:tc>
        <w:tc>
          <w:tcPr>
            <w:tcW w:w="1080" w:type="dxa"/>
          </w:tcPr>
          <w:p w14:paraId="2BE3D109" w14:textId="77777777" w:rsidR="00DA5B33" w:rsidRPr="004E51AC" w:rsidRDefault="00DA5B33" w:rsidP="00DA5B33">
            <w:pPr>
              <w:tabs>
                <w:tab w:val="left" w:pos="1025"/>
              </w:tabs>
              <w:ind w:left="-204"/>
              <w:jc w:val="center"/>
              <w:rPr>
                <w:rFonts w:ascii="Arial" w:hAnsi="Arial" w:cs="Arial"/>
                <w:sz w:val="18"/>
                <w:szCs w:val="18"/>
              </w:rPr>
            </w:pPr>
          </w:p>
        </w:tc>
        <w:tc>
          <w:tcPr>
            <w:tcW w:w="810" w:type="dxa"/>
            <w:tcBorders>
              <w:right w:val="single" w:sz="4" w:space="0" w:color="auto"/>
            </w:tcBorders>
          </w:tcPr>
          <w:p w14:paraId="5DD70A4E"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1DB3297B" w14:textId="77777777" w:rsidR="00DA5B33" w:rsidRPr="004E51AC" w:rsidRDefault="00DA5B33" w:rsidP="00DA5B33">
            <w:pPr>
              <w:tabs>
                <w:tab w:val="left" w:pos="702"/>
              </w:tabs>
              <w:ind w:left="-40"/>
              <w:jc w:val="center"/>
              <w:rPr>
                <w:rFonts w:ascii="Arial" w:hAnsi="Arial" w:cs="Arial"/>
                <w:sz w:val="18"/>
                <w:szCs w:val="18"/>
              </w:rPr>
            </w:pPr>
          </w:p>
        </w:tc>
        <w:tc>
          <w:tcPr>
            <w:tcW w:w="900" w:type="dxa"/>
            <w:tcBorders>
              <w:right w:val="single" w:sz="4" w:space="0" w:color="auto"/>
            </w:tcBorders>
          </w:tcPr>
          <w:p w14:paraId="7D4B10AC" w14:textId="77777777" w:rsidR="00DA5B33" w:rsidRPr="004E51AC" w:rsidRDefault="00DA5B33" w:rsidP="00DA5B33">
            <w:pPr>
              <w:tabs>
                <w:tab w:val="left" w:pos="1025"/>
              </w:tabs>
              <w:jc w:val="center"/>
              <w:rPr>
                <w:rFonts w:ascii="Arial" w:hAnsi="Arial" w:cs="Arial"/>
                <w:sz w:val="18"/>
                <w:szCs w:val="18"/>
              </w:rPr>
            </w:pPr>
          </w:p>
        </w:tc>
        <w:tc>
          <w:tcPr>
            <w:tcW w:w="1170" w:type="dxa"/>
            <w:tcBorders>
              <w:left w:val="single" w:sz="4" w:space="0" w:color="auto"/>
            </w:tcBorders>
          </w:tcPr>
          <w:p w14:paraId="43CB9124" w14:textId="77777777" w:rsidR="00DA5B33" w:rsidRPr="004E51AC" w:rsidRDefault="00DA5B33" w:rsidP="00DA5B33">
            <w:pPr>
              <w:tabs>
                <w:tab w:val="left" w:pos="1025"/>
              </w:tabs>
              <w:ind w:left="-32" w:right="76"/>
              <w:jc w:val="center"/>
              <w:rPr>
                <w:rFonts w:ascii="Arial" w:hAnsi="Arial" w:cs="Arial"/>
                <w:sz w:val="18"/>
                <w:szCs w:val="18"/>
              </w:rPr>
            </w:pPr>
          </w:p>
        </w:tc>
        <w:tc>
          <w:tcPr>
            <w:tcW w:w="810" w:type="dxa"/>
            <w:tcBorders>
              <w:right w:val="single" w:sz="4" w:space="0" w:color="auto"/>
            </w:tcBorders>
          </w:tcPr>
          <w:p w14:paraId="738BF940"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5BE61106" w14:textId="77777777" w:rsidR="00DA5B33" w:rsidRPr="004E51AC" w:rsidRDefault="00DA5B33" w:rsidP="00DA5B33">
            <w:pPr>
              <w:tabs>
                <w:tab w:val="left" w:pos="877"/>
              </w:tabs>
              <w:ind w:left="-113" w:right="38"/>
              <w:jc w:val="center"/>
              <w:rPr>
                <w:rFonts w:ascii="Arial" w:hAnsi="Arial" w:cs="Arial"/>
                <w:sz w:val="18"/>
                <w:szCs w:val="18"/>
              </w:rPr>
            </w:pPr>
          </w:p>
        </w:tc>
        <w:tc>
          <w:tcPr>
            <w:tcW w:w="810" w:type="dxa"/>
            <w:tcBorders>
              <w:right w:val="single" w:sz="4" w:space="0" w:color="auto"/>
            </w:tcBorders>
          </w:tcPr>
          <w:p w14:paraId="2427E7ED" w14:textId="77777777" w:rsidR="00DA5B33" w:rsidRPr="004E51AC" w:rsidRDefault="00DA5B33" w:rsidP="00DA5B33">
            <w:pPr>
              <w:tabs>
                <w:tab w:val="left" w:pos="1025"/>
              </w:tabs>
              <w:jc w:val="center"/>
              <w:rPr>
                <w:rFonts w:ascii="Arial" w:hAnsi="Arial" w:cs="Arial"/>
                <w:sz w:val="18"/>
                <w:szCs w:val="18"/>
              </w:rPr>
            </w:pPr>
          </w:p>
        </w:tc>
        <w:tc>
          <w:tcPr>
            <w:tcW w:w="1080" w:type="dxa"/>
            <w:tcBorders>
              <w:left w:val="single" w:sz="4" w:space="0" w:color="auto"/>
            </w:tcBorders>
          </w:tcPr>
          <w:p w14:paraId="29F93349" w14:textId="77777777" w:rsidR="00DA5B33" w:rsidRPr="004E51AC" w:rsidRDefault="00DA5B33" w:rsidP="00DA5B33">
            <w:pPr>
              <w:tabs>
                <w:tab w:val="left" w:pos="797"/>
              </w:tabs>
              <w:ind w:left="-103"/>
              <w:jc w:val="center"/>
              <w:rPr>
                <w:rFonts w:ascii="Arial" w:hAnsi="Arial" w:cs="Arial"/>
                <w:sz w:val="18"/>
                <w:szCs w:val="18"/>
              </w:rPr>
            </w:pPr>
          </w:p>
        </w:tc>
        <w:tc>
          <w:tcPr>
            <w:tcW w:w="810" w:type="dxa"/>
            <w:tcBorders>
              <w:right w:val="single" w:sz="4" w:space="0" w:color="auto"/>
            </w:tcBorders>
          </w:tcPr>
          <w:p w14:paraId="5831363C" w14:textId="77777777" w:rsidR="00DA5B33" w:rsidRPr="004E51AC" w:rsidRDefault="00DA5B33" w:rsidP="00DA5B33">
            <w:pPr>
              <w:tabs>
                <w:tab w:val="left" w:pos="1025"/>
              </w:tabs>
              <w:jc w:val="center"/>
              <w:rPr>
                <w:rFonts w:ascii="Arial" w:hAnsi="Arial" w:cs="Arial"/>
                <w:sz w:val="18"/>
                <w:szCs w:val="18"/>
              </w:rPr>
            </w:pPr>
          </w:p>
        </w:tc>
        <w:tc>
          <w:tcPr>
            <w:tcW w:w="1037" w:type="dxa"/>
            <w:tcBorders>
              <w:left w:val="single" w:sz="4" w:space="0" w:color="auto"/>
            </w:tcBorders>
          </w:tcPr>
          <w:p w14:paraId="72FA76E8" w14:textId="77777777" w:rsidR="00DA5B33" w:rsidRPr="004E51AC" w:rsidRDefault="00DA5B33" w:rsidP="00DA5B33">
            <w:pPr>
              <w:tabs>
                <w:tab w:val="left" w:pos="874"/>
              </w:tabs>
              <w:ind w:left="-116"/>
              <w:jc w:val="center"/>
              <w:rPr>
                <w:rFonts w:ascii="Arial" w:hAnsi="Arial" w:cs="Arial"/>
                <w:sz w:val="18"/>
                <w:szCs w:val="18"/>
              </w:rPr>
            </w:pPr>
          </w:p>
        </w:tc>
        <w:tc>
          <w:tcPr>
            <w:tcW w:w="853" w:type="dxa"/>
          </w:tcPr>
          <w:p w14:paraId="0DB09DB1" w14:textId="77777777" w:rsidR="00DA5B33" w:rsidRPr="004E51AC" w:rsidRDefault="00DA5B33" w:rsidP="00DA5B33">
            <w:pPr>
              <w:tabs>
                <w:tab w:val="left" w:pos="1025"/>
              </w:tabs>
              <w:jc w:val="center"/>
              <w:rPr>
                <w:rFonts w:ascii="Arial" w:hAnsi="Arial" w:cs="Arial"/>
                <w:sz w:val="18"/>
                <w:szCs w:val="18"/>
              </w:rPr>
            </w:pPr>
          </w:p>
        </w:tc>
      </w:tr>
      <w:tr w:rsidR="00DA5B33" w:rsidRPr="004E51AC" w14:paraId="36F9C927" w14:textId="77777777" w:rsidTr="00B6029B">
        <w:trPr>
          <w:trHeight w:val="513"/>
        </w:trPr>
        <w:tc>
          <w:tcPr>
            <w:tcW w:w="1800" w:type="dxa"/>
            <w:shd w:val="clear" w:color="auto" w:fill="auto"/>
            <w:hideMark/>
          </w:tcPr>
          <w:p w14:paraId="389E624E" w14:textId="1C5039AC" w:rsidR="00DA5B33" w:rsidRDefault="00DA5B33" w:rsidP="00DA5B33">
            <w:pPr>
              <w:tabs>
                <w:tab w:val="left" w:pos="1025"/>
              </w:tabs>
              <w:rPr>
                <w:rFonts w:ascii="Arial" w:hAnsi="Arial" w:cs="Arial"/>
                <w:b/>
                <w:bCs/>
                <w:sz w:val="18"/>
                <w:szCs w:val="18"/>
              </w:rPr>
            </w:pPr>
            <w:r w:rsidRPr="004E51AC">
              <w:rPr>
                <w:rFonts w:ascii="Arial" w:hAnsi="Arial" w:cs="Arial"/>
                <w:b/>
                <w:bCs/>
                <w:sz w:val="18"/>
                <w:szCs w:val="18"/>
              </w:rPr>
              <w:t>Exclude</w:t>
            </w:r>
            <w:r>
              <w:rPr>
                <w:rFonts w:ascii="Arial" w:hAnsi="Arial" w:cs="Arial"/>
                <w:b/>
                <w:bCs/>
                <w:sz w:val="18"/>
                <w:szCs w:val="18"/>
              </w:rPr>
              <w:t>d if</w:t>
            </w:r>
            <w:r w:rsidRPr="004E51AC">
              <w:rPr>
                <w:rFonts w:ascii="Arial" w:hAnsi="Arial" w:cs="Arial"/>
                <w:b/>
                <w:bCs/>
                <w:sz w:val="18"/>
                <w:szCs w:val="18"/>
              </w:rPr>
              <w:t xml:space="preserve"> recent hospitalization for atrial </w:t>
            </w:r>
            <w:proofErr w:type="gramStart"/>
            <w:r w:rsidRPr="004E51AC">
              <w:rPr>
                <w:rFonts w:ascii="Arial" w:hAnsi="Arial" w:cs="Arial"/>
                <w:b/>
                <w:bCs/>
                <w:sz w:val="18"/>
                <w:szCs w:val="18"/>
              </w:rPr>
              <w:t>fibrillation</w:t>
            </w:r>
            <w:proofErr w:type="gramEnd"/>
          </w:p>
          <w:p w14:paraId="4CC13E65" w14:textId="77777777" w:rsidR="005856F9" w:rsidRDefault="005856F9" w:rsidP="00DA5B33">
            <w:pPr>
              <w:tabs>
                <w:tab w:val="left" w:pos="1025"/>
              </w:tabs>
              <w:rPr>
                <w:rFonts w:ascii="Arial" w:hAnsi="Arial" w:cs="Arial"/>
                <w:b/>
                <w:bCs/>
                <w:sz w:val="18"/>
                <w:szCs w:val="18"/>
              </w:rPr>
            </w:pPr>
          </w:p>
          <w:p w14:paraId="00C79F34" w14:textId="2A487432" w:rsidR="005856F9" w:rsidRPr="004E51AC" w:rsidRDefault="005856F9" w:rsidP="00DA5B33">
            <w:pPr>
              <w:tabs>
                <w:tab w:val="left" w:pos="1025"/>
              </w:tabs>
              <w:rPr>
                <w:rFonts w:ascii="Arial" w:hAnsi="Arial" w:cs="Arial"/>
                <w:b/>
                <w:bCs/>
                <w:sz w:val="18"/>
                <w:szCs w:val="18"/>
              </w:rPr>
            </w:pPr>
          </w:p>
        </w:tc>
        <w:tc>
          <w:tcPr>
            <w:tcW w:w="1080" w:type="dxa"/>
            <w:shd w:val="clear" w:color="auto" w:fill="auto"/>
            <w:hideMark/>
          </w:tcPr>
          <w:p w14:paraId="1DC88803" w14:textId="22DC0496" w:rsidR="00DA5B33"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1.15</w:t>
            </w:r>
          </w:p>
          <w:p w14:paraId="053350CE" w14:textId="0B32252B" w:rsidR="00DA5B33" w:rsidRPr="004E51AC" w:rsidRDefault="00DA5B33" w:rsidP="00DA5B33">
            <w:pPr>
              <w:tabs>
                <w:tab w:val="left" w:pos="1025"/>
              </w:tabs>
              <w:ind w:left="-204"/>
              <w:jc w:val="center"/>
              <w:rPr>
                <w:rFonts w:ascii="Arial" w:hAnsi="Arial" w:cs="Arial"/>
                <w:sz w:val="18"/>
                <w:szCs w:val="18"/>
              </w:rPr>
            </w:pPr>
            <w:r w:rsidRPr="004E51AC">
              <w:rPr>
                <w:rFonts w:ascii="Arial" w:hAnsi="Arial" w:cs="Arial"/>
                <w:sz w:val="18"/>
                <w:szCs w:val="18"/>
              </w:rPr>
              <w:t>(0.96-1.38)</w:t>
            </w:r>
          </w:p>
        </w:tc>
        <w:tc>
          <w:tcPr>
            <w:tcW w:w="810" w:type="dxa"/>
            <w:tcBorders>
              <w:right w:val="single" w:sz="4" w:space="0" w:color="auto"/>
            </w:tcBorders>
            <w:shd w:val="clear" w:color="auto" w:fill="auto"/>
            <w:hideMark/>
          </w:tcPr>
          <w:p w14:paraId="1CAFAA2F" w14:textId="77777777"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0.1313</w:t>
            </w:r>
          </w:p>
        </w:tc>
        <w:tc>
          <w:tcPr>
            <w:tcW w:w="1080" w:type="dxa"/>
            <w:tcBorders>
              <w:left w:val="single" w:sz="4" w:space="0" w:color="auto"/>
            </w:tcBorders>
            <w:shd w:val="clear" w:color="auto" w:fill="auto"/>
            <w:hideMark/>
          </w:tcPr>
          <w:p w14:paraId="495CECD9" w14:textId="6DA8AE67" w:rsidR="00DA5B33"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0.55</w:t>
            </w:r>
          </w:p>
          <w:p w14:paraId="1A2086A8" w14:textId="619918E5" w:rsidR="00DA5B33" w:rsidRPr="004E51AC" w:rsidRDefault="00DA5B33" w:rsidP="00DA5B33">
            <w:pPr>
              <w:tabs>
                <w:tab w:val="left" w:pos="702"/>
              </w:tabs>
              <w:ind w:left="-40"/>
              <w:jc w:val="center"/>
              <w:rPr>
                <w:rFonts w:ascii="Arial" w:hAnsi="Arial" w:cs="Arial"/>
                <w:sz w:val="18"/>
                <w:szCs w:val="18"/>
              </w:rPr>
            </w:pPr>
            <w:r w:rsidRPr="004E51AC">
              <w:rPr>
                <w:rFonts w:ascii="Arial" w:hAnsi="Arial" w:cs="Arial"/>
                <w:sz w:val="18"/>
                <w:szCs w:val="18"/>
              </w:rPr>
              <w:t>(0.39-0.78)</w:t>
            </w:r>
          </w:p>
        </w:tc>
        <w:tc>
          <w:tcPr>
            <w:tcW w:w="900" w:type="dxa"/>
            <w:tcBorders>
              <w:right w:val="single" w:sz="4" w:space="0" w:color="auto"/>
            </w:tcBorders>
            <w:shd w:val="clear" w:color="auto" w:fill="auto"/>
            <w:hideMark/>
          </w:tcPr>
          <w:p w14:paraId="6CDA8A59" w14:textId="6A695364" w:rsidR="00DA5B33" w:rsidRPr="004E51AC" w:rsidRDefault="00DA5B33" w:rsidP="00DA5B33">
            <w:pPr>
              <w:tabs>
                <w:tab w:val="left" w:pos="1025"/>
              </w:tabs>
              <w:jc w:val="center"/>
              <w:rPr>
                <w:rFonts w:ascii="Arial" w:hAnsi="Arial" w:cs="Arial"/>
                <w:sz w:val="18"/>
                <w:szCs w:val="18"/>
              </w:rPr>
            </w:pPr>
            <w:r w:rsidRPr="004E51AC">
              <w:rPr>
                <w:rFonts w:ascii="Arial" w:hAnsi="Arial" w:cs="Arial"/>
                <w:sz w:val="18"/>
                <w:szCs w:val="18"/>
              </w:rPr>
              <w:t>0.0008</w:t>
            </w:r>
          </w:p>
        </w:tc>
        <w:tc>
          <w:tcPr>
            <w:tcW w:w="1170" w:type="dxa"/>
            <w:tcBorders>
              <w:left w:val="single" w:sz="4" w:space="0" w:color="auto"/>
            </w:tcBorders>
            <w:shd w:val="clear" w:color="auto" w:fill="auto"/>
            <w:hideMark/>
          </w:tcPr>
          <w:p w14:paraId="16FA5A14" w14:textId="585C02FC" w:rsidR="00DA5B33" w:rsidRPr="004E51AC" w:rsidRDefault="00DA5B33" w:rsidP="00DA5B33">
            <w:pPr>
              <w:tabs>
                <w:tab w:val="left" w:pos="1025"/>
              </w:tabs>
              <w:ind w:left="-32" w:right="76"/>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hideMark/>
          </w:tcPr>
          <w:p w14:paraId="1D5E7621" w14:textId="4D502DF2"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shd w:val="clear" w:color="auto" w:fill="auto"/>
            <w:hideMark/>
          </w:tcPr>
          <w:p w14:paraId="4BE680B1" w14:textId="5D8D0003" w:rsidR="00DA5B33" w:rsidRPr="004E51AC" w:rsidRDefault="00DA5B33" w:rsidP="00DA5B33">
            <w:pPr>
              <w:tabs>
                <w:tab w:val="left" w:pos="877"/>
              </w:tabs>
              <w:ind w:left="-113" w:right="38"/>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hideMark/>
          </w:tcPr>
          <w:p w14:paraId="64E3E2AF" w14:textId="777A7BAE"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shd w:val="clear" w:color="auto" w:fill="auto"/>
            <w:hideMark/>
          </w:tcPr>
          <w:p w14:paraId="157C525B" w14:textId="77777777" w:rsidR="00DA5B33" w:rsidRPr="004E51AC" w:rsidRDefault="00DA5B33" w:rsidP="00DA5B33">
            <w:pPr>
              <w:tabs>
                <w:tab w:val="left" w:pos="797"/>
              </w:tabs>
              <w:ind w:left="-103"/>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hideMark/>
          </w:tcPr>
          <w:p w14:paraId="5D702D6C" w14:textId="6A46B8F7"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c>
          <w:tcPr>
            <w:tcW w:w="1037" w:type="dxa"/>
            <w:tcBorders>
              <w:left w:val="single" w:sz="4" w:space="0" w:color="auto"/>
            </w:tcBorders>
            <w:shd w:val="clear" w:color="auto" w:fill="auto"/>
            <w:hideMark/>
          </w:tcPr>
          <w:p w14:paraId="338B6333" w14:textId="541DD49D" w:rsidR="00DA5B33" w:rsidRPr="004E51AC" w:rsidRDefault="00DA5B33" w:rsidP="00DA5B33">
            <w:pPr>
              <w:tabs>
                <w:tab w:val="left" w:pos="874"/>
              </w:tabs>
              <w:ind w:left="-116"/>
              <w:jc w:val="center"/>
              <w:rPr>
                <w:rFonts w:ascii="Arial" w:hAnsi="Arial" w:cs="Arial"/>
                <w:sz w:val="18"/>
                <w:szCs w:val="18"/>
              </w:rPr>
            </w:pPr>
            <w:r w:rsidRPr="004E51AC">
              <w:rPr>
                <w:rFonts w:ascii="Arial" w:hAnsi="Arial" w:cs="Arial"/>
                <w:sz w:val="18"/>
                <w:szCs w:val="18"/>
              </w:rPr>
              <w:t>N/A</w:t>
            </w:r>
          </w:p>
        </w:tc>
        <w:tc>
          <w:tcPr>
            <w:tcW w:w="853" w:type="dxa"/>
            <w:shd w:val="clear" w:color="auto" w:fill="auto"/>
            <w:hideMark/>
          </w:tcPr>
          <w:p w14:paraId="056962A3" w14:textId="1DB3D319" w:rsidR="00DA5B33" w:rsidRPr="004E51AC" w:rsidRDefault="00DA5B33" w:rsidP="00DA5B33">
            <w:pPr>
              <w:tabs>
                <w:tab w:val="left" w:pos="1025"/>
              </w:tabs>
              <w:jc w:val="center"/>
              <w:rPr>
                <w:rFonts w:ascii="Arial" w:hAnsi="Arial" w:cs="Arial"/>
                <w:sz w:val="18"/>
                <w:szCs w:val="18"/>
              </w:rPr>
            </w:pPr>
            <w:r>
              <w:rPr>
                <w:rFonts w:ascii="Arial" w:hAnsi="Arial" w:cs="Arial"/>
                <w:sz w:val="18"/>
                <w:szCs w:val="18"/>
              </w:rPr>
              <w:t>-</w:t>
            </w:r>
          </w:p>
        </w:tc>
      </w:tr>
      <w:tr w:rsidR="009724D2" w:rsidRPr="004E51AC" w14:paraId="69C7B13E" w14:textId="77777777" w:rsidTr="00B6029B">
        <w:trPr>
          <w:trHeight w:val="837"/>
        </w:trPr>
        <w:tc>
          <w:tcPr>
            <w:tcW w:w="1800" w:type="dxa"/>
            <w:shd w:val="clear" w:color="auto" w:fill="auto"/>
          </w:tcPr>
          <w:p w14:paraId="4EB40C05" w14:textId="48ADEB49" w:rsidR="005856F9" w:rsidRPr="005856F9" w:rsidRDefault="005856F9" w:rsidP="005856F9">
            <w:pPr>
              <w:tabs>
                <w:tab w:val="left" w:pos="1025"/>
              </w:tabs>
              <w:rPr>
                <w:rFonts w:ascii="Arial" w:hAnsi="Arial" w:cs="Arial"/>
                <w:b/>
                <w:bCs/>
                <w:sz w:val="18"/>
                <w:szCs w:val="18"/>
              </w:rPr>
            </w:pPr>
            <w:r>
              <w:rPr>
                <w:rFonts w:ascii="Arial" w:hAnsi="Arial" w:cs="Arial"/>
                <w:b/>
                <w:bCs/>
                <w:sz w:val="18"/>
                <w:szCs w:val="18"/>
              </w:rPr>
              <w:t>Include LVEF</w:t>
            </w:r>
            <w:r w:rsidR="0050401A">
              <w:rPr>
                <w:rFonts w:ascii="Arial" w:hAnsi="Arial" w:cs="Arial"/>
                <w:b/>
                <w:bCs/>
                <w:sz w:val="18"/>
                <w:szCs w:val="18"/>
              </w:rPr>
              <w:t xml:space="preserve"> categorical variable</w:t>
            </w:r>
            <w:r>
              <w:rPr>
                <w:rFonts w:ascii="Arial" w:hAnsi="Arial" w:cs="Arial"/>
                <w:b/>
                <w:bCs/>
                <w:sz w:val="18"/>
                <w:szCs w:val="18"/>
              </w:rPr>
              <w:t xml:space="preserve"> in PSM</w:t>
            </w:r>
          </w:p>
        </w:tc>
        <w:tc>
          <w:tcPr>
            <w:tcW w:w="1080" w:type="dxa"/>
            <w:shd w:val="clear" w:color="auto" w:fill="auto"/>
          </w:tcPr>
          <w:p w14:paraId="45ADFA18" w14:textId="355EC8FD" w:rsidR="005856F9" w:rsidRDefault="0050401A" w:rsidP="005856F9">
            <w:pPr>
              <w:tabs>
                <w:tab w:val="left" w:pos="1025"/>
              </w:tabs>
              <w:ind w:left="-204"/>
              <w:jc w:val="center"/>
              <w:rPr>
                <w:rFonts w:ascii="Arial" w:hAnsi="Arial" w:cs="Arial"/>
                <w:sz w:val="18"/>
                <w:szCs w:val="18"/>
              </w:rPr>
            </w:pPr>
            <w:r>
              <w:rPr>
                <w:rFonts w:ascii="Arial" w:hAnsi="Arial" w:cs="Arial"/>
                <w:sz w:val="18"/>
                <w:szCs w:val="18"/>
              </w:rPr>
              <w:t>0.97</w:t>
            </w:r>
          </w:p>
          <w:p w14:paraId="6C3DF31B" w14:textId="161C688C" w:rsidR="005856F9" w:rsidRPr="004E51AC" w:rsidRDefault="005856F9" w:rsidP="005856F9">
            <w:pPr>
              <w:tabs>
                <w:tab w:val="left" w:pos="1025"/>
              </w:tabs>
              <w:ind w:left="-204"/>
              <w:jc w:val="center"/>
              <w:rPr>
                <w:rFonts w:ascii="Arial" w:hAnsi="Arial" w:cs="Arial"/>
                <w:sz w:val="18"/>
                <w:szCs w:val="18"/>
              </w:rPr>
            </w:pPr>
            <w:r w:rsidRPr="004E51AC">
              <w:rPr>
                <w:rFonts w:ascii="Arial" w:hAnsi="Arial" w:cs="Arial"/>
                <w:sz w:val="18"/>
                <w:szCs w:val="18"/>
              </w:rPr>
              <w:t>(0.</w:t>
            </w:r>
            <w:r w:rsidR="0050401A">
              <w:rPr>
                <w:rFonts w:ascii="Arial" w:hAnsi="Arial" w:cs="Arial"/>
                <w:sz w:val="18"/>
                <w:szCs w:val="18"/>
              </w:rPr>
              <w:t>83-1.14</w:t>
            </w:r>
            <w:r w:rsidRPr="004E51AC">
              <w:rPr>
                <w:rFonts w:ascii="Arial" w:hAnsi="Arial" w:cs="Arial"/>
                <w:sz w:val="18"/>
                <w:szCs w:val="18"/>
              </w:rPr>
              <w:t>)</w:t>
            </w:r>
          </w:p>
        </w:tc>
        <w:tc>
          <w:tcPr>
            <w:tcW w:w="810" w:type="dxa"/>
            <w:tcBorders>
              <w:right w:val="single" w:sz="4" w:space="0" w:color="auto"/>
            </w:tcBorders>
            <w:shd w:val="clear" w:color="auto" w:fill="auto"/>
          </w:tcPr>
          <w:p w14:paraId="1FA4441A" w14:textId="20C67386" w:rsidR="005856F9" w:rsidRPr="004E51AC" w:rsidRDefault="005856F9" w:rsidP="005856F9">
            <w:pPr>
              <w:tabs>
                <w:tab w:val="left" w:pos="1025"/>
              </w:tabs>
              <w:jc w:val="center"/>
              <w:rPr>
                <w:rFonts w:ascii="Arial" w:hAnsi="Arial" w:cs="Arial"/>
                <w:sz w:val="18"/>
                <w:szCs w:val="18"/>
              </w:rPr>
            </w:pPr>
            <w:r w:rsidRPr="004E51AC">
              <w:rPr>
                <w:rFonts w:ascii="Arial" w:hAnsi="Arial" w:cs="Arial"/>
                <w:sz w:val="18"/>
                <w:szCs w:val="18"/>
              </w:rPr>
              <w:t>0.</w:t>
            </w:r>
            <w:r w:rsidR="0050401A">
              <w:rPr>
                <w:rFonts w:ascii="Arial" w:hAnsi="Arial" w:cs="Arial"/>
                <w:sz w:val="18"/>
                <w:szCs w:val="18"/>
              </w:rPr>
              <w:t>7199</w:t>
            </w:r>
          </w:p>
        </w:tc>
        <w:tc>
          <w:tcPr>
            <w:tcW w:w="1080" w:type="dxa"/>
            <w:tcBorders>
              <w:left w:val="single" w:sz="4" w:space="0" w:color="auto"/>
            </w:tcBorders>
            <w:shd w:val="clear" w:color="auto" w:fill="auto"/>
          </w:tcPr>
          <w:p w14:paraId="185B1135" w14:textId="6C50263D" w:rsidR="005856F9" w:rsidRDefault="005856F9" w:rsidP="005856F9">
            <w:pPr>
              <w:tabs>
                <w:tab w:val="left" w:pos="702"/>
              </w:tabs>
              <w:ind w:left="-40"/>
              <w:jc w:val="center"/>
              <w:rPr>
                <w:rFonts w:ascii="Arial" w:hAnsi="Arial" w:cs="Arial"/>
                <w:sz w:val="18"/>
                <w:szCs w:val="18"/>
              </w:rPr>
            </w:pPr>
            <w:r w:rsidRPr="004E51AC">
              <w:rPr>
                <w:rFonts w:ascii="Arial" w:hAnsi="Arial" w:cs="Arial"/>
                <w:sz w:val="18"/>
                <w:szCs w:val="18"/>
              </w:rPr>
              <w:t>0.5</w:t>
            </w:r>
            <w:r w:rsidR="0050401A">
              <w:rPr>
                <w:rFonts w:ascii="Arial" w:hAnsi="Arial" w:cs="Arial"/>
                <w:sz w:val="18"/>
                <w:szCs w:val="18"/>
              </w:rPr>
              <w:t>0</w:t>
            </w:r>
          </w:p>
          <w:p w14:paraId="7BD5657F" w14:textId="4EA28B70" w:rsidR="005856F9" w:rsidRPr="004E51AC" w:rsidRDefault="005856F9" w:rsidP="005856F9">
            <w:pPr>
              <w:tabs>
                <w:tab w:val="left" w:pos="702"/>
              </w:tabs>
              <w:ind w:left="-40"/>
              <w:jc w:val="center"/>
              <w:rPr>
                <w:rFonts w:ascii="Arial" w:hAnsi="Arial" w:cs="Arial"/>
                <w:sz w:val="18"/>
                <w:szCs w:val="18"/>
              </w:rPr>
            </w:pPr>
            <w:r w:rsidRPr="004E51AC">
              <w:rPr>
                <w:rFonts w:ascii="Arial" w:hAnsi="Arial" w:cs="Arial"/>
                <w:sz w:val="18"/>
                <w:szCs w:val="18"/>
              </w:rPr>
              <w:t>(0.3</w:t>
            </w:r>
            <w:r w:rsidR="0050401A">
              <w:rPr>
                <w:rFonts w:ascii="Arial" w:hAnsi="Arial" w:cs="Arial"/>
                <w:sz w:val="18"/>
                <w:szCs w:val="18"/>
              </w:rPr>
              <w:t>6</w:t>
            </w:r>
            <w:r w:rsidRPr="004E51AC">
              <w:rPr>
                <w:rFonts w:ascii="Arial" w:hAnsi="Arial" w:cs="Arial"/>
                <w:sz w:val="18"/>
                <w:szCs w:val="18"/>
              </w:rPr>
              <w:t>-0</w:t>
            </w:r>
            <w:r w:rsidR="0050401A">
              <w:rPr>
                <w:rFonts w:ascii="Arial" w:hAnsi="Arial" w:cs="Arial"/>
                <w:sz w:val="18"/>
                <w:szCs w:val="18"/>
              </w:rPr>
              <w:t>.69</w:t>
            </w:r>
            <w:r w:rsidRPr="004E51AC">
              <w:rPr>
                <w:rFonts w:ascii="Arial" w:hAnsi="Arial" w:cs="Arial"/>
                <w:sz w:val="18"/>
                <w:szCs w:val="18"/>
              </w:rPr>
              <w:t>)</w:t>
            </w:r>
          </w:p>
        </w:tc>
        <w:tc>
          <w:tcPr>
            <w:tcW w:w="900" w:type="dxa"/>
            <w:tcBorders>
              <w:right w:val="single" w:sz="4" w:space="0" w:color="auto"/>
            </w:tcBorders>
            <w:shd w:val="clear" w:color="auto" w:fill="auto"/>
          </w:tcPr>
          <w:p w14:paraId="44A3A0FD" w14:textId="491671E7" w:rsidR="005856F9" w:rsidRPr="004E51AC" w:rsidRDefault="0050401A" w:rsidP="005856F9">
            <w:pPr>
              <w:tabs>
                <w:tab w:val="left" w:pos="1025"/>
              </w:tabs>
              <w:jc w:val="center"/>
              <w:rPr>
                <w:rFonts w:ascii="Arial" w:hAnsi="Arial" w:cs="Arial"/>
                <w:sz w:val="18"/>
                <w:szCs w:val="18"/>
              </w:rPr>
            </w:pPr>
            <w:r>
              <w:rPr>
                <w:rFonts w:ascii="Arial" w:hAnsi="Arial" w:cs="Arial"/>
                <w:sz w:val="18"/>
                <w:szCs w:val="18"/>
              </w:rPr>
              <w:t>&lt;0.0001</w:t>
            </w:r>
          </w:p>
        </w:tc>
        <w:tc>
          <w:tcPr>
            <w:tcW w:w="1170" w:type="dxa"/>
            <w:tcBorders>
              <w:left w:val="single" w:sz="4" w:space="0" w:color="auto"/>
            </w:tcBorders>
            <w:shd w:val="clear" w:color="auto" w:fill="auto"/>
          </w:tcPr>
          <w:p w14:paraId="5463DA75" w14:textId="0CF0F40B" w:rsidR="005856F9" w:rsidRPr="004E51AC" w:rsidRDefault="005856F9" w:rsidP="005856F9">
            <w:pPr>
              <w:tabs>
                <w:tab w:val="left" w:pos="1025"/>
              </w:tabs>
              <w:ind w:left="-32" w:right="76"/>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tcPr>
          <w:p w14:paraId="15C09E76" w14:textId="12CF01E5" w:rsidR="005856F9" w:rsidRDefault="005856F9" w:rsidP="005856F9">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shd w:val="clear" w:color="auto" w:fill="auto"/>
          </w:tcPr>
          <w:p w14:paraId="198BD42F" w14:textId="2A887500" w:rsidR="005856F9" w:rsidRPr="004E51AC" w:rsidRDefault="005856F9" w:rsidP="005856F9">
            <w:pPr>
              <w:tabs>
                <w:tab w:val="left" w:pos="877"/>
              </w:tabs>
              <w:ind w:left="-113" w:right="38"/>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tcPr>
          <w:p w14:paraId="2457D536" w14:textId="4FFD4D6D" w:rsidR="005856F9" w:rsidRDefault="005856F9" w:rsidP="005856F9">
            <w:pPr>
              <w:tabs>
                <w:tab w:val="left" w:pos="1025"/>
              </w:tabs>
              <w:jc w:val="center"/>
              <w:rPr>
                <w:rFonts w:ascii="Arial" w:hAnsi="Arial" w:cs="Arial"/>
                <w:sz w:val="18"/>
                <w:szCs w:val="18"/>
              </w:rPr>
            </w:pPr>
            <w:r>
              <w:rPr>
                <w:rFonts w:ascii="Arial" w:hAnsi="Arial" w:cs="Arial"/>
                <w:sz w:val="18"/>
                <w:szCs w:val="18"/>
              </w:rPr>
              <w:t>-</w:t>
            </w:r>
          </w:p>
        </w:tc>
        <w:tc>
          <w:tcPr>
            <w:tcW w:w="1080" w:type="dxa"/>
            <w:tcBorders>
              <w:left w:val="single" w:sz="4" w:space="0" w:color="auto"/>
            </w:tcBorders>
            <w:shd w:val="clear" w:color="auto" w:fill="auto"/>
          </w:tcPr>
          <w:p w14:paraId="589B2CB1" w14:textId="439032ED" w:rsidR="005856F9" w:rsidRPr="004E51AC" w:rsidRDefault="005856F9" w:rsidP="005856F9">
            <w:pPr>
              <w:tabs>
                <w:tab w:val="left" w:pos="797"/>
              </w:tabs>
              <w:ind w:left="-103"/>
              <w:jc w:val="center"/>
              <w:rPr>
                <w:rFonts w:ascii="Arial" w:hAnsi="Arial" w:cs="Arial"/>
                <w:sz w:val="18"/>
                <w:szCs w:val="18"/>
              </w:rPr>
            </w:pPr>
            <w:r w:rsidRPr="004E51AC">
              <w:rPr>
                <w:rFonts w:ascii="Arial" w:hAnsi="Arial" w:cs="Arial"/>
                <w:sz w:val="18"/>
                <w:szCs w:val="18"/>
              </w:rPr>
              <w:t>N/A</w:t>
            </w:r>
          </w:p>
        </w:tc>
        <w:tc>
          <w:tcPr>
            <w:tcW w:w="810" w:type="dxa"/>
            <w:tcBorders>
              <w:right w:val="single" w:sz="4" w:space="0" w:color="auto"/>
            </w:tcBorders>
            <w:shd w:val="clear" w:color="auto" w:fill="auto"/>
          </w:tcPr>
          <w:p w14:paraId="540E655B" w14:textId="0DFE9042" w:rsidR="005856F9" w:rsidRDefault="005856F9" w:rsidP="005856F9">
            <w:pPr>
              <w:tabs>
                <w:tab w:val="left" w:pos="1025"/>
              </w:tabs>
              <w:jc w:val="center"/>
              <w:rPr>
                <w:rFonts w:ascii="Arial" w:hAnsi="Arial" w:cs="Arial"/>
                <w:sz w:val="18"/>
                <w:szCs w:val="18"/>
              </w:rPr>
            </w:pPr>
            <w:r>
              <w:rPr>
                <w:rFonts w:ascii="Arial" w:hAnsi="Arial" w:cs="Arial"/>
                <w:sz w:val="18"/>
                <w:szCs w:val="18"/>
              </w:rPr>
              <w:t>-</w:t>
            </w:r>
          </w:p>
        </w:tc>
        <w:tc>
          <w:tcPr>
            <w:tcW w:w="1037" w:type="dxa"/>
            <w:tcBorders>
              <w:left w:val="single" w:sz="4" w:space="0" w:color="auto"/>
            </w:tcBorders>
            <w:shd w:val="clear" w:color="auto" w:fill="auto"/>
          </w:tcPr>
          <w:p w14:paraId="475332D8" w14:textId="79F0E580" w:rsidR="005856F9" w:rsidRPr="004E51AC" w:rsidRDefault="005856F9" w:rsidP="005856F9">
            <w:pPr>
              <w:tabs>
                <w:tab w:val="left" w:pos="874"/>
              </w:tabs>
              <w:ind w:left="-116"/>
              <w:jc w:val="center"/>
              <w:rPr>
                <w:rFonts w:ascii="Arial" w:hAnsi="Arial" w:cs="Arial"/>
                <w:sz w:val="18"/>
                <w:szCs w:val="18"/>
              </w:rPr>
            </w:pPr>
            <w:r w:rsidRPr="004E51AC">
              <w:rPr>
                <w:rFonts w:ascii="Arial" w:hAnsi="Arial" w:cs="Arial"/>
                <w:sz w:val="18"/>
                <w:szCs w:val="18"/>
              </w:rPr>
              <w:t>N/A</w:t>
            </w:r>
          </w:p>
        </w:tc>
        <w:tc>
          <w:tcPr>
            <w:tcW w:w="853" w:type="dxa"/>
            <w:shd w:val="clear" w:color="auto" w:fill="auto"/>
          </w:tcPr>
          <w:p w14:paraId="5DD259B1" w14:textId="014D38EF" w:rsidR="005856F9" w:rsidRDefault="0050401A" w:rsidP="005856F9">
            <w:pPr>
              <w:tabs>
                <w:tab w:val="left" w:pos="1025"/>
              </w:tabs>
              <w:jc w:val="center"/>
              <w:rPr>
                <w:rFonts w:ascii="Arial" w:hAnsi="Arial" w:cs="Arial"/>
                <w:sz w:val="18"/>
                <w:szCs w:val="18"/>
              </w:rPr>
            </w:pPr>
            <w:r>
              <w:rPr>
                <w:rFonts w:ascii="Arial" w:hAnsi="Arial" w:cs="Arial"/>
                <w:sz w:val="18"/>
                <w:szCs w:val="18"/>
              </w:rPr>
              <w:t>-</w:t>
            </w:r>
          </w:p>
        </w:tc>
      </w:tr>
      <w:tr w:rsidR="00EA232E" w:rsidRPr="004E51AC" w14:paraId="229C32C4" w14:textId="77777777" w:rsidTr="00B6029B">
        <w:trPr>
          <w:trHeight w:val="648"/>
        </w:trPr>
        <w:tc>
          <w:tcPr>
            <w:tcW w:w="1800" w:type="dxa"/>
            <w:tcBorders>
              <w:bottom w:val="single" w:sz="4" w:space="0" w:color="auto"/>
            </w:tcBorders>
            <w:shd w:val="clear" w:color="auto" w:fill="auto"/>
          </w:tcPr>
          <w:p w14:paraId="14BB8FA3" w14:textId="43276129" w:rsidR="00EA232E" w:rsidRDefault="00EA232E" w:rsidP="005856F9">
            <w:pPr>
              <w:tabs>
                <w:tab w:val="left" w:pos="1025"/>
              </w:tabs>
              <w:rPr>
                <w:rFonts w:ascii="Arial" w:hAnsi="Arial" w:cs="Arial"/>
                <w:b/>
                <w:bCs/>
                <w:sz w:val="18"/>
                <w:szCs w:val="18"/>
              </w:rPr>
            </w:pPr>
            <w:r>
              <w:rPr>
                <w:rFonts w:ascii="Arial" w:hAnsi="Arial" w:cs="Arial"/>
                <w:b/>
                <w:bCs/>
                <w:sz w:val="18"/>
                <w:szCs w:val="18"/>
              </w:rPr>
              <w:t>Cox proportional hazards with cluster-robust standard errors</w:t>
            </w:r>
          </w:p>
        </w:tc>
        <w:tc>
          <w:tcPr>
            <w:tcW w:w="1080" w:type="dxa"/>
            <w:tcBorders>
              <w:bottom w:val="single" w:sz="4" w:space="0" w:color="auto"/>
            </w:tcBorders>
            <w:shd w:val="clear" w:color="auto" w:fill="auto"/>
          </w:tcPr>
          <w:p w14:paraId="2A3956DC" w14:textId="77777777" w:rsidR="00EA232E" w:rsidRDefault="00EA232E" w:rsidP="005856F9">
            <w:pPr>
              <w:tabs>
                <w:tab w:val="left" w:pos="1025"/>
              </w:tabs>
              <w:ind w:left="-204"/>
              <w:jc w:val="center"/>
              <w:rPr>
                <w:rFonts w:ascii="Arial" w:hAnsi="Arial" w:cs="Arial"/>
                <w:sz w:val="18"/>
                <w:szCs w:val="18"/>
              </w:rPr>
            </w:pPr>
            <w:r>
              <w:rPr>
                <w:rFonts w:ascii="Arial" w:hAnsi="Arial" w:cs="Arial"/>
                <w:sz w:val="18"/>
                <w:szCs w:val="18"/>
              </w:rPr>
              <w:t>1.03</w:t>
            </w:r>
          </w:p>
          <w:p w14:paraId="7A8217CF" w14:textId="611BF260" w:rsidR="00EA232E" w:rsidRDefault="00EA232E" w:rsidP="005856F9">
            <w:pPr>
              <w:tabs>
                <w:tab w:val="left" w:pos="1025"/>
              </w:tabs>
              <w:ind w:left="-204"/>
              <w:jc w:val="center"/>
              <w:rPr>
                <w:rFonts w:ascii="Arial" w:hAnsi="Arial" w:cs="Arial"/>
                <w:sz w:val="18"/>
                <w:szCs w:val="18"/>
              </w:rPr>
            </w:pPr>
            <w:r>
              <w:rPr>
                <w:rFonts w:ascii="Arial" w:hAnsi="Arial" w:cs="Arial"/>
                <w:sz w:val="18"/>
                <w:szCs w:val="18"/>
              </w:rPr>
              <w:t>(0.88-1.21)</w:t>
            </w:r>
          </w:p>
        </w:tc>
        <w:tc>
          <w:tcPr>
            <w:tcW w:w="810" w:type="dxa"/>
            <w:tcBorders>
              <w:bottom w:val="single" w:sz="4" w:space="0" w:color="auto"/>
              <w:right w:val="single" w:sz="4" w:space="0" w:color="auto"/>
            </w:tcBorders>
            <w:shd w:val="clear" w:color="auto" w:fill="auto"/>
          </w:tcPr>
          <w:p w14:paraId="6BD857DB" w14:textId="350F0004" w:rsidR="00EA232E" w:rsidRPr="004E51AC" w:rsidRDefault="00EA232E" w:rsidP="005856F9">
            <w:pPr>
              <w:tabs>
                <w:tab w:val="left" w:pos="1025"/>
              </w:tabs>
              <w:jc w:val="center"/>
              <w:rPr>
                <w:rFonts w:ascii="Arial" w:hAnsi="Arial" w:cs="Arial"/>
                <w:sz w:val="18"/>
                <w:szCs w:val="18"/>
              </w:rPr>
            </w:pPr>
            <w:r>
              <w:rPr>
                <w:rFonts w:ascii="Arial" w:hAnsi="Arial" w:cs="Arial"/>
                <w:sz w:val="18"/>
                <w:szCs w:val="18"/>
              </w:rPr>
              <w:t>0.7078</w:t>
            </w:r>
          </w:p>
        </w:tc>
        <w:tc>
          <w:tcPr>
            <w:tcW w:w="1080" w:type="dxa"/>
            <w:tcBorders>
              <w:left w:val="single" w:sz="4" w:space="0" w:color="auto"/>
              <w:bottom w:val="single" w:sz="4" w:space="0" w:color="auto"/>
            </w:tcBorders>
            <w:shd w:val="clear" w:color="auto" w:fill="auto"/>
          </w:tcPr>
          <w:p w14:paraId="642D4923" w14:textId="77777777" w:rsidR="00EA232E" w:rsidRDefault="00EA232E" w:rsidP="005856F9">
            <w:pPr>
              <w:tabs>
                <w:tab w:val="left" w:pos="702"/>
              </w:tabs>
              <w:ind w:left="-40"/>
              <w:jc w:val="center"/>
              <w:rPr>
                <w:rFonts w:ascii="Arial" w:hAnsi="Arial" w:cs="Arial"/>
                <w:sz w:val="18"/>
                <w:szCs w:val="18"/>
              </w:rPr>
            </w:pPr>
            <w:r>
              <w:rPr>
                <w:rFonts w:ascii="Arial" w:hAnsi="Arial" w:cs="Arial"/>
                <w:sz w:val="18"/>
                <w:szCs w:val="18"/>
              </w:rPr>
              <w:t>0.53</w:t>
            </w:r>
          </w:p>
          <w:p w14:paraId="65AF6FE8" w14:textId="117B1F86" w:rsidR="00EA232E" w:rsidRPr="004E51AC" w:rsidRDefault="00EA232E" w:rsidP="005856F9">
            <w:pPr>
              <w:tabs>
                <w:tab w:val="left" w:pos="702"/>
              </w:tabs>
              <w:ind w:left="-40"/>
              <w:jc w:val="center"/>
              <w:rPr>
                <w:rFonts w:ascii="Arial" w:hAnsi="Arial" w:cs="Arial"/>
                <w:sz w:val="18"/>
                <w:szCs w:val="18"/>
              </w:rPr>
            </w:pPr>
            <w:r>
              <w:rPr>
                <w:rFonts w:ascii="Arial" w:hAnsi="Arial" w:cs="Arial"/>
                <w:sz w:val="18"/>
                <w:szCs w:val="18"/>
              </w:rPr>
              <w:t>(0.39-0.73)</w:t>
            </w:r>
          </w:p>
        </w:tc>
        <w:tc>
          <w:tcPr>
            <w:tcW w:w="900" w:type="dxa"/>
            <w:tcBorders>
              <w:bottom w:val="single" w:sz="4" w:space="0" w:color="auto"/>
              <w:right w:val="single" w:sz="4" w:space="0" w:color="auto"/>
            </w:tcBorders>
            <w:shd w:val="clear" w:color="auto" w:fill="auto"/>
          </w:tcPr>
          <w:p w14:paraId="16650128" w14:textId="3615C69E" w:rsidR="00EA232E" w:rsidRDefault="00EA232E" w:rsidP="005856F9">
            <w:pPr>
              <w:tabs>
                <w:tab w:val="left" w:pos="1025"/>
              </w:tabs>
              <w:jc w:val="center"/>
              <w:rPr>
                <w:rFonts w:ascii="Arial" w:hAnsi="Arial" w:cs="Arial"/>
                <w:sz w:val="18"/>
                <w:szCs w:val="18"/>
              </w:rPr>
            </w:pPr>
            <w:r>
              <w:rPr>
                <w:rFonts w:ascii="Arial" w:hAnsi="Arial" w:cs="Arial"/>
                <w:sz w:val="18"/>
                <w:szCs w:val="18"/>
              </w:rPr>
              <w:t>&lt;0.0001</w:t>
            </w:r>
          </w:p>
        </w:tc>
        <w:tc>
          <w:tcPr>
            <w:tcW w:w="1170" w:type="dxa"/>
            <w:tcBorders>
              <w:left w:val="single" w:sz="4" w:space="0" w:color="auto"/>
              <w:bottom w:val="single" w:sz="4" w:space="0" w:color="auto"/>
            </w:tcBorders>
            <w:shd w:val="clear" w:color="auto" w:fill="auto"/>
          </w:tcPr>
          <w:p w14:paraId="4888A430" w14:textId="77777777" w:rsidR="00EA232E" w:rsidRDefault="00EA232E" w:rsidP="005856F9">
            <w:pPr>
              <w:tabs>
                <w:tab w:val="left" w:pos="1025"/>
              </w:tabs>
              <w:ind w:left="-32" w:right="76"/>
              <w:jc w:val="center"/>
              <w:rPr>
                <w:rFonts w:ascii="Arial" w:hAnsi="Arial" w:cs="Arial"/>
                <w:sz w:val="18"/>
                <w:szCs w:val="18"/>
              </w:rPr>
            </w:pPr>
            <w:r>
              <w:rPr>
                <w:rFonts w:ascii="Arial" w:hAnsi="Arial" w:cs="Arial"/>
                <w:sz w:val="18"/>
                <w:szCs w:val="18"/>
              </w:rPr>
              <w:t>0.89</w:t>
            </w:r>
          </w:p>
          <w:p w14:paraId="3BEA2842" w14:textId="654F19D7" w:rsidR="00EA232E" w:rsidRPr="004E51AC" w:rsidRDefault="00EA232E" w:rsidP="005856F9">
            <w:pPr>
              <w:tabs>
                <w:tab w:val="left" w:pos="1025"/>
              </w:tabs>
              <w:ind w:left="-32" w:right="76"/>
              <w:jc w:val="center"/>
              <w:rPr>
                <w:rFonts w:ascii="Arial" w:hAnsi="Arial" w:cs="Arial"/>
                <w:sz w:val="18"/>
                <w:szCs w:val="18"/>
              </w:rPr>
            </w:pPr>
            <w:r>
              <w:rPr>
                <w:rFonts w:ascii="Arial" w:hAnsi="Arial" w:cs="Arial"/>
                <w:sz w:val="18"/>
                <w:szCs w:val="18"/>
              </w:rPr>
              <w:t>(0.69-1.15)</w:t>
            </w:r>
          </w:p>
        </w:tc>
        <w:tc>
          <w:tcPr>
            <w:tcW w:w="810" w:type="dxa"/>
            <w:tcBorders>
              <w:bottom w:val="single" w:sz="4" w:space="0" w:color="auto"/>
              <w:right w:val="single" w:sz="4" w:space="0" w:color="auto"/>
            </w:tcBorders>
            <w:shd w:val="clear" w:color="auto" w:fill="auto"/>
          </w:tcPr>
          <w:p w14:paraId="211745D1" w14:textId="27AA4993" w:rsidR="00EA232E" w:rsidRDefault="00EA232E" w:rsidP="005856F9">
            <w:pPr>
              <w:tabs>
                <w:tab w:val="left" w:pos="1025"/>
              </w:tabs>
              <w:jc w:val="center"/>
              <w:rPr>
                <w:rFonts w:ascii="Arial" w:hAnsi="Arial" w:cs="Arial"/>
                <w:sz w:val="18"/>
                <w:szCs w:val="18"/>
              </w:rPr>
            </w:pPr>
            <w:r>
              <w:rPr>
                <w:rFonts w:ascii="Arial" w:hAnsi="Arial" w:cs="Arial"/>
                <w:sz w:val="18"/>
                <w:szCs w:val="18"/>
              </w:rPr>
              <w:t>0.3759</w:t>
            </w:r>
          </w:p>
        </w:tc>
        <w:tc>
          <w:tcPr>
            <w:tcW w:w="1080" w:type="dxa"/>
            <w:tcBorders>
              <w:left w:val="single" w:sz="4" w:space="0" w:color="auto"/>
              <w:bottom w:val="single" w:sz="4" w:space="0" w:color="auto"/>
            </w:tcBorders>
            <w:shd w:val="clear" w:color="auto" w:fill="auto"/>
          </w:tcPr>
          <w:p w14:paraId="2353CAFF" w14:textId="77777777" w:rsidR="00EA232E" w:rsidRDefault="00EA232E" w:rsidP="005856F9">
            <w:pPr>
              <w:tabs>
                <w:tab w:val="left" w:pos="877"/>
              </w:tabs>
              <w:ind w:left="-113" w:right="38"/>
              <w:jc w:val="center"/>
              <w:rPr>
                <w:rFonts w:ascii="Arial" w:hAnsi="Arial" w:cs="Arial"/>
                <w:sz w:val="18"/>
                <w:szCs w:val="18"/>
              </w:rPr>
            </w:pPr>
            <w:r>
              <w:rPr>
                <w:rFonts w:ascii="Arial" w:hAnsi="Arial" w:cs="Arial"/>
                <w:sz w:val="18"/>
                <w:szCs w:val="18"/>
              </w:rPr>
              <w:t>0.996</w:t>
            </w:r>
          </w:p>
          <w:p w14:paraId="14DE349A" w14:textId="54EAC2A1" w:rsidR="00EA232E" w:rsidRPr="004E51AC" w:rsidRDefault="00EA232E" w:rsidP="005856F9">
            <w:pPr>
              <w:tabs>
                <w:tab w:val="left" w:pos="877"/>
              </w:tabs>
              <w:ind w:left="-113" w:right="38"/>
              <w:jc w:val="center"/>
              <w:rPr>
                <w:rFonts w:ascii="Arial" w:hAnsi="Arial" w:cs="Arial"/>
                <w:sz w:val="18"/>
                <w:szCs w:val="18"/>
              </w:rPr>
            </w:pPr>
            <w:r>
              <w:rPr>
                <w:rFonts w:ascii="Arial" w:hAnsi="Arial" w:cs="Arial"/>
                <w:sz w:val="18"/>
                <w:szCs w:val="18"/>
              </w:rPr>
              <w:t>(0.87-1.14)</w:t>
            </w:r>
          </w:p>
        </w:tc>
        <w:tc>
          <w:tcPr>
            <w:tcW w:w="810" w:type="dxa"/>
            <w:tcBorders>
              <w:bottom w:val="single" w:sz="4" w:space="0" w:color="auto"/>
              <w:right w:val="single" w:sz="4" w:space="0" w:color="auto"/>
            </w:tcBorders>
            <w:shd w:val="clear" w:color="auto" w:fill="auto"/>
          </w:tcPr>
          <w:p w14:paraId="2B94AAF9" w14:textId="261BC7C8" w:rsidR="00EA232E" w:rsidRDefault="00EA232E" w:rsidP="005856F9">
            <w:pPr>
              <w:tabs>
                <w:tab w:val="left" w:pos="1025"/>
              </w:tabs>
              <w:jc w:val="center"/>
              <w:rPr>
                <w:rFonts w:ascii="Arial" w:hAnsi="Arial" w:cs="Arial"/>
                <w:sz w:val="18"/>
                <w:szCs w:val="18"/>
              </w:rPr>
            </w:pPr>
            <w:r>
              <w:rPr>
                <w:rFonts w:ascii="Arial" w:hAnsi="Arial" w:cs="Arial"/>
                <w:sz w:val="18"/>
                <w:szCs w:val="18"/>
              </w:rPr>
              <w:t>0.9496</w:t>
            </w:r>
          </w:p>
        </w:tc>
        <w:tc>
          <w:tcPr>
            <w:tcW w:w="1080" w:type="dxa"/>
            <w:tcBorders>
              <w:left w:val="single" w:sz="4" w:space="0" w:color="auto"/>
              <w:bottom w:val="single" w:sz="4" w:space="0" w:color="auto"/>
            </w:tcBorders>
            <w:shd w:val="clear" w:color="auto" w:fill="auto"/>
          </w:tcPr>
          <w:p w14:paraId="19EA3D1D" w14:textId="77777777" w:rsidR="00EA232E" w:rsidRDefault="00EA232E" w:rsidP="005856F9">
            <w:pPr>
              <w:tabs>
                <w:tab w:val="left" w:pos="797"/>
              </w:tabs>
              <w:ind w:left="-103"/>
              <w:jc w:val="center"/>
              <w:rPr>
                <w:rFonts w:ascii="Arial" w:hAnsi="Arial" w:cs="Arial"/>
                <w:sz w:val="18"/>
                <w:szCs w:val="18"/>
              </w:rPr>
            </w:pPr>
            <w:r>
              <w:rPr>
                <w:rFonts w:ascii="Arial" w:hAnsi="Arial" w:cs="Arial"/>
                <w:sz w:val="18"/>
                <w:szCs w:val="18"/>
              </w:rPr>
              <w:t>0.57</w:t>
            </w:r>
          </w:p>
          <w:p w14:paraId="016FE0B0" w14:textId="070241F8" w:rsidR="00EA232E" w:rsidRPr="004E51AC" w:rsidRDefault="00EA232E" w:rsidP="005856F9">
            <w:pPr>
              <w:tabs>
                <w:tab w:val="left" w:pos="797"/>
              </w:tabs>
              <w:ind w:left="-103"/>
              <w:jc w:val="center"/>
              <w:rPr>
                <w:rFonts w:ascii="Arial" w:hAnsi="Arial" w:cs="Arial"/>
                <w:sz w:val="18"/>
                <w:szCs w:val="18"/>
              </w:rPr>
            </w:pPr>
            <w:r>
              <w:rPr>
                <w:rFonts w:ascii="Arial" w:hAnsi="Arial" w:cs="Arial"/>
                <w:sz w:val="18"/>
                <w:szCs w:val="18"/>
              </w:rPr>
              <w:t>(0.37-0.87)</w:t>
            </w:r>
          </w:p>
        </w:tc>
        <w:tc>
          <w:tcPr>
            <w:tcW w:w="810" w:type="dxa"/>
            <w:tcBorders>
              <w:bottom w:val="single" w:sz="4" w:space="0" w:color="auto"/>
              <w:right w:val="single" w:sz="4" w:space="0" w:color="auto"/>
            </w:tcBorders>
            <w:shd w:val="clear" w:color="auto" w:fill="auto"/>
          </w:tcPr>
          <w:p w14:paraId="3C0B6554" w14:textId="5D9F0BC4" w:rsidR="00EA232E" w:rsidRDefault="00EA232E" w:rsidP="005856F9">
            <w:pPr>
              <w:tabs>
                <w:tab w:val="left" w:pos="1025"/>
              </w:tabs>
              <w:jc w:val="center"/>
              <w:rPr>
                <w:rFonts w:ascii="Arial" w:hAnsi="Arial" w:cs="Arial"/>
                <w:sz w:val="18"/>
                <w:szCs w:val="18"/>
              </w:rPr>
            </w:pPr>
            <w:r>
              <w:rPr>
                <w:rFonts w:ascii="Arial" w:hAnsi="Arial" w:cs="Arial"/>
                <w:sz w:val="18"/>
                <w:szCs w:val="18"/>
              </w:rPr>
              <w:t>0.0095</w:t>
            </w:r>
          </w:p>
        </w:tc>
        <w:tc>
          <w:tcPr>
            <w:tcW w:w="1037" w:type="dxa"/>
            <w:tcBorders>
              <w:left w:val="single" w:sz="4" w:space="0" w:color="auto"/>
              <w:bottom w:val="single" w:sz="4" w:space="0" w:color="auto"/>
            </w:tcBorders>
            <w:shd w:val="clear" w:color="auto" w:fill="auto"/>
          </w:tcPr>
          <w:p w14:paraId="381BA099" w14:textId="77777777" w:rsidR="00EA232E" w:rsidRDefault="00EA232E" w:rsidP="005856F9">
            <w:pPr>
              <w:tabs>
                <w:tab w:val="left" w:pos="874"/>
              </w:tabs>
              <w:ind w:left="-116"/>
              <w:jc w:val="center"/>
              <w:rPr>
                <w:rFonts w:ascii="Arial" w:hAnsi="Arial" w:cs="Arial"/>
                <w:sz w:val="18"/>
                <w:szCs w:val="18"/>
              </w:rPr>
            </w:pPr>
            <w:r>
              <w:rPr>
                <w:rFonts w:ascii="Arial" w:hAnsi="Arial" w:cs="Arial"/>
                <w:sz w:val="18"/>
                <w:szCs w:val="18"/>
              </w:rPr>
              <w:t>0.56</w:t>
            </w:r>
          </w:p>
          <w:p w14:paraId="1C3B137F" w14:textId="185B099B" w:rsidR="00EA232E" w:rsidRPr="004E51AC" w:rsidRDefault="00EA232E" w:rsidP="005856F9">
            <w:pPr>
              <w:tabs>
                <w:tab w:val="left" w:pos="874"/>
              </w:tabs>
              <w:ind w:left="-116"/>
              <w:jc w:val="center"/>
              <w:rPr>
                <w:rFonts w:ascii="Arial" w:hAnsi="Arial" w:cs="Arial"/>
                <w:sz w:val="18"/>
                <w:szCs w:val="18"/>
              </w:rPr>
            </w:pPr>
            <w:r>
              <w:rPr>
                <w:rFonts w:ascii="Arial" w:hAnsi="Arial" w:cs="Arial"/>
                <w:sz w:val="18"/>
                <w:szCs w:val="18"/>
              </w:rPr>
              <w:t>(0.36-0.89)</w:t>
            </w:r>
          </w:p>
        </w:tc>
        <w:tc>
          <w:tcPr>
            <w:tcW w:w="853" w:type="dxa"/>
            <w:tcBorders>
              <w:bottom w:val="single" w:sz="4" w:space="0" w:color="auto"/>
            </w:tcBorders>
            <w:shd w:val="clear" w:color="auto" w:fill="auto"/>
          </w:tcPr>
          <w:p w14:paraId="2167B51F" w14:textId="76A3C6F0" w:rsidR="00EA232E" w:rsidRDefault="00EA232E" w:rsidP="005856F9">
            <w:pPr>
              <w:tabs>
                <w:tab w:val="left" w:pos="1025"/>
              </w:tabs>
              <w:jc w:val="center"/>
              <w:rPr>
                <w:rFonts w:ascii="Arial" w:hAnsi="Arial" w:cs="Arial"/>
                <w:sz w:val="18"/>
                <w:szCs w:val="18"/>
              </w:rPr>
            </w:pPr>
            <w:r>
              <w:rPr>
                <w:rFonts w:ascii="Arial" w:hAnsi="Arial" w:cs="Arial"/>
                <w:sz w:val="18"/>
                <w:szCs w:val="18"/>
              </w:rPr>
              <w:t>0.0137</w:t>
            </w:r>
          </w:p>
        </w:tc>
      </w:tr>
      <w:tr w:rsidR="00C72323" w:rsidRPr="004E51AC" w14:paraId="2F63E0C6" w14:textId="77777777" w:rsidTr="00C72323">
        <w:trPr>
          <w:trHeight w:val="260"/>
        </w:trPr>
        <w:tc>
          <w:tcPr>
            <w:tcW w:w="13320" w:type="dxa"/>
            <w:gridSpan w:val="13"/>
            <w:tcBorders>
              <w:top w:val="single" w:sz="4" w:space="0" w:color="auto"/>
              <w:bottom w:val="single" w:sz="4" w:space="0" w:color="auto"/>
            </w:tcBorders>
          </w:tcPr>
          <w:p w14:paraId="4EBE16F6" w14:textId="66C1E01A" w:rsidR="00C72323" w:rsidRPr="00D33FAA" w:rsidRDefault="00C72323" w:rsidP="00C72323">
            <w:pPr>
              <w:tabs>
                <w:tab w:val="left" w:pos="1025"/>
              </w:tabs>
              <w:rPr>
                <w:rFonts w:ascii="Arial" w:hAnsi="Arial" w:cs="Arial"/>
                <w:b/>
                <w:bCs/>
                <w:sz w:val="18"/>
                <w:szCs w:val="18"/>
              </w:rPr>
            </w:pPr>
            <w:r w:rsidRPr="00D33FAA">
              <w:rPr>
                <w:rFonts w:ascii="Arial" w:hAnsi="Arial" w:cs="Arial"/>
                <w:b/>
                <w:bCs/>
                <w:sz w:val="18"/>
                <w:szCs w:val="18"/>
              </w:rPr>
              <w:t xml:space="preserve">CI: Confidence </w:t>
            </w:r>
            <w:r w:rsidR="001E57EC">
              <w:rPr>
                <w:rFonts w:ascii="Arial" w:hAnsi="Arial" w:cs="Arial"/>
                <w:b/>
                <w:bCs/>
                <w:sz w:val="18"/>
                <w:szCs w:val="18"/>
              </w:rPr>
              <w:t>i</w:t>
            </w:r>
            <w:r w:rsidRPr="00D33FAA">
              <w:rPr>
                <w:rFonts w:ascii="Arial" w:hAnsi="Arial" w:cs="Arial"/>
                <w:b/>
                <w:bCs/>
                <w:sz w:val="18"/>
                <w:szCs w:val="18"/>
              </w:rPr>
              <w:t xml:space="preserve">nterval; HR: Hazard </w:t>
            </w:r>
            <w:r w:rsidR="001E57EC">
              <w:rPr>
                <w:rFonts w:ascii="Arial" w:hAnsi="Arial" w:cs="Arial"/>
                <w:b/>
                <w:bCs/>
                <w:sz w:val="18"/>
                <w:szCs w:val="18"/>
              </w:rPr>
              <w:t>r</w:t>
            </w:r>
            <w:r w:rsidRPr="00D33FAA">
              <w:rPr>
                <w:rFonts w:ascii="Arial" w:hAnsi="Arial" w:cs="Arial"/>
                <w:b/>
                <w:bCs/>
                <w:sz w:val="18"/>
                <w:szCs w:val="18"/>
              </w:rPr>
              <w:t>atio</w:t>
            </w:r>
            <w:r w:rsidR="005856F9">
              <w:rPr>
                <w:rFonts w:ascii="Arial" w:hAnsi="Arial" w:cs="Arial"/>
                <w:b/>
                <w:bCs/>
                <w:sz w:val="18"/>
                <w:szCs w:val="18"/>
              </w:rPr>
              <w:t>, LVEF: Left ventricular ejection fraction, PSM: Propensity score matching</w:t>
            </w:r>
          </w:p>
          <w:p w14:paraId="1B36E65E" w14:textId="77777777" w:rsidR="00D33FAA" w:rsidRPr="00D33FAA" w:rsidRDefault="00D33FAA" w:rsidP="00D33FAA">
            <w:pPr>
              <w:rPr>
                <w:rFonts w:ascii="Arial" w:eastAsia="Times New Roman" w:hAnsi="Arial" w:cs="Arial"/>
                <w:b/>
                <w:bCs/>
                <w:color w:val="000000"/>
                <w:sz w:val="18"/>
                <w:szCs w:val="18"/>
              </w:rPr>
            </w:pPr>
            <w:r w:rsidRPr="00D33FAA">
              <w:rPr>
                <w:rFonts w:ascii="Arial" w:eastAsia="Times New Roman" w:hAnsi="Arial" w:cs="Arial"/>
                <w:b/>
                <w:bCs/>
                <w:color w:val="000000"/>
                <w:sz w:val="18"/>
                <w:szCs w:val="18"/>
              </w:rPr>
              <w:t>*Based on international classification of disease (ICD) or current procedural terminology (CPT) codes for bradycardia, sick sinus syndrome, 2</w:t>
            </w:r>
            <w:r w:rsidRPr="00D33FAA">
              <w:rPr>
                <w:rFonts w:ascii="Arial" w:eastAsia="Times New Roman" w:hAnsi="Arial" w:cs="Arial"/>
                <w:b/>
                <w:bCs/>
                <w:color w:val="000000"/>
                <w:sz w:val="18"/>
                <w:szCs w:val="18"/>
                <w:vertAlign w:val="superscript"/>
              </w:rPr>
              <w:t>nd</w:t>
            </w:r>
            <w:r w:rsidRPr="00D33FAA">
              <w:rPr>
                <w:rFonts w:ascii="Arial" w:eastAsia="Times New Roman" w:hAnsi="Arial" w:cs="Arial"/>
                <w:b/>
                <w:bCs/>
                <w:color w:val="000000"/>
                <w:sz w:val="18"/>
                <w:szCs w:val="18"/>
              </w:rPr>
              <w:t xml:space="preserve"> or 3</w:t>
            </w:r>
            <w:r w:rsidRPr="00D33FAA">
              <w:rPr>
                <w:rFonts w:ascii="Arial" w:eastAsia="Times New Roman" w:hAnsi="Arial" w:cs="Arial"/>
                <w:b/>
                <w:bCs/>
                <w:color w:val="000000"/>
                <w:sz w:val="18"/>
                <w:szCs w:val="18"/>
                <w:vertAlign w:val="superscript"/>
              </w:rPr>
              <w:t>rd</w:t>
            </w:r>
            <w:r w:rsidRPr="00D33FAA">
              <w:rPr>
                <w:rFonts w:ascii="Arial" w:eastAsia="Times New Roman" w:hAnsi="Arial" w:cs="Arial"/>
                <w:b/>
                <w:bCs/>
                <w:color w:val="000000"/>
                <w:sz w:val="18"/>
                <w:szCs w:val="18"/>
              </w:rPr>
              <w:t xml:space="preserve"> degree atrioventricular block, or pacemaker insertion</w:t>
            </w:r>
          </w:p>
          <w:p w14:paraId="243068B6" w14:textId="77777777" w:rsidR="00D33FAA" w:rsidRPr="00D33FAA" w:rsidRDefault="00D33FAA" w:rsidP="00D33FAA">
            <w:pPr>
              <w:rPr>
                <w:rFonts w:ascii="Arial" w:eastAsia="Times New Roman" w:hAnsi="Arial" w:cs="Arial"/>
                <w:b/>
                <w:bCs/>
                <w:color w:val="000000"/>
                <w:sz w:val="18"/>
                <w:szCs w:val="18"/>
              </w:rPr>
            </w:pPr>
            <w:r w:rsidRPr="00D33FAA">
              <w:rPr>
                <w:rFonts w:ascii="Arial" w:eastAsia="Times New Roman" w:hAnsi="Arial" w:cs="Arial"/>
                <w:b/>
                <w:bCs/>
                <w:color w:val="000000"/>
                <w:sz w:val="18"/>
                <w:szCs w:val="18"/>
                <w:vertAlign w:val="superscript"/>
              </w:rPr>
              <w:t>#</w:t>
            </w:r>
            <w:r w:rsidRPr="00D33FAA">
              <w:rPr>
                <w:rFonts w:ascii="Arial" w:eastAsia="Times New Roman" w:hAnsi="Arial" w:cs="Arial"/>
                <w:b/>
                <w:bCs/>
                <w:color w:val="000000"/>
                <w:sz w:val="18"/>
                <w:szCs w:val="18"/>
              </w:rPr>
              <w:t>Combination of an inpatient or ambulatory encounter with a primary or secondary ICD code for bradycardia, sick sinus syndrome, or 2</w:t>
            </w:r>
            <w:r w:rsidRPr="00D33FAA">
              <w:rPr>
                <w:rFonts w:ascii="Arial" w:eastAsia="Times New Roman" w:hAnsi="Arial" w:cs="Arial"/>
                <w:b/>
                <w:bCs/>
                <w:color w:val="000000"/>
                <w:sz w:val="18"/>
                <w:szCs w:val="18"/>
                <w:vertAlign w:val="superscript"/>
              </w:rPr>
              <w:t>nd</w:t>
            </w:r>
            <w:r w:rsidRPr="00D33FAA">
              <w:rPr>
                <w:rFonts w:ascii="Arial" w:eastAsia="Times New Roman" w:hAnsi="Arial" w:cs="Arial"/>
                <w:b/>
                <w:bCs/>
                <w:color w:val="000000"/>
                <w:sz w:val="18"/>
                <w:szCs w:val="18"/>
              </w:rPr>
              <w:t xml:space="preserve"> or 3</w:t>
            </w:r>
            <w:r w:rsidRPr="00D33FAA">
              <w:rPr>
                <w:rFonts w:ascii="Arial" w:eastAsia="Times New Roman" w:hAnsi="Arial" w:cs="Arial"/>
                <w:b/>
                <w:bCs/>
                <w:color w:val="000000"/>
                <w:sz w:val="18"/>
                <w:szCs w:val="18"/>
                <w:vertAlign w:val="superscript"/>
              </w:rPr>
              <w:t>rd</w:t>
            </w:r>
            <w:r w:rsidRPr="00D33FAA">
              <w:rPr>
                <w:rFonts w:ascii="Arial" w:eastAsia="Times New Roman" w:hAnsi="Arial" w:cs="Arial"/>
                <w:b/>
                <w:bCs/>
                <w:color w:val="000000"/>
                <w:sz w:val="18"/>
                <w:szCs w:val="18"/>
              </w:rPr>
              <w:t xml:space="preserve"> degree AV block within 5 days of an inpatient or ambulatory encounter with an ICD code for syncope or an inpatient or ambulatory encounter with pacemaker insertion</w:t>
            </w:r>
          </w:p>
          <w:p w14:paraId="786B6007" w14:textId="77777777" w:rsidR="00D33FAA" w:rsidRPr="00D33FAA" w:rsidRDefault="00D33FAA" w:rsidP="00D33FAA">
            <w:pPr>
              <w:tabs>
                <w:tab w:val="left" w:pos="1025"/>
              </w:tabs>
              <w:rPr>
                <w:rFonts w:ascii="Arial" w:eastAsia="Times New Roman" w:hAnsi="Arial" w:cs="Arial"/>
                <w:b/>
                <w:bCs/>
                <w:color w:val="000000"/>
                <w:sz w:val="18"/>
                <w:szCs w:val="18"/>
              </w:rPr>
            </w:pPr>
            <w:r w:rsidRPr="00D33FAA">
              <w:rPr>
                <w:rFonts w:ascii="Arial" w:hAnsi="Arial" w:cs="Arial"/>
                <w:b/>
                <w:bCs/>
                <w:sz w:val="18"/>
                <w:szCs w:val="18"/>
                <w:vertAlign w:val="superscript"/>
              </w:rPr>
              <w:lastRenderedPageBreak/>
              <w:t>†</w:t>
            </w:r>
            <w:r w:rsidRPr="00D33FAA">
              <w:rPr>
                <w:rFonts w:ascii="Arial" w:eastAsia="Times New Roman" w:hAnsi="Arial" w:cs="Arial"/>
                <w:b/>
                <w:bCs/>
                <w:color w:val="000000"/>
                <w:sz w:val="18"/>
                <w:szCs w:val="18"/>
              </w:rPr>
              <w:t>Combination of an inpatient or ambulatory encounter with a primary or secondary ICD code for bradycardia, sick sinus syndrome, or 2</w:t>
            </w:r>
            <w:r w:rsidRPr="00D33FAA">
              <w:rPr>
                <w:rFonts w:ascii="Arial" w:eastAsia="Times New Roman" w:hAnsi="Arial" w:cs="Arial"/>
                <w:b/>
                <w:bCs/>
                <w:color w:val="000000"/>
                <w:sz w:val="18"/>
                <w:szCs w:val="18"/>
                <w:vertAlign w:val="superscript"/>
              </w:rPr>
              <w:t>nd</w:t>
            </w:r>
            <w:r w:rsidRPr="00D33FAA">
              <w:rPr>
                <w:rFonts w:ascii="Arial" w:eastAsia="Times New Roman" w:hAnsi="Arial" w:cs="Arial"/>
                <w:b/>
                <w:bCs/>
                <w:color w:val="000000"/>
                <w:sz w:val="18"/>
                <w:szCs w:val="18"/>
              </w:rPr>
              <w:t xml:space="preserve"> or 3</w:t>
            </w:r>
            <w:r w:rsidRPr="00D33FAA">
              <w:rPr>
                <w:rFonts w:ascii="Arial" w:eastAsia="Times New Roman" w:hAnsi="Arial" w:cs="Arial"/>
                <w:b/>
                <w:bCs/>
                <w:color w:val="000000"/>
                <w:sz w:val="18"/>
                <w:szCs w:val="18"/>
                <w:vertAlign w:val="superscript"/>
              </w:rPr>
              <w:t>rd</w:t>
            </w:r>
            <w:r w:rsidRPr="00D33FAA">
              <w:rPr>
                <w:rFonts w:ascii="Arial" w:eastAsia="Times New Roman" w:hAnsi="Arial" w:cs="Arial"/>
                <w:b/>
                <w:bCs/>
                <w:color w:val="000000"/>
                <w:sz w:val="18"/>
                <w:szCs w:val="18"/>
              </w:rPr>
              <w:t xml:space="preserve"> degree AV block within 5 days of an inpatient or ambulatory encounter with pacemaker insertion</w:t>
            </w:r>
          </w:p>
          <w:p w14:paraId="3F976E01" w14:textId="57B02BF3" w:rsidR="00C72323" w:rsidRPr="00E24594" w:rsidRDefault="00D33FAA" w:rsidP="00D33FAA">
            <w:pPr>
              <w:tabs>
                <w:tab w:val="left" w:pos="1025"/>
              </w:tabs>
              <w:rPr>
                <w:rFonts w:ascii="Arial" w:hAnsi="Arial" w:cs="Arial"/>
                <w:b/>
                <w:bCs/>
                <w:sz w:val="18"/>
                <w:szCs w:val="18"/>
              </w:rPr>
            </w:pPr>
            <w:r>
              <w:rPr>
                <w:rFonts w:ascii="Arial" w:hAnsi="Arial" w:cs="Arial"/>
                <w:b/>
                <w:bCs/>
                <w:sz w:val="18"/>
                <w:szCs w:val="18"/>
                <w:vertAlign w:val="superscript"/>
              </w:rPr>
              <w:sym w:font="Symbol" w:char="F064"/>
            </w:r>
            <w:r w:rsidR="00C72323" w:rsidRPr="00D33FAA">
              <w:rPr>
                <w:rFonts w:ascii="Arial" w:hAnsi="Arial" w:cs="Arial"/>
                <w:b/>
                <w:bCs/>
                <w:sz w:val="18"/>
                <w:szCs w:val="18"/>
              </w:rPr>
              <w:t>Cox proportional hazard regressions among the matched</w:t>
            </w:r>
            <w:r w:rsidR="00C72323">
              <w:rPr>
                <w:rFonts w:ascii="Arial" w:hAnsi="Arial" w:cs="Arial"/>
                <w:b/>
                <w:bCs/>
                <w:sz w:val="18"/>
                <w:szCs w:val="18"/>
              </w:rPr>
              <w:t xml:space="preserve"> cohorts </w:t>
            </w:r>
          </w:p>
        </w:tc>
      </w:tr>
    </w:tbl>
    <w:p w14:paraId="0E53D518" w14:textId="25415513" w:rsidR="00D33FAA" w:rsidRDefault="00D33FAA">
      <w:pPr>
        <w:rPr>
          <w:rFonts w:ascii="Arial" w:hAnsi="Arial" w:cs="Arial"/>
          <w:b/>
          <w:bCs/>
          <w:sz w:val="22"/>
          <w:szCs w:val="22"/>
        </w:rPr>
      </w:pPr>
    </w:p>
    <w:sectPr w:rsidR="00D33FAA" w:rsidSect="003A1C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19A" w14:textId="77777777" w:rsidR="003A1C04" w:rsidRDefault="003A1C04" w:rsidP="005350F2">
      <w:r>
        <w:separator/>
      </w:r>
    </w:p>
  </w:endnote>
  <w:endnote w:type="continuationSeparator" w:id="0">
    <w:p w14:paraId="37D70DDA" w14:textId="77777777" w:rsidR="003A1C04" w:rsidRDefault="003A1C04" w:rsidP="0053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8BC1" w14:textId="77777777" w:rsidR="003A1C04" w:rsidRDefault="003A1C04" w:rsidP="005350F2">
      <w:r>
        <w:separator/>
      </w:r>
    </w:p>
  </w:footnote>
  <w:footnote w:type="continuationSeparator" w:id="0">
    <w:p w14:paraId="575F1F83" w14:textId="77777777" w:rsidR="003A1C04" w:rsidRDefault="003A1C04" w:rsidP="0053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039719"/>
      <w:docPartObj>
        <w:docPartGallery w:val="Page Numbers (Top of Page)"/>
        <w:docPartUnique/>
      </w:docPartObj>
    </w:sdtPr>
    <w:sdtContent>
      <w:p w14:paraId="6D084A90" w14:textId="089E79C6" w:rsidR="003B657B" w:rsidRDefault="003B657B" w:rsidP="002113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1C107" w14:textId="77777777" w:rsidR="003B657B" w:rsidRDefault="003B657B" w:rsidP="003B65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670972"/>
      <w:docPartObj>
        <w:docPartGallery w:val="Page Numbers (Top of Page)"/>
        <w:docPartUnique/>
      </w:docPartObj>
    </w:sdtPr>
    <w:sdtContent>
      <w:p w14:paraId="3AF7F55C" w14:textId="0E3BD5DE" w:rsidR="003B657B" w:rsidRDefault="003B657B" w:rsidP="002113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452850" w14:textId="77777777" w:rsidR="003B657B" w:rsidRDefault="003B657B" w:rsidP="003B657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E89"/>
    <w:multiLevelType w:val="multilevel"/>
    <w:tmpl w:val="BF8A9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7F4FCE"/>
    <w:multiLevelType w:val="hybridMultilevel"/>
    <w:tmpl w:val="D53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22489"/>
    <w:multiLevelType w:val="hybridMultilevel"/>
    <w:tmpl w:val="873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B2945"/>
    <w:multiLevelType w:val="hybridMultilevel"/>
    <w:tmpl w:val="870EB792"/>
    <w:lvl w:ilvl="0" w:tplc="4640921A">
      <w:start w:val="75"/>
      <w:numFmt w:val="bullet"/>
      <w:lvlText w:val=""/>
      <w:lvlJc w:val="left"/>
      <w:pPr>
        <w:ind w:left="720" w:hanging="360"/>
      </w:pPr>
      <w:rPr>
        <w:rFonts w:ascii="Wingdings" w:eastAsia="Helvetica Neue" w:hAnsi="Wingdings"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432071">
    <w:abstractNumId w:val="3"/>
  </w:num>
  <w:num w:numId="2" w16cid:durableId="1498038410">
    <w:abstractNumId w:val="0"/>
  </w:num>
  <w:num w:numId="3" w16cid:durableId="1164397964">
    <w:abstractNumId w:val="1"/>
  </w:num>
  <w:num w:numId="4" w16cid:durableId="24059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BE"/>
    <w:rsid w:val="00013858"/>
    <w:rsid w:val="00026ED7"/>
    <w:rsid w:val="00030BA7"/>
    <w:rsid w:val="00034F80"/>
    <w:rsid w:val="00041E4F"/>
    <w:rsid w:val="0005508E"/>
    <w:rsid w:val="000624E2"/>
    <w:rsid w:val="0006459C"/>
    <w:rsid w:val="000652EB"/>
    <w:rsid w:val="0006667C"/>
    <w:rsid w:val="000710C2"/>
    <w:rsid w:val="000754DF"/>
    <w:rsid w:val="00076485"/>
    <w:rsid w:val="00082D3C"/>
    <w:rsid w:val="00084A21"/>
    <w:rsid w:val="00087D86"/>
    <w:rsid w:val="000A0924"/>
    <w:rsid w:val="000B3057"/>
    <w:rsid w:val="000B5FF1"/>
    <w:rsid w:val="000C0066"/>
    <w:rsid w:val="000C34E9"/>
    <w:rsid w:val="000E179D"/>
    <w:rsid w:val="000E3B38"/>
    <w:rsid w:val="000F04F4"/>
    <w:rsid w:val="000F1BD2"/>
    <w:rsid w:val="00104EAA"/>
    <w:rsid w:val="0010626C"/>
    <w:rsid w:val="00111F7D"/>
    <w:rsid w:val="001207D6"/>
    <w:rsid w:val="00122076"/>
    <w:rsid w:val="0012416D"/>
    <w:rsid w:val="00124740"/>
    <w:rsid w:val="00125561"/>
    <w:rsid w:val="00126827"/>
    <w:rsid w:val="001319E1"/>
    <w:rsid w:val="00137FF6"/>
    <w:rsid w:val="00156813"/>
    <w:rsid w:val="00160485"/>
    <w:rsid w:val="00165357"/>
    <w:rsid w:val="001669DF"/>
    <w:rsid w:val="00167671"/>
    <w:rsid w:val="00170B59"/>
    <w:rsid w:val="0017479E"/>
    <w:rsid w:val="00174D57"/>
    <w:rsid w:val="00181AD4"/>
    <w:rsid w:val="00197DF1"/>
    <w:rsid w:val="001A6381"/>
    <w:rsid w:val="001B3A42"/>
    <w:rsid w:val="001B7978"/>
    <w:rsid w:val="001E499C"/>
    <w:rsid w:val="001E57EC"/>
    <w:rsid w:val="001E5F86"/>
    <w:rsid w:val="001E6FEA"/>
    <w:rsid w:val="001F01C8"/>
    <w:rsid w:val="001F22DC"/>
    <w:rsid w:val="001F39B5"/>
    <w:rsid w:val="001F4AB8"/>
    <w:rsid w:val="00204B2F"/>
    <w:rsid w:val="00207833"/>
    <w:rsid w:val="00215C3C"/>
    <w:rsid w:val="00255B18"/>
    <w:rsid w:val="002566AD"/>
    <w:rsid w:val="00266AE7"/>
    <w:rsid w:val="00270327"/>
    <w:rsid w:val="00271B9D"/>
    <w:rsid w:val="00275DB9"/>
    <w:rsid w:val="0027617A"/>
    <w:rsid w:val="00277FCE"/>
    <w:rsid w:val="002805B6"/>
    <w:rsid w:val="0028595B"/>
    <w:rsid w:val="00286BF5"/>
    <w:rsid w:val="00290F76"/>
    <w:rsid w:val="00291444"/>
    <w:rsid w:val="002A0F92"/>
    <w:rsid w:val="002A7B27"/>
    <w:rsid w:val="002B66B2"/>
    <w:rsid w:val="002B6825"/>
    <w:rsid w:val="002C2F62"/>
    <w:rsid w:val="002C3E95"/>
    <w:rsid w:val="002C5301"/>
    <w:rsid w:val="002D27BF"/>
    <w:rsid w:val="002D53DA"/>
    <w:rsid w:val="002D6218"/>
    <w:rsid w:val="002D69CF"/>
    <w:rsid w:val="002E1CD2"/>
    <w:rsid w:val="002E67E7"/>
    <w:rsid w:val="002E7657"/>
    <w:rsid w:val="002F40A4"/>
    <w:rsid w:val="00303117"/>
    <w:rsid w:val="00304E4E"/>
    <w:rsid w:val="00306C09"/>
    <w:rsid w:val="0031089C"/>
    <w:rsid w:val="00314F38"/>
    <w:rsid w:val="00321DE3"/>
    <w:rsid w:val="00326907"/>
    <w:rsid w:val="00326FE1"/>
    <w:rsid w:val="0033080D"/>
    <w:rsid w:val="00335DF6"/>
    <w:rsid w:val="003760D7"/>
    <w:rsid w:val="0037634D"/>
    <w:rsid w:val="00381E78"/>
    <w:rsid w:val="003A1C04"/>
    <w:rsid w:val="003B00FE"/>
    <w:rsid w:val="003B657B"/>
    <w:rsid w:val="003C429E"/>
    <w:rsid w:val="003C5EDF"/>
    <w:rsid w:val="003D3E91"/>
    <w:rsid w:val="003E555B"/>
    <w:rsid w:val="004013AB"/>
    <w:rsid w:val="004022AA"/>
    <w:rsid w:val="00417CEE"/>
    <w:rsid w:val="004244EE"/>
    <w:rsid w:val="004276D9"/>
    <w:rsid w:val="00434047"/>
    <w:rsid w:val="004448B1"/>
    <w:rsid w:val="00447CFC"/>
    <w:rsid w:val="00453440"/>
    <w:rsid w:val="00455D11"/>
    <w:rsid w:val="00456E96"/>
    <w:rsid w:val="00465DCF"/>
    <w:rsid w:val="00467D5D"/>
    <w:rsid w:val="00470A44"/>
    <w:rsid w:val="004A20D9"/>
    <w:rsid w:val="004A42B6"/>
    <w:rsid w:val="004B3B20"/>
    <w:rsid w:val="004B7E6A"/>
    <w:rsid w:val="004D0B19"/>
    <w:rsid w:val="004D3E0D"/>
    <w:rsid w:val="004E3B20"/>
    <w:rsid w:val="004E459A"/>
    <w:rsid w:val="004E51AC"/>
    <w:rsid w:val="004F789B"/>
    <w:rsid w:val="0050046D"/>
    <w:rsid w:val="00500556"/>
    <w:rsid w:val="005020DE"/>
    <w:rsid w:val="0050401A"/>
    <w:rsid w:val="0050669D"/>
    <w:rsid w:val="005350F2"/>
    <w:rsid w:val="00536A6B"/>
    <w:rsid w:val="00537A3F"/>
    <w:rsid w:val="005419A7"/>
    <w:rsid w:val="0054501F"/>
    <w:rsid w:val="00550C0C"/>
    <w:rsid w:val="00552887"/>
    <w:rsid w:val="00556E12"/>
    <w:rsid w:val="0056494A"/>
    <w:rsid w:val="00566944"/>
    <w:rsid w:val="0058069E"/>
    <w:rsid w:val="00582AB4"/>
    <w:rsid w:val="005831C5"/>
    <w:rsid w:val="00583B94"/>
    <w:rsid w:val="005856F9"/>
    <w:rsid w:val="00587860"/>
    <w:rsid w:val="00590698"/>
    <w:rsid w:val="0059206E"/>
    <w:rsid w:val="005A3614"/>
    <w:rsid w:val="005A7E73"/>
    <w:rsid w:val="005B2938"/>
    <w:rsid w:val="005B2F10"/>
    <w:rsid w:val="005B7778"/>
    <w:rsid w:val="005C552D"/>
    <w:rsid w:val="005C7A21"/>
    <w:rsid w:val="005D4F94"/>
    <w:rsid w:val="005E55C1"/>
    <w:rsid w:val="005F07EC"/>
    <w:rsid w:val="005F1184"/>
    <w:rsid w:val="005F4B36"/>
    <w:rsid w:val="005F7C68"/>
    <w:rsid w:val="006127E0"/>
    <w:rsid w:val="006159E2"/>
    <w:rsid w:val="00620A54"/>
    <w:rsid w:val="0062511D"/>
    <w:rsid w:val="00632A80"/>
    <w:rsid w:val="00634F8E"/>
    <w:rsid w:val="00635296"/>
    <w:rsid w:val="006415BE"/>
    <w:rsid w:val="00644402"/>
    <w:rsid w:val="00665E0E"/>
    <w:rsid w:val="0067281A"/>
    <w:rsid w:val="00673319"/>
    <w:rsid w:val="0068012D"/>
    <w:rsid w:val="006868C4"/>
    <w:rsid w:val="0068697C"/>
    <w:rsid w:val="006964EC"/>
    <w:rsid w:val="006A1DF5"/>
    <w:rsid w:val="006A4E9C"/>
    <w:rsid w:val="006B174A"/>
    <w:rsid w:val="006B621A"/>
    <w:rsid w:val="006C2E56"/>
    <w:rsid w:val="006C367C"/>
    <w:rsid w:val="006D5C81"/>
    <w:rsid w:val="006D74A3"/>
    <w:rsid w:val="006D74F4"/>
    <w:rsid w:val="006E21D3"/>
    <w:rsid w:val="006E3DB7"/>
    <w:rsid w:val="006E65FE"/>
    <w:rsid w:val="00705F68"/>
    <w:rsid w:val="00721CA5"/>
    <w:rsid w:val="00722ECF"/>
    <w:rsid w:val="00723AA4"/>
    <w:rsid w:val="00730650"/>
    <w:rsid w:val="00730708"/>
    <w:rsid w:val="00732DD0"/>
    <w:rsid w:val="007427A7"/>
    <w:rsid w:val="0074566A"/>
    <w:rsid w:val="00750782"/>
    <w:rsid w:val="00750CEB"/>
    <w:rsid w:val="00750F78"/>
    <w:rsid w:val="00752387"/>
    <w:rsid w:val="007544C4"/>
    <w:rsid w:val="00755274"/>
    <w:rsid w:val="00783A32"/>
    <w:rsid w:val="00785764"/>
    <w:rsid w:val="0079402F"/>
    <w:rsid w:val="007A19DF"/>
    <w:rsid w:val="007B22D5"/>
    <w:rsid w:val="007C209D"/>
    <w:rsid w:val="007D486F"/>
    <w:rsid w:val="007D56A0"/>
    <w:rsid w:val="007E5641"/>
    <w:rsid w:val="007F2253"/>
    <w:rsid w:val="007F4922"/>
    <w:rsid w:val="008032EE"/>
    <w:rsid w:val="00810B7F"/>
    <w:rsid w:val="0082537B"/>
    <w:rsid w:val="0083031C"/>
    <w:rsid w:val="008323AE"/>
    <w:rsid w:val="008363C3"/>
    <w:rsid w:val="00842FEF"/>
    <w:rsid w:val="008451DC"/>
    <w:rsid w:val="00851426"/>
    <w:rsid w:val="008550E5"/>
    <w:rsid w:val="00856813"/>
    <w:rsid w:val="00863F3C"/>
    <w:rsid w:val="0086495A"/>
    <w:rsid w:val="00867BA0"/>
    <w:rsid w:val="00873982"/>
    <w:rsid w:val="00876881"/>
    <w:rsid w:val="0088021C"/>
    <w:rsid w:val="00885F11"/>
    <w:rsid w:val="008931E1"/>
    <w:rsid w:val="008967B3"/>
    <w:rsid w:val="008A16F9"/>
    <w:rsid w:val="008A6384"/>
    <w:rsid w:val="008B00B2"/>
    <w:rsid w:val="008B39FD"/>
    <w:rsid w:val="008B62CA"/>
    <w:rsid w:val="008D34BF"/>
    <w:rsid w:val="008E5503"/>
    <w:rsid w:val="008F0CFD"/>
    <w:rsid w:val="008F2239"/>
    <w:rsid w:val="008F310A"/>
    <w:rsid w:val="008F408E"/>
    <w:rsid w:val="008F5439"/>
    <w:rsid w:val="008F70A6"/>
    <w:rsid w:val="0090127A"/>
    <w:rsid w:val="00901680"/>
    <w:rsid w:val="0090552B"/>
    <w:rsid w:val="00905AA4"/>
    <w:rsid w:val="0090786F"/>
    <w:rsid w:val="00913BFE"/>
    <w:rsid w:val="00914842"/>
    <w:rsid w:val="00922454"/>
    <w:rsid w:val="00923066"/>
    <w:rsid w:val="00923183"/>
    <w:rsid w:val="009300A7"/>
    <w:rsid w:val="00932378"/>
    <w:rsid w:val="009364A8"/>
    <w:rsid w:val="0093719C"/>
    <w:rsid w:val="00937B99"/>
    <w:rsid w:val="00937FEB"/>
    <w:rsid w:val="00941402"/>
    <w:rsid w:val="00946D1B"/>
    <w:rsid w:val="00950384"/>
    <w:rsid w:val="00950A0F"/>
    <w:rsid w:val="009576BE"/>
    <w:rsid w:val="00961742"/>
    <w:rsid w:val="00966DD8"/>
    <w:rsid w:val="009724D2"/>
    <w:rsid w:val="0098650A"/>
    <w:rsid w:val="00995CF1"/>
    <w:rsid w:val="009960F6"/>
    <w:rsid w:val="009B5292"/>
    <w:rsid w:val="009B65C8"/>
    <w:rsid w:val="009C1CFA"/>
    <w:rsid w:val="009C374E"/>
    <w:rsid w:val="009C4828"/>
    <w:rsid w:val="009C54EC"/>
    <w:rsid w:val="009D2327"/>
    <w:rsid w:val="009D29D7"/>
    <w:rsid w:val="009E6EF5"/>
    <w:rsid w:val="009E74FC"/>
    <w:rsid w:val="009F1B96"/>
    <w:rsid w:val="009F6B02"/>
    <w:rsid w:val="00A271A8"/>
    <w:rsid w:val="00A308D3"/>
    <w:rsid w:val="00A30C58"/>
    <w:rsid w:val="00A460AB"/>
    <w:rsid w:val="00A6396F"/>
    <w:rsid w:val="00A66B67"/>
    <w:rsid w:val="00A70BF0"/>
    <w:rsid w:val="00A82898"/>
    <w:rsid w:val="00A83070"/>
    <w:rsid w:val="00A86AAC"/>
    <w:rsid w:val="00A91EAA"/>
    <w:rsid w:val="00A93C82"/>
    <w:rsid w:val="00A9532B"/>
    <w:rsid w:val="00A97A6F"/>
    <w:rsid w:val="00AA22E6"/>
    <w:rsid w:val="00AB0879"/>
    <w:rsid w:val="00AB2391"/>
    <w:rsid w:val="00AC42AA"/>
    <w:rsid w:val="00AC4F7C"/>
    <w:rsid w:val="00AD5669"/>
    <w:rsid w:val="00AE4E59"/>
    <w:rsid w:val="00AE5B7D"/>
    <w:rsid w:val="00AE779C"/>
    <w:rsid w:val="00AF408D"/>
    <w:rsid w:val="00AF6CB9"/>
    <w:rsid w:val="00AF76A6"/>
    <w:rsid w:val="00B11FE0"/>
    <w:rsid w:val="00B1585F"/>
    <w:rsid w:val="00B16AB9"/>
    <w:rsid w:val="00B226E0"/>
    <w:rsid w:val="00B24C8E"/>
    <w:rsid w:val="00B255FC"/>
    <w:rsid w:val="00B36FD1"/>
    <w:rsid w:val="00B42A4A"/>
    <w:rsid w:val="00B46115"/>
    <w:rsid w:val="00B54212"/>
    <w:rsid w:val="00B6029B"/>
    <w:rsid w:val="00B641DB"/>
    <w:rsid w:val="00B64AAE"/>
    <w:rsid w:val="00B65C6C"/>
    <w:rsid w:val="00B66153"/>
    <w:rsid w:val="00B843C9"/>
    <w:rsid w:val="00B90501"/>
    <w:rsid w:val="00B94D31"/>
    <w:rsid w:val="00BA0CA8"/>
    <w:rsid w:val="00BB42C7"/>
    <w:rsid w:val="00BB4639"/>
    <w:rsid w:val="00BC1875"/>
    <w:rsid w:val="00BD2BB8"/>
    <w:rsid w:val="00BD44DC"/>
    <w:rsid w:val="00BD5AAA"/>
    <w:rsid w:val="00BE3725"/>
    <w:rsid w:val="00BF0E81"/>
    <w:rsid w:val="00BF49E3"/>
    <w:rsid w:val="00C00C63"/>
    <w:rsid w:val="00C4009F"/>
    <w:rsid w:val="00C41721"/>
    <w:rsid w:val="00C41C1B"/>
    <w:rsid w:val="00C507E4"/>
    <w:rsid w:val="00C50C6B"/>
    <w:rsid w:val="00C54749"/>
    <w:rsid w:val="00C577BE"/>
    <w:rsid w:val="00C65F59"/>
    <w:rsid w:val="00C67DC9"/>
    <w:rsid w:val="00C71B8C"/>
    <w:rsid w:val="00C72323"/>
    <w:rsid w:val="00C83B77"/>
    <w:rsid w:val="00C943CD"/>
    <w:rsid w:val="00C957B3"/>
    <w:rsid w:val="00C9664A"/>
    <w:rsid w:val="00C9753D"/>
    <w:rsid w:val="00CA70E8"/>
    <w:rsid w:val="00CA742C"/>
    <w:rsid w:val="00CB489D"/>
    <w:rsid w:val="00CC03F8"/>
    <w:rsid w:val="00CC12BD"/>
    <w:rsid w:val="00CC1A42"/>
    <w:rsid w:val="00CC7B03"/>
    <w:rsid w:val="00CD0D87"/>
    <w:rsid w:val="00CD54F3"/>
    <w:rsid w:val="00CD6A04"/>
    <w:rsid w:val="00CE126A"/>
    <w:rsid w:val="00CE1A6C"/>
    <w:rsid w:val="00CE42F6"/>
    <w:rsid w:val="00CF0863"/>
    <w:rsid w:val="00CF38DB"/>
    <w:rsid w:val="00D02540"/>
    <w:rsid w:val="00D03082"/>
    <w:rsid w:val="00D1035B"/>
    <w:rsid w:val="00D20587"/>
    <w:rsid w:val="00D2251C"/>
    <w:rsid w:val="00D23A0D"/>
    <w:rsid w:val="00D24926"/>
    <w:rsid w:val="00D26AA6"/>
    <w:rsid w:val="00D30839"/>
    <w:rsid w:val="00D30B4B"/>
    <w:rsid w:val="00D32AAC"/>
    <w:rsid w:val="00D33FAA"/>
    <w:rsid w:val="00D405B9"/>
    <w:rsid w:val="00D41673"/>
    <w:rsid w:val="00D43300"/>
    <w:rsid w:val="00D50AD2"/>
    <w:rsid w:val="00D52554"/>
    <w:rsid w:val="00D531DC"/>
    <w:rsid w:val="00D61A7F"/>
    <w:rsid w:val="00D63009"/>
    <w:rsid w:val="00D633BB"/>
    <w:rsid w:val="00D63979"/>
    <w:rsid w:val="00D66F8B"/>
    <w:rsid w:val="00D72843"/>
    <w:rsid w:val="00D739B2"/>
    <w:rsid w:val="00D87D75"/>
    <w:rsid w:val="00D97CE4"/>
    <w:rsid w:val="00DA5B33"/>
    <w:rsid w:val="00DA6842"/>
    <w:rsid w:val="00DB7024"/>
    <w:rsid w:val="00DC55BA"/>
    <w:rsid w:val="00DD1970"/>
    <w:rsid w:val="00DD4E39"/>
    <w:rsid w:val="00DE4C8E"/>
    <w:rsid w:val="00DE58F9"/>
    <w:rsid w:val="00E015B7"/>
    <w:rsid w:val="00E040BB"/>
    <w:rsid w:val="00E057E2"/>
    <w:rsid w:val="00E10FE3"/>
    <w:rsid w:val="00E2233B"/>
    <w:rsid w:val="00E24594"/>
    <w:rsid w:val="00E26DA4"/>
    <w:rsid w:val="00E32F30"/>
    <w:rsid w:val="00E33A43"/>
    <w:rsid w:val="00E34FA8"/>
    <w:rsid w:val="00E42980"/>
    <w:rsid w:val="00E4790A"/>
    <w:rsid w:val="00E500F5"/>
    <w:rsid w:val="00E549AE"/>
    <w:rsid w:val="00E60221"/>
    <w:rsid w:val="00E6099D"/>
    <w:rsid w:val="00E6587D"/>
    <w:rsid w:val="00E70657"/>
    <w:rsid w:val="00E73441"/>
    <w:rsid w:val="00E77F6E"/>
    <w:rsid w:val="00E77FFD"/>
    <w:rsid w:val="00E8009C"/>
    <w:rsid w:val="00E90BF6"/>
    <w:rsid w:val="00E92670"/>
    <w:rsid w:val="00E94042"/>
    <w:rsid w:val="00EA232E"/>
    <w:rsid w:val="00EA53FE"/>
    <w:rsid w:val="00EE1115"/>
    <w:rsid w:val="00EE1EED"/>
    <w:rsid w:val="00EE3497"/>
    <w:rsid w:val="00EE530D"/>
    <w:rsid w:val="00EF17DA"/>
    <w:rsid w:val="00F00DA1"/>
    <w:rsid w:val="00F010FC"/>
    <w:rsid w:val="00F11247"/>
    <w:rsid w:val="00F15DE8"/>
    <w:rsid w:val="00F25828"/>
    <w:rsid w:val="00F3059C"/>
    <w:rsid w:val="00F34B30"/>
    <w:rsid w:val="00F42C30"/>
    <w:rsid w:val="00F42F28"/>
    <w:rsid w:val="00F44B7B"/>
    <w:rsid w:val="00F50117"/>
    <w:rsid w:val="00F63737"/>
    <w:rsid w:val="00F65E56"/>
    <w:rsid w:val="00F66501"/>
    <w:rsid w:val="00F677FD"/>
    <w:rsid w:val="00F70C90"/>
    <w:rsid w:val="00F719B3"/>
    <w:rsid w:val="00F72951"/>
    <w:rsid w:val="00F7354D"/>
    <w:rsid w:val="00F73E23"/>
    <w:rsid w:val="00F84855"/>
    <w:rsid w:val="00FA240C"/>
    <w:rsid w:val="00FA4D8D"/>
    <w:rsid w:val="00FB030C"/>
    <w:rsid w:val="00FB12E8"/>
    <w:rsid w:val="00FC4540"/>
    <w:rsid w:val="00FC4BC8"/>
    <w:rsid w:val="00FC4E4F"/>
    <w:rsid w:val="00FC4EB1"/>
    <w:rsid w:val="00FD28D3"/>
    <w:rsid w:val="00FD63E3"/>
    <w:rsid w:val="00FF1BB9"/>
    <w:rsid w:val="00FF37F1"/>
    <w:rsid w:val="00FF54F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EEE1"/>
  <w15:chartTrackingRefBased/>
  <w15:docId w15:val="{E626D0B8-FE72-1B4C-8116-53EA316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08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7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3319"/>
    <w:rPr>
      <w:sz w:val="16"/>
      <w:szCs w:val="16"/>
    </w:rPr>
  </w:style>
  <w:style w:type="paragraph" w:styleId="CommentText">
    <w:name w:val="annotation text"/>
    <w:basedOn w:val="Normal"/>
    <w:link w:val="CommentTextChar"/>
    <w:uiPriority w:val="99"/>
    <w:unhideWhenUsed/>
    <w:rsid w:val="00673319"/>
    <w:rPr>
      <w:sz w:val="20"/>
      <w:szCs w:val="20"/>
    </w:rPr>
  </w:style>
  <w:style w:type="character" w:customStyle="1" w:styleId="CommentTextChar">
    <w:name w:val="Comment Text Char"/>
    <w:basedOn w:val="DefaultParagraphFont"/>
    <w:link w:val="CommentText"/>
    <w:uiPriority w:val="99"/>
    <w:rsid w:val="00673319"/>
    <w:rPr>
      <w:sz w:val="20"/>
      <w:szCs w:val="20"/>
    </w:rPr>
  </w:style>
  <w:style w:type="paragraph" w:styleId="CommentSubject">
    <w:name w:val="annotation subject"/>
    <w:basedOn w:val="CommentText"/>
    <w:next w:val="CommentText"/>
    <w:link w:val="CommentSubjectChar"/>
    <w:uiPriority w:val="99"/>
    <w:semiHidden/>
    <w:unhideWhenUsed/>
    <w:rsid w:val="00673319"/>
    <w:rPr>
      <w:b/>
      <w:bCs/>
    </w:rPr>
  </w:style>
  <w:style w:type="character" w:customStyle="1" w:styleId="CommentSubjectChar">
    <w:name w:val="Comment Subject Char"/>
    <w:basedOn w:val="CommentTextChar"/>
    <w:link w:val="CommentSubject"/>
    <w:uiPriority w:val="99"/>
    <w:semiHidden/>
    <w:rsid w:val="00673319"/>
    <w:rPr>
      <w:b/>
      <w:bCs/>
      <w:sz w:val="20"/>
      <w:szCs w:val="20"/>
    </w:rPr>
  </w:style>
  <w:style w:type="paragraph" w:styleId="ListParagraph">
    <w:name w:val="List Paragraph"/>
    <w:basedOn w:val="Normal"/>
    <w:uiPriority w:val="34"/>
    <w:qFormat/>
    <w:rsid w:val="009E6EF5"/>
    <w:pPr>
      <w:ind w:left="720"/>
      <w:contextualSpacing/>
    </w:pPr>
  </w:style>
  <w:style w:type="paragraph" w:styleId="Revision">
    <w:name w:val="Revision"/>
    <w:hidden/>
    <w:uiPriority w:val="99"/>
    <w:semiHidden/>
    <w:rsid w:val="00D24926"/>
  </w:style>
  <w:style w:type="paragraph" w:styleId="Header">
    <w:name w:val="header"/>
    <w:basedOn w:val="Normal"/>
    <w:link w:val="HeaderChar"/>
    <w:uiPriority w:val="99"/>
    <w:unhideWhenUsed/>
    <w:rsid w:val="005350F2"/>
    <w:pPr>
      <w:tabs>
        <w:tab w:val="center" w:pos="4680"/>
        <w:tab w:val="right" w:pos="9360"/>
      </w:tabs>
    </w:pPr>
  </w:style>
  <w:style w:type="character" w:customStyle="1" w:styleId="HeaderChar">
    <w:name w:val="Header Char"/>
    <w:basedOn w:val="DefaultParagraphFont"/>
    <w:link w:val="Header"/>
    <w:uiPriority w:val="99"/>
    <w:rsid w:val="005350F2"/>
  </w:style>
  <w:style w:type="paragraph" w:styleId="Footer">
    <w:name w:val="footer"/>
    <w:basedOn w:val="Normal"/>
    <w:link w:val="FooterChar"/>
    <w:uiPriority w:val="99"/>
    <w:unhideWhenUsed/>
    <w:rsid w:val="005350F2"/>
    <w:pPr>
      <w:tabs>
        <w:tab w:val="center" w:pos="4680"/>
        <w:tab w:val="right" w:pos="9360"/>
      </w:tabs>
    </w:pPr>
  </w:style>
  <w:style w:type="character" w:customStyle="1" w:styleId="FooterChar">
    <w:name w:val="Footer Char"/>
    <w:basedOn w:val="DefaultParagraphFont"/>
    <w:link w:val="Footer"/>
    <w:uiPriority w:val="99"/>
    <w:rsid w:val="005350F2"/>
  </w:style>
  <w:style w:type="character" w:styleId="LineNumber">
    <w:name w:val="line number"/>
    <w:basedOn w:val="DefaultParagraphFont"/>
    <w:uiPriority w:val="99"/>
    <w:semiHidden/>
    <w:unhideWhenUsed/>
    <w:rsid w:val="00A83070"/>
  </w:style>
  <w:style w:type="character" w:styleId="Hyperlink">
    <w:name w:val="Hyperlink"/>
    <w:uiPriority w:val="99"/>
    <w:unhideWhenUsed/>
    <w:rsid w:val="00A83070"/>
    <w:rPr>
      <w:color w:val="0000FF"/>
      <w:u w:val="single"/>
    </w:rPr>
  </w:style>
  <w:style w:type="character" w:styleId="UnresolvedMention">
    <w:name w:val="Unresolved Mention"/>
    <w:basedOn w:val="DefaultParagraphFont"/>
    <w:uiPriority w:val="99"/>
    <w:semiHidden/>
    <w:unhideWhenUsed/>
    <w:rsid w:val="00A83070"/>
    <w:rPr>
      <w:color w:val="605E5C"/>
      <w:shd w:val="clear" w:color="auto" w:fill="E1DFDD"/>
    </w:rPr>
  </w:style>
  <w:style w:type="character" w:styleId="Strong">
    <w:name w:val="Strong"/>
    <w:basedOn w:val="DefaultParagraphFont"/>
    <w:uiPriority w:val="22"/>
    <w:qFormat/>
    <w:rsid w:val="00A83070"/>
    <w:rPr>
      <w:b/>
      <w:bCs/>
    </w:rPr>
  </w:style>
  <w:style w:type="paragraph" w:styleId="Bibliography">
    <w:name w:val="Bibliography"/>
    <w:basedOn w:val="Normal"/>
    <w:next w:val="Normal"/>
    <w:uiPriority w:val="37"/>
    <w:unhideWhenUsed/>
    <w:rsid w:val="00167671"/>
    <w:pPr>
      <w:tabs>
        <w:tab w:val="left" w:pos="500"/>
      </w:tabs>
      <w:spacing w:after="240"/>
      <w:ind w:left="504" w:hanging="504"/>
    </w:pPr>
  </w:style>
  <w:style w:type="character" w:styleId="PlaceholderText">
    <w:name w:val="Placeholder Text"/>
    <w:basedOn w:val="DefaultParagraphFont"/>
    <w:uiPriority w:val="99"/>
    <w:semiHidden/>
    <w:rsid w:val="005E55C1"/>
    <w:rPr>
      <w:color w:val="808080"/>
    </w:rPr>
  </w:style>
  <w:style w:type="character" w:styleId="PageNumber">
    <w:name w:val="page number"/>
    <w:basedOn w:val="DefaultParagraphFont"/>
    <w:uiPriority w:val="99"/>
    <w:semiHidden/>
    <w:unhideWhenUsed/>
    <w:rsid w:val="003B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1057">
      <w:bodyDiv w:val="1"/>
      <w:marLeft w:val="0"/>
      <w:marRight w:val="0"/>
      <w:marTop w:val="0"/>
      <w:marBottom w:val="0"/>
      <w:divBdr>
        <w:top w:val="none" w:sz="0" w:space="0" w:color="auto"/>
        <w:left w:val="none" w:sz="0" w:space="0" w:color="auto"/>
        <w:bottom w:val="none" w:sz="0" w:space="0" w:color="auto"/>
        <w:right w:val="none" w:sz="0" w:space="0" w:color="auto"/>
      </w:divBdr>
    </w:div>
    <w:div w:id="522866272">
      <w:bodyDiv w:val="1"/>
      <w:marLeft w:val="0"/>
      <w:marRight w:val="0"/>
      <w:marTop w:val="0"/>
      <w:marBottom w:val="0"/>
      <w:divBdr>
        <w:top w:val="none" w:sz="0" w:space="0" w:color="auto"/>
        <w:left w:val="none" w:sz="0" w:space="0" w:color="auto"/>
        <w:bottom w:val="none" w:sz="0" w:space="0" w:color="auto"/>
        <w:right w:val="none" w:sz="0" w:space="0" w:color="auto"/>
      </w:divBdr>
    </w:div>
    <w:div w:id="788281435">
      <w:bodyDiv w:val="1"/>
      <w:marLeft w:val="0"/>
      <w:marRight w:val="0"/>
      <w:marTop w:val="0"/>
      <w:marBottom w:val="0"/>
      <w:divBdr>
        <w:top w:val="none" w:sz="0" w:space="0" w:color="auto"/>
        <w:left w:val="none" w:sz="0" w:space="0" w:color="auto"/>
        <w:bottom w:val="none" w:sz="0" w:space="0" w:color="auto"/>
        <w:right w:val="none" w:sz="0" w:space="0" w:color="auto"/>
      </w:divBdr>
    </w:div>
    <w:div w:id="878905310">
      <w:bodyDiv w:val="1"/>
      <w:marLeft w:val="0"/>
      <w:marRight w:val="0"/>
      <w:marTop w:val="0"/>
      <w:marBottom w:val="0"/>
      <w:divBdr>
        <w:top w:val="none" w:sz="0" w:space="0" w:color="auto"/>
        <w:left w:val="none" w:sz="0" w:space="0" w:color="auto"/>
        <w:bottom w:val="none" w:sz="0" w:space="0" w:color="auto"/>
        <w:right w:val="none" w:sz="0" w:space="0" w:color="auto"/>
      </w:divBdr>
    </w:div>
    <w:div w:id="1233665362">
      <w:bodyDiv w:val="1"/>
      <w:marLeft w:val="0"/>
      <w:marRight w:val="0"/>
      <w:marTop w:val="0"/>
      <w:marBottom w:val="0"/>
      <w:divBdr>
        <w:top w:val="none" w:sz="0" w:space="0" w:color="auto"/>
        <w:left w:val="none" w:sz="0" w:space="0" w:color="auto"/>
        <w:bottom w:val="none" w:sz="0" w:space="0" w:color="auto"/>
        <w:right w:val="none" w:sz="0" w:space="0" w:color="auto"/>
      </w:divBdr>
    </w:div>
    <w:div w:id="1276713519">
      <w:bodyDiv w:val="1"/>
      <w:marLeft w:val="0"/>
      <w:marRight w:val="0"/>
      <w:marTop w:val="0"/>
      <w:marBottom w:val="0"/>
      <w:divBdr>
        <w:top w:val="none" w:sz="0" w:space="0" w:color="auto"/>
        <w:left w:val="none" w:sz="0" w:space="0" w:color="auto"/>
        <w:bottom w:val="none" w:sz="0" w:space="0" w:color="auto"/>
        <w:right w:val="none" w:sz="0" w:space="0" w:color="auto"/>
      </w:divBdr>
    </w:div>
    <w:div w:id="1319386989">
      <w:bodyDiv w:val="1"/>
      <w:marLeft w:val="0"/>
      <w:marRight w:val="0"/>
      <w:marTop w:val="0"/>
      <w:marBottom w:val="0"/>
      <w:divBdr>
        <w:top w:val="none" w:sz="0" w:space="0" w:color="auto"/>
        <w:left w:val="none" w:sz="0" w:space="0" w:color="auto"/>
        <w:bottom w:val="none" w:sz="0" w:space="0" w:color="auto"/>
        <w:right w:val="none" w:sz="0" w:space="0" w:color="auto"/>
      </w:divBdr>
    </w:div>
    <w:div w:id="1668633860">
      <w:bodyDiv w:val="1"/>
      <w:marLeft w:val="0"/>
      <w:marRight w:val="0"/>
      <w:marTop w:val="0"/>
      <w:marBottom w:val="0"/>
      <w:divBdr>
        <w:top w:val="none" w:sz="0" w:space="0" w:color="auto"/>
        <w:left w:val="none" w:sz="0" w:space="0" w:color="auto"/>
        <w:bottom w:val="none" w:sz="0" w:space="0" w:color="auto"/>
        <w:right w:val="none" w:sz="0" w:space="0" w:color="auto"/>
      </w:divBdr>
    </w:div>
    <w:div w:id="1815757163">
      <w:bodyDiv w:val="1"/>
      <w:marLeft w:val="0"/>
      <w:marRight w:val="0"/>
      <w:marTop w:val="0"/>
      <w:marBottom w:val="0"/>
      <w:divBdr>
        <w:top w:val="none" w:sz="0" w:space="0" w:color="auto"/>
        <w:left w:val="none" w:sz="0" w:space="0" w:color="auto"/>
        <w:bottom w:val="none" w:sz="0" w:space="0" w:color="auto"/>
        <w:right w:val="none" w:sz="0" w:space="0" w:color="auto"/>
      </w:divBdr>
      <w:divsChild>
        <w:div w:id="1238443490">
          <w:marLeft w:val="0"/>
          <w:marRight w:val="0"/>
          <w:marTop w:val="0"/>
          <w:marBottom w:val="0"/>
          <w:divBdr>
            <w:top w:val="none" w:sz="0" w:space="0" w:color="auto"/>
            <w:left w:val="none" w:sz="0" w:space="0" w:color="auto"/>
            <w:bottom w:val="none" w:sz="0" w:space="0" w:color="auto"/>
            <w:right w:val="none" w:sz="0" w:space="0" w:color="auto"/>
          </w:divBdr>
          <w:divsChild>
            <w:div w:id="292832102">
              <w:marLeft w:val="0"/>
              <w:marRight w:val="0"/>
              <w:marTop w:val="0"/>
              <w:marBottom w:val="0"/>
              <w:divBdr>
                <w:top w:val="none" w:sz="0" w:space="0" w:color="auto"/>
                <w:left w:val="none" w:sz="0" w:space="0" w:color="auto"/>
                <w:bottom w:val="none" w:sz="0" w:space="0" w:color="auto"/>
                <w:right w:val="none" w:sz="0" w:space="0" w:color="auto"/>
              </w:divBdr>
              <w:divsChild>
                <w:div w:id="15524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114@stanford.ed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6CED-D89D-CE41-BCD9-5CEF51EB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25482</Words>
  <Characters>145248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Narasimhan Pundi</dc:creator>
  <cp:keywords/>
  <dc:description/>
  <cp:lastModifiedBy>Krishna Narasimhan Pundi</cp:lastModifiedBy>
  <cp:revision>3</cp:revision>
  <dcterms:created xsi:type="dcterms:W3CDTF">2024-01-10T17:58:00Z</dcterms:created>
  <dcterms:modified xsi:type="dcterms:W3CDTF">2024-01-10T17:58:00Z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1a6d098c1aaaf22b3a8b42910a3ecc4f533b7650999eb3cc5644b232b040597c</vt:lpwstr>
  </property>
  <property fmtid="{D5CDD505-2E9C-101B-9397-08002B2CF9AE}" pid="3" name="ZOTERO_PREF_1">
    <vt:lpwstr>&lt;data data-version="3" zotero-version="6.0.22"&gt;&lt;session id="WoskdZE0"/&gt;&lt;style id="http://www.zotero.org/styles/circulation" hasBibliography="1" bibliographyStyleHasBeenSet="1"/&gt;&lt;prefs&gt;&lt;pref name="fieldType" value="Field"/&gt;&lt;/prefs&gt;&lt;/data&gt;</vt:lpwstr>
  </property>
</Properties>
</file>