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B9" w:rsidRPr="007904B9" w:rsidRDefault="007904B9" w:rsidP="007904B9">
      <w:pPr>
        <w:widowControl w:val="0"/>
        <w:autoSpaceDE w:val="0"/>
        <w:autoSpaceDN w:val="0"/>
        <w:adjustRightInd w:val="0"/>
        <w:spacing w:line="480" w:lineRule="auto"/>
        <w:rPr>
          <w:rFonts w:ascii="Arial" w:hAnsi="Arial" w:cs="Arial"/>
          <w:b/>
          <w:sz w:val="22"/>
          <w:szCs w:val="22"/>
          <w:lang w:val="en-US"/>
        </w:rPr>
      </w:pPr>
      <w:r w:rsidRPr="007904B9">
        <w:rPr>
          <w:rFonts w:ascii="Arial" w:hAnsi="Arial" w:cs="Arial"/>
          <w:b/>
          <w:sz w:val="22"/>
          <w:szCs w:val="22"/>
          <w:lang w:val="en-US"/>
        </w:rPr>
        <w:t>Supplementary material.</w:t>
      </w:r>
    </w:p>
    <w:p w:rsidR="007904B9" w:rsidRPr="00EC69D7" w:rsidRDefault="007904B9" w:rsidP="00CA789E">
      <w:pPr>
        <w:pStyle w:val="NoSpacing"/>
        <w:spacing w:line="480" w:lineRule="auto"/>
        <w:jc w:val="both"/>
        <w:rPr>
          <w:rFonts w:ascii="Arial" w:hAnsi="Arial" w:cs="Arial"/>
          <w:sz w:val="22"/>
          <w:szCs w:val="22"/>
          <w:lang w:val="en-US"/>
        </w:rPr>
      </w:pPr>
      <w:r w:rsidRPr="00EC69D7">
        <w:rPr>
          <w:rFonts w:ascii="Arial" w:hAnsi="Arial" w:cs="Arial"/>
          <w:b/>
          <w:bCs/>
          <w:sz w:val="22"/>
          <w:szCs w:val="22"/>
          <w:lang w:val="en-US"/>
        </w:rPr>
        <w:t xml:space="preserve">Table </w:t>
      </w:r>
      <w:r>
        <w:rPr>
          <w:rFonts w:ascii="Arial" w:hAnsi="Arial" w:cs="Arial"/>
          <w:b/>
          <w:bCs/>
          <w:sz w:val="22"/>
          <w:szCs w:val="22"/>
          <w:lang w:val="en-US"/>
        </w:rPr>
        <w:t>S1</w:t>
      </w:r>
      <w:r w:rsidRPr="00EC69D7">
        <w:rPr>
          <w:rFonts w:ascii="Arial" w:hAnsi="Arial" w:cs="Arial"/>
          <w:sz w:val="22"/>
          <w:szCs w:val="22"/>
          <w:lang w:val="en-US"/>
        </w:rPr>
        <w:t xml:space="preserve">. </w:t>
      </w:r>
      <w:r w:rsidR="00CA789E" w:rsidRPr="00CA789E">
        <w:rPr>
          <w:rFonts w:ascii="Arial" w:hAnsi="Arial" w:cs="Arial"/>
          <w:sz w:val="22"/>
          <w:szCs w:val="22"/>
          <w:lang w:val="en-US"/>
        </w:rPr>
        <w:t>Prevalence of individual adverse outcomes included in composite measure in preterm and term</w:t>
      </w:r>
      <w:r w:rsidR="00CA789E">
        <w:rPr>
          <w:rFonts w:ascii="Arial" w:hAnsi="Arial" w:cs="Arial"/>
          <w:sz w:val="22"/>
          <w:szCs w:val="22"/>
          <w:lang w:val="en-US"/>
        </w:rPr>
        <w:t xml:space="preserve"> </w:t>
      </w:r>
      <w:r w:rsidR="00CA789E" w:rsidRPr="00CA789E">
        <w:rPr>
          <w:rFonts w:ascii="Arial" w:hAnsi="Arial" w:cs="Arial"/>
          <w:sz w:val="22"/>
          <w:szCs w:val="22"/>
          <w:lang w:val="en-US"/>
        </w:rPr>
        <w:t>pregnancies</w:t>
      </w:r>
      <w:r w:rsidRPr="00EC69D7">
        <w:rPr>
          <w:rFonts w:ascii="Arial" w:hAnsi="Arial" w:cs="Arial"/>
          <w:sz w:val="22"/>
          <w:szCs w:val="22"/>
          <w:lang w:val="en-US"/>
        </w:rPr>
        <w:t xml:space="preserve"> </w:t>
      </w:r>
    </w:p>
    <w:tbl>
      <w:tblPr>
        <w:tblStyle w:val="TableGrid"/>
        <w:tblW w:w="0" w:type="auto"/>
        <w:tblLook w:val="04A0" w:firstRow="1" w:lastRow="0" w:firstColumn="1" w:lastColumn="0" w:noHBand="0" w:noVBand="1"/>
      </w:tblPr>
      <w:tblGrid>
        <w:gridCol w:w="2826"/>
        <w:gridCol w:w="1377"/>
        <w:gridCol w:w="1175"/>
        <w:gridCol w:w="1365"/>
        <w:gridCol w:w="1205"/>
        <w:gridCol w:w="1062"/>
      </w:tblGrid>
      <w:tr w:rsidR="007904B9" w:rsidRPr="00EC69D7" w:rsidTr="006760D1">
        <w:tc>
          <w:tcPr>
            <w:tcW w:w="3114" w:type="dxa"/>
          </w:tcPr>
          <w:p w:rsidR="007904B9" w:rsidRPr="00EC69D7" w:rsidRDefault="007904B9" w:rsidP="006760D1">
            <w:pPr>
              <w:spacing w:line="480" w:lineRule="auto"/>
              <w:rPr>
                <w:sz w:val="22"/>
                <w:szCs w:val="22"/>
                <w:lang w:val="en-US"/>
              </w:rPr>
            </w:pPr>
          </w:p>
        </w:tc>
        <w:tc>
          <w:tcPr>
            <w:tcW w:w="1417" w:type="dxa"/>
          </w:tcPr>
          <w:p w:rsidR="007904B9" w:rsidRPr="00EC69D7" w:rsidRDefault="007904B9" w:rsidP="006760D1">
            <w:pPr>
              <w:spacing w:line="480" w:lineRule="auto"/>
              <w:rPr>
                <w:sz w:val="22"/>
                <w:szCs w:val="22"/>
                <w:lang w:val="en-US"/>
              </w:rPr>
            </w:pPr>
            <w:r w:rsidRPr="00EC69D7">
              <w:rPr>
                <w:sz w:val="22"/>
                <w:szCs w:val="22"/>
                <w:lang w:val="en-US"/>
              </w:rPr>
              <w:t>Term NICU admission</w:t>
            </w:r>
          </w:p>
        </w:tc>
        <w:tc>
          <w:tcPr>
            <w:tcW w:w="1276" w:type="dxa"/>
          </w:tcPr>
          <w:p w:rsidR="007904B9" w:rsidRPr="00EC69D7" w:rsidRDefault="007904B9" w:rsidP="006760D1">
            <w:pPr>
              <w:spacing w:line="480" w:lineRule="auto"/>
              <w:rPr>
                <w:sz w:val="22"/>
                <w:szCs w:val="22"/>
                <w:lang w:val="en-US"/>
              </w:rPr>
            </w:pPr>
            <w:r w:rsidRPr="00EC69D7">
              <w:rPr>
                <w:sz w:val="22"/>
                <w:szCs w:val="22"/>
                <w:lang w:val="en-US"/>
              </w:rPr>
              <w:t>HIE</w:t>
            </w:r>
          </w:p>
        </w:tc>
        <w:tc>
          <w:tcPr>
            <w:tcW w:w="1418" w:type="dxa"/>
          </w:tcPr>
          <w:p w:rsidR="007904B9" w:rsidRPr="00EC69D7" w:rsidRDefault="007904B9" w:rsidP="006760D1">
            <w:pPr>
              <w:spacing w:line="480" w:lineRule="auto"/>
              <w:rPr>
                <w:sz w:val="22"/>
                <w:szCs w:val="22"/>
                <w:lang w:val="en-US"/>
              </w:rPr>
            </w:pPr>
            <w:r w:rsidRPr="00EC69D7">
              <w:rPr>
                <w:sz w:val="22"/>
                <w:szCs w:val="22"/>
                <w:lang w:val="en-US"/>
              </w:rPr>
              <w:t>Perinatal Death</w:t>
            </w:r>
          </w:p>
        </w:tc>
        <w:tc>
          <w:tcPr>
            <w:tcW w:w="1275" w:type="dxa"/>
          </w:tcPr>
          <w:p w:rsidR="007904B9" w:rsidRPr="00EC69D7" w:rsidRDefault="007904B9" w:rsidP="006760D1">
            <w:pPr>
              <w:spacing w:line="480" w:lineRule="auto"/>
              <w:rPr>
                <w:sz w:val="22"/>
                <w:szCs w:val="22"/>
                <w:lang w:val="en-US"/>
              </w:rPr>
            </w:pPr>
            <w:r w:rsidRPr="00EC69D7">
              <w:rPr>
                <w:sz w:val="22"/>
                <w:szCs w:val="22"/>
                <w:lang w:val="en-US"/>
              </w:rPr>
              <w:t>Apgar &lt; 7 at 5’</w:t>
            </w:r>
          </w:p>
        </w:tc>
        <w:tc>
          <w:tcPr>
            <w:tcW w:w="1122" w:type="dxa"/>
          </w:tcPr>
          <w:p w:rsidR="007904B9" w:rsidRPr="00EC69D7" w:rsidRDefault="007904B9" w:rsidP="006760D1">
            <w:pPr>
              <w:spacing w:line="480" w:lineRule="auto"/>
              <w:rPr>
                <w:sz w:val="22"/>
                <w:szCs w:val="22"/>
                <w:lang w:val="en-US"/>
              </w:rPr>
            </w:pPr>
            <w:r w:rsidRPr="00EC69D7">
              <w:rPr>
                <w:sz w:val="22"/>
                <w:szCs w:val="22"/>
                <w:lang w:val="en-US"/>
              </w:rPr>
              <w:t>Total</w:t>
            </w:r>
          </w:p>
        </w:tc>
      </w:tr>
      <w:tr w:rsidR="007904B9" w:rsidRPr="00EC69D7" w:rsidTr="006760D1">
        <w:tc>
          <w:tcPr>
            <w:tcW w:w="3114" w:type="dxa"/>
          </w:tcPr>
          <w:p w:rsidR="007904B9" w:rsidRPr="00EC69D7" w:rsidRDefault="007904B9" w:rsidP="006760D1">
            <w:pPr>
              <w:spacing w:line="480" w:lineRule="auto"/>
              <w:rPr>
                <w:sz w:val="22"/>
                <w:szCs w:val="22"/>
                <w:lang w:val="en-US"/>
              </w:rPr>
            </w:pPr>
            <w:r w:rsidRPr="00EC69D7">
              <w:rPr>
                <w:sz w:val="22"/>
                <w:szCs w:val="22"/>
                <w:lang w:val="en-US"/>
              </w:rPr>
              <w:t>Preterm births (</w:t>
            </w:r>
            <w:r w:rsidRPr="00EC69D7">
              <w:rPr>
                <w:i/>
                <w:iCs/>
                <w:sz w:val="22"/>
                <w:szCs w:val="22"/>
                <w:lang w:val="en-US"/>
              </w:rPr>
              <w:t>n = 612)</w:t>
            </w:r>
          </w:p>
        </w:tc>
        <w:tc>
          <w:tcPr>
            <w:tcW w:w="1417" w:type="dxa"/>
          </w:tcPr>
          <w:p w:rsidR="007904B9" w:rsidRPr="00EC69D7" w:rsidRDefault="007904B9" w:rsidP="006760D1">
            <w:pPr>
              <w:spacing w:line="480" w:lineRule="auto"/>
              <w:rPr>
                <w:sz w:val="22"/>
                <w:szCs w:val="22"/>
                <w:lang w:val="en-US"/>
              </w:rPr>
            </w:pPr>
            <w:r w:rsidRPr="00EC69D7">
              <w:rPr>
                <w:sz w:val="22"/>
                <w:szCs w:val="22"/>
                <w:lang w:val="en-US"/>
              </w:rPr>
              <w:t>/</w:t>
            </w:r>
          </w:p>
        </w:tc>
        <w:tc>
          <w:tcPr>
            <w:tcW w:w="1276" w:type="dxa"/>
          </w:tcPr>
          <w:p w:rsidR="007904B9" w:rsidRPr="00EC69D7" w:rsidRDefault="007904B9" w:rsidP="006760D1">
            <w:pPr>
              <w:spacing w:line="480" w:lineRule="auto"/>
              <w:rPr>
                <w:sz w:val="22"/>
                <w:szCs w:val="22"/>
                <w:lang w:val="en-US"/>
              </w:rPr>
            </w:pPr>
            <w:r w:rsidRPr="00EC69D7">
              <w:rPr>
                <w:sz w:val="22"/>
                <w:szCs w:val="22"/>
                <w:lang w:val="en-US"/>
              </w:rPr>
              <w:t>0</w:t>
            </w:r>
          </w:p>
        </w:tc>
        <w:tc>
          <w:tcPr>
            <w:tcW w:w="1418" w:type="dxa"/>
          </w:tcPr>
          <w:p w:rsidR="007904B9" w:rsidRPr="00EC69D7" w:rsidRDefault="007904B9" w:rsidP="006760D1">
            <w:pPr>
              <w:spacing w:line="480" w:lineRule="auto"/>
              <w:rPr>
                <w:sz w:val="22"/>
                <w:szCs w:val="22"/>
                <w:lang w:val="en-US"/>
              </w:rPr>
            </w:pPr>
            <w:r w:rsidRPr="00EC69D7">
              <w:rPr>
                <w:sz w:val="22"/>
                <w:szCs w:val="22"/>
                <w:lang w:val="en-US"/>
              </w:rPr>
              <w:t>16</w:t>
            </w:r>
          </w:p>
        </w:tc>
        <w:tc>
          <w:tcPr>
            <w:tcW w:w="1275" w:type="dxa"/>
          </w:tcPr>
          <w:p w:rsidR="007904B9" w:rsidRPr="00EC69D7" w:rsidRDefault="007904B9" w:rsidP="006760D1">
            <w:pPr>
              <w:spacing w:line="480" w:lineRule="auto"/>
              <w:rPr>
                <w:sz w:val="22"/>
                <w:szCs w:val="22"/>
                <w:lang w:val="en-US"/>
              </w:rPr>
            </w:pPr>
            <w:r w:rsidRPr="00EC69D7">
              <w:rPr>
                <w:sz w:val="22"/>
                <w:szCs w:val="22"/>
                <w:lang w:val="en-US"/>
              </w:rPr>
              <w:t>23</w:t>
            </w:r>
          </w:p>
        </w:tc>
        <w:tc>
          <w:tcPr>
            <w:tcW w:w="1122" w:type="dxa"/>
          </w:tcPr>
          <w:p w:rsidR="007904B9" w:rsidRPr="00EC69D7" w:rsidRDefault="007904B9" w:rsidP="006760D1">
            <w:pPr>
              <w:spacing w:line="480" w:lineRule="auto"/>
              <w:rPr>
                <w:sz w:val="22"/>
                <w:szCs w:val="22"/>
                <w:lang w:val="en-US"/>
              </w:rPr>
            </w:pPr>
            <w:r w:rsidRPr="00EC69D7">
              <w:rPr>
                <w:sz w:val="22"/>
                <w:szCs w:val="22"/>
                <w:lang w:val="en-US"/>
              </w:rPr>
              <w:t>39</w:t>
            </w:r>
          </w:p>
        </w:tc>
      </w:tr>
      <w:tr w:rsidR="007904B9" w:rsidRPr="00EC69D7" w:rsidTr="006760D1">
        <w:tc>
          <w:tcPr>
            <w:tcW w:w="3114" w:type="dxa"/>
          </w:tcPr>
          <w:p w:rsidR="007904B9" w:rsidRPr="00EC69D7" w:rsidRDefault="007904B9" w:rsidP="006760D1">
            <w:pPr>
              <w:spacing w:line="480" w:lineRule="auto"/>
              <w:rPr>
                <w:sz w:val="22"/>
                <w:szCs w:val="22"/>
                <w:lang w:val="en-US"/>
              </w:rPr>
            </w:pPr>
            <w:r w:rsidRPr="00EC69D7">
              <w:rPr>
                <w:sz w:val="22"/>
                <w:szCs w:val="22"/>
                <w:lang w:val="en-US"/>
              </w:rPr>
              <w:t xml:space="preserve">Term births </w:t>
            </w:r>
            <w:r w:rsidRPr="00EC69D7">
              <w:rPr>
                <w:i/>
                <w:iCs/>
                <w:sz w:val="22"/>
                <w:szCs w:val="22"/>
                <w:lang w:val="en-US"/>
              </w:rPr>
              <w:t>(n = 16649)</w:t>
            </w:r>
          </w:p>
        </w:tc>
        <w:tc>
          <w:tcPr>
            <w:tcW w:w="1417" w:type="dxa"/>
          </w:tcPr>
          <w:p w:rsidR="007904B9" w:rsidRPr="00EC69D7" w:rsidRDefault="007904B9" w:rsidP="006760D1">
            <w:pPr>
              <w:spacing w:line="480" w:lineRule="auto"/>
              <w:rPr>
                <w:sz w:val="22"/>
                <w:szCs w:val="22"/>
                <w:lang w:val="en-US"/>
              </w:rPr>
            </w:pPr>
            <w:r w:rsidRPr="00EC69D7">
              <w:rPr>
                <w:sz w:val="22"/>
                <w:szCs w:val="22"/>
                <w:lang w:val="en-US"/>
              </w:rPr>
              <w:t>393</w:t>
            </w:r>
          </w:p>
        </w:tc>
        <w:tc>
          <w:tcPr>
            <w:tcW w:w="1276" w:type="dxa"/>
          </w:tcPr>
          <w:p w:rsidR="007904B9" w:rsidRPr="00EC69D7" w:rsidRDefault="007904B9" w:rsidP="006760D1">
            <w:pPr>
              <w:spacing w:line="480" w:lineRule="auto"/>
              <w:rPr>
                <w:sz w:val="22"/>
                <w:szCs w:val="22"/>
                <w:lang w:val="en-US"/>
              </w:rPr>
            </w:pPr>
            <w:r w:rsidRPr="00EC69D7">
              <w:rPr>
                <w:sz w:val="22"/>
                <w:szCs w:val="22"/>
                <w:lang w:val="en-US"/>
              </w:rPr>
              <w:t>22</w:t>
            </w:r>
          </w:p>
        </w:tc>
        <w:tc>
          <w:tcPr>
            <w:tcW w:w="1418" w:type="dxa"/>
          </w:tcPr>
          <w:p w:rsidR="007904B9" w:rsidRPr="00EC69D7" w:rsidRDefault="007904B9" w:rsidP="006760D1">
            <w:pPr>
              <w:spacing w:line="480" w:lineRule="auto"/>
              <w:rPr>
                <w:sz w:val="22"/>
                <w:szCs w:val="22"/>
                <w:lang w:val="en-US"/>
              </w:rPr>
            </w:pPr>
            <w:r w:rsidRPr="00EC69D7">
              <w:rPr>
                <w:sz w:val="22"/>
                <w:szCs w:val="22"/>
                <w:lang w:val="en-US"/>
              </w:rPr>
              <w:t>16</w:t>
            </w:r>
          </w:p>
        </w:tc>
        <w:tc>
          <w:tcPr>
            <w:tcW w:w="1275" w:type="dxa"/>
          </w:tcPr>
          <w:p w:rsidR="007904B9" w:rsidRPr="00EC69D7" w:rsidRDefault="007904B9" w:rsidP="006760D1">
            <w:pPr>
              <w:spacing w:line="480" w:lineRule="auto"/>
              <w:rPr>
                <w:sz w:val="22"/>
                <w:szCs w:val="22"/>
                <w:lang w:val="en-US"/>
              </w:rPr>
            </w:pPr>
            <w:r w:rsidRPr="00EC69D7">
              <w:rPr>
                <w:sz w:val="22"/>
                <w:szCs w:val="22"/>
                <w:lang w:val="en-US"/>
              </w:rPr>
              <w:t>58</w:t>
            </w:r>
          </w:p>
        </w:tc>
        <w:tc>
          <w:tcPr>
            <w:tcW w:w="1122" w:type="dxa"/>
          </w:tcPr>
          <w:p w:rsidR="007904B9" w:rsidRPr="00EC69D7" w:rsidRDefault="007904B9" w:rsidP="006760D1">
            <w:pPr>
              <w:spacing w:line="480" w:lineRule="auto"/>
              <w:rPr>
                <w:sz w:val="22"/>
                <w:szCs w:val="22"/>
                <w:lang w:val="en-US"/>
              </w:rPr>
            </w:pPr>
            <w:r w:rsidRPr="00EC69D7">
              <w:rPr>
                <w:sz w:val="22"/>
                <w:szCs w:val="22"/>
                <w:lang w:val="en-US"/>
              </w:rPr>
              <w:t>489</w:t>
            </w:r>
          </w:p>
        </w:tc>
      </w:tr>
      <w:tr w:rsidR="007904B9" w:rsidRPr="00EC69D7" w:rsidTr="006760D1">
        <w:tc>
          <w:tcPr>
            <w:tcW w:w="3114" w:type="dxa"/>
          </w:tcPr>
          <w:p w:rsidR="007904B9" w:rsidRPr="00EC69D7" w:rsidRDefault="007904B9" w:rsidP="006760D1">
            <w:pPr>
              <w:spacing w:line="480" w:lineRule="auto"/>
              <w:rPr>
                <w:sz w:val="22"/>
                <w:szCs w:val="22"/>
                <w:lang w:val="en-US"/>
              </w:rPr>
            </w:pPr>
            <w:r w:rsidRPr="00EC69D7">
              <w:rPr>
                <w:sz w:val="22"/>
                <w:szCs w:val="22"/>
                <w:lang w:val="en-US"/>
              </w:rPr>
              <w:t xml:space="preserve">Total </w:t>
            </w:r>
            <w:r w:rsidRPr="00EC69D7">
              <w:rPr>
                <w:i/>
                <w:iCs/>
                <w:sz w:val="22"/>
                <w:szCs w:val="22"/>
                <w:lang w:val="en-US"/>
              </w:rPr>
              <w:t>(n = 17261)</w:t>
            </w:r>
          </w:p>
        </w:tc>
        <w:tc>
          <w:tcPr>
            <w:tcW w:w="1417" w:type="dxa"/>
          </w:tcPr>
          <w:p w:rsidR="007904B9" w:rsidRPr="00EC69D7" w:rsidRDefault="007904B9" w:rsidP="006760D1">
            <w:pPr>
              <w:spacing w:line="480" w:lineRule="auto"/>
              <w:rPr>
                <w:sz w:val="22"/>
                <w:szCs w:val="22"/>
                <w:lang w:val="en-US"/>
              </w:rPr>
            </w:pPr>
            <w:r w:rsidRPr="00EC69D7">
              <w:rPr>
                <w:sz w:val="22"/>
                <w:szCs w:val="22"/>
                <w:lang w:val="en-US"/>
              </w:rPr>
              <w:t>393</w:t>
            </w:r>
          </w:p>
        </w:tc>
        <w:tc>
          <w:tcPr>
            <w:tcW w:w="1276" w:type="dxa"/>
          </w:tcPr>
          <w:p w:rsidR="007904B9" w:rsidRPr="00EC69D7" w:rsidRDefault="007904B9" w:rsidP="006760D1">
            <w:pPr>
              <w:spacing w:line="480" w:lineRule="auto"/>
              <w:rPr>
                <w:sz w:val="22"/>
                <w:szCs w:val="22"/>
                <w:lang w:val="en-US"/>
              </w:rPr>
            </w:pPr>
            <w:r w:rsidRPr="00EC69D7">
              <w:rPr>
                <w:sz w:val="22"/>
                <w:szCs w:val="22"/>
                <w:lang w:val="en-US"/>
              </w:rPr>
              <w:t>22</w:t>
            </w:r>
          </w:p>
        </w:tc>
        <w:tc>
          <w:tcPr>
            <w:tcW w:w="1418" w:type="dxa"/>
          </w:tcPr>
          <w:p w:rsidR="007904B9" w:rsidRPr="00EC69D7" w:rsidRDefault="007904B9" w:rsidP="006760D1">
            <w:pPr>
              <w:spacing w:line="480" w:lineRule="auto"/>
              <w:rPr>
                <w:sz w:val="22"/>
                <w:szCs w:val="22"/>
                <w:lang w:val="en-US"/>
              </w:rPr>
            </w:pPr>
            <w:r w:rsidRPr="00EC69D7">
              <w:rPr>
                <w:sz w:val="22"/>
                <w:szCs w:val="22"/>
                <w:lang w:val="en-US"/>
              </w:rPr>
              <w:t>32</w:t>
            </w:r>
          </w:p>
        </w:tc>
        <w:tc>
          <w:tcPr>
            <w:tcW w:w="1275" w:type="dxa"/>
          </w:tcPr>
          <w:p w:rsidR="007904B9" w:rsidRPr="00EC69D7" w:rsidRDefault="007904B9" w:rsidP="006760D1">
            <w:pPr>
              <w:spacing w:line="480" w:lineRule="auto"/>
              <w:rPr>
                <w:sz w:val="22"/>
                <w:szCs w:val="22"/>
                <w:lang w:val="en-US"/>
              </w:rPr>
            </w:pPr>
            <w:r w:rsidRPr="00EC69D7">
              <w:rPr>
                <w:sz w:val="22"/>
                <w:szCs w:val="22"/>
                <w:lang w:val="en-US"/>
              </w:rPr>
              <w:t>81</w:t>
            </w:r>
          </w:p>
        </w:tc>
        <w:tc>
          <w:tcPr>
            <w:tcW w:w="1122" w:type="dxa"/>
          </w:tcPr>
          <w:p w:rsidR="007904B9" w:rsidRPr="00EC69D7" w:rsidRDefault="007904B9" w:rsidP="006760D1">
            <w:pPr>
              <w:spacing w:line="480" w:lineRule="auto"/>
              <w:rPr>
                <w:sz w:val="22"/>
                <w:szCs w:val="22"/>
                <w:lang w:val="en-US"/>
              </w:rPr>
            </w:pPr>
            <w:r w:rsidRPr="00EC69D7">
              <w:rPr>
                <w:sz w:val="22"/>
                <w:szCs w:val="22"/>
                <w:lang w:val="en-US"/>
              </w:rPr>
              <w:t>528</w:t>
            </w:r>
          </w:p>
        </w:tc>
      </w:tr>
    </w:tbl>
    <w:p w:rsidR="007904B9" w:rsidRPr="00EC69D7" w:rsidRDefault="007904B9" w:rsidP="007904B9">
      <w:pPr>
        <w:spacing w:line="480" w:lineRule="auto"/>
        <w:rPr>
          <w:i/>
          <w:iCs/>
          <w:sz w:val="22"/>
          <w:szCs w:val="22"/>
          <w:lang w:val="en-US"/>
        </w:rPr>
      </w:pPr>
      <w:r w:rsidRPr="00EC69D7">
        <w:rPr>
          <w:i/>
          <w:iCs/>
          <w:sz w:val="22"/>
          <w:szCs w:val="22"/>
          <w:lang w:val="en-US"/>
        </w:rPr>
        <w:t xml:space="preserve">NICU = Neonatal Intensive Care Unit; HIE (Hypoxic Ischemic Encephalopathy). Since adverse events are not mutually exclusive, the total sums up to slightly higher figures than the reported CAPO of 3% in the cohort (521/17261).  </w:t>
      </w:r>
    </w:p>
    <w:p w:rsidR="007904B9" w:rsidRDefault="007904B9">
      <w:pPr>
        <w:spacing w:after="160" w:line="259" w:lineRule="auto"/>
        <w:rPr>
          <w:rFonts w:ascii="Arial" w:hAnsi="Arial" w:cs="Arial"/>
          <w:b/>
          <w:bCs/>
          <w:sz w:val="22"/>
          <w:szCs w:val="22"/>
          <w:lang w:val="en-US"/>
        </w:rPr>
      </w:pPr>
      <w:r>
        <w:rPr>
          <w:rFonts w:ascii="Arial" w:hAnsi="Arial" w:cs="Arial"/>
          <w:b/>
          <w:bCs/>
          <w:sz w:val="22"/>
          <w:szCs w:val="22"/>
          <w:lang w:val="en-US"/>
        </w:rPr>
        <w:br w:type="page"/>
      </w:r>
    </w:p>
    <w:p w:rsidR="007904B9" w:rsidRPr="00EC69D7" w:rsidRDefault="007904B9" w:rsidP="00CA789E">
      <w:pPr>
        <w:pStyle w:val="NoSpacing"/>
        <w:spacing w:line="480" w:lineRule="auto"/>
        <w:jc w:val="both"/>
        <w:rPr>
          <w:rFonts w:ascii="Arial" w:hAnsi="Arial" w:cs="Arial"/>
          <w:sz w:val="22"/>
          <w:szCs w:val="22"/>
          <w:lang w:val="en-US"/>
        </w:rPr>
      </w:pPr>
      <w:r w:rsidRPr="00EC69D7">
        <w:rPr>
          <w:rFonts w:ascii="Arial" w:hAnsi="Arial" w:cs="Arial"/>
          <w:b/>
          <w:bCs/>
          <w:sz w:val="22"/>
          <w:szCs w:val="22"/>
          <w:lang w:val="en-US"/>
        </w:rPr>
        <w:lastRenderedPageBreak/>
        <w:t xml:space="preserve">Table </w:t>
      </w:r>
      <w:r>
        <w:rPr>
          <w:rFonts w:ascii="Arial" w:hAnsi="Arial" w:cs="Arial"/>
          <w:b/>
          <w:bCs/>
          <w:sz w:val="22"/>
          <w:szCs w:val="22"/>
          <w:lang w:val="en-US"/>
        </w:rPr>
        <w:t>S2</w:t>
      </w:r>
      <w:r w:rsidRPr="00EC69D7">
        <w:rPr>
          <w:rFonts w:ascii="Arial" w:hAnsi="Arial" w:cs="Arial"/>
          <w:sz w:val="22"/>
          <w:szCs w:val="22"/>
          <w:lang w:val="en-US"/>
        </w:rPr>
        <w:t xml:space="preserve">. </w:t>
      </w:r>
      <w:r w:rsidR="00CA789E" w:rsidRPr="00CA789E">
        <w:rPr>
          <w:rFonts w:ascii="Arial" w:hAnsi="Arial" w:cs="Arial"/>
          <w:sz w:val="22"/>
          <w:szCs w:val="22"/>
          <w:lang w:val="en-US"/>
        </w:rPr>
        <w:t>Performance of estimated fetal weight charts (first row) in detecting fetal growth restriction (FGR)</w:t>
      </w:r>
      <w:r w:rsidR="00CA789E">
        <w:rPr>
          <w:rFonts w:ascii="Arial" w:hAnsi="Arial" w:cs="Arial"/>
          <w:sz w:val="22"/>
          <w:szCs w:val="22"/>
          <w:lang w:val="en-US"/>
        </w:rPr>
        <w:t xml:space="preserve"> </w:t>
      </w:r>
      <w:r w:rsidR="00CA789E" w:rsidRPr="00CA789E">
        <w:rPr>
          <w:rFonts w:ascii="Arial" w:hAnsi="Arial" w:cs="Arial"/>
          <w:sz w:val="22"/>
          <w:szCs w:val="22"/>
          <w:lang w:val="en-US"/>
        </w:rPr>
        <w:t xml:space="preserve">associated with adverse outcome according to </w:t>
      </w:r>
      <w:r w:rsidR="00CA789E">
        <w:rPr>
          <w:rFonts w:ascii="Arial" w:hAnsi="Arial" w:cs="Arial"/>
          <w:sz w:val="22"/>
          <w:szCs w:val="22"/>
          <w:lang w:val="en-US"/>
        </w:rPr>
        <w:t>consensus</w:t>
      </w:r>
      <w:r w:rsidR="00CA789E" w:rsidRPr="00CA789E">
        <w:rPr>
          <w:rFonts w:ascii="Arial" w:hAnsi="Arial" w:cs="Arial"/>
          <w:sz w:val="22"/>
          <w:szCs w:val="22"/>
          <w:lang w:val="en-US"/>
        </w:rPr>
        <w:t xml:space="preserve"> definition (second row) in early (&lt; 32 weeks) vs late</w:t>
      </w:r>
      <w:r w:rsidR="00CA789E">
        <w:rPr>
          <w:rFonts w:ascii="Arial" w:hAnsi="Arial" w:cs="Arial"/>
          <w:sz w:val="22"/>
          <w:szCs w:val="22"/>
          <w:lang w:val="en-US"/>
        </w:rPr>
        <w:t xml:space="preserve"> </w:t>
      </w:r>
      <w:r w:rsidR="00CA789E" w:rsidRPr="00CA789E">
        <w:rPr>
          <w:rFonts w:ascii="Arial" w:hAnsi="Arial" w:cs="Arial"/>
          <w:sz w:val="22"/>
          <w:szCs w:val="22"/>
          <w:lang w:val="en-US"/>
        </w:rPr>
        <w:t>(≥ 32 weeks) gestation</w:t>
      </w:r>
    </w:p>
    <w:tbl>
      <w:tblPr>
        <w:tblStyle w:val="TableGrid"/>
        <w:tblW w:w="9209" w:type="dxa"/>
        <w:tblLook w:val="04A0" w:firstRow="1" w:lastRow="0" w:firstColumn="1" w:lastColumn="0" w:noHBand="0" w:noVBand="1"/>
      </w:tblPr>
      <w:tblGrid>
        <w:gridCol w:w="1273"/>
        <w:gridCol w:w="1295"/>
        <w:gridCol w:w="1295"/>
        <w:gridCol w:w="1295"/>
        <w:gridCol w:w="1295"/>
        <w:gridCol w:w="1295"/>
        <w:gridCol w:w="1461"/>
      </w:tblGrid>
      <w:tr w:rsidR="007904B9" w:rsidRPr="00CA789E" w:rsidTr="00CA789E">
        <w:trPr>
          <w:trHeight w:val="523"/>
        </w:trPr>
        <w:tc>
          <w:tcPr>
            <w:tcW w:w="1269" w:type="dxa"/>
            <w:vMerge w:val="restart"/>
            <w:shd w:val="clear" w:color="auto" w:fill="auto"/>
          </w:tcPr>
          <w:p w:rsidR="007904B9" w:rsidRPr="00CA789E" w:rsidRDefault="007904B9" w:rsidP="00CA789E">
            <w:pPr>
              <w:pStyle w:val="NoSpacing"/>
              <w:spacing w:line="480" w:lineRule="auto"/>
              <w:jc w:val="both"/>
              <w:rPr>
                <w:rFonts w:ascii="Arial" w:hAnsi="Arial" w:cs="Arial"/>
                <w:sz w:val="20"/>
                <w:szCs w:val="21"/>
                <w:lang w:val="en-US"/>
              </w:rPr>
            </w:pPr>
          </w:p>
        </w:tc>
        <w:tc>
          <w:tcPr>
            <w:tcW w:w="2581" w:type="dxa"/>
            <w:gridSpan w:val="2"/>
            <w:shd w:val="clear" w:color="auto" w:fill="auto"/>
          </w:tcPr>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INTERGROWTH</w:t>
            </w:r>
          </w:p>
        </w:tc>
        <w:tc>
          <w:tcPr>
            <w:tcW w:w="2580" w:type="dxa"/>
            <w:gridSpan w:val="2"/>
            <w:shd w:val="clear" w:color="auto" w:fill="auto"/>
          </w:tcPr>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HADLOCK</w:t>
            </w:r>
          </w:p>
        </w:tc>
        <w:tc>
          <w:tcPr>
            <w:tcW w:w="2779" w:type="dxa"/>
            <w:gridSpan w:val="2"/>
            <w:shd w:val="clear" w:color="auto" w:fill="auto"/>
          </w:tcPr>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FMF</w:t>
            </w:r>
          </w:p>
        </w:tc>
      </w:tr>
      <w:tr w:rsidR="007904B9" w:rsidRPr="00CA789E" w:rsidTr="00CA789E">
        <w:trPr>
          <w:trHeight w:val="137"/>
        </w:trPr>
        <w:tc>
          <w:tcPr>
            <w:tcW w:w="1269" w:type="dxa"/>
            <w:vMerge/>
            <w:shd w:val="clear" w:color="auto" w:fill="auto"/>
          </w:tcPr>
          <w:p w:rsidR="007904B9" w:rsidRPr="00CA789E" w:rsidRDefault="007904B9" w:rsidP="00CA789E">
            <w:pPr>
              <w:pStyle w:val="NoSpacing"/>
              <w:spacing w:line="480" w:lineRule="auto"/>
              <w:jc w:val="both"/>
              <w:rPr>
                <w:rFonts w:ascii="Arial" w:hAnsi="Arial" w:cs="Arial"/>
                <w:sz w:val="20"/>
                <w:szCs w:val="21"/>
                <w:lang w:val="en-US"/>
              </w:rPr>
            </w:pPr>
          </w:p>
        </w:tc>
        <w:tc>
          <w:tcPr>
            <w:tcW w:w="1291" w:type="dxa"/>
            <w:shd w:val="clear" w:color="auto" w:fill="auto"/>
          </w:tcPr>
          <w:p w:rsidR="007904B9" w:rsidRPr="00CA789E" w:rsidRDefault="00CA789E"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Consensus</w:t>
            </w:r>
          </w:p>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Early FGR (&lt;32 weeks)</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Consensus</w:t>
            </w:r>
          </w:p>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Late FGR (&gt;= 32 weeks)</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Consensus</w:t>
            </w:r>
          </w:p>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Early FGR (&lt;32 weeks)</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Consensus</w:t>
            </w:r>
          </w:p>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Late FGR (&gt;= 32 weeks)</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Consensus</w:t>
            </w:r>
          </w:p>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Early FGR (&lt;32 weeks)</w:t>
            </w:r>
          </w:p>
        </w:tc>
        <w:tc>
          <w:tcPr>
            <w:tcW w:w="1489" w:type="dxa"/>
            <w:shd w:val="clear" w:color="auto" w:fill="auto"/>
          </w:tcPr>
          <w:p w:rsidR="00CA789E" w:rsidRPr="00CA789E" w:rsidRDefault="00CA789E"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Consensus</w:t>
            </w:r>
          </w:p>
          <w:p w:rsidR="007904B9" w:rsidRPr="00CA789E" w:rsidRDefault="007904B9" w:rsidP="00CA789E">
            <w:pPr>
              <w:pStyle w:val="NoSpacing"/>
              <w:spacing w:line="480" w:lineRule="auto"/>
              <w:jc w:val="center"/>
              <w:rPr>
                <w:rFonts w:ascii="Arial" w:hAnsi="Arial" w:cs="Arial"/>
                <w:b/>
                <w:bCs/>
                <w:sz w:val="20"/>
                <w:szCs w:val="21"/>
                <w:lang w:val="en-US"/>
              </w:rPr>
            </w:pPr>
            <w:r w:rsidRPr="00CA789E">
              <w:rPr>
                <w:rFonts w:ascii="Arial" w:hAnsi="Arial" w:cs="Arial"/>
                <w:b/>
                <w:bCs/>
                <w:sz w:val="20"/>
                <w:szCs w:val="21"/>
                <w:lang w:val="en-US"/>
              </w:rPr>
              <w:t>Late FGR (&gt;= 32 weeks)</w:t>
            </w:r>
          </w:p>
        </w:tc>
      </w:tr>
      <w:tr w:rsidR="007904B9" w:rsidRPr="00CA789E" w:rsidTr="00CA789E">
        <w:trPr>
          <w:trHeight w:val="626"/>
        </w:trPr>
        <w:tc>
          <w:tcPr>
            <w:tcW w:w="1269" w:type="dxa"/>
            <w:shd w:val="clear" w:color="auto" w:fill="auto"/>
          </w:tcPr>
          <w:p w:rsidR="007904B9" w:rsidRPr="00CA789E" w:rsidRDefault="007904B9" w:rsidP="00CA789E">
            <w:pPr>
              <w:pStyle w:val="NoSpacing"/>
              <w:spacing w:line="480" w:lineRule="auto"/>
              <w:jc w:val="both"/>
              <w:rPr>
                <w:rFonts w:ascii="Arial" w:hAnsi="Arial" w:cs="Arial"/>
                <w:b/>
                <w:bCs/>
                <w:sz w:val="20"/>
                <w:szCs w:val="21"/>
                <w:lang w:val="en-US"/>
              </w:rPr>
            </w:pPr>
            <w:r w:rsidRPr="00CA789E">
              <w:rPr>
                <w:rFonts w:ascii="Arial" w:hAnsi="Arial" w:cs="Arial"/>
                <w:b/>
                <w:bCs/>
                <w:sz w:val="20"/>
                <w:szCs w:val="21"/>
                <w:lang w:val="en-US"/>
              </w:rPr>
              <w:t>Prevalence (%)</w:t>
            </w:r>
          </w:p>
        </w:tc>
        <w:tc>
          <w:tcPr>
            <w:tcW w:w="1291"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3.61</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1.18</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4.4</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3.4</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7.37</w:t>
            </w:r>
          </w:p>
        </w:tc>
        <w:tc>
          <w:tcPr>
            <w:tcW w:w="1489"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4.17</w:t>
            </w:r>
          </w:p>
        </w:tc>
      </w:tr>
      <w:tr w:rsidR="007904B9" w:rsidRPr="00CA789E" w:rsidTr="00CA789E">
        <w:trPr>
          <w:trHeight w:val="712"/>
        </w:trPr>
        <w:tc>
          <w:tcPr>
            <w:tcW w:w="1269" w:type="dxa"/>
            <w:shd w:val="clear" w:color="auto" w:fill="auto"/>
          </w:tcPr>
          <w:p w:rsidR="007904B9" w:rsidRPr="00CA789E" w:rsidRDefault="007904B9" w:rsidP="00CA789E">
            <w:pPr>
              <w:pStyle w:val="NoSpacing"/>
              <w:spacing w:line="480" w:lineRule="auto"/>
              <w:jc w:val="both"/>
              <w:rPr>
                <w:rFonts w:ascii="Arial" w:hAnsi="Arial" w:cs="Arial"/>
                <w:b/>
                <w:bCs/>
                <w:sz w:val="20"/>
                <w:szCs w:val="21"/>
                <w:lang w:val="en-US"/>
              </w:rPr>
            </w:pPr>
            <w:r w:rsidRPr="00CA789E">
              <w:rPr>
                <w:rFonts w:ascii="Arial" w:hAnsi="Arial" w:cs="Arial"/>
                <w:b/>
                <w:bCs/>
                <w:sz w:val="20"/>
                <w:szCs w:val="21"/>
                <w:lang w:val="en-US"/>
              </w:rPr>
              <w:t>Sn (%)</w:t>
            </w:r>
          </w:p>
        </w:tc>
        <w:tc>
          <w:tcPr>
            <w:tcW w:w="1291"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14.1 (8.1 – 22.3)</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1.93 (.84 – 3.8)</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16.9 (10.4 – 25.5)</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5.3 (3.6 – 7.9)</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21.7 (14.3 – 30.8)</w:t>
            </w:r>
          </w:p>
        </w:tc>
        <w:tc>
          <w:tcPr>
            <w:tcW w:w="1489"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4.6 (2.8 – 7.1)</w:t>
            </w:r>
          </w:p>
        </w:tc>
      </w:tr>
      <w:tr w:rsidR="007904B9" w:rsidRPr="00CA789E" w:rsidTr="00CA789E">
        <w:trPr>
          <w:trHeight w:val="484"/>
        </w:trPr>
        <w:tc>
          <w:tcPr>
            <w:tcW w:w="1269" w:type="dxa"/>
            <w:shd w:val="clear" w:color="auto" w:fill="auto"/>
          </w:tcPr>
          <w:p w:rsidR="007904B9" w:rsidRPr="00CA789E" w:rsidRDefault="007904B9" w:rsidP="00CA789E">
            <w:pPr>
              <w:pStyle w:val="NoSpacing"/>
              <w:spacing w:line="480" w:lineRule="auto"/>
              <w:jc w:val="both"/>
              <w:rPr>
                <w:rFonts w:ascii="Arial" w:hAnsi="Arial" w:cs="Arial"/>
                <w:b/>
                <w:bCs/>
                <w:sz w:val="20"/>
                <w:szCs w:val="21"/>
                <w:lang w:val="en-US"/>
              </w:rPr>
            </w:pPr>
            <w:proofErr w:type="spellStart"/>
            <w:r w:rsidRPr="00CA789E">
              <w:rPr>
                <w:rFonts w:ascii="Arial" w:hAnsi="Arial" w:cs="Arial"/>
                <w:b/>
                <w:bCs/>
                <w:sz w:val="20"/>
                <w:szCs w:val="21"/>
                <w:lang w:val="en-US"/>
              </w:rPr>
              <w:t>Sp</w:t>
            </w:r>
            <w:proofErr w:type="spellEnd"/>
            <w:r w:rsidRPr="00CA789E">
              <w:rPr>
                <w:rFonts w:ascii="Arial" w:hAnsi="Arial" w:cs="Arial"/>
                <w:b/>
                <w:bCs/>
                <w:sz w:val="20"/>
                <w:szCs w:val="21"/>
                <w:lang w:val="en-US"/>
              </w:rPr>
              <w:t xml:space="preserve"> (%)</w:t>
            </w:r>
          </w:p>
        </w:tc>
        <w:tc>
          <w:tcPr>
            <w:tcW w:w="1291"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96.9 (96.1 – 97.7)</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98.8 (98.6 – 99)</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96.2 (95.3 – 97)</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96.6 (96.3 – 96.9)</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93.4 (92.2 – 94.4)</w:t>
            </w:r>
          </w:p>
        </w:tc>
        <w:tc>
          <w:tcPr>
            <w:tcW w:w="1489"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95.8 (95.5 – 96.1)</w:t>
            </w:r>
          </w:p>
        </w:tc>
      </w:tr>
      <w:tr w:rsidR="007904B9" w:rsidRPr="00CA789E" w:rsidTr="00CA789E">
        <w:trPr>
          <w:trHeight w:val="555"/>
        </w:trPr>
        <w:tc>
          <w:tcPr>
            <w:tcW w:w="1269" w:type="dxa"/>
            <w:shd w:val="clear" w:color="auto" w:fill="auto"/>
          </w:tcPr>
          <w:p w:rsidR="007904B9" w:rsidRPr="00CA789E" w:rsidRDefault="007904B9" w:rsidP="00CA789E">
            <w:pPr>
              <w:pStyle w:val="NoSpacing"/>
              <w:spacing w:line="480" w:lineRule="auto"/>
              <w:jc w:val="both"/>
              <w:rPr>
                <w:rFonts w:ascii="Arial" w:hAnsi="Arial" w:cs="Arial"/>
                <w:b/>
                <w:bCs/>
                <w:sz w:val="20"/>
                <w:szCs w:val="21"/>
                <w:lang w:val="en-US"/>
              </w:rPr>
            </w:pPr>
            <w:r w:rsidRPr="00CA789E">
              <w:rPr>
                <w:rFonts w:ascii="Arial" w:hAnsi="Arial" w:cs="Arial"/>
                <w:b/>
                <w:bCs/>
                <w:sz w:val="20"/>
                <w:szCs w:val="21"/>
                <w:lang w:val="en-US"/>
              </w:rPr>
              <w:t>+</w:t>
            </w:r>
            <w:proofErr w:type="spellStart"/>
            <w:r w:rsidRPr="00CA789E">
              <w:rPr>
                <w:rFonts w:ascii="Arial" w:hAnsi="Arial" w:cs="Arial"/>
                <w:b/>
                <w:bCs/>
                <w:sz w:val="20"/>
                <w:szCs w:val="21"/>
                <w:lang w:val="en-US"/>
              </w:rPr>
              <w:t>ve</w:t>
            </w:r>
            <w:proofErr w:type="spellEnd"/>
            <w:r w:rsidRPr="00CA789E">
              <w:rPr>
                <w:rFonts w:ascii="Arial" w:hAnsi="Arial" w:cs="Arial"/>
                <w:b/>
                <w:bCs/>
                <w:sz w:val="20"/>
                <w:szCs w:val="21"/>
                <w:lang w:val="en-US"/>
              </w:rPr>
              <w:t xml:space="preserve"> LR</w:t>
            </w:r>
          </w:p>
        </w:tc>
        <w:tc>
          <w:tcPr>
            <w:tcW w:w="1291"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4.63 (2.7 – 7.9)</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1.66 (.82 – 3.3)</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4.46 (2.7 – 7.2)</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1.57 (1 – 2.4)</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3.28 (2.2 – 4.9)</w:t>
            </w:r>
          </w:p>
        </w:tc>
        <w:tc>
          <w:tcPr>
            <w:tcW w:w="1489"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1.1 (.7 – 1.7)</w:t>
            </w:r>
          </w:p>
        </w:tc>
      </w:tr>
      <w:tr w:rsidR="007904B9" w:rsidRPr="00CA789E" w:rsidTr="00CA789E">
        <w:trPr>
          <w:trHeight w:val="611"/>
        </w:trPr>
        <w:tc>
          <w:tcPr>
            <w:tcW w:w="1269" w:type="dxa"/>
            <w:shd w:val="clear" w:color="auto" w:fill="auto"/>
          </w:tcPr>
          <w:p w:rsidR="007904B9" w:rsidRPr="00CA789E" w:rsidRDefault="007904B9" w:rsidP="00CA789E">
            <w:pPr>
              <w:pStyle w:val="NoSpacing"/>
              <w:spacing w:line="480" w:lineRule="auto"/>
              <w:jc w:val="both"/>
              <w:rPr>
                <w:rFonts w:ascii="Arial" w:hAnsi="Arial" w:cs="Arial"/>
                <w:b/>
                <w:bCs/>
                <w:sz w:val="20"/>
                <w:szCs w:val="21"/>
                <w:lang w:val="en-US"/>
              </w:rPr>
            </w:pPr>
            <w:r w:rsidRPr="00CA789E">
              <w:rPr>
                <w:rFonts w:ascii="Arial" w:hAnsi="Arial" w:cs="Arial"/>
                <w:b/>
                <w:bCs/>
                <w:sz w:val="20"/>
                <w:szCs w:val="21"/>
                <w:lang w:val="en-US"/>
              </w:rPr>
              <w:t>-</w:t>
            </w:r>
            <w:proofErr w:type="spellStart"/>
            <w:r w:rsidRPr="00CA789E">
              <w:rPr>
                <w:rFonts w:ascii="Arial" w:hAnsi="Arial" w:cs="Arial"/>
                <w:b/>
                <w:bCs/>
                <w:sz w:val="20"/>
                <w:szCs w:val="21"/>
                <w:lang w:val="en-US"/>
              </w:rPr>
              <w:t>ve</w:t>
            </w:r>
            <w:proofErr w:type="spellEnd"/>
            <w:r w:rsidRPr="00CA789E">
              <w:rPr>
                <w:rFonts w:ascii="Arial" w:hAnsi="Arial" w:cs="Arial"/>
                <w:b/>
                <w:bCs/>
                <w:sz w:val="20"/>
                <w:szCs w:val="21"/>
                <w:lang w:val="en-US"/>
              </w:rPr>
              <w:t xml:space="preserve"> LR</w:t>
            </w:r>
          </w:p>
        </w:tc>
        <w:tc>
          <w:tcPr>
            <w:tcW w:w="1291"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0.89 (.82 - .96)</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0.99 (.98 – 1.01)</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0.86 (.79 - .94)</w:t>
            </w:r>
          </w:p>
        </w:tc>
        <w:tc>
          <w:tcPr>
            <w:tcW w:w="1290" w:type="dxa"/>
            <w:shd w:val="clear" w:color="auto" w:fill="auto"/>
          </w:tcPr>
          <w:p w:rsidR="007904B9" w:rsidRPr="00CA789E" w:rsidRDefault="007904B9" w:rsidP="00CA789E">
            <w:pPr>
              <w:pStyle w:val="NoSpacing"/>
              <w:spacing w:line="480" w:lineRule="auto"/>
              <w:rPr>
                <w:rFonts w:ascii="Arial" w:hAnsi="Arial" w:cs="Arial"/>
                <w:sz w:val="20"/>
                <w:szCs w:val="21"/>
                <w:lang w:val="en-US"/>
              </w:rPr>
            </w:pPr>
            <w:r w:rsidRPr="00CA789E">
              <w:rPr>
                <w:rFonts w:ascii="Arial" w:hAnsi="Arial" w:cs="Arial"/>
                <w:sz w:val="20"/>
                <w:szCs w:val="21"/>
                <w:lang w:val="en-US"/>
              </w:rPr>
              <w:t>0.98 (.96 – 1)</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0.84 (.76 - .93)</w:t>
            </w:r>
          </w:p>
        </w:tc>
        <w:tc>
          <w:tcPr>
            <w:tcW w:w="1489"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 (.97 – 1.02)</w:t>
            </w:r>
          </w:p>
        </w:tc>
      </w:tr>
      <w:tr w:rsidR="007904B9" w:rsidRPr="00CA789E" w:rsidTr="00CA789E">
        <w:trPr>
          <w:trHeight w:val="650"/>
        </w:trPr>
        <w:tc>
          <w:tcPr>
            <w:tcW w:w="1269" w:type="dxa"/>
            <w:shd w:val="clear" w:color="auto" w:fill="auto"/>
          </w:tcPr>
          <w:p w:rsidR="007904B9" w:rsidRPr="00CA789E" w:rsidRDefault="007904B9" w:rsidP="00CA789E">
            <w:pPr>
              <w:pStyle w:val="NoSpacing"/>
              <w:spacing w:line="480" w:lineRule="auto"/>
              <w:jc w:val="both"/>
              <w:rPr>
                <w:rFonts w:ascii="Arial" w:hAnsi="Arial" w:cs="Arial"/>
                <w:b/>
                <w:bCs/>
                <w:sz w:val="20"/>
                <w:szCs w:val="21"/>
                <w:lang w:val="en-US"/>
              </w:rPr>
            </w:pPr>
            <w:r w:rsidRPr="00CA789E">
              <w:rPr>
                <w:rFonts w:ascii="Arial" w:hAnsi="Arial" w:cs="Arial"/>
                <w:b/>
                <w:bCs/>
                <w:sz w:val="20"/>
                <w:szCs w:val="21"/>
                <w:lang w:val="en-US"/>
              </w:rPr>
              <w:t>PPV (%)</w:t>
            </w:r>
          </w:p>
        </w:tc>
        <w:tc>
          <w:tcPr>
            <w:tcW w:w="1291"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19.7 (12.6 – 29.5)</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4.5 (2.3 – 8.6)</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19.15 (12.8 – 27.6)</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4.2 (2.8 – 6.3)</w:t>
            </w:r>
          </w:p>
        </w:tc>
        <w:tc>
          <w:tcPr>
            <w:tcW w:w="1290" w:type="dxa"/>
            <w:shd w:val="clear" w:color="auto" w:fill="auto"/>
          </w:tcPr>
          <w:p w:rsidR="007904B9" w:rsidRPr="00CA789E" w:rsidRDefault="007904B9" w:rsidP="00CA789E">
            <w:pPr>
              <w:pStyle w:val="NoSpacing"/>
              <w:spacing w:line="480" w:lineRule="auto"/>
              <w:rPr>
                <w:rFonts w:ascii="Arial" w:hAnsi="Arial" w:cs="Arial"/>
                <w:sz w:val="20"/>
                <w:szCs w:val="21"/>
                <w:lang w:val="en-US"/>
              </w:rPr>
            </w:pPr>
            <w:r w:rsidRPr="00CA789E">
              <w:rPr>
                <w:rFonts w:ascii="Arial" w:hAnsi="Arial" w:cs="Arial"/>
                <w:sz w:val="20"/>
                <w:szCs w:val="21"/>
                <w:lang w:val="en-US"/>
              </w:rPr>
              <w:t>14.8 (10.5 – 20.6)</w:t>
            </w:r>
          </w:p>
        </w:tc>
        <w:tc>
          <w:tcPr>
            <w:tcW w:w="1489"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3 (1.94 – 4.6)</w:t>
            </w:r>
          </w:p>
        </w:tc>
      </w:tr>
      <w:tr w:rsidR="007904B9" w:rsidRPr="00CA789E" w:rsidTr="00CA789E">
        <w:trPr>
          <w:trHeight w:val="579"/>
        </w:trPr>
        <w:tc>
          <w:tcPr>
            <w:tcW w:w="1269" w:type="dxa"/>
            <w:shd w:val="clear" w:color="auto" w:fill="auto"/>
          </w:tcPr>
          <w:p w:rsidR="007904B9" w:rsidRPr="00CA789E" w:rsidRDefault="007904B9" w:rsidP="00CA789E">
            <w:pPr>
              <w:pStyle w:val="NoSpacing"/>
              <w:spacing w:line="480" w:lineRule="auto"/>
              <w:jc w:val="both"/>
              <w:rPr>
                <w:rFonts w:ascii="Arial" w:hAnsi="Arial" w:cs="Arial"/>
                <w:b/>
                <w:bCs/>
                <w:sz w:val="20"/>
                <w:szCs w:val="21"/>
                <w:lang w:val="en-US"/>
              </w:rPr>
            </w:pPr>
            <w:r w:rsidRPr="00CA789E">
              <w:rPr>
                <w:rFonts w:ascii="Arial" w:hAnsi="Arial" w:cs="Arial"/>
                <w:b/>
                <w:bCs/>
                <w:sz w:val="20"/>
                <w:szCs w:val="21"/>
                <w:lang w:val="en-US"/>
              </w:rPr>
              <w:t>NPV (%)</w:t>
            </w:r>
          </w:p>
        </w:tc>
        <w:tc>
          <w:tcPr>
            <w:tcW w:w="1291"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95.5 (91.6 – 93.8)</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97.28 (97.25 – 97.32)</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95.6 (95.2 – 96)</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97.3 (97.2 – 97.4)</w:t>
            </w:r>
          </w:p>
        </w:tc>
        <w:tc>
          <w:tcPr>
            <w:tcW w:w="1290"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95.7 (95.3 – 96.1)</w:t>
            </w:r>
          </w:p>
        </w:tc>
        <w:tc>
          <w:tcPr>
            <w:tcW w:w="1489" w:type="dxa"/>
            <w:shd w:val="clear" w:color="auto" w:fill="auto"/>
          </w:tcPr>
          <w:p w:rsidR="007904B9" w:rsidRPr="00CA789E" w:rsidRDefault="007904B9" w:rsidP="00CA789E">
            <w:pPr>
              <w:pStyle w:val="NoSpacing"/>
              <w:spacing w:line="480" w:lineRule="auto"/>
              <w:jc w:val="center"/>
              <w:rPr>
                <w:rFonts w:ascii="Arial" w:hAnsi="Arial" w:cs="Arial"/>
                <w:sz w:val="20"/>
                <w:szCs w:val="21"/>
                <w:lang w:val="en-US"/>
              </w:rPr>
            </w:pPr>
            <w:r w:rsidRPr="00CA789E">
              <w:rPr>
                <w:rFonts w:ascii="Arial" w:hAnsi="Arial" w:cs="Arial"/>
                <w:sz w:val="20"/>
                <w:szCs w:val="21"/>
                <w:lang w:val="en-US"/>
              </w:rPr>
              <w:t>97.3 (97.22 – 9.33)</w:t>
            </w:r>
          </w:p>
        </w:tc>
      </w:tr>
    </w:tbl>
    <w:p w:rsidR="007904B9" w:rsidRPr="00EC69D7" w:rsidRDefault="007904B9" w:rsidP="007904B9">
      <w:pPr>
        <w:pStyle w:val="NoSpacing"/>
        <w:spacing w:line="480" w:lineRule="auto"/>
        <w:jc w:val="both"/>
        <w:rPr>
          <w:rFonts w:ascii="Arial" w:hAnsi="Arial" w:cs="Arial"/>
          <w:i/>
          <w:iCs/>
          <w:sz w:val="22"/>
          <w:szCs w:val="22"/>
          <w:lang w:val="en-US"/>
        </w:rPr>
      </w:pPr>
      <w:r w:rsidRPr="00EC69D7">
        <w:rPr>
          <w:rFonts w:ascii="Arial" w:hAnsi="Arial" w:cs="Arial"/>
          <w:i/>
          <w:iCs/>
          <w:sz w:val="22"/>
          <w:szCs w:val="22"/>
          <w:lang w:val="en-US"/>
        </w:rPr>
        <w:t xml:space="preserve">FMF = Fetal Medicine Foundation; FGR = Fetal growth restriction; Sn = Sensitivity; </w:t>
      </w:r>
      <w:proofErr w:type="spellStart"/>
      <w:r w:rsidRPr="00EC69D7">
        <w:rPr>
          <w:rFonts w:ascii="Arial" w:hAnsi="Arial" w:cs="Arial"/>
          <w:i/>
          <w:iCs/>
          <w:sz w:val="22"/>
          <w:szCs w:val="22"/>
          <w:lang w:val="en-US"/>
        </w:rPr>
        <w:t>Sp</w:t>
      </w:r>
      <w:proofErr w:type="spellEnd"/>
      <w:r w:rsidRPr="00EC69D7">
        <w:rPr>
          <w:rFonts w:ascii="Arial" w:hAnsi="Arial" w:cs="Arial"/>
          <w:i/>
          <w:iCs/>
          <w:sz w:val="22"/>
          <w:szCs w:val="22"/>
          <w:lang w:val="en-US"/>
        </w:rPr>
        <w:t xml:space="preserve"> = Specificity; LR = Likelihood Ratio; PPV = Positive Predictive Value; NPV = Negative Predictive Value. </w:t>
      </w:r>
    </w:p>
    <w:p w:rsidR="007904B9" w:rsidRPr="00EC69D7" w:rsidRDefault="007904B9" w:rsidP="007904B9">
      <w:pPr>
        <w:pStyle w:val="NoSpacing"/>
        <w:spacing w:line="480" w:lineRule="auto"/>
        <w:jc w:val="both"/>
        <w:rPr>
          <w:rFonts w:ascii="Arial" w:hAnsi="Arial" w:cs="Arial"/>
          <w:i/>
          <w:iCs/>
          <w:sz w:val="22"/>
          <w:szCs w:val="22"/>
          <w:lang w:val="en-US"/>
        </w:rPr>
      </w:pPr>
    </w:p>
    <w:p w:rsidR="007904B9" w:rsidRDefault="007904B9">
      <w:pPr>
        <w:spacing w:after="160" w:line="259" w:lineRule="auto"/>
        <w:rPr>
          <w:rFonts w:ascii="Arial" w:hAnsi="Arial" w:cs="Arial"/>
          <w:b/>
          <w:bCs/>
          <w:sz w:val="22"/>
          <w:szCs w:val="22"/>
          <w:lang w:val="en-US"/>
        </w:rPr>
      </w:pPr>
      <w:r>
        <w:rPr>
          <w:rFonts w:ascii="Arial" w:hAnsi="Arial" w:cs="Arial"/>
          <w:b/>
          <w:bCs/>
          <w:sz w:val="22"/>
          <w:szCs w:val="22"/>
          <w:lang w:val="en-US"/>
        </w:rPr>
        <w:br w:type="page"/>
      </w:r>
    </w:p>
    <w:p w:rsidR="007904B9" w:rsidRPr="00EC69D7" w:rsidRDefault="007904B9" w:rsidP="00CA789E">
      <w:pPr>
        <w:pStyle w:val="NoSpacing"/>
        <w:spacing w:line="480" w:lineRule="auto"/>
        <w:jc w:val="both"/>
        <w:rPr>
          <w:rFonts w:ascii="Arial" w:hAnsi="Arial" w:cs="Arial"/>
          <w:sz w:val="22"/>
          <w:szCs w:val="22"/>
          <w:lang w:val="en-US"/>
        </w:rPr>
      </w:pPr>
      <w:r w:rsidRPr="00EC69D7">
        <w:rPr>
          <w:rFonts w:ascii="Arial" w:hAnsi="Arial" w:cs="Arial"/>
          <w:b/>
          <w:bCs/>
          <w:sz w:val="22"/>
          <w:szCs w:val="22"/>
          <w:lang w:val="en-US"/>
        </w:rPr>
        <w:lastRenderedPageBreak/>
        <w:t xml:space="preserve">Table </w:t>
      </w:r>
      <w:r>
        <w:rPr>
          <w:rFonts w:ascii="Arial" w:hAnsi="Arial" w:cs="Arial"/>
          <w:b/>
          <w:bCs/>
          <w:sz w:val="22"/>
          <w:szCs w:val="22"/>
          <w:lang w:val="en-US"/>
        </w:rPr>
        <w:t>S3</w:t>
      </w:r>
      <w:r w:rsidRPr="00EC69D7">
        <w:rPr>
          <w:rFonts w:ascii="Arial" w:hAnsi="Arial" w:cs="Arial"/>
          <w:sz w:val="22"/>
          <w:szCs w:val="22"/>
          <w:lang w:val="en-US"/>
        </w:rPr>
        <w:t xml:space="preserve">. </w:t>
      </w:r>
      <w:r w:rsidR="00CA789E" w:rsidRPr="00CA789E">
        <w:rPr>
          <w:rFonts w:ascii="Arial" w:hAnsi="Arial" w:cs="Arial"/>
          <w:sz w:val="22"/>
          <w:szCs w:val="22"/>
          <w:lang w:val="en-US"/>
        </w:rPr>
        <w:t xml:space="preserve">Performance of </w:t>
      </w:r>
      <w:proofErr w:type="spellStart"/>
      <w:r w:rsidR="00CA789E" w:rsidRPr="00CA789E">
        <w:rPr>
          <w:rFonts w:ascii="Arial" w:hAnsi="Arial" w:cs="Arial"/>
          <w:sz w:val="22"/>
          <w:szCs w:val="22"/>
          <w:lang w:val="en-US"/>
        </w:rPr>
        <w:t>cerebroplacental</w:t>
      </w:r>
      <w:proofErr w:type="spellEnd"/>
      <w:r w:rsidR="00CA789E" w:rsidRPr="00CA789E">
        <w:rPr>
          <w:rFonts w:ascii="Arial" w:hAnsi="Arial" w:cs="Arial"/>
          <w:sz w:val="22"/>
          <w:szCs w:val="22"/>
          <w:lang w:val="en-US"/>
        </w:rPr>
        <w:t xml:space="preserve"> ratio Doppler references of Wolf et al. and Baschat et al. in</w:t>
      </w:r>
      <w:r w:rsidR="00CA789E">
        <w:rPr>
          <w:rFonts w:ascii="Arial" w:hAnsi="Arial" w:cs="Arial"/>
          <w:sz w:val="22"/>
          <w:szCs w:val="22"/>
          <w:lang w:val="en-US"/>
        </w:rPr>
        <w:t xml:space="preserve"> </w:t>
      </w:r>
      <w:r w:rsidR="00CA789E" w:rsidRPr="00CA789E">
        <w:rPr>
          <w:rFonts w:ascii="Arial" w:hAnsi="Arial" w:cs="Arial"/>
          <w:sz w:val="22"/>
          <w:szCs w:val="22"/>
          <w:lang w:val="en-US"/>
        </w:rPr>
        <w:t xml:space="preserve">detecting late fetal growth restriction (FGR) according to </w:t>
      </w:r>
      <w:r w:rsidR="00CA789E">
        <w:rPr>
          <w:rFonts w:ascii="Arial" w:hAnsi="Arial" w:cs="Arial"/>
          <w:sz w:val="22"/>
          <w:szCs w:val="22"/>
          <w:lang w:val="en-US"/>
        </w:rPr>
        <w:t>consensus</w:t>
      </w:r>
      <w:r w:rsidR="00CA789E" w:rsidRPr="00CA789E">
        <w:rPr>
          <w:rFonts w:ascii="Arial" w:hAnsi="Arial" w:cs="Arial"/>
          <w:sz w:val="22"/>
          <w:szCs w:val="22"/>
          <w:lang w:val="en-US"/>
        </w:rPr>
        <w:t xml:space="preserve"> definition (second row) across different</w:t>
      </w:r>
      <w:r w:rsidR="00CA789E">
        <w:rPr>
          <w:rFonts w:ascii="Arial" w:hAnsi="Arial" w:cs="Arial"/>
          <w:sz w:val="22"/>
          <w:szCs w:val="22"/>
          <w:lang w:val="en-US"/>
        </w:rPr>
        <w:t xml:space="preserve"> </w:t>
      </w:r>
      <w:r w:rsidR="00CA789E" w:rsidRPr="00CA789E">
        <w:rPr>
          <w:rFonts w:ascii="Arial" w:hAnsi="Arial" w:cs="Arial"/>
          <w:sz w:val="22"/>
          <w:szCs w:val="22"/>
          <w:lang w:val="en-US"/>
        </w:rPr>
        <w:t>growth charts (first row)</w:t>
      </w:r>
      <w:bookmarkStart w:id="0" w:name="_GoBack"/>
      <w:bookmarkEnd w:id="0"/>
    </w:p>
    <w:tbl>
      <w:tblPr>
        <w:tblStyle w:val="TableGrid"/>
        <w:tblW w:w="9209" w:type="dxa"/>
        <w:jc w:val="center"/>
        <w:tblLook w:val="04A0" w:firstRow="1" w:lastRow="0" w:firstColumn="1" w:lastColumn="0" w:noHBand="0" w:noVBand="1"/>
      </w:tblPr>
      <w:tblGrid>
        <w:gridCol w:w="1273"/>
        <w:gridCol w:w="1295"/>
        <w:gridCol w:w="1295"/>
        <w:gridCol w:w="1295"/>
        <w:gridCol w:w="1295"/>
        <w:gridCol w:w="1295"/>
        <w:gridCol w:w="1461"/>
      </w:tblGrid>
      <w:tr w:rsidR="007904B9" w:rsidRPr="00CA789E" w:rsidTr="00CA789E">
        <w:trPr>
          <w:trHeight w:val="20"/>
          <w:jc w:val="center"/>
        </w:trPr>
        <w:tc>
          <w:tcPr>
            <w:tcW w:w="1269" w:type="dxa"/>
            <w:vMerge w:val="restart"/>
            <w:shd w:val="clear" w:color="auto" w:fill="auto"/>
          </w:tcPr>
          <w:p w:rsidR="007904B9" w:rsidRPr="00CA789E" w:rsidRDefault="007904B9" w:rsidP="006760D1">
            <w:pPr>
              <w:pStyle w:val="NoSpacing"/>
              <w:spacing w:line="480" w:lineRule="auto"/>
              <w:jc w:val="both"/>
              <w:rPr>
                <w:rFonts w:ascii="Arial" w:hAnsi="Arial" w:cs="Arial"/>
                <w:sz w:val="20"/>
                <w:szCs w:val="20"/>
                <w:lang w:val="en-US"/>
              </w:rPr>
            </w:pPr>
          </w:p>
        </w:tc>
        <w:tc>
          <w:tcPr>
            <w:tcW w:w="2581" w:type="dxa"/>
            <w:gridSpan w:val="2"/>
            <w:shd w:val="clear" w:color="auto" w:fill="auto"/>
          </w:tcPr>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INTERGROWTH</w:t>
            </w:r>
          </w:p>
        </w:tc>
        <w:tc>
          <w:tcPr>
            <w:tcW w:w="2580" w:type="dxa"/>
            <w:gridSpan w:val="2"/>
            <w:shd w:val="clear" w:color="auto" w:fill="auto"/>
          </w:tcPr>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HADLOCK</w:t>
            </w:r>
          </w:p>
        </w:tc>
        <w:tc>
          <w:tcPr>
            <w:tcW w:w="2779" w:type="dxa"/>
            <w:gridSpan w:val="2"/>
            <w:shd w:val="clear" w:color="auto" w:fill="auto"/>
          </w:tcPr>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FMF</w:t>
            </w:r>
          </w:p>
        </w:tc>
      </w:tr>
      <w:tr w:rsidR="007904B9" w:rsidRPr="00CA789E" w:rsidTr="00CA789E">
        <w:trPr>
          <w:trHeight w:val="20"/>
          <w:jc w:val="center"/>
        </w:trPr>
        <w:tc>
          <w:tcPr>
            <w:tcW w:w="1269" w:type="dxa"/>
            <w:vMerge/>
            <w:shd w:val="clear" w:color="auto" w:fill="auto"/>
          </w:tcPr>
          <w:p w:rsidR="007904B9" w:rsidRPr="00CA789E" w:rsidRDefault="007904B9" w:rsidP="006760D1">
            <w:pPr>
              <w:pStyle w:val="NoSpacing"/>
              <w:spacing w:line="480" w:lineRule="auto"/>
              <w:jc w:val="both"/>
              <w:rPr>
                <w:rFonts w:ascii="Arial" w:hAnsi="Arial" w:cs="Arial"/>
                <w:sz w:val="20"/>
                <w:szCs w:val="20"/>
                <w:lang w:val="en-US"/>
              </w:rPr>
            </w:pPr>
          </w:p>
        </w:tc>
        <w:tc>
          <w:tcPr>
            <w:tcW w:w="1291" w:type="dxa"/>
            <w:shd w:val="clear" w:color="auto" w:fill="auto"/>
          </w:tcPr>
          <w:p w:rsidR="00CA789E" w:rsidRPr="00CA789E" w:rsidRDefault="00CA789E" w:rsidP="00CA789E">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Consensus</w:t>
            </w:r>
          </w:p>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Late FGR (&gt;= 32 weeks) Baschat</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Consensus</w:t>
            </w:r>
          </w:p>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Late FGR (&gt;= 32 weeks) Wolf</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Consensus</w:t>
            </w:r>
          </w:p>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Late FGR (&gt;= 32 weeks) Baschat</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Consensus</w:t>
            </w:r>
          </w:p>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Late FGR (&gt;= 32 weeks) Wolf</w:t>
            </w:r>
          </w:p>
        </w:tc>
        <w:tc>
          <w:tcPr>
            <w:tcW w:w="1290" w:type="dxa"/>
            <w:shd w:val="clear" w:color="auto" w:fill="auto"/>
          </w:tcPr>
          <w:p w:rsidR="00CA789E" w:rsidRPr="00CA789E" w:rsidRDefault="00CA789E" w:rsidP="00CA789E">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Consensus</w:t>
            </w:r>
          </w:p>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Late FGR (&gt;= 32 weeks) Baschat</w:t>
            </w:r>
          </w:p>
        </w:tc>
        <w:tc>
          <w:tcPr>
            <w:tcW w:w="1489" w:type="dxa"/>
            <w:shd w:val="clear" w:color="auto" w:fill="auto"/>
          </w:tcPr>
          <w:p w:rsidR="00CA789E" w:rsidRPr="00CA789E" w:rsidRDefault="00CA789E" w:rsidP="00CA789E">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Consensus</w:t>
            </w:r>
          </w:p>
          <w:p w:rsidR="007904B9" w:rsidRPr="00CA789E" w:rsidRDefault="007904B9" w:rsidP="006760D1">
            <w:pPr>
              <w:pStyle w:val="NoSpacing"/>
              <w:spacing w:line="480" w:lineRule="auto"/>
              <w:jc w:val="center"/>
              <w:rPr>
                <w:rFonts w:ascii="Arial" w:hAnsi="Arial" w:cs="Arial"/>
                <w:b/>
                <w:bCs/>
                <w:sz w:val="20"/>
                <w:szCs w:val="20"/>
                <w:lang w:val="en-US"/>
              </w:rPr>
            </w:pPr>
            <w:r w:rsidRPr="00CA789E">
              <w:rPr>
                <w:rFonts w:ascii="Arial" w:hAnsi="Arial" w:cs="Arial"/>
                <w:b/>
                <w:bCs/>
                <w:sz w:val="20"/>
                <w:szCs w:val="20"/>
                <w:lang w:val="en-US"/>
              </w:rPr>
              <w:t>Late FGR (&gt;= 32 weeks) Wolf</w:t>
            </w:r>
          </w:p>
        </w:tc>
      </w:tr>
      <w:tr w:rsidR="007904B9" w:rsidRPr="00CA789E" w:rsidTr="00CA789E">
        <w:trPr>
          <w:trHeight w:val="20"/>
          <w:jc w:val="center"/>
        </w:trPr>
        <w:tc>
          <w:tcPr>
            <w:tcW w:w="1269" w:type="dxa"/>
            <w:shd w:val="clear" w:color="auto" w:fill="auto"/>
          </w:tcPr>
          <w:p w:rsidR="007904B9" w:rsidRPr="00CA789E" w:rsidRDefault="007904B9" w:rsidP="006760D1">
            <w:pPr>
              <w:pStyle w:val="NoSpacing"/>
              <w:spacing w:line="480" w:lineRule="auto"/>
              <w:jc w:val="both"/>
              <w:rPr>
                <w:rFonts w:ascii="Arial" w:hAnsi="Arial" w:cs="Arial"/>
                <w:b/>
                <w:bCs/>
                <w:sz w:val="20"/>
                <w:szCs w:val="20"/>
                <w:lang w:val="en-US"/>
              </w:rPr>
            </w:pPr>
            <w:r w:rsidRPr="00CA789E">
              <w:rPr>
                <w:rFonts w:ascii="Arial" w:hAnsi="Arial" w:cs="Arial"/>
                <w:b/>
                <w:bCs/>
                <w:sz w:val="20"/>
                <w:szCs w:val="20"/>
                <w:lang w:val="en-US"/>
              </w:rPr>
              <w:t>Prevalence (%)</w:t>
            </w:r>
          </w:p>
        </w:tc>
        <w:tc>
          <w:tcPr>
            <w:tcW w:w="1291"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0.95</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0.9</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3.36</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3.3</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4.1</w:t>
            </w:r>
          </w:p>
        </w:tc>
        <w:tc>
          <w:tcPr>
            <w:tcW w:w="1489"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4</w:t>
            </w:r>
          </w:p>
        </w:tc>
      </w:tr>
      <w:tr w:rsidR="007904B9" w:rsidRPr="00CA789E" w:rsidTr="00CA789E">
        <w:trPr>
          <w:trHeight w:val="20"/>
          <w:jc w:val="center"/>
        </w:trPr>
        <w:tc>
          <w:tcPr>
            <w:tcW w:w="1269" w:type="dxa"/>
            <w:shd w:val="clear" w:color="auto" w:fill="auto"/>
          </w:tcPr>
          <w:p w:rsidR="007904B9" w:rsidRPr="00CA789E" w:rsidRDefault="007904B9" w:rsidP="006760D1">
            <w:pPr>
              <w:pStyle w:val="NoSpacing"/>
              <w:spacing w:line="480" w:lineRule="auto"/>
              <w:jc w:val="both"/>
              <w:rPr>
                <w:rFonts w:ascii="Arial" w:hAnsi="Arial" w:cs="Arial"/>
                <w:b/>
                <w:bCs/>
                <w:sz w:val="20"/>
                <w:szCs w:val="20"/>
                <w:lang w:val="en-US"/>
              </w:rPr>
            </w:pPr>
            <w:r w:rsidRPr="00CA789E">
              <w:rPr>
                <w:rFonts w:ascii="Arial" w:hAnsi="Arial" w:cs="Arial"/>
                <w:b/>
                <w:bCs/>
                <w:sz w:val="20"/>
                <w:szCs w:val="20"/>
                <w:lang w:val="en-US"/>
              </w:rPr>
              <w:t>Sn (%)</w:t>
            </w:r>
          </w:p>
        </w:tc>
        <w:tc>
          <w:tcPr>
            <w:tcW w:w="1291"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1.93 (.84-3.7)</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1.93 (.84-3.7)</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5.1 (3.2-7.6)</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5.1 (3.2-7.6)</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4.34 (2.6-6.8)</w:t>
            </w:r>
          </w:p>
        </w:tc>
        <w:tc>
          <w:tcPr>
            <w:tcW w:w="1489"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4.34 (2.6-6.8)</w:t>
            </w:r>
          </w:p>
        </w:tc>
      </w:tr>
      <w:tr w:rsidR="007904B9" w:rsidRPr="00CA789E" w:rsidTr="00CA789E">
        <w:trPr>
          <w:trHeight w:val="20"/>
          <w:jc w:val="center"/>
        </w:trPr>
        <w:tc>
          <w:tcPr>
            <w:tcW w:w="1269" w:type="dxa"/>
            <w:shd w:val="clear" w:color="auto" w:fill="auto"/>
          </w:tcPr>
          <w:p w:rsidR="007904B9" w:rsidRPr="00CA789E" w:rsidRDefault="007904B9" w:rsidP="006760D1">
            <w:pPr>
              <w:pStyle w:val="NoSpacing"/>
              <w:spacing w:line="480" w:lineRule="auto"/>
              <w:jc w:val="both"/>
              <w:rPr>
                <w:rFonts w:ascii="Arial" w:hAnsi="Arial" w:cs="Arial"/>
                <w:b/>
                <w:bCs/>
                <w:sz w:val="20"/>
                <w:szCs w:val="20"/>
                <w:lang w:val="en-US"/>
              </w:rPr>
            </w:pPr>
            <w:proofErr w:type="spellStart"/>
            <w:r w:rsidRPr="00CA789E">
              <w:rPr>
                <w:rFonts w:ascii="Arial" w:hAnsi="Arial" w:cs="Arial"/>
                <w:b/>
                <w:bCs/>
                <w:sz w:val="20"/>
                <w:szCs w:val="20"/>
                <w:lang w:val="en-US"/>
              </w:rPr>
              <w:t>Sp</w:t>
            </w:r>
            <w:proofErr w:type="spellEnd"/>
            <w:r w:rsidRPr="00CA789E">
              <w:rPr>
                <w:rFonts w:ascii="Arial" w:hAnsi="Arial" w:cs="Arial"/>
                <w:b/>
                <w:bCs/>
                <w:sz w:val="20"/>
                <w:szCs w:val="20"/>
                <w:lang w:val="en-US"/>
              </w:rPr>
              <w:t xml:space="preserve"> (%)</w:t>
            </w:r>
          </w:p>
        </w:tc>
        <w:tc>
          <w:tcPr>
            <w:tcW w:w="1291"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99.07 (98.9-99.2)</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99.2 (99-99.3)</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96.7 (96.4-97)</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96.7 (96.5-97)</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95.9 (95.6-96.2)</w:t>
            </w:r>
          </w:p>
        </w:tc>
        <w:tc>
          <w:tcPr>
            <w:tcW w:w="1489"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96 (95.6-96.3)</w:t>
            </w:r>
          </w:p>
        </w:tc>
      </w:tr>
      <w:tr w:rsidR="007904B9" w:rsidRPr="00CA789E" w:rsidTr="00CA789E">
        <w:trPr>
          <w:trHeight w:val="20"/>
          <w:jc w:val="center"/>
        </w:trPr>
        <w:tc>
          <w:tcPr>
            <w:tcW w:w="1269" w:type="dxa"/>
            <w:shd w:val="clear" w:color="auto" w:fill="auto"/>
          </w:tcPr>
          <w:p w:rsidR="007904B9" w:rsidRPr="00CA789E" w:rsidRDefault="007904B9" w:rsidP="006760D1">
            <w:pPr>
              <w:pStyle w:val="NoSpacing"/>
              <w:spacing w:line="480" w:lineRule="auto"/>
              <w:jc w:val="both"/>
              <w:rPr>
                <w:rFonts w:ascii="Arial" w:hAnsi="Arial" w:cs="Arial"/>
                <w:b/>
                <w:bCs/>
                <w:sz w:val="20"/>
                <w:szCs w:val="20"/>
                <w:lang w:val="en-US"/>
              </w:rPr>
            </w:pPr>
            <w:r w:rsidRPr="00CA789E">
              <w:rPr>
                <w:rFonts w:ascii="Arial" w:hAnsi="Arial" w:cs="Arial"/>
                <w:b/>
                <w:bCs/>
                <w:sz w:val="20"/>
                <w:szCs w:val="20"/>
                <w:lang w:val="en-US"/>
              </w:rPr>
              <w:t>+</w:t>
            </w:r>
            <w:proofErr w:type="spellStart"/>
            <w:r w:rsidRPr="00CA789E">
              <w:rPr>
                <w:rFonts w:ascii="Arial" w:hAnsi="Arial" w:cs="Arial"/>
                <w:b/>
                <w:bCs/>
                <w:sz w:val="20"/>
                <w:szCs w:val="20"/>
                <w:lang w:val="en-US"/>
              </w:rPr>
              <w:t>ve</w:t>
            </w:r>
            <w:proofErr w:type="spellEnd"/>
            <w:r w:rsidRPr="00CA789E">
              <w:rPr>
                <w:rFonts w:ascii="Arial" w:hAnsi="Arial" w:cs="Arial"/>
                <w:b/>
                <w:bCs/>
                <w:sz w:val="20"/>
                <w:szCs w:val="20"/>
                <w:lang w:val="en-US"/>
              </w:rPr>
              <w:t xml:space="preserve"> LR</w:t>
            </w:r>
          </w:p>
        </w:tc>
        <w:tc>
          <w:tcPr>
            <w:tcW w:w="1291" w:type="dxa"/>
            <w:shd w:val="clear" w:color="auto" w:fill="auto"/>
          </w:tcPr>
          <w:p w:rsidR="007904B9" w:rsidRPr="00CA789E" w:rsidRDefault="007904B9" w:rsidP="006760D1">
            <w:pPr>
              <w:pStyle w:val="NoSpacing"/>
              <w:spacing w:line="480" w:lineRule="auto"/>
              <w:rPr>
                <w:rFonts w:ascii="Arial" w:hAnsi="Arial" w:cs="Arial"/>
                <w:sz w:val="20"/>
                <w:szCs w:val="20"/>
                <w:lang w:val="en-US"/>
              </w:rPr>
            </w:pPr>
            <w:r w:rsidRPr="00CA789E">
              <w:rPr>
                <w:rFonts w:ascii="Arial" w:hAnsi="Arial" w:cs="Arial"/>
                <w:sz w:val="20"/>
                <w:szCs w:val="20"/>
                <w:lang w:val="en-US"/>
              </w:rPr>
              <w:t>2.07 (1.02-4.2)</w:t>
            </w:r>
          </w:p>
        </w:tc>
        <w:tc>
          <w:tcPr>
            <w:tcW w:w="1290" w:type="dxa"/>
            <w:shd w:val="clear" w:color="auto" w:fill="auto"/>
          </w:tcPr>
          <w:p w:rsidR="007904B9" w:rsidRPr="00CA789E" w:rsidRDefault="007904B9" w:rsidP="006760D1">
            <w:pPr>
              <w:pStyle w:val="NoSpacing"/>
              <w:spacing w:line="480" w:lineRule="auto"/>
              <w:rPr>
                <w:rFonts w:ascii="Arial" w:hAnsi="Arial" w:cs="Arial"/>
                <w:sz w:val="20"/>
                <w:szCs w:val="20"/>
                <w:lang w:val="en-US"/>
              </w:rPr>
            </w:pPr>
            <w:r w:rsidRPr="00CA789E">
              <w:rPr>
                <w:rFonts w:ascii="Arial" w:hAnsi="Arial" w:cs="Arial"/>
                <w:sz w:val="20"/>
                <w:szCs w:val="20"/>
                <w:lang w:val="en-US"/>
              </w:rPr>
              <w:t>2.29 (1.13-4.65)</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1.52 (1-2.33)</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1.56 (1-2.38)</w:t>
            </w:r>
          </w:p>
        </w:tc>
        <w:tc>
          <w:tcPr>
            <w:tcW w:w="1290" w:type="dxa"/>
            <w:shd w:val="clear" w:color="auto" w:fill="auto"/>
          </w:tcPr>
          <w:p w:rsidR="007904B9" w:rsidRPr="00CA789E" w:rsidRDefault="007904B9" w:rsidP="006760D1">
            <w:pPr>
              <w:pStyle w:val="NoSpacing"/>
              <w:spacing w:line="480" w:lineRule="auto"/>
              <w:rPr>
                <w:rFonts w:ascii="Arial" w:hAnsi="Arial" w:cs="Arial"/>
                <w:sz w:val="20"/>
                <w:szCs w:val="20"/>
                <w:lang w:val="en-US"/>
              </w:rPr>
            </w:pPr>
            <w:r w:rsidRPr="00CA789E">
              <w:rPr>
                <w:rFonts w:ascii="Arial" w:hAnsi="Arial" w:cs="Arial"/>
                <w:sz w:val="20"/>
                <w:szCs w:val="20"/>
                <w:lang w:val="en-US"/>
              </w:rPr>
              <w:t>1.06 (.7-1.7)</w:t>
            </w:r>
          </w:p>
        </w:tc>
        <w:tc>
          <w:tcPr>
            <w:tcW w:w="1489"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1.07 (.7-1.7)</w:t>
            </w:r>
          </w:p>
        </w:tc>
      </w:tr>
      <w:tr w:rsidR="007904B9" w:rsidRPr="00CA789E" w:rsidTr="00CA789E">
        <w:trPr>
          <w:trHeight w:val="20"/>
          <w:jc w:val="center"/>
        </w:trPr>
        <w:tc>
          <w:tcPr>
            <w:tcW w:w="1269" w:type="dxa"/>
            <w:shd w:val="clear" w:color="auto" w:fill="auto"/>
          </w:tcPr>
          <w:p w:rsidR="007904B9" w:rsidRPr="00CA789E" w:rsidRDefault="007904B9" w:rsidP="006760D1">
            <w:pPr>
              <w:pStyle w:val="NoSpacing"/>
              <w:spacing w:line="480" w:lineRule="auto"/>
              <w:jc w:val="both"/>
              <w:rPr>
                <w:rFonts w:ascii="Arial" w:hAnsi="Arial" w:cs="Arial"/>
                <w:b/>
                <w:bCs/>
                <w:sz w:val="20"/>
                <w:szCs w:val="20"/>
                <w:lang w:val="en-US"/>
              </w:rPr>
            </w:pPr>
            <w:r w:rsidRPr="00CA789E">
              <w:rPr>
                <w:rFonts w:ascii="Arial" w:hAnsi="Arial" w:cs="Arial"/>
                <w:b/>
                <w:bCs/>
                <w:sz w:val="20"/>
                <w:szCs w:val="20"/>
                <w:lang w:val="en-US"/>
              </w:rPr>
              <w:t>-</w:t>
            </w:r>
            <w:proofErr w:type="spellStart"/>
            <w:r w:rsidRPr="00CA789E">
              <w:rPr>
                <w:rFonts w:ascii="Arial" w:hAnsi="Arial" w:cs="Arial"/>
                <w:b/>
                <w:bCs/>
                <w:sz w:val="20"/>
                <w:szCs w:val="20"/>
                <w:lang w:val="en-US"/>
              </w:rPr>
              <w:t>ve</w:t>
            </w:r>
            <w:proofErr w:type="spellEnd"/>
            <w:r w:rsidRPr="00CA789E">
              <w:rPr>
                <w:rFonts w:ascii="Arial" w:hAnsi="Arial" w:cs="Arial"/>
                <w:b/>
                <w:bCs/>
                <w:sz w:val="20"/>
                <w:szCs w:val="20"/>
                <w:lang w:val="en-US"/>
              </w:rPr>
              <w:t xml:space="preserve"> LR</w:t>
            </w:r>
          </w:p>
        </w:tc>
        <w:tc>
          <w:tcPr>
            <w:tcW w:w="1291"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0.99 (.98-1)</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0.99 (.98-1)</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0.98 (.96-1)</w:t>
            </w:r>
          </w:p>
        </w:tc>
        <w:tc>
          <w:tcPr>
            <w:tcW w:w="1290" w:type="dxa"/>
            <w:shd w:val="clear" w:color="auto" w:fill="auto"/>
          </w:tcPr>
          <w:p w:rsidR="007904B9" w:rsidRPr="00CA789E" w:rsidRDefault="007904B9" w:rsidP="006760D1">
            <w:pPr>
              <w:pStyle w:val="NoSpacing"/>
              <w:spacing w:line="480" w:lineRule="auto"/>
              <w:rPr>
                <w:rFonts w:ascii="Arial" w:hAnsi="Arial" w:cs="Arial"/>
                <w:sz w:val="20"/>
                <w:szCs w:val="20"/>
                <w:lang w:val="en-US"/>
              </w:rPr>
            </w:pPr>
            <w:r w:rsidRPr="00CA789E">
              <w:rPr>
                <w:rFonts w:ascii="Arial" w:hAnsi="Arial" w:cs="Arial"/>
                <w:sz w:val="20"/>
                <w:szCs w:val="20"/>
                <w:lang w:val="en-US"/>
              </w:rPr>
              <w:t>0.98 (.96-1)</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1 (.98-1.02)</w:t>
            </w:r>
          </w:p>
        </w:tc>
        <w:tc>
          <w:tcPr>
            <w:tcW w:w="1489"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1 (.98-1.02)</w:t>
            </w:r>
          </w:p>
        </w:tc>
      </w:tr>
      <w:tr w:rsidR="007904B9" w:rsidRPr="00CA789E" w:rsidTr="00CA789E">
        <w:trPr>
          <w:trHeight w:val="20"/>
          <w:jc w:val="center"/>
        </w:trPr>
        <w:tc>
          <w:tcPr>
            <w:tcW w:w="1269" w:type="dxa"/>
            <w:shd w:val="clear" w:color="auto" w:fill="auto"/>
          </w:tcPr>
          <w:p w:rsidR="007904B9" w:rsidRPr="00CA789E" w:rsidRDefault="007904B9" w:rsidP="006760D1">
            <w:pPr>
              <w:pStyle w:val="NoSpacing"/>
              <w:spacing w:line="480" w:lineRule="auto"/>
              <w:jc w:val="both"/>
              <w:rPr>
                <w:rFonts w:ascii="Arial" w:hAnsi="Arial" w:cs="Arial"/>
                <w:b/>
                <w:bCs/>
                <w:sz w:val="20"/>
                <w:szCs w:val="20"/>
                <w:lang w:val="en-US"/>
              </w:rPr>
            </w:pPr>
            <w:r w:rsidRPr="00CA789E">
              <w:rPr>
                <w:rFonts w:ascii="Arial" w:hAnsi="Arial" w:cs="Arial"/>
                <w:b/>
                <w:bCs/>
                <w:sz w:val="20"/>
                <w:szCs w:val="20"/>
                <w:lang w:val="en-US"/>
              </w:rPr>
              <w:t>PPV (%)</w:t>
            </w:r>
          </w:p>
        </w:tc>
        <w:tc>
          <w:tcPr>
            <w:tcW w:w="1291"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5.52 (2.8-10.6)</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6.06 (3.1-11.6)</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4.12 (2.73-6.2)</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4.2 (2.8-6.3)</w:t>
            </w:r>
          </w:p>
        </w:tc>
        <w:tc>
          <w:tcPr>
            <w:tcW w:w="1290" w:type="dxa"/>
            <w:shd w:val="clear" w:color="auto" w:fill="auto"/>
          </w:tcPr>
          <w:p w:rsidR="007904B9" w:rsidRPr="00CA789E" w:rsidRDefault="007904B9" w:rsidP="006760D1">
            <w:pPr>
              <w:pStyle w:val="NoSpacing"/>
              <w:spacing w:line="480" w:lineRule="auto"/>
              <w:rPr>
                <w:rFonts w:ascii="Arial" w:hAnsi="Arial" w:cs="Arial"/>
                <w:sz w:val="20"/>
                <w:szCs w:val="20"/>
                <w:lang w:val="en-US"/>
              </w:rPr>
            </w:pPr>
            <w:r w:rsidRPr="00CA789E">
              <w:rPr>
                <w:rFonts w:ascii="Arial" w:hAnsi="Arial" w:cs="Arial"/>
                <w:sz w:val="20"/>
                <w:szCs w:val="20"/>
                <w:lang w:val="en-US"/>
              </w:rPr>
              <w:t>2.9 (1.85-4.5)</w:t>
            </w:r>
          </w:p>
        </w:tc>
        <w:tc>
          <w:tcPr>
            <w:tcW w:w="1489"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2.93 (1.9-4.5)</w:t>
            </w:r>
          </w:p>
        </w:tc>
      </w:tr>
      <w:tr w:rsidR="007904B9" w:rsidRPr="00CA789E" w:rsidTr="00CA789E">
        <w:trPr>
          <w:trHeight w:val="20"/>
          <w:jc w:val="center"/>
        </w:trPr>
        <w:tc>
          <w:tcPr>
            <w:tcW w:w="1269" w:type="dxa"/>
            <w:shd w:val="clear" w:color="auto" w:fill="auto"/>
          </w:tcPr>
          <w:p w:rsidR="007904B9" w:rsidRPr="00CA789E" w:rsidRDefault="007904B9" w:rsidP="006760D1">
            <w:pPr>
              <w:pStyle w:val="NoSpacing"/>
              <w:spacing w:line="480" w:lineRule="auto"/>
              <w:jc w:val="both"/>
              <w:rPr>
                <w:rFonts w:ascii="Arial" w:hAnsi="Arial" w:cs="Arial"/>
                <w:b/>
                <w:bCs/>
                <w:sz w:val="20"/>
                <w:szCs w:val="20"/>
                <w:lang w:val="en-US"/>
              </w:rPr>
            </w:pPr>
            <w:r w:rsidRPr="00CA789E">
              <w:rPr>
                <w:rFonts w:ascii="Arial" w:hAnsi="Arial" w:cs="Arial"/>
                <w:b/>
                <w:bCs/>
                <w:sz w:val="20"/>
                <w:szCs w:val="20"/>
                <w:lang w:val="en-US"/>
              </w:rPr>
              <w:t>NPV (%)</w:t>
            </w:r>
          </w:p>
        </w:tc>
        <w:tc>
          <w:tcPr>
            <w:tcW w:w="1291"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97.3 (97.25-97.32)</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97.3 (97.26-97.33)</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97.3 (97.25-97.4)</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97.3 (97.2-97.4)</w:t>
            </w:r>
          </w:p>
        </w:tc>
        <w:tc>
          <w:tcPr>
            <w:tcW w:w="1290"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97.3 (97.2-97.32)</w:t>
            </w:r>
          </w:p>
        </w:tc>
        <w:tc>
          <w:tcPr>
            <w:tcW w:w="1489" w:type="dxa"/>
            <w:shd w:val="clear" w:color="auto" w:fill="auto"/>
          </w:tcPr>
          <w:p w:rsidR="007904B9" w:rsidRPr="00CA789E" w:rsidRDefault="007904B9" w:rsidP="006760D1">
            <w:pPr>
              <w:pStyle w:val="NoSpacing"/>
              <w:spacing w:line="480" w:lineRule="auto"/>
              <w:jc w:val="center"/>
              <w:rPr>
                <w:rFonts w:ascii="Arial" w:hAnsi="Arial" w:cs="Arial"/>
                <w:sz w:val="20"/>
                <w:szCs w:val="20"/>
                <w:lang w:val="en-US"/>
              </w:rPr>
            </w:pPr>
            <w:r w:rsidRPr="00CA789E">
              <w:rPr>
                <w:rFonts w:ascii="Arial" w:hAnsi="Arial" w:cs="Arial"/>
                <w:sz w:val="20"/>
                <w:szCs w:val="20"/>
                <w:lang w:val="en-US"/>
              </w:rPr>
              <w:t>97.3 (97.2-97.32)</w:t>
            </w:r>
          </w:p>
        </w:tc>
      </w:tr>
    </w:tbl>
    <w:p w:rsidR="007904B9" w:rsidRPr="00EC69D7" w:rsidRDefault="007904B9" w:rsidP="007904B9">
      <w:pPr>
        <w:pStyle w:val="NoSpacing"/>
        <w:spacing w:line="480" w:lineRule="auto"/>
        <w:jc w:val="both"/>
        <w:rPr>
          <w:rFonts w:ascii="Arial" w:hAnsi="Arial" w:cs="Arial"/>
          <w:i/>
          <w:iCs/>
          <w:sz w:val="22"/>
          <w:szCs w:val="22"/>
          <w:lang w:val="en-US"/>
        </w:rPr>
      </w:pPr>
      <w:r w:rsidRPr="00EC69D7">
        <w:rPr>
          <w:rFonts w:ascii="Arial" w:hAnsi="Arial" w:cs="Arial"/>
          <w:i/>
          <w:iCs/>
          <w:sz w:val="22"/>
          <w:szCs w:val="22"/>
          <w:lang w:val="en-US"/>
        </w:rPr>
        <w:t xml:space="preserve">FMF = Fetal Medicine Foundation; FGR = Fetal growth restriction; Sn = Sensitivity; </w:t>
      </w:r>
      <w:proofErr w:type="spellStart"/>
      <w:r w:rsidRPr="00EC69D7">
        <w:rPr>
          <w:rFonts w:ascii="Arial" w:hAnsi="Arial" w:cs="Arial"/>
          <w:i/>
          <w:iCs/>
          <w:sz w:val="22"/>
          <w:szCs w:val="22"/>
          <w:lang w:val="en-US"/>
        </w:rPr>
        <w:t>Sp</w:t>
      </w:r>
      <w:proofErr w:type="spellEnd"/>
      <w:r w:rsidRPr="00EC69D7">
        <w:rPr>
          <w:rFonts w:ascii="Arial" w:hAnsi="Arial" w:cs="Arial"/>
          <w:i/>
          <w:iCs/>
          <w:sz w:val="22"/>
          <w:szCs w:val="22"/>
          <w:lang w:val="en-US"/>
        </w:rPr>
        <w:t xml:space="preserve"> = Specificity; LR = Likelihood Ratio; PPV = Positive Predictive Value; NPV = Negative Predictive Value. </w:t>
      </w:r>
    </w:p>
    <w:p w:rsidR="007904B9" w:rsidRPr="00EC69D7" w:rsidRDefault="007904B9" w:rsidP="007904B9">
      <w:pPr>
        <w:pStyle w:val="NoSpacing"/>
        <w:spacing w:line="480" w:lineRule="auto"/>
        <w:jc w:val="both"/>
        <w:rPr>
          <w:rFonts w:ascii="Arial" w:hAnsi="Arial" w:cs="Arial"/>
          <w:sz w:val="22"/>
          <w:szCs w:val="22"/>
          <w:lang w:val="en-US"/>
        </w:rPr>
      </w:pPr>
      <w:r w:rsidRPr="00EC69D7">
        <w:rPr>
          <w:rFonts w:ascii="Arial" w:hAnsi="Arial" w:cs="Arial"/>
          <w:sz w:val="22"/>
          <w:szCs w:val="22"/>
          <w:lang w:val="en-US"/>
        </w:rPr>
        <w:t xml:space="preserve">Data </w:t>
      </w:r>
      <w:proofErr w:type="gramStart"/>
      <w:r w:rsidRPr="00EC69D7">
        <w:rPr>
          <w:rFonts w:ascii="Arial" w:hAnsi="Arial" w:cs="Arial"/>
          <w:sz w:val="22"/>
          <w:szCs w:val="22"/>
          <w:lang w:val="en-US"/>
        </w:rPr>
        <w:t>are presented</w:t>
      </w:r>
      <w:proofErr w:type="gramEnd"/>
      <w:r w:rsidRPr="00EC69D7">
        <w:rPr>
          <w:rFonts w:ascii="Arial" w:hAnsi="Arial" w:cs="Arial"/>
          <w:sz w:val="22"/>
          <w:szCs w:val="22"/>
          <w:lang w:val="en-US"/>
        </w:rPr>
        <w:t xml:space="preserve"> only for late FGR since the reference provided by Wolf et al. relates to gestational age from 32 weeks onwards. In this regard, the proposed threshold of abnormal CPR defined by an absolute value below 1.11 </w:t>
      </w:r>
      <w:proofErr w:type="gramStart"/>
      <w:r w:rsidRPr="00EC69D7">
        <w:rPr>
          <w:rFonts w:ascii="Arial" w:hAnsi="Arial" w:cs="Arial"/>
          <w:sz w:val="22"/>
          <w:szCs w:val="22"/>
          <w:lang w:val="en-US"/>
        </w:rPr>
        <w:t>was chosen</w:t>
      </w:r>
      <w:proofErr w:type="gramEnd"/>
      <w:r w:rsidRPr="00EC69D7">
        <w:rPr>
          <w:rFonts w:ascii="Arial" w:hAnsi="Arial" w:cs="Arial"/>
          <w:sz w:val="22"/>
          <w:szCs w:val="22"/>
          <w:lang w:val="en-US"/>
        </w:rPr>
        <w:t xml:space="preserve">. </w:t>
      </w:r>
    </w:p>
    <w:p w:rsidR="008F2421" w:rsidRDefault="00CA789E"/>
    <w:sectPr w:rsidR="008F2421" w:rsidSect="00EC69D7">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789E">
      <w:r>
        <w:separator/>
      </w:r>
    </w:p>
  </w:endnote>
  <w:endnote w:type="continuationSeparator" w:id="0">
    <w:p w:rsidR="00000000" w:rsidRDefault="00C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6870972"/>
      <w:docPartObj>
        <w:docPartGallery w:val="Page Numbers (Bottom of Page)"/>
        <w:docPartUnique/>
      </w:docPartObj>
    </w:sdtPr>
    <w:sdtEndPr>
      <w:rPr>
        <w:rStyle w:val="PageNumber"/>
      </w:rPr>
    </w:sdtEndPr>
    <w:sdtContent>
      <w:p w:rsidR="00EC69D7" w:rsidRDefault="007904B9" w:rsidP="00796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C69D7" w:rsidRDefault="00CA789E" w:rsidP="005837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3095319"/>
      <w:docPartObj>
        <w:docPartGallery w:val="Page Numbers (Bottom of Page)"/>
        <w:docPartUnique/>
      </w:docPartObj>
    </w:sdtPr>
    <w:sdtEndPr>
      <w:rPr>
        <w:rStyle w:val="PageNumber"/>
      </w:rPr>
    </w:sdtEndPr>
    <w:sdtContent>
      <w:p w:rsidR="00EC69D7" w:rsidRDefault="007904B9" w:rsidP="00796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789E">
          <w:rPr>
            <w:rStyle w:val="PageNumber"/>
            <w:noProof/>
          </w:rPr>
          <w:t>2</w:t>
        </w:r>
        <w:r>
          <w:rPr>
            <w:rStyle w:val="PageNumber"/>
          </w:rPr>
          <w:fldChar w:fldCharType="end"/>
        </w:r>
      </w:p>
    </w:sdtContent>
  </w:sdt>
  <w:p w:rsidR="00EC69D7" w:rsidRDefault="00CA789E" w:rsidP="005837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789E">
      <w:r>
        <w:separator/>
      </w:r>
    </w:p>
  </w:footnote>
  <w:footnote w:type="continuationSeparator" w:id="0">
    <w:p w:rsidR="00000000" w:rsidRDefault="00CA7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B9"/>
    <w:rsid w:val="000D4BBE"/>
    <w:rsid w:val="001F7C4E"/>
    <w:rsid w:val="00210A1F"/>
    <w:rsid w:val="00355526"/>
    <w:rsid w:val="0037020F"/>
    <w:rsid w:val="00510878"/>
    <w:rsid w:val="005A3F70"/>
    <w:rsid w:val="00613F5B"/>
    <w:rsid w:val="007904B9"/>
    <w:rsid w:val="007C4778"/>
    <w:rsid w:val="00BC57A3"/>
    <w:rsid w:val="00BD350B"/>
    <w:rsid w:val="00CA789E"/>
    <w:rsid w:val="00D41C53"/>
    <w:rsid w:val="00EA3312"/>
    <w:rsid w:val="00F4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8C97"/>
  <w15:chartTrackingRefBased/>
  <w15:docId w15:val="{2C2E580C-C436-4B1E-AA86-BECAAB5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4B9"/>
    <w:pPr>
      <w:spacing w:after="0" w:line="240" w:lineRule="auto"/>
    </w:pPr>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4B9"/>
    <w:pPr>
      <w:spacing w:after="0" w:line="240" w:lineRule="auto"/>
    </w:pPr>
    <w:rPr>
      <w:sz w:val="24"/>
      <w:szCs w:val="24"/>
      <w:lang w:val="it-IT"/>
    </w:rPr>
  </w:style>
  <w:style w:type="table" w:styleId="TableGrid">
    <w:name w:val="Table Grid"/>
    <w:basedOn w:val="TableNormal"/>
    <w:uiPriority w:val="39"/>
    <w:rsid w:val="007904B9"/>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04B9"/>
    <w:pPr>
      <w:tabs>
        <w:tab w:val="center" w:pos="4513"/>
        <w:tab w:val="right" w:pos="9026"/>
      </w:tabs>
    </w:pPr>
  </w:style>
  <w:style w:type="character" w:customStyle="1" w:styleId="FooterChar">
    <w:name w:val="Footer Char"/>
    <w:basedOn w:val="DefaultParagraphFont"/>
    <w:link w:val="Footer"/>
    <w:uiPriority w:val="99"/>
    <w:rsid w:val="007904B9"/>
    <w:rPr>
      <w:sz w:val="24"/>
      <w:szCs w:val="24"/>
      <w:lang w:val="it-IT"/>
    </w:rPr>
  </w:style>
  <w:style w:type="character" w:styleId="PageNumber">
    <w:name w:val="page number"/>
    <w:basedOn w:val="DefaultParagraphFont"/>
    <w:uiPriority w:val="99"/>
    <w:semiHidden/>
    <w:unhideWhenUsed/>
    <w:rsid w:val="0079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2990</Characters>
  <Application>Microsoft Office Word</Application>
  <DocSecurity>0</DocSecurity>
  <Lines>24</Lines>
  <Paragraphs>7</Paragraphs>
  <ScaleCrop>false</ScaleCrop>
  <Company>ISUOG</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Rubinsohn</dc:creator>
  <cp:keywords/>
  <dc:description/>
  <cp:lastModifiedBy>Rachel Rubinsohn</cp:lastModifiedBy>
  <cp:revision>2</cp:revision>
  <dcterms:created xsi:type="dcterms:W3CDTF">2023-12-14T16:52:00Z</dcterms:created>
  <dcterms:modified xsi:type="dcterms:W3CDTF">2024-04-09T13:27:00Z</dcterms:modified>
</cp:coreProperties>
</file>