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61A5" w14:textId="677D0EF6" w:rsidR="009B5CF5" w:rsidRPr="006D108A" w:rsidRDefault="009B5CF5" w:rsidP="009B5CF5">
      <w:pPr>
        <w:rPr>
          <w:lang w:val="en-US"/>
        </w:rPr>
      </w:pPr>
    </w:p>
    <w:tbl>
      <w:tblPr>
        <w:tblStyle w:val="TableGrid"/>
        <w:tblW w:w="8905" w:type="dxa"/>
        <w:tblLook w:val="04A0" w:firstRow="1" w:lastRow="0" w:firstColumn="1" w:lastColumn="0" w:noHBand="0" w:noVBand="1"/>
      </w:tblPr>
      <w:tblGrid>
        <w:gridCol w:w="1243"/>
        <w:gridCol w:w="1279"/>
        <w:gridCol w:w="1473"/>
        <w:gridCol w:w="3751"/>
        <w:gridCol w:w="1159"/>
      </w:tblGrid>
      <w:tr w:rsidR="009B5CF5" w:rsidRPr="009B5CF5" w14:paraId="239D9456" w14:textId="77777777" w:rsidTr="0008203A">
        <w:trPr>
          <w:trHeight w:val="1500"/>
        </w:trPr>
        <w:tc>
          <w:tcPr>
            <w:tcW w:w="1243" w:type="dxa"/>
            <w:hideMark/>
          </w:tcPr>
          <w:p w14:paraId="4073EFE0" w14:textId="4A197427" w:rsidR="009B5CF5" w:rsidRPr="009B5CF5" w:rsidRDefault="009B5CF5" w:rsidP="0008203A">
            <w:pPr>
              <w:tabs>
                <w:tab w:val="left" w:pos="1298"/>
              </w:tabs>
              <w:rPr>
                <w:rFonts w:cstheme="minorHAnsi"/>
                <w:sz w:val="20"/>
                <w:szCs w:val="20"/>
              </w:rPr>
            </w:pPr>
            <w:r w:rsidRPr="009B5CF5">
              <w:rPr>
                <w:rFonts w:cstheme="minorHAnsi"/>
                <w:sz w:val="20"/>
                <w:szCs w:val="20"/>
              </w:rPr>
              <w:t xml:space="preserve">Loci </w:t>
            </w:r>
          </w:p>
        </w:tc>
        <w:tc>
          <w:tcPr>
            <w:tcW w:w="1279" w:type="dxa"/>
            <w:hideMark/>
          </w:tcPr>
          <w:p w14:paraId="3AC644A9" w14:textId="3EC69B29" w:rsidR="009B5CF5" w:rsidRPr="009B5CF5" w:rsidRDefault="009B5CF5" w:rsidP="0008203A">
            <w:pPr>
              <w:tabs>
                <w:tab w:val="left" w:pos="1298"/>
              </w:tabs>
              <w:rPr>
                <w:rFonts w:cstheme="minorHAnsi"/>
                <w:sz w:val="20"/>
                <w:szCs w:val="20"/>
              </w:rPr>
            </w:pPr>
            <w:r w:rsidRPr="009B5CF5">
              <w:rPr>
                <w:rFonts w:cstheme="minorHAnsi"/>
                <w:sz w:val="20"/>
                <w:szCs w:val="20"/>
              </w:rPr>
              <w:t>Molecular analys</w:t>
            </w:r>
            <w:r>
              <w:rPr>
                <w:rFonts w:cstheme="minorHAnsi"/>
                <w:sz w:val="20"/>
                <w:szCs w:val="20"/>
              </w:rPr>
              <w:t>e</w:t>
            </w:r>
            <w:r w:rsidRPr="009B5CF5">
              <w:rPr>
                <w:rFonts w:cstheme="minorHAnsi"/>
                <w:sz w:val="20"/>
                <w:szCs w:val="20"/>
              </w:rPr>
              <w:t>s</w:t>
            </w:r>
          </w:p>
        </w:tc>
        <w:tc>
          <w:tcPr>
            <w:tcW w:w="1473" w:type="dxa"/>
            <w:hideMark/>
          </w:tcPr>
          <w:p w14:paraId="6344CA87" w14:textId="77777777" w:rsidR="009B5CF5" w:rsidRPr="009B5CF5" w:rsidRDefault="009B5CF5" w:rsidP="0008203A">
            <w:pPr>
              <w:tabs>
                <w:tab w:val="left" w:pos="1298"/>
              </w:tabs>
              <w:rPr>
                <w:rFonts w:cstheme="minorHAnsi"/>
                <w:sz w:val="20"/>
                <w:szCs w:val="20"/>
              </w:rPr>
            </w:pPr>
            <w:r w:rsidRPr="009B5CF5">
              <w:rPr>
                <w:rFonts w:cstheme="minorHAnsi"/>
                <w:sz w:val="20"/>
                <w:szCs w:val="20"/>
              </w:rPr>
              <w:t>Primer/ probe (reporter dye)</w:t>
            </w:r>
          </w:p>
        </w:tc>
        <w:tc>
          <w:tcPr>
            <w:tcW w:w="3751" w:type="dxa"/>
            <w:hideMark/>
          </w:tcPr>
          <w:p w14:paraId="611A93A7" w14:textId="77777777" w:rsidR="009B5CF5" w:rsidRPr="009B5CF5" w:rsidRDefault="009B5CF5" w:rsidP="0008203A">
            <w:pPr>
              <w:tabs>
                <w:tab w:val="left" w:pos="1298"/>
              </w:tabs>
              <w:rPr>
                <w:rFonts w:cstheme="minorHAnsi"/>
                <w:sz w:val="20"/>
                <w:szCs w:val="20"/>
              </w:rPr>
            </w:pPr>
            <w:r w:rsidRPr="009B5CF5">
              <w:rPr>
                <w:rFonts w:cstheme="minorHAnsi"/>
                <w:sz w:val="20"/>
                <w:szCs w:val="20"/>
              </w:rPr>
              <w:t>Primer or probe sequence (5′-3′)</w:t>
            </w:r>
          </w:p>
        </w:tc>
        <w:tc>
          <w:tcPr>
            <w:tcW w:w="1159" w:type="dxa"/>
            <w:hideMark/>
          </w:tcPr>
          <w:p w14:paraId="539F5C1D" w14:textId="77777777" w:rsidR="009B5CF5" w:rsidRPr="009B5CF5" w:rsidRDefault="009B5CF5" w:rsidP="0008203A">
            <w:pPr>
              <w:tabs>
                <w:tab w:val="left" w:pos="1298"/>
              </w:tabs>
              <w:rPr>
                <w:rFonts w:cstheme="minorHAnsi"/>
                <w:sz w:val="20"/>
                <w:szCs w:val="20"/>
              </w:rPr>
            </w:pPr>
            <w:r w:rsidRPr="009B5CF5">
              <w:rPr>
                <w:rFonts w:cstheme="minorHAnsi"/>
                <w:sz w:val="20"/>
                <w:szCs w:val="20"/>
              </w:rPr>
              <w:t>Reference</w:t>
            </w:r>
          </w:p>
        </w:tc>
      </w:tr>
      <w:tr w:rsidR="009B5CF5" w:rsidRPr="009B5CF5" w14:paraId="27BCD90D" w14:textId="77777777" w:rsidTr="0008203A">
        <w:trPr>
          <w:trHeight w:val="300"/>
        </w:trPr>
        <w:tc>
          <w:tcPr>
            <w:tcW w:w="1243" w:type="dxa"/>
            <w:vMerge w:val="restart"/>
            <w:noWrap/>
            <w:vAlign w:val="center"/>
            <w:hideMark/>
          </w:tcPr>
          <w:p w14:paraId="6F506BE0" w14:textId="77777777" w:rsidR="009B5CF5" w:rsidRPr="009B5CF5" w:rsidRDefault="009B5CF5" w:rsidP="0008203A">
            <w:pPr>
              <w:tabs>
                <w:tab w:val="left" w:pos="1298"/>
              </w:tabs>
              <w:jc w:val="center"/>
              <w:rPr>
                <w:rFonts w:cstheme="minorHAnsi"/>
                <w:sz w:val="20"/>
                <w:szCs w:val="20"/>
              </w:rPr>
            </w:pPr>
            <w:r w:rsidRPr="009B5CF5">
              <w:rPr>
                <w:rFonts w:cstheme="minorHAnsi"/>
                <w:sz w:val="20"/>
                <w:szCs w:val="20"/>
              </w:rPr>
              <w:t>16S rRNA</w:t>
            </w:r>
          </w:p>
        </w:tc>
        <w:tc>
          <w:tcPr>
            <w:tcW w:w="1279" w:type="dxa"/>
            <w:vMerge w:val="restart"/>
            <w:noWrap/>
            <w:vAlign w:val="center"/>
            <w:hideMark/>
          </w:tcPr>
          <w:p w14:paraId="7B4758E6" w14:textId="77777777" w:rsidR="009B5CF5" w:rsidRPr="009B5CF5" w:rsidRDefault="009B5CF5" w:rsidP="0008203A">
            <w:pPr>
              <w:tabs>
                <w:tab w:val="left" w:pos="1298"/>
              </w:tabs>
              <w:jc w:val="center"/>
              <w:rPr>
                <w:rFonts w:cstheme="minorHAnsi"/>
                <w:sz w:val="20"/>
                <w:szCs w:val="20"/>
              </w:rPr>
            </w:pPr>
            <w:r w:rsidRPr="009B5CF5">
              <w:rPr>
                <w:rFonts w:cstheme="minorHAnsi"/>
                <w:sz w:val="20"/>
                <w:szCs w:val="20"/>
              </w:rPr>
              <w:t>qPCR</w:t>
            </w:r>
          </w:p>
        </w:tc>
        <w:tc>
          <w:tcPr>
            <w:tcW w:w="1473" w:type="dxa"/>
            <w:noWrap/>
            <w:hideMark/>
          </w:tcPr>
          <w:p w14:paraId="7B2A5860" w14:textId="228A91B1" w:rsidR="009B5CF5" w:rsidRPr="009B5CF5" w:rsidRDefault="009B5CF5" w:rsidP="0008203A">
            <w:pPr>
              <w:tabs>
                <w:tab w:val="left" w:pos="1298"/>
              </w:tabs>
              <w:rPr>
                <w:rFonts w:cstheme="minorHAnsi"/>
                <w:sz w:val="20"/>
                <w:szCs w:val="20"/>
              </w:rPr>
            </w:pPr>
            <w:r w:rsidRPr="009B5CF5">
              <w:rPr>
                <w:rFonts w:cstheme="minorHAnsi"/>
                <w:sz w:val="20"/>
                <w:szCs w:val="20"/>
              </w:rPr>
              <w:t xml:space="preserve">Forward </w:t>
            </w:r>
          </w:p>
        </w:tc>
        <w:tc>
          <w:tcPr>
            <w:tcW w:w="3751" w:type="dxa"/>
            <w:hideMark/>
          </w:tcPr>
          <w:p w14:paraId="228D5F93" w14:textId="77777777" w:rsidR="009B5CF5" w:rsidRPr="009B5CF5" w:rsidRDefault="009B5CF5" w:rsidP="0008203A">
            <w:pPr>
              <w:tabs>
                <w:tab w:val="left" w:pos="1298"/>
              </w:tabs>
              <w:rPr>
                <w:rFonts w:cstheme="minorHAnsi"/>
                <w:sz w:val="20"/>
                <w:szCs w:val="20"/>
              </w:rPr>
            </w:pPr>
            <w:r w:rsidRPr="009B5CF5">
              <w:rPr>
                <w:rFonts w:cstheme="minorHAnsi"/>
                <w:sz w:val="20"/>
                <w:szCs w:val="20"/>
              </w:rPr>
              <w:t>CATGCATGCCCGCTCA</w:t>
            </w:r>
          </w:p>
        </w:tc>
        <w:tc>
          <w:tcPr>
            <w:tcW w:w="1159" w:type="dxa"/>
            <w:vMerge w:val="restart"/>
            <w:noWrap/>
            <w:hideMark/>
          </w:tcPr>
          <w:p w14:paraId="24985841" w14:textId="77777777" w:rsidR="009B5CF5" w:rsidRPr="009B5CF5" w:rsidRDefault="009B5CF5" w:rsidP="0008203A">
            <w:pPr>
              <w:tabs>
                <w:tab w:val="left" w:pos="1298"/>
              </w:tabs>
              <w:rPr>
                <w:rFonts w:cstheme="minorHAnsi"/>
                <w:sz w:val="20"/>
                <w:szCs w:val="20"/>
              </w:rPr>
            </w:pPr>
            <w:r w:rsidRPr="009B5CF5">
              <w:rPr>
                <w:rFonts w:cstheme="minorHAnsi"/>
                <w:sz w:val="20"/>
                <w:szCs w:val="20"/>
              </w:rPr>
              <w:fldChar w:fldCharType="begin"/>
            </w:r>
            <w:r w:rsidRPr="009B5CF5">
              <w:rPr>
                <w:rFonts w:cstheme="minorHAnsi"/>
                <w:sz w:val="20"/>
                <w:szCs w:val="20"/>
              </w:rPr>
              <w:instrText xml:space="preserve"> ADDIN ZOTERO_ITEM CSL_CITATION {"citationID":"tVgNhtog","properties":{"formattedCitation":"(Mejia et al., 2013)","plainCitation":"(Mejia et al., 2013)","noteIndex":0},"citationItems":[{"id":556,"uris":["http://zotero.org/users/local/8gAD1R6g/items/AYFVD4AB"],"itemData":{"id":556,"type":"article-journal","abstract":"Diagnosis of gastrointestinal parasites has traditionally relied on stool microscopy, which has low diagnostic sensitivity and specificity. We have developed a novel, rapid, high-throughput quantitative multi-parallel real-time polymerase chain reaction (qPCR) platform. Species-specific primers/probes were used for eight common gastrointestinal parasite pathogens: Ascaris lumbricoides, Necator americanus, Ancylostoma duodenale, Giardia lamblia, Cryptosporidium spp., Entamoeba histolytica, Trichuris trichiura, and Strongyloides stercoralis. Stool samples from 400 13-month-old children in rural Ecuador were analyzed and the qPCR was compared with a standard direct wet mount slide for stool microscopy, as were 125 8-14-year-old children before and after anthelmintic treatment. The qPCR showed higher detection rates for all parasites compared with direct microscopy, Ascaris (7.0% versus 5.5%) and for Giardia (31.5% versus 5.8%). Using an enhanced DNA extraction method, we were able to detect T. trichiura DNA. These assays will be useful to refine treatment options for affected populations, ultimately leading to better health outcomes.","container-title":"The American Journal of Tropical Medicine and Hygiene","DOI":"10.4269/ajtmh.12-0726","ISSN":"1476-1645","issue":"6","journalAbbreviation":"Am J Trop Med Hyg","language":"eng","note":"PMID: 23509117\nPMCID: PMC3752800","page":"1041-1047","source":"PubMed","title":"A novel, multi-parallel, real-time polymerase chain reaction approach for eight gastrointestinal parasites provides improved diagnostic capabilities to resource-limited at-risk populations","volume":"88","author":[{"family":"Mejia","given":"Rojelio"},{"family":"Vicuña","given":"Yosselin"},{"family":"Broncano","given":"Nely"},{"family":"Sandoval","given":"Carlos"},{"family":"Vaca","given":"Maritza"},{"family":"Chico","given":"Martha"},{"family":"Cooper","given":"Philip J."},{"family":"Nutman","given":"Thomas B."}],"issued":{"date-parts":[["2013"]]}}}],"schema":"https://github.com/citation-style-language/schema/raw/master/csl-citation.json"} </w:instrText>
            </w:r>
            <w:r w:rsidRPr="009B5CF5">
              <w:rPr>
                <w:rFonts w:cstheme="minorHAnsi"/>
                <w:sz w:val="20"/>
                <w:szCs w:val="20"/>
              </w:rPr>
              <w:fldChar w:fldCharType="separate"/>
            </w:r>
            <w:r w:rsidRPr="009B5CF5">
              <w:rPr>
                <w:rFonts w:cstheme="minorHAnsi"/>
                <w:sz w:val="20"/>
                <w:szCs w:val="20"/>
              </w:rPr>
              <w:t>(Mejia et al., 2013)</w:t>
            </w:r>
            <w:r w:rsidRPr="009B5CF5">
              <w:rPr>
                <w:rFonts w:cstheme="minorHAnsi"/>
                <w:sz w:val="20"/>
                <w:szCs w:val="20"/>
              </w:rPr>
              <w:fldChar w:fldCharType="end"/>
            </w:r>
          </w:p>
          <w:p w14:paraId="037E84E4" w14:textId="45C3CB52" w:rsidR="009B5CF5" w:rsidRPr="009B5CF5" w:rsidRDefault="009B5CF5" w:rsidP="0008203A">
            <w:pPr>
              <w:tabs>
                <w:tab w:val="left" w:pos="1298"/>
              </w:tabs>
              <w:rPr>
                <w:rFonts w:cstheme="minorHAnsi"/>
                <w:sz w:val="20"/>
                <w:szCs w:val="20"/>
              </w:rPr>
            </w:pPr>
            <w:r w:rsidRPr="009B5CF5">
              <w:rPr>
                <w:rFonts w:cstheme="minorHAnsi"/>
                <w:sz w:val="20"/>
                <w:szCs w:val="20"/>
              </w:rPr>
              <w:t>[2</w:t>
            </w:r>
            <w:r w:rsidR="00A0291C">
              <w:rPr>
                <w:rFonts w:cstheme="minorHAnsi"/>
                <w:sz w:val="20"/>
                <w:szCs w:val="20"/>
              </w:rPr>
              <w:t>9</w:t>
            </w:r>
            <w:r w:rsidRPr="009B5CF5">
              <w:rPr>
                <w:rFonts w:cstheme="minorHAnsi"/>
                <w:sz w:val="20"/>
                <w:szCs w:val="20"/>
              </w:rPr>
              <w:t>]</w:t>
            </w:r>
          </w:p>
        </w:tc>
      </w:tr>
      <w:tr w:rsidR="009B5CF5" w:rsidRPr="009B5CF5" w14:paraId="27F47FC4" w14:textId="77777777" w:rsidTr="0008203A">
        <w:trPr>
          <w:trHeight w:val="300"/>
        </w:trPr>
        <w:tc>
          <w:tcPr>
            <w:tcW w:w="1243" w:type="dxa"/>
            <w:vMerge/>
            <w:vAlign w:val="center"/>
            <w:hideMark/>
          </w:tcPr>
          <w:p w14:paraId="12DF805F" w14:textId="77777777" w:rsidR="009B5CF5" w:rsidRPr="009B5CF5" w:rsidRDefault="009B5CF5" w:rsidP="0008203A">
            <w:pPr>
              <w:tabs>
                <w:tab w:val="left" w:pos="1298"/>
              </w:tabs>
              <w:jc w:val="center"/>
              <w:rPr>
                <w:rFonts w:cstheme="minorHAnsi"/>
                <w:sz w:val="20"/>
                <w:szCs w:val="20"/>
              </w:rPr>
            </w:pPr>
          </w:p>
        </w:tc>
        <w:tc>
          <w:tcPr>
            <w:tcW w:w="1279" w:type="dxa"/>
            <w:vMerge/>
            <w:vAlign w:val="center"/>
            <w:hideMark/>
          </w:tcPr>
          <w:p w14:paraId="234C7C47" w14:textId="77777777" w:rsidR="009B5CF5" w:rsidRPr="009B5CF5" w:rsidRDefault="009B5CF5" w:rsidP="0008203A">
            <w:pPr>
              <w:tabs>
                <w:tab w:val="left" w:pos="1298"/>
              </w:tabs>
              <w:jc w:val="center"/>
              <w:rPr>
                <w:rFonts w:cstheme="minorHAnsi"/>
                <w:sz w:val="20"/>
                <w:szCs w:val="20"/>
              </w:rPr>
            </w:pPr>
          </w:p>
        </w:tc>
        <w:tc>
          <w:tcPr>
            <w:tcW w:w="1473" w:type="dxa"/>
            <w:noWrap/>
            <w:hideMark/>
          </w:tcPr>
          <w:p w14:paraId="4848795F" w14:textId="3904032D" w:rsidR="009B5CF5" w:rsidRPr="009B5CF5" w:rsidRDefault="009B5CF5" w:rsidP="0008203A">
            <w:pPr>
              <w:tabs>
                <w:tab w:val="left" w:pos="1298"/>
              </w:tabs>
              <w:rPr>
                <w:rFonts w:cstheme="minorHAnsi"/>
                <w:sz w:val="20"/>
                <w:szCs w:val="20"/>
              </w:rPr>
            </w:pPr>
            <w:r w:rsidRPr="009B5CF5">
              <w:rPr>
                <w:rFonts w:cstheme="minorHAnsi"/>
                <w:sz w:val="20"/>
                <w:szCs w:val="20"/>
              </w:rPr>
              <w:t xml:space="preserve">Reverse </w:t>
            </w:r>
          </w:p>
        </w:tc>
        <w:tc>
          <w:tcPr>
            <w:tcW w:w="3751" w:type="dxa"/>
            <w:hideMark/>
          </w:tcPr>
          <w:p w14:paraId="1F651997" w14:textId="77777777" w:rsidR="009B5CF5" w:rsidRPr="009B5CF5" w:rsidRDefault="009B5CF5" w:rsidP="0008203A">
            <w:pPr>
              <w:tabs>
                <w:tab w:val="left" w:pos="1298"/>
              </w:tabs>
              <w:rPr>
                <w:rFonts w:cstheme="minorHAnsi"/>
                <w:sz w:val="20"/>
                <w:szCs w:val="20"/>
              </w:rPr>
            </w:pPr>
            <w:r w:rsidRPr="009B5CF5">
              <w:rPr>
                <w:rFonts w:cstheme="minorHAnsi"/>
                <w:sz w:val="20"/>
                <w:szCs w:val="20"/>
              </w:rPr>
              <w:t>AGCGGTGTCCGGCTAGC</w:t>
            </w:r>
          </w:p>
        </w:tc>
        <w:tc>
          <w:tcPr>
            <w:tcW w:w="1159" w:type="dxa"/>
            <w:vMerge/>
            <w:hideMark/>
          </w:tcPr>
          <w:p w14:paraId="049374CD" w14:textId="77777777" w:rsidR="009B5CF5" w:rsidRPr="009B5CF5" w:rsidRDefault="009B5CF5" w:rsidP="0008203A">
            <w:pPr>
              <w:tabs>
                <w:tab w:val="left" w:pos="1298"/>
              </w:tabs>
              <w:rPr>
                <w:rFonts w:cstheme="minorHAnsi"/>
                <w:sz w:val="20"/>
                <w:szCs w:val="20"/>
              </w:rPr>
            </w:pPr>
          </w:p>
        </w:tc>
      </w:tr>
      <w:tr w:rsidR="009B5CF5" w:rsidRPr="009B5CF5" w14:paraId="5B6A457C" w14:textId="77777777" w:rsidTr="0008203A">
        <w:trPr>
          <w:trHeight w:val="310"/>
        </w:trPr>
        <w:tc>
          <w:tcPr>
            <w:tcW w:w="1243" w:type="dxa"/>
            <w:vMerge/>
            <w:vAlign w:val="center"/>
            <w:hideMark/>
          </w:tcPr>
          <w:p w14:paraId="69D64AE2" w14:textId="77777777" w:rsidR="009B5CF5" w:rsidRPr="009B5CF5" w:rsidRDefault="009B5CF5" w:rsidP="0008203A">
            <w:pPr>
              <w:tabs>
                <w:tab w:val="left" w:pos="1298"/>
              </w:tabs>
              <w:jc w:val="center"/>
              <w:rPr>
                <w:rFonts w:cstheme="minorHAnsi"/>
                <w:sz w:val="20"/>
                <w:szCs w:val="20"/>
              </w:rPr>
            </w:pPr>
          </w:p>
        </w:tc>
        <w:tc>
          <w:tcPr>
            <w:tcW w:w="1279" w:type="dxa"/>
            <w:vMerge/>
            <w:vAlign w:val="center"/>
            <w:hideMark/>
          </w:tcPr>
          <w:p w14:paraId="5D03A148" w14:textId="77777777" w:rsidR="009B5CF5" w:rsidRPr="009B5CF5" w:rsidRDefault="009B5CF5" w:rsidP="0008203A">
            <w:pPr>
              <w:tabs>
                <w:tab w:val="left" w:pos="1298"/>
              </w:tabs>
              <w:jc w:val="center"/>
              <w:rPr>
                <w:rFonts w:cstheme="minorHAnsi"/>
                <w:sz w:val="20"/>
                <w:szCs w:val="20"/>
              </w:rPr>
            </w:pPr>
          </w:p>
        </w:tc>
        <w:tc>
          <w:tcPr>
            <w:tcW w:w="1473" w:type="dxa"/>
            <w:noWrap/>
            <w:hideMark/>
          </w:tcPr>
          <w:p w14:paraId="6F4F378C" w14:textId="77777777" w:rsidR="009B5CF5" w:rsidRPr="009B5CF5" w:rsidRDefault="009B5CF5" w:rsidP="0008203A">
            <w:pPr>
              <w:tabs>
                <w:tab w:val="left" w:pos="1298"/>
              </w:tabs>
              <w:rPr>
                <w:rFonts w:cstheme="minorHAnsi"/>
                <w:sz w:val="20"/>
                <w:szCs w:val="20"/>
              </w:rPr>
            </w:pPr>
            <w:r w:rsidRPr="009B5CF5">
              <w:rPr>
                <w:rFonts w:cstheme="minorHAnsi"/>
                <w:sz w:val="20"/>
                <w:szCs w:val="20"/>
              </w:rPr>
              <w:t>Probe (FAM)</w:t>
            </w:r>
          </w:p>
        </w:tc>
        <w:tc>
          <w:tcPr>
            <w:tcW w:w="3751" w:type="dxa"/>
            <w:hideMark/>
          </w:tcPr>
          <w:p w14:paraId="4D12E162" w14:textId="77777777" w:rsidR="009B5CF5" w:rsidRPr="009B5CF5" w:rsidRDefault="009B5CF5" w:rsidP="0008203A">
            <w:pPr>
              <w:tabs>
                <w:tab w:val="left" w:pos="1298"/>
              </w:tabs>
              <w:rPr>
                <w:rFonts w:cstheme="minorHAnsi"/>
                <w:sz w:val="20"/>
                <w:szCs w:val="20"/>
              </w:rPr>
            </w:pPr>
            <w:r w:rsidRPr="009B5CF5">
              <w:rPr>
                <w:rFonts w:cstheme="minorHAnsi"/>
                <w:sz w:val="20"/>
                <w:szCs w:val="20"/>
              </w:rPr>
              <w:t>AGGACAACGGTTGCAC</w:t>
            </w:r>
          </w:p>
        </w:tc>
        <w:tc>
          <w:tcPr>
            <w:tcW w:w="1159" w:type="dxa"/>
            <w:vMerge/>
            <w:hideMark/>
          </w:tcPr>
          <w:p w14:paraId="685D3940" w14:textId="77777777" w:rsidR="009B5CF5" w:rsidRPr="009B5CF5" w:rsidRDefault="009B5CF5" w:rsidP="0008203A">
            <w:pPr>
              <w:tabs>
                <w:tab w:val="left" w:pos="1298"/>
              </w:tabs>
              <w:rPr>
                <w:rFonts w:cstheme="minorHAnsi"/>
                <w:sz w:val="20"/>
                <w:szCs w:val="20"/>
              </w:rPr>
            </w:pPr>
          </w:p>
        </w:tc>
      </w:tr>
      <w:tr w:rsidR="009B5CF5" w:rsidRPr="009B5CF5" w14:paraId="62FB3E2D" w14:textId="77777777" w:rsidTr="0008203A">
        <w:trPr>
          <w:trHeight w:val="310"/>
        </w:trPr>
        <w:tc>
          <w:tcPr>
            <w:tcW w:w="1243" w:type="dxa"/>
            <w:vMerge w:val="restart"/>
            <w:vAlign w:val="center"/>
          </w:tcPr>
          <w:p w14:paraId="16F87BD8" w14:textId="77777777" w:rsidR="009B5CF5" w:rsidRPr="009B5CF5" w:rsidRDefault="009B5CF5" w:rsidP="0008203A">
            <w:pPr>
              <w:tabs>
                <w:tab w:val="left" w:pos="1298"/>
              </w:tabs>
              <w:jc w:val="center"/>
              <w:rPr>
                <w:rFonts w:cstheme="minorHAnsi"/>
                <w:sz w:val="20"/>
                <w:szCs w:val="20"/>
              </w:rPr>
            </w:pPr>
            <w:r w:rsidRPr="009B5CF5">
              <w:rPr>
                <w:rFonts w:cstheme="minorHAnsi"/>
                <w:sz w:val="20"/>
                <w:szCs w:val="20"/>
              </w:rPr>
              <w:t>SSU rRNA</w:t>
            </w:r>
          </w:p>
        </w:tc>
        <w:tc>
          <w:tcPr>
            <w:tcW w:w="1279" w:type="dxa"/>
            <w:vMerge w:val="restart"/>
            <w:vAlign w:val="center"/>
          </w:tcPr>
          <w:p w14:paraId="55B3C01F" w14:textId="68346ED8" w:rsidR="009B5CF5" w:rsidRPr="009B5CF5" w:rsidRDefault="009B5CF5" w:rsidP="0008203A">
            <w:pPr>
              <w:tabs>
                <w:tab w:val="left" w:pos="1298"/>
              </w:tabs>
              <w:jc w:val="center"/>
              <w:rPr>
                <w:rFonts w:cstheme="minorHAnsi"/>
                <w:sz w:val="20"/>
                <w:szCs w:val="20"/>
              </w:rPr>
            </w:pPr>
            <w:r w:rsidRPr="009B5CF5">
              <w:rPr>
                <w:rFonts w:cstheme="minorHAnsi"/>
                <w:sz w:val="20"/>
                <w:szCs w:val="20"/>
              </w:rPr>
              <w:t xml:space="preserve">PCR </w:t>
            </w:r>
            <w:r>
              <w:rPr>
                <w:rFonts w:cstheme="minorHAnsi"/>
                <w:sz w:val="20"/>
                <w:szCs w:val="20"/>
              </w:rPr>
              <w:t>for</w:t>
            </w:r>
            <w:r w:rsidRPr="009B5CF5">
              <w:rPr>
                <w:rFonts w:cstheme="minorHAnsi"/>
                <w:sz w:val="20"/>
                <w:szCs w:val="20"/>
              </w:rPr>
              <w:t xml:space="preserve"> sequencing</w:t>
            </w:r>
          </w:p>
        </w:tc>
        <w:tc>
          <w:tcPr>
            <w:tcW w:w="1473" w:type="dxa"/>
            <w:noWrap/>
          </w:tcPr>
          <w:p w14:paraId="6BDE3702" w14:textId="69FAA0F3" w:rsidR="009B5CF5" w:rsidRPr="009B5CF5" w:rsidRDefault="009B5CF5" w:rsidP="0008203A">
            <w:pPr>
              <w:tabs>
                <w:tab w:val="left" w:pos="1298"/>
              </w:tabs>
              <w:rPr>
                <w:rFonts w:cstheme="minorHAnsi"/>
                <w:sz w:val="20"/>
                <w:szCs w:val="20"/>
              </w:rPr>
            </w:pPr>
            <w:r w:rsidRPr="009B5CF5">
              <w:rPr>
                <w:rFonts w:cstheme="minorHAnsi"/>
                <w:sz w:val="20"/>
                <w:szCs w:val="20"/>
              </w:rPr>
              <w:t>Forward RH11</w:t>
            </w:r>
          </w:p>
        </w:tc>
        <w:tc>
          <w:tcPr>
            <w:tcW w:w="3751" w:type="dxa"/>
          </w:tcPr>
          <w:p w14:paraId="46F12816" w14:textId="77777777" w:rsidR="009B5CF5" w:rsidRPr="009B5CF5" w:rsidRDefault="009B5CF5" w:rsidP="0008203A">
            <w:pPr>
              <w:tabs>
                <w:tab w:val="left" w:pos="1298"/>
              </w:tabs>
              <w:rPr>
                <w:rFonts w:cstheme="minorHAnsi"/>
                <w:bCs/>
                <w:sz w:val="20"/>
                <w:szCs w:val="20"/>
              </w:rPr>
            </w:pPr>
            <w:r w:rsidRPr="009B5CF5">
              <w:rPr>
                <w:rFonts w:cstheme="minorHAnsi"/>
                <w:bCs/>
                <w:sz w:val="20"/>
                <w:szCs w:val="20"/>
              </w:rPr>
              <w:t>CATCCGGTCGATCCTGCC</w:t>
            </w:r>
          </w:p>
        </w:tc>
        <w:tc>
          <w:tcPr>
            <w:tcW w:w="1159" w:type="dxa"/>
            <w:vMerge w:val="restart"/>
          </w:tcPr>
          <w:p w14:paraId="2C9B9E19" w14:textId="77777777" w:rsidR="009B5CF5" w:rsidRPr="009B5CF5" w:rsidRDefault="009B5CF5" w:rsidP="0008203A">
            <w:pPr>
              <w:tabs>
                <w:tab w:val="left" w:pos="1298"/>
              </w:tabs>
              <w:rPr>
                <w:rFonts w:cstheme="minorHAnsi"/>
                <w:bCs/>
                <w:sz w:val="20"/>
                <w:szCs w:val="20"/>
              </w:rPr>
            </w:pPr>
            <w:r w:rsidRPr="009B5CF5">
              <w:rPr>
                <w:rFonts w:cstheme="minorHAnsi"/>
                <w:bCs/>
                <w:sz w:val="20"/>
                <w:szCs w:val="20"/>
              </w:rPr>
              <w:t> </w:t>
            </w:r>
            <w:r w:rsidRPr="009B5CF5">
              <w:rPr>
                <w:rFonts w:cstheme="minorHAnsi"/>
                <w:bCs/>
                <w:sz w:val="20"/>
                <w:szCs w:val="20"/>
              </w:rPr>
              <w:fldChar w:fldCharType="begin"/>
            </w:r>
            <w:r w:rsidRPr="009B5CF5">
              <w:rPr>
                <w:rFonts w:cstheme="minorHAnsi"/>
                <w:bCs/>
                <w:sz w:val="20"/>
                <w:szCs w:val="20"/>
              </w:rPr>
              <w:instrText xml:space="preserve"> ADDIN ZOTERO_ITEM CSL_CITATION {"citationID":"hpE6S6HV","properties":{"formattedCitation":"(Hopkins et al., 1997)","plainCitation":"(Hopkins et al., 1997)","noteIndex":0},"citationItems":[{"id":523,"uris":["http://zotero.org/users/local/8gAD1R6g/items/N5HSL4JZ"],"itemData":{"id":523,"type":"article-journal","abstract":"A polymerase chain reaction-based method for genotyping Giardia duodenalis isolates using a polymorphic region near the 5' end of the small subunit ribosomal (SSU) RNA gene is described. Analysis was performed using Giardia cysts purified directly from feces. Isolates were collected from humans and dogs living in isolated Aboriginal communities where Giardia infections are highly endemic. This is the first report of the genetic characterization of Giardia from dogs and humans living in the same locality. Comparison of the SSU-rRNA sequences from 13 human and 9 dog isolates revealed 4 different genetic groups. Groups 1 and 2 contained all of the human isolates, whereas groups 3 and 4 consisted entirely of Giardia samples recovered from dogs. One dog sample contained templates from both groups 2 and 3. These results suggest that zoonotic transmission of Giardia infections between humans and dogs does not occur frequently in these communities. The dog-associated SSU-rRNA sequences have not been reported before, suggesting a new G. duodenalis subgroup. A genetic basis for the differences observed between the groups was supported by sequence analysis of 9 in vitro cultured isolates that were placed into the same genetic groups established by enzyme electrophoresis.","container-title":"The Journal of Parasitology","DOI":"10.2307/3284315","ISSN":"00223395","issue":"1","journalAbbreviation":"The Journal of Parasitology","language":"en","page":"44","source":"DOI.org (Crossref)","title":"Ribosomal RNA Sequencing Reveals Differences between the Genotypes of Giardia Isolates Recovered from Humans and Dogs Living in the Same Locality","volume":"83","author":[{"family":"Hopkins","given":"Richard M."},{"family":"Meloni","given":"Bruno P."},{"family":"Groth","given":"David M."},{"family":"Wetherall","given":"John D."},{"family":"Reynoldson","given":"James A."},{"family":"Thompson","given":"R. C. Andrew"}],"issued":{"date-parts":[["1997"]]}}}],"schema":"https://github.com/citation-style-language/schema/raw/master/csl-citation.json"} </w:instrText>
            </w:r>
            <w:r w:rsidRPr="009B5CF5">
              <w:rPr>
                <w:rFonts w:cstheme="minorHAnsi"/>
                <w:bCs/>
                <w:sz w:val="20"/>
                <w:szCs w:val="20"/>
              </w:rPr>
              <w:fldChar w:fldCharType="separate"/>
            </w:r>
            <w:r w:rsidRPr="009B5CF5">
              <w:rPr>
                <w:rFonts w:cstheme="minorHAnsi"/>
                <w:sz w:val="20"/>
                <w:szCs w:val="20"/>
              </w:rPr>
              <w:t>(Hopkins et al., 1997)</w:t>
            </w:r>
            <w:r w:rsidRPr="009B5CF5">
              <w:rPr>
                <w:rFonts w:cstheme="minorHAnsi"/>
                <w:bCs/>
                <w:sz w:val="20"/>
                <w:szCs w:val="20"/>
              </w:rPr>
              <w:fldChar w:fldCharType="end"/>
            </w:r>
          </w:p>
          <w:p w14:paraId="690CF135" w14:textId="3CEA1C8B" w:rsidR="009B5CF5" w:rsidRPr="009B5CF5" w:rsidRDefault="009B5CF5" w:rsidP="0008203A">
            <w:pPr>
              <w:tabs>
                <w:tab w:val="left" w:pos="1298"/>
              </w:tabs>
              <w:rPr>
                <w:rFonts w:cstheme="minorHAnsi"/>
                <w:bCs/>
                <w:sz w:val="20"/>
                <w:szCs w:val="20"/>
              </w:rPr>
            </w:pPr>
            <w:r w:rsidRPr="009B5CF5">
              <w:rPr>
                <w:rFonts w:cstheme="minorHAnsi"/>
                <w:bCs/>
                <w:sz w:val="20"/>
                <w:szCs w:val="20"/>
              </w:rPr>
              <w:t>[</w:t>
            </w:r>
            <w:r w:rsidR="00A0291C">
              <w:rPr>
                <w:rFonts w:cstheme="minorHAnsi"/>
                <w:bCs/>
                <w:sz w:val="20"/>
                <w:szCs w:val="20"/>
              </w:rPr>
              <w:t>33</w:t>
            </w:r>
            <w:r w:rsidRPr="009B5CF5">
              <w:rPr>
                <w:rFonts w:cstheme="minorHAnsi"/>
                <w:bCs/>
                <w:sz w:val="20"/>
                <w:szCs w:val="20"/>
              </w:rPr>
              <w:t>]</w:t>
            </w:r>
          </w:p>
          <w:p w14:paraId="308E6D13" w14:textId="77777777" w:rsidR="009B5CF5" w:rsidRPr="009B5CF5" w:rsidRDefault="009B5CF5" w:rsidP="0008203A">
            <w:pPr>
              <w:tabs>
                <w:tab w:val="left" w:pos="1298"/>
              </w:tabs>
              <w:rPr>
                <w:rFonts w:cstheme="minorHAnsi"/>
                <w:bCs/>
                <w:sz w:val="20"/>
                <w:szCs w:val="20"/>
              </w:rPr>
            </w:pPr>
          </w:p>
        </w:tc>
      </w:tr>
      <w:tr w:rsidR="009B5CF5" w:rsidRPr="009B5CF5" w14:paraId="3FF1F1D9" w14:textId="77777777" w:rsidTr="0008203A">
        <w:trPr>
          <w:trHeight w:val="310"/>
        </w:trPr>
        <w:tc>
          <w:tcPr>
            <w:tcW w:w="1243" w:type="dxa"/>
            <w:vMerge/>
            <w:vAlign w:val="center"/>
          </w:tcPr>
          <w:p w14:paraId="5B8D411A" w14:textId="77777777" w:rsidR="009B5CF5" w:rsidRPr="009B5CF5" w:rsidRDefault="009B5CF5" w:rsidP="0008203A">
            <w:pPr>
              <w:tabs>
                <w:tab w:val="left" w:pos="1298"/>
              </w:tabs>
              <w:jc w:val="center"/>
              <w:rPr>
                <w:rFonts w:cstheme="minorHAnsi"/>
                <w:sz w:val="20"/>
                <w:szCs w:val="20"/>
              </w:rPr>
            </w:pPr>
          </w:p>
        </w:tc>
        <w:tc>
          <w:tcPr>
            <w:tcW w:w="1279" w:type="dxa"/>
            <w:vMerge/>
            <w:vAlign w:val="center"/>
          </w:tcPr>
          <w:p w14:paraId="55076CD8" w14:textId="77777777" w:rsidR="009B5CF5" w:rsidRPr="009B5CF5" w:rsidRDefault="009B5CF5" w:rsidP="0008203A">
            <w:pPr>
              <w:tabs>
                <w:tab w:val="left" w:pos="1298"/>
              </w:tabs>
              <w:jc w:val="center"/>
              <w:rPr>
                <w:rFonts w:cstheme="minorHAnsi"/>
                <w:sz w:val="20"/>
                <w:szCs w:val="20"/>
              </w:rPr>
            </w:pPr>
          </w:p>
        </w:tc>
        <w:tc>
          <w:tcPr>
            <w:tcW w:w="1473" w:type="dxa"/>
            <w:noWrap/>
          </w:tcPr>
          <w:p w14:paraId="18E7719D" w14:textId="4EFD6EAE" w:rsidR="009B5CF5" w:rsidRPr="009B5CF5" w:rsidRDefault="009B5CF5" w:rsidP="0008203A">
            <w:pPr>
              <w:tabs>
                <w:tab w:val="left" w:pos="1298"/>
              </w:tabs>
              <w:rPr>
                <w:rFonts w:cstheme="minorHAnsi"/>
                <w:sz w:val="20"/>
                <w:szCs w:val="20"/>
              </w:rPr>
            </w:pPr>
            <w:r w:rsidRPr="009B5CF5">
              <w:rPr>
                <w:rFonts w:cstheme="minorHAnsi"/>
                <w:sz w:val="20"/>
                <w:szCs w:val="20"/>
              </w:rPr>
              <w:t xml:space="preserve">Reverse RH4 </w:t>
            </w:r>
          </w:p>
        </w:tc>
        <w:tc>
          <w:tcPr>
            <w:tcW w:w="3751" w:type="dxa"/>
          </w:tcPr>
          <w:p w14:paraId="01FE5108" w14:textId="77777777" w:rsidR="009B5CF5" w:rsidRPr="009B5CF5" w:rsidRDefault="009B5CF5" w:rsidP="0008203A">
            <w:pPr>
              <w:tabs>
                <w:tab w:val="left" w:pos="1298"/>
              </w:tabs>
              <w:rPr>
                <w:rFonts w:cstheme="minorHAnsi"/>
                <w:sz w:val="20"/>
                <w:szCs w:val="20"/>
              </w:rPr>
            </w:pPr>
            <w:r w:rsidRPr="009B5CF5">
              <w:rPr>
                <w:rFonts w:cstheme="minorHAnsi"/>
                <w:sz w:val="20"/>
                <w:szCs w:val="20"/>
              </w:rPr>
              <w:t>AGTCGAACCCTGATTCTCCGCCAGG</w:t>
            </w:r>
          </w:p>
        </w:tc>
        <w:tc>
          <w:tcPr>
            <w:tcW w:w="1159" w:type="dxa"/>
            <w:vMerge/>
          </w:tcPr>
          <w:p w14:paraId="14774DD7" w14:textId="77777777" w:rsidR="009B5CF5" w:rsidRPr="009B5CF5" w:rsidRDefault="009B5CF5" w:rsidP="0008203A">
            <w:pPr>
              <w:tabs>
                <w:tab w:val="left" w:pos="1298"/>
              </w:tabs>
              <w:rPr>
                <w:rFonts w:cstheme="minorHAnsi"/>
                <w:bCs/>
                <w:sz w:val="20"/>
                <w:szCs w:val="20"/>
              </w:rPr>
            </w:pPr>
          </w:p>
        </w:tc>
      </w:tr>
      <w:tr w:rsidR="009B5CF5" w:rsidRPr="009B5CF5" w14:paraId="5D926248" w14:textId="77777777" w:rsidTr="0008203A">
        <w:trPr>
          <w:trHeight w:val="290"/>
        </w:trPr>
        <w:tc>
          <w:tcPr>
            <w:tcW w:w="1243" w:type="dxa"/>
            <w:vMerge w:val="restart"/>
            <w:vAlign w:val="center"/>
            <w:hideMark/>
          </w:tcPr>
          <w:p w14:paraId="3FD7D9EA" w14:textId="77777777" w:rsidR="009B5CF5" w:rsidRPr="009B5CF5" w:rsidRDefault="009B5CF5" w:rsidP="0008203A">
            <w:pPr>
              <w:tabs>
                <w:tab w:val="left" w:pos="1298"/>
              </w:tabs>
              <w:jc w:val="center"/>
              <w:rPr>
                <w:rFonts w:cstheme="minorHAnsi"/>
                <w:sz w:val="20"/>
                <w:szCs w:val="20"/>
              </w:rPr>
            </w:pPr>
            <w:r w:rsidRPr="009B5CF5">
              <w:rPr>
                <w:rFonts w:cstheme="minorHAnsi"/>
                <w:sz w:val="20"/>
                <w:szCs w:val="20"/>
              </w:rPr>
              <w:t>SSU rRNA</w:t>
            </w:r>
          </w:p>
        </w:tc>
        <w:tc>
          <w:tcPr>
            <w:tcW w:w="1279" w:type="dxa"/>
            <w:vMerge w:val="restart"/>
            <w:vAlign w:val="center"/>
            <w:hideMark/>
          </w:tcPr>
          <w:p w14:paraId="59AB8EA2" w14:textId="2E69C26B" w:rsidR="00EB49BF" w:rsidRPr="00EB49BF" w:rsidRDefault="00EB49BF" w:rsidP="00EB49BF">
            <w:pPr>
              <w:spacing w:line="240" w:lineRule="auto"/>
              <w:rPr>
                <w:rFonts w:cstheme="minorHAnsi"/>
                <w:sz w:val="20"/>
                <w:szCs w:val="20"/>
              </w:rPr>
            </w:pPr>
            <w:r w:rsidRPr="00EB49BF">
              <w:rPr>
                <w:rFonts w:cstheme="minorHAnsi"/>
                <w:sz w:val="20"/>
                <w:szCs w:val="20"/>
              </w:rPr>
              <w:t>18S</w:t>
            </w:r>
            <w:r>
              <w:rPr>
                <w:rFonts w:cstheme="minorHAnsi"/>
                <w:sz w:val="20"/>
                <w:szCs w:val="20"/>
              </w:rPr>
              <w:t xml:space="preserve"> </w:t>
            </w:r>
            <w:r w:rsidRPr="00EB49BF">
              <w:rPr>
                <w:rFonts w:cstheme="minorHAnsi"/>
                <w:sz w:val="20"/>
                <w:szCs w:val="20"/>
              </w:rPr>
              <w:t>rRNA SNP Genotyping Assay</w:t>
            </w:r>
          </w:p>
          <w:p w14:paraId="56CFB5CE" w14:textId="7E568EA7" w:rsidR="009B5CF5" w:rsidRPr="009B5CF5" w:rsidRDefault="009B5CF5" w:rsidP="0008203A">
            <w:pPr>
              <w:tabs>
                <w:tab w:val="left" w:pos="1298"/>
              </w:tabs>
              <w:jc w:val="center"/>
              <w:rPr>
                <w:rFonts w:cstheme="minorHAnsi"/>
                <w:sz w:val="20"/>
                <w:szCs w:val="20"/>
              </w:rPr>
            </w:pPr>
          </w:p>
        </w:tc>
        <w:tc>
          <w:tcPr>
            <w:tcW w:w="1473" w:type="dxa"/>
            <w:noWrap/>
            <w:hideMark/>
          </w:tcPr>
          <w:p w14:paraId="797E8AD5" w14:textId="6B8BF255" w:rsidR="009B5CF5" w:rsidRPr="009B5CF5" w:rsidRDefault="009B5CF5" w:rsidP="0008203A">
            <w:pPr>
              <w:tabs>
                <w:tab w:val="left" w:pos="1298"/>
              </w:tabs>
              <w:rPr>
                <w:rFonts w:cstheme="minorHAnsi"/>
                <w:sz w:val="20"/>
                <w:szCs w:val="20"/>
              </w:rPr>
            </w:pPr>
            <w:r w:rsidRPr="009B5CF5">
              <w:rPr>
                <w:rFonts w:cstheme="minorHAnsi"/>
                <w:sz w:val="20"/>
                <w:szCs w:val="20"/>
              </w:rPr>
              <w:t xml:space="preserve">Forward </w:t>
            </w:r>
          </w:p>
        </w:tc>
        <w:tc>
          <w:tcPr>
            <w:tcW w:w="3751" w:type="dxa"/>
            <w:noWrap/>
            <w:hideMark/>
          </w:tcPr>
          <w:p w14:paraId="06A0F5E8" w14:textId="77777777" w:rsidR="009B5CF5" w:rsidRPr="009B5CF5" w:rsidRDefault="009B5CF5" w:rsidP="0008203A">
            <w:pPr>
              <w:tabs>
                <w:tab w:val="left" w:pos="1298"/>
              </w:tabs>
              <w:rPr>
                <w:rFonts w:cstheme="minorHAnsi"/>
                <w:sz w:val="20"/>
                <w:szCs w:val="20"/>
              </w:rPr>
            </w:pPr>
            <w:r w:rsidRPr="009B5CF5">
              <w:rPr>
                <w:rFonts w:cstheme="minorHAnsi"/>
                <w:sz w:val="20"/>
                <w:szCs w:val="20"/>
              </w:rPr>
              <w:t>CCGGTCGATCCTGCCG</w:t>
            </w:r>
          </w:p>
        </w:tc>
        <w:tc>
          <w:tcPr>
            <w:tcW w:w="1159" w:type="dxa"/>
            <w:vMerge w:val="restart"/>
            <w:noWrap/>
            <w:hideMark/>
          </w:tcPr>
          <w:p w14:paraId="680687BE" w14:textId="2B1968CB" w:rsidR="009B5CF5" w:rsidRPr="009B5CF5" w:rsidRDefault="009B5CF5" w:rsidP="0008203A">
            <w:pPr>
              <w:tabs>
                <w:tab w:val="left" w:pos="1298"/>
              </w:tabs>
              <w:rPr>
                <w:rFonts w:cstheme="minorHAnsi"/>
                <w:sz w:val="20"/>
                <w:szCs w:val="20"/>
              </w:rPr>
            </w:pPr>
            <w:r w:rsidRPr="009B5CF5">
              <w:rPr>
                <w:rFonts w:cstheme="minorHAnsi"/>
                <w:sz w:val="20"/>
                <w:szCs w:val="20"/>
              </w:rPr>
              <w:t>Present study</w:t>
            </w:r>
          </w:p>
        </w:tc>
      </w:tr>
      <w:tr w:rsidR="009B5CF5" w:rsidRPr="009B5CF5" w14:paraId="78FB0BF0" w14:textId="77777777" w:rsidTr="0008203A">
        <w:trPr>
          <w:trHeight w:val="290"/>
        </w:trPr>
        <w:tc>
          <w:tcPr>
            <w:tcW w:w="1243" w:type="dxa"/>
            <w:vMerge/>
            <w:hideMark/>
          </w:tcPr>
          <w:p w14:paraId="53D15153" w14:textId="77777777" w:rsidR="009B5CF5" w:rsidRPr="009B5CF5" w:rsidRDefault="009B5CF5" w:rsidP="0008203A">
            <w:pPr>
              <w:tabs>
                <w:tab w:val="left" w:pos="1298"/>
              </w:tabs>
              <w:rPr>
                <w:rFonts w:cstheme="minorHAnsi"/>
                <w:sz w:val="20"/>
                <w:szCs w:val="20"/>
              </w:rPr>
            </w:pPr>
          </w:p>
        </w:tc>
        <w:tc>
          <w:tcPr>
            <w:tcW w:w="1279" w:type="dxa"/>
            <w:vMerge/>
            <w:hideMark/>
          </w:tcPr>
          <w:p w14:paraId="2029CFF2" w14:textId="77777777" w:rsidR="009B5CF5" w:rsidRPr="009B5CF5" w:rsidRDefault="009B5CF5" w:rsidP="0008203A">
            <w:pPr>
              <w:tabs>
                <w:tab w:val="left" w:pos="1298"/>
              </w:tabs>
              <w:rPr>
                <w:rFonts w:cstheme="minorHAnsi"/>
                <w:sz w:val="20"/>
                <w:szCs w:val="20"/>
              </w:rPr>
            </w:pPr>
          </w:p>
        </w:tc>
        <w:tc>
          <w:tcPr>
            <w:tcW w:w="1473" w:type="dxa"/>
            <w:noWrap/>
            <w:hideMark/>
          </w:tcPr>
          <w:p w14:paraId="7F1B34E0" w14:textId="72DCA102" w:rsidR="009B5CF5" w:rsidRPr="009B5CF5" w:rsidRDefault="009B5CF5" w:rsidP="0008203A">
            <w:pPr>
              <w:tabs>
                <w:tab w:val="left" w:pos="1298"/>
              </w:tabs>
              <w:rPr>
                <w:rFonts w:cstheme="minorHAnsi"/>
                <w:sz w:val="20"/>
                <w:szCs w:val="20"/>
              </w:rPr>
            </w:pPr>
            <w:r w:rsidRPr="009B5CF5">
              <w:rPr>
                <w:rFonts w:cstheme="minorHAnsi"/>
                <w:sz w:val="20"/>
                <w:szCs w:val="20"/>
              </w:rPr>
              <w:t xml:space="preserve">Reverse </w:t>
            </w:r>
          </w:p>
        </w:tc>
        <w:tc>
          <w:tcPr>
            <w:tcW w:w="3751" w:type="dxa"/>
            <w:noWrap/>
            <w:hideMark/>
          </w:tcPr>
          <w:p w14:paraId="51C87DE5" w14:textId="77777777" w:rsidR="009B5CF5" w:rsidRPr="009B5CF5" w:rsidRDefault="009B5CF5" w:rsidP="0008203A">
            <w:pPr>
              <w:tabs>
                <w:tab w:val="left" w:pos="1298"/>
              </w:tabs>
              <w:rPr>
                <w:rFonts w:cstheme="minorHAnsi"/>
                <w:sz w:val="20"/>
                <w:szCs w:val="20"/>
              </w:rPr>
            </w:pPr>
            <w:r w:rsidRPr="009B5CF5">
              <w:rPr>
                <w:rFonts w:cstheme="minorHAnsi"/>
                <w:sz w:val="20"/>
                <w:szCs w:val="20"/>
              </w:rPr>
              <w:t>GCAACCGTTGTCCTGAGC</w:t>
            </w:r>
          </w:p>
        </w:tc>
        <w:tc>
          <w:tcPr>
            <w:tcW w:w="1159" w:type="dxa"/>
            <w:vMerge/>
            <w:hideMark/>
          </w:tcPr>
          <w:p w14:paraId="13929216" w14:textId="77777777" w:rsidR="009B5CF5" w:rsidRPr="009B5CF5" w:rsidRDefault="009B5CF5" w:rsidP="0008203A">
            <w:pPr>
              <w:tabs>
                <w:tab w:val="left" w:pos="1298"/>
              </w:tabs>
              <w:rPr>
                <w:rFonts w:cstheme="minorHAnsi"/>
                <w:sz w:val="20"/>
                <w:szCs w:val="20"/>
              </w:rPr>
            </w:pPr>
          </w:p>
        </w:tc>
      </w:tr>
      <w:tr w:rsidR="009B5CF5" w:rsidRPr="009B5CF5" w14:paraId="63AE116E" w14:textId="77777777" w:rsidTr="0008203A">
        <w:trPr>
          <w:trHeight w:val="290"/>
        </w:trPr>
        <w:tc>
          <w:tcPr>
            <w:tcW w:w="1243" w:type="dxa"/>
            <w:vMerge/>
            <w:hideMark/>
          </w:tcPr>
          <w:p w14:paraId="5205EDFF" w14:textId="77777777" w:rsidR="009B5CF5" w:rsidRPr="009B5CF5" w:rsidRDefault="009B5CF5" w:rsidP="0008203A">
            <w:pPr>
              <w:tabs>
                <w:tab w:val="left" w:pos="1298"/>
              </w:tabs>
              <w:rPr>
                <w:rFonts w:cstheme="minorHAnsi"/>
                <w:sz w:val="20"/>
                <w:szCs w:val="20"/>
              </w:rPr>
            </w:pPr>
          </w:p>
        </w:tc>
        <w:tc>
          <w:tcPr>
            <w:tcW w:w="1279" w:type="dxa"/>
            <w:vMerge/>
            <w:hideMark/>
          </w:tcPr>
          <w:p w14:paraId="48883A8F" w14:textId="77777777" w:rsidR="009B5CF5" w:rsidRPr="009B5CF5" w:rsidRDefault="009B5CF5" w:rsidP="0008203A">
            <w:pPr>
              <w:tabs>
                <w:tab w:val="left" w:pos="1298"/>
              </w:tabs>
              <w:rPr>
                <w:rFonts w:cstheme="minorHAnsi"/>
                <w:sz w:val="20"/>
                <w:szCs w:val="20"/>
              </w:rPr>
            </w:pPr>
          </w:p>
        </w:tc>
        <w:tc>
          <w:tcPr>
            <w:tcW w:w="1473" w:type="dxa"/>
            <w:noWrap/>
            <w:hideMark/>
          </w:tcPr>
          <w:p w14:paraId="2D3B6182" w14:textId="77777777" w:rsidR="009B5CF5" w:rsidRPr="009B5CF5" w:rsidRDefault="009B5CF5" w:rsidP="0008203A">
            <w:pPr>
              <w:tabs>
                <w:tab w:val="left" w:pos="1298"/>
              </w:tabs>
              <w:rPr>
                <w:rFonts w:cstheme="minorHAnsi"/>
                <w:sz w:val="20"/>
                <w:szCs w:val="20"/>
              </w:rPr>
            </w:pPr>
            <w:r w:rsidRPr="009B5CF5">
              <w:rPr>
                <w:rFonts w:cstheme="minorHAnsi"/>
                <w:sz w:val="20"/>
                <w:szCs w:val="20"/>
              </w:rPr>
              <w:t>Probe (VIC)</w:t>
            </w:r>
          </w:p>
        </w:tc>
        <w:tc>
          <w:tcPr>
            <w:tcW w:w="3751" w:type="dxa"/>
            <w:noWrap/>
            <w:hideMark/>
          </w:tcPr>
          <w:p w14:paraId="5A187EBC" w14:textId="77777777" w:rsidR="009B5CF5" w:rsidRPr="009B5CF5" w:rsidRDefault="009B5CF5" w:rsidP="0008203A">
            <w:pPr>
              <w:tabs>
                <w:tab w:val="left" w:pos="1298"/>
              </w:tabs>
              <w:rPr>
                <w:rFonts w:cstheme="minorHAnsi"/>
                <w:sz w:val="20"/>
                <w:szCs w:val="20"/>
              </w:rPr>
            </w:pPr>
            <w:r w:rsidRPr="009B5CF5">
              <w:rPr>
                <w:rFonts w:cstheme="minorHAnsi"/>
                <w:sz w:val="20"/>
                <w:szCs w:val="20"/>
              </w:rPr>
              <w:t>ATGCCCGCTCACCCG</w:t>
            </w:r>
          </w:p>
        </w:tc>
        <w:tc>
          <w:tcPr>
            <w:tcW w:w="1159" w:type="dxa"/>
            <w:vMerge/>
            <w:hideMark/>
          </w:tcPr>
          <w:p w14:paraId="78C2C936" w14:textId="77777777" w:rsidR="009B5CF5" w:rsidRPr="009B5CF5" w:rsidRDefault="009B5CF5" w:rsidP="0008203A">
            <w:pPr>
              <w:tabs>
                <w:tab w:val="left" w:pos="1298"/>
              </w:tabs>
              <w:rPr>
                <w:rFonts w:cstheme="minorHAnsi"/>
                <w:sz w:val="20"/>
                <w:szCs w:val="20"/>
              </w:rPr>
            </w:pPr>
          </w:p>
        </w:tc>
      </w:tr>
      <w:tr w:rsidR="009B5CF5" w:rsidRPr="009B5CF5" w14:paraId="646CA42E" w14:textId="77777777" w:rsidTr="0008203A">
        <w:trPr>
          <w:trHeight w:val="290"/>
        </w:trPr>
        <w:tc>
          <w:tcPr>
            <w:tcW w:w="1243" w:type="dxa"/>
            <w:vMerge/>
          </w:tcPr>
          <w:p w14:paraId="27DF89B2" w14:textId="77777777" w:rsidR="009B5CF5" w:rsidRPr="009B5CF5" w:rsidRDefault="009B5CF5" w:rsidP="0008203A">
            <w:pPr>
              <w:tabs>
                <w:tab w:val="left" w:pos="1298"/>
              </w:tabs>
              <w:rPr>
                <w:rFonts w:cstheme="minorHAnsi"/>
                <w:sz w:val="20"/>
                <w:szCs w:val="20"/>
              </w:rPr>
            </w:pPr>
          </w:p>
        </w:tc>
        <w:tc>
          <w:tcPr>
            <w:tcW w:w="1279" w:type="dxa"/>
            <w:vMerge/>
          </w:tcPr>
          <w:p w14:paraId="45B2383F" w14:textId="77777777" w:rsidR="009B5CF5" w:rsidRPr="009B5CF5" w:rsidRDefault="009B5CF5" w:rsidP="0008203A">
            <w:pPr>
              <w:tabs>
                <w:tab w:val="left" w:pos="1298"/>
              </w:tabs>
              <w:rPr>
                <w:rFonts w:cstheme="minorHAnsi"/>
                <w:sz w:val="20"/>
                <w:szCs w:val="20"/>
              </w:rPr>
            </w:pPr>
          </w:p>
        </w:tc>
        <w:tc>
          <w:tcPr>
            <w:tcW w:w="1473" w:type="dxa"/>
            <w:noWrap/>
          </w:tcPr>
          <w:p w14:paraId="6124A6C5" w14:textId="2BB38F3B" w:rsidR="009B5CF5" w:rsidRPr="009B5CF5" w:rsidRDefault="009B5CF5" w:rsidP="0008203A">
            <w:pPr>
              <w:tabs>
                <w:tab w:val="left" w:pos="1298"/>
              </w:tabs>
              <w:rPr>
                <w:rFonts w:cstheme="minorHAnsi"/>
                <w:sz w:val="20"/>
                <w:szCs w:val="20"/>
              </w:rPr>
            </w:pPr>
            <w:r w:rsidRPr="009B5CF5">
              <w:rPr>
                <w:rFonts w:cstheme="minorHAnsi"/>
                <w:sz w:val="20"/>
                <w:szCs w:val="20"/>
              </w:rPr>
              <w:t>P</w:t>
            </w:r>
            <w:r>
              <w:rPr>
                <w:rFonts w:cstheme="minorHAnsi"/>
                <w:sz w:val="20"/>
                <w:szCs w:val="20"/>
              </w:rPr>
              <w:t>rob</w:t>
            </w:r>
            <w:r w:rsidRPr="009B5CF5">
              <w:rPr>
                <w:rFonts w:cstheme="minorHAnsi"/>
                <w:sz w:val="20"/>
                <w:szCs w:val="20"/>
              </w:rPr>
              <w:t>e (FAM)</w:t>
            </w:r>
          </w:p>
        </w:tc>
        <w:tc>
          <w:tcPr>
            <w:tcW w:w="3751" w:type="dxa"/>
            <w:noWrap/>
          </w:tcPr>
          <w:p w14:paraId="561EC442" w14:textId="77777777" w:rsidR="009B5CF5" w:rsidRPr="009B5CF5" w:rsidRDefault="009B5CF5" w:rsidP="0008203A">
            <w:pPr>
              <w:tabs>
                <w:tab w:val="left" w:pos="1298"/>
              </w:tabs>
              <w:rPr>
                <w:rFonts w:cstheme="minorHAnsi"/>
                <w:sz w:val="20"/>
                <w:szCs w:val="20"/>
              </w:rPr>
            </w:pPr>
            <w:r w:rsidRPr="009B5CF5">
              <w:rPr>
                <w:rFonts w:cstheme="minorHAnsi"/>
                <w:sz w:val="20"/>
                <w:szCs w:val="20"/>
              </w:rPr>
              <w:t>CCCGCGCACCCG</w:t>
            </w:r>
          </w:p>
        </w:tc>
        <w:tc>
          <w:tcPr>
            <w:tcW w:w="1159" w:type="dxa"/>
            <w:vMerge/>
          </w:tcPr>
          <w:p w14:paraId="755BF901" w14:textId="77777777" w:rsidR="009B5CF5" w:rsidRPr="009B5CF5" w:rsidRDefault="009B5CF5" w:rsidP="0008203A">
            <w:pPr>
              <w:tabs>
                <w:tab w:val="left" w:pos="1298"/>
              </w:tabs>
              <w:rPr>
                <w:rFonts w:cstheme="minorHAnsi"/>
                <w:sz w:val="20"/>
                <w:szCs w:val="20"/>
              </w:rPr>
            </w:pPr>
          </w:p>
        </w:tc>
      </w:tr>
    </w:tbl>
    <w:p w14:paraId="36E36C7A" w14:textId="77777777" w:rsidR="009B5CF5" w:rsidRPr="005D5C05" w:rsidRDefault="009B5CF5" w:rsidP="009B5CF5"/>
    <w:p w14:paraId="43B3E5EF" w14:textId="5F85AE65" w:rsidR="009B5CF5" w:rsidRPr="009B5CF5" w:rsidRDefault="00EB49BF" w:rsidP="009B5CF5">
      <w:pPr>
        <w:rPr>
          <w:b/>
          <w:bCs/>
          <w:sz w:val="24"/>
          <w:szCs w:val="24"/>
          <w:lang w:val="en-US"/>
        </w:rPr>
      </w:pPr>
      <w:r>
        <w:rPr>
          <w:b/>
          <w:bCs/>
          <w:sz w:val="24"/>
          <w:szCs w:val="24"/>
          <w:lang w:val="en-US"/>
        </w:rPr>
        <w:t xml:space="preserve">S1 </w:t>
      </w:r>
      <w:r w:rsidR="009B5CF5" w:rsidRPr="009B5CF5">
        <w:rPr>
          <w:b/>
          <w:bCs/>
          <w:sz w:val="24"/>
          <w:szCs w:val="24"/>
          <w:lang w:val="en-US"/>
        </w:rPr>
        <w:t>Table. Sequences of primers and probes used</w:t>
      </w:r>
      <w:r>
        <w:rPr>
          <w:b/>
          <w:bCs/>
          <w:sz w:val="24"/>
          <w:szCs w:val="24"/>
          <w:lang w:val="en-US"/>
        </w:rPr>
        <w:t xml:space="preserve"> in molecular analyses</w:t>
      </w:r>
      <w:r w:rsidR="009B5CF5" w:rsidRPr="009B5CF5">
        <w:rPr>
          <w:b/>
          <w:bCs/>
          <w:sz w:val="24"/>
          <w:szCs w:val="24"/>
          <w:lang w:val="en-US"/>
        </w:rPr>
        <w:t>.</w:t>
      </w:r>
    </w:p>
    <w:p w14:paraId="3D5A599E" w14:textId="6393249C" w:rsidR="009B5CF5" w:rsidRDefault="009B5CF5">
      <w:pPr>
        <w:spacing w:after="0" w:line="240" w:lineRule="auto"/>
        <w:rPr>
          <w:rFonts w:ascii="Calibri" w:eastAsiaTheme="majorEastAsia" w:hAnsi="Calibri" w:cs="Calibri"/>
          <w:color w:val="2F5496" w:themeColor="accent1" w:themeShade="BF"/>
          <w:sz w:val="32"/>
          <w:szCs w:val="24"/>
        </w:rPr>
      </w:pPr>
    </w:p>
    <w:sectPr w:rsidR="009B5CF5" w:rsidSect="009257B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61AA"/>
    <w:multiLevelType w:val="multilevel"/>
    <w:tmpl w:val="E2C414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B3A6A"/>
    <w:multiLevelType w:val="hybridMultilevel"/>
    <w:tmpl w:val="FD2C3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77FC8"/>
    <w:multiLevelType w:val="hybridMultilevel"/>
    <w:tmpl w:val="0090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175F9"/>
    <w:multiLevelType w:val="multilevel"/>
    <w:tmpl w:val="55A2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03342C"/>
    <w:multiLevelType w:val="hybridMultilevel"/>
    <w:tmpl w:val="6C80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701982">
    <w:abstractNumId w:val="4"/>
  </w:num>
  <w:num w:numId="2" w16cid:durableId="1199247320">
    <w:abstractNumId w:val="2"/>
  </w:num>
  <w:num w:numId="3" w16cid:durableId="2120299534">
    <w:abstractNumId w:val="1"/>
  </w:num>
  <w:num w:numId="4" w16cid:durableId="1076436068">
    <w:abstractNumId w:val="0"/>
  </w:num>
  <w:num w:numId="5" w16cid:durableId="1474716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B9"/>
    <w:rsid w:val="00130025"/>
    <w:rsid w:val="008629B1"/>
    <w:rsid w:val="009257B9"/>
    <w:rsid w:val="009B5CF5"/>
    <w:rsid w:val="00A0291C"/>
    <w:rsid w:val="00C53122"/>
    <w:rsid w:val="00D23660"/>
    <w:rsid w:val="00EB49BF"/>
    <w:rsid w:val="00F041C4"/>
    <w:rsid w:val="00F53F65"/>
    <w:rsid w:val="00FA3B72"/>
  </w:rsids>
  <m:mathPr>
    <m:mathFont m:val="Cambria Math"/>
    <m:brkBin m:val="before"/>
    <m:brkBinSub m:val="--"/>
    <m:smallFrac m:val="0"/>
    <m:dispDef/>
    <m:lMargin m:val="0"/>
    <m:rMargin m:val="0"/>
    <m:defJc m:val="centerGroup"/>
    <m:wrapIndent m:val="1440"/>
    <m:intLim m:val="subSup"/>
    <m:naryLim m:val="undOvr"/>
  </m:mathPr>
  <w:themeFontLang w:val="en-EC"/>
  <w:clrSchemeMapping w:bg1="light1" w:t1="dark1" w:bg2="light2" w:t2="dark2" w:accent1="accent1" w:accent2="accent2" w:accent3="accent3" w:accent4="accent4" w:accent5="accent5" w:accent6="accent6" w:hyperlink="hyperlink" w:followedHyperlink="followedHyperlink"/>
  <w:decimalSymbol w:val="."/>
  <w:listSeparator w:val=","/>
  <w14:docId w14:val="22241412"/>
  <w15:chartTrackingRefBased/>
  <w15:docId w15:val="{F76A62DE-B145-544C-8C7D-4CA86532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C"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7B9"/>
    <w:pPr>
      <w:spacing w:after="160" w:line="259" w:lineRule="auto"/>
    </w:pPr>
    <w:rPr>
      <w:kern w:val="0"/>
      <w:sz w:val="22"/>
      <w:szCs w:val="22"/>
      <w:lang w:val="en-GB"/>
      <w14:ligatures w14:val="none"/>
    </w:rPr>
  </w:style>
  <w:style w:type="paragraph" w:styleId="Heading1">
    <w:name w:val="heading 1"/>
    <w:basedOn w:val="Normal"/>
    <w:next w:val="Normal"/>
    <w:link w:val="Heading1Char"/>
    <w:uiPriority w:val="9"/>
    <w:qFormat/>
    <w:rsid w:val="009257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257B9"/>
    <w:pPr>
      <w:keepNext/>
      <w:spacing w:before="40" w:after="0"/>
      <w:outlineLvl w:val="2"/>
    </w:pPr>
    <w:rPr>
      <w:rFonts w:asciiTheme="majorHAnsi" w:eastAsiaTheme="majorEastAsia" w:hAnsiTheme="majorHAnsi" w:cstheme="majorBidi"/>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7B9"/>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Heading3Char">
    <w:name w:val="Heading 3 Char"/>
    <w:basedOn w:val="DefaultParagraphFont"/>
    <w:link w:val="Heading3"/>
    <w:uiPriority w:val="9"/>
    <w:rsid w:val="009257B9"/>
    <w:rPr>
      <w:rFonts w:asciiTheme="majorHAnsi" w:eastAsiaTheme="majorEastAsia" w:hAnsiTheme="majorHAnsi" w:cstheme="majorBidi"/>
      <w:color w:val="1F4D78"/>
      <w:kern w:val="0"/>
      <w:lang w:val="en-US"/>
      <w14:ligatures w14:val="none"/>
    </w:rPr>
  </w:style>
  <w:style w:type="paragraph" w:styleId="ListParagraph">
    <w:name w:val="List Paragraph"/>
    <w:basedOn w:val="Normal"/>
    <w:uiPriority w:val="34"/>
    <w:qFormat/>
    <w:rsid w:val="009257B9"/>
    <w:pPr>
      <w:ind w:left="720"/>
      <w:contextualSpacing/>
    </w:pPr>
  </w:style>
  <w:style w:type="table" w:styleId="TableGrid">
    <w:name w:val="Table Grid"/>
    <w:basedOn w:val="TableNormal"/>
    <w:uiPriority w:val="39"/>
    <w:rsid w:val="009257B9"/>
    <w:rPr>
      <w:kern w:val="0"/>
      <w:sz w:val="22"/>
      <w:szCs w:val="22"/>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57B9"/>
    <w:rPr>
      <w:sz w:val="16"/>
      <w:szCs w:val="16"/>
    </w:rPr>
  </w:style>
  <w:style w:type="paragraph" w:styleId="CommentText">
    <w:name w:val="annotation text"/>
    <w:basedOn w:val="Normal"/>
    <w:link w:val="CommentTextChar"/>
    <w:uiPriority w:val="99"/>
    <w:unhideWhenUsed/>
    <w:rsid w:val="009257B9"/>
    <w:pPr>
      <w:spacing w:line="240" w:lineRule="auto"/>
    </w:pPr>
    <w:rPr>
      <w:sz w:val="20"/>
      <w:szCs w:val="20"/>
    </w:rPr>
  </w:style>
  <w:style w:type="character" w:customStyle="1" w:styleId="CommentTextChar">
    <w:name w:val="Comment Text Char"/>
    <w:basedOn w:val="DefaultParagraphFont"/>
    <w:link w:val="CommentText"/>
    <w:uiPriority w:val="99"/>
    <w:rsid w:val="009257B9"/>
    <w:rPr>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9257B9"/>
    <w:rPr>
      <w:b/>
      <w:bCs/>
    </w:rPr>
  </w:style>
  <w:style w:type="character" w:customStyle="1" w:styleId="CommentSubjectChar">
    <w:name w:val="Comment Subject Char"/>
    <w:basedOn w:val="CommentTextChar"/>
    <w:link w:val="CommentSubject"/>
    <w:uiPriority w:val="99"/>
    <w:semiHidden/>
    <w:rsid w:val="009257B9"/>
    <w:rPr>
      <w:b/>
      <w:bCs/>
      <w:kern w:val="0"/>
      <w:sz w:val="20"/>
      <w:szCs w:val="20"/>
      <w:lang w:val="en-GB"/>
      <w14:ligatures w14:val="none"/>
    </w:rPr>
  </w:style>
  <w:style w:type="paragraph" w:styleId="Revision">
    <w:name w:val="Revision"/>
    <w:hidden/>
    <w:uiPriority w:val="99"/>
    <w:semiHidden/>
    <w:rsid w:val="009257B9"/>
    <w:rPr>
      <w:kern w:val="0"/>
      <w:sz w:val="22"/>
      <w:szCs w:val="22"/>
      <w:lang w:val="en-GB"/>
      <w14:ligatures w14:val="none"/>
    </w:rPr>
  </w:style>
  <w:style w:type="paragraph" w:styleId="BalloonText">
    <w:name w:val="Balloon Text"/>
    <w:basedOn w:val="Normal"/>
    <w:link w:val="BalloonTextChar"/>
    <w:uiPriority w:val="99"/>
    <w:semiHidden/>
    <w:unhideWhenUsed/>
    <w:rsid w:val="00925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7B9"/>
    <w:rPr>
      <w:rFonts w:ascii="Segoe UI" w:hAnsi="Segoe UI" w:cs="Segoe UI"/>
      <w:kern w:val="0"/>
      <w:sz w:val="18"/>
      <w:szCs w:val="18"/>
      <w:lang w:val="en-GB"/>
      <w14:ligatures w14:val="none"/>
    </w:rPr>
  </w:style>
  <w:style w:type="table" w:styleId="PlainTable2">
    <w:name w:val="Plain Table 2"/>
    <w:basedOn w:val="TableNormal"/>
    <w:uiPriority w:val="42"/>
    <w:rsid w:val="009257B9"/>
    <w:pPr>
      <w:ind w:firstLine="720"/>
    </w:pPr>
    <w:rPr>
      <w:kern w:val="0"/>
      <w:sz w:val="22"/>
      <w:szCs w:val="22"/>
      <w:lang w:val="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DefaultParagraphFont"/>
    <w:rsid w:val="009257B9"/>
  </w:style>
  <w:style w:type="paragraph" w:customStyle="1" w:styleId="TABLA1">
    <w:name w:val="TABLA1"/>
    <w:basedOn w:val="Normal"/>
    <w:link w:val="TABLA1Car"/>
    <w:qFormat/>
    <w:rsid w:val="009257B9"/>
    <w:pPr>
      <w:spacing w:line="240" w:lineRule="auto"/>
    </w:pPr>
    <w:rPr>
      <w:rFonts w:ascii="Arial" w:hAnsi="Arial" w:cs="Arial"/>
      <w:i/>
      <w:lang w:val="es-EC"/>
    </w:rPr>
  </w:style>
  <w:style w:type="character" w:customStyle="1" w:styleId="TABLA1Car">
    <w:name w:val="TABLA1 Car"/>
    <w:basedOn w:val="DefaultParagraphFont"/>
    <w:link w:val="TABLA1"/>
    <w:rsid w:val="009257B9"/>
    <w:rPr>
      <w:rFonts w:ascii="Arial" w:hAnsi="Arial" w:cs="Arial"/>
      <w:i/>
      <w:kern w:val="0"/>
      <w:sz w:val="22"/>
      <w:szCs w:val="22"/>
      <w:lang w:val="es-EC"/>
      <w14:ligatures w14:val="none"/>
    </w:rPr>
  </w:style>
  <w:style w:type="paragraph" w:styleId="Caption">
    <w:name w:val="caption"/>
    <w:basedOn w:val="Normal"/>
    <w:next w:val="Normal"/>
    <w:uiPriority w:val="35"/>
    <w:unhideWhenUsed/>
    <w:qFormat/>
    <w:rsid w:val="009257B9"/>
    <w:pPr>
      <w:spacing w:after="200" w:line="240" w:lineRule="auto"/>
    </w:pPr>
    <w:rPr>
      <w:i/>
      <w:iCs/>
      <w:color w:val="44546A" w:themeColor="text2"/>
      <w:sz w:val="18"/>
      <w:szCs w:val="18"/>
      <w:lang w:val="en-US"/>
    </w:rPr>
  </w:style>
  <w:style w:type="paragraph" w:styleId="Header">
    <w:name w:val="header"/>
    <w:basedOn w:val="Normal"/>
    <w:link w:val="HeaderChar"/>
    <w:uiPriority w:val="99"/>
    <w:unhideWhenUsed/>
    <w:rsid w:val="00925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B9"/>
    <w:rPr>
      <w:kern w:val="0"/>
      <w:sz w:val="22"/>
      <w:szCs w:val="22"/>
      <w:lang w:val="en-GB"/>
      <w14:ligatures w14:val="none"/>
    </w:rPr>
  </w:style>
  <w:style w:type="paragraph" w:styleId="Footer">
    <w:name w:val="footer"/>
    <w:basedOn w:val="Normal"/>
    <w:link w:val="FooterChar"/>
    <w:uiPriority w:val="99"/>
    <w:unhideWhenUsed/>
    <w:rsid w:val="00925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B9"/>
    <w:rPr>
      <w:kern w:val="0"/>
      <w:sz w:val="22"/>
      <w:szCs w:val="22"/>
      <w:lang w:val="en-GB"/>
      <w14:ligatures w14:val="none"/>
    </w:rPr>
  </w:style>
  <w:style w:type="character" w:styleId="Emphasis">
    <w:name w:val="Emphasis"/>
    <w:basedOn w:val="DefaultParagraphFont"/>
    <w:uiPriority w:val="20"/>
    <w:qFormat/>
    <w:rsid w:val="009257B9"/>
    <w:rPr>
      <w:i/>
      <w:iCs/>
    </w:rPr>
  </w:style>
  <w:style w:type="character" w:styleId="Hyperlink">
    <w:name w:val="Hyperlink"/>
    <w:basedOn w:val="DefaultParagraphFont"/>
    <w:uiPriority w:val="99"/>
    <w:semiHidden/>
    <w:unhideWhenUsed/>
    <w:rsid w:val="009257B9"/>
    <w:rPr>
      <w:color w:val="0000FF"/>
      <w:u w:val="single"/>
    </w:rPr>
  </w:style>
  <w:style w:type="character" w:customStyle="1" w:styleId="order">
    <w:name w:val="order"/>
    <w:basedOn w:val="DefaultParagraphFont"/>
    <w:rsid w:val="009257B9"/>
  </w:style>
  <w:style w:type="character" w:styleId="FollowedHyperlink">
    <w:name w:val="FollowedHyperlink"/>
    <w:basedOn w:val="DefaultParagraphFont"/>
    <w:uiPriority w:val="99"/>
    <w:semiHidden/>
    <w:unhideWhenUsed/>
    <w:rsid w:val="00925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Cooper</dc:creator>
  <cp:keywords/>
  <dc:description/>
  <cp:lastModifiedBy>Philip Cooper</cp:lastModifiedBy>
  <cp:revision>3</cp:revision>
  <cp:lastPrinted>2023-10-03T09:36:00Z</cp:lastPrinted>
  <dcterms:created xsi:type="dcterms:W3CDTF">2023-11-13T18:11:00Z</dcterms:created>
  <dcterms:modified xsi:type="dcterms:W3CDTF">2023-11-13T18:11:00Z</dcterms:modified>
</cp:coreProperties>
</file>