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5ED8" w14:textId="27838760" w:rsidR="001D3893" w:rsidRDefault="001D3893" w:rsidP="001D3893">
      <w:pPr>
        <w:jc w:val="center"/>
        <w:rPr>
          <w:b/>
          <w:bCs/>
          <w:sz w:val="52"/>
          <w:szCs w:val="52"/>
        </w:rPr>
      </w:pPr>
      <w:r>
        <w:rPr>
          <w:b/>
          <w:bCs/>
          <w:sz w:val="52"/>
          <w:szCs w:val="52"/>
        </w:rPr>
        <w:t>Anti-asthmatic prescriptions</w:t>
      </w:r>
      <w:r w:rsidRPr="00945B81">
        <w:rPr>
          <w:b/>
          <w:bCs/>
          <w:sz w:val="52"/>
          <w:szCs w:val="52"/>
        </w:rPr>
        <w:t xml:space="preserve"> in </w:t>
      </w:r>
      <w:bookmarkStart w:id="0" w:name="_Hlk86238359"/>
      <w:r>
        <w:rPr>
          <w:b/>
          <w:bCs/>
          <w:sz w:val="52"/>
          <w:szCs w:val="52"/>
        </w:rPr>
        <w:t>c</w:t>
      </w:r>
      <w:r w:rsidRPr="00945B81">
        <w:rPr>
          <w:b/>
          <w:bCs/>
          <w:sz w:val="52"/>
          <w:szCs w:val="52"/>
        </w:rPr>
        <w:t xml:space="preserve">hildren with </w:t>
      </w:r>
      <w:r>
        <w:rPr>
          <w:b/>
          <w:bCs/>
          <w:sz w:val="52"/>
          <w:szCs w:val="52"/>
        </w:rPr>
        <w:t>and without c</w:t>
      </w:r>
      <w:r w:rsidRPr="00945B81">
        <w:rPr>
          <w:b/>
          <w:bCs/>
          <w:sz w:val="52"/>
          <w:szCs w:val="52"/>
        </w:rPr>
        <w:t xml:space="preserve">ongenital </w:t>
      </w:r>
      <w:bookmarkEnd w:id="0"/>
      <w:r>
        <w:rPr>
          <w:b/>
          <w:bCs/>
          <w:sz w:val="52"/>
          <w:szCs w:val="52"/>
        </w:rPr>
        <w:t>a</w:t>
      </w:r>
      <w:r w:rsidRPr="00945B81">
        <w:rPr>
          <w:b/>
          <w:bCs/>
          <w:sz w:val="52"/>
          <w:szCs w:val="52"/>
        </w:rPr>
        <w:t>nomalies</w:t>
      </w:r>
      <w:r>
        <w:rPr>
          <w:b/>
          <w:bCs/>
          <w:sz w:val="52"/>
          <w:szCs w:val="52"/>
        </w:rPr>
        <w:t>: a population-based study</w:t>
      </w:r>
    </w:p>
    <w:p w14:paraId="6A25779D" w14:textId="77777777" w:rsidR="00A21A06" w:rsidRDefault="00A21A06" w:rsidP="008A3D8F">
      <w:pPr>
        <w:rPr>
          <w:sz w:val="28"/>
          <w:szCs w:val="28"/>
        </w:rPr>
      </w:pPr>
    </w:p>
    <w:p w14:paraId="64F2774B" w14:textId="2C643556" w:rsidR="00B40A69" w:rsidRPr="00B40A69" w:rsidRDefault="00B40A69" w:rsidP="00B40A69">
      <w:pPr>
        <w:rPr>
          <w:b/>
          <w:bCs/>
          <w:sz w:val="24"/>
          <w:szCs w:val="24"/>
        </w:rPr>
      </w:pPr>
      <w:r w:rsidRPr="00B40A69">
        <w:rPr>
          <w:b/>
          <w:bCs/>
          <w:sz w:val="24"/>
          <w:szCs w:val="24"/>
        </w:rPr>
        <w:t xml:space="preserve">Authors: </w:t>
      </w:r>
      <w:r w:rsidRPr="00B40A69">
        <w:rPr>
          <w:sz w:val="24"/>
          <w:szCs w:val="24"/>
        </w:rPr>
        <w:t>Natalie Divin PhD</w:t>
      </w:r>
      <w:r w:rsidRPr="00B40A69">
        <w:rPr>
          <w:sz w:val="24"/>
          <w:szCs w:val="24"/>
          <w:vertAlign w:val="superscript"/>
        </w:rPr>
        <w:t>1</w:t>
      </w:r>
      <w:r w:rsidRPr="00B40A69">
        <w:rPr>
          <w:sz w:val="24"/>
          <w:szCs w:val="24"/>
        </w:rPr>
        <w:t>, Joanne Given PhD</w:t>
      </w:r>
      <w:r w:rsidRPr="00B40A69">
        <w:rPr>
          <w:sz w:val="24"/>
          <w:szCs w:val="24"/>
          <w:vertAlign w:val="superscript"/>
        </w:rPr>
        <w:t>1</w:t>
      </w:r>
      <w:r w:rsidRPr="00B40A69">
        <w:rPr>
          <w:sz w:val="24"/>
          <w:szCs w:val="24"/>
        </w:rPr>
        <w:t>, Joachim Tan PhD</w:t>
      </w:r>
      <w:r w:rsidRPr="00B40A69">
        <w:rPr>
          <w:sz w:val="24"/>
          <w:szCs w:val="24"/>
          <w:vertAlign w:val="superscript"/>
        </w:rPr>
        <w:t>2</w:t>
      </w:r>
      <w:r w:rsidRPr="00B40A69">
        <w:rPr>
          <w:sz w:val="24"/>
          <w:szCs w:val="24"/>
        </w:rPr>
        <w:t xml:space="preserve">, Gianni </w:t>
      </w:r>
      <w:proofErr w:type="spellStart"/>
      <w:r w:rsidRPr="00B40A69">
        <w:rPr>
          <w:sz w:val="24"/>
          <w:szCs w:val="24"/>
        </w:rPr>
        <w:t>Astolfi</w:t>
      </w:r>
      <w:proofErr w:type="spellEnd"/>
      <w:r w:rsidRPr="00B40A69">
        <w:rPr>
          <w:sz w:val="24"/>
          <w:szCs w:val="24"/>
        </w:rPr>
        <w:t xml:space="preserve"> BSc</w:t>
      </w:r>
      <w:r w:rsidRPr="00B40A69">
        <w:rPr>
          <w:sz w:val="24"/>
          <w:szCs w:val="24"/>
          <w:vertAlign w:val="superscript"/>
        </w:rPr>
        <w:t>3</w:t>
      </w:r>
      <w:r w:rsidRPr="00B40A69">
        <w:rPr>
          <w:sz w:val="24"/>
          <w:szCs w:val="24"/>
        </w:rPr>
        <w:t>, Elisa Ballardini MD</w:t>
      </w:r>
      <w:r w:rsidRPr="00B40A69">
        <w:rPr>
          <w:sz w:val="24"/>
          <w:szCs w:val="24"/>
          <w:vertAlign w:val="superscript"/>
        </w:rPr>
        <w:t>3</w:t>
      </w:r>
      <w:r w:rsidRPr="00B40A69">
        <w:rPr>
          <w:sz w:val="24"/>
          <w:szCs w:val="24"/>
        </w:rPr>
        <w:t>, Laia Barrachina Bonet MSc</w:t>
      </w:r>
      <w:r w:rsidRPr="00B40A69">
        <w:rPr>
          <w:sz w:val="24"/>
          <w:szCs w:val="24"/>
          <w:vertAlign w:val="superscript"/>
        </w:rPr>
        <w:t>4</w:t>
      </w:r>
      <w:r w:rsidRPr="00B40A69">
        <w:rPr>
          <w:sz w:val="24"/>
          <w:szCs w:val="24"/>
        </w:rPr>
        <w:t>, Clara Cavero PhD</w:t>
      </w:r>
      <w:r w:rsidRPr="00B40A69">
        <w:rPr>
          <w:sz w:val="24"/>
          <w:szCs w:val="24"/>
          <w:vertAlign w:val="superscript"/>
        </w:rPr>
        <w:t>4</w:t>
      </w:r>
      <w:r w:rsidRPr="00B40A69">
        <w:rPr>
          <w:sz w:val="24"/>
          <w:szCs w:val="24"/>
        </w:rPr>
        <w:t>, Alessio Coi PhD</w:t>
      </w:r>
      <w:r w:rsidRPr="00B40A69">
        <w:rPr>
          <w:sz w:val="24"/>
          <w:szCs w:val="24"/>
          <w:vertAlign w:val="superscript"/>
        </w:rPr>
        <w:t>5</w:t>
      </w:r>
      <w:r w:rsidRPr="00B40A69">
        <w:rPr>
          <w:sz w:val="24"/>
          <w:szCs w:val="24"/>
        </w:rPr>
        <w:t>, Ester Garne MD</w:t>
      </w:r>
      <w:r w:rsidRPr="00B40A69">
        <w:rPr>
          <w:sz w:val="24"/>
          <w:szCs w:val="24"/>
          <w:vertAlign w:val="superscript"/>
        </w:rPr>
        <w:t>6</w:t>
      </w:r>
      <w:r w:rsidRPr="00B40A69">
        <w:rPr>
          <w:sz w:val="24"/>
          <w:szCs w:val="24"/>
        </w:rPr>
        <w:t>, Mika Gissler PhD</w:t>
      </w:r>
      <w:r w:rsidRPr="00B40A69">
        <w:rPr>
          <w:sz w:val="24"/>
          <w:szCs w:val="24"/>
          <w:vertAlign w:val="superscript"/>
        </w:rPr>
        <w:t>7</w:t>
      </w:r>
      <w:r w:rsidRPr="00B40A69">
        <w:rPr>
          <w:sz w:val="24"/>
          <w:szCs w:val="24"/>
        </w:rPr>
        <w:t xml:space="preserve">, Anna Heino </w:t>
      </w:r>
      <w:proofErr w:type="gramStart"/>
      <w:r w:rsidRPr="00B40A69">
        <w:rPr>
          <w:sz w:val="24"/>
          <w:szCs w:val="24"/>
        </w:rPr>
        <w:t>M.Soc.Sc</w:t>
      </w:r>
      <w:proofErr w:type="gramEnd"/>
      <w:r w:rsidRPr="00B40A69">
        <w:rPr>
          <w:sz w:val="24"/>
          <w:szCs w:val="24"/>
          <w:vertAlign w:val="superscript"/>
        </w:rPr>
        <w:t>7</w:t>
      </w:r>
      <w:r w:rsidRPr="00B40A69">
        <w:rPr>
          <w:sz w:val="24"/>
          <w:szCs w:val="24"/>
        </w:rPr>
        <w:t>, Su</w:t>
      </w:r>
      <w:r w:rsidR="00BB19AF">
        <w:rPr>
          <w:sz w:val="24"/>
          <w:szCs w:val="24"/>
        </w:rPr>
        <w:t>san</w:t>
      </w:r>
      <w:r w:rsidRPr="00B40A69">
        <w:rPr>
          <w:sz w:val="24"/>
          <w:szCs w:val="24"/>
        </w:rPr>
        <w:t xml:space="preserve"> Jordan PhD</w:t>
      </w:r>
      <w:r w:rsidRPr="00B40A69">
        <w:rPr>
          <w:sz w:val="24"/>
          <w:szCs w:val="24"/>
          <w:vertAlign w:val="superscript"/>
        </w:rPr>
        <w:t>8</w:t>
      </w:r>
      <w:r w:rsidRPr="00B40A69">
        <w:rPr>
          <w:sz w:val="24"/>
          <w:szCs w:val="24"/>
        </w:rPr>
        <w:t>, Anna Pierini BSc</w:t>
      </w:r>
      <w:r w:rsidRPr="00B40A69">
        <w:rPr>
          <w:sz w:val="24"/>
          <w:szCs w:val="24"/>
          <w:vertAlign w:val="superscript"/>
        </w:rPr>
        <w:t>5</w:t>
      </w:r>
      <w:r w:rsidRPr="00B40A69">
        <w:rPr>
          <w:sz w:val="24"/>
          <w:szCs w:val="24"/>
        </w:rPr>
        <w:t>, Ieuan Scanlon MSc</w:t>
      </w:r>
      <w:r w:rsidRPr="00B40A69">
        <w:rPr>
          <w:sz w:val="24"/>
          <w:szCs w:val="24"/>
          <w:vertAlign w:val="superscript"/>
        </w:rPr>
        <w:t>8</w:t>
      </w:r>
      <w:r w:rsidRPr="00B40A69">
        <w:rPr>
          <w:sz w:val="24"/>
          <w:szCs w:val="24"/>
        </w:rPr>
        <w:t xml:space="preserve">, Stine </w:t>
      </w:r>
      <w:proofErr w:type="spellStart"/>
      <w:r w:rsidRPr="00B40A69">
        <w:rPr>
          <w:sz w:val="24"/>
          <w:szCs w:val="24"/>
        </w:rPr>
        <w:t>Kjaer</w:t>
      </w:r>
      <w:proofErr w:type="spellEnd"/>
      <w:r w:rsidRPr="00B40A69">
        <w:rPr>
          <w:sz w:val="24"/>
          <w:szCs w:val="24"/>
        </w:rPr>
        <w:t xml:space="preserve"> </w:t>
      </w:r>
      <w:proofErr w:type="spellStart"/>
      <w:r w:rsidRPr="00B40A69">
        <w:rPr>
          <w:sz w:val="24"/>
          <w:szCs w:val="24"/>
        </w:rPr>
        <w:t>Urhoj</w:t>
      </w:r>
      <w:proofErr w:type="spellEnd"/>
      <w:r w:rsidRPr="00B40A69">
        <w:rPr>
          <w:sz w:val="24"/>
          <w:szCs w:val="24"/>
        </w:rPr>
        <w:t xml:space="preserve"> PhD</w:t>
      </w:r>
      <w:r w:rsidRPr="00B40A69">
        <w:rPr>
          <w:sz w:val="24"/>
          <w:szCs w:val="24"/>
          <w:vertAlign w:val="superscript"/>
        </w:rPr>
        <w:t>9</w:t>
      </w:r>
      <w:r w:rsidRPr="00B40A69">
        <w:rPr>
          <w:sz w:val="24"/>
          <w:szCs w:val="24"/>
        </w:rPr>
        <w:t>, Joan K Morris PhD</w:t>
      </w:r>
      <w:r w:rsidRPr="00B40A69">
        <w:rPr>
          <w:sz w:val="24"/>
          <w:szCs w:val="24"/>
          <w:vertAlign w:val="superscript"/>
        </w:rPr>
        <w:t>2</w:t>
      </w:r>
      <w:r w:rsidRPr="00B40A69">
        <w:rPr>
          <w:sz w:val="24"/>
          <w:szCs w:val="24"/>
        </w:rPr>
        <w:t>, Maria Loane PhD</w:t>
      </w:r>
      <w:r w:rsidRPr="00B40A69">
        <w:rPr>
          <w:sz w:val="24"/>
          <w:szCs w:val="24"/>
          <w:vertAlign w:val="superscript"/>
        </w:rPr>
        <w:t>1</w:t>
      </w:r>
    </w:p>
    <w:p w14:paraId="1D63DFD3" w14:textId="2FC913EE" w:rsidR="00274503" w:rsidRDefault="00B40A69" w:rsidP="00387DFB">
      <w:pPr>
        <w:spacing w:after="0" w:line="240" w:lineRule="auto"/>
        <w:rPr>
          <w:sz w:val="24"/>
          <w:szCs w:val="24"/>
        </w:rPr>
      </w:pPr>
      <w:r w:rsidRPr="00B40A69">
        <w:rPr>
          <w:b/>
          <w:bCs/>
          <w:sz w:val="24"/>
          <w:szCs w:val="24"/>
        </w:rPr>
        <w:t xml:space="preserve">Affiliations: </w:t>
      </w:r>
      <w:r w:rsidRPr="00213160">
        <w:rPr>
          <w:sz w:val="24"/>
          <w:szCs w:val="24"/>
          <w:vertAlign w:val="superscript"/>
        </w:rPr>
        <w:t>1</w:t>
      </w:r>
      <w:r w:rsidRPr="00B40A69">
        <w:rPr>
          <w:sz w:val="24"/>
          <w:szCs w:val="24"/>
        </w:rPr>
        <w:t xml:space="preserve">Ulster University; </w:t>
      </w:r>
      <w:r w:rsidRPr="00213160">
        <w:rPr>
          <w:sz w:val="24"/>
          <w:szCs w:val="24"/>
          <w:vertAlign w:val="superscript"/>
        </w:rPr>
        <w:t>2</w:t>
      </w:r>
      <w:r w:rsidRPr="00B40A69">
        <w:rPr>
          <w:sz w:val="24"/>
          <w:szCs w:val="24"/>
        </w:rPr>
        <w:t xml:space="preserve">St George’s University of London; </w:t>
      </w:r>
      <w:r w:rsidRPr="00213160">
        <w:rPr>
          <w:sz w:val="24"/>
          <w:szCs w:val="24"/>
          <w:vertAlign w:val="superscript"/>
        </w:rPr>
        <w:t>3</w:t>
      </w:r>
      <w:r w:rsidRPr="00B40A69">
        <w:rPr>
          <w:sz w:val="24"/>
          <w:szCs w:val="24"/>
        </w:rPr>
        <w:t xml:space="preserve">Department of Neuroscience and Rehabilitation, University of Ferrara; </w:t>
      </w:r>
      <w:r w:rsidRPr="00213160">
        <w:rPr>
          <w:sz w:val="24"/>
          <w:szCs w:val="24"/>
          <w:vertAlign w:val="superscript"/>
        </w:rPr>
        <w:t>4</w:t>
      </w:r>
      <w:r w:rsidRPr="00B40A69">
        <w:rPr>
          <w:sz w:val="24"/>
          <w:szCs w:val="24"/>
        </w:rPr>
        <w:t xml:space="preserve">Rare Diseases Research Unit, Foundation for the Promotion of Health and Biomedical Research of Valencia Region; </w:t>
      </w:r>
      <w:r w:rsidRPr="00213160">
        <w:rPr>
          <w:sz w:val="24"/>
          <w:szCs w:val="24"/>
          <w:vertAlign w:val="superscript"/>
        </w:rPr>
        <w:t>5</w:t>
      </w:r>
      <w:r w:rsidRPr="00B40A69">
        <w:rPr>
          <w:sz w:val="24"/>
          <w:szCs w:val="24"/>
        </w:rPr>
        <w:t xml:space="preserve">Unit of Epidemiology of Rare Diseases and Congenital Anomalies, Institute of Clinical Physiology; </w:t>
      </w:r>
      <w:r w:rsidRPr="00213160">
        <w:rPr>
          <w:sz w:val="24"/>
          <w:szCs w:val="24"/>
          <w:vertAlign w:val="superscript"/>
        </w:rPr>
        <w:t>6</w:t>
      </w:r>
      <w:r w:rsidRPr="00B40A69">
        <w:rPr>
          <w:sz w:val="24"/>
          <w:szCs w:val="24"/>
        </w:rPr>
        <w:t xml:space="preserve">Pediatric Department, Hospital </w:t>
      </w:r>
      <w:proofErr w:type="spellStart"/>
      <w:r w:rsidRPr="00B40A69">
        <w:rPr>
          <w:sz w:val="24"/>
          <w:szCs w:val="24"/>
        </w:rPr>
        <w:t>Lillebaelt</w:t>
      </w:r>
      <w:proofErr w:type="spellEnd"/>
      <w:r w:rsidRPr="00B40A69">
        <w:rPr>
          <w:sz w:val="24"/>
          <w:szCs w:val="24"/>
        </w:rPr>
        <w:t xml:space="preserve"> Kolding; </w:t>
      </w:r>
      <w:r w:rsidRPr="00213160">
        <w:rPr>
          <w:sz w:val="24"/>
          <w:szCs w:val="24"/>
          <w:vertAlign w:val="superscript"/>
        </w:rPr>
        <w:t>7</w:t>
      </w:r>
      <w:r w:rsidRPr="00B40A69">
        <w:rPr>
          <w:sz w:val="24"/>
          <w:szCs w:val="24"/>
        </w:rPr>
        <w:t xml:space="preserve">Finnish Institute for Health and Welfare (THL); </w:t>
      </w:r>
      <w:r w:rsidRPr="00213160">
        <w:rPr>
          <w:sz w:val="24"/>
          <w:szCs w:val="24"/>
          <w:vertAlign w:val="superscript"/>
        </w:rPr>
        <w:t>8</w:t>
      </w:r>
      <w:r w:rsidRPr="00B40A69">
        <w:rPr>
          <w:sz w:val="24"/>
          <w:szCs w:val="24"/>
        </w:rPr>
        <w:t xml:space="preserve">Swansea University; </w:t>
      </w:r>
      <w:r w:rsidRPr="00213160">
        <w:rPr>
          <w:sz w:val="24"/>
          <w:szCs w:val="24"/>
          <w:vertAlign w:val="superscript"/>
        </w:rPr>
        <w:t>9</w:t>
      </w:r>
      <w:r w:rsidRPr="00B40A69">
        <w:rPr>
          <w:sz w:val="24"/>
          <w:szCs w:val="24"/>
        </w:rPr>
        <w:t>University of Copenhagen.</w:t>
      </w:r>
    </w:p>
    <w:p w14:paraId="500E5E69" w14:textId="5248D0E3" w:rsidR="003276D2" w:rsidRDefault="003276D2" w:rsidP="00387DFB">
      <w:pPr>
        <w:spacing w:after="0" w:line="240" w:lineRule="auto"/>
        <w:rPr>
          <w:sz w:val="24"/>
          <w:szCs w:val="24"/>
        </w:rPr>
      </w:pPr>
    </w:p>
    <w:p w14:paraId="4E828023" w14:textId="358FEC18" w:rsidR="003276D2" w:rsidRDefault="003276D2" w:rsidP="00387DFB">
      <w:pPr>
        <w:spacing w:after="0" w:line="240" w:lineRule="auto"/>
        <w:rPr>
          <w:b/>
          <w:bCs/>
          <w:sz w:val="24"/>
          <w:szCs w:val="24"/>
        </w:rPr>
      </w:pPr>
      <w:r w:rsidRPr="003276D2">
        <w:rPr>
          <w:b/>
          <w:bCs/>
          <w:sz w:val="24"/>
          <w:szCs w:val="24"/>
        </w:rPr>
        <w:t xml:space="preserve">Word count: </w:t>
      </w:r>
      <w:r w:rsidRPr="003276D2">
        <w:rPr>
          <w:sz w:val="24"/>
          <w:szCs w:val="24"/>
        </w:rPr>
        <w:t>3,</w:t>
      </w:r>
      <w:r w:rsidR="005251B1">
        <w:rPr>
          <w:sz w:val="24"/>
          <w:szCs w:val="24"/>
        </w:rPr>
        <w:t>991</w:t>
      </w:r>
    </w:p>
    <w:p w14:paraId="3D1C9D4E" w14:textId="77777777" w:rsidR="00B40A69" w:rsidRDefault="00B40A69" w:rsidP="00387DFB">
      <w:pPr>
        <w:spacing w:after="0" w:line="240" w:lineRule="auto"/>
        <w:rPr>
          <w:sz w:val="24"/>
          <w:szCs w:val="24"/>
        </w:rPr>
      </w:pPr>
    </w:p>
    <w:p w14:paraId="211937B2" w14:textId="14A16FC8" w:rsidR="00691375" w:rsidRPr="00E04BAA" w:rsidRDefault="001B701C" w:rsidP="00691375">
      <w:pPr>
        <w:spacing w:after="0" w:line="240" w:lineRule="auto"/>
        <w:rPr>
          <w:rFonts w:cstheme="minorHAnsi"/>
          <w:bCs/>
          <w:iCs/>
          <w:sz w:val="24"/>
          <w:szCs w:val="24"/>
        </w:rPr>
      </w:pPr>
      <w:r w:rsidRPr="00C702AD">
        <w:rPr>
          <w:rFonts w:ascii="Calibri" w:eastAsia="Times New Roman" w:hAnsi="Calibri" w:cs="Calibri"/>
          <w:b/>
          <w:bCs/>
          <w:sz w:val="24"/>
          <w:szCs w:val="24"/>
        </w:rPr>
        <w:t>Corresponding author:</w:t>
      </w:r>
      <w:r w:rsidRPr="00E04BAA">
        <w:rPr>
          <w:rFonts w:ascii="Calibri" w:eastAsia="Times New Roman" w:hAnsi="Calibri" w:cs="Calibri"/>
          <w:sz w:val="24"/>
          <w:szCs w:val="24"/>
        </w:rPr>
        <w:t xml:space="preserve"> </w:t>
      </w:r>
      <w:r w:rsidR="007E3858" w:rsidRPr="00E04BAA">
        <w:rPr>
          <w:rFonts w:ascii="Calibri" w:eastAsia="Times New Roman" w:hAnsi="Calibri" w:cs="Calibri"/>
          <w:sz w:val="24"/>
          <w:szCs w:val="24"/>
        </w:rPr>
        <w:br/>
      </w:r>
      <w:r w:rsidRPr="00E04BAA">
        <w:rPr>
          <w:rFonts w:ascii="Calibri" w:eastAsia="Times New Roman" w:hAnsi="Calibri" w:cs="Calibri"/>
          <w:sz w:val="24"/>
          <w:szCs w:val="24"/>
        </w:rPr>
        <w:t>Maria Loane</w:t>
      </w:r>
      <w:r w:rsidR="007E3858" w:rsidRPr="00E04BAA">
        <w:rPr>
          <w:rFonts w:ascii="Calibri" w:eastAsia="Times New Roman" w:hAnsi="Calibri" w:cs="Calibri"/>
          <w:sz w:val="24"/>
          <w:szCs w:val="24"/>
        </w:rPr>
        <w:br/>
      </w:r>
      <w:bookmarkStart w:id="1" w:name="_Hlk115261169"/>
      <w:r w:rsidRPr="00E04BAA">
        <w:rPr>
          <w:rFonts w:ascii="Calibri" w:eastAsia="Times New Roman" w:hAnsi="Calibri" w:cs="Calibri"/>
          <w:sz w:val="24"/>
          <w:szCs w:val="24"/>
        </w:rPr>
        <w:t xml:space="preserve">Ulster University, </w:t>
      </w:r>
      <w:r w:rsidR="00691375" w:rsidRPr="00E04BAA">
        <w:rPr>
          <w:rFonts w:ascii="Calibri" w:eastAsia="Times New Roman" w:hAnsi="Calibri" w:cs="Calibri"/>
          <w:sz w:val="24"/>
          <w:szCs w:val="24"/>
        </w:rPr>
        <w:t xml:space="preserve">Belfast </w:t>
      </w:r>
      <w:r w:rsidRPr="00E04BAA">
        <w:rPr>
          <w:rFonts w:ascii="Calibri" w:eastAsia="Times New Roman" w:hAnsi="Calibri" w:cs="Calibri"/>
          <w:sz w:val="24"/>
          <w:szCs w:val="24"/>
        </w:rPr>
        <w:t xml:space="preserve">Campus, Room </w:t>
      </w:r>
      <w:r w:rsidR="00691375" w:rsidRPr="00E04BAA">
        <w:rPr>
          <w:rFonts w:cstheme="minorHAnsi"/>
          <w:bCs/>
          <w:iCs/>
          <w:sz w:val="24"/>
          <w:szCs w:val="24"/>
        </w:rPr>
        <w:t>BC-04-167</w:t>
      </w:r>
      <w:r w:rsidR="00D15CF7" w:rsidRPr="00E04BAA">
        <w:rPr>
          <w:rFonts w:ascii="Calibri" w:eastAsia="Times New Roman" w:hAnsi="Calibri" w:cs="Calibri"/>
          <w:sz w:val="24"/>
          <w:szCs w:val="24"/>
        </w:rPr>
        <w:br/>
      </w:r>
      <w:r w:rsidR="00691375" w:rsidRPr="00E04BAA">
        <w:rPr>
          <w:rFonts w:cstheme="minorHAnsi"/>
          <w:bCs/>
          <w:iCs/>
          <w:sz w:val="24"/>
          <w:szCs w:val="24"/>
        </w:rPr>
        <w:t xml:space="preserve">York Street, </w:t>
      </w:r>
    </w:p>
    <w:p w14:paraId="76DE8507" w14:textId="12773617" w:rsidR="00691375" w:rsidRPr="00E04BAA" w:rsidRDefault="00691375" w:rsidP="00691375">
      <w:pPr>
        <w:spacing w:after="0" w:line="240" w:lineRule="auto"/>
        <w:rPr>
          <w:rFonts w:cstheme="minorHAnsi"/>
          <w:sz w:val="24"/>
          <w:szCs w:val="24"/>
          <w:lang w:val="de-DE"/>
        </w:rPr>
      </w:pPr>
      <w:r w:rsidRPr="00E04BAA">
        <w:rPr>
          <w:rFonts w:cstheme="minorHAnsi"/>
          <w:bCs/>
          <w:iCs/>
          <w:sz w:val="24"/>
          <w:szCs w:val="24"/>
          <w:lang w:val="de-DE"/>
        </w:rPr>
        <w:t xml:space="preserve">Belfast, Co Antrim </w:t>
      </w:r>
    </w:p>
    <w:p w14:paraId="51A2567A" w14:textId="77777777" w:rsidR="00691375" w:rsidRPr="00E04BAA" w:rsidRDefault="00691375" w:rsidP="00691375">
      <w:pPr>
        <w:spacing w:after="0" w:line="240" w:lineRule="auto"/>
        <w:rPr>
          <w:rFonts w:cstheme="minorHAnsi"/>
          <w:sz w:val="24"/>
          <w:szCs w:val="24"/>
          <w:lang w:val="de-DE"/>
        </w:rPr>
      </w:pPr>
      <w:r w:rsidRPr="00E04BAA">
        <w:rPr>
          <w:rFonts w:cstheme="minorHAnsi"/>
          <w:sz w:val="24"/>
          <w:szCs w:val="24"/>
          <w:lang w:val="de-DE"/>
        </w:rPr>
        <w:t xml:space="preserve">N Ireland </w:t>
      </w:r>
      <w:r w:rsidRPr="00E04BAA">
        <w:rPr>
          <w:rFonts w:cstheme="minorHAnsi"/>
          <w:bCs/>
          <w:iCs/>
          <w:sz w:val="24"/>
          <w:szCs w:val="24"/>
          <w:lang w:val="de-DE"/>
        </w:rPr>
        <w:t>BT15 1ES</w:t>
      </w:r>
    </w:p>
    <w:bookmarkEnd w:id="1"/>
    <w:p w14:paraId="370DAD58" w14:textId="79FEA742" w:rsidR="003276D2" w:rsidRPr="003276D2" w:rsidRDefault="001B701C" w:rsidP="004F68A5">
      <w:pPr>
        <w:pStyle w:val="NormalWeb"/>
        <w:rPr>
          <w:rFonts w:ascii="Calibri" w:eastAsia="Times New Roman" w:hAnsi="Calibri" w:cs="Calibri"/>
        </w:rPr>
        <w:sectPr w:rsidR="003276D2" w:rsidRPr="003276D2" w:rsidSect="00EF6CE5">
          <w:footerReference w:type="default" r:id="rId8"/>
          <w:footerReference w:type="first" r:id="rId9"/>
          <w:pgSz w:w="11906" w:h="16838"/>
          <w:pgMar w:top="1440" w:right="1440" w:bottom="1440" w:left="1440" w:header="708" w:footer="708" w:gutter="0"/>
          <w:pgNumType w:start="0"/>
          <w:cols w:space="708"/>
          <w:titlePg/>
          <w:docGrid w:linePitch="360"/>
        </w:sectPr>
      </w:pPr>
      <w:r w:rsidRPr="00E04BAA">
        <w:rPr>
          <w:rFonts w:ascii="Calibri" w:eastAsia="Times New Roman" w:hAnsi="Calibri" w:cs="Calibri"/>
        </w:rPr>
        <w:t>Telephone: +44</w:t>
      </w:r>
      <w:r w:rsidR="00EA4066" w:rsidRPr="00E04BAA">
        <w:rPr>
          <w:rFonts w:ascii="Calibri" w:eastAsia="Times New Roman" w:hAnsi="Calibri" w:cs="Calibri"/>
        </w:rPr>
        <w:t xml:space="preserve"> </w:t>
      </w:r>
      <w:r w:rsidR="00691375" w:rsidRPr="00E04BAA">
        <w:rPr>
          <w:rFonts w:ascii="Calibri" w:eastAsia="Times New Roman" w:hAnsi="Calibri" w:cs="Calibri"/>
        </w:rPr>
        <w:t>2895 365256</w:t>
      </w:r>
      <w:r w:rsidR="007E3858" w:rsidRPr="00E04BAA">
        <w:rPr>
          <w:rFonts w:ascii="Calibri" w:eastAsia="Times New Roman" w:hAnsi="Calibri" w:cs="Calibri"/>
        </w:rPr>
        <w:br/>
      </w:r>
      <w:r w:rsidR="00EE30DE" w:rsidRPr="00E04BAA">
        <w:rPr>
          <w:rFonts w:ascii="Calibri" w:eastAsia="Times New Roman" w:hAnsi="Calibri" w:cs="Calibri"/>
        </w:rPr>
        <w:t>E</w:t>
      </w:r>
      <w:r w:rsidRPr="00E04BAA">
        <w:rPr>
          <w:rFonts w:ascii="Calibri" w:eastAsia="Times New Roman" w:hAnsi="Calibri" w:cs="Calibri"/>
        </w:rPr>
        <w:t>mail: ma.loane@ulster.ac.uk</w:t>
      </w:r>
    </w:p>
    <w:p w14:paraId="4608BFF5" w14:textId="77777777" w:rsidR="003962A7" w:rsidRDefault="003962A7">
      <w:pPr>
        <w:rPr>
          <w:b/>
          <w:bCs/>
          <w:sz w:val="24"/>
          <w:szCs w:val="24"/>
        </w:rPr>
      </w:pPr>
      <w:r>
        <w:rPr>
          <w:b/>
          <w:bCs/>
          <w:sz w:val="24"/>
          <w:szCs w:val="24"/>
        </w:rPr>
        <w:lastRenderedPageBreak/>
        <w:t>Abstract</w:t>
      </w:r>
    </w:p>
    <w:p w14:paraId="0A0759A6" w14:textId="5112B9AB" w:rsidR="005D47AF" w:rsidRPr="008E71D3" w:rsidRDefault="005D47AF" w:rsidP="005D47AF">
      <w:pPr>
        <w:spacing w:before="100" w:beforeAutospacing="1" w:after="100" w:afterAutospacing="1" w:line="240" w:lineRule="auto"/>
        <w:rPr>
          <w:rFonts w:eastAsia="Times New Roman" w:cstheme="minorHAnsi"/>
          <w:color w:val="000000"/>
          <w:sz w:val="24"/>
          <w:szCs w:val="24"/>
          <w:lang w:eastAsia="en-GB"/>
        </w:rPr>
      </w:pPr>
      <w:r w:rsidRPr="008E71D3">
        <w:rPr>
          <w:rFonts w:eastAsia="Times New Roman" w:cstheme="minorHAnsi"/>
          <w:i/>
          <w:iCs/>
          <w:color w:val="000000"/>
          <w:sz w:val="24"/>
          <w:szCs w:val="24"/>
          <w:lang w:eastAsia="en-GB"/>
        </w:rPr>
        <w:t>Objectives:</w:t>
      </w:r>
      <w:r w:rsidRPr="008E71D3">
        <w:rPr>
          <w:rFonts w:eastAsia="Times New Roman" w:cstheme="minorHAnsi"/>
          <w:color w:val="000000"/>
          <w:sz w:val="24"/>
          <w:szCs w:val="24"/>
          <w:lang w:eastAsia="en-GB"/>
        </w:rPr>
        <w:t> </w:t>
      </w:r>
      <w:r w:rsidR="00A82BB6">
        <w:rPr>
          <w:rFonts w:eastAsia="Times New Roman" w:cstheme="minorHAnsi"/>
          <w:color w:val="000000"/>
          <w:sz w:val="24"/>
          <w:szCs w:val="24"/>
          <w:lang w:eastAsia="en-GB"/>
        </w:rPr>
        <w:t>To explore the risk</w:t>
      </w:r>
      <w:r w:rsidRPr="008E71D3">
        <w:rPr>
          <w:rFonts w:eastAsia="Times New Roman" w:cstheme="minorHAnsi"/>
          <w:color w:val="000000"/>
          <w:sz w:val="24"/>
          <w:szCs w:val="24"/>
          <w:lang w:eastAsia="en-GB"/>
        </w:rPr>
        <w:t xml:space="preserve"> of</w:t>
      </w:r>
      <w:r w:rsidR="001F47C3">
        <w:rPr>
          <w:rFonts w:eastAsia="Times New Roman" w:cstheme="minorHAnsi"/>
          <w:color w:val="000000"/>
          <w:sz w:val="24"/>
          <w:szCs w:val="24"/>
          <w:lang w:eastAsia="en-GB"/>
        </w:rPr>
        <w:t xml:space="preserve"> being prescribed/dispensed medications for respiratory symptoms and breathing difficulties</w:t>
      </w:r>
      <w:r w:rsidR="003973B3">
        <w:rPr>
          <w:rFonts w:eastAsia="Times New Roman" w:cstheme="minorHAnsi"/>
          <w:color w:val="000000"/>
          <w:sz w:val="24"/>
          <w:szCs w:val="24"/>
          <w:lang w:eastAsia="en-GB"/>
        </w:rPr>
        <w:t xml:space="preserve"> </w:t>
      </w:r>
      <w:r w:rsidRPr="008E71D3">
        <w:rPr>
          <w:rFonts w:eastAsia="Times New Roman" w:cstheme="minorHAnsi"/>
          <w:color w:val="000000"/>
          <w:sz w:val="24"/>
          <w:szCs w:val="24"/>
          <w:lang w:eastAsia="en-GB"/>
        </w:rPr>
        <w:t>in children with and without congenital anomalies.</w:t>
      </w:r>
    </w:p>
    <w:p w14:paraId="5706DE97" w14:textId="5F24A54F" w:rsidR="005D47AF" w:rsidRPr="008E71D3" w:rsidRDefault="005D47AF" w:rsidP="005D47AF">
      <w:pPr>
        <w:spacing w:before="100" w:beforeAutospacing="1" w:after="100" w:afterAutospacing="1" w:line="240" w:lineRule="auto"/>
        <w:rPr>
          <w:rFonts w:eastAsia="Times New Roman" w:cstheme="minorHAnsi"/>
          <w:color w:val="000000"/>
          <w:sz w:val="24"/>
          <w:szCs w:val="24"/>
          <w:lang w:eastAsia="en-GB"/>
        </w:rPr>
      </w:pPr>
      <w:r w:rsidRPr="008E71D3">
        <w:rPr>
          <w:rFonts w:eastAsia="Times New Roman" w:cstheme="minorHAnsi"/>
          <w:i/>
          <w:iCs/>
          <w:color w:val="000000"/>
          <w:sz w:val="24"/>
          <w:szCs w:val="24"/>
          <w:lang w:eastAsia="en-GB"/>
        </w:rPr>
        <w:t>Design:</w:t>
      </w:r>
      <w:r w:rsidRPr="008E71D3">
        <w:rPr>
          <w:rFonts w:eastAsia="Times New Roman" w:cstheme="minorHAnsi"/>
          <w:color w:val="000000"/>
          <w:sz w:val="24"/>
          <w:szCs w:val="24"/>
          <w:lang w:eastAsia="en-GB"/>
        </w:rPr>
        <w:t xml:space="preserve"> A EUROlinkCAT </w:t>
      </w:r>
      <w:r w:rsidR="008C0496">
        <w:rPr>
          <w:rFonts w:eastAsia="Times New Roman" w:cstheme="minorHAnsi"/>
          <w:color w:val="000000"/>
          <w:sz w:val="24"/>
          <w:szCs w:val="24"/>
          <w:lang w:eastAsia="en-GB"/>
        </w:rPr>
        <w:t>population</w:t>
      </w:r>
      <w:r w:rsidR="003973B3">
        <w:rPr>
          <w:rFonts w:eastAsia="Times New Roman" w:cstheme="minorHAnsi"/>
          <w:color w:val="000000"/>
          <w:sz w:val="24"/>
          <w:szCs w:val="24"/>
          <w:lang w:eastAsia="en-GB"/>
        </w:rPr>
        <w:t>-</w:t>
      </w:r>
      <w:r w:rsidR="008C0496">
        <w:rPr>
          <w:rFonts w:eastAsia="Times New Roman" w:cstheme="minorHAnsi"/>
          <w:color w:val="000000"/>
          <w:sz w:val="24"/>
          <w:szCs w:val="24"/>
          <w:lang w:eastAsia="en-GB"/>
        </w:rPr>
        <w:t xml:space="preserve">based </w:t>
      </w:r>
      <w:r w:rsidRPr="008E71D3">
        <w:rPr>
          <w:rFonts w:eastAsia="Times New Roman" w:cstheme="minorHAnsi"/>
          <w:color w:val="000000"/>
          <w:sz w:val="24"/>
          <w:szCs w:val="24"/>
          <w:lang w:eastAsia="en-GB"/>
        </w:rPr>
        <w:t>data linkage cohort study. Data on children with and without congenital anomalies were linked to prescription databases</w:t>
      </w:r>
      <w:r w:rsidR="00BE0835">
        <w:rPr>
          <w:rFonts w:eastAsia="Times New Roman" w:cstheme="minorHAnsi"/>
          <w:color w:val="000000"/>
          <w:sz w:val="24"/>
          <w:szCs w:val="24"/>
          <w:lang w:eastAsia="en-GB"/>
        </w:rPr>
        <w:t xml:space="preserve"> to identify children who did</w:t>
      </w:r>
      <w:r w:rsidR="003973B3">
        <w:rPr>
          <w:rFonts w:eastAsia="Times New Roman" w:cstheme="minorHAnsi"/>
          <w:color w:val="000000"/>
          <w:sz w:val="24"/>
          <w:szCs w:val="24"/>
          <w:lang w:eastAsia="en-GB"/>
        </w:rPr>
        <w:t>/</w:t>
      </w:r>
      <w:r w:rsidR="00BE0835">
        <w:rPr>
          <w:rFonts w:eastAsia="Times New Roman" w:cstheme="minorHAnsi"/>
          <w:color w:val="000000"/>
          <w:sz w:val="24"/>
          <w:szCs w:val="24"/>
          <w:lang w:eastAsia="en-GB"/>
        </w:rPr>
        <w:t>did not receive anti-asthmatic prescriptions</w:t>
      </w:r>
      <w:r w:rsidRPr="008E71D3">
        <w:rPr>
          <w:rFonts w:eastAsia="Times New Roman" w:cstheme="minorHAnsi"/>
          <w:color w:val="000000"/>
          <w:sz w:val="24"/>
          <w:szCs w:val="24"/>
          <w:lang w:eastAsia="en-GB"/>
        </w:rPr>
        <w:t>. Data were analysed by age, European region, class of anti-asthmatic</w:t>
      </w:r>
      <w:r w:rsidR="00AA37D2">
        <w:rPr>
          <w:rFonts w:eastAsia="Times New Roman" w:cstheme="minorHAnsi"/>
          <w:color w:val="000000"/>
          <w:sz w:val="24"/>
          <w:szCs w:val="24"/>
          <w:lang w:eastAsia="en-GB"/>
        </w:rPr>
        <w:t>,</w:t>
      </w:r>
      <w:r w:rsidR="003973B3">
        <w:rPr>
          <w:rFonts w:eastAsia="Times New Roman" w:cstheme="minorHAnsi"/>
          <w:color w:val="000000"/>
          <w:sz w:val="24"/>
          <w:szCs w:val="24"/>
          <w:lang w:eastAsia="en-GB"/>
        </w:rPr>
        <w:t xml:space="preserve"> </w:t>
      </w:r>
      <w:r w:rsidRPr="008E71D3">
        <w:rPr>
          <w:rFonts w:eastAsia="Times New Roman" w:cstheme="minorHAnsi"/>
          <w:color w:val="000000"/>
          <w:sz w:val="24"/>
          <w:szCs w:val="24"/>
          <w:lang w:eastAsia="en-GB"/>
        </w:rPr>
        <w:t>anomaly</w:t>
      </w:r>
      <w:r w:rsidR="00AA37D2">
        <w:rPr>
          <w:rFonts w:eastAsia="Times New Roman" w:cstheme="minorHAnsi"/>
          <w:color w:val="000000"/>
          <w:sz w:val="24"/>
          <w:szCs w:val="24"/>
          <w:lang w:eastAsia="en-GB"/>
        </w:rPr>
        <w:t>, sex, gestational age, and birth cohort</w:t>
      </w:r>
      <w:r w:rsidRPr="008E71D3">
        <w:rPr>
          <w:rFonts w:eastAsia="Times New Roman" w:cstheme="minorHAnsi"/>
          <w:color w:val="000000"/>
          <w:sz w:val="24"/>
          <w:szCs w:val="24"/>
          <w:lang w:eastAsia="en-GB"/>
        </w:rPr>
        <w:t>.</w:t>
      </w:r>
    </w:p>
    <w:p w14:paraId="3D9623EB" w14:textId="222AC57C" w:rsidR="005D47AF" w:rsidRPr="008E71D3" w:rsidRDefault="005D47AF" w:rsidP="005D47AF">
      <w:pPr>
        <w:spacing w:before="100" w:beforeAutospacing="1" w:after="100" w:afterAutospacing="1" w:line="240" w:lineRule="auto"/>
        <w:rPr>
          <w:rFonts w:eastAsia="Times New Roman" w:cstheme="minorHAnsi"/>
          <w:color w:val="000000"/>
          <w:sz w:val="24"/>
          <w:szCs w:val="24"/>
          <w:lang w:eastAsia="en-GB"/>
        </w:rPr>
      </w:pPr>
      <w:r w:rsidRPr="008E71D3">
        <w:rPr>
          <w:rFonts w:eastAsia="Times New Roman" w:cstheme="minorHAnsi"/>
          <w:i/>
          <w:iCs/>
          <w:color w:val="000000"/>
          <w:sz w:val="24"/>
          <w:szCs w:val="24"/>
          <w:lang w:eastAsia="en-GB"/>
        </w:rPr>
        <w:t>Setting:</w:t>
      </w:r>
      <w:r w:rsidRPr="008E71D3">
        <w:rPr>
          <w:rFonts w:eastAsia="Times New Roman" w:cstheme="minorHAnsi"/>
          <w:color w:val="000000"/>
          <w:sz w:val="24"/>
          <w:szCs w:val="24"/>
          <w:lang w:eastAsia="en-GB"/>
        </w:rPr>
        <w:t> Children</w:t>
      </w:r>
      <w:r w:rsidR="00FC2118">
        <w:rPr>
          <w:rFonts w:eastAsia="Times New Roman" w:cstheme="minorHAnsi"/>
          <w:color w:val="000000"/>
          <w:sz w:val="24"/>
          <w:szCs w:val="24"/>
          <w:lang w:eastAsia="en-GB"/>
        </w:rPr>
        <w:t xml:space="preserve"> </w:t>
      </w:r>
      <w:r w:rsidRPr="008E71D3">
        <w:rPr>
          <w:rFonts w:eastAsia="Times New Roman" w:cstheme="minorHAnsi"/>
          <w:color w:val="000000"/>
          <w:sz w:val="24"/>
          <w:szCs w:val="24"/>
          <w:lang w:eastAsia="en-GB"/>
        </w:rPr>
        <w:t>born</w:t>
      </w:r>
      <w:r w:rsidR="00FC2118">
        <w:rPr>
          <w:rFonts w:eastAsia="Times New Roman" w:cstheme="minorHAnsi"/>
          <w:color w:val="000000"/>
          <w:sz w:val="24"/>
          <w:szCs w:val="24"/>
          <w:lang w:eastAsia="en-GB"/>
        </w:rPr>
        <w:t xml:space="preserve"> 2000-2014</w:t>
      </w:r>
      <w:r w:rsidRPr="008E71D3">
        <w:rPr>
          <w:rFonts w:eastAsia="Times New Roman" w:cstheme="minorHAnsi"/>
          <w:color w:val="000000"/>
          <w:sz w:val="24"/>
          <w:szCs w:val="24"/>
          <w:lang w:eastAsia="en-GB"/>
        </w:rPr>
        <w:t xml:space="preserve"> in six</w:t>
      </w:r>
      <w:r w:rsidR="00073BCA">
        <w:rPr>
          <w:rFonts w:eastAsia="Times New Roman" w:cstheme="minorHAnsi"/>
          <w:color w:val="000000"/>
          <w:sz w:val="24"/>
          <w:szCs w:val="24"/>
          <w:lang w:eastAsia="en-GB"/>
        </w:rPr>
        <w:t xml:space="preserve"> regions </w:t>
      </w:r>
      <w:r w:rsidR="00802858">
        <w:rPr>
          <w:rFonts w:eastAsia="Times New Roman" w:cstheme="minorHAnsi"/>
          <w:color w:val="000000"/>
          <w:sz w:val="24"/>
          <w:szCs w:val="24"/>
          <w:lang w:eastAsia="en-GB"/>
        </w:rPr>
        <w:t>within</w:t>
      </w:r>
      <w:r w:rsidRPr="008E71D3">
        <w:rPr>
          <w:rFonts w:eastAsia="Times New Roman" w:cstheme="minorHAnsi"/>
          <w:color w:val="000000"/>
          <w:sz w:val="24"/>
          <w:szCs w:val="24"/>
          <w:lang w:eastAsia="en-GB"/>
        </w:rPr>
        <w:t xml:space="preserve"> five European countries.</w:t>
      </w:r>
    </w:p>
    <w:p w14:paraId="43ECB8C6" w14:textId="77148E75" w:rsidR="005D47AF" w:rsidRPr="008E71D3" w:rsidRDefault="005D47AF" w:rsidP="005D47AF">
      <w:pPr>
        <w:spacing w:before="100" w:beforeAutospacing="1" w:after="100" w:afterAutospacing="1" w:line="240" w:lineRule="auto"/>
        <w:rPr>
          <w:rFonts w:eastAsia="Times New Roman" w:cstheme="minorHAnsi"/>
          <w:color w:val="000000"/>
          <w:sz w:val="24"/>
          <w:szCs w:val="24"/>
          <w:lang w:eastAsia="en-GB"/>
        </w:rPr>
      </w:pPr>
      <w:r w:rsidRPr="008E71D3">
        <w:rPr>
          <w:rFonts w:eastAsia="Times New Roman" w:cstheme="minorHAnsi"/>
          <w:i/>
          <w:iCs/>
          <w:color w:val="000000"/>
          <w:sz w:val="24"/>
          <w:szCs w:val="24"/>
          <w:lang w:eastAsia="en-GB"/>
        </w:rPr>
        <w:t>Participants:</w:t>
      </w:r>
      <w:r w:rsidRPr="008E71D3">
        <w:rPr>
          <w:rFonts w:eastAsia="Times New Roman" w:cstheme="minorHAnsi"/>
          <w:color w:val="000000"/>
          <w:sz w:val="24"/>
          <w:szCs w:val="24"/>
          <w:lang w:eastAsia="en-GB"/>
        </w:rPr>
        <w:t> 60,662 children with congenital anomalies and 1,722,912 reference children</w:t>
      </w:r>
      <w:r w:rsidR="007B0508">
        <w:rPr>
          <w:rFonts w:eastAsia="Times New Roman" w:cstheme="minorHAnsi"/>
          <w:color w:val="000000"/>
          <w:sz w:val="24"/>
          <w:szCs w:val="24"/>
          <w:lang w:eastAsia="en-GB"/>
        </w:rPr>
        <w:t xml:space="preserve"> up to age ten years</w:t>
      </w:r>
      <w:r w:rsidRPr="008E71D3">
        <w:rPr>
          <w:rFonts w:eastAsia="Times New Roman" w:cstheme="minorHAnsi"/>
          <w:color w:val="000000"/>
          <w:sz w:val="24"/>
          <w:szCs w:val="24"/>
          <w:lang w:eastAsia="en-GB"/>
        </w:rPr>
        <w:t>.</w:t>
      </w:r>
    </w:p>
    <w:p w14:paraId="6B796BEE" w14:textId="08C84CC0" w:rsidR="005D47AF" w:rsidRPr="008E71D3" w:rsidRDefault="005D47AF" w:rsidP="005D47AF">
      <w:pPr>
        <w:spacing w:before="100" w:beforeAutospacing="1" w:after="100" w:afterAutospacing="1" w:line="240" w:lineRule="auto"/>
        <w:rPr>
          <w:rFonts w:eastAsia="Times New Roman" w:cstheme="minorHAnsi"/>
          <w:color w:val="000000"/>
          <w:sz w:val="24"/>
          <w:szCs w:val="24"/>
          <w:lang w:eastAsia="en-GB"/>
        </w:rPr>
      </w:pPr>
      <w:r w:rsidRPr="008E71D3">
        <w:rPr>
          <w:rFonts w:eastAsia="Times New Roman" w:cstheme="minorHAnsi"/>
          <w:i/>
          <w:iCs/>
          <w:color w:val="000000"/>
          <w:sz w:val="24"/>
          <w:szCs w:val="24"/>
          <w:lang w:eastAsia="en-GB"/>
        </w:rPr>
        <w:t>Primary outcome measure:</w:t>
      </w:r>
      <w:r w:rsidRPr="008E71D3">
        <w:rPr>
          <w:rFonts w:eastAsia="Times New Roman" w:cstheme="minorHAnsi"/>
          <w:color w:val="000000"/>
          <w:sz w:val="24"/>
          <w:szCs w:val="24"/>
          <w:lang w:eastAsia="en-GB"/>
        </w:rPr>
        <w:t> </w:t>
      </w:r>
      <w:r w:rsidR="007B0508">
        <w:rPr>
          <w:rFonts w:eastAsia="Times New Roman" w:cstheme="minorHAnsi"/>
          <w:color w:val="000000"/>
          <w:sz w:val="24"/>
          <w:szCs w:val="24"/>
          <w:lang w:eastAsia="en-GB"/>
        </w:rPr>
        <w:t>R</w:t>
      </w:r>
      <w:r w:rsidRPr="008E71D3">
        <w:rPr>
          <w:rFonts w:eastAsia="Times New Roman" w:cstheme="minorHAnsi"/>
          <w:color w:val="000000"/>
          <w:sz w:val="24"/>
          <w:szCs w:val="24"/>
          <w:lang w:eastAsia="en-GB"/>
        </w:rPr>
        <w:t>elative risks (RR) of &gt;1 anti-asthmatic prescription in a year</w:t>
      </w:r>
      <w:r w:rsidR="00F304F8">
        <w:rPr>
          <w:rFonts w:eastAsia="Times New Roman" w:cstheme="minorHAnsi"/>
          <w:color w:val="000000"/>
          <w:sz w:val="24"/>
          <w:szCs w:val="24"/>
          <w:lang w:eastAsia="en-GB"/>
        </w:rPr>
        <w:t>,</w:t>
      </w:r>
      <w:r w:rsidRPr="008E71D3">
        <w:rPr>
          <w:rFonts w:eastAsia="Times New Roman" w:cstheme="minorHAnsi"/>
          <w:color w:val="000000"/>
          <w:sz w:val="24"/>
          <w:szCs w:val="24"/>
          <w:lang w:eastAsia="en-GB"/>
        </w:rPr>
        <w:t xml:space="preserve"> identified using Anatomical Therapeutic Chemical classification codes beginning with R03.</w:t>
      </w:r>
    </w:p>
    <w:p w14:paraId="2C2E67CC" w14:textId="15E28653" w:rsidR="005D47AF" w:rsidRDefault="005D47AF" w:rsidP="005D47AF">
      <w:pPr>
        <w:spacing w:before="100" w:beforeAutospacing="1" w:after="100" w:afterAutospacing="1" w:line="240" w:lineRule="auto"/>
        <w:rPr>
          <w:rFonts w:eastAsia="Times New Roman" w:cstheme="minorHAnsi"/>
          <w:color w:val="000000"/>
          <w:sz w:val="24"/>
          <w:szCs w:val="24"/>
          <w:lang w:eastAsia="en-GB"/>
        </w:rPr>
      </w:pPr>
      <w:r w:rsidRPr="008E71D3">
        <w:rPr>
          <w:rFonts w:eastAsia="Times New Roman" w:cstheme="minorHAnsi"/>
          <w:i/>
          <w:iCs/>
          <w:color w:val="000000"/>
          <w:sz w:val="24"/>
          <w:szCs w:val="24"/>
          <w:lang w:eastAsia="en-GB"/>
        </w:rPr>
        <w:t>Results:</w:t>
      </w:r>
      <w:r w:rsidRPr="008E71D3">
        <w:rPr>
          <w:rFonts w:eastAsia="Times New Roman" w:cstheme="minorHAnsi"/>
          <w:color w:val="000000"/>
          <w:sz w:val="24"/>
          <w:szCs w:val="24"/>
          <w:lang w:eastAsia="en-GB"/>
        </w:rPr>
        <w:t> </w:t>
      </w:r>
      <w:r w:rsidR="00005ECE">
        <w:rPr>
          <w:rFonts w:eastAsia="Times New Roman" w:cstheme="minorHAnsi"/>
          <w:color w:val="000000"/>
          <w:sz w:val="24"/>
          <w:szCs w:val="24"/>
          <w:lang w:eastAsia="en-GB"/>
        </w:rPr>
        <w:t xml:space="preserve">There were significant differences in the prescribing of anti-asthmatics in the six regions. </w:t>
      </w:r>
      <w:r w:rsidRPr="008E71D3">
        <w:rPr>
          <w:rFonts w:eastAsia="Times New Roman" w:cstheme="minorHAnsi"/>
          <w:color w:val="000000"/>
          <w:sz w:val="24"/>
          <w:szCs w:val="24"/>
          <w:lang w:eastAsia="en-GB"/>
        </w:rPr>
        <w:t xml:space="preserve">Children with congenital anomalies had a significantly higher risk of being prescribed anti-asthmatics (RR=1.41, 95% CI 1.35-1.48) compared to reference children. The increased risk was consistent across all </w:t>
      </w:r>
      <w:r w:rsidR="004022AE">
        <w:rPr>
          <w:rFonts w:eastAsia="Times New Roman" w:cstheme="minorHAnsi"/>
          <w:color w:val="000000"/>
          <w:sz w:val="24"/>
          <w:szCs w:val="24"/>
          <w:lang w:eastAsia="en-GB"/>
        </w:rPr>
        <w:t xml:space="preserve">regions and all </w:t>
      </w:r>
      <w:r w:rsidRPr="008E71D3">
        <w:rPr>
          <w:rFonts w:eastAsia="Times New Roman" w:cstheme="minorHAnsi"/>
          <w:color w:val="000000"/>
          <w:sz w:val="24"/>
          <w:szCs w:val="24"/>
          <w:lang w:eastAsia="en-GB"/>
        </w:rPr>
        <w:t xml:space="preserve">age groups. Children with congenital anomalies were more likely to be prescribed beta-2 agonists (RR=1.71, 95% CI 1.60-1.83) and inhaled corticosteroids (RR=1.74, 95% CI 1.61-1.87). Children with oesophageal atresia, </w:t>
      </w:r>
      <w:r w:rsidR="00D81703">
        <w:rPr>
          <w:rFonts w:eastAsia="Times New Roman" w:cstheme="minorHAnsi"/>
          <w:color w:val="000000"/>
          <w:sz w:val="24"/>
          <w:szCs w:val="24"/>
          <w:lang w:eastAsia="en-GB"/>
        </w:rPr>
        <w:t>3333</w:t>
      </w:r>
      <w:r w:rsidRPr="008E71D3">
        <w:rPr>
          <w:rFonts w:eastAsia="Times New Roman" w:cstheme="minorHAnsi"/>
          <w:color w:val="000000"/>
          <w:sz w:val="24"/>
          <w:szCs w:val="24"/>
          <w:lang w:eastAsia="en-GB"/>
        </w:rPr>
        <w:t xml:space="preserve">, genetic syndromes and chromosomal anomalies had over twice the risk of being prescribed anti-asthmatics compared to reference children. </w:t>
      </w:r>
      <w:r w:rsidR="00443DA5">
        <w:rPr>
          <w:rFonts w:eastAsia="Times New Roman" w:cstheme="minorHAnsi"/>
          <w:color w:val="000000"/>
          <w:sz w:val="24"/>
          <w:szCs w:val="24"/>
          <w:lang w:eastAsia="en-GB"/>
        </w:rPr>
        <w:t>Children with congenital anomalies born &lt;32 weeks gestation</w:t>
      </w:r>
      <w:r w:rsidR="008870AE">
        <w:rPr>
          <w:rFonts w:eastAsia="Times New Roman" w:cstheme="minorHAnsi"/>
          <w:color w:val="000000"/>
          <w:sz w:val="24"/>
          <w:szCs w:val="24"/>
          <w:lang w:eastAsia="en-GB"/>
        </w:rPr>
        <w:t>al</w:t>
      </w:r>
      <w:r w:rsidR="00443DA5">
        <w:rPr>
          <w:rFonts w:eastAsia="Times New Roman" w:cstheme="minorHAnsi"/>
          <w:color w:val="000000"/>
          <w:sz w:val="24"/>
          <w:szCs w:val="24"/>
          <w:lang w:eastAsia="en-GB"/>
        </w:rPr>
        <w:t xml:space="preserve"> age were over twice as likely to be prescribed anti-asthmatics than those born at term </w:t>
      </w:r>
      <w:r w:rsidR="00443DA5" w:rsidRPr="009F2A92">
        <w:rPr>
          <w:sz w:val="24"/>
          <w:szCs w:val="24"/>
        </w:rPr>
        <w:t>(RR=2.2</w:t>
      </w:r>
      <w:r w:rsidR="00CB1582">
        <w:rPr>
          <w:sz w:val="24"/>
          <w:szCs w:val="24"/>
        </w:rPr>
        <w:t>0</w:t>
      </w:r>
      <w:r w:rsidR="00443DA5" w:rsidRPr="009F2A92">
        <w:rPr>
          <w:sz w:val="24"/>
          <w:szCs w:val="24"/>
        </w:rPr>
        <w:t>, 95% CI 2.1</w:t>
      </w:r>
      <w:r w:rsidR="00CB1582">
        <w:rPr>
          <w:sz w:val="24"/>
          <w:szCs w:val="24"/>
        </w:rPr>
        <w:t>0</w:t>
      </w:r>
      <w:r w:rsidR="00443DA5" w:rsidRPr="009F2A92">
        <w:rPr>
          <w:sz w:val="24"/>
          <w:szCs w:val="24"/>
        </w:rPr>
        <w:t>-2.3</w:t>
      </w:r>
      <w:r w:rsidR="00CB1582">
        <w:rPr>
          <w:sz w:val="24"/>
          <w:szCs w:val="24"/>
        </w:rPr>
        <w:t>0</w:t>
      </w:r>
      <w:r w:rsidR="00EC6A9A">
        <w:rPr>
          <w:sz w:val="24"/>
          <w:szCs w:val="24"/>
        </w:rPr>
        <w:t>)</w:t>
      </w:r>
      <w:r w:rsidR="00443DA5">
        <w:rPr>
          <w:sz w:val="24"/>
          <w:szCs w:val="24"/>
        </w:rPr>
        <w:t>.</w:t>
      </w:r>
      <w:r w:rsidR="00443DA5">
        <w:rPr>
          <w:rFonts w:eastAsia="Times New Roman" w:cstheme="minorHAnsi"/>
          <w:color w:val="000000"/>
          <w:sz w:val="24"/>
          <w:szCs w:val="24"/>
          <w:lang w:eastAsia="en-GB"/>
        </w:rPr>
        <w:t xml:space="preserve"> </w:t>
      </w:r>
    </w:p>
    <w:p w14:paraId="62850383" w14:textId="141D176E" w:rsidR="008553CF" w:rsidRDefault="008553CF">
      <w:pPr>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Conclusion: </w:t>
      </w:r>
      <w:r w:rsidRPr="00CB1582">
        <w:rPr>
          <w:rFonts w:eastAsia="Times New Roman" w:cstheme="minorHAnsi"/>
          <w:color w:val="000000"/>
          <w:sz w:val="24"/>
          <w:szCs w:val="24"/>
          <w:lang w:eastAsia="en-GB"/>
        </w:rPr>
        <w:t>This study documents the additional burden of respiratory symptoms</w:t>
      </w:r>
      <w:r w:rsidR="00EC6A9A">
        <w:rPr>
          <w:rFonts w:eastAsia="Times New Roman" w:cstheme="minorHAnsi"/>
          <w:color w:val="000000"/>
          <w:sz w:val="24"/>
          <w:szCs w:val="24"/>
          <w:lang w:eastAsia="en-GB"/>
        </w:rPr>
        <w:t xml:space="preserve"> and </w:t>
      </w:r>
      <w:r w:rsidRPr="00CB1582">
        <w:rPr>
          <w:rFonts w:eastAsia="Times New Roman" w:cstheme="minorHAnsi"/>
          <w:color w:val="000000"/>
          <w:sz w:val="24"/>
          <w:szCs w:val="24"/>
          <w:lang w:eastAsia="en-GB"/>
        </w:rPr>
        <w:t>breathing difficulties for children with congenital anomalies, particularly those born preterm, compared to children without congenital anomalies in the first ten years of life. These findings are beneficial to clinicians and health care providers as they identify children with greater morbidity associated with respiratory symptoms, as indicated by anti-asthmatic prescriptions.</w:t>
      </w:r>
    </w:p>
    <w:p w14:paraId="4971A30B" w14:textId="18EFA5AD" w:rsidR="00E313C3" w:rsidRDefault="00E313C3">
      <w:pPr>
        <w:rPr>
          <w:b/>
          <w:bCs/>
          <w:sz w:val="24"/>
          <w:szCs w:val="24"/>
        </w:rPr>
      </w:pPr>
      <w:r>
        <w:rPr>
          <w:b/>
          <w:bCs/>
          <w:sz w:val="24"/>
          <w:szCs w:val="24"/>
        </w:rPr>
        <w:t>Strengths and limitations of this study</w:t>
      </w:r>
    </w:p>
    <w:p w14:paraId="45A35998" w14:textId="511FB202" w:rsidR="0003480D" w:rsidRPr="000F2278" w:rsidRDefault="0003480D" w:rsidP="00655CFC">
      <w:pPr>
        <w:pStyle w:val="paragraph"/>
        <w:numPr>
          <w:ilvl w:val="0"/>
          <w:numId w:val="9"/>
        </w:numPr>
        <w:spacing w:before="0" w:beforeAutospacing="0" w:after="0" w:afterAutospacing="0" w:line="276" w:lineRule="auto"/>
        <w:textAlignment w:val="baseline"/>
        <w:rPr>
          <w:rFonts w:asciiTheme="minorHAnsi" w:hAnsiTheme="minorHAnsi" w:cstheme="minorHAnsi"/>
        </w:rPr>
      </w:pPr>
      <w:r w:rsidRPr="000F2278">
        <w:rPr>
          <w:rStyle w:val="normaltextrun"/>
          <w:rFonts w:asciiTheme="minorHAnsi" w:hAnsiTheme="minorHAnsi" w:cstheme="minorHAnsi"/>
        </w:rPr>
        <w:t>The use of population-based data from six regions across Europe yielded a large sample size of children with and without congenital anomalies.</w:t>
      </w:r>
      <w:r w:rsidRPr="000F2278">
        <w:rPr>
          <w:rFonts w:asciiTheme="minorHAnsi" w:hAnsiTheme="minorHAnsi" w:cstheme="minorHAnsi"/>
        </w:rPr>
        <w:t xml:space="preserve"> </w:t>
      </w:r>
    </w:p>
    <w:p w14:paraId="32CB6354" w14:textId="4C0D577D" w:rsidR="00E313C3" w:rsidRPr="000F2278" w:rsidRDefault="00EC1E6C" w:rsidP="00655CFC">
      <w:pPr>
        <w:pStyle w:val="ListParagraph"/>
        <w:numPr>
          <w:ilvl w:val="0"/>
          <w:numId w:val="9"/>
        </w:numPr>
        <w:spacing w:after="0" w:line="276" w:lineRule="auto"/>
        <w:rPr>
          <w:b/>
          <w:bCs/>
          <w:sz w:val="24"/>
          <w:szCs w:val="24"/>
        </w:rPr>
      </w:pPr>
      <w:r w:rsidRPr="000F2278">
        <w:rPr>
          <w:rStyle w:val="normaltextrun"/>
          <w:rFonts w:cstheme="minorHAnsi"/>
          <w:sz w:val="24"/>
          <w:szCs w:val="24"/>
        </w:rPr>
        <w:t>Use of a</w:t>
      </w:r>
      <w:r w:rsidR="00E313C3" w:rsidRPr="000F2278">
        <w:rPr>
          <w:sz w:val="24"/>
          <w:szCs w:val="24"/>
        </w:rPr>
        <w:t xml:space="preserve"> Common Data Model </w:t>
      </w:r>
      <w:r w:rsidR="00E17149" w:rsidRPr="000F2278">
        <w:rPr>
          <w:rStyle w:val="normaltextrun"/>
          <w:rFonts w:cstheme="minorHAnsi"/>
          <w:sz w:val="24"/>
          <w:szCs w:val="24"/>
        </w:rPr>
        <w:t xml:space="preserve">enabled standardisation of </w:t>
      </w:r>
      <w:r w:rsidR="00E313C3" w:rsidRPr="000F2278">
        <w:rPr>
          <w:sz w:val="24"/>
          <w:szCs w:val="24"/>
        </w:rPr>
        <w:t xml:space="preserve">prescription/pharmacy dispensing records across a range of coding classification systems, languages, and healthcare systems in Europe. </w:t>
      </w:r>
    </w:p>
    <w:p w14:paraId="7536FD25" w14:textId="77777777" w:rsidR="00053B05" w:rsidRPr="000F2278" w:rsidRDefault="00053B05" w:rsidP="00655CFC">
      <w:pPr>
        <w:pStyle w:val="paragraph"/>
        <w:numPr>
          <w:ilvl w:val="0"/>
          <w:numId w:val="9"/>
        </w:numPr>
        <w:spacing w:before="0" w:beforeAutospacing="0" w:after="0" w:afterAutospacing="0" w:line="276" w:lineRule="auto"/>
        <w:textAlignment w:val="baseline"/>
        <w:rPr>
          <w:rStyle w:val="eop"/>
          <w:rFonts w:asciiTheme="minorHAnsi" w:hAnsiTheme="minorHAnsi" w:cstheme="minorHAnsi"/>
        </w:rPr>
      </w:pPr>
      <w:r w:rsidRPr="000F2278">
        <w:rPr>
          <w:rFonts w:asciiTheme="minorHAnsi" w:hAnsiTheme="minorHAnsi" w:cstheme="minorHAnsi"/>
        </w:rPr>
        <w:t xml:space="preserve">Risks of being prescribed/dispensed medications for respiratory conditions were estimated in children with any major congenital anomaly, in children with 32 </w:t>
      </w:r>
      <w:r w:rsidRPr="000F2278">
        <w:rPr>
          <w:rFonts w:asciiTheme="minorHAnsi" w:hAnsiTheme="minorHAnsi" w:cstheme="minorHAnsi"/>
        </w:rPr>
        <w:lastRenderedPageBreak/>
        <w:t xml:space="preserve">specified isolated congenital anomalies, and for within region comparisons in children with no major congenital anomaly. </w:t>
      </w:r>
    </w:p>
    <w:p w14:paraId="137A4560" w14:textId="58FA0394" w:rsidR="00D348BF" w:rsidRPr="000F2278" w:rsidRDefault="00AF5D0A" w:rsidP="00655CFC">
      <w:pPr>
        <w:pStyle w:val="ListParagraph"/>
        <w:numPr>
          <w:ilvl w:val="0"/>
          <w:numId w:val="9"/>
        </w:numPr>
        <w:spacing w:after="0" w:line="276" w:lineRule="auto"/>
        <w:rPr>
          <w:b/>
          <w:bCs/>
          <w:sz w:val="24"/>
          <w:szCs w:val="24"/>
        </w:rPr>
      </w:pPr>
      <w:r w:rsidRPr="000F2278">
        <w:rPr>
          <w:sz w:val="24"/>
          <w:szCs w:val="24"/>
        </w:rPr>
        <w:t>Over 9</w:t>
      </w:r>
      <w:r w:rsidR="00D348BF" w:rsidRPr="000F2278">
        <w:rPr>
          <w:sz w:val="24"/>
          <w:szCs w:val="24"/>
        </w:rPr>
        <w:t xml:space="preserve">5% of children across registries </w:t>
      </w:r>
      <w:r w:rsidRPr="000F2278">
        <w:rPr>
          <w:sz w:val="24"/>
          <w:szCs w:val="24"/>
        </w:rPr>
        <w:t>wer</w:t>
      </w:r>
      <w:r w:rsidR="0094397A" w:rsidRPr="000F2278">
        <w:rPr>
          <w:sz w:val="24"/>
          <w:szCs w:val="24"/>
        </w:rPr>
        <w:t>e</w:t>
      </w:r>
      <w:r w:rsidR="00D348BF" w:rsidRPr="000F2278">
        <w:rPr>
          <w:sz w:val="24"/>
          <w:szCs w:val="24"/>
        </w:rPr>
        <w:t xml:space="preserve"> linked to prescription databases</w:t>
      </w:r>
      <w:r w:rsidR="004B4FA3" w:rsidRPr="000F2278">
        <w:rPr>
          <w:sz w:val="24"/>
          <w:szCs w:val="24"/>
        </w:rPr>
        <w:t xml:space="preserve"> limiting the potential </w:t>
      </w:r>
      <w:r w:rsidR="00D348BF" w:rsidRPr="000F2278">
        <w:rPr>
          <w:sz w:val="24"/>
          <w:szCs w:val="24"/>
        </w:rPr>
        <w:t>bias</w:t>
      </w:r>
      <w:r w:rsidR="004B4FA3" w:rsidRPr="000F2278">
        <w:rPr>
          <w:sz w:val="24"/>
          <w:szCs w:val="24"/>
        </w:rPr>
        <w:t xml:space="preserve"> from missed linkages</w:t>
      </w:r>
      <w:r w:rsidR="00D348BF" w:rsidRPr="000F2278">
        <w:rPr>
          <w:sz w:val="24"/>
          <w:szCs w:val="24"/>
        </w:rPr>
        <w:t xml:space="preserve">. </w:t>
      </w:r>
    </w:p>
    <w:p w14:paraId="76740CC2" w14:textId="0453E01A" w:rsidR="0086240A" w:rsidRPr="000F2278" w:rsidRDefault="00572C37" w:rsidP="00655CFC">
      <w:pPr>
        <w:pStyle w:val="paragraph"/>
        <w:numPr>
          <w:ilvl w:val="0"/>
          <w:numId w:val="9"/>
        </w:numPr>
        <w:spacing w:before="0" w:beforeAutospacing="0" w:after="240" w:afterAutospacing="0" w:line="276" w:lineRule="auto"/>
        <w:textAlignment w:val="baseline"/>
        <w:rPr>
          <w:rFonts w:asciiTheme="minorHAnsi" w:hAnsiTheme="minorHAnsi" w:cstheme="minorHAnsi"/>
        </w:rPr>
      </w:pPr>
      <w:r w:rsidRPr="000F2278">
        <w:rPr>
          <w:rStyle w:val="normaltextrun"/>
          <w:rFonts w:asciiTheme="minorHAnsi" w:hAnsiTheme="minorHAnsi" w:cstheme="minorHAnsi"/>
        </w:rPr>
        <w:t xml:space="preserve">The lack of </w:t>
      </w:r>
      <w:r w:rsidRPr="000F2278">
        <w:rPr>
          <w:rStyle w:val="eop"/>
          <w:rFonts w:asciiTheme="minorHAnsi" w:hAnsiTheme="minorHAnsi" w:cstheme="minorHAnsi"/>
        </w:rPr>
        <w:t>information on socio-economic status meant this potential confounding factor could not be adjusted for</w:t>
      </w:r>
      <w:r w:rsidR="0086240A" w:rsidRPr="000F2278">
        <w:rPr>
          <w:rStyle w:val="eop"/>
          <w:rFonts w:asciiTheme="minorHAnsi" w:hAnsiTheme="minorHAnsi" w:cstheme="minorHAnsi"/>
        </w:rPr>
        <w:t>.</w:t>
      </w:r>
    </w:p>
    <w:p w14:paraId="79BF938E" w14:textId="6C0BE6F2" w:rsidR="003962A7" w:rsidRPr="00AE451F" w:rsidRDefault="00AE451F" w:rsidP="00AE451F">
      <w:pPr>
        <w:pStyle w:val="NormalWeb"/>
        <w:rPr>
          <w:rFonts w:asciiTheme="minorHAnsi" w:eastAsia="Times New Roman" w:hAnsiTheme="minorHAnsi" w:cstheme="minorHAnsi"/>
        </w:rPr>
      </w:pPr>
      <w:r w:rsidRPr="00281F5E">
        <w:rPr>
          <w:rFonts w:asciiTheme="minorHAnsi" w:eastAsia="Times New Roman" w:hAnsiTheme="minorHAnsi" w:cstheme="minorHAnsi"/>
        </w:rPr>
        <w:t>Key words: Anti-asthmatics; prescriptions; congenital anomalies; population-based; data linkage</w:t>
      </w:r>
      <w:r w:rsidR="003962A7" w:rsidRPr="00AE451F">
        <w:rPr>
          <w:b/>
          <w:bCs/>
        </w:rPr>
        <w:br w:type="page"/>
      </w:r>
    </w:p>
    <w:p w14:paraId="277A9B7A" w14:textId="5BEBA256" w:rsidR="00440FBE" w:rsidRDefault="00AF0509" w:rsidP="00440FBE">
      <w:pPr>
        <w:rPr>
          <w:b/>
          <w:bCs/>
          <w:sz w:val="24"/>
          <w:szCs w:val="24"/>
        </w:rPr>
      </w:pPr>
      <w:r>
        <w:rPr>
          <w:b/>
          <w:bCs/>
          <w:sz w:val="24"/>
          <w:szCs w:val="24"/>
        </w:rPr>
        <w:lastRenderedPageBreak/>
        <w:t>Introduction</w:t>
      </w:r>
    </w:p>
    <w:p w14:paraId="015FEA10" w14:textId="01DB7A46" w:rsidR="00E707D3" w:rsidRDefault="00936E65" w:rsidP="00440FBE">
      <w:pPr>
        <w:rPr>
          <w:sz w:val="24"/>
          <w:szCs w:val="24"/>
        </w:rPr>
      </w:pPr>
      <w:r>
        <w:rPr>
          <w:sz w:val="24"/>
          <w:szCs w:val="24"/>
        </w:rPr>
        <w:t>Breathing difficulties in childhood are</w:t>
      </w:r>
      <w:r w:rsidR="00820D1B">
        <w:rPr>
          <w:sz w:val="24"/>
          <w:szCs w:val="24"/>
        </w:rPr>
        <w:t xml:space="preserve"> a leading cause of emergency department visits, hospitalisations and missed days at school</w:t>
      </w:r>
      <w:r w:rsidR="007646A1">
        <w:rPr>
          <w:sz w:val="24"/>
          <w:szCs w:val="24"/>
        </w:rPr>
        <w:t xml:space="preserve"> [1]</w:t>
      </w:r>
      <w:r w:rsidR="00BA38D8">
        <w:rPr>
          <w:sz w:val="24"/>
          <w:szCs w:val="24"/>
        </w:rPr>
        <w:t xml:space="preserve">. The </w:t>
      </w:r>
      <w:r w:rsidR="002403E9">
        <w:rPr>
          <w:sz w:val="24"/>
          <w:szCs w:val="24"/>
        </w:rPr>
        <w:t>prevalence of</w:t>
      </w:r>
      <w:r>
        <w:rPr>
          <w:sz w:val="24"/>
          <w:szCs w:val="24"/>
        </w:rPr>
        <w:t xml:space="preserve"> chronic breathing conditions such as</w:t>
      </w:r>
      <w:r w:rsidR="002403E9">
        <w:rPr>
          <w:sz w:val="24"/>
          <w:szCs w:val="24"/>
        </w:rPr>
        <w:t xml:space="preserve"> asthma </w:t>
      </w:r>
      <w:r w:rsidR="00D87F8B">
        <w:rPr>
          <w:sz w:val="24"/>
          <w:szCs w:val="24"/>
        </w:rPr>
        <w:t>varies</w:t>
      </w:r>
      <w:r w:rsidR="00A73165">
        <w:rPr>
          <w:sz w:val="24"/>
          <w:szCs w:val="24"/>
        </w:rPr>
        <w:t xml:space="preserve"> </w:t>
      </w:r>
      <w:r w:rsidR="00A14D63">
        <w:rPr>
          <w:sz w:val="24"/>
          <w:szCs w:val="24"/>
        </w:rPr>
        <w:t>globally</w:t>
      </w:r>
      <w:r>
        <w:rPr>
          <w:sz w:val="24"/>
          <w:szCs w:val="24"/>
        </w:rPr>
        <w:t xml:space="preserve"> in children</w:t>
      </w:r>
      <w:r w:rsidR="00A73165">
        <w:rPr>
          <w:sz w:val="24"/>
          <w:szCs w:val="24"/>
        </w:rPr>
        <w:t xml:space="preserve">. </w:t>
      </w:r>
      <w:r w:rsidR="0006622F">
        <w:rPr>
          <w:sz w:val="24"/>
          <w:szCs w:val="24"/>
        </w:rPr>
        <w:t>The US National Health Interview Survey in 2013 reported prevalence rates of 8.3% in children aged 0-17 years based on p</w:t>
      </w:r>
      <w:r w:rsidR="00586D64">
        <w:rPr>
          <w:sz w:val="24"/>
          <w:szCs w:val="24"/>
        </w:rPr>
        <w:t>arent</w:t>
      </w:r>
      <w:r w:rsidR="00EC0367">
        <w:rPr>
          <w:sz w:val="24"/>
          <w:szCs w:val="24"/>
        </w:rPr>
        <w:t xml:space="preserve"> </w:t>
      </w:r>
      <w:r w:rsidR="00586D64">
        <w:rPr>
          <w:sz w:val="24"/>
          <w:szCs w:val="24"/>
        </w:rPr>
        <w:t>report</w:t>
      </w:r>
      <w:r w:rsidR="00EC0367">
        <w:rPr>
          <w:sz w:val="24"/>
          <w:szCs w:val="24"/>
        </w:rPr>
        <w:t>s of</w:t>
      </w:r>
      <w:r w:rsidR="00586D64">
        <w:rPr>
          <w:sz w:val="24"/>
          <w:szCs w:val="24"/>
        </w:rPr>
        <w:t xml:space="preserve"> doctor-diagnosed asthma </w:t>
      </w:r>
      <w:r w:rsidR="007646A1">
        <w:rPr>
          <w:sz w:val="24"/>
          <w:szCs w:val="24"/>
        </w:rPr>
        <w:t>[2]</w:t>
      </w:r>
      <w:r w:rsidR="00A73165">
        <w:rPr>
          <w:sz w:val="24"/>
          <w:szCs w:val="24"/>
        </w:rPr>
        <w:t xml:space="preserve">. </w:t>
      </w:r>
      <w:r w:rsidR="00A46819">
        <w:rPr>
          <w:sz w:val="24"/>
          <w:szCs w:val="24"/>
        </w:rPr>
        <w:t>T</w:t>
      </w:r>
      <w:r w:rsidR="0006622F">
        <w:rPr>
          <w:sz w:val="24"/>
          <w:szCs w:val="24"/>
        </w:rPr>
        <w:t>he</w:t>
      </w:r>
      <w:r w:rsidR="006F3503">
        <w:rPr>
          <w:sz w:val="24"/>
          <w:szCs w:val="24"/>
        </w:rPr>
        <w:t xml:space="preserve"> International Study of Asthma and Allergies in Childhood (ISAAC)</w:t>
      </w:r>
      <w:r w:rsidR="004E4871">
        <w:rPr>
          <w:sz w:val="24"/>
          <w:szCs w:val="24"/>
        </w:rPr>
        <w:t xml:space="preserve"> 1999-2004,</w:t>
      </w:r>
      <w:r w:rsidR="001E753F">
        <w:rPr>
          <w:sz w:val="24"/>
          <w:szCs w:val="24"/>
        </w:rPr>
        <w:t xml:space="preserve"> </w:t>
      </w:r>
      <w:r w:rsidR="00700D90">
        <w:rPr>
          <w:sz w:val="24"/>
          <w:szCs w:val="24"/>
        </w:rPr>
        <w:t>which was also based o</w:t>
      </w:r>
      <w:r w:rsidR="00CB1C24">
        <w:rPr>
          <w:sz w:val="24"/>
          <w:szCs w:val="24"/>
        </w:rPr>
        <w:t>n</w:t>
      </w:r>
      <w:r w:rsidR="00700D90">
        <w:rPr>
          <w:sz w:val="24"/>
          <w:szCs w:val="24"/>
        </w:rPr>
        <w:t xml:space="preserve"> parental reports, </w:t>
      </w:r>
      <w:r w:rsidR="00802520">
        <w:rPr>
          <w:sz w:val="24"/>
          <w:szCs w:val="24"/>
        </w:rPr>
        <w:t>found</w:t>
      </w:r>
      <w:r w:rsidR="00AA49B5">
        <w:rPr>
          <w:sz w:val="24"/>
          <w:szCs w:val="24"/>
        </w:rPr>
        <w:t xml:space="preserve"> that </w:t>
      </w:r>
      <w:r w:rsidR="00B2746A" w:rsidRPr="000F5210">
        <w:rPr>
          <w:sz w:val="24"/>
          <w:szCs w:val="24"/>
        </w:rPr>
        <w:t xml:space="preserve">prevalence </w:t>
      </w:r>
      <w:r w:rsidR="00AA49B5">
        <w:rPr>
          <w:sz w:val="24"/>
          <w:szCs w:val="24"/>
        </w:rPr>
        <w:t xml:space="preserve">of asthma </w:t>
      </w:r>
      <w:r w:rsidR="00B2746A" w:rsidRPr="000F5210">
        <w:rPr>
          <w:sz w:val="24"/>
          <w:szCs w:val="24"/>
        </w:rPr>
        <w:t xml:space="preserve">in </w:t>
      </w:r>
      <w:r w:rsidR="00A46819">
        <w:rPr>
          <w:sz w:val="24"/>
          <w:szCs w:val="24"/>
        </w:rPr>
        <w:t xml:space="preserve">European </w:t>
      </w:r>
      <w:r w:rsidR="00B2746A" w:rsidRPr="000F5210">
        <w:rPr>
          <w:sz w:val="24"/>
          <w:szCs w:val="24"/>
        </w:rPr>
        <w:t xml:space="preserve">children </w:t>
      </w:r>
      <w:r w:rsidR="0006622F">
        <w:rPr>
          <w:sz w:val="24"/>
          <w:szCs w:val="24"/>
        </w:rPr>
        <w:t xml:space="preserve">aged 6-7 years </w:t>
      </w:r>
      <w:r w:rsidR="00B2746A" w:rsidRPr="000F5210">
        <w:rPr>
          <w:sz w:val="24"/>
          <w:szCs w:val="24"/>
        </w:rPr>
        <w:t xml:space="preserve">varied from </w:t>
      </w:r>
      <w:r w:rsidR="000F5210" w:rsidRPr="000F5210">
        <w:rPr>
          <w:sz w:val="24"/>
          <w:szCs w:val="24"/>
        </w:rPr>
        <w:t>&lt;</w:t>
      </w:r>
      <w:r w:rsidR="00B2746A" w:rsidRPr="000F5210">
        <w:rPr>
          <w:sz w:val="24"/>
          <w:szCs w:val="24"/>
        </w:rPr>
        <w:t xml:space="preserve">5% </w:t>
      </w:r>
      <w:r w:rsidR="003849F1">
        <w:rPr>
          <w:sz w:val="24"/>
          <w:szCs w:val="24"/>
        </w:rPr>
        <w:t>in Al</w:t>
      </w:r>
      <w:r w:rsidR="00A23CA5">
        <w:rPr>
          <w:sz w:val="24"/>
          <w:szCs w:val="24"/>
        </w:rPr>
        <w:t xml:space="preserve">bania </w:t>
      </w:r>
      <w:r w:rsidR="00B2746A" w:rsidRPr="000F5210">
        <w:rPr>
          <w:sz w:val="24"/>
          <w:szCs w:val="24"/>
        </w:rPr>
        <w:t>to over 20%</w:t>
      </w:r>
      <w:r w:rsidR="008E119C">
        <w:rPr>
          <w:sz w:val="24"/>
          <w:szCs w:val="24"/>
        </w:rPr>
        <w:t xml:space="preserve"> in</w:t>
      </w:r>
      <w:r w:rsidR="00613520">
        <w:rPr>
          <w:sz w:val="24"/>
          <w:szCs w:val="24"/>
        </w:rPr>
        <w:t xml:space="preserve"> the</w:t>
      </w:r>
      <w:r w:rsidR="008E119C">
        <w:rPr>
          <w:sz w:val="24"/>
          <w:szCs w:val="24"/>
        </w:rPr>
        <w:t xml:space="preserve"> </w:t>
      </w:r>
      <w:r w:rsidR="006F3503">
        <w:rPr>
          <w:sz w:val="24"/>
          <w:szCs w:val="24"/>
        </w:rPr>
        <w:t>United Kingdom (UK)</w:t>
      </w:r>
      <w:r w:rsidR="007B2C27">
        <w:rPr>
          <w:sz w:val="24"/>
          <w:szCs w:val="24"/>
        </w:rPr>
        <w:t>, with prevalence rates increasing yearly</w:t>
      </w:r>
      <w:r w:rsidR="00AA49B5" w:rsidRPr="00AA49B5">
        <w:rPr>
          <w:sz w:val="24"/>
          <w:szCs w:val="24"/>
        </w:rPr>
        <w:t xml:space="preserve"> </w:t>
      </w:r>
      <w:r w:rsidR="007646A1">
        <w:rPr>
          <w:sz w:val="24"/>
          <w:szCs w:val="24"/>
        </w:rPr>
        <w:t>[3</w:t>
      </w:r>
      <w:r w:rsidR="007B2C27">
        <w:rPr>
          <w:sz w:val="24"/>
          <w:szCs w:val="24"/>
        </w:rPr>
        <w:t>-4</w:t>
      </w:r>
      <w:r w:rsidR="007646A1">
        <w:rPr>
          <w:sz w:val="24"/>
          <w:szCs w:val="24"/>
        </w:rPr>
        <w:t>]</w:t>
      </w:r>
      <w:r w:rsidR="006F3503">
        <w:rPr>
          <w:sz w:val="24"/>
          <w:szCs w:val="24"/>
        </w:rPr>
        <w:t xml:space="preserve">. </w:t>
      </w:r>
      <w:r w:rsidR="0006622F" w:rsidRPr="00092FF0">
        <w:rPr>
          <w:sz w:val="24"/>
          <w:szCs w:val="24"/>
        </w:rPr>
        <w:t>Similarly,</w:t>
      </w:r>
      <w:r w:rsidR="00646944" w:rsidRPr="00092FF0">
        <w:rPr>
          <w:sz w:val="24"/>
          <w:szCs w:val="24"/>
        </w:rPr>
        <w:t xml:space="preserve"> </w:t>
      </w:r>
      <w:r w:rsidR="004E4871" w:rsidRPr="00092FF0">
        <w:rPr>
          <w:sz w:val="24"/>
          <w:szCs w:val="24"/>
        </w:rPr>
        <w:t>the more recent</w:t>
      </w:r>
      <w:r w:rsidR="009E45F7" w:rsidRPr="00092FF0">
        <w:rPr>
          <w:sz w:val="24"/>
          <w:szCs w:val="24"/>
        </w:rPr>
        <w:t xml:space="preserve"> </w:t>
      </w:r>
      <w:proofErr w:type="spellStart"/>
      <w:r w:rsidR="00821B45" w:rsidRPr="00092FF0">
        <w:rPr>
          <w:sz w:val="24"/>
          <w:szCs w:val="24"/>
        </w:rPr>
        <w:t>MeDALL</w:t>
      </w:r>
      <w:proofErr w:type="spellEnd"/>
      <w:r w:rsidR="00821B45" w:rsidRPr="00092FF0">
        <w:rPr>
          <w:sz w:val="24"/>
          <w:szCs w:val="24"/>
        </w:rPr>
        <w:t xml:space="preserve"> (Mechanisms of the Development of </w:t>
      </w:r>
      <w:proofErr w:type="spellStart"/>
      <w:r w:rsidR="00821B45" w:rsidRPr="00092FF0">
        <w:rPr>
          <w:sz w:val="24"/>
          <w:szCs w:val="24"/>
        </w:rPr>
        <w:t>ALLergy</w:t>
      </w:r>
      <w:proofErr w:type="spellEnd"/>
      <w:r w:rsidR="00821B45" w:rsidRPr="00092FF0">
        <w:rPr>
          <w:sz w:val="24"/>
          <w:szCs w:val="24"/>
        </w:rPr>
        <w:t xml:space="preserve">) </w:t>
      </w:r>
      <w:r w:rsidR="00C033B4" w:rsidRPr="00092FF0">
        <w:rPr>
          <w:sz w:val="24"/>
          <w:szCs w:val="24"/>
        </w:rPr>
        <w:t>study</w:t>
      </w:r>
      <w:r w:rsidR="000D40EB" w:rsidRPr="00092FF0">
        <w:rPr>
          <w:sz w:val="24"/>
          <w:szCs w:val="24"/>
        </w:rPr>
        <w:t xml:space="preserve"> </w:t>
      </w:r>
      <w:r w:rsidR="004E4871" w:rsidRPr="00092FF0">
        <w:rPr>
          <w:sz w:val="24"/>
          <w:szCs w:val="24"/>
        </w:rPr>
        <w:t>involving</w:t>
      </w:r>
      <w:r w:rsidR="000D40EB" w:rsidRPr="00092FF0">
        <w:rPr>
          <w:sz w:val="24"/>
          <w:szCs w:val="24"/>
        </w:rPr>
        <w:t xml:space="preserve"> eight birth cohorts across Europe</w:t>
      </w:r>
      <w:r w:rsidR="004E4871" w:rsidRPr="00092FF0">
        <w:rPr>
          <w:sz w:val="24"/>
          <w:szCs w:val="24"/>
        </w:rPr>
        <w:t xml:space="preserve"> found that </w:t>
      </w:r>
      <w:r w:rsidR="000D40EB" w:rsidRPr="00092FF0">
        <w:rPr>
          <w:sz w:val="24"/>
          <w:szCs w:val="24"/>
        </w:rPr>
        <w:t>parent</w:t>
      </w:r>
      <w:r w:rsidR="00C43A39" w:rsidRPr="00092FF0">
        <w:rPr>
          <w:sz w:val="24"/>
          <w:szCs w:val="24"/>
        </w:rPr>
        <w:t>al report</w:t>
      </w:r>
      <w:r w:rsidR="009874A0" w:rsidRPr="00092FF0">
        <w:rPr>
          <w:sz w:val="24"/>
          <w:szCs w:val="24"/>
        </w:rPr>
        <w:t>s</w:t>
      </w:r>
      <w:r w:rsidR="00C43A39" w:rsidRPr="00092FF0">
        <w:rPr>
          <w:sz w:val="24"/>
          <w:szCs w:val="24"/>
        </w:rPr>
        <w:t xml:space="preserve"> </w:t>
      </w:r>
      <w:r w:rsidR="004B1BB7" w:rsidRPr="00092FF0">
        <w:rPr>
          <w:sz w:val="24"/>
          <w:szCs w:val="24"/>
        </w:rPr>
        <w:t>of</w:t>
      </w:r>
      <w:r w:rsidR="003606C7" w:rsidRPr="00092FF0">
        <w:rPr>
          <w:sz w:val="24"/>
          <w:szCs w:val="24"/>
        </w:rPr>
        <w:t xml:space="preserve"> doctor-diagnose</w:t>
      </w:r>
      <w:r w:rsidR="00867263" w:rsidRPr="00092FF0">
        <w:rPr>
          <w:sz w:val="24"/>
          <w:szCs w:val="24"/>
        </w:rPr>
        <w:t>d</w:t>
      </w:r>
      <w:r w:rsidR="004B1BB7" w:rsidRPr="00092FF0">
        <w:rPr>
          <w:sz w:val="24"/>
          <w:szCs w:val="24"/>
        </w:rPr>
        <w:t xml:space="preserve"> </w:t>
      </w:r>
      <w:r w:rsidR="000D40EB" w:rsidRPr="00092FF0">
        <w:rPr>
          <w:sz w:val="24"/>
          <w:szCs w:val="24"/>
        </w:rPr>
        <w:t xml:space="preserve">asthma at age four </w:t>
      </w:r>
      <w:r w:rsidR="004B1BB7" w:rsidRPr="00092FF0">
        <w:rPr>
          <w:sz w:val="24"/>
          <w:szCs w:val="24"/>
        </w:rPr>
        <w:t xml:space="preserve">years </w:t>
      </w:r>
      <w:r w:rsidR="000D40EB" w:rsidRPr="00092FF0">
        <w:rPr>
          <w:sz w:val="24"/>
          <w:szCs w:val="24"/>
        </w:rPr>
        <w:t>rang</w:t>
      </w:r>
      <w:r w:rsidR="00FA67BF" w:rsidRPr="00092FF0">
        <w:rPr>
          <w:sz w:val="24"/>
          <w:szCs w:val="24"/>
        </w:rPr>
        <w:t>ed</w:t>
      </w:r>
      <w:r w:rsidR="000D40EB" w:rsidRPr="00092FF0">
        <w:rPr>
          <w:sz w:val="24"/>
          <w:szCs w:val="24"/>
        </w:rPr>
        <w:t xml:space="preserve"> from 1.7% in Germany to 13.5% in Bradford, England</w:t>
      </w:r>
      <w:r w:rsidR="007646A1" w:rsidRPr="00092FF0">
        <w:rPr>
          <w:sz w:val="24"/>
          <w:szCs w:val="24"/>
        </w:rPr>
        <w:t xml:space="preserve"> </w:t>
      </w:r>
      <w:r w:rsidR="0024264C">
        <w:rPr>
          <w:sz w:val="24"/>
          <w:szCs w:val="24"/>
        </w:rPr>
        <w:t>[5]</w:t>
      </w:r>
      <w:r w:rsidR="000D40EB" w:rsidRPr="00092FF0">
        <w:rPr>
          <w:sz w:val="24"/>
          <w:szCs w:val="24"/>
        </w:rPr>
        <w:t>.</w:t>
      </w:r>
      <w:r w:rsidR="002445F5" w:rsidRPr="00092FF0">
        <w:rPr>
          <w:sz w:val="24"/>
          <w:szCs w:val="24"/>
        </w:rPr>
        <w:t xml:space="preserve"> </w:t>
      </w:r>
    </w:p>
    <w:p w14:paraId="2AFEC406" w14:textId="66376BBB" w:rsidR="00454853" w:rsidRDefault="00841C80" w:rsidP="00440FBE">
      <w:pPr>
        <w:rPr>
          <w:sz w:val="24"/>
          <w:szCs w:val="24"/>
        </w:rPr>
      </w:pPr>
      <w:r>
        <w:rPr>
          <w:sz w:val="24"/>
          <w:szCs w:val="24"/>
        </w:rPr>
        <w:t xml:space="preserve">The prevalence of asthma </w:t>
      </w:r>
      <w:r w:rsidR="00D87F8B">
        <w:rPr>
          <w:sz w:val="24"/>
          <w:szCs w:val="24"/>
        </w:rPr>
        <w:t xml:space="preserve">also varies </w:t>
      </w:r>
      <w:r w:rsidR="007B2C27">
        <w:rPr>
          <w:sz w:val="24"/>
          <w:szCs w:val="24"/>
        </w:rPr>
        <w:t xml:space="preserve">according to </w:t>
      </w:r>
      <w:r>
        <w:rPr>
          <w:sz w:val="24"/>
          <w:szCs w:val="24"/>
        </w:rPr>
        <w:t xml:space="preserve">age </w:t>
      </w:r>
      <w:r w:rsidR="007B2C27">
        <w:rPr>
          <w:sz w:val="24"/>
          <w:szCs w:val="24"/>
        </w:rPr>
        <w:t xml:space="preserve">and sex </w:t>
      </w:r>
      <w:r>
        <w:rPr>
          <w:sz w:val="24"/>
          <w:szCs w:val="24"/>
        </w:rPr>
        <w:t xml:space="preserve">in </w:t>
      </w:r>
      <w:r w:rsidR="00C713E9">
        <w:rPr>
          <w:sz w:val="24"/>
          <w:szCs w:val="24"/>
        </w:rPr>
        <w:t>childhood</w:t>
      </w:r>
      <w:r>
        <w:rPr>
          <w:sz w:val="24"/>
          <w:szCs w:val="24"/>
        </w:rPr>
        <w:t>.</w:t>
      </w:r>
      <w:r w:rsidR="00A73165">
        <w:rPr>
          <w:sz w:val="24"/>
          <w:szCs w:val="24"/>
        </w:rPr>
        <w:t xml:space="preserve"> </w:t>
      </w:r>
      <w:r w:rsidR="006F3503">
        <w:rPr>
          <w:sz w:val="24"/>
          <w:szCs w:val="24"/>
        </w:rPr>
        <w:t xml:space="preserve">The ISAAC </w:t>
      </w:r>
      <w:r w:rsidR="00B7033D">
        <w:rPr>
          <w:sz w:val="24"/>
          <w:szCs w:val="24"/>
        </w:rPr>
        <w:t xml:space="preserve">study </w:t>
      </w:r>
      <w:r w:rsidR="006F3503">
        <w:rPr>
          <w:sz w:val="24"/>
          <w:szCs w:val="24"/>
        </w:rPr>
        <w:t xml:space="preserve">consistently found higher asthma rates for </w:t>
      </w:r>
      <w:proofErr w:type="gramStart"/>
      <w:r w:rsidR="006F3503">
        <w:rPr>
          <w:sz w:val="24"/>
          <w:szCs w:val="24"/>
        </w:rPr>
        <w:t>13-14 year olds</w:t>
      </w:r>
      <w:proofErr w:type="gramEnd"/>
      <w:r w:rsidR="006F3503">
        <w:rPr>
          <w:sz w:val="24"/>
          <w:szCs w:val="24"/>
        </w:rPr>
        <w:t xml:space="preserve"> compared </w:t>
      </w:r>
      <w:r w:rsidR="00D87F8B">
        <w:rPr>
          <w:sz w:val="24"/>
          <w:szCs w:val="24"/>
        </w:rPr>
        <w:t xml:space="preserve">with </w:t>
      </w:r>
      <w:r w:rsidR="006F3503">
        <w:rPr>
          <w:sz w:val="24"/>
          <w:szCs w:val="24"/>
        </w:rPr>
        <w:t>6-7 year olds, and th</w:t>
      </w:r>
      <w:r w:rsidR="00D87F8B">
        <w:rPr>
          <w:sz w:val="24"/>
          <w:szCs w:val="24"/>
        </w:rPr>
        <w:t>is</w:t>
      </w:r>
      <w:r w:rsidR="006F3503">
        <w:rPr>
          <w:sz w:val="24"/>
          <w:szCs w:val="24"/>
        </w:rPr>
        <w:t xml:space="preserve"> pattern of higher asthma prevalence rates in older children has been replicated across Europe </w:t>
      </w:r>
      <w:r w:rsidR="0024264C">
        <w:rPr>
          <w:sz w:val="24"/>
          <w:szCs w:val="24"/>
        </w:rPr>
        <w:t>[5-7]</w:t>
      </w:r>
      <w:r w:rsidR="00116D1B">
        <w:rPr>
          <w:sz w:val="24"/>
          <w:szCs w:val="24"/>
        </w:rPr>
        <w:t>.</w:t>
      </w:r>
      <w:r w:rsidR="00C713E9" w:rsidDel="00C713E9">
        <w:rPr>
          <w:sz w:val="24"/>
          <w:szCs w:val="24"/>
        </w:rPr>
        <w:t xml:space="preserve"> </w:t>
      </w:r>
      <w:r w:rsidR="00AF62E1">
        <w:rPr>
          <w:sz w:val="24"/>
          <w:szCs w:val="24"/>
        </w:rPr>
        <w:t>However, a</w:t>
      </w:r>
      <w:r w:rsidR="00F40A66">
        <w:rPr>
          <w:sz w:val="24"/>
          <w:szCs w:val="24"/>
        </w:rPr>
        <w:t xml:space="preserve">s asthma can be challenging to diagnose in infants, wheezing and recurrent wheezing have been used as measures of breathing difficulties in </w:t>
      </w:r>
      <w:r w:rsidR="001527B5">
        <w:rPr>
          <w:sz w:val="24"/>
          <w:szCs w:val="24"/>
        </w:rPr>
        <w:t>infants</w:t>
      </w:r>
      <w:r w:rsidR="00F40A66">
        <w:rPr>
          <w:sz w:val="24"/>
          <w:szCs w:val="24"/>
        </w:rPr>
        <w:t xml:space="preserve">. A meta-analysis of European, Latin </w:t>
      </w:r>
      <w:proofErr w:type="gramStart"/>
      <w:r w:rsidR="00F40A66">
        <w:rPr>
          <w:sz w:val="24"/>
          <w:szCs w:val="24"/>
        </w:rPr>
        <w:t>American</w:t>
      </w:r>
      <w:proofErr w:type="gramEnd"/>
      <w:r w:rsidR="00F40A66">
        <w:rPr>
          <w:sz w:val="24"/>
          <w:szCs w:val="24"/>
        </w:rPr>
        <w:t xml:space="preserve"> and African research </w:t>
      </w:r>
      <w:r w:rsidR="00AA49B5">
        <w:rPr>
          <w:sz w:val="24"/>
          <w:szCs w:val="24"/>
        </w:rPr>
        <w:t xml:space="preserve">reported </w:t>
      </w:r>
      <w:r w:rsidR="00AF62E1">
        <w:rPr>
          <w:sz w:val="24"/>
          <w:szCs w:val="24"/>
        </w:rPr>
        <w:t>prevalence rates of 36.1% (95%</w:t>
      </w:r>
      <w:r w:rsidR="00571E8D">
        <w:rPr>
          <w:sz w:val="24"/>
          <w:szCs w:val="24"/>
        </w:rPr>
        <w:t xml:space="preserve"> </w:t>
      </w:r>
      <w:r w:rsidR="00AF62E1">
        <w:rPr>
          <w:sz w:val="24"/>
          <w:szCs w:val="24"/>
        </w:rPr>
        <w:t>CI 35.2-37.0%) and</w:t>
      </w:r>
      <w:r w:rsidR="00116D1B">
        <w:rPr>
          <w:sz w:val="24"/>
          <w:szCs w:val="24"/>
        </w:rPr>
        <w:t xml:space="preserve"> 17.4</w:t>
      </w:r>
      <w:r w:rsidR="00AF62E1">
        <w:rPr>
          <w:sz w:val="24"/>
          <w:szCs w:val="24"/>
        </w:rPr>
        <w:t>%</w:t>
      </w:r>
      <w:r w:rsidR="00116D1B">
        <w:rPr>
          <w:sz w:val="24"/>
          <w:szCs w:val="24"/>
        </w:rPr>
        <w:t xml:space="preserve"> (95%</w:t>
      </w:r>
      <w:r w:rsidR="00571E8D">
        <w:rPr>
          <w:sz w:val="24"/>
          <w:szCs w:val="24"/>
        </w:rPr>
        <w:t xml:space="preserve"> </w:t>
      </w:r>
      <w:r w:rsidR="00116D1B">
        <w:rPr>
          <w:sz w:val="24"/>
          <w:szCs w:val="24"/>
        </w:rPr>
        <w:t>CI 16.7-18.1%)</w:t>
      </w:r>
      <w:r w:rsidR="00AF62E1">
        <w:rPr>
          <w:sz w:val="24"/>
          <w:szCs w:val="24"/>
        </w:rPr>
        <w:t xml:space="preserve"> for wheezing and recurring wheezing respectively for children under two years of age</w:t>
      </w:r>
      <w:r w:rsidR="007646A1">
        <w:rPr>
          <w:sz w:val="24"/>
          <w:szCs w:val="24"/>
        </w:rPr>
        <w:t xml:space="preserve"> </w:t>
      </w:r>
      <w:r w:rsidR="0024264C">
        <w:rPr>
          <w:sz w:val="24"/>
          <w:szCs w:val="24"/>
        </w:rPr>
        <w:t>[8]</w:t>
      </w:r>
      <w:r w:rsidR="00AF62E1">
        <w:rPr>
          <w:sz w:val="24"/>
          <w:szCs w:val="24"/>
        </w:rPr>
        <w:t xml:space="preserve">. </w:t>
      </w:r>
      <w:r w:rsidR="00116D1B">
        <w:rPr>
          <w:sz w:val="24"/>
          <w:szCs w:val="24"/>
        </w:rPr>
        <w:t xml:space="preserve">These prevalence rates were </w:t>
      </w:r>
      <w:r w:rsidR="0037178D">
        <w:rPr>
          <w:sz w:val="24"/>
          <w:szCs w:val="24"/>
        </w:rPr>
        <w:t xml:space="preserve">higher </w:t>
      </w:r>
      <w:r w:rsidR="00116D1B">
        <w:rPr>
          <w:sz w:val="24"/>
          <w:szCs w:val="24"/>
        </w:rPr>
        <w:t xml:space="preserve">than rates of current wheeze in the ISAAC study for </w:t>
      </w:r>
      <w:proofErr w:type="gramStart"/>
      <w:r w:rsidR="00116D1B">
        <w:rPr>
          <w:sz w:val="24"/>
          <w:szCs w:val="24"/>
        </w:rPr>
        <w:t>6-7 year olds</w:t>
      </w:r>
      <w:proofErr w:type="gramEnd"/>
      <w:r w:rsidR="00116D1B">
        <w:rPr>
          <w:sz w:val="24"/>
          <w:szCs w:val="24"/>
        </w:rPr>
        <w:t xml:space="preserve"> (11.5%) and 13-14 year olds (14.1%)</w:t>
      </w:r>
      <w:r w:rsidR="00147B61">
        <w:rPr>
          <w:sz w:val="24"/>
          <w:szCs w:val="24"/>
        </w:rPr>
        <w:t xml:space="preserve"> </w:t>
      </w:r>
      <w:r w:rsidR="00DA1BB1">
        <w:rPr>
          <w:sz w:val="24"/>
          <w:szCs w:val="24"/>
        </w:rPr>
        <w:t>[9]</w:t>
      </w:r>
      <w:r w:rsidR="00116D1B">
        <w:rPr>
          <w:sz w:val="24"/>
          <w:szCs w:val="24"/>
        </w:rPr>
        <w:t xml:space="preserve">. </w:t>
      </w:r>
      <w:r w:rsidR="008553CF">
        <w:rPr>
          <w:sz w:val="24"/>
          <w:szCs w:val="24"/>
        </w:rPr>
        <w:t>Boys</w:t>
      </w:r>
      <w:r w:rsidR="007B2C27" w:rsidRPr="007B2C27">
        <w:rPr>
          <w:sz w:val="24"/>
          <w:szCs w:val="24"/>
        </w:rPr>
        <w:t xml:space="preserve"> have an increased likelihood of parent-reported asthma and wheeze </w:t>
      </w:r>
      <w:r w:rsidR="00F23D97">
        <w:rPr>
          <w:sz w:val="24"/>
          <w:szCs w:val="24"/>
        </w:rPr>
        <w:t>[10-12</w:t>
      </w:r>
      <w:r w:rsidR="00D238E6">
        <w:rPr>
          <w:sz w:val="24"/>
          <w:szCs w:val="24"/>
        </w:rPr>
        <w:t>]</w:t>
      </w:r>
      <w:r w:rsidR="00D238E6" w:rsidRPr="007B2C27">
        <w:rPr>
          <w:sz w:val="24"/>
          <w:szCs w:val="24"/>
        </w:rPr>
        <w:t xml:space="preserve"> and</w:t>
      </w:r>
      <w:r w:rsidR="007B2C27" w:rsidRPr="007B2C27">
        <w:rPr>
          <w:sz w:val="24"/>
          <w:szCs w:val="24"/>
        </w:rPr>
        <w:t xml:space="preserve"> receive more anti-asthmatic prescriptions than </w:t>
      </w:r>
      <w:r w:rsidR="008553CF">
        <w:rPr>
          <w:sz w:val="24"/>
          <w:szCs w:val="24"/>
        </w:rPr>
        <w:t>girls</w:t>
      </w:r>
      <w:r w:rsidR="007B2C27" w:rsidRPr="007B2C27">
        <w:rPr>
          <w:sz w:val="24"/>
          <w:szCs w:val="24"/>
        </w:rPr>
        <w:t xml:space="preserve"> across Denmark, </w:t>
      </w:r>
      <w:proofErr w:type="gramStart"/>
      <w:r w:rsidR="007B2C27" w:rsidRPr="007B2C27">
        <w:rPr>
          <w:sz w:val="24"/>
          <w:szCs w:val="24"/>
        </w:rPr>
        <w:t>Sweden</w:t>
      </w:r>
      <w:proofErr w:type="gramEnd"/>
      <w:r w:rsidR="007B2C27" w:rsidRPr="007B2C27">
        <w:rPr>
          <w:sz w:val="24"/>
          <w:szCs w:val="24"/>
        </w:rPr>
        <w:t xml:space="preserve"> and Germany </w:t>
      </w:r>
      <w:r w:rsidR="00945057">
        <w:rPr>
          <w:sz w:val="24"/>
          <w:szCs w:val="24"/>
        </w:rPr>
        <w:t>[13-15]</w:t>
      </w:r>
      <w:r w:rsidR="007B2C27" w:rsidRPr="007B2C27">
        <w:rPr>
          <w:sz w:val="24"/>
          <w:szCs w:val="24"/>
        </w:rPr>
        <w:t>.</w:t>
      </w:r>
    </w:p>
    <w:p w14:paraId="54A08077" w14:textId="655D6E44" w:rsidR="00681F3C" w:rsidRDefault="00A73165" w:rsidP="00440FBE">
      <w:pPr>
        <w:rPr>
          <w:sz w:val="24"/>
          <w:szCs w:val="24"/>
        </w:rPr>
      </w:pPr>
      <w:r w:rsidRPr="00F950D5">
        <w:rPr>
          <w:sz w:val="24"/>
          <w:szCs w:val="24"/>
        </w:rPr>
        <w:t xml:space="preserve">Most of the literature on </w:t>
      </w:r>
      <w:r w:rsidRPr="00D712C0">
        <w:rPr>
          <w:sz w:val="24"/>
          <w:szCs w:val="24"/>
        </w:rPr>
        <w:t>childhood asthma</w:t>
      </w:r>
      <w:r w:rsidR="00723AC8">
        <w:rPr>
          <w:sz w:val="24"/>
          <w:szCs w:val="24"/>
        </w:rPr>
        <w:t xml:space="preserve"> and respiratory conditions</w:t>
      </w:r>
      <w:r w:rsidRPr="00D712C0">
        <w:rPr>
          <w:sz w:val="24"/>
          <w:szCs w:val="24"/>
        </w:rPr>
        <w:t xml:space="preserve"> </w:t>
      </w:r>
      <w:r w:rsidRPr="00F950D5">
        <w:rPr>
          <w:color w:val="000000"/>
          <w:sz w:val="24"/>
          <w:szCs w:val="24"/>
          <w:shd w:val="clear" w:color="auto" w:fill="FFFFFF"/>
        </w:rPr>
        <w:t xml:space="preserve">does not differentiate between </w:t>
      </w:r>
      <w:r w:rsidRPr="00F950D5">
        <w:rPr>
          <w:sz w:val="24"/>
          <w:szCs w:val="24"/>
        </w:rPr>
        <w:t>children with and without congenital anomalies</w:t>
      </w:r>
      <w:r w:rsidR="00A14D63">
        <w:rPr>
          <w:sz w:val="24"/>
          <w:szCs w:val="24"/>
        </w:rPr>
        <w:t xml:space="preserve">, </w:t>
      </w:r>
      <w:r w:rsidR="00A14D63" w:rsidRPr="004D6BC8">
        <w:rPr>
          <w:sz w:val="24"/>
          <w:szCs w:val="24"/>
        </w:rPr>
        <w:t>nor does it</w:t>
      </w:r>
      <w:r w:rsidRPr="004D6BC8">
        <w:rPr>
          <w:sz w:val="24"/>
          <w:szCs w:val="24"/>
        </w:rPr>
        <w:t xml:space="preserve"> explore the additional </w:t>
      </w:r>
      <w:r w:rsidRPr="004D6BC8">
        <w:rPr>
          <w:color w:val="000000"/>
          <w:sz w:val="24"/>
          <w:szCs w:val="24"/>
          <w:shd w:val="clear" w:color="auto" w:fill="FFFFFF"/>
        </w:rPr>
        <w:t xml:space="preserve">burden of having </w:t>
      </w:r>
      <w:r w:rsidR="00723AC8" w:rsidRPr="004D6BC8">
        <w:rPr>
          <w:color w:val="000000"/>
          <w:sz w:val="24"/>
          <w:szCs w:val="24"/>
          <w:shd w:val="clear" w:color="auto" w:fill="FFFFFF"/>
        </w:rPr>
        <w:t>chronic and frequent breathing difficulties</w:t>
      </w:r>
      <w:r w:rsidRPr="004D6BC8">
        <w:rPr>
          <w:color w:val="000000"/>
          <w:sz w:val="24"/>
          <w:szCs w:val="24"/>
          <w:shd w:val="clear" w:color="auto" w:fill="FFFFFF"/>
        </w:rPr>
        <w:t xml:space="preserve"> in children with congenital anomalies</w:t>
      </w:r>
      <w:r w:rsidR="00A14D63">
        <w:rPr>
          <w:color w:val="000000"/>
          <w:sz w:val="24"/>
          <w:szCs w:val="24"/>
          <w:shd w:val="clear" w:color="auto" w:fill="FFFFFF"/>
        </w:rPr>
        <w:t>.</w:t>
      </w:r>
      <w:r>
        <w:rPr>
          <w:color w:val="000000"/>
          <w:sz w:val="24"/>
          <w:szCs w:val="24"/>
          <w:shd w:val="clear" w:color="auto" w:fill="FFFFFF"/>
        </w:rPr>
        <w:t xml:space="preserve"> </w:t>
      </w:r>
      <w:r w:rsidR="00856E98">
        <w:rPr>
          <w:sz w:val="24"/>
          <w:szCs w:val="24"/>
        </w:rPr>
        <w:t>A cohort study based on health records of 170,960 Canadian children up to age six, 1980-1990, reported that children with congenital anomalies of the circulatory system and anomalies of the respiratory system ha</w:t>
      </w:r>
      <w:r w:rsidR="004105E0">
        <w:rPr>
          <w:sz w:val="24"/>
          <w:szCs w:val="24"/>
        </w:rPr>
        <w:t>d</w:t>
      </w:r>
      <w:r w:rsidR="00856E98">
        <w:rPr>
          <w:sz w:val="24"/>
          <w:szCs w:val="24"/>
        </w:rPr>
        <w:t xml:space="preserve"> an increased risk of a recorded asthma diagnosis (HR=1.16, 95%</w:t>
      </w:r>
      <w:r w:rsidR="00571E8D">
        <w:rPr>
          <w:sz w:val="24"/>
          <w:szCs w:val="24"/>
        </w:rPr>
        <w:t xml:space="preserve"> </w:t>
      </w:r>
      <w:r w:rsidR="00856E98">
        <w:rPr>
          <w:sz w:val="24"/>
          <w:szCs w:val="24"/>
        </w:rPr>
        <w:t>CI 1.03-1.30; and HR=1.43, 95%</w:t>
      </w:r>
      <w:r w:rsidR="00571E8D">
        <w:rPr>
          <w:sz w:val="24"/>
          <w:szCs w:val="24"/>
        </w:rPr>
        <w:t xml:space="preserve"> </w:t>
      </w:r>
      <w:r w:rsidR="00856E98">
        <w:rPr>
          <w:sz w:val="24"/>
          <w:szCs w:val="24"/>
        </w:rPr>
        <w:t xml:space="preserve">CI 1.27-1.61) compared to control children </w:t>
      </w:r>
      <w:r w:rsidR="00A67356">
        <w:rPr>
          <w:sz w:val="24"/>
          <w:szCs w:val="24"/>
        </w:rPr>
        <w:t>[16]</w:t>
      </w:r>
      <w:r w:rsidR="00856E98">
        <w:rPr>
          <w:sz w:val="24"/>
          <w:szCs w:val="24"/>
        </w:rPr>
        <w:t>.</w:t>
      </w:r>
      <w:r w:rsidR="00544AC4">
        <w:rPr>
          <w:sz w:val="24"/>
          <w:szCs w:val="24"/>
        </w:rPr>
        <w:t xml:space="preserve"> Children </w:t>
      </w:r>
      <w:r w:rsidR="008902FB">
        <w:rPr>
          <w:sz w:val="24"/>
          <w:szCs w:val="24"/>
        </w:rPr>
        <w:t xml:space="preserve">under two </w:t>
      </w:r>
      <w:r w:rsidR="00544AC4">
        <w:rPr>
          <w:sz w:val="24"/>
          <w:szCs w:val="24"/>
        </w:rPr>
        <w:t>with diaphragmatic hernia</w:t>
      </w:r>
      <w:r w:rsidR="008902FB">
        <w:rPr>
          <w:sz w:val="24"/>
          <w:szCs w:val="24"/>
        </w:rPr>
        <w:t xml:space="preserve"> ha</w:t>
      </w:r>
      <w:r w:rsidR="00CB0512">
        <w:rPr>
          <w:sz w:val="24"/>
          <w:szCs w:val="24"/>
        </w:rPr>
        <w:t>d</w:t>
      </w:r>
      <w:r w:rsidR="008902FB">
        <w:rPr>
          <w:sz w:val="24"/>
          <w:szCs w:val="24"/>
        </w:rPr>
        <w:t xml:space="preserve"> high hospital readmission rates for wheeze, </w:t>
      </w:r>
      <w:r w:rsidR="00544AC4">
        <w:rPr>
          <w:sz w:val="24"/>
          <w:szCs w:val="24"/>
        </w:rPr>
        <w:t>particularly if born pre</w:t>
      </w:r>
      <w:r w:rsidR="00827CA4">
        <w:rPr>
          <w:sz w:val="24"/>
          <w:szCs w:val="24"/>
        </w:rPr>
        <w:t>term</w:t>
      </w:r>
      <w:r w:rsidR="00544AC4">
        <w:rPr>
          <w:sz w:val="24"/>
          <w:szCs w:val="24"/>
        </w:rPr>
        <w:t xml:space="preserve"> </w:t>
      </w:r>
      <w:r w:rsidR="00592675">
        <w:rPr>
          <w:sz w:val="24"/>
          <w:szCs w:val="24"/>
        </w:rPr>
        <w:t>[17]</w:t>
      </w:r>
      <w:r w:rsidR="00544AC4">
        <w:rPr>
          <w:sz w:val="24"/>
          <w:szCs w:val="24"/>
        </w:rPr>
        <w:t>.</w:t>
      </w:r>
      <w:r w:rsidR="00856E98">
        <w:rPr>
          <w:sz w:val="24"/>
          <w:szCs w:val="24"/>
        </w:rPr>
        <w:t xml:space="preserve"> </w:t>
      </w:r>
      <w:r w:rsidR="004E4871">
        <w:rPr>
          <w:sz w:val="24"/>
          <w:szCs w:val="24"/>
        </w:rPr>
        <w:t>Most r</w:t>
      </w:r>
      <w:r w:rsidR="00B47F6C">
        <w:rPr>
          <w:sz w:val="24"/>
          <w:szCs w:val="24"/>
        </w:rPr>
        <w:t>esearch exploring asthma</w:t>
      </w:r>
      <w:r w:rsidR="00D31BBB">
        <w:rPr>
          <w:sz w:val="24"/>
          <w:szCs w:val="24"/>
        </w:rPr>
        <w:t xml:space="preserve"> and breathing difficulties in those with</w:t>
      </w:r>
      <w:r w:rsidR="004E4871">
        <w:rPr>
          <w:sz w:val="24"/>
          <w:szCs w:val="24"/>
        </w:rPr>
        <w:t xml:space="preserve"> congenital anomalies is based on case series involving small sample sizes. </w:t>
      </w:r>
      <w:r w:rsidR="00AA49B5">
        <w:rPr>
          <w:sz w:val="24"/>
          <w:szCs w:val="24"/>
        </w:rPr>
        <w:t>For example, a</w:t>
      </w:r>
      <w:r w:rsidR="00B47F6C">
        <w:rPr>
          <w:sz w:val="24"/>
          <w:szCs w:val="24"/>
        </w:rPr>
        <w:t xml:space="preserve"> cohort of adult</w:t>
      </w:r>
      <w:r w:rsidR="008E7E4C">
        <w:rPr>
          <w:sz w:val="24"/>
          <w:szCs w:val="24"/>
        </w:rPr>
        <w:t xml:space="preserve"> Dutch</w:t>
      </w:r>
      <w:r w:rsidR="00B47F6C">
        <w:rPr>
          <w:sz w:val="24"/>
          <w:szCs w:val="24"/>
        </w:rPr>
        <w:t xml:space="preserve"> patients with unrepaired atrial septal defect reported that </w:t>
      </w:r>
      <w:r w:rsidR="00B47F6C" w:rsidRPr="00C637F0">
        <w:rPr>
          <w:sz w:val="24"/>
          <w:szCs w:val="24"/>
        </w:rPr>
        <w:t>four out of 31</w:t>
      </w:r>
      <w:r w:rsidR="00B47F6C">
        <w:rPr>
          <w:sz w:val="24"/>
          <w:szCs w:val="24"/>
        </w:rPr>
        <w:t xml:space="preserve"> (13%) patients had an asthma diagnosis and were taking anti-asthmatic medication</w:t>
      </w:r>
      <w:r w:rsidR="007646A1">
        <w:rPr>
          <w:sz w:val="24"/>
          <w:szCs w:val="24"/>
        </w:rPr>
        <w:t xml:space="preserve"> </w:t>
      </w:r>
      <w:r w:rsidR="006D2CED">
        <w:rPr>
          <w:sz w:val="24"/>
          <w:szCs w:val="24"/>
        </w:rPr>
        <w:t>[18]</w:t>
      </w:r>
      <w:r w:rsidR="00B47F6C">
        <w:rPr>
          <w:sz w:val="24"/>
          <w:szCs w:val="24"/>
        </w:rPr>
        <w:t xml:space="preserve">. </w:t>
      </w:r>
      <w:r w:rsidR="004E4871">
        <w:rPr>
          <w:sz w:val="24"/>
          <w:szCs w:val="24"/>
        </w:rPr>
        <w:t>Similarly</w:t>
      </w:r>
      <w:r w:rsidR="00681F3C">
        <w:rPr>
          <w:sz w:val="24"/>
          <w:szCs w:val="24"/>
        </w:rPr>
        <w:t xml:space="preserve">, a study of 14 Dutch children aged 7-12 </w:t>
      </w:r>
      <w:r w:rsidR="00C839B3">
        <w:rPr>
          <w:sz w:val="24"/>
          <w:szCs w:val="24"/>
        </w:rPr>
        <w:t xml:space="preserve">years </w:t>
      </w:r>
      <w:r w:rsidR="00681F3C">
        <w:rPr>
          <w:sz w:val="24"/>
          <w:szCs w:val="24"/>
        </w:rPr>
        <w:t xml:space="preserve">with oesophageal atresia identified that </w:t>
      </w:r>
      <w:r w:rsidR="0066452B">
        <w:rPr>
          <w:sz w:val="24"/>
          <w:szCs w:val="24"/>
        </w:rPr>
        <w:t>four of the 14 children (</w:t>
      </w:r>
      <w:r w:rsidR="00681F3C">
        <w:rPr>
          <w:sz w:val="24"/>
          <w:szCs w:val="24"/>
        </w:rPr>
        <w:t>29%</w:t>
      </w:r>
      <w:r w:rsidR="0066452B">
        <w:rPr>
          <w:sz w:val="24"/>
          <w:szCs w:val="24"/>
        </w:rPr>
        <w:t>)</w:t>
      </w:r>
      <w:r w:rsidR="00681F3C">
        <w:rPr>
          <w:sz w:val="24"/>
          <w:szCs w:val="24"/>
        </w:rPr>
        <w:t xml:space="preserve"> had received a diagnosis of asthma</w:t>
      </w:r>
      <w:r w:rsidR="00A31715">
        <w:rPr>
          <w:sz w:val="24"/>
          <w:szCs w:val="24"/>
        </w:rPr>
        <w:t xml:space="preserve"> </w:t>
      </w:r>
      <w:r w:rsidR="006D2CED">
        <w:rPr>
          <w:sz w:val="24"/>
          <w:szCs w:val="24"/>
        </w:rPr>
        <w:t>[19]</w:t>
      </w:r>
      <w:r w:rsidR="00B47F6C">
        <w:rPr>
          <w:sz w:val="24"/>
          <w:szCs w:val="24"/>
        </w:rPr>
        <w:t xml:space="preserve">. </w:t>
      </w:r>
    </w:p>
    <w:p w14:paraId="236F232E" w14:textId="6AD5B472" w:rsidR="00064D37" w:rsidRDefault="00FC401E">
      <w:pPr>
        <w:rPr>
          <w:b/>
          <w:bCs/>
          <w:sz w:val="24"/>
          <w:szCs w:val="24"/>
        </w:rPr>
      </w:pPr>
      <w:r>
        <w:rPr>
          <w:sz w:val="24"/>
          <w:szCs w:val="24"/>
        </w:rPr>
        <w:t xml:space="preserve">The aim of this study is to </w:t>
      </w:r>
      <w:r w:rsidR="00CD3280">
        <w:rPr>
          <w:sz w:val="24"/>
          <w:szCs w:val="24"/>
        </w:rPr>
        <w:t xml:space="preserve">compare </w:t>
      </w:r>
      <w:r w:rsidR="00DC1913">
        <w:rPr>
          <w:sz w:val="24"/>
          <w:szCs w:val="24"/>
        </w:rPr>
        <w:t>the risk of being</w:t>
      </w:r>
      <w:r w:rsidR="00CD3280">
        <w:rPr>
          <w:sz w:val="24"/>
          <w:szCs w:val="24"/>
        </w:rPr>
        <w:t xml:space="preserve"> </w:t>
      </w:r>
      <w:r w:rsidR="00304F93">
        <w:rPr>
          <w:sz w:val="24"/>
          <w:szCs w:val="24"/>
        </w:rPr>
        <w:t>prescribed</w:t>
      </w:r>
      <w:r w:rsidR="00CD3280">
        <w:rPr>
          <w:sz w:val="24"/>
          <w:szCs w:val="24"/>
        </w:rPr>
        <w:t xml:space="preserve"> or dispensed medications for respiratory conditions in</w:t>
      </w:r>
      <w:r w:rsidR="00DC1913">
        <w:rPr>
          <w:sz w:val="24"/>
          <w:szCs w:val="24"/>
        </w:rPr>
        <w:t xml:space="preserve"> </w:t>
      </w:r>
      <w:r w:rsidR="000E0C12">
        <w:rPr>
          <w:sz w:val="24"/>
          <w:szCs w:val="24"/>
        </w:rPr>
        <w:t>children with and without congenital anomalies</w:t>
      </w:r>
      <w:r w:rsidR="00124299" w:rsidRPr="00124299">
        <w:rPr>
          <w:sz w:val="24"/>
          <w:szCs w:val="24"/>
        </w:rPr>
        <w:t xml:space="preserve"> </w:t>
      </w:r>
      <w:r w:rsidR="00F04EFA">
        <w:rPr>
          <w:sz w:val="24"/>
          <w:szCs w:val="24"/>
        </w:rPr>
        <w:t>in six</w:t>
      </w:r>
      <w:r w:rsidR="00124299">
        <w:rPr>
          <w:sz w:val="24"/>
          <w:szCs w:val="24"/>
        </w:rPr>
        <w:t xml:space="preserve"> Europe</w:t>
      </w:r>
      <w:r w:rsidR="00F04EFA">
        <w:rPr>
          <w:sz w:val="24"/>
          <w:szCs w:val="24"/>
        </w:rPr>
        <w:t>an regions</w:t>
      </w:r>
      <w:r w:rsidR="000E0C12">
        <w:rPr>
          <w:sz w:val="24"/>
          <w:szCs w:val="24"/>
        </w:rPr>
        <w:t xml:space="preserve">. </w:t>
      </w:r>
      <w:r w:rsidR="00064D37">
        <w:rPr>
          <w:b/>
          <w:bCs/>
          <w:sz w:val="24"/>
          <w:szCs w:val="24"/>
        </w:rPr>
        <w:br w:type="page"/>
      </w:r>
    </w:p>
    <w:p w14:paraId="225DBE9A" w14:textId="01B3BF62" w:rsidR="00B50A1E" w:rsidRDefault="00986D8F" w:rsidP="00B50A1E">
      <w:pPr>
        <w:rPr>
          <w:b/>
          <w:bCs/>
          <w:sz w:val="24"/>
          <w:szCs w:val="24"/>
        </w:rPr>
      </w:pPr>
      <w:r>
        <w:rPr>
          <w:b/>
          <w:bCs/>
          <w:sz w:val="24"/>
          <w:szCs w:val="24"/>
        </w:rPr>
        <w:lastRenderedPageBreak/>
        <w:t>Materials and Methods</w:t>
      </w:r>
    </w:p>
    <w:p w14:paraId="0165EF71" w14:textId="7A36D343" w:rsidR="00B50A1E" w:rsidRPr="00FC75B9" w:rsidRDefault="00B50A1E" w:rsidP="00DC71B3">
      <w:pPr>
        <w:spacing w:line="240" w:lineRule="auto"/>
        <w:rPr>
          <w:sz w:val="18"/>
          <w:szCs w:val="18"/>
        </w:rPr>
      </w:pPr>
      <w:r>
        <w:rPr>
          <w:sz w:val="24"/>
          <w:szCs w:val="24"/>
        </w:rPr>
        <w:t xml:space="preserve">This is a </w:t>
      </w:r>
      <w:r w:rsidR="00D87077">
        <w:rPr>
          <w:sz w:val="24"/>
          <w:szCs w:val="24"/>
        </w:rPr>
        <w:t>EUROli</w:t>
      </w:r>
      <w:r w:rsidR="00284233">
        <w:rPr>
          <w:sz w:val="24"/>
          <w:szCs w:val="24"/>
        </w:rPr>
        <w:t>nkCAT</w:t>
      </w:r>
      <w:r>
        <w:rPr>
          <w:sz w:val="24"/>
          <w:szCs w:val="24"/>
        </w:rPr>
        <w:t xml:space="preserve"> population-based </w:t>
      </w:r>
      <w:r w:rsidR="001D1FA3">
        <w:rPr>
          <w:sz w:val="24"/>
          <w:szCs w:val="24"/>
        </w:rPr>
        <w:t xml:space="preserve">data </w:t>
      </w:r>
      <w:r>
        <w:rPr>
          <w:sz w:val="24"/>
          <w:szCs w:val="24"/>
        </w:rPr>
        <w:t xml:space="preserve">linkage cohort study </w:t>
      </w:r>
      <w:r w:rsidR="00AB3D4E">
        <w:rPr>
          <w:sz w:val="24"/>
          <w:szCs w:val="24"/>
        </w:rPr>
        <w:t>involving</w:t>
      </w:r>
      <w:r w:rsidR="00BD63B9">
        <w:rPr>
          <w:sz w:val="24"/>
          <w:szCs w:val="24"/>
        </w:rPr>
        <w:t xml:space="preserve"> </w:t>
      </w:r>
      <w:r>
        <w:rPr>
          <w:sz w:val="24"/>
          <w:szCs w:val="24"/>
        </w:rPr>
        <w:t>children</w:t>
      </w:r>
      <w:r w:rsidR="00D55CF1">
        <w:rPr>
          <w:sz w:val="24"/>
          <w:szCs w:val="24"/>
        </w:rPr>
        <w:t xml:space="preserve"> from 0-9</w:t>
      </w:r>
      <w:r>
        <w:rPr>
          <w:sz w:val="24"/>
          <w:szCs w:val="24"/>
        </w:rPr>
        <w:t xml:space="preserve"> years of age with and without congenital anomalies</w:t>
      </w:r>
      <w:r w:rsidR="000A0661">
        <w:rPr>
          <w:sz w:val="24"/>
          <w:szCs w:val="24"/>
        </w:rPr>
        <w:t xml:space="preserve"> in six European regions: Denmark: Funen; Finland; Italy: Emilia Romagna; Italy: Tuscany; Spain: Valencian Region; UK: Wales</w:t>
      </w:r>
      <w:r>
        <w:rPr>
          <w:sz w:val="24"/>
          <w:szCs w:val="24"/>
        </w:rPr>
        <w:t>.</w:t>
      </w:r>
    </w:p>
    <w:p w14:paraId="6B7C7B65" w14:textId="4EFDCFFD" w:rsidR="00E76541" w:rsidRDefault="00B50A1E" w:rsidP="00B50A1E">
      <w:pPr>
        <w:rPr>
          <w:sz w:val="24"/>
          <w:szCs w:val="24"/>
        </w:rPr>
      </w:pPr>
      <w:r>
        <w:rPr>
          <w:sz w:val="24"/>
          <w:szCs w:val="24"/>
        </w:rPr>
        <w:t xml:space="preserve">The </w:t>
      </w:r>
      <w:r w:rsidR="009874CC">
        <w:rPr>
          <w:sz w:val="24"/>
          <w:szCs w:val="24"/>
        </w:rPr>
        <w:t xml:space="preserve">inclusion criteria </w:t>
      </w:r>
      <w:proofErr w:type="gramStart"/>
      <w:r w:rsidR="009874CC">
        <w:rPr>
          <w:sz w:val="24"/>
          <w:szCs w:val="24"/>
        </w:rPr>
        <w:t>was</w:t>
      </w:r>
      <w:proofErr w:type="gramEnd"/>
      <w:r w:rsidR="001B3440">
        <w:rPr>
          <w:sz w:val="24"/>
          <w:szCs w:val="24"/>
        </w:rPr>
        <w:t xml:space="preserve"> all liveborn</w:t>
      </w:r>
      <w:r>
        <w:rPr>
          <w:sz w:val="24"/>
          <w:szCs w:val="24"/>
        </w:rPr>
        <w:t xml:space="preserve"> children</w:t>
      </w:r>
      <w:r w:rsidR="0037434F">
        <w:rPr>
          <w:sz w:val="24"/>
          <w:szCs w:val="24"/>
        </w:rPr>
        <w:t xml:space="preserve"> </w:t>
      </w:r>
      <w:r>
        <w:rPr>
          <w:sz w:val="24"/>
          <w:szCs w:val="24"/>
        </w:rPr>
        <w:t>in the registry areas born between 2000 and 2014</w:t>
      </w:r>
      <w:r w:rsidR="0037434F">
        <w:rPr>
          <w:sz w:val="24"/>
          <w:szCs w:val="24"/>
        </w:rPr>
        <w:t>,</w:t>
      </w:r>
      <w:r w:rsidR="00F24561">
        <w:rPr>
          <w:sz w:val="24"/>
          <w:szCs w:val="24"/>
        </w:rPr>
        <w:t xml:space="preserve"> or the first birth year included in the study by each registry (Table 1)</w:t>
      </w:r>
      <w:r>
        <w:rPr>
          <w:sz w:val="24"/>
          <w:szCs w:val="24"/>
        </w:rPr>
        <w:t>. Five registries included reference children from the whole population covering the registry area, while Tuscany provided a 10% sample</w:t>
      </w:r>
      <w:r w:rsidR="009E682E">
        <w:rPr>
          <w:sz w:val="24"/>
          <w:szCs w:val="24"/>
        </w:rPr>
        <w:t xml:space="preserve"> </w:t>
      </w:r>
      <w:r>
        <w:rPr>
          <w:sz w:val="24"/>
          <w:szCs w:val="24"/>
        </w:rPr>
        <w:t>of reference children matched on year of birth and sex.</w:t>
      </w:r>
      <w:r w:rsidR="00C61A6C">
        <w:rPr>
          <w:sz w:val="24"/>
          <w:szCs w:val="24"/>
        </w:rPr>
        <w:t xml:space="preserve"> </w:t>
      </w:r>
      <w:r w:rsidR="00636DEF">
        <w:rPr>
          <w:sz w:val="24"/>
          <w:szCs w:val="24"/>
        </w:rPr>
        <w:t xml:space="preserve">Data on children with congenital anomalies were extracted from the European congenital anomaly (EUROCAT) registries </w:t>
      </w:r>
      <w:r w:rsidR="004430B7">
        <w:rPr>
          <w:sz w:val="24"/>
          <w:szCs w:val="24"/>
        </w:rPr>
        <w:t xml:space="preserve">and data on reference children were obtained from the birth registers in each region </w:t>
      </w:r>
      <w:r w:rsidR="00636DEF">
        <w:rPr>
          <w:sz w:val="24"/>
          <w:szCs w:val="24"/>
        </w:rPr>
        <w:t>[20-2</w:t>
      </w:r>
      <w:r w:rsidR="007072F4">
        <w:rPr>
          <w:sz w:val="24"/>
          <w:szCs w:val="24"/>
        </w:rPr>
        <w:t>2</w:t>
      </w:r>
      <w:r w:rsidR="00636DEF">
        <w:rPr>
          <w:sz w:val="24"/>
          <w:szCs w:val="24"/>
        </w:rPr>
        <w:t>].</w:t>
      </w:r>
    </w:p>
    <w:p w14:paraId="358FA742" w14:textId="3399FD6A" w:rsidR="00416BB4" w:rsidRDefault="005E71F5" w:rsidP="00F33EA8">
      <w:pPr>
        <w:rPr>
          <w:sz w:val="24"/>
          <w:szCs w:val="24"/>
        </w:rPr>
      </w:pPr>
      <w:r>
        <w:rPr>
          <w:sz w:val="24"/>
          <w:szCs w:val="24"/>
        </w:rPr>
        <w:t>C</w:t>
      </w:r>
      <w:r w:rsidR="00C7599A">
        <w:rPr>
          <w:sz w:val="24"/>
          <w:szCs w:val="24"/>
        </w:rPr>
        <w:t xml:space="preserve">hildren were linked </w:t>
      </w:r>
      <w:r w:rsidR="00B86F09">
        <w:rPr>
          <w:sz w:val="24"/>
          <w:szCs w:val="24"/>
        </w:rPr>
        <w:t>to</w:t>
      </w:r>
      <w:r w:rsidR="00460CAB">
        <w:rPr>
          <w:sz w:val="24"/>
          <w:szCs w:val="24"/>
        </w:rPr>
        <w:t xml:space="preserve"> regional or national</w:t>
      </w:r>
      <w:r w:rsidR="001B765C">
        <w:rPr>
          <w:sz w:val="24"/>
          <w:szCs w:val="24"/>
        </w:rPr>
        <w:t xml:space="preserve"> </w:t>
      </w:r>
      <w:r w:rsidR="00731684">
        <w:rPr>
          <w:sz w:val="24"/>
          <w:szCs w:val="24"/>
        </w:rPr>
        <w:t xml:space="preserve">prescription databases </w:t>
      </w:r>
      <w:r w:rsidR="00973592">
        <w:rPr>
          <w:sz w:val="24"/>
          <w:szCs w:val="24"/>
        </w:rPr>
        <w:t xml:space="preserve">and to </w:t>
      </w:r>
      <w:r w:rsidR="00F22BD0" w:rsidRPr="00AC3A6D">
        <w:rPr>
          <w:sz w:val="24"/>
          <w:szCs w:val="24"/>
          <w:lang w:val="en-US"/>
        </w:rPr>
        <w:t xml:space="preserve">hospital </w:t>
      </w:r>
      <w:r w:rsidR="004240F4">
        <w:rPr>
          <w:sz w:val="24"/>
          <w:szCs w:val="24"/>
          <w:lang w:val="en-US"/>
        </w:rPr>
        <w:t xml:space="preserve">outpatient pharmacy </w:t>
      </w:r>
      <w:r w:rsidR="00F22BD0" w:rsidRPr="00AC3A6D">
        <w:rPr>
          <w:sz w:val="24"/>
          <w:szCs w:val="24"/>
          <w:lang w:val="en-US"/>
        </w:rPr>
        <w:t>databases</w:t>
      </w:r>
      <w:r w:rsidR="004240F4">
        <w:rPr>
          <w:sz w:val="24"/>
          <w:szCs w:val="24"/>
          <w:lang w:val="en-US"/>
        </w:rPr>
        <w:t>, if available.</w:t>
      </w:r>
      <w:r w:rsidR="00F22BD0" w:rsidRPr="00AC3A6D">
        <w:rPr>
          <w:sz w:val="24"/>
          <w:szCs w:val="24"/>
          <w:lang w:val="en-US"/>
        </w:rPr>
        <w:t xml:space="preserve"> </w:t>
      </w:r>
      <w:r w:rsidR="001F185C" w:rsidRPr="00AC3A6D">
        <w:rPr>
          <w:sz w:val="24"/>
          <w:szCs w:val="24"/>
          <w:lang w:val="en-US"/>
        </w:rPr>
        <w:t xml:space="preserve">Children who could not be linked to these databases were </w:t>
      </w:r>
      <w:r w:rsidR="002F37CE">
        <w:rPr>
          <w:sz w:val="24"/>
          <w:szCs w:val="24"/>
          <w:lang w:val="en-US"/>
        </w:rPr>
        <w:t>classifie</w:t>
      </w:r>
      <w:r w:rsidR="0090187B">
        <w:rPr>
          <w:sz w:val="24"/>
          <w:szCs w:val="24"/>
          <w:lang w:val="en-US"/>
        </w:rPr>
        <w:t xml:space="preserve">d as “not linked” and were </w:t>
      </w:r>
      <w:r w:rsidR="001B3440">
        <w:rPr>
          <w:sz w:val="24"/>
          <w:szCs w:val="24"/>
          <w:lang w:val="en-US"/>
        </w:rPr>
        <w:t>not included in the study</w:t>
      </w:r>
      <w:r w:rsidR="001F185C">
        <w:rPr>
          <w:sz w:val="24"/>
          <w:szCs w:val="24"/>
          <w:lang w:val="en-US"/>
        </w:rPr>
        <w:t xml:space="preserve">, see </w:t>
      </w:r>
      <w:r w:rsidR="009874CC">
        <w:rPr>
          <w:sz w:val="24"/>
          <w:szCs w:val="24"/>
          <w:lang w:val="en-US"/>
        </w:rPr>
        <w:t xml:space="preserve">Supplementary </w:t>
      </w:r>
      <w:r w:rsidR="001F185C">
        <w:rPr>
          <w:sz w:val="24"/>
          <w:szCs w:val="24"/>
          <w:lang w:val="en-US"/>
        </w:rPr>
        <w:t xml:space="preserve">Table </w:t>
      </w:r>
      <w:r w:rsidR="00A771B3">
        <w:rPr>
          <w:sz w:val="24"/>
          <w:szCs w:val="24"/>
          <w:lang w:val="en-US"/>
        </w:rPr>
        <w:t>1</w:t>
      </w:r>
      <w:r w:rsidR="001F185C" w:rsidRPr="00AC3A6D">
        <w:rPr>
          <w:sz w:val="24"/>
          <w:szCs w:val="24"/>
          <w:lang w:val="en-US"/>
        </w:rPr>
        <w:t>.</w:t>
      </w:r>
      <w:r w:rsidR="00E512D5">
        <w:rPr>
          <w:sz w:val="24"/>
          <w:szCs w:val="24"/>
          <w:lang w:val="en-US"/>
        </w:rPr>
        <w:t xml:space="preserve"> </w:t>
      </w:r>
      <w:r w:rsidR="00416BB4" w:rsidRPr="002975B9">
        <w:rPr>
          <w:sz w:val="24"/>
          <w:szCs w:val="24"/>
        </w:rPr>
        <w:t>Wales ha</w:t>
      </w:r>
      <w:r w:rsidR="00416BB4">
        <w:rPr>
          <w:sz w:val="24"/>
          <w:szCs w:val="24"/>
        </w:rPr>
        <w:t>d</w:t>
      </w:r>
      <w:r w:rsidR="00416BB4" w:rsidRPr="002975B9">
        <w:rPr>
          <w:sz w:val="24"/>
          <w:szCs w:val="24"/>
        </w:rPr>
        <w:t xml:space="preserve"> information on prescriptions issued by the </w:t>
      </w:r>
      <w:r w:rsidR="00416BB4">
        <w:rPr>
          <w:sz w:val="24"/>
          <w:szCs w:val="24"/>
        </w:rPr>
        <w:t>general practitioner (</w:t>
      </w:r>
      <w:r w:rsidR="00416BB4" w:rsidRPr="002975B9">
        <w:rPr>
          <w:sz w:val="24"/>
          <w:szCs w:val="24"/>
        </w:rPr>
        <w:t>GP</w:t>
      </w:r>
      <w:r w:rsidR="00416BB4">
        <w:rPr>
          <w:sz w:val="24"/>
          <w:szCs w:val="24"/>
        </w:rPr>
        <w:t>)</w:t>
      </w:r>
      <w:r w:rsidR="00416BB4" w:rsidRPr="002975B9">
        <w:rPr>
          <w:sz w:val="24"/>
          <w:szCs w:val="24"/>
        </w:rPr>
        <w:t xml:space="preserve"> for approximately 70% of Welsh GP practices that were part of the Secure Anonymised Information Linkage (SAIL) databank during the study period</w:t>
      </w:r>
      <w:r w:rsidR="00416BB4">
        <w:rPr>
          <w:sz w:val="24"/>
          <w:szCs w:val="24"/>
        </w:rPr>
        <w:t>, while t</w:t>
      </w:r>
      <w:r w:rsidR="00416BB4" w:rsidRPr="002975B9">
        <w:rPr>
          <w:sz w:val="24"/>
          <w:szCs w:val="24"/>
        </w:rPr>
        <w:t>he other registries had information on prescriptions dispensed by a pharmacy in their region</w:t>
      </w:r>
      <w:r w:rsidR="00416BB4">
        <w:t xml:space="preserve">. </w:t>
      </w:r>
      <w:r w:rsidR="00416BB4">
        <w:rPr>
          <w:sz w:val="24"/>
          <w:szCs w:val="24"/>
        </w:rPr>
        <w:t>None of the registries were able to link to hospital inpatient prescribing data or had access to over</w:t>
      </w:r>
      <w:r w:rsidR="00D31C06">
        <w:rPr>
          <w:sz w:val="24"/>
          <w:szCs w:val="24"/>
        </w:rPr>
        <w:t>-</w:t>
      </w:r>
      <w:r w:rsidR="00416BB4">
        <w:rPr>
          <w:sz w:val="24"/>
          <w:szCs w:val="24"/>
        </w:rPr>
        <w:t>the</w:t>
      </w:r>
      <w:r w:rsidR="00D31C06">
        <w:rPr>
          <w:sz w:val="24"/>
          <w:szCs w:val="24"/>
        </w:rPr>
        <w:t>-</w:t>
      </w:r>
      <w:r w:rsidR="00416BB4">
        <w:rPr>
          <w:sz w:val="24"/>
          <w:szCs w:val="24"/>
        </w:rPr>
        <w:t>counter medication.</w:t>
      </w:r>
    </w:p>
    <w:p w14:paraId="006FB621" w14:textId="3497948B" w:rsidR="00F33EA8" w:rsidRDefault="00B50A1E" w:rsidP="00F33EA8">
      <w:pPr>
        <w:rPr>
          <w:sz w:val="24"/>
          <w:szCs w:val="24"/>
        </w:rPr>
      </w:pPr>
      <w:r>
        <w:rPr>
          <w:sz w:val="24"/>
          <w:szCs w:val="24"/>
        </w:rPr>
        <w:t xml:space="preserve">Anti-asthmatic medication is defined using the World Health Organisation’s Anatomical Therapeutic Chemical (ATC) classification system, </w:t>
      </w:r>
      <w:proofErr w:type="gramStart"/>
      <w:r>
        <w:rPr>
          <w:sz w:val="24"/>
          <w:szCs w:val="24"/>
        </w:rPr>
        <w:t>i.e.</w:t>
      </w:r>
      <w:proofErr w:type="gramEnd"/>
      <w:r>
        <w:rPr>
          <w:sz w:val="24"/>
          <w:szCs w:val="24"/>
        </w:rPr>
        <w:t xml:space="preserve"> ATC codes beginning with R03</w:t>
      </w:r>
      <w:r w:rsidR="008E2F3B">
        <w:rPr>
          <w:sz w:val="24"/>
          <w:szCs w:val="24"/>
        </w:rPr>
        <w:t xml:space="preserve"> (drugs for obstructive airway diseases)</w:t>
      </w:r>
      <w:r>
        <w:rPr>
          <w:sz w:val="24"/>
          <w:szCs w:val="24"/>
        </w:rPr>
        <w:t>: beta-2 agonists (R03AC);</w:t>
      </w:r>
      <w:r w:rsidR="00C109D0">
        <w:rPr>
          <w:sz w:val="24"/>
          <w:szCs w:val="24"/>
        </w:rPr>
        <w:t xml:space="preserve"> inhaled corticosteroids</w:t>
      </w:r>
      <w:r>
        <w:rPr>
          <w:sz w:val="24"/>
          <w:szCs w:val="24"/>
        </w:rPr>
        <w:t xml:space="preserve"> (R03BA); anticholinergics (R03BB); antiallergic agents (R03BC); and leukotriene receptor antagonists (R03DC). Data on beta-2 agonists and inhaled corticosteroids </w:t>
      </w:r>
      <w:r w:rsidR="00197E77">
        <w:rPr>
          <w:sz w:val="24"/>
          <w:szCs w:val="24"/>
        </w:rPr>
        <w:t>we</w:t>
      </w:r>
      <w:r>
        <w:rPr>
          <w:sz w:val="24"/>
          <w:szCs w:val="24"/>
        </w:rPr>
        <w:t>re explored individually. D</w:t>
      </w:r>
      <w:r w:rsidR="00DB4AB8">
        <w:rPr>
          <w:sz w:val="24"/>
          <w:szCs w:val="24"/>
        </w:rPr>
        <w:t>ue to small numbers</w:t>
      </w:r>
      <w:r w:rsidR="00756701">
        <w:rPr>
          <w:sz w:val="24"/>
          <w:szCs w:val="24"/>
        </w:rPr>
        <w:t>, d</w:t>
      </w:r>
      <w:r>
        <w:rPr>
          <w:sz w:val="24"/>
          <w:szCs w:val="24"/>
        </w:rPr>
        <w:t xml:space="preserve">ata on the remaining anti-asthmatic types </w:t>
      </w:r>
      <w:r w:rsidR="0049214F">
        <w:rPr>
          <w:sz w:val="24"/>
          <w:szCs w:val="24"/>
        </w:rPr>
        <w:t>wer</w:t>
      </w:r>
      <w:r>
        <w:rPr>
          <w:sz w:val="24"/>
          <w:szCs w:val="24"/>
        </w:rPr>
        <w:t xml:space="preserve">e included in the ‘any anti-asthmatic (R03)’ category. </w:t>
      </w:r>
      <w:r w:rsidR="00C06846">
        <w:rPr>
          <w:sz w:val="24"/>
          <w:szCs w:val="24"/>
        </w:rPr>
        <w:t xml:space="preserve">Children were </w:t>
      </w:r>
      <w:r w:rsidR="0037178D">
        <w:rPr>
          <w:sz w:val="24"/>
          <w:szCs w:val="24"/>
        </w:rPr>
        <w:t>classed as exposed to</w:t>
      </w:r>
      <w:r w:rsidR="00C06846">
        <w:rPr>
          <w:sz w:val="24"/>
          <w:szCs w:val="24"/>
        </w:rPr>
        <w:t xml:space="preserve"> anti-asthmatic</w:t>
      </w:r>
      <w:r w:rsidR="0037178D">
        <w:rPr>
          <w:sz w:val="24"/>
          <w:szCs w:val="24"/>
        </w:rPr>
        <w:t>s</w:t>
      </w:r>
      <w:r w:rsidR="00C06846">
        <w:rPr>
          <w:sz w:val="24"/>
          <w:szCs w:val="24"/>
        </w:rPr>
        <w:t xml:space="preserve"> if they had been prescribed or dispensed &gt;1 anti-asthmatic prescription in a year </w:t>
      </w:r>
      <w:proofErr w:type="gramStart"/>
      <w:r w:rsidR="00C06846">
        <w:rPr>
          <w:sz w:val="24"/>
          <w:szCs w:val="24"/>
        </w:rPr>
        <w:t>in order to</w:t>
      </w:r>
      <w:proofErr w:type="gramEnd"/>
      <w:r w:rsidR="00C06846">
        <w:rPr>
          <w:sz w:val="24"/>
          <w:szCs w:val="24"/>
        </w:rPr>
        <w:t xml:space="preserve"> </w:t>
      </w:r>
      <w:r w:rsidR="00F33EA8" w:rsidDel="001419C5">
        <w:rPr>
          <w:sz w:val="24"/>
          <w:szCs w:val="24"/>
        </w:rPr>
        <w:t xml:space="preserve">minimise children presenting with one-time occurrences of wheeze or infection. </w:t>
      </w:r>
      <w:r w:rsidR="00662DEC" w:rsidRPr="003E50B6">
        <w:rPr>
          <w:sz w:val="24"/>
          <w:szCs w:val="24"/>
        </w:rPr>
        <w:t xml:space="preserve">Children were </w:t>
      </w:r>
      <w:r w:rsidR="000F197E" w:rsidRPr="003E50B6">
        <w:rPr>
          <w:sz w:val="24"/>
          <w:szCs w:val="24"/>
        </w:rPr>
        <w:t xml:space="preserve">classified as unexposed if they </w:t>
      </w:r>
      <w:r w:rsidR="001C4E70" w:rsidRPr="003E50B6">
        <w:rPr>
          <w:sz w:val="24"/>
          <w:szCs w:val="24"/>
        </w:rPr>
        <w:t xml:space="preserve">were prescribed or dispensed </w:t>
      </w:r>
      <w:r w:rsidR="003C4F3E">
        <w:rPr>
          <w:sz w:val="24"/>
          <w:szCs w:val="24"/>
        </w:rPr>
        <w:t>less than two</w:t>
      </w:r>
      <w:r w:rsidR="001C4E70" w:rsidRPr="003E50B6">
        <w:rPr>
          <w:sz w:val="24"/>
          <w:szCs w:val="24"/>
        </w:rPr>
        <w:t xml:space="preserve"> anti-asthmatic prescription</w:t>
      </w:r>
      <w:r w:rsidR="003C4F3E">
        <w:rPr>
          <w:sz w:val="24"/>
          <w:szCs w:val="24"/>
        </w:rPr>
        <w:t>s in</w:t>
      </w:r>
      <w:r w:rsidR="001C4E70" w:rsidRPr="003E50B6">
        <w:rPr>
          <w:sz w:val="24"/>
          <w:szCs w:val="24"/>
        </w:rPr>
        <w:t xml:space="preserve"> a year</w:t>
      </w:r>
      <w:r w:rsidR="003C4F3E">
        <w:rPr>
          <w:sz w:val="24"/>
          <w:szCs w:val="24"/>
        </w:rPr>
        <w:t>.</w:t>
      </w:r>
      <w:r w:rsidR="00CA7DC4">
        <w:rPr>
          <w:sz w:val="24"/>
          <w:szCs w:val="24"/>
        </w:rPr>
        <w:t xml:space="preserve"> Data on anti-asthmatic medications were included from the year 2000 or the first birth year included in the study by each registry up to the end of 2015, resulting in at least one year of follow-up information for each child.</w:t>
      </w:r>
    </w:p>
    <w:p w14:paraId="1F00E63B" w14:textId="7180ACCE" w:rsidR="00B50A1E" w:rsidRDefault="00BE0E8B" w:rsidP="00B50A1E">
      <w:pPr>
        <w:rPr>
          <w:sz w:val="24"/>
          <w:szCs w:val="24"/>
        </w:rPr>
      </w:pPr>
      <w:r w:rsidDel="007D55C4">
        <w:rPr>
          <w:sz w:val="24"/>
          <w:szCs w:val="24"/>
        </w:rPr>
        <w:t xml:space="preserve">Information on prescriptions </w:t>
      </w:r>
      <w:r w:rsidR="00B50A1E" w:rsidDel="007D55C4">
        <w:rPr>
          <w:sz w:val="24"/>
          <w:szCs w:val="24"/>
        </w:rPr>
        <w:t>w</w:t>
      </w:r>
      <w:r w:rsidR="00853D55" w:rsidDel="007D55C4">
        <w:rPr>
          <w:sz w:val="24"/>
          <w:szCs w:val="24"/>
        </w:rPr>
        <w:t>ere</w:t>
      </w:r>
      <w:r w:rsidR="00B50A1E" w:rsidDel="007D55C4">
        <w:rPr>
          <w:sz w:val="24"/>
          <w:szCs w:val="24"/>
        </w:rPr>
        <w:t xml:space="preserve"> standardised according to a Common Data Model developed </w:t>
      </w:r>
      <w:r w:rsidR="008B01C9">
        <w:rPr>
          <w:sz w:val="24"/>
          <w:szCs w:val="24"/>
        </w:rPr>
        <w:t>as part of the</w:t>
      </w:r>
      <w:r w:rsidR="00B50A1E" w:rsidDel="007D55C4">
        <w:rPr>
          <w:sz w:val="24"/>
          <w:szCs w:val="24"/>
        </w:rPr>
        <w:t xml:space="preserve"> EUROlinkCAT</w:t>
      </w:r>
      <w:r w:rsidR="008B01C9">
        <w:rPr>
          <w:sz w:val="24"/>
          <w:szCs w:val="24"/>
        </w:rPr>
        <w:t xml:space="preserve"> study protocol</w:t>
      </w:r>
      <w:r w:rsidR="00DD1EE1" w:rsidDel="007D55C4">
        <w:rPr>
          <w:sz w:val="24"/>
          <w:szCs w:val="24"/>
        </w:rPr>
        <w:t xml:space="preserve"> </w:t>
      </w:r>
      <w:r w:rsidR="00CB3A35">
        <w:rPr>
          <w:sz w:val="24"/>
          <w:szCs w:val="24"/>
        </w:rPr>
        <w:t>[21</w:t>
      </w:r>
      <w:r w:rsidR="00040B1F">
        <w:rPr>
          <w:sz w:val="24"/>
          <w:szCs w:val="24"/>
        </w:rPr>
        <w:t>-22</w:t>
      </w:r>
      <w:r w:rsidR="00CB3A35">
        <w:rPr>
          <w:sz w:val="24"/>
          <w:szCs w:val="24"/>
        </w:rPr>
        <w:t>]</w:t>
      </w:r>
      <w:r w:rsidR="00922C47" w:rsidDel="007D55C4">
        <w:rPr>
          <w:sz w:val="24"/>
          <w:szCs w:val="24"/>
        </w:rPr>
        <w:t xml:space="preserve">. </w:t>
      </w:r>
      <w:r w:rsidR="00922C47">
        <w:rPr>
          <w:sz w:val="24"/>
          <w:szCs w:val="24"/>
        </w:rPr>
        <w:t>T</w:t>
      </w:r>
      <w:r w:rsidR="00B50A1E">
        <w:rPr>
          <w:sz w:val="24"/>
          <w:szCs w:val="24"/>
        </w:rPr>
        <w:t xml:space="preserve">he EUROCAT data on children with congenital anomalies </w:t>
      </w:r>
      <w:r w:rsidR="00673FD2">
        <w:rPr>
          <w:sz w:val="24"/>
          <w:szCs w:val="24"/>
        </w:rPr>
        <w:t>were</w:t>
      </w:r>
      <w:r w:rsidR="00B50A1E">
        <w:rPr>
          <w:sz w:val="24"/>
          <w:szCs w:val="24"/>
        </w:rPr>
        <w:t xml:space="preserve"> </w:t>
      </w:r>
      <w:r w:rsidR="00D56630">
        <w:rPr>
          <w:sz w:val="24"/>
          <w:szCs w:val="24"/>
        </w:rPr>
        <w:t xml:space="preserve">already </w:t>
      </w:r>
      <w:r w:rsidR="00B50A1E">
        <w:rPr>
          <w:sz w:val="24"/>
          <w:szCs w:val="24"/>
        </w:rPr>
        <w:t>standardised</w:t>
      </w:r>
      <w:r w:rsidR="00D2358D">
        <w:rPr>
          <w:sz w:val="24"/>
          <w:szCs w:val="24"/>
        </w:rPr>
        <w:t xml:space="preserve"> </w:t>
      </w:r>
      <w:r w:rsidR="00EB08BD">
        <w:rPr>
          <w:sz w:val="24"/>
          <w:szCs w:val="24"/>
        </w:rPr>
        <w:t>according to EUROCAT guidelines</w:t>
      </w:r>
      <w:r w:rsidR="0028388E">
        <w:rPr>
          <w:sz w:val="24"/>
          <w:szCs w:val="24"/>
        </w:rPr>
        <w:t xml:space="preserve"> </w:t>
      </w:r>
      <w:r w:rsidR="00CB3A35">
        <w:rPr>
          <w:sz w:val="24"/>
          <w:szCs w:val="24"/>
        </w:rPr>
        <w:t>[23]</w:t>
      </w:r>
      <w:r w:rsidR="00B50A1E">
        <w:rPr>
          <w:sz w:val="24"/>
          <w:szCs w:val="24"/>
        </w:rPr>
        <w:t xml:space="preserve">. A common analysis script was sent to all registries to produce </w:t>
      </w:r>
      <w:r>
        <w:rPr>
          <w:sz w:val="24"/>
          <w:szCs w:val="24"/>
        </w:rPr>
        <w:t>aggregate data and analytic results</w:t>
      </w:r>
      <w:r w:rsidR="00B50A1E">
        <w:rPr>
          <w:sz w:val="24"/>
          <w:szCs w:val="24"/>
        </w:rPr>
        <w:t xml:space="preserve">. </w:t>
      </w:r>
      <w:r>
        <w:rPr>
          <w:sz w:val="24"/>
          <w:szCs w:val="24"/>
        </w:rPr>
        <w:t xml:space="preserve">The </w:t>
      </w:r>
      <w:r w:rsidR="00B50A1E">
        <w:rPr>
          <w:sz w:val="24"/>
          <w:szCs w:val="24"/>
        </w:rPr>
        <w:t>aggregate data</w:t>
      </w:r>
      <w:r>
        <w:rPr>
          <w:sz w:val="24"/>
          <w:szCs w:val="24"/>
        </w:rPr>
        <w:t xml:space="preserve"> and analytic results</w:t>
      </w:r>
      <w:r w:rsidR="00B50A1E">
        <w:rPr>
          <w:sz w:val="24"/>
          <w:szCs w:val="24"/>
        </w:rPr>
        <w:t xml:space="preserve"> were uploaded to a secure web portal for download by the research team</w:t>
      </w:r>
      <w:r>
        <w:rPr>
          <w:sz w:val="24"/>
          <w:szCs w:val="24"/>
        </w:rPr>
        <w:t>;</w:t>
      </w:r>
      <w:r w:rsidR="00B50A1E">
        <w:rPr>
          <w:sz w:val="24"/>
          <w:szCs w:val="24"/>
        </w:rPr>
        <w:t xml:space="preserve"> all individual case data were </w:t>
      </w:r>
      <w:r w:rsidR="00AB195C">
        <w:rPr>
          <w:sz w:val="24"/>
          <w:szCs w:val="24"/>
        </w:rPr>
        <w:t xml:space="preserve">kept </w:t>
      </w:r>
      <w:r w:rsidR="00B50A1E">
        <w:rPr>
          <w:sz w:val="24"/>
          <w:szCs w:val="24"/>
        </w:rPr>
        <w:t xml:space="preserve">locally. </w:t>
      </w:r>
    </w:p>
    <w:p w14:paraId="5C01D835" w14:textId="77777777" w:rsidR="00D1517E" w:rsidRDefault="00D1517E">
      <w:pPr>
        <w:rPr>
          <w:sz w:val="24"/>
          <w:szCs w:val="24"/>
        </w:rPr>
        <w:sectPr w:rsidR="00D1517E" w:rsidSect="0097651C">
          <w:footerReference w:type="first" r:id="rId10"/>
          <w:pgSz w:w="11906" w:h="16838"/>
          <w:pgMar w:top="1440" w:right="1440" w:bottom="1440" w:left="1440" w:header="709" w:footer="709" w:gutter="0"/>
          <w:lnNumType w:countBy="1" w:restart="continuous"/>
          <w:cols w:space="708"/>
          <w:titlePg/>
          <w:docGrid w:linePitch="360"/>
        </w:sectPr>
      </w:pPr>
    </w:p>
    <w:tbl>
      <w:tblPr>
        <w:tblStyle w:val="TableGrid"/>
        <w:tblW w:w="12758" w:type="dxa"/>
        <w:tblInd w:w="-5" w:type="dxa"/>
        <w:tblLayout w:type="fixed"/>
        <w:tblLook w:val="0000" w:firstRow="0" w:lastRow="0" w:firstColumn="0" w:lastColumn="0" w:noHBand="0" w:noVBand="0"/>
      </w:tblPr>
      <w:tblGrid>
        <w:gridCol w:w="1985"/>
        <w:gridCol w:w="1417"/>
        <w:gridCol w:w="1418"/>
        <w:gridCol w:w="1417"/>
        <w:gridCol w:w="1276"/>
        <w:gridCol w:w="1417"/>
        <w:gridCol w:w="1276"/>
        <w:gridCol w:w="1276"/>
        <w:gridCol w:w="1276"/>
      </w:tblGrid>
      <w:tr w:rsidR="00355C87" w:rsidRPr="00D8401B" w14:paraId="3C2A47BA" w14:textId="77777777" w:rsidTr="00655CFC">
        <w:trPr>
          <w:trHeight w:val="774"/>
        </w:trPr>
        <w:tc>
          <w:tcPr>
            <w:tcW w:w="1985" w:type="dxa"/>
          </w:tcPr>
          <w:p w14:paraId="356E5FCD" w14:textId="77777777" w:rsidR="00355C87" w:rsidRPr="00D8401B" w:rsidRDefault="00355C87" w:rsidP="005251B1">
            <w:pPr>
              <w:autoSpaceDE w:val="0"/>
              <w:autoSpaceDN w:val="0"/>
              <w:adjustRightInd w:val="0"/>
              <w:rPr>
                <w:rFonts w:ascii="Calibri" w:hAnsi="Calibri" w:cs="Calibri"/>
                <w:b/>
                <w:bCs/>
                <w:color w:val="000000"/>
                <w:sz w:val="24"/>
                <w:szCs w:val="24"/>
              </w:rPr>
            </w:pPr>
            <w:bookmarkStart w:id="2" w:name="_Hlk135733979"/>
            <w:r>
              <w:rPr>
                <w:rFonts w:ascii="Calibri" w:hAnsi="Calibri" w:cs="Calibri"/>
                <w:b/>
                <w:bCs/>
                <w:color w:val="000000"/>
                <w:sz w:val="24"/>
                <w:szCs w:val="24"/>
              </w:rPr>
              <w:lastRenderedPageBreak/>
              <w:t>Registry</w:t>
            </w:r>
          </w:p>
        </w:tc>
        <w:tc>
          <w:tcPr>
            <w:tcW w:w="2835" w:type="dxa"/>
            <w:gridSpan w:val="2"/>
          </w:tcPr>
          <w:p w14:paraId="40C0C29E"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Total number of children included in study</w:t>
            </w:r>
          </w:p>
        </w:tc>
        <w:tc>
          <w:tcPr>
            <w:tcW w:w="2693" w:type="dxa"/>
            <w:gridSpan w:val="2"/>
          </w:tcPr>
          <w:p w14:paraId="3DF6F4A6"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Total receiving &gt;1 anti-asthmatic during whole follow-up</w:t>
            </w:r>
          </w:p>
        </w:tc>
        <w:tc>
          <w:tcPr>
            <w:tcW w:w="2693" w:type="dxa"/>
            <w:gridSpan w:val="2"/>
          </w:tcPr>
          <w:p w14:paraId="4614688F"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Total receiving &gt;1 inhaled corticosteroid during whole follow-up</w:t>
            </w:r>
          </w:p>
        </w:tc>
        <w:tc>
          <w:tcPr>
            <w:tcW w:w="2552" w:type="dxa"/>
            <w:gridSpan w:val="2"/>
          </w:tcPr>
          <w:p w14:paraId="17FC1124"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Total receiving &gt;1 beta-2 agonist during whole follow-up</w:t>
            </w:r>
          </w:p>
        </w:tc>
      </w:tr>
      <w:tr w:rsidR="00355C87" w:rsidRPr="00D8401B" w14:paraId="714CADFF" w14:textId="77777777" w:rsidTr="00655CFC">
        <w:trPr>
          <w:trHeight w:val="774"/>
        </w:trPr>
        <w:tc>
          <w:tcPr>
            <w:tcW w:w="1985" w:type="dxa"/>
          </w:tcPr>
          <w:p w14:paraId="3D0E8682" w14:textId="77777777" w:rsidR="00355C87" w:rsidRDefault="00355C87" w:rsidP="005251B1">
            <w:pPr>
              <w:autoSpaceDE w:val="0"/>
              <w:autoSpaceDN w:val="0"/>
              <w:adjustRightInd w:val="0"/>
              <w:rPr>
                <w:rFonts w:ascii="Calibri" w:hAnsi="Calibri" w:cs="Calibri"/>
                <w:b/>
                <w:bCs/>
                <w:color w:val="000000"/>
                <w:sz w:val="24"/>
                <w:szCs w:val="24"/>
              </w:rPr>
            </w:pPr>
          </w:p>
        </w:tc>
        <w:tc>
          <w:tcPr>
            <w:tcW w:w="1417" w:type="dxa"/>
          </w:tcPr>
          <w:p w14:paraId="65069D40"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Children with congenital anomalies</w:t>
            </w:r>
          </w:p>
        </w:tc>
        <w:tc>
          <w:tcPr>
            <w:tcW w:w="1418" w:type="dxa"/>
          </w:tcPr>
          <w:p w14:paraId="49CB9F67"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Reference children</w:t>
            </w:r>
          </w:p>
        </w:tc>
        <w:tc>
          <w:tcPr>
            <w:tcW w:w="1417" w:type="dxa"/>
          </w:tcPr>
          <w:p w14:paraId="23AF15A0"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Children with congenital anomalies (%)</w:t>
            </w:r>
          </w:p>
        </w:tc>
        <w:tc>
          <w:tcPr>
            <w:tcW w:w="1276" w:type="dxa"/>
          </w:tcPr>
          <w:p w14:paraId="0EDD617C"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Reference children (%)</w:t>
            </w:r>
          </w:p>
        </w:tc>
        <w:tc>
          <w:tcPr>
            <w:tcW w:w="1417" w:type="dxa"/>
          </w:tcPr>
          <w:p w14:paraId="5DF19B07"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Children with congenital anomalies (%)</w:t>
            </w:r>
          </w:p>
        </w:tc>
        <w:tc>
          <w:tcPr>
            <w:tcW w:w="1276" w:type="dxa"/>
          </w:tcPr>
          <w:p w14:paraId="18D5323D"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Reference children (%)</w:t>
            </w:r>
          </w:p>
        </w:tc>
        <w:tc>
          <w:tcPr>
            <w:tcW w:w="1276" w:type="dxa"/>
          </w:tcPr>
          <w:p w14:paraId="45F507B4"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Children with congenital anomalies (%)</w:t>
            </w:r>
          </w:p>
        </w:tc>
        <w:tc>
          <w:tcPr>
            <w:tcW w:w="1276" w:type="dxa"/>
          </w:tcPr>
          <w:p w14:paraId="64357169" w14:textId="77777777" w:rsidR="00355C87"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Reference children (%)</w:t>
            </w:r>
          </w:p>
        </w:tc>
      </w:tr>
      <w:tr w:rsidR="00355C87" w:rsidRPr="00D8401B" w14:paraId="5B157A7C" w14:textId="77777777" w:rsidTr="00655CFC">
        <w:trPr>
          <w:trHeight w:val="686"/>
        </w:trPr>
        <w:tc>
          <w:tcPr>
            <w:tcW w:w="1985" w:type="dxa"/>
          </w:tcPr>
          <w:p w14:paraId="25BBFC36" w14:textId="77777777" w:rsidR="00355C87" w:rsidRPr="00D8401B" w:rsidRDefault="00355C87" w:rsidP="005251B1">
            <w:pPr>
              <w:autoSpaceDE w:val="0"/>
              <w:autoSpaceDN w:val="0"/>
              <w:adjustRightInd w:val="0"/>
              <w:rPr>
                <w:rFonts w:ascii="Calibri" w:hAnsi="Calibri" w:cs="Calibri"/>
                <w:color w:val="000000"/>
                <w:sz w:val="24"/>
                <w:szCs w:val="24"/>
              </w:rPr>
            </w:pPr>
            <w:r w:rsidRPr="00D8401B">
              <w:rPr>
                <w:rFonts w:ascii="Calibri" w:hAnsi="Calibri" w:cs="Calibri"/>
                <w:b/>
                <w:bCs/>
                <w:color w:val="000000"/>
                <w:sz w:val="24"/>
                <w:szCs w:val="24"/>
              </w:rPr>
              <w:t>Denmark: Funen</w:t>
            </w:r>
            <w:r>
              <w:rPr>
                <w:rFonts w:ascii="Calibri" w:hAnsi="Calibri" w:cs="Calibri"/>
                <w:b/>
                <w:bCs/>
                <w:color w:val="000000"/>
                <w:sz w:val="24"/>
                <w:szCs w:val="24"/>
              </w:rPr>
              <w:br/>
              <w:t>(2000-2014)</w:t>
            </w:r>
          </w:p>
        </w:tc>
        <w:tc>
          <w:tcPr>
            <w:tcW w:w="1417" w:type="dxa"/>
          </w:tcPr>
          <w:p w14:paraId="768A3832" w14:textId="77777777" w:rsidR="00355C87" w:rsidRPr="00E9614F"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1,789</w:t>
            </w:r>
          </w:p>
        </w:tc>
        <w:tc>
          <w:tcPr>
            <w:tcW w:w="1418" w:type="dxa"/>
          </w:tcPr>
          <w:p w14:paraId="2F9AD791" w14:textId="77777777" w:rsidR="00355C87" w:rsidRPr="00E9614F"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72,290</w:t>
            </w:r>
          </w:p>
        </w:tc>
        <w:tc>
          <w:tcPr>
            <w:tcW w:w="1417" w:type="dxa"/>
          </w:tcPr>
          <w:p w14:paraId="624CA3D3" w14:textId="77777777" w:rsidR="00355C87" w:rsidRDefault="00355C87" w:rsidP="005251B1">
            <w:pPr>
              <w:autoSpaceDE w:val="0"/>
              <w:autoSpaceDN w:val="0"/>
              <w:adjustRightInd w:val="0"/>
              <w:rPr>
                <w:rFonts w:ascii="Calibri" w:hAnsi="Calibri" w:cs="Calibri"/>
                <w:color w:val="000000"/>
                <w:sz w:val="24"/>
                <w:szCs w:val="24"/>
              </w:rPr>
            </w:pPr>
            <w:r w:rsidRPr="00E9614F">
              <w:rPr>
                <w:rFonts w:ascii="Calibri" w:hAnsi="Calibri" w:cs="Calibri"/>
                <w:color w:val="000000"/>
                <w:sz w:val="24"/>
                <w:szCs w:val="24"/>
              </w:rPr>
              <w:t>614</w:t>
            </w:r>
            <w:r>
              <w:rPr>
                <w:rFonts w:ascii="Calibri" w:hAnsi="Calibri" w:cs="Calibri"/>
                <w:color w:val="000000"/>
                <w:sz w:val="24"/>
                <w:szCs w:val="24"/>
              </w:rPr>
              <w:t xml:space="preserve"> </w:t>
            </w:r>
          </w:p>
          <w:p w14:paraId="3135C0CD" w14:textId="77777777" w:rsidR="00355C87" w:rsidRPr="00E9614F"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(34.3%)</w:t>
            </w:r>
          </w:p>
        </w:tc>
        <w:tc>
          <w:tcPr>
            <w:tcW w:w="1276" w:type="dxa"/>
          </w:tcPr>
          <w:p w14:paraId="76324891" w14:textId="77777777" w:rsidR="00355C87" w:rsidRPr="00E9614F" w:rsidRDefault="00355C87" w:rsidP="005251B1">
            <w:pPr>
              <w:autoSpaceDE w:val="0"/>
              <w:autoSpaceDN w:val="0"/>
              <w:adjustRightInd w:val="0"/>
              <w:rPr>
                <w:rFonts w:ascii="Calibri" w:hAnsi="Calibri" w:cs="Calibri"/>
                <w:color w:val="000000"/>
                <w:sz w:val="24"/>
                <w:szCs w:val="24"/>
              </w:rPr>
            </w:pPr>
            <w:r w:rsidRPr="00E9614F">
              <w:rPr>
                <w:rFonts w:ascii="Calibri" w:hAnsi="Calibri" w:cs="Calibri"/>
                <w:color w:val="000000"/>
                <w:sz w:val="24"/>
                <w:szCs w:val="24"/>
              </w:rPr>
              <w:t>20,728</w:t>
            </w:r>
            <w:r>
              <w:rPr>
                <w:rFonts w:ascii="Calibri" w:hAnsi="Calibri" w:cs="Calibri"/>
                <w:color w:val="000000"/>
                <w:sz w:val="24"/>
                <w:szCs w:val="24"/>
              </w:rPr>
              <w:t xml:space="preserve"> (28.7%)</w:t>
            </w:r>
          </w:p>
        </w:tc>
        <w:tc>
          <w:tcPr>
            <w:tcW w:w="1417" w:type="dxa"/>
          </w:tcPr>
          <w:p w14:paraId="0216E98D" w14:textId="77777777" w:rsidR="00355C87" w:rsidRDefault="00355C87" w:rsidP="005251B1">
            <w:pPr>
              <w:autoSpaceDE w:val="0"/>
              <w:autoSpaceDN w:val="0"/>
              <w:adjustRightInd w:val="0"/>
              <w:rPr>
                <w:rFonts w:ascii="Calibri" w:hAnsi="Calibri" w:cs="Calibri"/>
                <w:color w:val="000000"/>
                <w:sz w:val="24"/>
                <w:szCs w:val="24"/>
              </w:rPr>
            </w:pPr>
            <w:r w:rsidRPr="00E9614F">
              <w:rPr>
                <w:rFonts w:ascii="Calibri" w:hAnsi="Calibri" w:cs="Calibri"/>
                <w:color w:val="000000"/>
                <w:sz w:val="24"/>
                <w:szCs w:val="24"/>
              </w:rPr>
              <w:t>288</w:t>
            </w:r>
            <w:r>
              <w:rPr>
                <w:rFonts w:ascii="Calibri" w:hAnsi="Calibri" w:cs="Calibri"/>
                <w:color w:val="000000"/>
                <w:sz w:val="24"/>
                <w:szCs w:val="24"/>
              </w:rPr>
              <w:t xml:space="preserve"> </w:t>
            </w:r>
          </w:p>
          <w:p w14:paraId="440A77E6" w14:textId="77777777" w:rsidR="00355C87" w:rsidRPr="00E9614F"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(16.1%)</w:t>
            </w:r>
          </w:p>
        </w:tc>
        <w:tc>
          <w:tcPr>
            <w:tcW w:w="1276" w:type="dxa"/>
          </w:tcPr>
          <w:p w14:paraId="60A69CCE" w14:textId="77777777" w:rsidR="00355C87" w:rsidRPr="00E9614F" w:rsidRDefault="00355C87" w:rsidP="005251B1">
            <w:pPr>
              <w:autoSpaceDE w:val="0"/>
              <w:autoSpaceDN w:val="0"/>
              <w:adjustRightInd w:val="0"/>
              <w:rPr>
                <w:rFonts w:ascii="Calibri" w:hAnsi="Calibri" w:cs="Calibri"/>
                <w:color w:val="000000"/>
                <w:sz w:val="24"/>
                <w:szCs w:val="24"/>
              </w:rPr>
            </w:pPr>
            <w:r w:rsidRPr="00E9614F">
              <w:rPr>
                <w:rFonts w:ascii="Calibri" w:hAnsi="Calibri" w:cs="Calibri"/>
                <w:color w:val="000000"/>
                <w:sz w:val="24"/>
                <w:szCs w:val="24"/>
              </w:rPr>
              <w:t>8,114</w:t>
            </w:r>
            <w:r>
              <w:rPr>
                <w:rFonts w:ascii="Calibri" w:hAnsi="Calibri" w:cs="Calibri"/>
                <w:color w:val="000000"/>
                <w:sz w:val="24"/>
                <w:szCs w:val="24"/>
              </w:rPr>
              <w:t xml:space="preserve"> (11.2%)</w:t>
            </w:r>
          </w:p>
        </w:tc>
        <w:tc>
          <w:tcPr>
            <w:tcW w:w="1276" w:type="dxa"/>
          </w:tcPr>
          <w:p w14:paraId="72DA6B0B" w14:textId="77777777" w:rsidR="00355C87" w:rsidRPr="00E9614F" w:rsidRDefault="00355C87" w:rsidP="005251B1">
            <w:pPr>
              <w:autoSpaceDE w:val="0"/>
              <w:autoSpaceDN w:val="0"/>
              <w:adjustRightInd w:val="0"/>
              <w:rPr>
                <w:rFonts w:ascii="Calibri" w:hAnsi="Calibri" w:cs="Calibri"/>
                <w:color w:val="000000"/>
                <w:sz w:val="24"/>
                <w:szCs w:val="24"/>
              </w:rPr>
            </w:pPr>
            <w:r w:rsidRPr="00E9614F">
              <w:rPr>
                <w:rFonts w:ascii="Calibri" w:hAnsi="Calibri" w:cs="Calibri"/>
                <w:color w:val="000000"/>
                <w:sz w:val="24"/>
                <w:szCs w:val="24"/>
              </w:rPr>
              <w:t>284</w:t>
            </w:r>
            <w:r>
              <w:rPr>
                <w:rFonts w:ascii="Calibri" w:hAnsi="Calibri" w:cs="Calibri"/>
                <w:color w:val="000000"/>
                <w:sz w:val="24"/>
                <w:szCs w:val="24"/>
              </w:rPr>
              <w:t xml:space="preserve"> (15.9%)</w:t>
            </w:r>
          </w:p>
        </w:tc>
        <w:tc>
          <w:tcPr>
            <w:tcW w:w="1276" w:type="dxa"/>
          </w:tcPr>
          <w:p w14:paraId="40496787" w14:textId="77777777" w:rsidR="00355C87" w:rsidRPr="00E9614F" w:rsidRDefault="00355C87" w:rsidP="005251B1">
            <w:pPr>
              <w:autoSpaceDE w:val="0"/>
              <w:autoSpaceDN w:val="0"/>
              <w:adjustRightInd w:val="0"/>
              <w:rPr>
                <w:rFonts w:ascii="Calibri" w:hAnsi="Calibri" w:cs="Calibri"/>
                <w:color w:val="000000"/>
                <w:sz w:val="24"/>
                <w:szCs w:val="24"/>
              </w:rPr>
            </w:pPr>
            <w:r w:rsidRPr="00E9614F">
              <w:rPr>
                <w:rFonts w:ascii="Calibri" w:hAnsi="Calibri" w:cs="Calibri"/>
                <w:color w:val="000000"/>
                <w:sz w:val="24"/>
                <w:szCs w:val="24"/>
              </w:rPr>
              <w:t>7,684</w:t>
            </w:r>
            <w:r>
              <w:rPr>
                <w:rFonts w:ascii="Calibri" w:hAnsi="Calibri" w:cs="Calibri"/>
                <w:color w:val="000000"/>
                <w:sz w:val="24"/>
                <w:szCs w:val="24"/>
              </w:rPr>
              <w:t xml:space="preserve"> (10.6%)</w:t>
            </w:r>
          </w:p>
        </w:tc>
      </w:tr>
      <w:tr w:rsidR="00355C87" w:rsidRPr="00D8401B" w14:paraId="6584554D" w14:textId="77777777" w:rsidTr="00655CFC">
        <w:trPr>
          <w:trHeight w:val="696"/>
        </w:trPr>
        <w:tc>
          <w:tcPr>
            <w:tcW w:w="1985" w:type="dxa"/>
          </w:tcPr>
          <w:p w14:paraId="6208DC15" w14:textId="77777777" w:rsidR="00355C87" w:rsidRPr="00D8401B" w:rsidRDefault="00355C87" w:rsidP="005251B1">
            <w:pPr>
              <w:autoSpaceDE w:val="0"/>
              <w:autoSpaceDN w:val="0"/>
              <w:adjustRightInd w:val="0"/>
              <w:rPr>
                <w:rFonts w:ascii="Calibri" w:hAnsi="Calibri" w:cs="Calibri"/>
                <w:color w:val="000000"/>
                <w:sz w:val="24"/>
                <w:szCs w:val="24"/>
              </w:rPr>
            </w:pPr>
            <w:r w:rsidRPr="00D8401B">
              <w:rPr>
                <w:rFonts w:ascii="Calibri" w:hAnsi="Calibri" w:cs="Calibri"/>
                <w:b/>
                <w:bCs/>
                <w:color w:val="000000"/>
                <w:sz w:val="24"/>
                <w:szCs w:val="24"/>
              </w:rPr>
              <w:t>Finland</w:t>
            </w:r>
            <w:r>
              <w:rPr>
                <w:rFonts w:ascii="Calibri" w:hAnsi="Calibri" w:cs="Calibri"/>
                <w:b/>
                <w:bCs/>
                <w:color w:val="000000"/>
                <w:sz w:val="24"/>
                <w:szCs w:val="24"/>
              </w:rPr>
              <w:br/>
              <w:t>(2000-2014)</w:t>
            </w:r>
          </w:p>
        </w:tc>
        <w:tc>
          <w:tcPr>
            <w:tcW w:w="1417" w:type="dxa"/>
          </w:tcPr>
          <w:p w14:paraId="7B50BC69" w14:textId="77777777" w:rsidR="00355C87" w:rsidRPr="002D39D3" w:rsidRDefault="00355C87" w:rsidP="005251B1">
            <w:pPr>
              <w:rPr>
                <w:rFonts w:ascii="Calibri" w:hAnsi="Calibri" w:cs="Calibri"/>
                <w:color w:val="000000"/>
                <w:sz w:val="24"/>
                <w:szCs w:val="24"/>
              </w:rPr>
            </w:pPr>
            <w:r w:rsidRPr="002D39D3">
              <w:rPr>
                <w:rFonts w:ascii="Calibri" w:hAnsi="Calibri" w:cs="Calibri"/>
                <w:color w:val="000000"/>
                <w:sz w:val="24"/>
                <w:szCs w:val="24"/>
              </w:rPr>
              <w:t>32,926</w:t>
            </w:r>
          </w:p>
          <w:p w14:paraId="635911A3" w14:textId="77777777" w:rsidR="00355C87" w:rsidRPr="00117A27" w:rsidRDefault="00355C87" w:rsidP="005251B1">
            <w:pPr>
              <w:rPr>
                <w:rFonts w:ascii="Calibri" w:hAnsi="Calibri" w:cs="Calibri"/>
                <w:color w:val="000000"/>
                <w:sz w:val="24"/>
                <w:szCs w:val="24"/>
              </w:rPr>
            </w:pPr>
          </w:p>
        </w:tc>
        <w:tc>
          <w:tcPr>
            <w:tcW w:w="1418" w:type="dxa"/>
          </w:tcPr>
          <w:p w14:paraId="6B06800A" w14:textId="77777777" w:rsidR="00355C87" w:rsidRPr="00117A27" w:rsidRDefault="00355C87" w:rsidP="005251B1">
            <w:pPr>
              <w:rPr>
                <w:rFonts w:ascii="Calibri" w:hAnsi="Calibri" w:cs="Calibri"/>
                <w:color w:val="000000"/>
                <w:sz w:val="24"/>
                <w:szCs w:val="24"/>
              </w:rPr>
            </w:pPr>
            <w:r w:rsidRPr="00117A27">
              <w:rPr>
                <w:rFonts w:ascii="Calibri" w:hAnsi="Calibri" w:cs="Calibri"/>
                <w:color w:val="000000"/>
                <w:sz w:val="24"/>
                <w:szCs w:val="24"/>
              </w:rPr>
              <w:t>755,923</w:t>
            </w:r>
          </w:p>
        </w:tc>
        <w:tc>
          <w:tcPr>
            <w:tcW w:w="1417" w:type="dxa"/>
          </w:tcPr>
          <w:p w14:paraId="736AFA10"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5,617</w:t>
            </w:r>
            <w:r>
              <w:rPr>
                <w:rFonts w:ascii="Calibri" w:hAnsi="Calibri" w:cs="Calibri"/>
                <w:color w:val="000000"/>
                <w:sz w:val="24"/>
                <w:szCs w:val="24"/>
              </w:rPr>
              <w:t xml:space="preserve"> (17.1%)</w:t>
            </w:r>
          </w:p>
        </w:tc>
        <w:tc>
          <w:tcPr>
            <w:tcW w:w="1276" w:type="dxa"/>
          </w:tcPr>
          <w:p w14:paraId="6A083085" w14:textId="77777777" w:rsidR="00355C87" w:rsidRPr="00BC5A4B"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99,780</w:t>
            </w:r>
            <w:r>
              <w:rPr>
                <w:rFonts w:ascii="Calibri" w:hAnsi="Calibri" w:cs="Calibri"/>
                <w:color w:val="000000"/>
                <w:sz w:val="24"/>
                <w:szCs w:val="24"/>
              </w:rPr>
              <w:t xml:space="preserve"> (13.2%)</w:t>
            </w:r>
          </w:p>
        </w:tc>
        <w:tc>
          <w:tcPr>
            <w:tcW w:w="1417" w:type="dxa"/>
          </w:tcPr>
          <w:p w14:paraId="573A5022"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3,036</w:t>
            </w:r>
            <w:r>
              <w:rPr>
                <w:rFonts w:ascii="Calibri" w:hAnsi="Calibri" w:cs="Calibri"/>
                <w:color w:val="000000"/>
                <w:sz w:val="24"/>
                <w:szCs w:val="24"/>
              </w:rPr>
              <w:t xml:space="preserve"> (9.2%)</w:t>
            </w:r>
          </w:p>
        </w:tc>
        <w:tc>
          <w:tcPr>
            <w:tcW w:w="1276" w:type="dxa"/>
          </w:tcPr>
          <w:p w14:paraId="7320FED1"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48,866</w:t>
            </w:r>
            <w:r>
              <w:rPr>
                <w:rFonts w:ascii="Calibri" w:hAnsi="Calibri" w:cs="Calibri"/>
                <w:color w:val="000000"/>
                <w:sz w:val="24"/>
                <w:szCs w:val="24"/>
              </w:rPr>
              <w:t xml:space="preserve"> (6.5%)</w:t>
            </w:r>
          </w:p>
        </w:tc>
        <w:tc>
          <w:tcPr>
            <w:tcW w:w="1276" w:type="dxa"/>
          </w:tcPr>
          <w:p w14:paraId="53DC894B"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3,375</w:t>
            </w:r>
            <w:r>
              <w:rPr>
                <w:rFonts w:ascii="Calibri" w:hAnsi="Calibri" w:cs="Calibri"/>
                <w:color w:val="000000"/>
                <w:sz w:val="24"/>
                <w:szCs w:val="24"/>
              </w:rPr>
              <w:t xml:space="preserve"> (10.3%)</w:t>
            </w:r>
          </w:p>
        </w:tc>
        <w:tc>
          <w:tcPr>
            <w:tcW w:w="1276" w:type="dxa"/>
          </w:tcPr>
          <w:p w14:paraId="4E8BD557"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53,395</w:t>
            </w:r>
            <w:r>
              <w:rPr>
                <w:rFonts w:ascii="Calibri" w:hAnsi="Calibri" w:cs="Calibri"/>
                <w:color w:val="000000"/>
                <w:sz w:val="24"/>
                <w:szCs w:val="24"/>
              </w:rPr>
              <w:t xml:space="preserve"> (7.1%)</w:t>
            </w:r>
          </w:p>
        </w:tc>
      </w:tr>
      <w:tr w:rsidR="00355C87" w:rsidRPr="00D8401B" w14:paraId="5A66C65C" w14:textId="77777777" w:rsidTr="00655CFC">
        <w:trPr>
          <w:trHeight w:val="322"/>
        </w:trPr>
        <w:tc>
          <w:tcPr>
            <w:tcW w:w="1985" w:type="dxa"/>
          </w:tcPr>
          <w:p w14:paraId="20C95DFD" w14:textId="77777777" w:rsidR="00355C87" w:rsidRPr="00D8401B" w:rsidRDefault="00355C87" w:rsidP="005251B1">
            <w:pPr>
              <w:autoSpaceDE w:val="0"/>
              <w:autoSpaceDN w:val="0"/>
              <w:adjustRightInd w:val="0"/>
              <w:rPr>
                <w:rFonts w:ascii="Calibri" w:hAnsi="Calibri" w:cs="Calibri"/>
                <w:color w:val="000000"/>
                <w:sz w:val="24"/>
                <w:szCs w:val="24"/>
              </w:rPr>
            </w:pPr>
            <w:r w:rsidRPr="00D8401B">
              <w:rPr>
                <w:rFonts w:ascii="Calibri" w:hAnsi="Calibri" w:cs="Calibri"/>
                <w:b/>
                <w:bCs/>
                <w:color w:val="000000"/>
                <w:sz w:val="24"/>
                <w:szCs w:val="24"/>
              </w:rPr>
              <w:t xml:space="preserve">Italy: Emilia Romagna </w:t>
            </w:r>
            <w:r>
              <w:rPr>
                <w:rFonts w:ascii="Calibri" w:hAnsi="Calibri" w:cs="Calibri"/>
                <w:b/>
                <w:bCs/>
                <w:color w:val="000000"/>
                <w:sz w:val="24"/>
                <w:szCs w:val="24"/>
              </w:rPr>
              <w:br/>
              <w:t>(2008-2014)</w:t>
            </w:r>
          </w:p>
        </w:tc>
        <w:tc>
          <w:tcPr>
            <w:tcW w:w="1417" w:type="dxa"/>
          </w:tcPr>
          <w:p w14:paraId="4F441F73" w14:textId="77777777" w:rsidR="00355C87" w:rsidRPr="00117A27" w:rsidRDefault="00355C87" w:rsidP="005251B1">
            <w:pPr>
              <w:rPr>
                <w:rFonts w:ascii="Calibri" w:hAnsi="Calibri" w:cs="Calibri"/>
                <w:color w:val="000000"/>
                <w:sz w:val="24"/>
                <w:szCs w:val="24"/>
              </w:rPr>
            </w:pPr>
            <w:r w:rsidRPr="00117A27">
              <w:rPr>
                <w:rFonts w:ascii="Calibri" w:hAnsi="Calibri" w:cs="Calibri"/>
                <w:color w:val="000000"/>
                <w:sz w:val="24"/>
                <w:szCs w:val="24"/>
              </w:rPr>
              <w:t>5,499</w:t>
            </w:r>
          </w:p>
        </w:tc>
        <w:tc>
          <w:tcPr>
            <w:tcW w:w="1418" w:type="dxa"/>
          </w:tcPr>
          <w:p w14:paraId="037757CC"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250,829</w:t>
            </w:r>
          </w:p>
        </w:tc>
        <w:tc>
          <w:tcPr>
            <w:tcW w:w="1417" w:type="dxa"/>
          </w:tcPr>
          <w:p w14:paraId="146FD87F"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2,741</w:t>
            </w:r>
            <w:r>
              <w:rPr>
                <w:rFonts w:ascii="Calibri" w:hAnsi="Calibri" w:cs="Calibri"/>
                <w:color w:val="000000"/>
                <w:sz w:val="24"/>
                <w:szCs w:val="24"/>
              </w:rPr>
              <w:t xml:space="preserve"> (49.8%)</w:t>
            </w:r>
          </w:p>
        </w:tc>
        <w:tc>
          <w:tcPr>
            <w:tcW w:w="1276" w:type="dxa"/>
          </w:tcPr>
          <w:p w14:paraId="21D13A22" w14:textId="77777777" w:rsidR="00355C87" w:rsidRPr="00BC5A4B"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117,675</w:t>
            </w:r>
            <w:r>
              <w:rPr>
                <w:rFonts w:ascii="Calibri" w:hAnsi="Calibri" w:cs="Calibri"/>
                <w:color w:val="000000"/>
                <w:sz w:val="24"/>
                <w:szCs w:val="24"/>
              </w:rPr>
              <w:t xml:space="preserve"> (46.9%)</w:t>
            </w:r>
          </w:p>
        </w:tc>
        <w:tc>
          <w:tcPr>
            <w:tcW w:w="1417" w:type="dxa"/>
          </w:tcPr>
          <w:p w14:paraId="72AFF474"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 xml:space="preserve">1,769 </w:t>
            </w:r>
            <w:r>
              <w:rPr>
                <w:rFonts w:ascii="Calibri" w:hAnsi="Calibri" w:cs="Calibri"/>
                <w:color w:val="000000"/>
                <w:sz w:val="24"/>
                <w:szCs w:val="24"/>
              </w:rPr>
              <w:t>(32.2%)</w:t>
            </w:r>
          </w:p>
        </w:tc>
        <w:tc>
          <w:tcPr>
            <w:tcW w:w="1276" w:type="dxa"/>
          </w:tcPr>
          <w:p w14:paraId="6341F8A1"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71,088</w:t>
            </w:r>
            <w:r>
              <w:rPr>
                <w:rFonts w:ascii="Calibri" w:hAnsi="Calibri" w:cs="Calibri"/>
                <w:color w:val="000000"/>
                <w:sz w:val="24"/>
                <w:szCs w:val="24"/>
              </w:rPr>
              <w:t xml:space="preserve"> (28.3%)</w:t>
            </w:r>
          </w:p>
        </w:tc>
        <w:tc>
          <w:tcPr>
            <w:tcW w:w="1276" w:type="dxa"/>
          </w:tcPr>
          <w:p w14:paraId="74EC274E"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1,087</w:t>
            </w:r>
            <w:r>
              <w:rPr>
                <w:rFonts w:ascii="Calibri" w:hAnsi="Calibri" w:cs="Calibri"/>
                <w:color w:val="000000"/>
                <w:sz w:val="24"/>
                <w:szCs w:val="24"/>
              </w:rPr>
              <w:t xml:space="preserve"> (19.8%)</w:t>
            </w:r>
          </w:p>
        </w:tc>
        <w:tc>
          <w:tcPr>
            <w:tcW w:w="1276" w:type="dxa"/>
          </w:tcPr>
          <w:p w14:paraId="22ACCDFA"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41,215</w:t>
            </w:r>
            <w:r>
              <w:rPr>
                <w:rFonts w:ascii="Calibri" w:hAnsi="Calibri" w:cs="Calibri"/>
                <w:color w:val="000000"/>
                <w:sz w:val="24"/>
                <w:szCs w:val="24"/>
              </w:rPr>
              <w:t xml:space="preserve"> (16.4%)</w:t>
            </w:r>
          </w:p>
        </w:tc>
      </w:tr>
      <w:tr w:rsidR="00355C87" w:rsidRPr="00D8401B" w14:paraId="00226F67" w14:textId="77777777" w:rsidTr="00655CFC">
        <w:trPr>
          <w:trHeight w:val="663"/>
        </w:trPr>
        <w:tc>
          <w:tcPr>
            <w:tcW w:w="1985" w:type="dxa"/>
          </w:tcPr>
          <w:p w14:paraId="33D4AFC2" w14:textId="77777777" w:rsidR="00355C87" w:rsidRPr="00D8401B" w:rsidRDefault="00355C87" w:rsidP="005251B1">
            <w:pPr>
              <w:autoSpaceDE w:val="0"/>
              <w:autoSpaceDN w:val="0"/>
              <w:adjustRightInd w:val="0"/>
              <w:rPr>
                <w:rFonts w:ascii="Calibri" w:hAnsi="Calibri" w:cs="Calibri"/>
                <w:color w:val="000000"/>
                <w:sz w:val="24"/>
                <w:szCs w:val="24"/>
              </w:rPr>
            </w:pPr>
            <w:r w:rsidRPr="00D8401B">
              <w:rPr>
                <w:rFonts w:ascii="Calibri" w:hAnsi="Calibri" w:cs="Calibri"/>
                <w:b/>
                <w:bCs/>
                <w:color w:val="000000"/>
                <w:sz w:val="24"/>
                <w:szCs w:val="24"/>
              </w:rPr>
              <w:t>Italy: Tuscany</w:t>
            </w:r>
            <w:r>
              <w:rPr>
                <w:rFonts w:ascii="Calibri" w:hAnsi="Calibri" w:cs="Calibri"/>
                <w:b/>
                <w:bCs/>
                <w:color w:val="000000"/>
                <w:sz w:val="24"/>
                <w:szCs w:val="24"/>
              </w:rPr>
              <w:br/>
              <w:t>(2008-2014)</w:t>
            </w:r>
            <w:r w:rsidRPr="00D8401B">
              <w:rPr>
                <w:rFonts w:ascii="Calibri" w:hAnsi="Calibri" w:cs="Calibri"/>
                <w:b/>
                <w:bCs/>
                <w:color w:val="000000"/>
                <w:sz w:val="24"/>
                <w:szCs w:val="24"/>
              </w:rPr>
              <w:t xml:space="preserve"> </w:t>
            </w:r>
          </w:p>
        </w:tc>
        <w:tc>
          <w:tcPr>
            <w:tcW w:w="1417" w:type="dxa"/>
          </w:tcPr>
          <w:p w14:paraId="78E86AFA" w14:textId="77777777" w:rsidR="00355C87" w:rsidRPr="00117A27" w:rsidRDefault="00355C87" w:rsidP="005251B1">
            <w:pPr>
              <w:rPr>
                <w:rFonts w:ascii="Calibri" w:hAnsi="Calibri" w:cs="Calibri"/>
                <w:color w:val="000000"/>
                <w:sz w:val="24"/>
                <w:szCs w:val="24"/>
              </w:rPr>
            </w:pPr>
            <w:r w:rsidRPr="00117A27">
              <w:rPr>
                <w:rFonts w:ascii="Calibri" w:hAnsi="Calibri" w:cs="Calibri"/>
                <w:color w:val="000000"/>
                <w:sz w:val="24"/>
                <w:szCs w:val="24"/>
              </w:rPr>
              <w:t>3,048</w:t>
            </w:r>
          </w:p>
        </w:tc>
        <w:tc>
          <w:tcPr>
            <w:tcW w:w="1418" w:type="dxa"/>
          </w:tcPr>
          <w:p w14:paraId="075CEC71" w14:textId="77777777" w:rsidR="00355C87" w:rsidRPr="00117A27" w:rsidRDefault="00355C87" w:rsidP="005251B1">
            <w:pPr>
              <w:rPr>
                <w:rFonts w:ascii="Calibri" w:hAnsi="Calibri" w:cs="Calibri"/>
                <w:color w:val="000000"/>
                <w:sz w:val="24"/>
                <w:szCs w:val="24"/>
              </w:rPr>
            </w:pPr>
            <w:r w:rsidRPr="00117A27">
              <w:rPr>
                <w:rFonts w:ascii="Calibri" w:hAnsi="Calibri" w:cs="Calibri"/>
                <w:color w:val="000000"/>
                <w:sz w:val="24"/>
                <w:szCs w:val="24"/>
              </w:rPr>
              <w:t>16,844</w:t>
            </w:r>
          </w:p>
          <w:p w14:paraId="12E74E32" w14:textId="77777777" w:rsidR="00355C87" w:rsidRPr="00117A27" w:rsidRDefault="00355C87" w:rsidP="005251B1">
            <w:pPr>
              <w:autoSpaceDE w:val="0"/>
              <w:autoSpaceDN w:val="0"/>
              <w:adjustRightInd w:val="0"/>
              <w:rPr>
                <w:rFonts w:ascii="Calibri" w:hAnsi="Calibri" w:cs="Calibri"/>
                <w:color w:val="000000"/>
                <w:sz w:val="24"/>
                <w:szCs w:val="24"/>
              </w:rPr>
            </w:pPr>
          </w:p>
        </w:tc>
        <w:tc>
          <w:tcPr>
            <w:tcW w:w="1417" w:type="dxa"/>
          </w:tcPr>
          <w:p w14:paraId="4EAF8EE8"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1,392</w:t>
            </w:r>
            <w:r>
              <w:rPr>
                <w:rFonts w:ascii="Calibri" w:hAnsi="Calibri" w:cs="Calibri"/>
                <w:color w:val="000000"/>
                <w:sz w:val="24"/>
                <w:szCs w:val="24"/>
              </w:rPr>
              <w:t xml:space="preserve"> (45.7%)</w:t>
            </w:r>
          </w:p>
        </w:tc>
        <w:tc>
          <w:tcPr>
            <w:tcW w:w="1276" w:type="dxa"/>
          </w:tcPr>
          <w:p w14:paraId="400A43B5" w14:textId="77777777" w:rsidR="00355C87" w:rsidRPr="00BC5A4B"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6,542</w:t>
            </w:r>
            <w:r>
              <w:rPr>
                <w:rFonts w:ascii="Calibri" w:hAnsi="Calibri" w:cs="Calibri"/>
                <w:color w:val="000000"/>
                <w:sz w:val="24"/>
                <w:szCs w:val="24"/>
              </w:rPr>
              <w:t xml:space="preserve"> (38.8%)</w:t>
            </w:r>
          </w:p>
        </w:tc>
        <w:tc>
          <w:tcPr>
            <w:tcW w:w="1417" w:type="dxa"/>
          </w:tcPr>
          <w:p w14:paraId="64D44008" w14:textId="77777777" w:rsidR="00355C87"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962</w:t>
            </w:r>
            <w:r>
              <w:rPr>
                <w:rFonts w:ascii="Calibri" w:hAnsi="Calibri" w:cs="Calibri"/>
                <w:color w:val="000000"/>
                <w:sz w:val="24"/>
                <w:szCs w:val="24"/>
              </w:rPr>
              <w:t xml:space="preserve"> </w:t>
            </w:r>
          </w:p>
          <w:p w14:paraId="3DA96579" w14:textId="77777777" w:rsidR="00355C87" w:rsidRPr="00BC5A4B"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(31.6%)</w:t>
            </w:r>
          </w:p>
        </w:tc>
        <w:tc>
          <w:tcPr>
            <w:tcW w:w="1276" w:type="dxa"/>
          </w:tcPr>
          <w:p w14:paraId="26A6A262"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3,947</w:t>
            </w:r>
            <w:r>
              <w:rPr>
                <w:rFonts w:ascii="Calibri" w:hAnsi="Calibri" w:cs="Calibri"/>
                <w:color w:val="000000"/>
                <w:sz w:val="24"/>
                <w:szCs w:val="24"/>
              </w:rPr>
              <w:t xml:space="preserve"> (23.4%)</w:t>
            </w:r>
          </w:p>
        </w:tc>
        <w:tc>
          <w:tcPr>
            <w:tcW w:w="1276" w:type="dxa"/>
          </w:tcPr>
          <w:p w14:paraId="61B051C1"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560</w:t>
            </w:r>
            <w:r>
              <w:rPr>
                <w:rFonts w:ascii="Calibri" w:hAnsi="Calibri" w:cs="Calibri"/>
                <w:color w:val="000000"/>
                <w:sz w:val="24"/>
                <w:szCs w:val="24"/>
              </w:rPr>
              <w:t xml:space="preserve"> (18.4%)</w:t>
            </w:r>
          </w:p>
        </w:tc>
        <w:tc>
          <w:tcPr>
            <w:tcW w:w="1276" w:type="dxa"/>
          </w:tcPr>
          <w:p w14:paraId="443D563E"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1,861</w:t>
            </w:r>
            <w:r>
              <w:rPr>
                <w:rFonts w:ascii="Calibri" w:hAnsi="Calibri" w:cs="Calibri"/>
                <w:color w:val="000000"/>
                <w:sz w:val="24"/>
                <w:szCs w:val="24"/>
              </w:rPr>
              <w:t xml:space="preserve"> (11.0%)</w:t>
            </w:r>
          </w:p>
        </w:tc>
      </w:tr>
      <w:tr w:rsidR="00355C87" w:rsidRPr="00D8401B" w14:paraId="79878E7B" w14:textId="77777777" w:rsidTr="00655CFC">
        <w:trPr>
          <w:trHeight w:val="612"/>
        </w:trPr>
        <w:tc>
          <w:tcPr>
            <w:tcW w:w="1985" w:type="dxa"/>
          </w:tcPr>
          <w:p w14:paraId="441884F4" w14:textId="77777777" w:rsidR="00355C87" w:rsidRPr="00D8401B" w:rsidRDefault="00355C87" w:rsidP="005251B1">
            <w:pPr>
              <w:autoSpaceDE w:val="0"/>
              <w:autoSpaceDN w:val="0"/>
              <w:adjustRightInd w:val="0"/>
              <w:rPr>
                <w:rFonts w:ascii="Calibri" w:hAnsi="Calibri" w:cs="Calibri"/>
                <w:color w:val="000000"/>
                <w:sz w:val="24"/>
                <w:szCs w:val="24"/>
              </w:rPr>
            </w:pPr>
            <w:r w:rsidRPr="00D8401B">
              <w:rPr>
                <w:rFonts w:ascii="Calibri" w:hAnsi="Calibri" w:cs="Calibri"/>
                <w:b/>
                <w:bCs/>
                <w:color w:val="000000"/>
                <w:sz w:val="24"/>
                <w:szCs w:val="24"/>
              </w:rPr>
              <w:t xml:space="preserve">Spain: Valencian Region </w:t>
            </w:r>
            <w:r>
              <w:rPr>
                <w:rFonts w:ascii="Calibri" w:hAnsi="Calibri" w:cs="Calibri"/>
                <w:b/>
                <w:bCs/>
                <w:color w:val="000000"/>
                <w:sz w:val="24"/>
                <w:szCs w:val="24"/>
              </w:rPr>
              <w:br/>
              <w:t>(2010-2014)</w:t>
            </w:r>
          </w:p>
        </w:tc>
        <w:tc>
          <w:tcPr>
            <w:tcW w:w="1417" w:type="dxa"/>
          </w:tcPr>
          <w:p w14:paraId="60376115" w14:textId="77777777" w:rsidR="00355C87" w:rsidRPr="00117A27" w:rsidRDefault="00355C87" w:rsidP="005251B1">
            <w:pPr>
              <w:spacing w:after="160" w:line="259" w:lineRule="auto"/>
              <w:rPr>
                <w:rFonts w:ascii="Calibri" w:hAnsi="Calibri" w:cs="Calibri"/>
                <w:color w:val="000000"/>
                <w:sz w:val="24"/>
                <w:szCs w:val="24"/>
              </w:rPr>
            </w:pPr>
            <w:r w:rsidRPr="00117A27">
              <w:rPr>
                <w:rFonts w:ascii="Calibri" w:hAnsi="Calibri" w:cs="Calibri"/>
                <w:color w:val="000000"/>
                <w:sz w:val="24"/>
                <w:szCs w:val="24"/>
              </w:rPr>
              <w:t>4,281</w:t>
            </w:r>
          </w:p>
        </w:tc>
        <w:tc>
          <w:tcPr>
            <w:tcW w:w="1418" w:type="dxa"/>
          </w:tcPr>
          <w:p w14:paraId="47945126" w14:textId="77777777" w:rsidR="00355C87" w:rsidRPr="00117A27" w:rsidRDefault="00355C87" w:rsidP="005251B1">
            <w:pPr>
              <w:rPr>
                <w:rFonts w:ascii="Calibri" w:hAnsi="Calibri" w:cs="Calibri"/>
                <w:color w:val="000000"/>
                <w:sz w:val="24"/>
                <w:szCs w:val="24"/>
              </w:rPr>
            </w:pPr>
            <w:r w:rsidRPr="00117A27">
              <w:rPr>
                <w:rFonts w:ascii="Calibri" w:hAnsi="Calibri" w:cs="Calibri"/>
                <w:color w:val="000000"/>
                <w:sz w:val="24"/>
                <w:szCs w:val="24"/>
              </w:rPr>
              <w:t>223,760</w:t>
            </w:r>
          </w:p>
          <w:p w14:paraId="1FF9F593" w14:textId="77777777" w:rsidR="00355C87" w:rsidRPr="00117A27" w:rsidRDefault="00355C87" w:rsidP="005251B1">
            <w:pPr>
              <w:autoSpaceDE w:val="0"/>
              <w:autoSpaceDN w:val="0"/>
              <w:adjustRightInd w:val="0"/>
              <w:rPr>
                <w:rFonts w:ascii="Calibri" w:hAnsi="Calibri" w:cs="Calibri"/>
                <w:color w:val="000000"/>
                <w:sz w:val="24"/>
                <w:szCs w:val="24"/>
              </w:rPr>
            </w:pPr>
          </w:p>
        </w:tc>
        <w:tc>
          <w:tcPr>
            <w:tcW w:w="1417" w:type="dxa"/>
          </w:tcPr>
          <w:p w14:paraId="534EC8EA"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1,816</w:t>
            </w:r>
            <w:r>
              <w:rPr>
                <w:rFonts w:ascii="Calibri" w:hAnsi="Calibri" w:cs="Calibri"/>
                <w:color w:val="000000"/>
                <w:sz w:val="24"/>
                <w:szCs w:val="24"/>
              </w:rPr>
              <w:t xml:space="preserve"> (42.4%)</w:t>
            </w:r>
          </w:p>
        </w:tc>
        <w:tc>
          <w:tcPr>
            <w:tcW w:w="1276" w:type="dxa"/>
          </w:tcPr>
          <w:p w14:paraId="107EA1E9" w14:textId="77777777" w:rsidR="00355C87" w:rsidRPr="00BC5A4B"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77,028</w:t>
            </w:r>
            <w:r>
              <w:rPr>
                <w:rFonts w:ascii="Calibri" w:hAnsi="Calibri" w:cs="Calibri"/>
                <w:color w:val="000000"/>
                <w:sz w:val="24"/>
                <w:szCs w:val="24"/>
              </w:rPr>
              <w:t xml:space="preserve"> (34.4%)</w:t>
            </w:r>
          </w:p>
        </w:tc>
        <w:tc>
          <w:tcPr>
            <w:tcW w:w="1417" w:type="dxa"/>
          </w:tcPr>
          <w:p w14:paraId="65162682" w14:textId="77777777" w:rsidR="00355C87"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352</w:t>
            </w:r>
            <w:r>
              <w:rPr>
                <w:rFonts w:ascii="Calibri" w:hAnsi="Calibri" w:cs="Calibri"/>
                <w:color w:val="000000"/>
                <w:sz w:val="24"/>
                <w:szCs w:val="24"/>
              </w:rPr>
              <w:t xml:space="preserve"> </w:t>
            </w:r>
          </w:p>
          <w:p w14:paraId="1DD03247" w14:textId="77777777" w:rsidR="00355C87" w:rsidRPr="009B4453"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(8.2%)</w:t>
            </w:r>
          </w:p>
        </w:tc>
        <w:tc>
          <w:tcPr>
            <w:tcW w:w="1276" w:type="dxa"/>
          </w:tcPr>
          <w:p w14:paraId="57259A98"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8,692</w:t>
            </w:r>
            <w:r>
              <w:rPr>
                <w:rFonts w:ascii="Calibri" w:hAnsi="Calibri" w:cs="Calibri"/>
                <w:color w:val="000000"/>
                <w:sz w:val="24"/>
                <w:szCs w:val="24"/>
              </w:rPr>
              <w:t xml:space="preserve"> (3.9%)</w:t>
            </w:r>
          </w:p>
        </w:tc>
        <w:tc>
          <w:tcPr>
            <w:tcW w:w="1276" w:type="dxa"/>
          </w:tcPr>
          <w:p w14:paraId="58A89A06"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740</w:t>
            </w:r>
            <w:r>
              <w:rPr>
                <w:rFonts w:ascii="Calibri" w:hAnsi="Calibri" w:cs="Calibri"/>
                <w:color w:val="000000"/>
                <w:sz w:val="24"/>
                <w:szCs w:val="24"/>
              </w:rPr>
              <w:t xml:space="preserve"> (17.3%)</w:t>
            </w:r>
          </w:p>
        </w:tc>
        <w:tc>
          <w:tcPr>
            <w:tcW w:w="1276" w:type="dxa"/>
          </w:tcPr>
          <w:p w14:paraId="5729CC18" w14:textId="77777777" w:rsidR="00355C87" w:rsidRPr="00BC5A4B" w:rsidRDefault="00355C87" w:rsidP="005251B1">
            <w:pPr>
              <w:autoSpaceDE w:val="0"/>
              <w:autoSpaceDN w:val="0"/>
              <w:adjustRightInd w:val="0"/>
              <w:rPr>
                <w:rFonts w:ascii="Calibri" w:hAnsi="Calibri" w:cs="Calibri"/>
                <w:color w:val="000000"/>
                <w:sz w:val="24"/>
                <w:szCs w:val="24"/>
              </w:rPr>
            </w:pPr>
            <w:r w:rsidRPr="00BC5A4B">
              <w:rPr>
                <w:rFonts w:ascii="Calibri" w:hAnsi="Calibri" w:cs="Calibri"/>
                <w:color w:val="000000"/>
                <w:sz w:val="24"/>
                <w:szCs w:val="24"/>
              </w:rPr>
              <w:t>25,518</w:t>
            </w:r>
            <w:r>
              <w:rPr>
                <w:rFonts w:ascii="Calibri" w:hAnsi="Calibri" w:cs="Calibri"/>
                <w:color w:val="000000"/>
                <w:sz w:val="24"/>
                <w:szCs w:val="24"/>
              </w:rPr>
              <w:t xml:space="preserve"> (11.4%)</w:t>
            </w:r>
          </w:p>
        </w:tc>
      </w:tr>
      <w:tr w:rsidR="00355C87" w:rsidRPr="00D8401B" w14:paraId="072A6404" w14:textId="77777777" w:rsidTr="00655CFC">
        <w:trPr>
          <w:trHeight w:val="773"/>
        </w:trPr>
        <w:tc>
          <w:tcPr>
            <w:tcW w:w="1985" w:type="dxa"/>
          </w:tcPr>
          <w:p w14:paraId="6071F5C0" w14:textId="77777777" w:rsidR="00355C87" w:rsidRPr="00E1203A" w:rsidRDefault="00355C87" w:rsidP="005251B1">
            <w:pPr>
              <w:autoSpaceDE w:val="0"/>
              <w:autoSpaceDN w:val="0"/>
              <w:adjustRightInd w:val="0"/>
              <w:rPr>
                <w:rFonts w:ascii="Calibri" w:hAnsi="Calibri" w:cs="Calibri"/>
                <w:b/>
                <w:bCs/>
                <w:color w:val="000000"/>
                <w:sz w:val="24"/>
                <w:szCs w:val="24"/>
              </w:rPr>
            </w:pPr>
            <w:r w:rsidRPr="00D8401B">
              <w:rPr>
                <w:rFonts w:ascii="Calibri" w:hAnsi="Calibri" w:cs="Calibri"/>
                <w:b/>
                <w:bCs/>
                <w:color w:val="000000"/>
                <w:sz w:val="24"/>
                <w:szCs w:val="24"/>
              </w:rPr>
              <w:t xml:space="preserve">UK: Wales </w:t>
            </w:r>
            <w:r w:rsidRPr="00D8401B">
              <w:rPr>
                <w:rFonts w:ascii="Calibri" w:hAnsi="Calibri" w:cs="Calibri"/>
                <w:b/>
                <w:bCs/>
                <w:color w:val="000000"/>
                <w:sz w:val="24"/>
                <w:szCs w:val="24"/>
              </w:rPr>
              <w:br/>
            </w:r>
            <w:r>
              <w:rPr>
                <w:rFonts w:ascii="Calibri" w:hAnsi="Calibri" w:cs="Calibri"/>
                <w:b/>
                <w:bCs/>
                <w:color w:val="000000"/>
                <w:sz w:val="24"/>
                <w:szCs w:val="24"/>
              </w:rPr>
              <w:t>(2000-2014)</w:t>
            </w:r>
          </w:p>
        </w:tc>
        <w:tc>
          <w:tcPr>
            <w:tcW w:w="1417" w:type="dxa"/>
          </w:tcPr>
          <w:p w14:paraId="4DC64C0F" w14:textId="77777777" w:rsidR="00355C87" w:rsidRPr="00117A27" w:rsidRDefault="00355C87" w:rsidP="005251B1">
            <w:pPr>
              <w:rPr>
                <w:rFonts w:ascii="Calibri" w:hAnsi="Calibri" w:cs="Calibri"/>
                <w:color w:val="000000"/>
                <w:sz w:val="24"/>
                <w:szCs w:val="24"/>
              </w:rPr>
            </w:pPr>
            <w:r w:rsidRPr="00117A27">
              <w:rPr>
                <w:rFonts w:ascii="Calibri" w:hAnsi="Calibri" w:cs="Calibri"/>
                <w:color w:val="000000"/>
                <w:sz w:val="24"/>
                <w:szCs w:val="24"/>
              </w:rPr>
              <w:t xml:space="preserve">13,119 </w:t>
            </w:r>
          </w:p>
        </w:tc>
        <w:tc>
          <w:tcPr>
            <w:tcW w:w="1418" w:type="dxa"/>
          </w:tcPr>
          <w:p w14:paraId="4B60CCF7"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403,266</w:t>
            </w:r>
          </w:p>
        </w:tc>
        <w:tc>
          <w:tcPr>
            <w:tcW w:w="1417" w:type="dxa"/>
          </w:tcPr>
          <w:p w14:paraId="5BA400B0"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2,540</w:t>
            </w:r>
            <w:r>
              <w:rPr>
                <w:rFonts w:ascii="Calibri" w:hAnsi="Calibri" w:cs="Calibri"/>
                <w:color w:val="000000"/>
                <w:sz w:val="24"/>
                <w:szCs w:val="24"/>
              </w:rPr>
              <w:t xml:space="preserve"> (19.4%)</w:t>
            </w:r>
          </w:p>
        </w:tc>
        <w:tc>
          <w:tcPr>
            <w:tcW w:w="1276" w:type="dxa"/>
          </w:tcPr>
          <w:p w14:paraId="3DBB3B6D"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60,230</w:t>
            </w:r>
            <w:r>
              <w:rPr>
                <w:rFonts w:ascii="Calibri" w:hAnsi="Calibri" w:cs="Calibri"/>
                <w:color w:val="000000"/>
                <w:sz w:val="24"/>
                <w:szCs w:val="24"/>
              </w:rPr>
              <w:t xml:space="preserve"> (14.9%)</w:t>
            </w:r>
          </w:p>
        </w:tc>
        <w:tc>
          <w:tcPr>
            <w:tcW w:w="1417" w:type="dxa"/>
          </w:tcPr>
          <w:p w14:paraId="52E3961E"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1,246</w:t>
            </w:r>
            <w:r>
              <w:rPr>
                <w:rFonts w:ascii="Calibri" w:hAnsi="Calibri" w:cs="Calibri"/>
                <w:color w:val="000000"/>
                <w:sz w:val="24"/>
                <w:szCs w:val="24"/>
              </w:rPr>
              <w:t xml:space="preserve"> (9.5%)</w:t>
            </w:r>
          </w:p>
        </w:tc>
        <w:tc>
          <w:tcPr>
            <w:tcW w:w="1276" w:type="dxa"/>
          </w:tcPr>
          <w:p w14:paraId="0002EEB8"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26,732</w:t>
            </w:r>
            <w:r>
              <w:rPr>
                <w:rFonts w:ascii="Calibri" w:hAnsi="Calibri" w:cs="Calibri"/>
                <w:color w:val="000000"/>
                <w:sz w:val="24"/>
                <w:szCs w:val="24"/>
              </w:rPr>
              <w:t xml:space="preserve"> (6.6%)</w:t>
            </w:r>
          </w:p>
        </w:tc>
        <w:tc>
          <w:tcPr>
            <w:tcW w:w="1276" w:type="dxa"/>
          </w:tcPr>
          <w:p w14:paraId="0B8CB8F4"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2,018</w:t>
            </w:r>
            <w:r>
              <w:rPr>
                <w:rFonts w:ascii="Calibri" w:hAnsi="Calibri" w:cs="Calibri"/>
                <w:color w:val="000000"/>
                <w:sz w:val="24"/>
                <w:szCs w:val="24"/>
              </w:rPr>
              <w:t xml:space="preserve"> (15.4%)</w:t>
            </w:r>
          </w:p>
        </w:tc>
        <w:tc>
          <w:tcPr>
            <w:tcW w:w="1276" w:type="dxa"/>
          </w:tcPr>
          <w:p w14:paraId="30A00D49" w14:textId="77777777" w:rsidR="00355C87" w:rsidRPr="00117A27" w:rsidRDefault="00355C87" w:rsidP="005251B1">
            <w:pPr>
              <w:autoSpaceDE w:val="0"/>
              <w:autoSpaceDN w:val="0"/>
              <w:adjustRightInd w:val="0"/>
              <w:rPr>
                <w:rFonts w:ascii="Calibri" w:hAnsi="Calibri" w:cs="Calibri"/>
                <w:color w:val="000000"/>
                <w:sz w:val="24"/>
                <w:szCs w:val="24"/>
              </w:rPr>
            </w:pPr>
            <w:r w:rsidRPr="00117A27">
              <w:rPr>
                <w:rFonts w:ascii="Calibri" w:hAnsi="Calibri" w:cs="Calibri"/>
                <w:color w:val="000000"/>
                <w:sz w:val="24"/>
                <w:szCs w:val="24"/>
              </w:rPr>
              <w:t>46,934</w:t>
            </w:r>
            <w:r>
              <w:rPr>
                <w:rFonts w:ascii="Calibri" w:hAnsi="Calibri" w:cs="Calibri"/>
                <w:color w:val="000000"/>
                <w:sz w:val="24"/>
                <w:szCs w:val="24"/>
              </w:rPr>
              <w:t xml:space="preserve"> (11.6%)</w:t>
            </w:r>
          </w:p>
        </w:tc>
      </w:tr>
      <w:tr w:rsidR="00355C87" w:rsidRPr="00D8401B" w14:paraId="03783950" w14:textId="77777777" w:rsidTr="00655CFC">
        <w:trPr>
          <w:trHeight w:val="773"/>
        </w:trPr>
        <w:tc>
          <w:tcPr>
            <w:tcW w:w="1985" w:type="dxa"/>
          </w:tcPr>
          <w:p w14:paraId="004B9432" w14:textId="77777777" w:rsidR="00355C87" w:rsidRPr="00D8401B" w:rsidRDefault="00355C87" w:rsidP="005251B1">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Total</w:t>
            </w:r>
          </w:p>
        </w:tc>
        <w:tc>
          <w:tcPr>
            <w:tcW w:w="1417" w:type="dxa"/>
          </w:tcPr>
          <w:p w14:paraId="63D54C54" w14:textId="77777777" w:rsidR="00355C87" w:rsidRPr="00117A27" w:rsidRDefault="00355C87" w:rsidP="005251B1">
            <w:pPr>
              <w:rPr>
                <w:rFonts w:ascii="Calibri" w:hAnsi="Calibri" w:cs="Calibri"/>
                <w:color w:val="000000"/>
                <w:sz w:val="24"/>
                <w:szCs w:val="24"/>
              </w:rPr>
            </w:pPr>
            <w:r>
              <w:rPr>
                <w:rFonts w:ascii="Calibri" w:hAnsi="Calibri" w:cs="Calibri"/>
                <w:color w:val="000000"/>
                <w:sz w:val="24"/>
                <w:szCs w:val="24"/>
              </w:rPr>
              <w:t>60,662</w:t>
            </w:r>
          </w:p>
        </w:tc>
        <w:tc>
          <w:tcPr>
            <w:tcW w:w="1418" w:type="dxa"/>
          </w:tcPr>
          <w:p w14:paraId="08DE1C3E" w14:textId="77777777" w:rsidR="00355C87" w:rsidRPr="00117A27"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1,722,912</w:t>
            </w:r>
          </w:p>
        </w:tc>
        <w:tc>
          <w:tcPr>
            <w:tcW w:w="1417" w:type="dxa"/>
          </w:tcPr>
          <w:p w14:paraId="4BEE3550" w14:textId="77777777" w:rsidR="00355C87" w:rsidRPr="00117A27"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14,720 (24.3%)</w:t>
            </w:r>
          </w:p>
        </w:tc>
        <w:tc>
          <w:tcPr>
            <w:tcW w:w="1276" w:type="dxa"/>
          </w:tcPr>
          <w:p w14:paraId="0C802026" w14:textId="77777777" w:rsidR="00355C87" w:rsidRPr="00117A27"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381,983 (22.2%)</w:t>
            </w:r>
          </w:p>
        </w:tc>
        <w:tc>
          <w:tcPr>
            <w:tcW w:w="1417" w:type="dxa"/>
          </w:tcPr>
          <w:p w14:paraId="2A5DFC5E" w14:textId="77777777" w:rsidR="00355C87" w:rsidRPr="00117A27"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7,653 (12.6%)</w:t>
            </w:r>
          </w:p>
        </w:tc>
        <w:tc>
          <w:tcPr>
            <w:tcW w:w="1276" w:type="dxa"/>
          </w:tcPr>
          <w:p w14:paraId="72A75C37" w14:textId="77777777" w:rsidR="00355C87" w:rsidRPr="00117A27"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167,439 (9.7%)</w:t>
            </w:r>
          </w:p>
        </w:tc>
        <w:tc>
          <w:tcPr>
            <w:tcW w:w="1276" w:type="dxa"/>
          </w:tcPr>
          <w:p w14:paraId="1989A16B" w14:textId="77777777" w:rsidR="00355C87" w:rsidRPr="00117A27"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8,064 (13.3%)</w:t>
            </w:r>
          </w:p>
        </w:tc>
        <w:tc>
          <w:tcPr>
            <w:tcW w:w="1276" w:type="dxa"/>
          </w:tcPr>
          <w:p w14:paraId="50024E07" w14:textId="77777777" w:rsidR="00355C87" w:rsidRPr="00117A27" w:rsidRDefault="00355C87" w:rsidP="005251B1">
            <w:pPr>
              <w:autoSpaceDE w:val="0"/>
              <w:autoSpaceDN w:val="0"/>
              <w:adjustRightInd w:val="0"/>
              <w:rPr>
                <w:rFonts w:ascii="Calibri" w:hAnsi="Calibri" w:cs="Calibri"/>
                <w:color w:val="000000"/>
                <w:sz w:val="24"/>
                <w:szCs w:val="24"/>
              </w:rPr>
            </w:pPr>
            <w:r>
              <w:rPr>
                <w:rFonts w:ascii="Calibri" w:hAnsi="Calibri" w:cs="Calibri"/>
                <w:color w:val="000000"/>
                <w:sz w:val="24"/>
                <w:szCs w:val="24"/>
              </w:rPr>
              <w:t>176,607 (10.3%)</w:t>
            </w:r>
          </w:p>
        </w:tc>
      </w:tr>
    </w:tbl>
    <w:p w14:paraId="363B7294" w14:textId="77777777" w:rsidR="00D1517E" w:rsidRDefault="00D1517E" w:rsidP="00D1517E">
      <w:pPr>
        <w:rPr>
          <w:b/>
          <w:bCs/>
          <w:sz w:val="24"/>
          <w:szCs w:val="24"/>
        </w:rPr>
      </w:pPr>
      <w:r w:rsidRPr="005E0558">
        <w:rPr>
          <w:b/>
          <w:bCs/>
          <w:sz w:val="24"/>
          <w:szCs w:val="24"/>
        </w:rPr>
        <w:t xml:space="preserve">Table 1. </w:t>
      </w:r>
      <w:r w:rsidRPr="004A2B6C">
        <w:rPr>
          <w:sz w:val="24"/>
          <w:szCs w:val="24"/>
        </w:rPr>
        <w:t xml:space="preserve">Number and percentages of children with congenital anomalies and reference children prescribed &gt;1 anti-asthmatic medication, by </w:t>
      </w:r>
      <w:proofErr w:type="gramStart"/>
      <w:r w:rsidRPr="004A2B6C">
        <w:rPr>
          <w:sz w:val="24"/>
          <w:szCs w:val="24"/>
        </w:rPr>
        <w:t>registry</w:t>
      </w:r>
      <w:proofErr w:type="gramEnd"/>
      <w:r w:rsidRPr="004A2B6C">
        <w:rPr>
          <w:sz w:val="24"/>
          <w:szCs w:val="24"/>
        </w:rPr>
        <w:t xml:space="preserve">  </w:t>
      </w:r>
    </w:p>
    <w:bookmarkEnd w:id="2"/>
    <w:p w14:paraId="59BBB804" w14:textId="77777777" w:rsidR="00D1517E" w:rsidRDefault="00D1517E" w:rsidP="00BB4B22">
      <w:pPr>
        <w:autoSpaceDE w:val="0"/>
        <w:autoSpaceDN w:val="0"/>
        <w:adjustRightInd w:val="0"/>
        <w:spacing w:after="0" w:line="240" w:lineRule="auto"/>
        <w:rPr>
          <w:sz w:val="24"/>
          <w:szCs w:val="24"/>
        </w:rPr>
        <w:sectPr w:rsidR="00D1517E" w:rsidSect="00D1517E">
          <w:pgSz w:w="16838" w:h="11906" w:orient="landscape"/>
          <w:pgMar w:top="1440" w:right="1440" w:bottom="1440" w:left="1440" w:header="709" w:footer="709" w:gutter="0"/>
          <w:lnNumType w:countBy="1" w:restart="continuous"/>
          <w:cols w:space="708"/>
          <w:titlePg/>
          <w:docGrid w:linePitch="360"/>
        </w:sectPr>
      </w:pPr>
    </w:p>
    <w:p w14:paraId="6CC14430" w14:textId="77777777" w:rsidR="00355C87" w:rsidRDefault="00355C87" w:rsidP="00355C87">
      <w:pPr>
        <w:autoSpaceDE w:val="0"/>
        <w:autoSpaceDN w:val="0"/>
        <w:adjustRightInd w:val="0"/>
        <w:spacing w:after="0" w:line="240" w:lineRule="auto"/>
        <w:rPr>
          <w:sz w:val="24"/>
          <w:szCs w:val="24"/>
        </w:rPr>
      </w:pPr>
      <w:r>
        <w:rPr>
          <w:sz w:val="24"/>
          <w:szCs w:val="24"/>
        </w:rPr>
        <w:lastRenderedPageBreak/>
        <w:t xml:space="preserve">We explored anti-asthmatic medications in children with any major congenital anomaly (defined as a congenital malformation, deformation, </w:t>
      </w:r>
      <w:proofErr w:type="gramStart"/>
      <w:r>
        <w:rPr>
          <w:sz w:val="24"/>
          <w:szCs w:val="24"/>
        </w:rPr>
        <w:t>disruption</w:t>
      </w:r>
      <w:proofErr w:type="gramEnd"/>
      <w:r>
        <w:rPr>
          <w:sz w:val="24"/>
          <w:szCs w:val="24"/>
        </w:rPr>
        <w:t xml:space="preserve"> or dysplasia) [20-21], and in </w:t>
      </w:r>
    </w:p>
    <w:p w14:paraId="6F928FD7" w14:textId="14D8A8CF" w:rsidR="00E741AC" w:rsidRDefault="007D0513" w:rsidP="00BB4B22">
      <w:pPr>
        <w:autoSpaceDE w:val="0"/>
        <w:autoSpaceDN w:val="0"/>
        <w:adjustRightInd w:val="0"/>
        <w:spacing w:after="0" w:line="240" w:lineRule="auto"/>
        <w:rPr>
          <w:sz w:val="24"/>
          <w:szCs w:val="24"/>
        </w:rPr>
      </w:pPr>
      <w:r>
        <w:rPr>
          <w:sz w:val="24"/>
          <w:szCs w:val="24"/>
        </w:rPr>
        <w:t>3</w:t>
      </w:r>
      <w:r w:rsidR="0025715E">
        <w:rPr>
          <w:sz w:val="24"/>
          <w:szCs w:val="24"/>
        </w:rPr>
        <w:t>2</w:t>
      </w:r>
      <w:r>
        <w:rPr>
          <w:sz w:val="24"/>
          <w:szCs w:val="24"/>
        </w:rPr>
        <w:t xml:space="preserve"> </w:t>
      </w:r>
      <w:r w:rsidR="00757B08">
        <w:rPr>
          <w:sz w:val="24"/>
          <w:szCs w:val="24"/>
        </w:rPr>
        <w:t xml:space="preserve">isolated </w:t>
      </w:r>
      <w:r>
        <w:rPr>
          <w:sz w:val="24"/>
          <w:szCs w:val="24"/>
        </w:rPr>
        <w:t>congenital anomal</w:t>
      </w:r>
      <w:r w:rsidR="00932CD0">
        <w:rPr>
          <w:sz w:val="24"/>
          <w:szCs w:val="24"/>
        </w:rPr>
        <w:t>y subgroups</w:t>
      </w:r>
      <w:r>
        <w:rPr>
          <w:sz w:val="24"/>
          <w:szCs w:val="24"/>
        </w:rPr>
        <w:t xml:space="preserve"> </w:t>
      </w:r>
      <w:r w:rsidR="00C22D1B">
        <w:rPr>
          <w:sz w:val="24"/>
          <w:szCs w:val="24"/>
        </w:rPr>
        <w:t xml:space="preserve">with a livebirth prevalence of </w:t>
      </w:r>
      <w:r w:rsidR="006213F3">
        <w:rPr>
          <w:rFonts w:cstheme="minorHAnsi"/>
          <w:sz w:val="24"/>
          <w:szCs w:val="24"/>
        </w:rPr>
        <w:t>≥</w:t>
      </w:r>
      <w:r w:rsidR="006213F3">
        <w:rPr>
          <w:sz w:val="24"/>
          <w:szCs w:val="24"/>
        </w:rPr>
        <w:t xml:space="preserve">1.75 per 10,000 births </w:t>
      </w:r>
      <w:r w:rsidR="009D3B98">
        <w:rPr>
          <w:sz w:val="24"/>
          <w:szCs w:val="24"/>
        </w:rPr>
        <w:t xml:space="preserve">to avoid potential </w:t>
      </w:r>
      <w:r w:rsidR="00D62F86">
        <w:rPr>
          <w:sz w:val="24"/>
          <w:szCs w:val="24"/>
        </w:rPr>
        <w:t>i</w:t>
      </w:r>
      <w:r w:rsidR="009D3B98">
        <w:rPr>
          <w:sz w:val="24"/>
          <w:szCs w:val="24"/>
        </w:rPr>
        <w:t>ssues with small numbers</w:t>
      </w:r>
      <w:r w:rsidR="004A14D9">
        <w:rPr>
          <w:sz w:val="24"/>
          <w:szCs w:val="24"/>
        </w:rPr>
        <w:t xml:space="preserve"> </w:t>
      </w:r>
      <w:r w:rsidR="00CB3A35">
        <w:rPr>
          <w:sz w:val="24"/>
          <w:szCs w:val="24"/>
        </w:rPr>
        <w:t>[21]</w:t>
      </w:r>
      <w:r w:rsidR="008632DB">
        <w:rPr>
          <w:sz w:val="24"/>
          <w:szCs w:val="24"/>
        </w:rPr>
        <w:t xml:space="preserve"> </w:t>
      </w:r>
      <w:r w:rsidR="004A14D9">
        <w:rPr>
          <w:sz w:val="24"/>
          <w:szCs w:val="24"/>
        </w:rPr>
        <w:t>(</w:t>
      </w:r>
      <w:r w:rsidR="00004F75">
        <w:rPr>
          <w:sz w:val="24"/>
          <w:szCs w:val="24"/>
        </w:rPr>
        <w:t xml:space="preserve">Supplementary </w:t>
      </w:r>
      <w:r w:rsidR="004A14D9">
        <w:rPr>
          <w:sz w:val="24"/>
          <w:szCs w:val="24"/>
        </w:rPr>
        <w:t xml:space="preserve">Table </w:t>
      </w:r>
      <w:r w:rsidR="00A771B3">
        <w:rPr>
          <w:sz w:val="24"/>
          <w:szCs w:val="24"/>
        </w:rPr>
        <w:t>2</w:t>
      </w:r>
      <w:r w:rsidR="004A14D9">
        <w:rPr>
          <w:sz w:val="24"/>
          <w:szCs w:val="24"/>
        </w:rPr>
        <w:t>)</w:t>
      </w:r>
      <w:r w:rsidR="009D0D1D">
        <w:rPr>
          <w:sz w:val="24"/>
          <w:szCs w:val="24"/>
        </w:rPr>
        <w:t xml:space="preserve">. </w:t>
      </w:r>
      <w:r w:rsidR="00757B08">
        <w:rPr>
          <w:sz w:val="24"/>
          <w:szCs w:val="24"/>
        </w:rPr>
        <w:t xml:space="preserve">Isolated anomalies are defined as anomalies within a single organ, as defined using the EUROCAT algorithm </w:t>
      </w:r>
      <w:r w:rsidR="00CB3A35">
        <w:rPr>
          <w:sz w:val="24"/>
          <w:szCs w:val="24"/>
        </w:rPr>
        <w:t>[23]</w:t>
      </w:r>
      <w:r w:rsidR="00757B08">
        <w:rPr>
          <w:sz w:val="24"/>
          <w:szCs w:val="24"/>
        </w:rPr>
        <w:t>.</w:t>
      </w:r>
    </w:p>
    <w:p w14:paraId="531E7E07" w14:textId="77777777" w:rsidR="0084652F" w:rsidRDefault="0084652F" w:rsidP="00BB4B22">
      <w:pPr>
        <w:autoSpaceDE w:val="0"/>
        <w:autoSpaceDN w:val="0"/>
        <w:adjustRightInd w:val="0"/>
        <w:spacing w:after="0" w:line="240" w:lineRule="auto"/>
        <w:rPr>
          <w:sz w:val="24"/>
          <w:szCs w:val="24"/>
        </w:rPr>
      </w:pPr>
    </w:p>
    <w:p w14:paraId="02668A41" w14:textId="13D913FC" w:rsidR="0084652F" w:rsidRDefault="0084652F" w:rsidP="00BB4B22">
      <w:pPr>
        <w:autoSpaceDE w:val="0"/>
        <w:autoSpaceDN w:val="0"/>
        <w:adjustRightInd w:val="0"/>
        <w:spacing w:after="0" w:line="240" w:lineRule="auto"/>
        <w:rPr>
          <w:sz w:val="24"/>
          <w:szCs w:val="24"/>
        </w:rPr>
      </w:pPr>
      <w:bookmarkStart w:id="3" w:name="_Hlk115791230"/>
      <w:r>
        <w:rPr>
          <w:sz w:val="24"/>
          <w:szCs w:val="24"/>
        </w:rPr>
        <w:t>Each participating registry obtained local approvals for their data to be used in the EUROlinkCAT project. Ethical approval for this study was obtained from Ulster University’s Nursing and Health Research Ethics Filter Committee (Reference Number: FCNUR-21-060).</w:t>
      </w:r>
    </w:p>
    <w:p w14:paraId="09E0787A" w14:textId="435AA7FA" w:rsidR="00560743" w:rsidRDefault="00560743" w:rsidP="00BB4B22">
      <w:pPr>
        <w:autoSpaceDE w:val="0"/>
        <w:autoSpaceDN w:val="0"/>
        <w:adjustRightInd w:val="0"/>
        <w:spacing w:after="0" w:line="240" w:lineRule="auto"/>
        <w:rPr>
          <w:sz w:val="24"/>
          <w:szCs w:val="24"/>
        </w:rPr>
      </w:pPr>
    </w:p>
    <w:p w14:paraId="13416C92" w14:textId="77777777" w:rsidR="00560743" w:rsidRDefault="00560743" w:rsidP="00BB4B22">
      <w:pPr>
        <w:autoSpaceDE w:val="0"/>
        <w:autoSpaceDN w:val="0"/>
        <w:adjustRightInd w:val="0"/>
        <w:spacing w:after="0" w:line="240" w:lineRule="auto"/>
        <w:rPr>
          <w:i/>
          <w:iCs/>
          <w:sz w:val="24"/>
          <w:szCs w:val="24"/>
        </w:rPr>
      </w:pPr>
      <w:r>
        <w:rPr>
          <w:i/>
          <w:iCs/>
          <w:sz w:val="24"/>
          <w:szCs w:val="24"/>
        </w:rPr>
        <w:t>Patient and public involvement</w:t>
      </w:r>
    </w:p>
    <w:p w14:paraId="44032582" w14:textId="781D76D5" w:rsidR="00560743" w:rsidRPr="00560743" w:rsidRDefault="00560743" w:rsidP="00BB4B22">
      <w:pPr>
        <w:autoSpaceDE w:val="0"/>
        <w:autoSpaceDN w:val="0"/>
        <w:adjustRightInd w:val="0"/>
        <w:spacing w:after="0" w:line="240" w:lineRule="auto"/>
        <w:rPr>
          <w:i/>
          <w:iCs/>
          <w:sz w:val="24"/>
          <w:szCs w:val="24"/>
        </w:rPr>
      </w:pPr>
      <w:r>
        <w:rPr>
          <w:sz w:val="24"/>
          <w:szCs w:val="24"/>
        </w:rPr>
        <w:t xml:space="preserve">No </w:t>
      </w:r>
      <w:r w:rsidR="00E627C0">
        <w:rPr>
          <w:sz w:val="24"/>
          <w:szCs w:val="24"/>
        </w:rPr>
        <w:t>patient</w:t>
      </w:r>
      <w:r>
        <w:rPr>
          <w:sz w:val="24"/>
          <w:szCs w:val="24"/>
        </w:rPr>
        <w:t xml:space="preserve"> involved. </w:t>
      </w:r>
    </w:p>
    <w:bookmarkEnd w:id="3"/>
    <w:p w14:paraId="33579BDC" w14:textId="34114B0C" w:rsidR="00C470B6" w:rsidRDefault="00C470B6" w:rsidP="00BB4B22">
      <w:pPr>
        <w:autoSpaceDE w:val="0"/>
        <w:autoSpaceDN w:val="0"/>
        <w:adjustRightInd w:val="0"/>
        <w:spacing w:after="0" w:line="240" w:lineRule="auto"/>
        <w:rPr>
          <w:rFonts w:ascii="AdvP7C2E" w:hAnsi="AdvP7C2E" w:cs="AdvP7C2E"/>
          <w:color w:val="231F20"/>
          <w:sz w:val="18"/>
          <w:szCs w:val="18"/>
        </w:rPr>
      </w:pPr>
    </w:p>
    <w:p w14:paraId="1678CE59" w14:textId="0454AA15" w:rsidR="00C470B6" w:rsidRPr="00AC2F06" w:rsidRDefault="00C470B6" w:rsidP="00BB4B22">
      <w:pPr>
        <w:autoSpaceDE w:val="0"/>
        <w:autoSpaceDN w:val="0"/>
        <w:adjustRightInd w:val="0"/>
        <w:spacing w:after="0" w:line="240" w:lineRule="auto"/>
        <w:rPr>
          <w:rFonts w:cstheme="minorHAnsi"/>
          <w:i/>
          <w:iCs/>
          <w:color w:val="231F20"/>
          <w:sz w:val="24"/>
          <w:szCs w:val="24"/>
        </w:rPr>
      </w:pPr>
      <w:r w:rsidRPr="00AC2F06">
        <w:rPr>
          <w:rFonts w:cstheme="minorHAnsi"/>
          <w:i/>
          <w:iCs/>
          <w:color w:val="231F20"/>
          <w:sz w:val="24"/>
          <w:szCs w:val="24"/>
        </w:rPr>
        <w:t>Statistical analysis</w:t>
      </w:r>
    </w:p>
    <w:p w14:paraId="18CB5A63" w14:textId="0B86E2A2" w:rsidR="00FB6967" w:rsidRDefault="00EE341B" w:rsidP="0045491D">
      <w:pPr>
        <w:autoSpaceDE w:val="0"/>
        <w:autoSpaceDN w:val="0"/>
        <w:adjustRightInd w:val="0"/>
        <w:spacing w:before="240" w:after="0" w:line="240" w:lineRule="auto"/>
        <w:rPr>
          <w:sz w:val="24"/>
          <w:szCs w:val="24"/>
        </w:rPr>
      </w:pPr>
      <w:r>
        <w:rPr>
          <w:sz w:val="24"/>
          <w:szCs w:val="24"/>
        </w:rPr>
        <w:t>Person</w:t>
      </w:r>
      <w:r w:rsidR="00996865">
        <w:rPr>
          <w:sz w:val="24"/>
          <w:szCs w:val="24"/>
        </w:rPr>
        <w:t>-year estimates were calculated, which considers the number of children in the study a</w:t>
      </w:r>
      <w:r w:rsidR="00E627C0">
        <w:rPr>
          <w:sz w:val="24"/>
          <w:szCs w:val="24"/>
        </w:rPr>
        <w:t xml:space="preserve">nd </w:t>
      </w:r>
      <w:r w:rsidR="00BA1310">
        <w:rPr>
          <w:sz w:val="24"/>
          <w:szCs w:val="24"/>
        </w:rPr>
        <w:t xml:space="preserve">the length of follow-up time </w:t>
      </w:r>
      <w:r w:rsidR="00ED6563">
        <w:rPr>
          <w:sz w:val="24"/>
          <w:szCs w:val="24"/>
        </w:rPr>
        <w:t>in the study</w:t>
      </w:r>
      <w:r w:rsidR="008505EE">
        <w:rPr>
          <w:sz w:val="24"/>
          <w:szCs w:val="24"/>
        </w:rPr>
        <w:t xml:space="preserve"> </w:t>
      </w:r>
      <w:proofErr w:type="gramStart"/>
      <w:r w:rsidR="008505EE">
        <w:rPr>
          <w:sz w:val="24"/>
          <w:szCs w:val="24"/>
        </w:rPr>
        <w:t>i.e.</w:t>
      </w:r>
      <w:proofErr w:type="gramEnd"/>
      <w:r w:rsidR="008505EE">
        <w:rPr>
          <w:sz w:val="24"/>
          <w:szCs w:val="24"/>
        </w:rPr>
        <w:t xml:space="preserve"> each age group includes the number of children alive at the start</w:t>
      </w:r>
      <w:r w:rsidR="00BC499C">
        <w:rPr>
          <w:sz w:val="24"/>
          <w:szCs w:val="24"/>
        </w:rPr>
        <w:t xml:space="preserve"> of that age group</w:t>
      </w:r>
      <w:r w:rsidR="00725BA9">
        <w:rPr>
          <w:sz w:val="24"/>
          <w:szCs w:val="24"/>
        </w:rPr>
        <w:t xml:space="preserve">. </w:t>
      </w:r>
      <w:r w:rsidR="0065123B">
        <w:rPr>
          <w:sz w:val="24"/>
          <w:szCs w:val="24"/>
        </w:rPr>
        <w:t xml:space="preserve">The </w:t>
      </w:r>
      <w:r w:rsidR="007205BB">
        <w:rPr>
          <w:sz w:val="24"/>
          <w:szCs w:val="24"/>
        </w:rPr>
        <w:t xml:space="preserve">average years of follow-up </w:t>
      </w:r>
      <w:r w:rsidR="00EF25CF">
        <w:rPr>
          <w:sz w:val="24"/>
          <w:szCs w:val="24"/>
        </w:rPr>
        <w:t xml:space="preserve">for each registry </w:t>
      </w:r>
      <w:r w:rsidR="007205BB">
        <w:rPr>
          <w:sz w:val="24"/>
          <w:szCs w:val="24"/>
        </w:rPr>
        <w:t xml:space="preserve">are shown in </w:t>
      </w:r>
      <w:r w:rsidR="00E82CB2">
        <w:rPr>
          <w:sz w:val="24"/>
          <w:szCs w:val="24"/>
        </w:rPr>
        <w:t>Supplementary</w:t>
      </w:r>
      <w:r w:rsidR="007205BB">
        <w:rPr>
          <w:sz w:val="24"/>
          <w:szCs w:val="24"/>
        </w:rPr>
        <w:t xml:space="preserve"> Table 1</w:t>
      </w:r>
      <w:r w:rsidR="00E82CB2">
        <w:rPr>
          <w:sz w:val="24"/>
          <w:szCs w:val="24"/>
        </w:rPr>
        <w:t xml:space="preserve">. </w:t>
      </w:r>
      <w:r w:rsidR="008A7CE4">
        <w:rPr>
          <w:sz w:val="24"/>
          <w:szCs w:val="24"/>
        </w:rPr>
        <w:t xml:space="preserve">Age groups were collapsed into six categories to avoid disclosive counts: &lt;1 year; 1 year; 2-3 years; 4-5 years; 6-7 years; 8-9 years. </w:t>
      </w:r>
      <w:r w:rsidR="00B50A1E">
        <w:rPr>
          <w:sz w:val="24"/>
          <w:szCs w:val="24"/>
        </w:rPr>
        <w:t xml:space="preserve">Data were available from </w:t>
      </w:r>
      <w:r w:rsidR="003D417D">
        <w:rPr>
          <w:sz w:val="24"/>
          <w:szCs w:val="24"/>
        </w:rPr>
        <w:t xml:space="preserve">Valencian Region </w:t>
      </w:r>
      <w:r w:rsidR="007B7F13">
        <w:rPr>
          <w:sz w:val="24"/>
          <w:szCs w:val="24"/>
        </w:rPr>
        <w:t>for children 0-5</w:t>
      </w:r>
      <w:r w:rsidR="002E2B11">
        <w:rPr>
          <w:sz w:val="24"/>
          <w:szCs w:val="24"/>
        </w:rPr>
        <w:t xml:space="preserve"> years of </w:t>
      </w:r>
      <w:r w:rsidR="00B50A1E">
        <w:rPr>
          <w:sz w:val="24"/>
          <w:szCs w:val="24"/>
        </w:rPr>
        <w:t>age</w:t>
      </w:r>
      <w:r w:rsidR="002C3F56">
        <w:rPr>
          <w:sz w:val="24"/>
          <w:szCs w:val="24"/>
        </w:rPr>
        <w:t xml:space="preserve"> (</w:t>
      </w:r>
      <w:proofErr w:type="gramStart"/>
      <w:r w:rsidR="002C3F56">
        <w:rPr>
          <w:sz w:val="24"/>
          <w:szCs w:val="24"/>
        </w:rPr>
        <w:t>i.e.</w:t>
      </w:r>
      <w:proofErr w:type="gramEnd"/>
      <w:r w:rsidR="002C3F56">
        <w:rPr>
          <w:sz w:val="24"/>
          <w:szCs w:val="24"/>
        </w:rPr>
        <w:t xml:space="preserve"> up t</w:t>
      </w:r>
      <w:r w:rsidR="00B22A99">
        <w:rPr>
          <w:sz w:val="24"/>
          <w:szCs w:val="24"/>
        </w:rPr>
        <w:t>o</w:t>
      </w:r>
      <w:r w:rsidR="005A16DA">
        <w:rPr>
          <w:sz w:val="24"/>
          <w:szCs w:val="24"/>
        </w:rPr>
        <w:t xml:space="preserve"> the children’s</w:t>
      </w:r>
      <w:r w:rsidR="00B22A99">
        <w:rPr>
          <w:sz w:val="24"/>
          <w:szCs w:val="24"/>
        </w:rPr>
        <w:t xml:space="preserve"> 6</w:t>
      </w:r>
      <w:r w:rsidR="00B22A99" w:rsidRPr="00060CE6">
        <w:rPr>
          <w:sz w:val="24"/>
          <w:szCs w:val="24"/>
          <w:vertAlign w:val="superscript"/>
        </w:rPr>
        <w:t>th</w:t>
      </w:r>
      <w:r w:rsidR="00B22A99">
        <w:rPr>
          <w:sz w:val="24"/>
          <w:szCs w:val="24"/>
        </w:rPr>
        <w:t xml:space="preserve"> birthday</w:t>
      </w:r>
      <w:r w:rsidR="007B7F13">
        <w:rPr>
          <w:sz w:val="24"/>
          <w:szCs w:val="24"/>
        </w:rPr>
        <w:t>)</w:t>
      </w:r>
      <w:r w:rsidR="00B50A1E">
        <w:rPr>
          <w:sz w:val="24"/>
          <w:szCs w:val="24"/>
        </w:rPr>
        <w:t xml:space="preserve">, </w:t>
      </w:r>
      <w:r w:rsidR="00FB6967">
        <w:rPr>
          <w:sz w:val="24"/>
          <w:szCs w:val="24"/>
        </w:rPr>
        <w:t xml:space="preserve">from Italian registries </w:t>
      </w:r>
      <w:r w:rsidR="0006747C">
        <w:rPr>
          <w:sz w:val="24"/>
          <w:szCs w:val="24"/>
        </w:rPr>
        <w:t>for children 0-</w:t>
      </w:r>
      <w:r w:rsidR="00611B13">
        <w:rPr>
          <w:sz w:val="24"/>
          <w:szCs w:val="24"/>
        </w:rPr>
        <w:t>7</w:t>
      </w:r>
      <w:r w:rsidR="00FB6967">
        <w:rPr>
          <w:sz w:val="24"/>
          <w:szCs w:val="24"/>
        </w:rPr>
        <w:t xml:space="preserve"> years of age</w:t>
      </w:r>
      <w:r w:rsidR="00B22A99">
        <w:rPr>
          <w:sz w:val="24"/>
          <w:szCs w:val="24"/>
        </w:rPr>
        <w:t xml:space="preserve"> </w:t>
      </w:r>
      <w:r w:rsidR="00B22A99" w:rsidRPr="00C637F0">
        <w:rPr>
          <w:sz w:val="24"/>
          <w:szCs w:val="24"/>
        </w:rPr>
        <w:t>(</w:t>
      </w:r>
      <w:r w:rsidR="00D551A6" w:rsidRPr="00C637F0">
        <w:rPr>
          <w:sz w:val="24"/>
          <w:szCs w:val="24"/>
        </w:rPr>
        <w:t xml:space="preserve">i.e. </w:t>
      </w:r>
      <w:r w:rsidR="00B018A3" w:rsidRPr="00C637F0">
        <w:rPr>
          <w:sz w:val="24"/>
          <w:szCs w:val="24"/>
        </w:rPr>
        <w:t xml:space="preserve">up to </w:t>
      </w:r>
      <w:r w:rsidR="00611B13" w:rsidRPr="00C637F0">
        <w:rPr>
          <w:sz w:val="24"/>
          <w:szCs w:val="24"/>
        </w:rPr>
        <w:t>8</w:t>
      </w:r>
      <w:r w:rsidR="00B22A99" w:rsidRPr="00C637F0">
        <w:rPr>
          <w:sz w:val="24"/>
          <w:szCs w:val="24"/>
          <w:vertAlign w:val="superscript"/>
        </w:rPr>
        <w:t>th</w:t>
      </w:r>
      <w:r w:rsidR="00B22A99" w:rsidRPr="00C637F0">
        <w:rPr>
          <w:sz w:val="24"/>
          <w:szCs w:val="24"/>
        </w:rPr>
        <w:t xml:space="preserve"> birthday</w:t>
      </w:r>
      <w:r w:rsidR="007B7F13" w:rsidRPr="00C637F0">
        <w:rPr>
          <w:sz w:val="24"/>
          <w:szCs w:val="24"/>
        </w:rPr>
        <w:t>)</w:t>
      </w:r>
      <w:r w:rsidR="00FB6967">
        <w:rPr>
          <w:sz w:val="24"/>
          <w:szCs w:val="24"/>
        </w:rPr>
        <w:t xml:space="preserve">, and from Funen, Finland and Wales </w:t>
      </w:r>
      <w:r w:rsidR="00D551A6">
        <w:rPr>
          <w:sz w:val="24"/>
          <w:szCs w:val="24"/>
        </w:rPr>
        <w:t xml:space="preserve">for children 0-9 </w:t>
      </w:r>
      <w:r w:rsidR="00FB6967">
        <w:rPr>
          <w:sz w:val="24"/>
          <w:szCs w:val="24"/>
        </w:rPr>
        <w:t>years of age</w:t>
      </w:r>
      <w:r w:rsidR="00B22A99" w:rsidRPr="00B22A99">
        <w:rPr>
          <w:sz w:val="24"/>
          <w:szCs w:val="24"/>
        </w:rPr>
        <w:t xml:space="preserve"> </w:t>
      </w:r>
      <w:r w:rsidR="00B22A99" w:rsidRPr="00C637F0">
        <w:rPr>
          <w:sz w:val="24"/>
          <w:szCs w:val="24"/>
        </w:rPr>
        <w:t>(</w:t>
      </w:r>
      <w:r w:rsidR="00D551A6" w:rsidRPr="00C637F0">
        <w:rPr>
          <w:sz w:val="24"/>
          <w:szCs w:val="24"/>
        </w:rPr>
        <w:t xml:space="preserve">i.e. </w:t>
      </w:r>
      <w:r w:rsidR="00B22A99" w:rsidRPr="00C637F0">
        <w:rPr>
          <w:sz w:val="24"/>
          <w:szCs w:val="24"/>
        </w:rPr>
        <w:t>up to 10</w:t>
      </w:r>
      <w:r w:rsidR="00B22A99" w:rsidRPr="00C637F0">
        <w:rPr>
          <w:sz w:val="24"/>
          <w:szCs w:val="24"/>
          <w:vertAlign w:val="superscript"/>
        </w:rPr>
        <w:t>th</w:t>
      </w:r>
      <w:r w:rsidR="00B22A99" w:rsidRPr="00C637F0">
        <w:rPr>
          <w:sz w:val="24"/>
          <w:szCs w:val="24"/>
        </w:rPr>
        <w:t xml:space="preserve"> birthday</w:t>
      </w:r>
      <w:r w:rsidR="007B7F13">
        <w:rPr>
          <w:sz w:val="24"/>
          <w:szCs w:val="24"/>
        </w:rPr>
        <w:t>)</w:t>
      </w:r>
      <w:r w:rsidR="00FB6967">
        <w:rPr>
          <w:sz w:val="24"/>
          <w:szCs w:val="24"/>
        </w:rPr>
        <w:t xml:space="preserve">. Analyses of </w:t>
      </w:r>
      <w:r w:rsidR="00406E4A">
        <w:rPr>
          <w:sz w:val="24"/>
          <w:szCs w:val="24"/>
        </w:rPr>
        <w:t xml:space="preserve">specific congenital anomalies </w:t>
      </w:r>
      <w:r w:rsidR="00FB6967">
        <w:rPr>
          <w:sz w:val="24"/>
          <w:szCs w:val="24"/>
        </w:rPr>
        <w:t xml:space="preserve">were conducted </w:t>
      </w:r>
      <w:r w:rsidR="00AF1422">
        <w:rPr>
          <w:sz w:val="24"/>
          <w:szCs w:val="24"/>
        </w:rPr>
        <w:t xml:space="preserve">using </w:t>
      </w:r>
      <w:r w:rsidR="008002BB">
        <w:rPr>
          <w:sz w:val="24"/>
          <w:szCs w:val="24"/>
        </w:rPr>
        <w:t xml:space="preserve">data </w:t>
      </w:r>
      <w:r w:rsidR="001B6275">
        <w:rPr>
          <w:sz w:val="24"/>
          <w:szCs w:val="24"/>
        </w:rPr>
        <w:t xml:space="preserve">for children aged </w:t>
      </w:r>
      <w:r w:rsidR="008002BB">
        <w:rPr>
          <w:sz w:val="24"/>
          <w:szCs w:val="24"/>
        </w:rPr>
        <w:t>0-7</w:t>
      </w:r>
      <w:r w:rsidR="00FB6967">
        <w:rPr>
          <w:sz w:val="24"/>
          <w:szCs w:val="24"/>
        </w:rPr>
        <w:t xml:space="preserve"> years to include data from the Italian registries.</w:t>
      </w:r>
    </w:p>
    <w:p w14:paraId="15D25E33" w14:textId="49AC1B33" w:rsidR="001E18ED" w:rsidRDefault="00FB6967" w:rsidP="006152FE">
      <w:pPr>
        <w:spacing w:before="240"/>
        <w:rPr>
          <w:sz w:val="24"/>
          <w:szCs w:val="24"/>
        </w:rPr>
      </w:pPr>
      <w:bookmarkStart w:id="4" w:name="_Hlk92879386"/>
      <w:proofErr w:type="spellStart"/>
      <w:r>
        <w:rPr>
          <w:sz w:val="24"/>
          <w:szCs w:val="24"/>
        </w:rPr>
        <w:t>DerSimonian</w:t>
      </w:r>
      <w:proofErr w:type="spellEnd"/>
      <w:r>
        <w:rPr>
          <w:sz w:val="24"/>
          <w:szCs w:val="24"/>
        </w:rPr>
        <w:t xml:space="preserve">-Laird </w:t>
      </w:r>
      <w:bookmarkEnd w:id="4"/>
      <w:r>
        <w:rPr>
          <w:sz w:val="24"/>
          <w:szCs w:val="24"/>
        </w:rPr>
        <w:t xml:space="preserve">(DL) random-effects </w:t>
      </w:r>
      <w:r w:rsidR="00B927EE">
        <w:rPr>
          <w:sz w:val="24"/>
          <w:szCs w:val="24"/>
        </w:rPr>
        <w:t>meta-analyses</w:t>
      </w:r>
      <w:r>
        <w:rPr>
          <w:sz w:val="24"/>
          <w:szCs w:val="24"/>
        </w:rPr>
        <w:t xml:space="preserve"> were conducted to identify both the relative risk (RR) of receiving anti-asthmatic prescriptions relative to the reference group, and the heterogeneity of prevalence rates across registries and by age group</w:t>
      </w:r>
      <w:r w:rsidR="0028388E">
        <w:rPr>
          <w:sz w:val="24"/>
          <w:szCs w:val="24"/>
        </w:rPr>
        <w:t xml:space="preserve"> </w:t>
      </w:r>
      <w:r w:rsidR="00E009FA">
        <w:rPr>
          <w:sz w:val="24"/>
          <w:szCs w:val="24"/>
        </w:rPr>
        <w:t>[24]</w:t>
      </w:r>
      <w:r>
        <w:rPr>
          <w:sz w:val="24"/>
          <w:szCs w:val="24"/>
        </w:rPr>
        <w:t>. Random-effects meta-analyses were used to estimate RR ratios for the 32 congenital anomaly subgroups, all registries combined</w:t>
      </w:r>
      <w:r w:rsidR="00EF5FE1">
        <w:rPr>
          <w:sz w:val="24"/>
          <w:szCs w:val="24"/>
        </w:rPr>
        <w:t>,</w:t>
      </w:r>
      <w:r>
        <w:rPr>
          <w:sz w:val="24"/>
          <w:szCs w:val="24"/>
        </w:rPr>
        <w:t xml:space="preserve"> </w:t>
      </w:r>
      <w:r w:rsidR="002F7156">
        <w:rPr>
          <w:sz w:val="24"/>
          <w:szCs w:val="24"/>
        </w:rPr>
        <w:t xml:space="preserve">and </w:t>
      </w:r>
      <w:r w:rsidR="00EF5FE1">
        <w:rPr>
          <w:sz w:val="24"/>
          <w:szCs w:val="24"/>
        </w:rPr>
        <w:t xml:space="preserve">by class </w:t>
      </w:r>
      <w:r w:rsidR="00565E5F">
        <w:rPr>
          <w:sz w:val="24"/>
          <w:szCs w:val="24"/>
        </w:rPr>
        <w:t xml:space="preserve">of anti-asthmatic </w:t>
      </w:r>
      <w:proofErr w:type="gramStart"/>
      <w:r w:rsidR="00565E5F">
        <w:rPr>
          <w:sz w:val="24"/>
          <w:szCs w:val="24"/>
        </w:rPr>
        <w:t>i.e.</w:t>
      </w:r>
      <w:proofErr w:type="gramEnd"/>
      <w:r w:rsidR="00565E5F">
        <w:rPr>
          <w:sz w:val="24"/>
          <w:szCs w:val="24"/>
        </w:rPr>
        <w:t xml:space="preserve"> </w:t>
      </w:r>
      <w:r>
        <w:rPr>
          <w:sz w:val="24"/>
          <w:szCs w:val="24"/>
        </w:rPr>
        <w:t>any anti-asthmatic, inhaled corticosteroids and beta-2 agonists. Heterogeneity was estimated by the statistic I</w:t>
      </w:r>
      <w:r w:rsidRPr="0046438E">
        <w:rPr>
          <w:sz w:val="24"/>
          <w:szCs w:val="24"/>
          <w:vertAlign w:val="superscript"/>
        </w:rPr>
        <w:t>2</w:t>
      </w:r>
      <w:r>
        <w:rPr>
          <w:sz w:val="24"/>
          <w:szCs w:val="24"/>
        </w:rPr>
        <w:t xml:space="preserve">. </w:t>
      </w:r>
      <w:r w:rsidDel="001419C5">
        <w:rPr>
          <w:sz w:val="24"/>
          <w:szCs w:val="24"/>
        </w:rPr>
        <w:t>Stata Version 17 was used for data analysis</w:t>
      </w:r>
      <w:r w:rsidR="0028388E">
        <w:rPr>
          <w:sz w:val="24"/>
          <w:szCs w:val="24"/>
        </w:rPr>
        <w:t xml:space="preserve"> </w:t>
      </w:r>
      <w:r w:rsidR="00E009FA">
        <w:rPr>
          <w:sz w:val="24"/>
          <w:szCs w:val="24"/>
        </w:rPr>
        <w:t>[25]</w:t>
      </w:r>
      <w:r w:rsidDel="001419C5">
        <w:rPr>
          <w:sz w:val="24"/>
          <w:szCs w:val="24"/>
        </w:rPr>
        <w:t>.</w:t>
      </w:r>
      <w:r w:rsidR="001A5BB3">
        <w:rPr>
          <w:sz w:val="24"/>
          <w:szCs w:val="24"/>
        </w:rPr>
        <w:t xml:space="preserve"> </w:t>
      </w:r>
    </w:p>
    <w:p w14:paraId="67EC9409" w14:textId="4D065DE8" w:rsidR="0045083F" w:rsidRDefault="006E324F" w:rsidP="006152FE">
      <w:pPr>
        <w:spacing w:before="240"/>
        <w:rPr>
          <w:sz w:val="24"/>
          <w:szCs w:val="24"/>
        </w:rPr>
      </w:pPr>
      <w:r>
        <w:rPr>
          <w:sz w:val="24"/>
          <w:szCs w:val="24"/>
        </w:rPr>
        <w:t>We explored the effect of receiving &gt;1 anti-asthmatic prescription by</w:t>
      </w:r>
      <w:r w:rsidR="003B2271">
        <w:rPr>
          <w:sz w:val="24"/>
          <w:szCs w:val="24"/>
        </w:rPr>
        <w:t xml:space="preserve"> </w:t>
      </w:r>
      <w:r>
        <w:rPr>
          <w:sz w:val="24"/>
          <w:szCs w:val="24"/>
        </w:rPr>
        <w:t>birth cohort, sex of child, and gestational age (GA)</w:t>
      </w:r>
      <w:r w:rsidR="000502DF">
        <w:rPr>
          <w:sz w:val="24"/>
          <w:szCs w:val="24"/>
        </w:rPr>
        <w:t xml:space="preserve"> separately for children with congenital anomalies and</w:t>
      </w:r>
      <w:r w:rsidR="003C4667">
        <w:rPr>
          <w:sz w:val="24"/>
          <w:szCs w:val="24"/>
        </w:rPr>
        <w:t xml:space="preserve"> reference children </w:t>
      </w:r>
      <w:proofErr w:type="gramStart"/>
      <w:r w:rsidR="006D04CB">
        <w:rPr>
          <w:sz w:val="24"/>
          <w:szCs w:val="24"/>
        </w:rPr>
        <w:t>e.g.</w:t>
      </w:r>
      <w:proofErr w:type="gramEnd"/>
      <w:r w:rsidR="006D04CB" w:rsidRPr="00047F8B">
        <w:rPr>
          <w:rFonts w:cstheme="minorHAnsi"/>
          <w:sz w:val="24"/>
          <w:szCs w:val="24"/>
        </w:rPr>
        <w:t xml:space="preserve"> children </w:t>
      </w:r>
      <w:r w:rsidR="006D04CB">
        <w:rPr>
          <w:rFonts w:cstheme="minorHAnsi"/>
          <w:sz w:val="24"/>
          <w:szCs w:val="24"/>
        </w:rPr>
        <w:t xml:space="preserve">with congenital anomalies </w:t>
      </w:r>
      <w:r w:rsidR="006D04CB" w:rsidRPr="00047F8B">
        <w:rPr>
          <w:rFonts w:cstheme="minorHAnsi"/>
          <w:sz w:val="24"/>
          <w:szCs w:val="24"/>
        </w:rPr>
        <w:t xml:space="preserve">born in 2005-2009 </w:t>
      </w:r>
      <w:r w:rsidR="006D04CB">
        <w:rPr>
          <w:rFonts w:cstheme="minorHAnsi"/>
          <w:sz w:val="24"/>
          <w:szCs w:val="24"/>
        </w:rPr>
        <w:t xml:space="preserve">were compared </w:t>
      </w:r>
      <w:r w:rsidR="006D04CB" w:rsidRPr="00047F8B">
        <w:rPr>
          <w:rFonts w:cstheme="minorHAnsi"/>
          <w:sz w:val="24"/>
          <w:szCs w:val="24"/>
        </w:rPr>
        <w:t xml:space="preserve">to children </w:t>
      </w:r>
      <w:r w:rsidR="006D04CB">
        <w:rPr>
          <w:rFonts w:cstheme="minorHAnsi"/>
          <w:sz w:val="24"/>
          <w:szCs w:val="24"/>
        </w:rPr>
        <w:t xml:space="preserve">with congenital anomalies </w:t>
      </w:r>
      <w:r w:rsidR="006D04CB" w:rsidRPr="00047F8B">
        <w:rPr>
          <w:rFonts w:cstheme="minorHAnsi"/>
          <w:sz w:val="24"/>
          <w:szCs w:val="24"/>
        </w:rPr>
        <w:t>born 2000-200</w:t>
      </w:r>
      <w:r w:rsidR="007D400E">
        <w:rPr>
          <w:rFonts w:cstheme="minorHAnsi"/>
          <w:sz w:val="24"/>
          <w:szCs w:val="24"/>
        </w:rPr>
        <w:t>4</w:t>
      </w:r>
      <w:r w:rsidR="00CC5962">
        <w:rPr>
          <w:rFonts w:cstheme="minorHAnsi"/>
          <w:sz w:val="24"/>
          <w:szCs w:val="24"/>
        </w:rPr>
        <w:t>;</w:t>
      </w:r>
      <w:r w:rsidR="006D04CB">
        <w:rPr>
          <w:rFonts w:cstheme="minorHAnsi"/>
          <w:sz w:val="24"/>
          <w:szCs w:val="24"/>
        </w:rPr>
        <w:t xml:space="preserve"> and si</w:t>
      </w:r>
      <w:r w:rsidR="00CC5962">
        <w:rPr>
          <w:rFonts w:cstheme="minorHAnsi"/>
          <w:sz w:val="24"/>
          <w:szCs w:val="24"/>
        </w:rPr>
        <w:t xml:space="preserve">milarly, </w:t>
      </w:r>
      <w:r w:rsidR="006D04CB" w:rsidRPr="00047F8B">
        <w:rPr>
          <w:rFonts w:cstheme="minorHAnsi"/>
          <w:sz w:val="24"/>
          <w:szCs w:val="24"/>
        </w:rPr>
        <w:t xml:space="preserve">reference children born in 2005-2009 </w:t>
      </w:r>
      <w:r w:rsidR="006D04CB">
        <w:rPr>
          <w:rFonts w:cstheme="minorHAnsi"/>
          <w:sz w:val="24"/>
          <w:szCs w:val="24"/>
        </w:rPr>
        <w:t xml:space="preserve">were compared </w:t>
      </w:r>
      <w:r w:rsidR="006D04CB" w:rsidRPr="00047F8B">
        <w:rPr>
          <w:rFonts w:cstheme="minorHAnsi"/>
          <w:sz w:val="24"/>
          <w:szCs w:val="24"/>
        </w:rPr>
        <w:t>to reference children born 2000-2004</w:t>
      </w:r>
      <w:r>
        <w:rPr>
          <w:sz w:val="24"/>
          <w:szCs w:val="24"/>
        </w:rPr>
        <w:t>.</w:t>
      </w:r>
      <w:r w:rsidR="003B2271">
        <w:rPr>
          <w:sz w:val="24"/>
          <w:szCs w:val="24"/>
        </w:rPr>
        <w:t xml:space="preserve"> </w:t>
      </w:r>
      <w:r w:rsidR="002A0A85">
        <w:rPr>
          <w:sz w:val="24"/>
          <w:szCs w:val="24"/>
        </w:rPr>
        <w:t>Birth cohort</w:t>
      </w:r>
      <w:r w:rsidR="0045083F">
        <w:rPr>
          <w:sz w:val="24"/>
          <w:szCs w:val="24"/>
        </w:rPr>
        <w:t xml:space="preserve"> was </w:t>
      </w:r>
      <w:r w:rsidR="002A0A85">
        <w:rPr>
          <w:sz w:val="24"/>
          <w:szCs w:val="24"/>
        </w:rPr>
        <w:t>examined for</w:t>
      </w:r>
      <w:r w:rsidR="0045083F">
        <w:rPr>
          <w:sz w:val="24"/>
          <w:szCs w:val="24"/>
        </w:rPr>
        <w:t xml:space="preserve"> 2000-2004 (</w:t>
      </w:r>
      <w:r w:rsidR="00474FC9">
        <w:rPr>
          <w:sz w:val="24"/>
          <w:szCs w:val="24"/>
        </w:rPr>
        <w:t>baseline</w:t>
      </w:r>
      <w:r w:rsidR="0045083F">
        <w:rPr>
          <w:sz w:val="24"/>
          <w:szCs w:val="24"/>
        </w:rPr>
        <w:t xml:space="preserve"> group) and 2005-2009, using data from Funen, </w:t>
      </w:r>
      <w:proofErr w:type="gramStart"/>
      <w:r w:rsidR="0045083F">
        <w:rPr>
          <w:sz w:val="24"/>
          <w:szCs w:val="24"/>
        </w:rPr>
        <w:t>Finland</w:t>
      </w:r>
      <w:proofErr w:type="gramEnd"/>
      <w:r w:rsidR="0045083F">
        <w:rPr>
          <w:sz w:val="24"/>
          <w:szCs w:val="24"/>
        </w:rPr>
        <w:t xml:space="preserve"> and Wales</w:t>
      </w:r>
      <w:r w:rsidR="002E1916">
        <w:rPr>
          <w:sz w:val="24"/>
          <w:szCs w:val="24"/>
        </w:rPr>
        <w:t xml:space="preserve"> </w:t>
      </w:r>
      <w:r w:rsidR="00426156">
        <w:rPr>
          <w:sz w:val="24"/>
          <w:szCs w:val="24"/>
        </w:rPr>
        <w:t xml:space="preserve">as these were the only regions that had data on children </w:t>
      </w:r>
      <w:r w:rsidR="00B83198">
        <w:rPr>
          <w:sz w:val="24"/>
          <w:szCs w:val="24"/>
        </w:rPr>
        <w:t>born 2000-2004</w:t>
      </w:r>
      <w:r w:rsidR="0045083F">
        <w:rPr>
          <w:sz w:val="24"/>
          <w:szCs w:val="24"/>
        </w:rPr>
        <w:t xml:space="preserve">. </w:t>
      </w:r>
      <w:r w:rsidR="00C75DBC">
        <w:rPr>
          <w:sz w:val="24"/>
          <w:szCs w:val="24"/>
        </w:rPr>
        <w:t>For the remaining analyses, r</w:t>
      </w:r>
      <w:r w:rsidR="00C75DBC" w:rsidRPr="007E1D67">
        <w:rPr>
          <w:sz w:val="24"/>
          <w:szCs w:val="24"/>
        </w:rPr>
        <w:t xml:space="preserve">isk factors were examined for </w:t>
      </w:r>
      <w:r w:rsidR="00C75DBC">
        <w:rPr>
          <w:sz w:val="24"/>
          <w:szCs w:val="24"/>
        </w:rPr>
        <w:t>the</w:t>
      </w:r>
      <w:r w:rsidR="00C75DBC" w:rsidRPr="007E1D67">
        <w:rPr>
          <w:sz w:val="24"/>
          <w:szCs w:val="24"/>
        </w:rPr>
        <w:t xml:space="preserve"> 0-5 age group</w:t>
      </w:r>
      <w:r w:rsidR="00C75DBC">
        <w:rPr>
          <w:sz w:val="24"/>
          <w:szCs w:val="24"/>
        </w:rPr>
        <w:t xml:space="preserve"> for all regions. </w:t>
      </w:r>
      <w:r w:rsidR="008D10BF">
        <w:rPr>
          <w:sz w:val="24"/>
          <w:szCs w:val="24"/>
        </w:rPr>
        <w:t>Girls</w:t>
      </w:r>
      <w:r w:rsidR="0045083F">
        <w:rPr>
          <w:sz w:val="24"/>
          <w:szCs w:val="24"/>
        </w:rPr>
        <w:t xml:space="preserve"> were used </w:t>
      </w:r>
      <w:r w:rsidR="00E975F1">
        <w:rPr>
          <w:sz w:val="24"/>
          <w:szCs w:val="24"/>
        </w:rPr>
        <w:t xml:space="preserve">as the </w:t>
      </w:r>
      <w:r w:rsidR="00474FC9">
        <w:rPr>
          <w:sz w:val="24"/>
          <w:szCs w:val="24"/>
        </w:rPr>
        <w:t>baseline</w:t>
      </w:r>
      <w:r w:rsidR="00E975F1">
        <w:rPr>
          <w:sz w:val="24"/>
          <w:szCs w:val="24"/>
        </w:rPr>
        <w:t xml:space="preserve"> group for sex of child analyses. Birth at 37+ weeks</w:t>
      </w:r>
      <w:r w:rsidR="00474FC9">
        <w:rPr>
          <w:sz w:val="24"/>
          <w:szCs w:val="24"/>
        </w:rPr>
        <w:t xml:space="preserve"> GA</w:t>
      </w:r>
      <w:r w:rsidR="00E975F1">
        <w:rPr>
          <w:sz w:val="24"/>
          <w:szCs w:val="24"/>
        </w:rPr>
        <w:t xml:space="preserve"> was used </w:t>
      </w:r>
      <w:r w:rsidR="00474FC9">
        <w:rPr>
          <w:sz w:val="24"/>
          <w:szCs w:val="24"/>
        </w:rPr>
        <w:t>as the baseline group in comparison to birth at &lt;32 weeks GA and birth at 32-36 weeks GA</w:t>
      </w:r>
      <w:r w:rsidR="00FC3914">
        <w:rPr>
          <w:sz w:val="24"/>
          <w:szCs w:val="24"/>
        </w:rPr>
        <w:t>.</w:t>
      </w:r>
      <w:r w:rsidR="002E1916" w:rsidRPr="007E1D67">
        <w:rPr>
          <w:sz w:val="24"/>
          <w:szCs w:val="24"/>
        </w:rPr>
        <w:t xml:space="preserve"> </w:t>
      </w:r>
    </w:p>
    <w:p w14:paraId="24760184" w14:textId="10AA19F8" w:rsidR="001758EE" w:rsidRPr="0076215D" w:rsidRDefault="006B6C18" w:rsidP="0084652F">
      <w:pPr>
        <w:spacing w:before="240"/>
        <w:rPr>
          <w:sz w:val="24"/>
          <w:szCs w:val="24"/>
        </w:rPr>
      </w:pPr>
      <w:r>
        <w:rPr>
          <w:sz w:val="24"/>
          <w:szCs w:val="24"/>
        </w:rPr>
        <w:lastRenderedPageBreak/>
        <w:t>C</w:t>
      </w:r>
      <w:r w:rsidR="00241DDA">
        <w:rPr>
          <w:sz w:val="24"/>
          <w:szCs w:val="24"/>
        </w:rPr>
        <w:t xml:space="preserve">lassifying children </w:t>
      </w:r>
      <w:r w:rsidR="00266E78">
        <w:rPr>
          <w:sz w:val="24"/>
          <w:szCs w:val="24"/>
        </w:rPr>
        <w:t>as exposed to anti-asthmatics if they had been prescribed or dispensed &gt;1 anti-asthmatic prescription in a year</w:t>
      </w:r>
      <w:r w:rsidR="004D3F31">
        <w:rPr>
          <w:sz w:val="24"/>
          <w:szCs w:val="24"/>
        </w:rPr>
        <w:t xml:space="preserve"> was relaxed in a sensitivity analysis</w:t>
      </w:r>
      <w:r w:rsidR="00266E78">
        <w:rPr>
          <w:sz w:val="24"/>
          <w:szCs w:val="24"/>
        </w:rPr>
        <w:t xml:space="preserve"> </w:t>
      </w:r>
      <w:r w:rsidR="00266E78">
        <w:rPr>
          <w:sz w:val="24"/>
          <w:szCs w:val="24"/>
          <w:lang w:eastAsia="en-US"/>
        </w:rPr>
        <w:t>to include children with only 1 prescription/dispensation in a year</w:t>
      </w:r>
      <w:r w:rsidR="001A5BB3">
        <w:rPr>
          <w:sz w:val="24"/>
          <w:szCs w:val="24"/>
          <w:lang w:eastAsia="en-US"/>
        </w:rPr>
        <w:t xml:space="preserve">. </w:t>
      </w:r>
      <w:r w:rsidR="001758EE">
        <w:rPr>
          <w:b/>
          <w:bCs/>
          <w:sz w:val="24"/>
          <w:szCs w:val="24"/>
        </w:rPr>
        <w:br w:type="page"/>
      </w:r>
    </w:p>
    <w:p w14:paraId="668DF66A" w14:textId="5190360A" w:rsidR="00B50A1E" w:rsidRDefault="00B50A1E" w:rsidP="00B50A1E">
      <w:pPr>
        <w:rPr>
          <w:b/>
          <w:bCs/>
          <w:sz w:val="24"/>
          <w:szCs w:val="24"/>
        </w:rPr>
      </w:pPr>
      <w:r>
        <w:rPr>
          <w:b/>
          <w:bCs/>
          <w:sz w:val="24"/>
          <w:szCs w:val="24"/>
        </w:rPr>
        <w:lastRenderedPageBreak/>
        <w:t>Results</w:t>
      </w:r>
    </w:p>
    <w:p w14:paraId="6F33206A" w14:textId="7E1C4708" w:rsidR="00B50A1E" w:rsidRPr="00932CD0" w:rsidRDefault="00B50A1E" w:rsidP="00B50A1E">
      <w:pPr>
        <w:rPr>
          <w:sz w:val="24"/>
          <w:szCs w:val="24"/>
        </w:rPr>
      </w:pPr>
      <w:r w:rsidRPr="00932CD0">
        <w:rPr>
          <w:sz w:val="24"/>
          <w:szCs w:val="24"/>
          <w:lang w:eastAsia="en-US"/>
        </w:rPr>
        <w:t xml:space="preserve">A total of </w:t>
      </w:r>
      <w:r w:rsidR="00102C6C">
        <w:rPr>
          <w:sz w:val="24"/>
          <w:szCs w:val="24"/>
          <w:lang w:eastAsia="en-US"/>
        </w:rPr>
        <w:t>63,911</w:t>
      </w:r>
      <w:r w:rsidR="00102C6C" w:rsidRPr="00932CD0">
        <w:rPr>
          <w:sz w:val="24"/>
          <w:szCs w:val="24"/>
          <w:lang w:eastAsia="en-US"/>
        </w:rPr>
        <w:t xml:space="preserve"> children with congenital anomalies </w:t>
      </w:r>
      <w:r w:rsidR="00102C6C">
        <w:rPr>
          <w:sz w:val="24"/>
          <w:szCs w:val="24"/>
          <w:lang w:eastAsia="en-US"/>
        </w:rPr>
        <w:t xml:space="preserve">and </w:t>
      </w:r>
      <w:r w:rsidRPr="00932CD0">
        <w:rPr>
          <w:sz w:val="24"/>
          <w:szCs w:val="24"/>
          <w:lang w:eastAsia="en-US"/>
        </w:rPr>
        <w:t>1,</w:t>
      </w:r>
      <w:r w:rsidR="007016B3">
        <w:rPr>
          <w:sz w:val="24"/>
          <w:szCs w:val="24"/>
          <w:lang w:eastAsia="en-US"/>
        </w:rPr>
        <w:t>811,431</w:t>
      </w:r>
      <w:r w:rsidRPr="00932CD0">
        <w:rPr>
          <w:sz w:val="24"/>
          <w:szCs w:val="24"/>
          <w:lang w:eastAsia="en-US"/>
        </w:rPr>
        <w:t xml:space="preserve"> reference children</w:t>
      </w:r>
      <w:r w:rsidR="00102C6C">
        <w:rPr>
          <w:sz w:val="24"/>
          <w:szCs w:val="24"/>
          <w:lang w:eastAsia="en-US"/>
        </w:rPr>
        <w:t xml:space="preserve"> </w:t>
      </w:r>
      <w:r w:rsidRPr="00932CD0">
        <w:rPr>
          <w:sz w:val="24"/>
          <w:szCs w:val="24"/>
          <w:lang w:eastAsia="en-US"/>
        </w:rPr>
        <w:t xml:space="preserve">up to </w:t>
      </w:r>
      <w:r w:rsidR="00094A63">
        <w:rPr>
          <w:sz w:val="24"/>
          <w:szCs w:val="24"/>
          <w:lang w:eastAsia="en-US"/>
        </w:rPr>
        <w:t xml:space="preserve">and including </w:t>
      </w:r>
      <w:r w:rsidR="003D1CE5">
        <w:rPr>
          <w:sz w:val="24"/>
          <w:szCs w:val="24"/>
          <w:lang w:eastAsia="en-US"/>
        </w:rPr>
        <w:t>nine</w:t>
      </w:r>
      <w:r w:rsidR="003D1CE5" w:rsidRPr="00932CD0">
        <w:rPr>
          <w:sz w:val="24"/>
          <w:szCs w:val="24"/>
          <w:lang w:eastAsia="en-US"/>
        </w:rPr>
        <w:t xml:space="preserve"> </w:t>
      </w:r>
      <w:r w:rsidRPr="00932CD0">
        <w:rPr>
          <w:sz w:val="24"/>
          <w:szCs w:val="24"/>
          <w:lang w:eastAsia="en-US"/>
        </w:rPr>
        <w:t>years of age were included from s</w:t>
      </w:r>
      <w:r w:rsidR="003D1CE5">
        <w:rPr>
          <w:sz w:val="24"/>
          <w:szCs w:val="24"/>
          <w:lang w:eastAsia="en-US"/>
        </w:rPr>
        <w:t>ix</w:t>
      </w:r>
      <w:r w:rsidRPr="00932CD0">
        <w:rPr>
          <w:sz w:val="24"/>
          <w:szCs w:val="24"/>
          <w:lang w:eastAsia="en-US"/>
        </w:rPr>
        <w:t xml:space="preserve"> </w:t>
      </w:r>
      <w:r w:rsidR="00C34A38">
        <w:rPr>
          <w:sz w:val="24"/>
          <w:szCs w:val="24"/>
          <w:lang w:eastAsia="en-US"/>
        </w:rPr>
        <w:t>national/</w:t>
      </w:r>
      <w:r w:rsidR="00937494">
        <w:rPr>
          <w:sz w:val="24"/>
          <w:szCs w:val="24"/>
          <w:lang w:eastAsia="en-US"/>
        </w:rPr>
        <w:t xml:space="preserve">regional </w:t>
      </w:r>
      <w:r w:rsidR="00165108">
        <w:rPr>
          <w:sz w:val="24"/>
          <w:szCs w:val="24"/>
          <w:lang w:eastAsia="en-US"/>
        </w:rPr>
        <w:t xml:space="preserve">databases in </w:t>
      </w:r>
      <w:r w:rsidR="00937494">
        <w:rPr>
          <w:sz w:val="24"/>
          <w:szCs w:val="24"/>
          <w:lang w:eastAsia="en-US"/>
        </w:rPr>
        <w:t>five</w:t>
      </w:r>
      <w:r w:rsidR="00165108">
        <w:rPr>
          <w:sz w:val="24"/>
          <w:szCs w:val="24"/>
          <w:lang w:eastAsia="en-US"/>
        </w:rPr>
        <w:t xml:space="preserve"> countries</w:t>
      </w:r>
      <w:r w:rsidRPr="00932CD0">
        <w:rPr>
          <w:sz w:val="24"/>
          <w:szCs w:val="24"/>
          <w:lang w:eastAsia="en-US"/>
        </w:rPr>
        <w:t xml:space="preserve">. Of these, </w:t>
      </w:r>
      <w:r w:rsidR="00A967C1">
        <w:rPr>
          <w:sz w:val="24"/>
          <w:szCs w:val="24"/>
          <w:lang w:eastAsia="en-US"/>
        </w:rPr>
        <w:t>60,662 (94.9%)</w:t>
      </w:r>
      <w:r w:rsidR="00A967C1" w:rsidRPr="00932CD0">
        <w:rPr>
          <w:sz w:val="24"/>
          <w:szCs w:val="24"/>
          <w:lang w:eastAsia="en-US"/>
        </w:rPr>
        <w:t xml:space="preserve"> children with congenital anomalies </w:t>
      </w:r>
      <w:r w:rsidR="00A967C1">
        <w:rPr>
          <w:sz w:val="24"/>
          <w:szCs w:val="24"/>
          <w:lang w:eastAsia="en-US"/>
        </w:rPr>
        <w:t xml:space="preserve">and </w:t>
      </w:r>
      <w:r w:rsidR="00BE4A96">
        <w:rPr>
          <w:sz w:val="24"/>
          <w:szCs w:val="24"/>
          <w:lang w:eastAsia="en-US"/>
        </w:rPr>
        <w:t>1,722,912</w:t>
      </w:r>
      <w:r w:rsidRPr="00932CD0">
        <w:rPr>
          <w:sz w:val="24"/>
          <w:szCs w:val="24"/>
          <w:lang w:eastAsia="en-US"/>
        </w:rPr>
        <w:t xml:space="preserve"> reference children</w:t>
      </w:r>
      <w:r w:rsidR="003D32B0">
        <w:rPr>
          <w:sz w:val="24"/>
          <w:szCs w:val="24"/>
          <w:lang w:eastAsia="en-US"/>
        </w:rPr>
        <w:t xml:space="preserve"> (95.1%)</w:t>
      </w:r>
      <w:r w:rsidRPr="00932CD0">
        <w:rPr>
          <w:sz w:val="24"/>
          <w:szCs w:val="24"/>
          <w:lang w:eastAsia="en-US"/>
        </w:rPr>
        <w:t xml:space="preserve"> </w:t>
      </w:r>
      <w:r w:rsidR="002E1DDB">
        <w:rPr>
          <w:sz w:val="24"/>
          <w:szCs w:val="24"/>
          <w:lang w:eastAsia="en-US"/>
        </w:rPr>
        <w:t>were included in the study</w:t>
      </w:r>
      <w:r w:rsidR="00C4357A">
        <w:rPr>
          <w:sz w:val="24"/>
          <w:szCs w:val="24"/>
          <w:lang w:eastAsia="en-US"/>
        </w:rPr>
        <w:t>.</w:t>
      </w:r>
      <w:r w:rsidR="00657EC5">
        <w:rPr>
          <w:sz w:val="24"/>
          <w:szCs w:val="24"/>
          <w:lang w:eastAsia="en-US"/>
        </w:rPr>
        <w:t xml:space="preserve"> </w:t>
      </w:r>
      <w:r w:rsidR="00A01701" w:rsidDel="00C94819">
        <w:rPr>
          <w:sz w:val="24"/>
          <w:szCs w:val="24"/>
          <w:lang w:eastAsia="en-US"/>
        </w:rPr>
        <w:t>T</w:t>
      </w:r>
      <w:r w:rsidR="00BC0261" w:rsidDel="00C94819">
        <w:rPr>
          <w:sz w:val="24"/>
          <w:szCs w:val="24"/>
          <w:lang w:eastAsia="en-US"/>
        </w:rPr>
        <w:t xml:space="preserve">he </w:t>
      </w:r>
      <w:r w:rsidR="003A100F" w:rsidDel="00C94819">
        <w:rPr>
          <w:sz w:val="24"/>
          <w:szCs w:val="24"/>
          <w:lang w:eastAsia="en-US"/>
        </w:rPr>
        <w:t xml:space="preserve">percentage </w:t>
      </w:r>
      <w:r w:rsidR="00A84CD8" w:rsidDel="00C94819">
        <w:rPr>
          <w:sz w:val="24"/>
          <w:szCs w:val="24"/>
        </w:rPr>
        <w:t>of children with and without congenital anomalies prescribed anti-asthmatic medication</w:t>
      </w:r>
      <w:r w:rsidR="00902BF6" w:rsidDel="00C94819">
        <w:rPr>
          <w:sz w:val="24"/>
          <w:szCs w:val="24"/>
        </w:rPr>
        <w:t xml:space="preserve"> in</w:t>
      </w:r>
      <w:r w:rsidR="003A100F" w:rsidDel="00C94819">
        <w:rPr>
          <w:sz w:val="24"/>
          <w:szCs w:val="24"/>
          <w:lang w:eastAsia="en-US"/>
        </w:rPr>
        <w:t xml:space="preserve"> each region are shown in Table </w:t>
      </w:r>
      <w:r w:rsidR="00501922">
        <w:rPr>
          <w:sz w:val="24"/>
          <w:szCs w:val="24"/>
          <w:lang w:eastAsia="en-US"/>
        </w:rPr>
        <w:t>1</w:t>
      </w:r>
      <w:r w:rsidR="003A100F" w:rsidDel="00C94819">
        <w:rPr>
          <w:sz w:val="24"/>
          <w:szCs w:val="24"/>
          <w:lang w:eastAsia="en-US"/>
        </w:rPr>
        <w:t>.</w:t>
      </w:r>
      <w:r w:rsidR="00B55B3F">
        <w:rPr>
          <w:sz w:val="24"/>
          <w:szCs w:val="24"/>
          <w:lang w:eastAsia="en-US"/>
        </w:rPr>
        <w:t xml:space="preserve"> </w:t>
      </w:r>
      <w:bookmarkStart w:id="5" w:name="_Hlk113022213"/>
      <w:r w:rsidR="00B55B3F">
        <w:rPr>
          <w:sz w:val="24"/>
          <w:szCs w:val="24"/>
          <w:lang w:eastAsia="en-US"/>
        </w:rPr>
        <w:t>Overall, 5% of children (ranging from 0% in Tuscany and Valencian Region to 14.6% in Wales) were not included in the study as they could not be linked</w:t>
      </w:r>
      <w:r w:rsidR="00A30C54">
        <w:rPr>
          <w:sz w:val="24"/>
          <w:szCs w:val="24"/>
          <w:lang w:eastAsia="en-US"/>
        </w:rPr>
        <w:t>.</w:t>
      </w:r>
      <w:r w:rsidR="00B55B3F">
        <w:rPr>
          <w:sz w:val="24"/>
          <w:szCs w:val="24"/>
          <w:lang w:eastAsia="en-US"/>
        </w:rPr>
        <w:t xml:space="preserve">  </w:t>
      </w:r>
      <w:bookmarkEnd w:id="5"/>
    </w:p>
    <w:p w14:paraId="7B2F6A74" w14:textId="50C598CD" w:rsidR="00EF53EE" w:rsidRPr="000317B1" w:rsidRDefault="00AA49B5" w:rsidP="00B50A1E">
      <w:pPr>
        <w:rPr>
          <w:i/>
          <w:iCs/>
          <w:sz w:val="24"/>
          <w:szCs w:val="24"/>
          <w:lang w:eastAsia="en-US"/>
        </w:rPr>
      </w:pPr>
      <w:r>
        <w:rPr>
          <w:i/>
          <w:iCs/>
          <w:sz w:val="24"/>
          <w:szCs w:val="24"/>
          <w:lang w:eastAsia="en-US"/>
        </w:rPr>
        <w:t>Prescriptions for a</w:t>
      </w:r>
      <w:r w:rsidR="00EF53EE" w:rsidRPr="000317B1">
        <w:rPr>
          <w:i/>
          <w:iCs/>
          <w:sz w:val="24"/>
          <w:szCs w:val="24"/>
          <w:lang w:eastAsia="en-US"/>
        </w:rPr>
        <w:t xml:space="preserve">ny </w:t>
      </w:r>
      <w:r w:rsidR="003D624D">
        <w:rPr>
          <w:i/>
          <w:iCs/>
          <w:sz w:val="24"/>
          <w:szCs w:val="24"/>
          <w:lang w:eastAsia="en-US"/>
        </w:rPr>
        <w:t>a</w:t>
      </w:r>
      <w:r w:rsidR="00EF53EE" w:rsidRPr="000317B1">
        <w:rPr>
          <w:i/>
          <w:iCs/>
          <w:sz w:val="24"/>
          <w:szCs w:val="24"/>
          <w:lang w:eastAsia="en-US"/>
        </w:rPr>
        <w:t>nti-</w:t>
      </w:r>
      <w:r w:rsidR="003D624D">
        <w:rPr>
          <w:i/>
          <w:iCs/>
          <w:sz w:val="24"/>
          <w:szCs w:val="24"/>
          <w:lang w:eastAsia="en-US"/>
        </w:rPr>
        <w:t>a</w:t>
      </w:r>
      <w:r w:rsidR="00EF53EE" w:rsidRPr="000317B1">
        <w:rPr>
          <w:i/>
          <w:iCs/>
          <w:sz w:val="24"/>
          <w:szCs w:val="24"/>
          <w:lang w:eastAsia="en-US"/>
        </w:rPr>
        <w:t>sthmatic</w:t>
      </w:r>
      <w:r w:rsidR="00CA49E9">
        <w:rPr>
          <w:i/>
          <w:iCs/>
          <w:sz w:val="24"/>
          <w:szCs w:val="24"/>
          <w:lang w:eastAsia="en-US"/>
        </w:rPr>
        <w:t xml:space="preserve"> medicines</w:t>
      </w:r>
    </w:p>
    <w:p w14:paraId="01141629" w14:textId="22184325" w:rsidR="00CD27FE" w:rsidRDefault="00415780" w:rsidP="00102E59">
      <w:pPr>
        <w:rPr>
          <w:b/>
          <w:bCs/>
          <w:sz w:val="24"/>
          <w:szCs w:val="24"/>
        </w:rPr>
      </w:pPr>
      <w:r>
        <w:rPr>
          <w:sz w:val="24"/>
          <w:szCs w:val="24"/>
          <w:lang w:eastAsia="en-US"/>
        </w:rPr>
        <w:t>There were considerable g</w:t>
      </w:r>
      <w:r w:rsidR="003E1D37">
        <w:rPr>
          <w:sz w:val="24"/>
          <w:szCs w:val="24"/>
          <w:lang w:eastAsia="en-US"/>
        </w:rPr>
        <w:t>eographical variations in</w:t>
      </w:r>
      <w:r w:rsidR="00A32F78">
        <w:rPr>
          <w:sz w:val="24"/>
          <w:szCs w:val="24"/>
          <w:lang w:eastAsia="en-US"/>
        </w:rPr>
        <w:t xml:space="preserve"> age-specific</w:t>
      </w:r>
      <w:r w:rsidR="003E1D37">
        <w:rPr>
          <w:sz w:val="24"/>
          <w:szCs w:val="24"/>
          <w:lang w:eastAsia="en-US"/>
        </w:rPr>
        <w:t xml:space="preserve"> prevalence rates </w:t>
      </w:r>
      <w:r w:rsidR="003E1D37">
        <w:rPr>
          <w:sz w:val="24"/>
          <w:szCs w:val="24"/>
        </w:rPr>
        <w:t xml:space="preserve">of </w:t>
      </w:r>
      <w:r w:rsidR="0038062C">
        <w:rPr>
          <w:sz w:val="24"/>
          <w:szCs w:val="24"/>
        </w:rPr>
        <w:t xml:space="preserve">any </w:t>
      </w:r>
      <w:r w:rsidR="003E1D37">
        <w:rPr>
          <w:sz w:val="24"/>
          <w:szCs w:val="24"/>
        </w:rPr>
        <w:t>anti-asthmatic prescription</w:t>
      </w:r>
      <w:r w:rsidR="003E1D37">
        <w:rPr>
          <w:sz w:val="24"/>
          <w:szCs w:val="24"/>
          <w:lang w:eastAsia="en-US"/>
        </w:rPr>
        <w:t xml:space="preserve"> </w:t>
      </w:r>
      <w:r w:rsidR="003261BC">
        <w:rPr>
          <w:sz w:val="24"/>
          <w:szCs w:val="24"/>
          <w:lang w:eastAsia="en-US"/>
        </w:rPr>
        <w:t xml:space="preserve">(Figure </w:t>
      </w:r>
      <w:r w:rsidR="00B933EB">
        <w:rPr>
          <w:sz w:val="24"/>
          <w:szCs w:val="24"/>
          <w:lang w:eastAsia="en-US"/>
        </w:rPr>
        <w:t>1</w:t>
      </w:r>
      <w:r w:rsidR="003261BC">
        <w:rPr>
          <w:sz w:val="24"/>
          <w:szCs w:val="24"/>
          <w:lang w:eastAsia="en-US"/>
        </w:rPr>
        <w:t>)</w:t>
      </w:r>
      <w:r w:rsidR="003E1D37">
        <w:rPr>
          <w:sz w:val="24"/>
          <w:szCs w:val="24"/>
          <w:lang w:eastAsia="en-US"/>
        </w:rPr>
        <w:t>.</w:t>
      </w:r>
      <w:r>
        <w:rPr>
          <w:sz w:val="24"/>
          <w:szCs w:val="24"/>
          <w:lang w:eastAsia="en-US"/>
        </w:rPr>
        <w:t xml:space="preserve"> However, the pattern of prescriptions according to age was similar for children with and without congenital anomalies in all registries. In four registries</w:t>
      </w:r>
      <w:r w:rsidR="00B64076">
        <w:rPr>
          <w:sz w:val="24"/>
          <w:szCs w:val="24"/>
          <w:lang w:eastAsia="en-US"/>
        </w:rPr>
        <w:t xml:space="preserve">, </w:t>
      </w:r>
      <w:r w:rsidR="00D33F6E">
        <w:rPr>
          <w:sz w:val="24"/>
          <w:szCs w:val="24"/>
          <w:lang w:eastAsia="en-US"/>
        </w:rPr>
        <w:t>t</w:t>
      </w:r>
      <w:r w:rsidR="00365D02">
        <w:rPr>
          <w:sz w:val="24"/>
          <w:szCs w:val="24"/>
          <w:lang w:eastAsia="en-US"/>
        </w:rPr>
        <w:t xml:space="preserve">he prevalence of </w:t>
      </w:r>
      <w:r w:rsidR="00137A00">
        <w:rPr>
          <w:sz w:val="24"/>
          <w:szCs w:val="24"/>
          <w:lang w:eastAsia="en-US"/>
        </w:rPr>
        <w:t xml:space="preserve">&gt;1 prescription for </w:t>
      </w:r>
      <w:r w:rsidR="002F26FA">
        <w:rPr>
          <w:sz w:val="24"/>
          <w:szCs w:val="24"/>
          <w:lang w:eastAsia="en-US"/>
        </w:rPr>
        <w:t xml:space="preserve">any </w:t>
      </w:r>
      <w:r w:rsidR="00365D02">
        <w:rPr>
          <w:sz w:val="24"/>
          <w:szCs w:val="24"/>
          <w:lang w:eastAsia="en-US"/>
        </w:rPr>
        <w:t>a</w:t>
      </w:r>
      <w:r w:rsidR="007914F6">
        <w:rPr>
          <w:sz w:val="24"/>
          <w:szCs w:val="24"/>
          <w:lang w:eastAsia="en-US"/>
        </w:rPr>
        <w:t xml:space="preserve">nti-asthmatic </w:t>
      </w:r>
      <w:r w:rsidR="003A7B38" w:rsidRPr="00C637F0">
        <w:rPr>
          <w:sz w:val="24"/>
          <w:szCs w:val="24"/>
          <w:lang w:eastAsia="en-US"/>
        </w:rPr>
        <w:t xml:space="preserve">in children with congenital anomalies and reference children </w:t>
      </w:r>
      <w:r w:rsidR="000B09A5">
        <w:rPr>
          <w:sz w:val="24"/>
          <w:szCs w:val="24"/>
          <w:lang w:eastAsia="en-US"/>
        </w:rPr>
        <w:t>peaked</w:t>
      </w:r>
      <w:r w:rsidR="002C6AA8">
        <w:rPr>
          <w:sz w:val="24"/>
          <w:szCs w:val="24"/>
          <w:lang w:eastAsia="en-US"/>
        </w:rPr>
        <w:t xml:space="preserve"> </w:t>
      </w:r>
      <w:r w:rsidR="005F1641">
        <w:rPr>
          <w:sz w:val="24"/>
          <w:szCs w:val="24"/>
          <w:lang w:eastAsia="en-US"/>
        </w:rPr>
        <w:t>at the younger ages (&lt;1 and 1</w:t>
      </w:r>
      <w:r w:rsidR="00BF4741">
        <w:rPr>
          <w:sz w:val="24"/>
          <w:szCs w:val="24"/>
          <w:lang w:eastAsia="en-US"/>
        </w:rPr>
        <w:t xml:space="preserve"> year</w:t>
      </w:r>
      <w:r w:rsidR="00912834">
        <w:rPr>
          <w:sz w:val="24"/>
          <w:szCs w:val="24"/>
          <w:lang w:eastAsia="en-US"/>
        </w:rPr>
        <w:t>)</w:t>
      </w:r>
      <w:r w:rsidR="00164F1D">
        <w:rPr>
          <w:sz w:val="24"/>
          <w:szCs w:val="24"/>
          <w:lang w:eastAsia="en-US"/>
        </w:rPr>
        <w:t xml:space="preserve">, </w:t>
      </w:r>
      <w:r w:rsidR="004775CA">
        <w:rPr>
          <w:sz w:val="24"/>
          <w:szCs w:val="24"/>
          <w:lang w:eastAsia="en-US"/>
        </w:rPr>
        <w:t xml:space="preserve">then decreased </w:t>
      </w:r>
      <w:r w:rsidR="000B09A5">
        <w:rPr>
          <w:sz w:val="24"/>
          <w:szCs w:val="24"/>
          <w:lang w:eastAsia="en-US"/>
        </w:rPr>
        <w:t xml:space="preserve">sharply </w:t>
      </w:r>
      <w:r w:rsidR="0002518D">
        <w:rPr>
          <w:sz w:val="24"/>
          <w:szCs w:val="24"/>
          <w:lang w:eastAsia="en-US"/>
        </w:rPr>
        <w:t>with</w:t>
      </w:r>
      <w:r w:rsidR="00A44597">
        <w:rPr>
          <w:sz w:val="24"/>
          <w:szCs w:val="24"/>
          <w:lang w:eastAsia="en-US"/>
        </w:rPr>
        <w:t xml:space="preserve"> age</w:t>
      </w:r>
      <w:r w:rsidR="004461ED">
        <w:rPr>
          <w:sz w:val="24"/>
          <w:szCs w:val="24"/>
          <w:lang w:eastAsia="en-US"/>
        </w:rPr>
        <w:t>. In Finland</w:t>
      </w:r>
      <w:r>
        <w:rPr>
          <w:sz w:val="24"/>
          <w:szCs w:val="24"/>
          <w:lang w:eastAsia="en-US"/>
        </w:rPr>
        <w:t xml:space="preserve"> and Wales</w:t>
      </w:r>
      <w:r w:rsidR="00DF30C3">
        <w:rPr>
          <w:sz w:val="24"/>
          <w:szCs w:val="24"/>
          <w:lang w:eastAsia="en-US"/>
        </w:rPr>
        <w:t xml:space="preserve">, </w:t>
      </w:r>
      <w:r>
        <w:rPr>
          <w:sz w:val="24"/>
          <w:szCs w:val="24"/>
          <w:lang w:eastAsia="en-US"/>
        </w:rPr>
        <w:t xml:space="preserve">the </w:t>
      </w:r>
      <w:r w:rsidR="00DF30C3">
        <w:rPr>
          <w:sz w:val="24"/>
          <w:szCs w:val="24"/>
          <w:lang w:eastAsia="en-US"/>
        </w:rPr>
        <w:t>prevalence increase</w:t>
      </w:r>
      <w:r w:rsidR="00B15361">
        <w:rPr>
          <w:sz w:val="24"/>
          <w:szCs w:val="24"/>
          <w:lang w:eastAsia="en-US"/>
        </w:rPr>
        <w:t>d</w:t>
      </w:r>
      <w:r w:rsidR="00DF30C3">
        <w:rPr>
          <w:sz w:val="24"/>
          <w:szCs w:val="24"/>
          <w:lang w:eastAsia="en-US"/>
        </w:rPr>
        <w:t xml:space="preserve"> until </w:t>
      </w:r>
      <w:r w:rsidR="00680BC0">
        <w:rPr>
          <w:sz w:val="24"/>
          <w:szCs w:val="24"/>
          <w:lang w:eastAsia="en-US"/>
        </w:rPr>
        <w:t xml:space="preserve">age </w:t>
      </w:r>
      <w:r w:rsidR="00B1072E">
        <w:rPr>
          <w:sz w:val="24"/>
          <w:szCs w:val="24"/>
          <w:lang w:eastAsia="en-US"/>
        </w:rPr>
        <w:t>2-3 years</w:t>
      </w:r>
      <w:r w:rsidR="00D962F1">
        <w:rPr>
          <w:sz w:val="24"/>
          <w:szCs w:val="24"/>
          <w:lang w:eastAsia="en-US"/>
        </w:rPr>
        <w:t xml:space="preserve"> for all children</w:t>
      </w:r>
      <w:r>
        <w:rPr>
          <w:sz w:val="24"/>
          <w:szCs w:val="24"/>
          <w:lang w:eastAsia="en-US"/>
        </w:rPr>
        <w:t xml:space="preserve"> and</w:t>
      </w:r>
      <w:r w:rsidR="00B1072E">
        <w:rPr>
          <w:sz w:val="24"/>
          <w:szCs w:val="24"/>
          <w:lang w:eastAsia="en-US"/>
        </w:rPr>
        <w:t xml:space="preserve"> </w:t>
      </w:r>
      <w:r w:rsidR="00164F1D">
        <w:rPr>
          <w:sz w:val="24"/>
          <w:szCs w:val="24"/>
          <w:lang w:eastAsia="en-US"/>
        </w:rPr>
        <w:t>then</w:t>
      </w:r>
      <w:r w:rsidR="00B1072E">
        <w:rPr>
          <w:sz w:val="24"/>
          <w:szCs w:val="24"/>
          <w:lang w:eastAsia="en-US"/>
        </w:rPr>
        <w:t xml:space="preserve"> </w:t>
      </w:r>
      <w:r w:rsidR="005A7F10">
        <w:rPr>
          <w:sz w:val="24"/>
          <w:szCs w:val="24"/>
          <w:lang w:eastAsia="en-US"/>
        </w:rPr>
        <w:t>stabilise</w:t>
      </w:r>
      <w:r w:rsidR="006A484B">
        <w:rPr>
          <w:sz w:val="24"/>
          <w:szCs w:val="24"/>
          <w:lang w:eastAsia="en-US"/>
        </w:rPr>
        <w:t>d</w:t>
      </w:r>
      <w:r w:rsidR="008C57D5">
        <w:rPr>
          <w:sz w:val="24"/>
          <w:szCs w:val="24"/>
          <w:lang w:eastAsia="en-US"/>
        </w:rPr>
        <w:t xml:space="preserve">. </w:t>
      </w:r>
      <w:r w:rsidR="004222DB">
        <w:rPr>
          <w:sz w:val="24"/>
          <w:szCs w:val="24"/>
          <w:lang w:eastAsia="en-US"/>
        </w:rPr>
        <w:t xml:space="preserve">Geographical differences in </w:t>
      </w:r>
      <w:r w:rsidR="0050295B">
        <w:rPr>
          <w:sz w:val="24"/>
          <w:szCs w:val="24"/>
          <w:lang w:eastAsia="en-US"/>
        </w:rPr>
        <w:t xml:space="preserve">prevalence </w:t>
      </w:r>
      <w:r w:rsidR="00064ABD">
        <w:rPr>
          <w:sz w:val="24"/>
          <w:szCs w:val="24"/>
          <w:lang w:eastAsia="en-US"/>
        </w:rPr>
        <w:t>of</w:t>
      </w:r>
      <w:r w:rsidR="00797D94">
        <w:rPr>
          <w:sz w:val="24"/>
          <w:szCs w:val="24"/>
          <w:lang w:eastAsia="en-US"/>
        </w:rPr>
        <w:t xml:space="preserve"> &gt;1 prescription for </w:t>
      </w:r>
      <w:r w:rsidR="00064ABD">
        <w:rPr>
          <w:sz w:val="24"/>
          <w:szCs w:val="24"/>
          <w:lang w:eastAsia="en-US"/>
        </w:rPr>
        <w:t>any anti-asthmatic</w:t>
      </w:r>
      <w:r w:rsidR="00EE6337">
        <w:rPr>
          <w:sz w:val="24"/>
          <w:szCs w:val="24"/>
          <w:lang w:eastAsia="en-US"/>
        </w:rPr>
        <w:t xml:space="preserve"> </w:t>
      </w:r>
      <w:r w:rsidR="004222DB">
        <w:rPr>
          <w:sz w:val="24"/>
          <w:szCs w:val="24"/>
          <w:lang w:eastAsia="en-US"/>
        </w:rPr>
        <w:t xml:space="preserve">levelled off </w:t>
      </w:r>
      <w:r w:rsidR="0050295B">
        <w:rPr>
          <w:sz w:val="24"/>
          <w:szCs w:val="24"/>
          <w:lang w:eastAsia="en-US"/>
        </w:rPr>
        <w:t xml:space="preserve">by age </w:t>
      </w:r>
      <w:r w:rsidR="00F44EB5">
        <w:rPr>
          <w:sz w:val="24"/>
          <w:szCs w:val="24"/>
          <w:lang w:eastAsia="en-US"/>
        </w:rPr>
        <w:t xml:space="preserve">6-7 </w:t>
      </w:r>
      <w:r w:rsidR="00DC30E1">
        <w:rPr>
          <w:sz w:val="24"/>
          <w:szCs w:val="24"/>
          <w:lang w:eastAsia="en-US"/>
        </w:rPr>
        <w:t xml:space="preserve">years, </w:t>
      </w:r>
      <w:r w:rsidR="00BC72AD" w:rsidRPr="00C637F0">
        <w:rPr>
          <w:sz w:val="24"/>
          <w:szCs w:val="24"/>
          <w:lang w:eastAsia="en-US"/>
        </w:rPr>
        <w:t xml:space="preserve">with </w:t>
      </w:r>
      <w:r w:rsidR="00FA3808" w:rsidRPr="00C637F0">
        <w:rPr>
          <w:sz w:val="24"/>
          <w:szCs w:val="24"/>
          <w:lang w:eastAsia="en-US"/>
        </w:rPr>
        <w:t xml:space="preserve">rates in children with congenital anomalies ranging between </w:t>
      </w:r>
      <w:r w:rsidR="00A30C54">
        <w:rPr>
          <w:sz w:val="24"/>
          <w:szCs w:val="24"/>
          <w:lang w:eastAsia="en-US"/>
        </w:rPr>
        <w:t>6-</w:t>
      </w:r>
      <w:r w:rsidR="00FA3808" w:rsidRPr="00C637F0">
        <w:rPr>
          <w:sz w:val="24"/>
          <w:szCs w:val="24"/>
          <w:lang w:eastAsia="en-US"/>
        </w:rPr>
        <w:t>9% in all registries</w:t>
      </w:r>
      <w:r w:rsidR="0060640A" w:rsidRPr="00C637F0">
        <w:rPr>
          <w:sz w:val="24"/>
          <w:szCs w:val="24"/>
          <w:lang w:eastAsia="en-US"/>
        </w:rPr>
        <w:t>,</w:t>
      </w:r>
      <w:r w:rsidR="00FA3808" w:rsidRPr="00C637F0">
        <w:rPr>
          <w:sz w:val="24"/>
          <w:szCs w:val="24"/>
          <w:lang w:eastAsia="en-US"/>
        </w:rPr>
        <w:t xml:space="preserve"> and </w:t>
      </w:r>
      <w:r w:rsidR="00DB7DD8" w:rsidRPr="00C637F0">
        <w:rPr>
          <w:sz w:val="24"/>
          <w:szCs w:val="24"/>
          <w:lang w:eastAsia="en-US"/>
        </w:rPr>
        <w:t>rates for reference children rang</w:t>
      </w:r>
      <w:r w:rsidR="0085460D" w:rsidRPr="00C637F0">
        <w:rPr>
          <w:sz w:val="24"/>
          <w:szCs w:val="24"/>
          <w:lang w:eastAsia="en-US"/>
        </w:rPr>
        <w:t xml:space="preserve">ing </w:t>
      </w:r>
      <w:r w:rsidR="00DB7DD8" w:rsidRPr="00C637F0">
        <w:rPr>
          <w:sz w:val="24"/>
          <w:szCs w:val="24"/>
          <w:lang w:eastAsia="en-US"/>
        </w:rPr>
        <w:t xml:space="preserve">between </w:t>
      </w:r>
      <w:r w:rsidR="00B43AF5" w:rsidRPr="00C637F0">
        <w:rPr>
          <w:sz w:val="24"/>
          <w:szCs w:val="24"/>
          <w:lang w:eastAsia="en-US"/>
        </w:rPr>
        <w:t>4</w:t>
      </w:r>
      <w:r w:rsidR="00DB7DD8" w:rsidRPr="00C637F0">
        <w:rPr>
          <w:sz w:val="24"/>
          <w:szCs w:val="24"/>
          <w:lang w:eastAsia="en-US"/>
        </w:rPr>
        <w:t>-6%</w:t>
      </w:r>
      <w:r w:rsidR="00B1067F" w:rsidRPr="00C637F0">
        <w:rPr>
          <w:sz w:val="24"/>
          <w:szCs w:val="24"/>
          <w:lang w:eastAsia="en-US"/>
        </w:rPr>
        <w:t xml:space="preserve"> in all registries</w:t>
      </w:r>
      <w:r w:rsidR="00DB7DD8">
        <w:rPr>
          <w:sz w:val="24"/>
          <w:szCs w:val="24"/>
          <w:lang w:eastAsia="en-US"/>
        </w:rPr>
        <w:t xml:space="preserve">. </w:t>
      </w:r>
      <w:r w:rsidR="001130EE">
        <w:rPr>
          <w:sz w:val="24"/>
          <w:szCs w:val="24"/>
          <w:lang w:eastAsia="en-US"/>
        </w:rPr>
        <w:t xml:space="preserve">Prevalence rates for </w:t>
      </w:r>
      <w:r w:rsidR="00A526B8">
        <w:rPr>
          <w:sz w:val="24"/>
          <w:szCs w:val="24"/>
          <w:lang w:eastAsia="en-US"/>
        </w:rPr>
        <w:t>&gt;1 pr</w:t>
      </w:r>
      <w:r w:rsidR="00165AC4">
        <w:rPr>
          <w:sz w:val="24"/>
          <w:szCs w:val="24"/>
          <w:lang w:eastAsia="en-US"/>
        </w:rPr>
        <w:t xml:space="preserve">escription for any </w:t>
      </w:r>
      <w:r w:rsidR="001130EE">
        <w:rPr>
          <w:sz w:val="24"/>
          <w:szCs w:val="24"/>
          <w:lang w:eastAsia="en-US"/>
        </w:rPr>
        <w:t xml:space="preserve">anti-asthmatics were consistently slightly higher in children with congenital anomalies than reference children across registries and age groups (Figure </w:t>
      </w:r>
      <w:r w:rsidR="00B933EB">
        <w:rPr>
          <w:sz w:val="24"/>
          <w:szCs w:val="24"/>
          <w:lang w:eastAsia="en-US"/>
        </w:rPr>
        <w:t>1</w:t>
      </w:r>
      <w:r w:rsidR="001130EE">
        <w:rPr>
          <w:sz w:val="24"/>
          <w:szCs w:val="24"/>
          <w:lang w:eastAsia="en-US"/>
        </w:rPr>
        <w:t xml:space="preserve">). </w:t>
      </w:r>
    </w:p>
    <w:p w14:paraId="38A9EF98" w14:textId="0FFF8191" w:rsidR="0071652D" w:rsidRDefault="00673B31">
      <w:pPr>
        <w:rPr>
          <w:sz w:val="24"/>
          <w:szCs w:val="24"/>
        </w:rPr>
      </w:pPr>
      <w:r>
        <w:rPr>
          <w:sz w:val="24"/>
          <w:szCs w:val="24"/>
        </w:rPr>
        <w:t>C</w:t>
      </w:r>
      <w:r w:rsidR="009A1261" w:rsidRPr="00A6607F">
        <w:rPr>
          <w:sz w:val="24"/>
          <w:szCs w:val="24"/>
        </w:rPr>
        <w:t xml:space="preserve">hildren with congenital anomalies </w:t>
      </w:r>
      <w:r>
        <w:rPr>
          <w:sz w:val="24"/>
          <w:szCs w:val="24"/>
        </w:rPr>
        <w:t xml:space="preserve">had a </w:t>
      </w:r>
      <w:r w:rsidR="009A1261">
        <w:rPr>
          <w:sz w:val="24"/>
          <w:szCs w:val="24"/>
        </w:rPr>
        <w:t>41</w:t>
      </w:r>
      <w:r w:rsidR="009A1261" w:rsidRPr="00A6607F">
        <w:rPr>
          <w:sz w:val="24"/>
          <w:szCs w:val="24"/>
        </w:rPr>
        <w:t xml:space="preserve">% higher </w:t>
      </w:r>
      <w:r>
        <w:rPr>
          <w:sz w:val="24"/>
          <w:szCs w:val="24"/>
        </w:rPr>
        <w:t xml:space="preserve">risk of &gt;1 prescription for any </w:t>
      </w:r>
      <w:r w:rsidRPr="00A6607F">
        <w:rPr>
          <w:sz w:val="24"/>
          <w:szCs w:val="24"/>
        </w:rPr>
        <w:t xml:space="preserve">anti-asthmatic </w:t>
      </w:r>
      <w:r w:rsidR="009A1261">
        <w:rPr>
          <w:sz w:val="24"/>
          <w:szCs w:val="24"/>
        </w:rPr>
        <w:t>compared to</w:t>
      </w:r>
      <w:r w:rsidR="009A1261" w:rsidRPr="00A6607F">
        <w:rPr>
          <w:sz w:val="24"/>
          <w:szCs w:val="24"/>
        </w:rPr>
        <w:t xml:space="preserve"> reference children </w:t>
      </w:r>
      <w:r w:rsidR="009A1261">
        <w:rPr>
          <w:sz w:val="24"/>
          <w:szCs w:val="24"/>
        </w:rPr>
        <w:t xml:space="preserve">across all age groups and across all registries </w:t>
      </w:r>
      <w:r w:rsidR="009A1261" w:rsidRPr="00A6607F">
        <w:rPr>
          <w:sz w:val="24"/>
          <w:szCs w:val="24"/>
        </w:rPr>
        <w:t>(RR=1.41, 95%</w:t>
      </w:r>
      <w:r w:rsidR="009A1261">
        <w:rPr>
          <w:sz w:val="24"/>
          <w:szCs w:val="24"/>
        </w:rPr>
        <w:t xml:space="preserve"> </w:t>
      </w:r>
      <w:r w:rsidR="009A1261" w:rsidRPr="00A6607F">
        <w:rPr>
          <w:sz w:val="24"/>
          <w:szCs w:val="24"/>
        </w:rPr>
        <w:t xml:space="preserve">CI 1.35-1.48) (Figure </w:t>
      </w:r>
      <w:r w:rsidR="00B933EB">
        <w:rPr>
          <w:sz w:val="24"/>
          <w:szCs w:val="24"/>
        </w:rPr>
        <w:t>2</w:t>
      </w:r>
      <w:r w:rsidR="009A1261" w:rsidRPr="00A6607F">
        <w:rPr>
          <w:sz w:val="24"/>
          <w:szCs w:val="24"/>
        </w:rPr>
        <w:t xml:space="preserve">). </w:t>
      </w:r>
      <w:r w:rsidR="003422C9">
        <w:rPr>
          <w:sz w:val="24"/>
          <w:szCs w:val="24"/>
          <w:lang w:eastAsia="en-US"/>
        </w:rPr>
        <w:t>C</w:t>
      </w:r>
      <w:r w:rsidR="00CA5D70">
        <w:rPr>
          <w:sz w:val="24"/>
          <w:szCs w:val="24"/>
          <w:lang w:eastAsia="en-US"/>
        </w:rPr>
        <w:t>hildren</w:t>
      </w:r>
      <w:r w:rsidR="00761A99">
        <w:rPr>
          <w:sz w:val="24"/>
          <w:szCs w:val="24"/>
          <w:lang w:eastAsia="en-US"/>
        </w:rPr>
        <w:t xml:space="preserve"> aged</w:t>
      </w:r>
      <w:r w:rsidR="00CA5D70">
        <w:rPr>
          <w:sz w:val="24"/>
          <w:szCs w:val="24"/>
          <w:lang w:eastAsia="en-US"/>
        </w:rPr>
        <w:t xml:space="preserve"> </w:t>
      </w:r>
      <w:r w:rsidR="00D454F4">
        <w:rPr>
          <w:sz w:val="24"/>
          <w:szCs w:val="24"/>
          <w:lang w:eastAsia="en-US"/>
        </w:rPr>
        <w:t xml:space="preserve">&lt;1 year </w:t>
      </w:r>
      <w:r w:rsidR="00CA5D70">
        <w:rPr>
          <w:sz w:val="24"/>
          <w:szCs w:val="24"/>
          <w:lang w:eastAsia="en-US"/>
        </w:rPr>
        <w:t xml:space="preserve">with congenital anomalies in Finland had </w:t>
      </w:r>
      <w:r w:rsidR="003422C9">
        <w:rPr>
          <w:sz w:val="24"/>
          <w:szCs w:val="24"/>
          <w:lang w:eastAsia="en-US"/>
        </w:rPr>
        <w:t xml:space="preserve">an </w:t>
      </w:r>
      <w:r w:rsidR="00D454F4">
        <w:rPr>
          <w:sz w:val="24"/>
          <w:szCs w:val="24"/>
          <w:lang w:eastAsia="en-US"/>
        </w:rPr>
        <w:t xml:space="preserve">almost two-fold increase in risk compared to reference </w:t>
      </w:r>
      <w:r w:rsidR="00C16099">
        <w:rPr>
          <w:sz w:val="24"/>
          <w:szCs w:val="24"/>
          <w:lang w:eastAsia="en-US"/>
        </w:rPr>
        <w:t>children (RR</w:t>
      </w:r>
      <w:r w:rsidR="00185B11">
        <w:rPr>
          <w:sz w:val="24"/>
          <w:szCs w:val="24"/>
          <w:lang w:eastAsia="en-US"/>
        </w:rPr>
        <w:t>=</w:t>
      </w:r>
      <w:r w:rsidR="00C16099">
        <w:rPr>
          <w:sz w:val="24"/>
          <w:szCs w:val="24"/>
          <w:lang w:eastAsia="en-US"/>
        </w:rPr>
        <w:t>1.97; 95% CI</w:t>
      </w:r>
      <w:r w:rsidR="006238FE">
        <w:rPr>
          <w:sz w:val="24"/>
          <w:szCs w:val="24"/>
          <w:lang w:eastAsia="en-US"/>
        </w:rPr>
        <w:t xml:space="preserve"> </w:t>
      </w:r>
      <w:r w:rsidR="00C16099">
        <w:rPr>
          <w:sz w:val="24"/>
          <w:szCs w:val="24"/>
          <w:lang w:eastAsia="en-US"/>
        </w:rPr>
        <w:t>1.86-2.08)</w:t>
      </w:r>
      <w:r w:rsidR="00572DCB">
        <w:rPr>
          <w:sz w:val="24"/>
          <w:szCs w:val="24"/>
          <w:lang w:eastAsia="en-US"/>
        </w:rPr>
        <w:t xml:space="preserve">. </w:t>
      </w:r>
      <w:r w:rsidR="001B6FA2">
        <w:rPr>
          <w:sz w:val="24"/>
          <w:szCs w:val="24"/>
          <w:lang w:eastAsia="en-US"/>
        </w:rPr>
        <w:t>The wider</w:t>
      </w:r>
      <w:r w:rsidR="0075758B">
        <w:rPr>
          <w:sz w:val="24"/>
          <w:szCs w:val="24"/>
          <w:lang w:eastAsia="en-US"/>
        </w:rPr>
        <w:t xml:space="preserve"> </w:t>
      </w:r>
      <w:r w:rsidR="001B6FA2">
        <w:rPr>
          <w:sz w:val="24"/>
          <w:szCs w:val="24"/>
          <w:lang w:eastAsia="en-US"/>
        </w:rPr>
        <w:t>C</w:t>
      </w:r>
      <w:r w:rsidR="00B71E86">
        <w:rPr>
          <w:sz w:val="24"/>
          <w:szCs w:val="24"/>
          <w:lang w:eastAsia="en-US"/>
        </w:rPr>
        <w:t>I</w:t>
      </w:r>
      <w:r w:rsidR="001B6FA2">
        <w:rPr>
          <w:sz w:val="24"/>
          <w:szCs w:val="24"/>
          <w:lang w:eastAsia="en-US"/>
        </w:rPr>
        <w:t>s in</w:t>
      </w:r>
      <w:r w:rsidR="00676857">
        <w:rPr>
          <w:sz w:val="24"/>
          <w:szCs w:val="24"/>
          <w:lang w:eastAsia="en-US"/>
        </w:rPr>
        <w:t xml:space="preserve"> older age groups </w:t>
      </w:r>
      <w:r w:rsidR="003A6245">
        <w:rPr>
          <w:sz w:val="24"/>
          <w:szCs w:val="24"/>
          <w:lang w:eastAsia="en-US"/>
        </w:rPr>
        <w:t xml:space="preserve">in some registries </w:t>
      </w:r>
      <w:r w:rsidR="00676857">
        <w:rPr>
          <w:sz w:val="24"/>
          <w:szCs w:val="24"/>
          <w:lang w:eastAsia="en-US"/>
        </w:rPr>
        <w:t>indicate</w:t>
      </w:r>
      <w:r w:rsidR="00C97198">
        <w:rPr>
          <w:sz w:val="24"/>
          <w:szCs w:val="24"/>
          <w:lang w:eastAsia="en-US"/>
        </w:rPr>
        <w:t xml:space="preserve"> smaller sample sizes</w:t>
      </w:r>
      <w:r w:rsidR="003A6245">
        <w:rPr>
          <w:sz w:val="24"/>
          <w:szCs w:val="24"/>
          <w:lang w:eastAsia="en-US"/>
        </w:rPr>
        <w:t xml:space="preserve"> </w:t>
      </w:r>
      <w:r>
        <w:rPr>
          <w:sz w:val="24"/>
          <w:szCs w:val="24"/>
          <w:lang w:eastAsia="en-US"/>
        </w:rPr>
        <w:t>as</w:t>
      </w:r>
      <w:r w:rsidR="003A6245" w:rsidRPr="004733E1">
        <w:rPr>
          <w:sz w:val="24"/>
          <w:szCs w:val="24"/>
          <w:lang w:eastAsia="en-US"/>
        </w:rPr>
        <w:t xml:space="preserve"> there were fewer children </w:t>
      </w:r>
      <w:r>
        <w:rPr>
          <w:sz w:val="24"/>
          <w:szCs w:val="24"/>
          <w:lang w:eastAsia="en-US"/>
        </w:rPr>
        <w:t>with</w:t>
      </w:r>
      <w:r w:rsidR="008E795A">
        <w:rPr>
          <w:sz w:val="24"/>
          <w:szCs w:val="24"/>
          <w:lang w:eastAsia="en-US"/>
        </w:rPr>
        <w:t xml:space="preserve"> </w:t>
      </w:r>
      <w:r>
        <w:rPr>
          <w:sz w:val="24"/>
          <w:szCs w:val="24"/>
          <w:lang w:eastAsia="en-US"/>
        </w:rPr>
        <w:t>long follow-ups</w:t>
      </w:r>
      <w:r w:rsidR="003A6245">
        <w:rPr>
          <w:sz w:val="24"/>
          <w:szCs w:val="24"/>
          <w:lang w:eastAsia="en-US"/>
        </w:rPr>
        <w:t>.</w:t>
      </w:r>
      <w:r w:rsidR="00676857">
        <w:rPr>
          <w:sz w:val="24"/>
          <w:szCs w:val="24"/>
          <w:lang w:eastAsia="en-US"/>
        </w:rPr>
        <w:t xml:space="preserve"> </w:t>
      </w:r>
      <w:r w:rsidR="00517EF1">
        <w:rPr>
          <w:sz w:val="24"/>
          <w:szCs w:val="24"/>
          <w:lang w:eastAsia="en-US"/>
        </w:rPr>
        <w:t>S</w:t>
      </w:r>
      <w:r w:rsidR="009A1261">
        <w:rPr>
          <w:sz w:val="24"/>
          <w:szCs w:val="24"/>
          <w:lang w:eastAsia="en-US"/>
        </w:rPr>
        <w:t xml:space="preserve">tatistically </w:t>
      </w:r>
      <w:r w:rsidR="009A1261">
        <w:rPr>
          <w:sz w:val="24"/>
          <w:szCs w:val="24"/>
        </w:rPr>
        <w:t>s</w:t>
      </w:r>
      <w:r w:rsidR="009A1261" w:rsidRPr="00A6607F">
        <w:rPr>
          <w:sz w:val="24"/>
          <w:szCs w:val="24"/>
        </w:rPr>
        <w:t>ignificant heterogeneity was identified between registries</w:t>
      </w:r>
      <w:r w:rsidR="009A1261">
        <w:rPr>
          <w:sz w:val="24"/>
          <w:szCs w:val="24"/>
        </w:rPr>
        <w:t xml:space="preserve"> </w:t>
      </w:r>
      <w:r w:rsidR="00517EF1">
        <w:rPr>
          <w:sz w:val="24"/>
          <w:szCs w:val="24"/>
        </w:rPr>
        <w:t xml:space="preserve">at </w:t>
      </w:r>
      <w:r w:rsidR="009A1261">
        <w:rPr>
          <w:sz w:val="24"/>
          <w:szCs w:val="24"/>
        </w:rPr>
        <w:t>all ages</w:t>
      </w:r>
      <w:r w:rsidR="009A1261" w:rsidRPr="00A6607F">
        <w:rPr>
          <w:sz w:val="24"/>
          <w:szCs w:val="24"/>
        </w:rPr>
        <w:t xml:space="preserve"> (I</w:t>
      </w:r>
      <w:r w:rsidR="009A1261" w:rsidRPr="00A6607F">
        <w:rPr>
          <w:sz w:val="24"/>
          <w:szCs w:val="24"/>
          <w:vertAlign w:val="superscript"/>
        </w:rPr>
        <w:t>2</w:t>
      </w:r>
      <w:r w:rsidR="009A1261" w:rsidRPr="00A6607F">
        <w:rPr>
          <w:sz w:val="24"/>
          <w:szCs w:val="24"/>
        </w:rPr>
        <w:t xml:space="preserve"> = 94.3%, </w:t>
      </w:r>
      <w:r w:rsidR="009A1261" w:rsidRPr="00A6607F">
        <w:rPr>
          <w:i/>
          <w:iCs/>
          <w:sz w:val="24"/>
          <w:szCs w:val="24"/>
        </w:rPr>
        <w:t xml:space="preserve">p </w:t>
      </w:r>
      <w:r w:rsidR="009A1261" w:rsidRPr="009C75E8">
        <w:rPr>
          <w:sz w:val="24"/>
          <w:szCs w:val="24"/>
        </w:rPr>
        <w:t>&lt; .001)</w:t>
      </w:r>
      <w:r w:rsidR="00517EF1">
        <w:rPr>
          <w:sz w:val="24"/>
          <w:szCs w:val="24"/>
        </w:rPr>
        <w:t xml:space="preserve"> due to the large number of reference children, but the differences were small in magnitude</w:t>
      </w:r>
      <w:r w:rsidR="006E4F67">
        <w:rPr>
          <w:sz w:val="24"/>
          <w:szCs w:val="24"/>
        </w:rPr>
        <w:t>.</w:t>
      </w:r>
      <w:r w:rsidR="009A1261" w:rsidRPr="009C75E8">
        <w:rPr>
          <w:sz w:val="24"/>
          <w:szCs w:val="24"/>
        </w:rPr>
        <w:t xml:space="preserve"> </w:t>
      </w:r>
    </w:p>
    <w:p w14:paraId="42548328" w14:textId="4EF43197" w:rsidR="00A746A8" w:rsidRDefault="00A746A8" w:rsidP="00A746A8">
      <w:pPr>
        <w:rPr>
          <w:i/>
          <w:iCs/>
          <w:sz w:val="24"/>
          <w:szCs w:val="24"/>
          <w:lang w:eastAsia="en-US"/>
        </w:rPr>
      </w:pPr>
      <w:r w:rsidRPr="00B95E8D">
        <w:rPr>
          <w:i/>
          <w:iCs/>
          <w:sz w:val="24"/>
          <w:szCs w:val="24"/>
          <w:lang w:eastAsia="en-US"/>
        </w:rPr>
        <w:t xml:space="preserve">Prescriptions for </w:t>
      </w:r>
      <w:r w:rsidR="00E11B20">
        <w:rPr>
          <w:i/>
          <w:iCs/>
          <w:sz w:val="24"/>
          <w:szCs w:val="24"/>
          <w:lang w:eastAsia="en-US"/>
        </w:rPr>
        <w:t xml:space="preserve">inhaled corticosteroids </w:t>
      </w:r>
    </w:p>
    <w:p w14:paraId="7C05397E" w14:textId="3F255698" w:rsidR="00E11B20" w:rsidRDefault="00E11B20" w:rsidP="00A746A8">
      <w:pPr>
        <w:rPr>
          <w:sz w:val="24"/>
          <w:szCs w:val="24"/>
        </w:rPr>
      </w:pPr>
      <w:r>
        <w:rPr>
          <w:sz w:val="24"/>
          <w:szCs w:val="24"/>
          <w:lang w:eastAsia="en-US"/>
        </w:rPr>
        <w:t>Children with congenital anomalies had a higher risk of receiving &gt;1 prescription for inhaled corticosteroids than reference children. However, there was heterogeneity between age groups (</w:t>
      </w:r>
      <w:r w:rsidRPr="002014E8">
        <w:rPr>
          <w:i/>
          <w:iCs/>
          <w:sz w:val="24"/>
          <w:szCs w:val="24"/>
          <w:lang w:eastAsia="en-US"/>
        </w:rPr>
        <w:t>p</w:t>
      </w:r>
      <w:r>
        <w:rPr>
          <w:sz w:val="24"/>
          <w:szCs w:val="24"/>
          <w:lang w:eastAsia="en-US"/>
        </w:rPr>
        <w:t xml:space="preserve"> = 0.004). The risk was highest for children with congenital anomalies aged &lt;1 year (RR=2.12, 95% CI 1.50-2.99) and steadily decreased to 1.35 (95% CI 1.22-1.49) in children aged 8-9 years (Figure </w:t>
      </w:r>
      <w:r w:rsidR="00802804">
        <w:rPr>
          <w:sz w:val="24"/>
          <w:szCs w:val="24"/>
          <w:lang w:eastAsia="en-US"/>
        </w:rPr>
        <w:t>3</w:t>
      </w:r>
      <w:r>
        <w:rPr>
          <w:sz w:val="24"/>
          <w:szCs w:val="24"/>
          <w:lang w:eastAsia="en-US"/>
        </w:rPr>
        <w:t xml:space="preserve">). The relative risks of receiving &gt;1 prescription for inhaled corticosteroids appeared consistently higher in Valencian Region in children &lt;1 year of age (RR=3.24, 95% CI 2.74-3.84), children at 1 year of age (RR=2.67, 95% CI 2.30-3.10), and children at 2-5 years (RR=2.16, 95% CI 1.91-2.45) compared to children in other registries. </w:t>
      </w:r>
      <w:r w:rsidR="00517EF1">
        <w:rPr>
          <w:sz w:val="24"/>
          <w:szCs w:val="24"/>
          <w:lang w:eastAsia="en-US"/>
        </w:rPr>
        <w:t>Again</w:t>
      </w:r>
      <w:r>
        <w:rPr>
          <w:sz w:val="24"/>
          <w:szCs w:val="24"/>
          <w:lang w:eastAsia="en-US"/>
        </w:rPr>
        <w:t xml:space="preserve">, there was significant </w:t>
      </w:r>
      <w:r w:rsidR="00517EF1">
        <w:rPr>
          <w:sz w:val="24"/>
          <w:szCs w:val="24"/>
          <w:lang w:eastAsia="en-US"/>
        </w:rPr>
        <w:t xml:space="preserve">statistical </w:t>
      </w:r>
      <w:r>
        <w:rPr>
          <w:sz w:val="24"/>
          <w:szCs w:val="24"/>
          <w:lang w:eastAsia="en-US"/>
        </w:rPr>
        <w:t xml:space="preserve">heterogeneity across registries for all ages </w:t>
      </w:r>
      <w:r>
        <w:rPr>
          <w:sz w:val="24"/>
          <w:szCs w:val="24"/>
        </w:rPr>
        <w:t>(I</w:t>
      </w:r>
      <w:r w:rsidRPr="00C5130D">
        <w:rPr>
          <w:sz w:val="24"/>
          <w:szCs w:val="24"/>
          <w:vertAlign w:val="superscript"/>
        </w:rPr>
        <w:t>2</w:t>
      </w:r>
      <w:r>
        <w:rPr>
          <w:sz w:val="24"/>
          <w:szCs w:val="24"/>
        </w:rPr>
        <w:t xml:space="preserve"> = 95.6%, </w:t>
      </w:r>
      <w:r>
        <w:rPr>
          <w:i/>
          <w:iCs/>
          <w:sz w:val="24"/>
          <w:szCs w:val="24"/>
        </w:rPr>
        <w:t xml:space="preserve">p </w:t>
      </w:r>
      <w:r>
        <w:rPr>
          <w:sz w:val="24"/>
          <w:szCs w:val="24"/>
        </w:rPr>
        <w:t>&lt; .001)</w:t>
      </w:r>
      <w:r w:rsidR="00517EF1">
        <w:rPr>
          <w:sz w:val="24"/>
          <w:szCs w:val="24"/>
        </w:rPr>
        <w:t xml:space="preserve"> due to the large sample sizes</w:t>
      </w:r>
      <w:r>
        <w:rPr>
          <w:sz w:val="24"/>
          <w:szCs w:val="24"/>
        </w:rPr>
        <w:t xml:space="preserve">. </w:t>
      </w:r>
    </w:p>
    <w:p w14:paraId="41E4835A" w14:textId="67F0A241" w:rsidR="005E71E1" w:rsidRPr="005E71E1" w:rsidRDefault="005E71E1" w:rsidP="00A746A8">
      <w:pPr>
        <w:rPr>
          <w:i/>
          <w:iCs/>
          <w:sz w:val="24"/>
          <w:szCs w:val="24"/>
        </w:rPr>
      </w:pPr>
      <w:r>
        <w:rPr>
          <w:i/>
          <w:iCs/>
          <w:sz w:val="24"/>
          <w:szCs w:val="24"/>
        </w:rPr>
        <w:lastRenderedPageBreak/>
        <w:t xml:space="preserve">Prescriptions for </w:t>
      </w:r>
      <w:r>
        <w:rPr>
          <w:i/>
          <w:iCs/>
          <w:sz w:val="24"/>
          <w:szCs w:val="24"/>
          <w:lang w:eastAsia="en-US"/>
        </w:rPr>
        <w:t>b</w:t>
      </w:r>
      <w:r w:rsidRPr="00B95E8D">
        <w:rPr>
          <w:i/>
          <w:iCs/>
          <w:sz w:val="24"/>
          <w:szCs w:val="24"/>
          <w:lang w:eastAsia="en-US"/>
        </w:rPr>
        <w:t xml:space="preserve">eta-2 </w:t>
      </w:r>
      <w:r>
        <w:rPr>
          <w:i/>
          <w:iCs/>
          <w:sz w:val="24"/>
          <w:szCs w:val="24"/>
          <w:lang w:eastAsia="en-US"/>
        </w:rPr>
        <w:t>a</w:t>
      </w:r>
      <w:r w:rsidRPr="00B95E8D">
        <w:rPr>
          <w:i/>
          <w:iCs/>
          <w:sz w:val="24"/>
          <w:szCs w:val="24"/>
          <w:lang w:eastAsia="en-US"/>
        </w:rPr>
        <w:t>gonists</w:t>
      </w:r>
    </w:p>
    <w:p w14:paraId="39923093" w14:textId="2AD8252C" w:rsidR="00A746A8" w:rsidRDefault="00A746A8" w:rsidP="00A746A8">
      <w:pPr>
        <w:rPr>
          <w:sz w:val="24"/>
          <w:szCs w:val="24"/>
          <w:lang w:eastAsia="en-US"/>
        </w:rPr>
      </w:pPr>
      <w:r>
        <w:rPr>
          <w:sz w:val="24"/>
          <w:szCs w:val="24"/>
          <w:lang w:eastAsia="en-US"/>
        </w:rPr>
        <w:t xml:space="preserve">The RR of receiving &gt;1 prescription for beta-2 agonists was 71% higher in children with congenital anomalies compared to reference children (RR=1.71, 95% CI 1.60-1.83) (Figure </w:t>
      </w:r>
      <w:r w:rsidR="00C91672">
        <w:rPr>
          <w:sz w:val="24"/>
          <w:szCs w:val="24"/>
          <w:lang w:eastAsia="en-US"/>
        </w:rPr>
        <w:t>3</w:t>
      </w:r>
      <w:r>
        <w:rPr>
          <w:sz w:val="24"/>
          <w:szCs w:val="24"/>
          <w:lang w:eastAsia="en-US"/>
        </w:rPr>
        <w:t>). In contrast to inhaled corticosteroids, the risk of receiving &gt;1 prescription for beta-2-agonists remained consistently high across all age groups (</w:t>
      </w:r>
      <w:r w:rsidR="002014E8">
        <w:rPr>
          <w:sz w:val="24"/>
          <w:szCs w:val="24"/>
          <w:lang w:eastAsia="en-US"/>
        </w:rPr>
        <w:t>h</w:t>
      </w:r>
      <w:r>
        <w:rPr>
          <w:sz w:val="24"/>
          <w:szCs w:val="24"/>
          <w:lang w:eastAsia="en-US"/>
        </w:rPr>
        <w:t xml:space="preserve">eterogeneity between age groups </w:t>
      </w:r>
      <w:r w:rsidRPr="002014E8">
        <w:rPr>
          <w:i/>
          <w:iCs/>
          <w:sz w:val="24"/>
          <w:szCs w:val="24"/>
          <w:lang w:eastAsia="en-US"/>
        </w:rPr>
        <w:t>p</w:t>
      </w:r>
      <w:r>
        <w:rPr>
          <w:sz w:val="24"/>
          <w:szCs w:val="24"/>
          <w:lang w:eastAsia="en-US"/>
        </w:rPr>
        <w:t xml:space="preserve"> = 0.358).</w:t>
      </w:r>
      <w:r w:rsidR="00863FE6">
        <w:rPr>
          <w:sz w:val="24"/>
          <w:szCs w:val="24"/>
          <w:lang w:eastAsia="en-US"/>
        </w:rPr>
        <w:t xml:space="preserve"> </w:t>
      </w:r>
      <w:r>
        <w:rPr>
          <w:sz w:val="24"/>
          <w:szCs w:val="24"/>
          <w:lang w:eastAsia="en-US"/>
        </w:rPr>
        <w:t xml:space="preserve">Significant heterogeneity was identified across registries for all ages </w:t>
      </w:r>
      <w:r>
        <w:rPr>
          <w:sz w:val="24"/>
          <w:szCs w:val="24"/>
        </w:rPr>
        <w:t>(I</w:t>
      </w:r>
      <w:r w:rsidRPr="00C5130D">
        <w:rPr>
          <w:sz w:val="24"/>
          <w:szCs w:val="24"/>
          <w:vertAlign w:val="superscript"/>
        </w:rPr>
        <w:t>2</w:t>
      </w:r>
      <w:r>
        <w:rPr>
          <w:sz w:val="24"/>
          <w:szCs w:val="24"/>
        </w:rPr>
        <w:t xml:space="preserve"> = 94.4%, </w:t>
      </w:r>
      <w:r>
        <w:rPr>
          <w:i/>
          <w:iCs/>
          <w:sz w:val="24"/>
          <w:szCs w:val="24"/>
        </w:rPr>
        <w:t xml:space="preserve">p </w:t>
      </w:r>
      <w:r>
        <w:rPr>
          <w:sz w:val="24"/>
          <w:szCs w:val="24"/>
        </w:rPr>
        <w:t xml:space="preserve">&lt; .001). </w:t>
      </w:r>
    </w:p>
    <w:p w14:paraId="48744F62" w14:textId="16BBA598" w:rsidR="009F2A92" w:rsidRDefault="009F2A92" w:rsidP="00102E59">
      <w:pPr>
        <w:rPr>
          <w:i/>
          <w:iCs/>
          <w:sz w:val="24"/>
          <w:szCs w:val="24"/>
        </w:rPr>
      </w:pPr>
      <w:r>
        <w:rPr>
          <w:i/>
          <w:iCs/>
          <w:sz w:val="24"/>
          <w:szCs w:val="24"/>
        </w:rPr>
        <w:t>Risk factors for</w:t>
      </w:r>
      <w:r w:rsidR="007A03DC">
        <w:rPr>
          <w:i/>
          <w:iCs/>
          <w:sz w:val="24"/>
          <w:szCs w:val="24"/>
        </w:rPr>
        <w:t xml:space="preserve"> receiving</w:t>
      </w:r>
      <w:r>
        <w:rPr>
          <w:i/>
          <w:iCs/>
          <w:sz w:val="24"/>
          <w:szCs w:val="24"/>
        </w:rPr>
        <w:t xml:space="preserve"> anti-asthmatic</w:t>
      </w:r>
      <w:r w:rsidR="007A03DC">
        <w:rPr>
          <w:i/>
          <w:iCs/>
          <w:sz w:val="24"/>
          <w:szCs w:val="24"/>
        </w:rPr>
        <w:t xml:space="preserve"> prescriptions</w:t>
      </w:r>
      <w:r w:rsidR="00410F96">
        <w:rPr>
          <w:i/>
          <w:iCs/>
          <w:sz w:val="24"/>
          <w:szCs w:val="24"/>
        </w:rPr>
        <w:t xml:space="preserve"> (children up to age six years)</w:t>
      </w:r>
    </w:p>
    <w:p w14:paraId="5758EE1E" w14:textId="0292B492" w:rsidR="00755EFD" w:rsidRPr="009F2A92" w:rsidRDefault="00AA1261" w:rsidP="009F2A92">
      <w:pPr>
        <w:rPr>
          <w:sz w:val="24"/>
          <w:szCs w:val="24"/>
        </w:rPr>
      </w:pPr>
      <w:r w:rsidRPr="007E1D67">
        <w:rPr>
          <w:sz w:val="24"/>
          <w:szCs w:val="24"/>
        </w:rPr>
        <w:t>Children aged 0-5</w:t>
      </w:r>
      <w:r w:rsidR="00B92E41">
        <w:rPr>
          <w:sz w:val="24"/>
          <w:szCs w:val="24"/>
        </w:rPr>
        <w:t xml:space="preserve"> years</w:t>
      </w:r>
      <w:r w:rsidRPr="007E1D67">
        <w:rPr>
          <w:sz w:val="24"/>
          <w:szCs w:val="24"/>
        </w:rPr>
        <w:t xml:space="preserve"> were more likely to receive &gt;1 anti-asthmatic per year in 2005-2009 compared to 2000-200</w:t>
      </w:r>
      <w:r w:rsidR="007A03DC">
        <w:rPr>
          <w:sz w:val="24"/>
          <w:szCs w:val="24"/>
        </w:rPr>
        <w:t>4</w:t>
      </w:r>
      <w:r w:rsidRPr="007E1D67">
        <w:rPr>
          <w:sz w:val="24"/>
          <w:szCs w:val="24"/>
        </w:rPr>
        <w:t>, with this risk being higher in reference children than children with congenital anomalies (</w:t>
      </w:r>
      <w:r w:rsidR="00410F96">
        <w:rPr>
          <w:sz w:val="24"/>
          <w:szCs w:val="24"/>
        </w:rPr>
        <w:t>Table 2</w:t>
      </w:r>
      <w:r w:rsidRPr="007E1D67">
        <w:rPr>
          <w:sz w:val="24"/>
          <w:szCs w:val="24"/>
        </w:rPr>
        <w:t xml:space="preserve">). </w:t>
      </w:r>
      <w:bookmarkStart w:id="6" w:name="_Hlk109207913"/>
      <w:r w:rsidR="00961DC9">
        <w:rPr>
          <w:sz w:val="24"/>
          <w:szCs w:val="24"/>
        </w:rPr>
        <w:t xml:space="preserve">Children with congenital anomalies </w:t>
      </w:r>
      <w:r w:rsidR="00442DAC">
        <w:rPr>
          <w:sz w:val="24"/>
          <w:szCs w:val="24"/>
        </w:rPr>
        <w:t xml:space="preserve">born </w:t>
      </w:r>
      <w:r w:rsidR="00442DAC" w:rsidRPr="007E1D67">
        <w:rPr>
          <w:sz w:val="24"/>
          <w:szCs w:val="24"/>
        </w:rPr>
        <w:t>at</w:t>
      </w:r>
      <w:r w:rsidR="002B72AC" w:rsidRPr="007E1D67">
        <w:rPr>
          <w:sz w:val="24"/>
          <w:szCs w:val="24"/>
        </w:rPr>
        <w:t xml:space="preserve"> &lt;32 weeks GA </w:t>
      </w:r>
      <w:r w:rsidR="002B72AC" w:rsidRPr="00CF42C4">
        <w:rPr>
          <w:sz w:val="24"/>
          <w:szCs w:val="24"/>
        </w:rPr>
        <w:t xml:space="preserve">had over twice the risk of </w:t>
      </w:r>
      <w:r w:rsidR="00961DC9" w:rsidRPr="00CF42C4">
        <w:rPr>
          <w:sz w:val="24"/>
          <w:szCs w:val="24"/>
        </w:rPr>
        <w:t xml:space="preserve">being prescribed/dispensed </w:t>
      </w:r>
      <w:r w:rsidR="002B72AC" w:rsidRPr="00CF42C4">
        <w:rPr>
          <w:sz w:val="24"/>
          <w:szCs w:val="24"/>
        </w:rPr>
        <w:t>anti-asthmatic</w:t>
      </w:r>
      <w:r w:rsidR="00961DC9" w:rsidRPr="00CF42C4">
        <w:rPr>
          <w:sz w:val="24"/>
          <w:szCs w:val="24"/>
        </w:rPr>
        <w:t>s</w:t>
      </w:r>
      <w:r w:rsidR="002B72AC" w:rsidRPr="00CF42C4">
        <w:rPr>
          <w:sz w:val="24"/>
          <w:szCs w:val="24"/>
        </w:rPr>
        <w:t xml:space="preserve"> </w:t>
      </w:r>
      <w:r w:rsidR="00B83198" w:rsidRPr="00CF42C4">
        <w:rPr>
          <w:sz w:val="24"/>
          <w:szCs w:val="24"/>
        </w:rPr>
        <w:t>(RR= 2.20, 95% CI 2.10-2.30)</w:t>
      </w:r>
      <w:r w:rsidR="000A0528">
        <w:rPr>
          <w:sz w:val="24"/>
          <w:szCs w:val="24"/>
        </w:rPr>
        <w:t xml:space="preserve"> </w:t>
      </w:r>
      <w:r w:rsidR="00961DC9">
        <w:rPr>
          <w:sz w:val="24"/>
          <w:szCs w:val="24"/>
        </w:rPr>
        <w:t>compared to children born at 37+ weeks</w:t>
      </w:r>
      <w:r w:rsidR="00CF42C4">
        <w:rPr>
          <w:sz w:val="24"/>
          <w:szCs w:val="24"/>
        </w:rPr>
        <w:t>.</w:t>
      </w:r>
      <w:r w:rsidR="00961DC9">
        <w:rPr>
          <w:sz w:val="24"/>
          <w:szCs w:val="24"/>
        </w:rPr>
        <w:t xml:space="preserve"> The risk was also raised</w:t>
      </w:r>
      <w:r w:rsidR="007818A6" w:rsidRPr="007E1D67">
        <w:rPr>
          <w:sz w:val="24"/>
          <w:szCs w:val="24"/>
        </w:rPr>
        <w:t xml:space="preserve"> for reference children</w:t>
      </w:r>
      <w:r w:rsidR="00B83198">
        <w:rPr>
          <w:sz w:val="24"/>
          <w:szCs w:val="24"/>
        </w:rPr>
        <w:t xml:space="preserve"> </w:t>
      </w:r>
      <w:r w:rsidR="00CF42C4">
        <w:rPr>
          <w:sz w:val="24"/>
          <w:szCs w:val="24"/>
        </w:rPr>
        <w:t>(</w:t>
      </w:r>
      <w:r w:rsidR="00961DC9">
        <w:rPr>
          <w:sz w:val="24"/>
          <w:szCs w:val="24"/>
        </w:rPr>
        <w:t>RR=</w:t>
      </w:r>
      <w:r w:rsidR="00B83198" w:rsidRPr="007E1D67">
        <w:rPr>
          <w:sz w:val="24"/>
          <w:szCs w:val="24"/>
        </w:rPr>
        <w:t>1.86</w:t>
      </w:r>
      <w:r w:rsidR="00961DC9">
        <w:rPr>
          <w:sz w:val="24"/>
          <w:szCs w:val="24"/>
        </w:rPr>
        <w:t xml:space="preserve">, </w:t>
      </w:r>
      <w:r w:rsidR="00B83198" w:rsidRPr="007E1D67">
        <w:rPr>
          <w:sz w:val="24"/>
          <w:szCs w:val="24"/>
        </w:rPr>
        <w:t>95% CI</w:t>
      </w:r>
      <w:r w:rsidR="00961DC9">
        <w:rPr>
          <w:sz w:val="24"/>
          <w:szCs w:val="24"/>
        </w:rPr>
        <w:t xml:space="preserve"> </w:t>
      </w:r>
      <w:r w:rsidR="00B83198" w:rsidRPr="007E1D67">
        <w:rPr>
          <w:sz w:val="24"/>
          <w:szCs w:val="24"/>
        </w:rPr>
        <w:t>1.82-1.90)</w:t>
      </w:r>
      <w:r w:rsidR="007818A6" w:rsidRPr="007E1D67">
        <w:rPr>
          <w:sz w:val="24"/>
          <w:szCs w:val="24"/>
        </w:rPr>
        <w:t xml:space="preserve">. </w:t>
      </w:r>
      <w:r w:rsidR="007525E2" w:rsidRPr="007E1D67">
        <w:rPr>
          <w:sz w:val="24"/>
          <w:szCs w:val="24"/>
        </w:rPr>
        <w:t xml:space="preserve">Relative risks decreased in children born 32-36 weeks GA </w:t>
      </w:r>
      <w:r w:rsidR="00956D38" w:rsidRPr="007E1D67">
        <w:rPr>
          <w:sz w:val="24"/>
          <w:szCs w:val="24"/>
        </w:rPr>
        <w:t xml:space="preserve">but remained higher in children with congenital anomalies than </w:t>
      </w:r>
      <w:r w:rsidR="005B2C22">
        <w:rPr>
          <w:sz w:val="24"/>
          <w:szCs w:val="24"/>
        </w:rPr>
        <w:t xml:space="preserve">in </w:t>
      </w:r>
      <w:r w:rsidR="00956D38" w:rsidRPr="007E1D67">
        <w:rPr>
          <w:sz w:val="24"/>
          <w:szCs w:val="24"/>
        </w:rPr>
        <w:t>reference children</w:t>
      </w:r>
      <w:r w:rsidR="005156EE">
        <w:rPr>
          <w:sz w:val="24"/>
          <w:szCs w:val="24"/>
        </w:rPr>
        <w:t xml:space="preserve"> </w:t>
      </w:r>
      <w:r w:rsidR="005156EE" w:rsidRPr="00CF42C4">
        <w:rPr>
          <w:sz w:val="24"/>
          <w:szCs w:val="24"/>
        </w:rPr>
        <w:t>(RR= 1.45, 95% CI 1.40-1.49; and RR= 1.31 95% CI 1.30-1.32 respectively)</w:t>
      </w:r>
      <w:r w:rsidR="00956D38" w:rsidRPr="00CF42C4">
        <w:rPr>
          <w:sz w:val="24"/>
          <w:szCs w:val="24"/>
        </w:rPr>
        <w:t>.</w:t>
      </w:r>
      <w:r w:rsidR="00410F96">
        <w:rPr>
          <w:sz w:val="24"/>
          <w:szCs w:val="24"/>
        </w:rPr>
        <w:t xml:space="preserve"> </w:t>
      </w:r>
      <w:r w:rsidR="003646F5">
        <w:rPr>
          <w:sz w:val="24"/>
          <w:szCs w:val="24"/>
        </w:rPr>
        <w:t>Boys</w:t>
      </w:r>
      <w:r w:rsidR="00755EFD" w:rsidRPr="005B2C22">
        <w:rPr>
          <w:sz w:val="24"/>
          <w:szCs w:val="24"/>
        </w:rPr>
        <w:t xml:space="preserve"> were more likely to be prescribed anti-asthmatics than </w:t>
      </w:r>
      <w:r w:rsidR="003646F5">
        <w:rPr>
          <w:sz w:val="24"/>
          <w:szCs w:val="24"/>
        </w:rPr>
        <w:t>girls</w:t>
      </w:r>
      <w:r w:rsidR="00755EFD" w:rsidRPr="005B2C22">
        <w:rPr>
          <w:sz w:val="24"/>
          <w:szCs w:val="24"/>
        </w:rPr>
        <w:t>, with similar risks observed for children with congenital anomalies and reference children</w:t>
      </w:r>
      <w:r w:rsidR="00410F96">
        <w:rPr>
          <w:sz w:val="24"/>
          <w:szCs w:val="24"/>
        </w:rPr>
        <w:t>.</w:t>
      </w:r>
    </w:p>
    <w:bookmarkEnd w:id="6"/>
    <w:p w14:paraId="4C496AA4" w14:textId="260FB85D" w:rsidR="009A1261" w:rsidRDefault="009A1261" w:rsidP="009A1261">
      <w:pPr>
        <w:rPr>
          <w:i/>
          <w:iCs/>
          <w:sz w:val="24"/>
          <w:szCs w:val="24"/>
          <w:lang w:eastAsia="en-US"/>
        </w:rPr>
      </w:pPr>
      <w:r>
        <w:rPr>
          <w:i/>
          <w:iCs/>
          <w:sz w:val="24"/>
          <w:szCs w:val="24"/>
          <w:lang w:eastAsia="en-US"/>
        </w:rPr>
        <w:t>Congenital anomaly subgroups (children up to eight years of age)</w:t>
      </w:r>
    </w:p>
    <w:p w14:paraId="378CE6F3" w14:textId="00E3F598" w:rsidR="009B63A9" w:rsidRDefault="009A1261" w:rsidP="009A1261">
      <w:pPr>
        <w:rPr>
          <w:sz w:val="24"/>
          <w:szCs w:val="24"/>
          <w:lang w:eastAsia="en-US"/>
        </w:rPr>
      </w:pPr>
      <w:r w:rsidRPr="00875CF4">
        <w:rPr>
          <w:sz w:val="24"/>
          <w:szCs w:val="24"/>
          <w:lang w:eastAsia="en-US"/>
        </w:rPr>
        <w:t xml:space="preserve">The RR for having </w:t>
      </w:r>
      <w:r w:rsidR="00D166A9">
        <w:rPr>
          <w:sz w:val="24"/>
          <w:szCs w:val="24"/>
          <w:lang w:eastAsia="en-US"/>
        </w:rPr>
        <w:t>&gt;1</w:t>
      </w:r>
      <w:r w:rsidRPr="00875CF4">
        <w:rPr>
          <w:sz w:val="24"/>
          <w:szCs w:val="24"/>
          <w:lang w:eastAsia="en-US"/>
        </w:rPr>
        <w:t xml:space="preserve"> anti-asthmatic prescription for children with specific congenital anomalies </w:t>
      </w:r>
      <w:r w:rsidR="00AA004E">
        <w:rPr>
          <w:sz w:val="24"/>
          <w:szCs w:val="24"/>
          <w:lang w:eastAsia="en-US"/>
        </w:rPr>
        <w:t>aged 0-7 years</w:t>
      </w:r>
      <w:r w:rsidRPr="00875CF4">
        <w:rPr>
          <w:sz w:val="24"/>
          <w:szCs w:val="24"/>
          <w:lang w:eastAsia="en-US"/>
        </w:rPr>
        <w:t xml:space="preserve"> was compared to reference children</w:t>
      </w:r>
      <w:r>
        <w:rPr>
          <w:sz w:val="24"/>
          <w:szCs w:val="24"/>
          <w:lang w:eastAsia="en-US"/>
        </w:rPr>
        <w:t xml:space="preserve">. Children with </w:t>
      </w:r>
      <w:r w:rsidR="002E6F32">
        <w:rPr>
          <w:sz w:val="24"/>
          <w:szCs w:val="24"/>
          <w:lang w:eastAsia="en-US"/>
        </w:rPr>
        <w:t xml:space="preserve">oesophageal atresia </w:t>
      </w:r>
      <w:r>
        <w:rPr>
          <w:sz w:val="24"/>
          <w:szCs w:val="24"/>
          <w:lang w:eastAsia="en-US"/>
        </w:rPr>
        <w:t xml:space="preserve">had the highest </w:t>
      </w:r>
      <w:r w:rsidR="00604F03">
        <w:rPr>
          <w:sz w:val="24"/>
          <w:szCs w:val="24"/>
          <w:lang w:eastAsia="en-US"/>
        </w:rPr>
        <w:t xml:space="preserve">risk </w:t>
      </w:r>
      <w:r>
        <w:rPr>
          <w:sz w:val="24"/>
          <w:szCs w:val="24"/>
          <w:lang w:eastAsia="en-US"/>
        </w:rPr>
        <w:t>of being prescribed</w:t>
      </w:r>
      <w:r w:rsidR="005156EE">
        <w:rPr>
          <w:sz w:val="24"/>
          <w:szCs w:val="24"/>
          <w:lang w:eastAsia="en-US"/>
        </w:rPr>
        <w:t>/dispensed</w:t>
      </w:r>
      <w:r>
        <w:rPr>
          <w:sz w:val="24"/>
          <w:szCs w:val="24"/>
          <w:lang w:eastAsia="en-US"/>
        </w:rPr>
        <w:t xml:space="preserve"> an</w:t>
      </w:r>
      <w:r w:rsidR="002E6F32">
        <w:rPr>
          <w:sz w:val="24"/>
          <w:szCs w:val="24"/>
          <w:lang w:eastAsia="en-US"/>
        </w:rPr>
        <w:t>y</w:t>
      </w:r>
      <w:r>
        <w:rPr>
          <w:sz w:val="24"/>
          <w:szCs w:val="24"/>
          <w:lang w:eastAsia="en-US"/>
        </w:rPr>
        <w:t xml:space="preserve"> anti-asthmatic </w:t>
      </w:r>
      <w:r w:rsidR="00604F03">
        <w:rPr>
          <w:sz w:val="24"/>
          <w:szCs w:val="24"/>
          <w:lang w:eastAsia="en-US"/>
        </w:rPr>
        <w:t xml:space="preserve">medication </w:t>
      </w:r>
      <w:r>
        <w:rPr>
          <w:sz w:val="24"/>
          <w:szCs w:val="24"/>
          <w:lang w:eastAsia="en-US"/>
        </w:rPr>
        <w:t>(RR=3.</w:t>
      </w:r>
      <w:r w:rsidR="00A35A08">
        <w:rPr>
          <w:sz w:val="24"/>
          <w:szCs w:val="24"/>
          <w:lang w:eastAsia="en-US"/>
        </w:rPr>
        <w:t>5</w:t>
      </w:r>
      <w:r w:rsidR="00F451D8">
        <w:rPr>
          <w:sz w:val="24"/>
          <w:szCs w:val="24"/>
          <w:lang w:eastAsia="en-US"/>
        </w:rPr>
        <w:t>7</w:t>
      </w:r>
      <w:r>
        <w:rPr>
          <w:sz w:val="24"/>
          <w:szCs w:val="24"/>
          <w:lang w:eastAsia="en-US"/>
        </w:rPr>
        <w:t xml:space="preserve">, 95% CI </w:t>
      </w:r>
      <w:r w:rsidR="00F451D8">
        <w:rPr>
          <w:sz w:val="24"/>
          <w:szCs w:val="24"/>
          <w:lang w:eastAsia="en-US"/>
        </w:rPr>
        <w:t>3.</w:t>
      </w:r>
      <w:r w:rsidR="00A35A08">
        <w:rPr>
          <w:sz w:val="24"/>
          <w:szCs w:val="24"/>
          <w:lang w:eastAsia="en-US"/>
        </w:rPr>
        <w:t>1</w:t>
      </w:r>
      <w:r w:rsidR="00F451D8">
        <w:rPr>
          <w:sz w:val="24"/>
          <w:szCs w:val="24"/>
          <w:lang w:eastAsia="en-US"/>
        </w:rPr>
        <w:t>4-</w:t>
      </w:r>
      <w:r w:rsidR="00A35A08">
        <w:rPr>
          <w:sz w:val="24"/>
          <w:szCs w:val="24"/>
          <w:lang w:eastAsia="en-US"/>
        </w:rPr>
        <w:t>4.06</w:t>
      </w:r>
      <w:r>
        <w:rPr>
          <w:sz w:val="24"/>
          <w:szCs w:val="24"/>
          <w:lang w:eastAsia="en-US"/>
        </w:rPr>
        <w:t>),</w:t>
      </w:r>
      <w:r w:rsidR="00694D24">
        <w:rPr>
          <w:sz w:val="24"/>
          <w:szCs w:val="24"/>
          <w:lang w:eastAsia="en-US"/>
        </w:rPr>
        <w:t xml:space="preserve"> </w:t>
      </w:r>
      <w:r>
        <w:rPr>
          <w:sz w:val="24"/>
          <w:szCs w:val="24"/>
          <w:lang w:eastAsia="en-US"/>
        </w:rPr>
        <w:t>inhaled corticosteroids (RR=</w:t>
      </w:r>
      <w:r w:rsidR="00F451D8">
        <w:rPr>
          <w:sz w:val="24"/>
          <w:szCs w:val="24"/>
          <w:lang w:eastAsia="en-US"/>
        </w:rPr>
        <w:t>5.46</w:t>
      </w:r>
      <w:r>
        <w:rPr>
          <w:sz w:val="24"/>
          <w:szCs w:val="24"/>
          <w:lang w:eastAsia="en-US"/>
        </w:rPr>
        <w:t xml:space="preserve">, 95% CI </w:t>
      </w:r>
      <w:r w:rsidR="00F451D8">
        <w:rPr>
          <w:sz w:val="24"/>
          <w:szCs w:val="24"/>
          <w:lang w:eastAsia="en-US"/>
        </w:rPr>
        <w:t>4.46-6.68</w:t>
      </w:r>
      <w:r>
        <w:rPr>
          <w:sz w:val="24"/>
          <w:szCs w:val="24"/>
          <w:lang w:eastAsia="en-US"/>
        </w:rPr>
        <w:t>)</w:t>
      </w:r>
      <w:r w:rsidR="00694D24">
        <w:rPr>
          <w:sz w:val="24"/>
          <w:szCs w:val="24"/>
          <w:lang w:eastAsia="en-US"/>
        </w:rPr>
        <w:t>,</w:t>
      </w:r>
      <w:r>
        <w:rPr>
          <w:sz w:val="24"/>
          <w:szCs w:val="24"/>
          <w:lang w:eastAsia="en-US"/>
        </w:rPr>
        <w:t xml:space="preserve"> and beta-2 agonists (RR=</w:t>
      </w:r>
      <w:r w:rsidR="000E2C54">
        <w:rPr>
          <w:sz w:val="24"/>
          <w:szCs w:val="24"/>
          <w:lang w:eastAsia="en-US"/>
        </w:rPr>
        <w:t>5.75</w:t>
      </w:r>
      <w:r>
        <w:rPr>
          <w:sz w:val="24"/>
          <w:szCs w:val="24"/>
          <w:lang w:eastAsia="en-US"/>
        </w:rPr>
        <w:t xml:space="preserve">, 95% CI </w:t>
      </w:r>
      <w:r w:rsidR="000E2C54">
        <w:rPr>
          <w:sz w:val="24"/>
          <w:szCs w:val="24"/>
          <w:lang w:eastAsia="en-US"/>
        </w:rPr>
        <w:t>4.86-6.81</w:t>
      </w:r>
      <w:r>
        <w:rPr>
          <w:sz w:val="24"/>
          <w:szCs w:val="24"/>
          <w:lang w:eastAsia="en-US"/>
        </w:rPr>
        <w:t>)</w:t>
      </w:r>
      <w:r w:rsidR="002E6F32">
        <w:rPr>
          <w:sz w:val="24"/>
          <w:szCs w:val="24"/>
          <w:lang w:eastAsia="en-US"/>
        </w:rPr>
        <w:t xml:space="preserve">, </w:t>
      </w:r>
      <w:r w:rsidR="00AA004E">
        <w:rPr>
          <w:sz w:val="24"/>
          <w:szCs w:val="24"/>
          <w:lang w:eastAsia="en-US"/>
        </w:rPr>
        <w:t xml:space="preserve">Supplementary </w:t>
      </w:r>
      <w:r w:rsidR="002E6F32">
        <w:rPr>
          <w:sz w:val="24"/>
          <w:szCs w:val="24"/>
          <w:lang w:eastAsia="en-US"/>
        </w:rPr>
        <w:t xml:space="preserve">Table </w:t>
      </w:r>
      <w:r w:rsidR="00AA004E">
        <w:rPr>
          <w:sz w:val="24"/>
          <w:szCs w:val="24"/>
          <w:lang w:eastAsia="en-US"/>
        </w:rPr>
        <w:t>3</w:t>
      </w:r>
      <w:r>
        <w:rPr>
          <w:sz w:val="24"/>
          <w:szCs w:val="24"/>
          <w:lang w:eastAsia="en-US"/>
        </w:rPr>
        <w:t>. Children with</w:t>
      </w:r>
      <w:r w:rsidR="00A35A08">
        <w:rPr>
          <w:sz w:val="24"/>
          <w:szCs w:val="24"/>
          <w:lang w:eastAsia="en-US"/>
        </w:rPr>
        <w:t xml:space="preserve"> </w:t>
      </w:r>
      <w:r w:rsidR="00604F03">
        <w:rPr>
          <w:sz w:val="24"/>
          <w:szCs w:val="24"/>
          <w:lang w:eastAsia="en-US"/>
        </w:rPr>
        <w:t>genetic syndromes (Di George syndrome and Noonan syndrome), chromosomal anomalies (all chromosomal anomalies and</w:t>
      </w:r>
      <w:r>
        <w:rPr>
          <w:sz w:val="24"/>
          <w:szCs w:val="24"/>
          <w:lang w:eastAsia="en-US"/>
        </w:rPr>
        <w:t xml:space="preserve"> Down syndrome with</w:t>
      </w:r>
      <w:r w:rsidR="000E2C54">
        <w:rPr>
          <w:sz w:val="24"/>
          <w:szCs w:val="24"/>
          <w:lang w:eastAsia="en-US"/>
        </w:rPr>
        <w:t xml:space="preserve"> and without</w:t>
      </w:r>
      <w:r>
        <w:rPr>
          <w:sz w:val="24"/>
          <w:szCs w:val="24"/>
          <w:lang w:eastAsia="en-US"/>
        </w:rPr>
        <w:t xml:space="preserve"> congenital heart defects</w:t>
      </w:r>
      <w:r w:rsidR="000E2C54">
        <w:rPr>
          <w:sz w:val="24"/>
          <w:szCs w:val="24"/>
          <w:lang w:eastAsia="en-US"/>
        </w:rPr>
        <w:t>)</w:t>
      </w:r>
      <w:r>
        <w:rPr>
          <w:sz w:val="24"/>
          <w:szCs w:val="24"/>
          <w:lang w:eastAsia="en-US"/>
        </w:rPr>
        <w:t xml:space="preserve">, </w:t>
      </w:r>
      <w:r w:rsidR="00604F03">
        <w:rPr>
          <w:sz w:val="24"/>
          <w:szCs w:val="24"/>
          <w:lang w:eastAsia="en-US"/>
        </w:rPr>
        <w:t xml:space="preserve">and </w:t>
      </w:r>
      <w:r>
        <w:rPr>
          <w:sz w:val="24"/>
          <w:szCs w:val="24"/>
          <w:lang w:eastAsia="en-US"/>
        </w:rPr>
        <w:t>diaphragmatic hernia</w:t>
      </w:r>
      <w:r w:rsidR="00604F03">
        <w:rPr>
          <w:sz w:val="24"/>
          <w:szCs w:val="24"/>
          <w:lang w:eastAsia="en-US"/>
        </w:rPr>
        <w:t xml:space="preserve"> </w:t>
      </w:r>
      <w:r>
        <w:rPr>
          <w:sz w:val="24"/>
          <w:szCs w:val="24"/>
          <w:lang w:eastAsia="en-US"/>
        </w:rPr>
        <w:t xml:space="preserve">had more than </w:t>
      </w:r>
      <w:r w:rsidR="00340601">
        <w:rPr>
          <w:sz w:val="24"/>
          <w:szCs w:val="24"/>
          <w:lang w:eastAsia="en-US"/>
        </w:rPr>
        <w:t>double the</w:t>
      </w:r>
      <w:r>
        <w:rPr>
          <w:sz w:val="24"/>
          <w:szCs w:val="24"/>
          <w:lang w:eastAsia="en-US"/>
        </w:rPr>
        <w:t xml:space="preserve"> risk of having </w:t>
      </w:r>
      <w:r w:rsidR="00D166A9">
        <w:rPr>
          <w:sz w:val="24"/>
          <w:szCs w:val="24"/>
          <w:lang w:eastAsia="en-US"/>
        </w:rPr>
        <w:t>&gt;1</w:t>
      </w:r>
      <w:r>
        <w:rPr>
          <w:sz w:val="24"/>
          <w:szCs w:val="24"/>
          <w:lang w:eastAsia="en-US"/>
        </w:rPr>
        <w:t xml:space="preserve"> prescription for </w:t>
      </w:r>
      <w:r w:rsidR="00604F03">
        <w:rPr>
          <w:sz w:val="24"/>
          <w:szCs w:val="24"/>
          <w:lang w:eastAsia="en-US"/>
        </w:rPr>
        <w:t xml:space="preserve">any </w:t>
      </w:r>
      <w:r>
        <w:rPr>
          <w:sz w:val="24"/>
          <w:szCs w:val="24"/>
          <w:lang w:eastAsia="en-US"/>
        </w:rPr>
        <w:t xml:space="preserve">anti-asthmatics compared to reference children. Across all 32 congenital anomaly subgroups examined, children with </w:t>
      </w:r>
      <w:r w:rsidR="00340601">
        <w:rPr>
          <w:sz w:val="24"/>
          <w:szCs w:val="24"/>
          <w:lang w:eastAsia="en-US"/>
        </w:rPr>
        <w:t xml:space="preserve">these </w:t>
      </w:r>
      <w:r>
        <w:rPr>
          <w:sz w:val="24"/>
          <w:szCs w:val="24"/>
          <w:lang w:eastAsia="en-US"/>
        </w:rPr>
        <w:t xml:space="preserve">anomalies were significantly more likely to be prescribed </w:t>
      </w:r>
      <w:r w:rsidR="00340601">
        <w:rPr>
          <w:sz w:val="24"/>
          <w:szCs w:val="24"/>
          <w:lang w:eastAsia="en-US"/>
        </w:rPr>
        <w:t>any anti-asthmatic</w:t>
      </w:r>
      <w:r>
        <w:rPr>
          <w:sz w:val="24"/>
          <w:szCs w:val="24"/>
          <w:lang w:eastAsia="en-US"/>
        </w:rPr>
        <w:t xml:space="preserve"> than reference children</w:t>
      </w:r>
      <w:r w:rsidR="00340601">
        <w:rPr>
          <w:sz w:val="24"/>
          <w:szCs w:val="24"/>
          <w:lang w:eastAsia="en-US"/>
        </w:rPr>
        <w:t xml:space="preserve">, except for children </w:t>
      </w:r>
      <w:r>
        <w:rPr>
          <w:sz w:val="24"/>
          <w:szCs w:val="24"/>
          <w:lang w:eastAsia="en-US"/>
        </w:rPr>
        <w:t xml:space="preserve">with Tetralogy of Fallot or </w:t>
      </w:r>
      <w:r w:rsidR="00340601">
        <w:rPr>
          <w:sz w:val="24"/>
          <w:szCs w:val="24"/>
          <w:lang w:eastAsia="en-US"/>
        </w:rPr>
        <w:t xml:space="preserve">children </w:t>
      </w:r>
      <w:r>
        <w:rPr>
          <w:sz w:val="24"/>
          <w:szCs w:val="24"/>
          <w:lang w:eastAsia="en-US"/>
        </w:rPr>
        <w:t>with hip dislocation</w:t>
      </w:r>
      <w:r w:rsidR="00694D24">
        <w:rPr>
          <w:sz w:val="24"/>
          <w:szCs w:val="24"/>
          <w:lang w:eastAsia="en-US"/>
        </w:rPr>
        <w:t xml:space="preserve"> and/or dysplasia</w:t>
      </w:r>
      <w:r w:rsidR="00A2187E">
        <w:rPr>
          <w:sz w:val="24"/>
          <w:szCs w:val="24"/>
          <w:lang w:eastAsia="en-US"/>
        </w:rPr>
        <w:t xml:space="preserve"> whose risks were slightly raised</w:t>
      </w:r>
      <w:r w:rsidR="003F4642">
        <w:rPr>
          <w:sz w:val="24"/>
          <w:szCs w:val="24"/>
          <w:lang w:eastAsia="en-US"/>
        </w:rPr>
        <w:t xml:space="preserve"> but </w:t>
      </w:r>
      <w:r w:rsidR="00A2187E">
        <w:rPr>
          <w:sz w:val="24"/>
          <w:szCs w:val="24"/>
          <w:lang w:eastAsia="en-US"/>
        </w:rPr>
        <w:t xml:space="preserve">were </w:t>
      </w:r>
      <w:r w:rsidR="003F4642">
        <w:rPr>
          <w:sz w:val="24"/>
          <w:szCs w:val="24"/>
          <w:lang w:eastAsia="en-US"/>
        </w:rPr>
        <w:t>not statistically significant.</w:t>
      </w:r>
    </w:p>
    <w:p w14:paraId="00EF6910" w14:textId="7A48F81D" w:rsidR="00D1517E" w:rsidRDefault="00470327">
      <w:pPr>
        <w:rPr>
          <w:sz w:val="24"/>
          <w:szCs w:val="24"/>
          <w:lang w:eastAsia="en-US"/>
        </w:rPr>
      </w:pPr>
      <w:r>
        <w:rPr>
          <w:sz w:val="24"/>
          <w:szCs w:val="24"/>
          <w:lang w:eastAsia="en-US"/>
        </w:rPr>
        <w:t>The</w:t>
      </w:r>
      <w:r w:rsidR="00B10019">
        <w:rPr>
          <w:sz w:val="24"/>
          <w:szCs w:val="24"/>
          <w:lang w:eastAsia="en-US"/>
        </w:rPr>
        <w:t xml:space="preserve"> </w:t>
      </w:r>
      <w:r w:rsidR="00126236">
        <w:rPr>
          <w:sz w:val="24"/>
          <w:szCs w:val="24"/>
          <w:lang w:eastAsia="en-US"/>
        </w:rPr>
        <w:t xml:space="preserve">relative </w:t>
      </w:r>
      <w:r w:rsidR="00B10019">
        <w:rPr>
          <w:sz w:val="24"/>
          <w:szCs w:val="24"/>
          <w:lang w:eastAsia="en-US"/>
        </w:rPr>
        <w:t xml:space="preserve">risk </w:t>
      </w:r>
      <w:r w:rsidR="00173A57">
        <w:rPr>
          <w:sz w:val="24"/>
          <w:szCs w:val="24"/>
          <w:lang w:eastAsia="en-US"/>
        </w:rPr>
        <w:t>for</w:t>
      </w:r>
      <w:r w:rsidR="00B10019">
        <w:rPr>
          <w:sz w:val="24"/>
          <w:szCs w:val="24"/>
          <w:lang w:eastAsia="en-US"/>
        </w:rPr>
        <w:t xml:space="preserve"> receiving &gt;1 </w:t>
      </w:r>
      <w:r w:rsidR="00126236">
        <w:rPr>
          <w:sz w:val="24"/>
          <w:szCs w:val="24"/>
          <w:lang w:eastAsia="en-US"/>
        </w:rPr>
        <w:t xml:space="preserve">prescription for </w:t>
      </w:r>
      <w:r w:rsidR="00B10019">
        <w:rPr>
          <w:sz w:val="24"/>
          <w:szCs w:val="24"/>
          <w:lang w:eastAsia="en-US"/>
        </w:rPr>
        <w:t>beta-2-agonist</w:t>
      </w:r>
      <w:r w:rsidR="00126236">
        <w:rPr>
          <w:sz w:val="24"/>
          <w:szCs w:val="24"/>
          <w:lang w:eastAsia="en-US"/>
        </w:rPr>
        <w:t>s</w:t>
      </w:r>
      <w:r w:rsidR="0098785A">
        <w:rPr>
          <w:sz w:val="24"/>
          <w:szCs w:val="24"/>
          <w:lang w:eastAsia="en-US"/>
        </w:rPr>
        <w:t xml:space="preserve"> </w:t>
      </w:r>
      <w:r w:rsidR="00A2187E">
        <w:rPr>
          <w:sz w:val="24"/>
          <w:szCs w:val="24"/>
          <w:lang w:eastAsia="en-US"/>
        </w:rPr>
        <w:t>and for inhaled corticosteroids</w:t>
      </w:r>
      <w:r w:rsidR="0064232E">
        <w:rPr>
          <w:sz w:val="24"/>
          <w:szCs w:val="24"/>
          <w:lang w:eastAsia="en-US"/>
        </w:rPr>
        <w:t xml:space="preserve"> for the 32 congenital anomaly subgroups</w:t>
      </w:r>
      <w:r w:rsidR="00A2187E">
        <w:rPr>
          <w:sz w:val="24"/>
          <w:szCs w:val="24"/>
          <w:lang w:eastAsia="en-US"/>
        </w:rPr>
        <w:t xml:space="preserve"> followed the same trends as those for all anti-asthmatic medication, but they were less likely to be statistically significant due to smaller numbers being analysed.</w:t>
      </w:r>
    </w:p>
    <w:p w14:paraId="711982DA" w14:textId="77777777" w:rsidR="00B83289" w:rsidRDefault="00B83289">
      <w:pPr>
        <w:rPr>
          <w:sz w:val="24"/>
          <w:szCs w:val="24"/>
          <w:lang w:eastAsia="en-US"/>
        </w:rPr>
      </w:pPr>
    </w:p>
    <w:p w14:paraId="112F029E" w14:textId="77777777" w:rsidR="00D1517E" w:rsidRDefault="00D1517E" w:rsidP="00D1517E"/>
    <w:p w14:paraId="1AF9D969" w14:textId="77777777" w:rsidR="00591036" w:rsidRDefault="00591036">
      <w:pPr>
        <w:rPr>
          <w:b/>
          <w:bCs/>
          <w:sz w:val="24"/>
          <w:szCs w:val="24"/>
        </w:rPr>
      </w:pPr>
    </w:p>
    <w:tbl>
      <w:tblPr>
        <w:tblStyle w:val="TableGrid"/>
        <w:tblW w:w="0" w:type="auto"/>
        <w:tblLook w:val="04A0" w:firstRow="1" w:lastRow="0" w:firstColumn="1" w:lastColumn="0" w:noHBand="0" w:noVBand="1"/>
      </w:tblPr>
      <w:tblGrid>
        <w:gridCol w:w="1838"/>
        <w:gridCol w:w="2552"/>
        <w:gridCol w:w="2409"/>
      </w:tblGrid>
      <w:tr w:rsidR="00591036" w14:paraId="384800A4" w14:textId="77777777" w:rsidTr="00591036">
        <w:tc>
          <w:tcPr>
            <w:tcW w:w="1838" w:type="dxa"/>
          </w:tcPr>
          <w:p w14:paraId="6D5D4349" w14:textId="77777777" w:rsidR="00591036" w:rsidRDefault="00591036">
            <w:pPr>
              <w:rPr>
                <w:b/>
                <w:bCs/>
                <w:sz w:val="24"/>
                <w:szCs w:val="24"/>
              </w:rPr>
            </w:pPr>
            <w:bookmarkStart w:id="7" w:name="_Hlk145341146"/>
          </w:p>
        </w:tc>
        <w:tc>
          <w:tcPr>
            <w:tcW w:w="2552" w:type="dxa"/>
          </w:tcPr>
          <w:p w14:paraId="2DEB2A80" w14:textId="1FBDEEB5" w:rsidR="00591036" w:rsidRPr="00591036" w:rsidRDefault="00591036" w:rsidP="00591036">
            <w:pPr>
              <w:jc w:val="center"/>
              <w:rPr>
                <w:b/>
                <w:bCs/>
                <w:sz w:val="24"/>
                <w:szCs w:val="24"/>
              </w:rPr>
            </w:pPr>
            <w:r w:rsidRPr="00591036">
              <w:rPr>
                <w:b/>
                <w:bCs/>
              </w:rPr>
              <w:t>Children with congenital anomalies (RR; 95% CI)</w:t>
            </w:r>
          </w:p>
        </w:tc>
        <w:tc>
          <w:tcPr>
            <w:tcW w:w="2409" w:type="dxa"/>
          </w:tcPr>
          <w:p w14:paraId="31CA4864" w14:textId="319F4269" w:rsidR="00591036" w:rsidRPr="00591036" w:rsidRDefault="00591036" w:rsidP="00591036">
            <w:pPr>
              <w:jc w:val="center"/>
              <w:rPr>
                <w:b/>
                <w:bCs/>
                <w:sz w:val="24"/>
                <w:szCs w:val="24"/>
              </w:rPr>
            </w:pPr>
            <w:r w:rsidRPr="00591036">
              <w:rPr>
                <w:b/>
                <w:bCs/>
              </w:rPr>
              <w:t>Reference children</w:t>
            </w:r>
            <w:r w:rsidRPr="00591036">
              <w:rPr>
                <w:b/>
                <w:bCs/>
              </w:rPr>
              <w:br/>
              <w:t>(RR; 95% CI)</w:t>
            </w:r>
          </w:p>
        </w:tc>
      </w:tr>
      <w:tr w:rsidR="00591036" w14:paraId="47F9DFFB" w14:textId="77777777" w:rsidTr="00591036">
        <w:tc>
          <w:tcPr>
            <w:tcW w:w="1838" w:type="dxa"/>
          </w:tcPr>
          <w:p w14:paraId="3D4D6507" w14:textId="6C15CC52" w:rsidR="00591036" w:rsidRPr="00591036" w:rsidRDefault="00591036" w:rsidP="00591036">
            <w:pPr>
              <w:rPr>
                <w:b/>
                <w:bCs/>
                <w:sz w:val="24"/>
                <w:szCs w:val="24"/>
              </w:rPr>
            </w:pPr>
            <w:r w:rsidRPr="00591036">
              <w:rPr>
                <w:b/>
                <w:bCs/>
              </w:rPr>
              <w:t>Birth Cohort</w:t>
            </w:r>
          </w:p>
        </w:tc>
        <w:tc>
          <w:tcPr>
            <w:tcW w:w="2552" w:type="dxa"/>
          </w:tcPr>
          <w:p w14:paraId="5D298207" w14:textId="77777777" w:rsidR="00591036" w:rsidRDefault="00591036" w:rsidP="00591036">
            <w:pPr>
              <w:rPr>
                <w:b/>
                <w:bCs/>
                <w:sz w:val="24"/>
                <w:szCs w:val="24"/>
              </w:rPr>
            </w:pPr>
          </w:p>
        </w:tc>
        <w:tc>
          <w:tcPr>
            <w:tcW w:w="2409" w:type="dxa"/>
          </w:tcPr>
          <w:p w14:paraId="1C6E2122" w14:textId="77777777" w:rsidR="00591036" w:rsidRDefault="00591036" w:rsidP="00591036">
            <w:pPr>
              <w:rPr>
                <w:b/>
                <w:bCs/>
                <w:sz w:val="24"/>
                <w:szCs w:val="24"/>
              </w:rPr>
            </w:pPr>
          </w:p>
        </w:tc>
      </w:tr>
      <w:tr w:rsidR="00591036" w14:paraId="47B284CC" w14:textId="77777777" w:rsidTr="00591036">
        <w:tc>
          <w:tcPr>
            <w:tcW w:w="1838" w:type="dxa"/>
          </w:tcPr>
          <w:p w14:paraId="581276BA" w14:textId="1B4C5A4E" w:rsidR="00591036" w:rsidRDefault="00591036" w:rsidP="00591036">
            <w:pPr>
              <w:jc w:val="right"/>
              <w:rPr>
                <w:b/>
                <w:bCs/>
                <w:sz w:val="24"/>
                <w:szCs w:val="24"/>
              </w:rPr>
            </w:pPr>
            <w:r w:rsidRPr="00C46CEB">
              <w:rPr>
                <w:i/>
                <w:iCs/>
              </w:rPr>
              <w:t>2000-2004</w:t>
            </w:r>
          </w:p>
        </w:tc>
        <w:tc>
          <w:tcPr>
            <w:tcW w:w="4961" w:type="dxa"/>
            <w:gridSpan w:val="2"/>
          </w:tcPr>
          <w:p w14:paraId="54CC9665" w14:textId="10B32187" w:rsidR="00591036" w:rsidRDefault="00591036" w:rsidP="00591036">
            <w:pPr>
              <w:jc w:val="center"/>
              <w:rPr>
                <w:b/>
                <w:bCs/>
                <w:sz w:val="24"/>
                <w:szCs w:val="24"/>
              </w:rPr>
            </w:pPr>
            <w:r>
              <w:t>R e f e r e n c e</w:t>
            </w:r>
          </w:p>
        </w:tc>
      </w:tr>
      <w:tr w:rsidR="00591036" w14:paraId="596A515B" w14:textId="77777777" w:rsidTr="00591036">
        <w:tc>
          <w:tcPr>
            <w:tcW w:w="1838" w:type="dxa"/>
          </w:tcPr>
          <w:p w14:paraId="269D535D" w14:textId="5B312732" w:rsidR="00591036" w:rsidRDefault="00591036" w:rsidP="00591036">
            <w:pPr>
              <w:jc w:val="right"/>
              <w:rPr>
                <w:b/>
                <w:bCs/>
                <w:sz w:val="24"/>
                <w:szCs w:val="24"/>
              </w:rPr>
            </w:pPr>
            <w:r w:rsidRPr="00C46CEB">
              <w:rPr>
                <w:i/>
                <w:iCs/>
              </w:rPr>
              <w:t>2005-2009</w:t>
            </w:r>
          </w:p>
        </w:tc>
        <w:tc>
          <w:tcPr>
            <w:tcW w:w="2552" w:type="dxa"/>
          </w:tcPr>
          <w:p w14:paraId="7C93D4AC" w14:textId="7B9896EE" w:rsidR="00591036" w:rsidRDefault="00591036" w:rsidP="00591036">
            <w:pPr>
              <w:jc w:val="center"/>
              <w:rPr>
                <w:b/>
                <w:bCs/>
                <w:sz w:val="24"/>
                <w:szCs w:val="24"/>
              </w:rPr>
            </w:pPr>
            <w:r>
              <w:t>1.27 (1.23-1.31)</w:t>
            </w:r>
          </w:p>
        </w:tc>
        <w:tc>
          <w:tcPr>
            <w:tcW w:w="2409" w:type="dxa"/>
          </w:tcPr>
          <w:p w14:paraId="4E52CC09" w14:textId="27E31183" w:rsidR="00591036" w:rsidRDefault="00591036" w:rsidP="00591036">
            <w:pPr>
              <w:jc w:val="center"/>
              <w:rPr>
                <w:b/>
                <w:bCs/>
                <w:sz w:val="24"/>
                <w:szCs w:val="24"/>
              </w:rPr>
            </w:pPr>
            <w:r>
              <w:t>1.60 (1.59-1.61)</w:t>
            </w:r>
          </w:p>
        </w:tc>
      </w:tr>
      <w:tr w:rsidR="00591036" w14:paraId="3E4C65A1" w14:textId="77777777" w:rsidTr="00591036">
        <w:tc>
          <w:tcPr>
            <w:tcW w:w="1838" w:type="dxa"/>
          </w:tcPr>
          <w:p w14:paraId="5EBFF2F6" w14:textId="07B9803C" w:rsidR="00591036" w:rsidRPr="00591036" w:rsidRDefault="00591036" w:rsidP="00591036">
            <w:pPr>
              <w:rPr>
                <w:b/>
                <w:bCs/>
                <w:sz w:val="24"/>
                <w:szCs w:val="24"/>
              </w:rPr>
            </w:pPr>
            <w:r w:rsidRPr="00591036">
              <w:rPr>
                <w:b/>
                <w:bCs/>
              </w:rPr>
              <w:t>Gestation Age</w:t>
            </w:r>
          </w:p>
        </w:tc>
        <w:tc>
          <w:tcPr>
            <w:tcW w:w="2552" w:type="dxa"/>
          </w:tcPr>
          <w:p w14:paraId="04D8BE95" w14:textId="77777777" w:rsidR="00591036" w:rsidRDefault="00591036" w:rsidP="00591036">
            <w:pPr>
              <w:jc w:val="center"/>
              <w:rPr>
                <w:b/>
                <w:bCs/>
                <w:sz w:val="24"/>
                <w:szCs w:val="24"/>
              </w:rPr>
            </w:pPr>
          </w:p>
        </w:tc>
        <w:tc>
          <w:tcPr>
            <w:tcW w:w="2409" w:type="dxa"/>
          </w:tcPr>
          <w:p w14:paraId="0A140D3C" w14:textId="77777777" w:rsidR="00591036" w:rsidRDefault="00591036" w:rsidP="00591036">
            <w:pPr>
              <w:jc w:val="center"/>
              <w:rPr>
                <w:b/>
                <w:bCs/>
                <w:sz w:val="24"/>
                <w:szCs w:val="24"/>
              </w:rPr>
            </w:pPr>
          </w:p>
        </w:tc>
      </w:tr>
      <w:tr w:rsidR="00591036" w14:paraId="1C4512F9" w14:textId="77777777" w:rsidTr="00591036">
        <w:tc>
          <w:tcPr>
            <w:tcW w:w="1838" w:type="dxa"/>
          </w:tcPr>
          <w:p w14:paraId="13E3991F" w14:textId="727933D1" w:rsidR="00591036" w:rsidRDefault="00591036" w:rsidP="00591036">
            <w:pPr>
              <w:jc w:val="right"/>
              <w:rPr>
                <w:b/>
                <w:bCs/>
                <w:sz w:val="24"/>
                <w:szCs w:val="24"/>
              </w:rPr>
            </w:pPr>
            <w:r w:rsidRPr="00C46CEB">
              <w:rPr>
                <w:i/>
                <w:iCs/>
              </w:rPr>
              <w:t>37+ weeks</w:t>
            </w:r>
          </w:p>
        </w:tc>
        <w:tc>
          <w:tcPr>
            <w:tcW w:w="4961" w:type="dxa"/>
            <w:gridSpan w:val="2"/>
          </w:tcPr>
          <w:p w14:paraId="53E89265" w14:textId="420FE362" w:rsidR="00591036" w:rsidRDefault="00591036" w:rsidP="00591036">
            <w:pPr>
              <w:jc w:val="center"/>
              <w:rPr>
                <w:b/>
                <w:bCs/>
                <w:sz w:val="24"/>
                <w:szCs w:val="24"/>
              </w:rPr>
            </w:pPr>
            <w:r>
              <w:t>R e f e r e n c e</w:t>
            </w:r>
          </w:p>
        </w:tc>
      </w:tr>
      <w:tr w:rsidR="00591036" w14:paraId="1B9B02FC" w14:textId="77777777" w:rsidTr="00591036">
        <w:tc>
          <w:tcPr>
            <w:tcW w:w="1838" w:type="dxa"/>
          </w:tcPr>
          <w:p w14:paraId="20F58B9D" w14:textId="2EC5D7B5" w:rsidR="00591036" w:rsidRDefault="00591036" w:rsidP="00591036">
            <w:pPr>
              <w:jc w:val="right"/>
              <w:rPr>
                <w:b/>
                <w:bCs/>
                <w:sz w:val="24"/>
                <w:szCs w:val="24"/>
              </w:rPr>
            </w:pPr>
            <w:r w:rsidRPr="00C46CEB">
              <w:rPr>
                <w:i/>
                <w:iCs/>
              </w:rPr>
              <w:t>32-36 weeks</w:t>
            </w:r>
          </w:p>
        </w:tc>
        <w:tc>
          <w:tcPr>
            <w:tcW w:w="2552" w:type="dxa"/>
          </w:tcPr>
          <w:p w14:paraId="06F9BF82" w14:textId="7455B0B7" w:rsidR="00591036" w:rsidRDefault="00591036" w:rsidP="00591036">
            <w:pPr>
              <w:jc w:val="center"/>
              <w:rPr>
                <w:b/>
                <w:bCs/>
                <w:sz w:val="24"/>
                <w:szCs w:val="24"/>
              </w:rPr>
            </w:pPr>
            <w:r>
              <w:t>1.45 (1.40-1.49)</w:t>
            </w:r>
          </w:p>
        </w:tc>
        <w:tc>
          <w:tcPr>
            <w:tcW w:w="2409" w:type="dxa"/>
          </w:tcPr>
          <w:p w14:paraId="36349DEB" w14:textId="166958B7" w:rsidR="00591036" w:rsidRDefault="00591036" w:rsidP="00591036">
            <w:pPr>
              <w:jc w:val="center"/>
              <w:rPr>
                <w:b/>
                <w:bCs/>
                <w:sz w:val="24"/>
                <w:szCs w:val="24"/>
              </w:rPr>
            </w:pPr>
            <w:r>
              <w:t>1.31 (1.30-1.32)</w:t>
            </w:r>
          </w:p>
        </w:tc>
      </w:tr>
      <w:tr w:rsidR="00591036" w14:paraId="7C7BA264" w14:textId="77777777" w:rsidTr="00591036">
        <w:tc>
          <w:tcPr>
            <w:tcW w:w="1838" w:type="dxa"/>
          </w:tcPr>
          <w:p w14:paraId="24CE4362" w14:textId="76F0FB1D" w:rsidR="00591036" w:rsidRDefault="00591036" w:rsidP="00591036">
            <w:pPr>
              <w:jc w:val="right"/>
              <w:rPr>
                <w:b/>
                <w:bCs/>
                <w:sz w:val="24"/>
                <w:szCs w:val="24"/>
              </w:rPr>
            </w:pPr>
            <w:r w:rsidRPr="00C46CEB">
              <w:rPr>
                <w:i/>
                <w:iCs/>
              </w:rPr>
              <w:t>&lt;32 weeks</w:t>
            </w:r>
          </w:p>
        </w:tc>
        <w:tc>
          <w:tcPr>
            <w:tcW w:w="2552" w:type="dxa"/>
          </w:tcPr>
          <w:p w14:paraId="17FBC52B" w14:textId="627D1E40" w:rsidR="00591036" w:rsidRDefault="00591036" w:rsidP="00591036">
            <w:pPr>
              <w:jc w:val="center"/>
              <w:rPr>
                <w:b/>
                <w:bCs/>
                <w:sz w:val="24"/>
                <w:szCs w:val="24"/>
              </w:rPr>
            </w:pPr>
            <w:r>
              <w:t>2.20 (2.10-2.30)</w:t>
            </w:r>
          </w:p>
        </w:tc>
        <w:tc>
          <w:tcPr>
            <w:tcW w:w="2409" w:type="dxa"/>
          </w:tcPr>
          <w:p w14:paraId="30C7CFCC" w14:textId="74FE58CF" w:rsidR="00591036" w:rsidRDefault="00591036" w:rsidP="00591036">
            <w:pPr>
              <w:jc w:val="center"/>
              <w:rPr>
                <w:b/>
                <w:bCs/>
                <w:sz w:val="24"/>
                <w:szCs w:val="24"/>
              </w:rPr>
            </w:pPr>
            <w:r>
              <w:t>1.86 (1.83-1.90)</w:t>
            </w:r>
          </w:p>
        </w:tc>
      </w:tr>
      <w:tr w:rsidR="00591036" w14:paraId="309B5259" w14:textId="77777777" w:rsidTr="00591036">
        <w:tc>
          <w:tcPr>
            <w:tcW w:w="1838" w:type="dxa"/>
          </w:tcPr>
          <w:p w14:paraId="2604E63F" w14:textId="15DE88DD" w:rsidR="00591036" w:rsidRPr="00591036" w:rsidRDefault="00591036" w:rsidP="00591036">
            <w:pPr>
              <w:rPr>
                <w:b/>
                <w:bCs/>
                <w:sz w:val="24"/>
                <w:szCs w:val="24"/>
              </w:rPr>
            </w:pPr>
            <w:r w:rsidRPr="00591036">
              <w:rPr>
                <w:b/>
                <w:bCs/>
              </w:rPr>
              <w:t>Sex of Child</w:t>
            </w:r>
          </w:p>
        </w:tc>
        <w:tc>
          <w:tcPr>
            <w:tcW w:w="2552" w:type="dxa"/>
          </w:tcPr>
          <w:p w14:paraId="2501B2BD" w14:textId="77777777" w:rsidR="00591036" w:rsidRDefault="00591036" w:rsidP="00591036">
            <w:pPr>
              <w:jc w:val="center"/>
              <w:rPr>
                <w:b/>
                <w:bCs/>
                <w:sz w:val="24"/>
                <w:szCs w:val="24"/>
              </w:rPr>
            </w:pPr>
          </w:p>
        </w:tc>
        <w:tc>
          <w:tcPr>
            <w:tcW w:w="2409" w:type="dxa"/>
          </w:tcPr>
          <w:p w14:paraId="4D32CACF" w14:textId="77777777" w:rsidR="00591036" w:rsidRDefault="00591036" w:rsidP="00591036">
            <w:pPr>
              <w:jc w:val="center"/>
              <w:rPr>
                <w:b/>
                <w:bCs/>
                <w:sz w:val="24"/>
                <w:szCs w:val="24"/>
              </w:rPr>
            </w:pPr>
          </w:p>
        </w:tc>
      </w:tr>
      <w:tr w:rsidR="00591036" w14:paraId="57A1C419" w14:textId="77777777" w:rsidTr="00591036">
        <w:tc>
          <w:tcPr>
            <w:tcW w:w="1838" w:type="dxa"/>
          </w:tcPr>
          <w:p w14:paraId="51B2F06E" w14:textId="15354D8B" w:rsidR="00591036" w:rsidRDefault="00591036" w:rsidP="00591036">
            <w:pPr>
              <w:jc w:val="right"/>
              <w:rPr>
                <w:b/>
                <w:bCs/>
                <w:sz w:val="24"/>
                <w:szCs w:val="24"/>
              </w:rPr>
            </w:pPr>
            <w:r w:rsidRPr="00C46CEB">
              <w:rPr>
                <w:i/>
                <w:iCs/>
              </w:rPr>
              <w:t>Female</w:t>
            </w:r>
          </w:p>
        </w:tc>
        <w:tc>
          <w:tcPr>
            <w:tcW w:w="4961" w:type="dxa"/>
            <w:gridSpan w:val="2"/>
          </w:tcPr>
          <w:p w14:paraId="211FAFA3" w14:textId="7E35B9A5" w:rsidR="00591036" w:rsidRDefault="00591036" w:rsidP="00591036">
            <w:pPr>
              <w:jc w:val="center"/>
              <w:rPr>
                <w:b/>
                <w:bCs/>
                <w:sz w:val="24"/>
                <w:szCs w:val="24"/>
              </w:rPr>
            </w:pPr>
            <w:r>
              <w:t>R e f e r e n c e</w:t>
            </w:r>
          </w:p>
        </w:tc>
      </w:tr>
      <w:tr w:rsidR="00591036" w14:paraId="3A353BA5" w14:textId="77777777" w:rsidTr="00591036">
        <w:tc>
          <w:tcPr>
            <w:tcW w:w="1838" w:type="dxa"/>
          </w:tcPr>
          <w:p w14:paraId="30E76BA4" w14:textId="25307819" w:rsidR="00591036" w:rsidRPr="00C46CEB" w:rsidRDefault="00591036" w:rsidP="00591036">
            <w:pPr>
              <w:jc w:val="right"/>
              <w:rPr>
                <w:i/>
                <w:iCs/>
              </w:rPr>
            </w:pPr>
            <w:r w:rsidRPr="00C46CEB">
              <w:rPr>
                <w:i/>
                <w:iCs/>
              </w:rPr>
              <w:t>Male</w:t>
            </w:r>
          </w:p>
        </w:tc>
        <w:tc>
          <w:tcPr>
            <w:tcW w:w="2552" w:type="dxa"/>
          </w:tcPr>
          <w:p w14:paraId="39193D82" w14:textId="050904E5" w:rsidR="00591036" w:rsidRDefault="00591036" w:rsidP="00591036">
            <w:pPr>
              <w:jc w:val="center"/>
              <w:rPr>
                <w:b/>
                <w:bCs/>
                <w:sz w:val="24"/>
                <w:szCs w:val="24"/>
              </w:rPr>
            </w:pPr>
            <w:r>
              <w:t>1.45 (1.40-1.49)</w:t>
            </w:r>
          </w:p>
        </w:tc>
        <w:tc>
          <w:tcPr>
            <w:tcW w:w="2409" w:type="dxa"/>
          </w:tcPr>
          <w:p w14:paraId="18597048" w14:textId="460D6808" w:rsidR="00591036" w:rsidRDefault="00591036" w:rsidP="00591036">
            <w:pPr>
              <w:jc w:val="center"/>
              <w:rPr>
                <w:b/>
                <w:bCs/>
                <w:sz w:val="24"/>
                <w:szCs w:val="24"/>
              </w:rPr>
            </w:pPr>
            <w:r>
              <w:t>1.31 (1.30-1.32)</w:t>
            </w:r>
          </w:p>
        </w:tc>
      </w:tr>
      <w:bookmarkEnd w:id="7"/>
    </w:tbl>
    <w:p w14:paraId="2A10DF27" w14:textId="77777777" w:rsidR="00591036" w:rsidRDefault="00591036">
      <w:pPr>
        <w:rPr>
          <w:b/>
          <w:bCs/>
          <w:sz w:val="24"/>
          <w:szCs w:val="24"/>
        </w:rPr>
      </w:pPr>
    </w:p>
    <w:p w14:paraId="0FA75AEB" w14:textId="4CC7DA5C" w:rsidR="009B63A9" w:rsidRPr="00D1517E" w:rsidRDefault="00D1517E">
      <w:pPr>
        <w:rPr>
          <w:sz w:val="21"/>
          <w:szCs w:val="21"/>
        </w:rPr>
      </w:pPr>
      <w:r>
        <w:rPr>
          <w:b/>
          <w:bCs/>
          <w:sz w:val="24"/>
          <w:szCs w:val="24"/>
        </w:rPr>
        <w:t xml:space="preserve">Table 2. </w:t>
      </w:r>
      <w:r>
        <w:rPr>
          <w:sz w:val="24"/>
          <w:szCs w:val="24"/>
        </w:rPr>
        <w:t>Relative risk (RR) of &gt;1 anti-asthmatic prescriptions in children with congenital anomalies and reference children up to age six years, by risk factor</w:t>
      </w:r>
      <w:r>
        <w:rPr>
          <w:sz w:val="24"/>
          <w:szCs w:val="24"/>
        </w:rPr>
        <w:br/>
      </w:r>
      <w:r>
        <w:rPr>
          <w:sz w:val="21"/>
          <w:szCs w:val="21"/>
        </w:rPr>
        <w:t xml:space="preserve">For the birth cohort analysis, data were analysed only from three registries: Denmark: Funen, Finland, and Wales. </w:t>
      </w:r>
      <w:r w:rsidR="009B63A9">
        <w:rPr>
          <w:sz w:val="24"/>
          <w:szCs w:val="24"/>
          <w:lang w:eastAsia="en-US"/>
        </w:rPr>
        <w:br w:type="page"/>
      </w:r>
    </w:p>
    <w:p w14:paraId="3384DC28" w14:textId="77777777" w:rsidR="009A1261" w:rsidRDefault="009A1261" w:rsidP="009A1261">
      <w:pPr>
        <w:rPr>
          <w:i/>
          <w:iCs/>
          <w:sz w:val="24"/>
          <w:szCs w:val="24"/>
          <w:lang w:eastAsia="en-US"/>
        </w:rPr>
      </w:pPr>
      <w:r>
        <w:rPr>
          <w:i/>
          <w:iCs/>
          <w:sz w:val="24"/>
          <w:szCs w:val="24"/>
          <w:lang w:eastAsia="en-US"/>
        </w:rPr>
        <w:lastRenderedPageBreak/>
        <w:t>Sensitivity analysis</w:t>
      </w:r>
    </w:p>
    <w:p w14:paraId="1B26FE84" w14:textId="6C6C0A4A" w:rsidR="00586226" w:rsidRPr="0076215D" w:rsidRDefault="00630B98">
      <w:pPr>
        <w:rPr>
          <w:sz w:val="24"/>
          <w:szCs w:val="24"/>
          <w:lang w:eastAsia="en-US"/>
        </w:rPr>
      </w:pPr>
      <w:r>
        <w:rPr>
          <w:sz w:val="24"/>
          <w:szCs w:val="24"/>
          <w:lang w:eastAsia="en-US"/>
        </w:rPr>
        <w:t xml:space="preserve">The overall RR of children with congenital anomalies receiving at least one </w:t>
      </w:r>
      <w:r w:rsidR="005E1576">
        <w:rPr>
          <w:sz w:val="24"/>
          <w:szCs w:val="24"/>
          <w:lang w:eastAsia="en-US"/>
        </w:rPr>
        <w:t>prescription for</w:t>
      </w:r>
      <w:r>
        <w:rPr>
          <w:sz w:val="24"/>
          <w:szCs w:val="24"/>
          <w:lang w:eastAsia="en-US"/>
        </w:rPr>
        <w:t xml:space="preserve"> any anti-asthmatic </w:t>
      </w:r>
      <w:r w:rsidR="005E1576">
        <w:rPr>
          <w:sz w:val="24"/>
          <w:szCs w:val="24"/>
          <w:lang w:eastAsia="en-US"/>
        </w:rPr>
        <w:t>medication</w:t>
      </w:r>
      <w:r w:rsidR="006B136D">
        <w:rPr>
          <w:sz w:val="24"/>
          <w:szCs w:val="24"/>
          <w:lang w:eastAsia="en-US"/>
        </w:rPr>
        <w:t xml:space="preserve"> was</w:t>
      </w:r>
      <w:r w:rsidR="00295403">
        <w:rPr>
          <w:sz w:val="24"/>
          <w:szCs w:val="24"/>
          <w:lang w:eastAsia="en-US"/>
        </w:rPr>
        <w:t xml:space="preserve"> </w:t>
      </w:r>
      <w:r>
        <w:rPr>
          <w:sz w:val="24"/>
          <w:szCs w:val="24"/>
          <w:lang w:eastAsia="en-US"/>
        </w:rPr>
        <w:t>1.25</w:t>
      </w:r>
      <w:r w:rsidR="00295403">
        <w:rPr>
          <w:sz w:val="24"/>
          <w:szCs w:val="24"/>
          <w:lang w:eastAsia="en-US"/>
        </w:rPr>
        <w:t xml:space="preserve"> (</w:t>
      </w:r>
      <w:r>
        <w:rPr>
          <w:sz w:val="24"/>
          <w:szCs w:val="24"/>
          <w:lang w:eastAsia="en-US"/>
        </w:rPr>
        <w:t>95%</w:t>
      </w:r>
      <w:r w:rsidR="00D16FCD">
        <w:rPr>
          <w:sz w:val="24"/>
          <w:szCs w:val="24"/>
          <w:lang w:eastAsia="en-US"/>
        </w:rPr>
        <w:t xml:space="preserve"> </w:t>
      </w:r>
      <w:r>
        <w:rPr>
          <w:sz w:val="24"/>
          <w:szCs w:val="24"/>
          <w:lang w:eastAsia="en-US"/>
        </w:rPr>
        <w:t xml:space="preserve">CI 1.21-1.28) </w:t>
      </w:r>
      <w:r w:rsidR="00295403">
        <w:rPr>
          <w:sz w:val="24"/>
          <w:szCs w:val="24"/>
          <w:lang w:eastAsia="en-US"/>
        </w:rPr>
        <w:t>compared to reference children</w:t>
      </w:r>
      <w:r w:rsidR="00EC02BB" w:rsidRPr="00EC02BB">
        <w:rPr>
          <w:sz w:val="24"/>
          <w:szCs w:val="24"/>
          <w:lang w:eastAsia="en-US"/>
        </w:rPr>
        <w:t xml:space="preserve"> </w:t>
      </w:r>
      <w:r w:rsidR="00B933EB">
        <w:rPr>
          <w:sz w:val="24"/>
          <w:szCs w:val="24"/>
          <w:lang w:eastAsia="en-US"/>
        </w:rPr>
        <w:t>(</w:t>
      </w:r>
      <w:r w:rsidR="00093927">
        <w:rPr>
          <w:sz w:val="24"/>
          <w:szCs w:val="24"/>
          <w:lang w:eastAsia="en-US"/>
        </w:rPr>
        <w:t xml:space="preserve">Supplementary Table </w:t>
      </w:r>
      <w:r w:rsidR="00AA004E">
        <w:rPr>
          <w:sz w:val="24"/>
          <w:szCs w:val="24"/>
          <w:lang w:eastAsia="en-US"/>
        </w:rPr>
        <w:t>4</w:t>
      </w:r>
      <w:r w:rsidR="00B933EB">
        <w:rPr>
          <w:sz w:val="24"/>
          <w:szCs w:val="24"/>
          <w:lang w:eastAsia="en-US"/>
        </w:rPr>
        <w:t>)</w:t>
      </w:r>
      <w:r w:rsidR="00295403">
        <w:rPr>
          <w:sz w:val="24"/>
          <w:szCs w:val="24"/>
          <w:lang w:eastAsia="en-US"/>
        </w:rPr>
        <w:t xml:space="preserve">. </w:t>
      </w:r>
      <w:r w:rsidR="00CE082D">
        <w:rPr>
          <w:sz w:val="24"/>
          <w:szCs w:val="24"/>
          <w:lang w:eastAsia="en-US"/>
        </w:rPr>
        <w:t>This is compared to the RR = 1.41 (</w:t>
      </w:r>
      <w:r w:rsidR="000B6040">
        <w:rPr>
          <w:sz w:val="24"/>
          <w:szCs w:val="24"/>
          <w:lang w:eastAsia="en-US"/>
        </w:rPr>
        <w:t xml:space="preserve">95% CI </w:t>
      </w:r>
      <w:r w:rsidR="00CE082D">
        <w:rPr>
          <w:sz w:val="24"/>
          <w:szCs w:val="24"/>
          <w:lang w:eastAsia="en-US"/>
        </w:rPr>
        <w:t xml:space="preserve">1.35-1.48) of receiving </w:t>
      </w:r>
      <w:r w:rsidR="00EA6A32">
        <w:rPr>
          <w:sz w:val="24"/>
          <w:szCs w:val="24"/>
          <w:lang w:eastAsia="en-US"/>
        </w:rPr>
        <w:t>&gt;1</w:t>
      </w:r>
      <w:r w:rsidR="00CE082D">
        <w:rPr>
          <w:sz w:val="24"/>
          <w:szCs w:val="24"/>
          <w:lang w:eastAsia="en-US"/>
        </w:rPr>
        <w:t xml:space="preserve"> prescription. Although the risk estimates were lower for children with at least one prescription for any anti-asthmatic, the pattern of risk across registries and age groups was </w:t>
      </w:r>
      <w:proofErr w:type="gramStart"/>
      <w:r w:rsidR="00CE082D">
        <w:rPr>
          <w:sz w:val="24"/>
          <w:szCs w:val="24"/>
          <w:lang w:eastAsia="en-US"/>
        </w:rPr>
        <w:t>similar to</w:t>
      </w:r>
      <w:proofErr w:type="gramEnd"/>
      <w:r w:rsidR="00CE082D">
        <w:rPr>
          <w:sz w:val="24"/>
          <w:szCs w:val="24"/>
          <w:lang w:eastAsia="en-US"/>
        </w:rPr>
        <w:t xml:space="preserve"> that found for children with </w:t>
      </w:r>
      <w:r w:rsidR="00EA6A32">
        <w:rPr>
          <w:sz w:val="24"/>
          <w:szCs w:val="24"/>
          <w:lang w:eastAsia="en-US"/>
        </w:rPr>
        <w:t>&gt;1</w:t>
      </w:r>
      <w:r w:rsidR="00CE082D">
        <w:rPr>
          <w:sz w:val="24"/>
          <w:szCs w:val="24"/>
          <w:lang w:eastAsia="en-US"/>
        </w:rPr>
        <w:t xml:space="preserve"> prescription (Supplementary Figure 1).</w:t>
      </w:r>
      <w:bookmarkStart w:id="8" w:name="_Hlk81215960"/>
      <w:r w:rsidR="00586226">
        <w:rPr>
          <w:b/>
          <w:bCs/>
          <w:sz w:val="24"/>
          <w:szCs w:val="24"/>
        </w:rPr>
        <w:br w:type="page"/>
      </w:r>
    </w:p>
    <w:p w14:paraId="2AE56991" w14:textId="7159BFFB" w:rsidR="00B50A1E" w:rsidRDefault="00B50A1E" w:rsidP="00B50A1E">
      <w:pPr>
        <w:rPr>
          <w:b/>
          <w:bCs/>
          <w:sz w:val="24"/>
          <w:szCs w:val="24"/>
        </w:rPr>
      </w:pPr>
      <w:r>
        <w:rPr>
          <w:b/>
          <w:bCs/>
          <w:sz w:val="24"/>
          <w:szCs w:val="24"/>
        </w:rPr>
        <w:lastRenderedPageBreak/>
        <w:t>Discussion</w:t>
      </w:r>
    </w:p>
    <w:p w14:paraId="2FA65895" w14:textId="7C651D36" w:rsidR="003B19AB" w:rsidRDefault="00B50A1E" w:rsidP="00B50A1E">
      <w:pPr>
        <w:rPr>
          <w:sz w:val="24"/>
          <w:szCs w:val="24"/>
        </w:rPr>
      </w:pPr>
      <w:r w:rsidRPr="009C75E8">
        <w:rPr>
          <w:sz w:val="24"/>
          <w:szCs w:val="24"/>
        </w:rPr>
        <w:t xml:space="preserve">This </w:t>
      </w:r>
      <w:r w:rsidR="008B6892">
        <w:rPr>
          <w:sz w:val="24"/>
          <w:szCs w:val="24"/>
        </w:rPr>
        <w:t xml:space="preserve">population-based cohort </w:t>
      </w:r>
      <w:r w:rsidRPr="009C75E8">
        <w:rPr>
          <w:sz w:val="24"/>
          <w:szCs w:val="24"/>
        </w:rPr>
        <w:t xml:space="preserve">study </w:t>
      </w:r>
      <w:r w:rsidR="008B6892">
        <w:rPr>
          <w:sz w:val="24"/>
          <w:szCs w:val="24"/>
        </w:rPr>
        <w:t>of over 1.78 million children in six European regions found</w:t>
      </w:r>
      <w:r w:rsidR="008B6892" w:rsidRPr="009C75E8">
        <w:rPr>
          <w:sz w:val="24"/>
          <w:szCs w:val="24"/>
        </w:rPr>
        <w:t xml:space="preserve"> that </w:t>
      </w:r>
      <w:r w:rsidR="008B6892">
        <w:rPr>
          <w:sz w:val="24"/>
          <w:szCs w:val="24"/>
        </w:rPr>
        <w:t>across</w:t>
      </w:r>
      <w:r w:rsidR="008B6892" w:rsidRPr="00670371">
        <w:rPr>
          <w:sz w:val="24"/>
          <w:szCs w:val="24"/>
        </w:rPr>
        <w:t xml:space="preserve"> </w:t>
      </w:r>
      <w:r w:rsidR="008B6892">
        <w:rPr>
          <w:sz w:val="24"/>
          <w:szCs w:val="24"/>
        </w:rPr>
        <w:t xml:space="preserve">all regions and age groups, children with congenital anomalies had a consistently higher risk of receiving prescriptions for </w:t>
      </w:r>
      <w:r w:rsidR="00106AF2">
        <w:rPr>
          <w:sz w:val="24"/>
          <w:szCs w:val="24"/>
        </w:rPr>
        <w:t xml:space="preserve">&gt;1 </w:t>
      </w:r>
      <w:r w:rsidR="008B6892">
        <w:rPr>
          <w:sz w:val="24"/>
          <w:szCs w:val="24"/>
        </w:rPr>
        <w:t>anti-asthmatic medication compared to reference children.</w:t>
      </w:r>
      <w:r w:rsidRPr="009C75E8">
        <w:rPr>
          <w:sz w:val="24"/>
          <w:szCs w:val="24"/>
        </w:rPr>
        <w:t xml:space="preserve"> </w:t>
      </w:r>
      <w:r w:rsidR="00233DA3">
        <w:rPr>
          <w:sz w:val="24"/>
          <w:szCs w:val="24"/>
        </w:rPr>
        <w:t>We</w:t>
      </w:r>
      <w:r w:rsidR="008B6892">
        <w:rPr>
          <w:sz w:val="24"/>
          <w:szCs w:val="24"/>
        </w:rPr>
        <w:t xml:space="preserve"> observed geographical variation in the </w:t>
      </w:r>
      <w:r w:rsidR="004F02E4">
        <w:rPr>
          <w:sz w:val="24"/>
          <w:szCs w:val="24"/>
        </w:rPr>
        <w:t xml:space="preserve">use of </w:t>
      </w:r>
      <w:r w:rsidR="0000218F">
        <w:rPr>
          <w:sz w:val="24"/>
          <w:szCs w:val="24"/>
        </w:rPr>
        <w:t xml:space="preserve">anti-asthmatic </w:t>
      </w:r>
      <w:r w:rsidR="004F02E4">
        <w:rPr>
          <w:sz w:val="24"/>
          <w:szCs w:val="24"/>
        </w:rPr>
        <w:t xml:space="preserve">medications </w:t>
      </w:r>
      <w:r w:rsidR="008B6892">
        <w:rPr>
          <w:sz w:val="24"/>
          <w:szCs w:val="24"/>
        </w:rPr>
        <w:t xml:space="preserve">with registries in Denmark, Italy and Spain having higher prevalence in young children whereas Finland and Wales had lower prevalence. By age 6-7 years, the prevalence in the individual registries started to converge for both children with and without anomalies, although it remained </w:t>
      </w:r>
      <w:r w:rsidR="00B0757A">
        <w:rPr>
          <w:sz w:val="24"/>
          <w:szCs w:val="24"/>
        </w:rPr>
        <w:t>sligh</w:t>
      </w:r>
      <w:r w:rsidR="00DE12E8">
        <w:rPr>
          <w:sz w:val="24"/>
          <w:szCs w:val="24"/>
        </w:rPr>
        <w:t xml:space="preserve">tly </w:t>
      </w:r>
      <w:r w:rsidR="008B6892">
        <w:rPr>
          <w:sz w:val="24"/>
          <w:szCs w:val="24"/>
        </w:rPr>
        <w:t xml:space="preserve">higher for children with congenital anomalies. </w:t>
      </w:r>
      <w:r w:rsidR="00B41E0D">
        <w:rPr>
          <w:sz w:val="24"/>
          <w:szCs w:val="24"/>
        </w:rPr>
        <w:t xml:space="preserve">Children with </w:t>
      </w:r>
      <w:r w:rsidR="004F02E4">
        <w:rPr>
          <w:sz w:val="24"/>
          <w:szCs w:val="24"/>
        </w:rPr>
        <w:t>oesophageal atresia, diaphragmatic hernia</w:t>
      </w:r>
      <w:r w:rsidR="00D83763">
        <w:rPr>
          <w:sz w:val="24"/>
          <w:szCs w:val="24"/>
        </w:rPr>
        <w:t>,</w:t>
      </w:r>
      <w:r w:rsidR="004F02E4">
        <w:rPr>
          <w:sz w:val="24"/>
          <w:szCs w:val="24"/>
        </w:rPr>
        <w:t xml:space="preserve"> </w:t>
      </w:r>
      <w:r w:rsidR="00B41E0D">
        <w:rPr>
          <w:sz w:val="24"/>
          <w:szCs w:val="24"/>
        </w:rPr>
        <w:t xml:space="preserve">chromosomal </w:t>
      </w:r>
      <w:proofErr w:type="gramStart"/>
      <w:r w:rsidR="00B279E3">
        <w:rPr>
          <w:sz w:val="24"/>
          <w:szCs w:val="24"/>
        </w:rPr>
        <w:t>anomalies</w:t>
      </w:r>
      <w:proofErr w:type="gramEnd"/>
      <w:r w:rsidR="004F02E4">
        <w:rPr>
          <w:sz w:val="24"/>
          <w:szCs w:val="24"/>
        </w:rPr>
        <w:t xml:space="preserve"> and</w:t>
      </w:r>
      <w:r w:rsidR="00B279E3">
        <w:rPr>
          <w:sz w:val="24"/>
          <w:szCs w:val="24"/>
        </w:rPr>
        <w:t xml:space="preserve"> specific </w:t>
      </w:r>
      <w:r w:rsidR="00B41E0D">
        <w:rPr>
          <w:sz w:val="24"/>
          <w:szCs w:val="24"/>
        </w:rPr>
        <w:t xml:space="preserve">genetic </w:t>
      </w:r>
      <w:r w:rsidR="003E0F29">
        <w:rPr>
          <w:sz w:val="24"/>
          <w:szCs w:val="24"/>
        </w:rPr>
        <w:t>syndrome</w:t>
      </w:r>
      <w:r w:rsidR="00B279E3">
        <w:rPr>
          <w:sz w:val="24"/>
          <w:szCs w:val="24"/>
        </w:rPr>
        <w:t>s</w:t>
      </w:r>
      <w:r w:rsidR="003E0F29">
        <w:rPr>
          <w:sz w:val="24"/>
          <w:szCs w:val="24"/>
        </w:rPr>
        <w:t xml:space="preserve"> had the highest risk of </w:t>
      </w:r>
      <w:r w:rsidR="00BE55F8">
        <w:rPr>
          <w:sz w:val="24"/>
          <w:szCs w:val="24"/>
        </w:rPr>
        <w:t xml:space="preserve">being </w:t>
      </w:r>
      <w:r w:rsidR="00441B12">
        <w:rPr>
          <w:sz w:val="24"/>
          <w:szCs w:val="24"/>
        </w:rPr>
        <w:t>prescribed</w:t>
      </w:r>
      <w:r w:rsidR="00BE55F8">
        <w:rPr>
          <w:sz w:val="24"/>
          <w:szCs w:val="24"/>
        </w:rPr>
        <w:t xml:space="preserve"> </w:t>
      </w:r>
      <w:r w:rsidR="003E0F29">
        <w:rPr>
          <w:sz w:val="24"/>
          <w:szCs w:val="24"/>
        </w:rPr>
        <w:t xml:space="preserve">anti-asthmatic prescriptions. </w:t>
      </w:r>
      <w:r w:rsidR="009E4B92">
        <w:rPr>
          <w:sz w:val="24"/>
          <w:szCs w:val="24"/>
        </w:rPr>
        <w:t>Male children, children born in a later cohort, and children born preterm had an increased risk of anti-asthmatic prescriptions, with children with congenital anomalies born very preterm</w:t>
      </w:r>
      <w:r w:rsidR="00293FBF">
        <w:rPr>
          <w:sz w:val="24"/>
          <w:szCs w:val="24"/>
        </w:rPr>
        <w:t xml:space="preserve"> (&lt;32 weeks)</w:t>
      </w:r>
      <w:r w:rsidR="009E4B92">
        <w:rPr>
          <w:sz w:val="24"/>
          <w:szCs w:val="24"/>
        </w:rPr>
        <w:t xml:space="preserve"> having over double the risk of anti-asthmatic prescriptions compared to children with congenital anomalies born at term.</w:t>
      </w:r>
    </w:p>
    <w:p w14:paraId="6AD72B3A" w14:textId="0258A7E0" w:rsidR="008B4D65" w:rsidRDefault="004E4AF7" w:rsidP="00B50A1E">
      <w:pPr>
        <w:rPr>
          <w:sz w:val="24"/>
          <w:szCs w:val="24"/>
        </w:rPr>
      </w:pPr>
      <w:proofErr w:type="gramStart"/>
      <w:r>
        <w:rPr>
          <w:sz w:val="24"/>
          <w:szCs w:val="24"/>
        </w:rPr>
        <w:t>With the exception of</w:t>
      </w:r>
      <w:proofErr w:type="gramEnd"/>
      <w:r>
        <w:rPr>
          <w:sz w:val="24"/>
          <w:szCs w:val="24"/>
        </w:rPr>
        <w:t xml:space="preserve"> Finland and Wales, o</w:t>
      </w:r>
      <w:r w:rsidR="008B4D65" w:rsidRPr="008B4D65">
        <w:rPr>
          <w:sz w:val="24"/>
          <w:szCs w:val="24"/>
        </w:rPr>
        <w:t xml:space="preserve">ur findings that anti-asthmatic prescriptions tended to be higher in younger age groups is consistent with literature indicating higher rates of wheezing and current wheeze in infants below </w:t>
      </w:r>
      <w:r w:rsidR="00803CFB">
        <w:rPr>
          <w:sz w:val="24"/>
          <w:szCs w:val="24"/>
        </w:rPr>
        <w:t xml:space="preserve">two </w:t>
      </w:r>
      <w:r w:rsidR="008B4D65" w:rsidRPr="008B4D65">
        <w:rPr>
          <w:sz w:val="24"/>
          <w:szCs w:val="24"/>
        </w:rPr>
        <w:t xml:space="preserve">years </w:t>
      </w:r>
      <w:r w:rsidR="00803CFB">
        <w:rPr>
          <w:sz w:val="24"/>
          <w:szCs w:val="24"/>
        </w:rPr>
        <w:t xml:space="preserve">of age </w:t>
      </w:r>
      <w:r w:rsidR="008B4D65" w:rsidRPr="008B4D65">
        <w:rPr>
          <w:sz w:val="24"/>
          <w:szCs w:val="24"/>
        </w:rPr>
        <w:t xml:space="preserve">than older children </w:t>
      </w:r>
      <w:r w:rsidR="00863193">
        <w:rPr>
          <w:sz w:val="24"/>
          <w:szCs w:val="24"/>
        </w:rPr>
        <w:t>[8-9]</w:t>
      </w:r>
      <w:r w:rsidR="008B4D65" w:rsidRPr="008B4D65">
        <w:rPr>
          <w:sz w:val="24"/>
          <w:szCs w:val="24"/>
        </w:rPr>
        <w:t xml:space="preserve">. As beta-2 agonists and inhaled corticosteroids are recommended as treatment for infant wheeze </w:t>
      </w:r>
      <w:r w:rsidR="00454D9B">
        <w:rPr>
          <w:sz w:val="24"/>
          <w:szCs w:val="24"/>
        </w:rPr>
        <w:t>[26]</w:t>
      </w:r>
      <w:r w:rsidR="008B4D65" w:rsidRPr="008B4D65">
        <w:rPr>
          <w:sz w:val="24"/>
          <w:szCs w:val="24"/>
        </w:rPr>
        <w:t xml:space="preserve">, prescriptions for anti-asthmatics in young children may be indicative of wheeze and acute respiratory infections which can be common in young children </w:t>
      </w:r>
      <w:r w:rsidR="00454D9B">
        <w:rPr>
          <w:sz w:val="24"/>
          <w:szCs w:val="24"/>
        </w:rPr>
        <w:t>[27]</w:t>
      </w:r>
      <w:r w:rsidR="008B4D65" w:rsidRPr="008B4D65">
        <w:rPr>
          <w:sz w:val="24"/>
          <w:szCs w:val="24"/>
        </w:rPr>
        <w:t xml:space="preserve">. However, other studies reported higher prevalence of breathing difficulties for older children in the form of parent-reported asthma [3]. It is possible that parental reports may overestimate asthma prevalence, while our study was based on administrative anti-asthmatic prescription records. We identified anti-asthmatic prevalence rates that seemed to vary from other regional studies. For example, a study based on a sample of Welsh children (n=1,529), born 2000-2002, with a GP diagnosis of asthma and/or prescriptions for anti-asthmatics in their health records in the last 12 months reported much higher prevalence rates ranging from 13.4% for </w:t>
      </w:r>
      <w:proofErr w:type="gramStart"/>
      <w:r w:rsidR="008B4D65" w:rsidRPr="008B4D65">
        <w:rPr>
          <w:sz w:val="24"/>
          <w:szCs w:val="24"/>
        </w:rPr>
        <w:t>3 year olds</w:t>
      </w:r>
      <w:proofErr w:type="gramEnd"/>
      <w:r w:rsidR="008B4D65" w:rsidRPr="008B4D65">
        <w:rPr>
          <w:sz w:val="24"/>
          <w:szCs w:val="24"/>
        </w:rPr>
        <w:t xml:space="preserve"> to 10.4% in 7 year olds </w:t>
      </w:r>
      <w:r w:rsidR="00454D9B">
        <w:rPr>
          <w:sz w:val="24"/>
          <w:szCs w:val="24"/>
        </w:rPr>
        <w:t>[28]</w:t>
      </w:r>
      <w:r w:rsidR="008B4D65" w:rsidRPr="008B4D65">
        <w:rPr>
          <w:sz w:val="24"/>
          <w:szCs w:val="24"/>
        </w:rPr>
        <w:t xml:space="preserve">. These differences may relate to methodology as our study criteria was &gt;1 anti-asthmatic prescription in a year rather than at least one. We also identified regional differences within countries as within Italy, children in Emilia Romagna had a higher prevalence of &gt;1 prescription for asthma medications than children in Tuscany. A study investigating the use of anti-asthmatics in women before, during and after pregnancy also reported this regional difference between the two Italian registries </w:t>
      </w:r>
      <w:r w:rsidR="00454D9B">
        <w:rPr>
          <w:sz w:val="24"/>
          <w:szCs w:val="24"/>
        </w:rPr>
        <w:t>[29]</w:t>
      </w:r>
      <w:r w:rsidR="008B4D65" w:rsidRPr="008B4D65">
        <w:rPr>
          <w:sz w:val="24"/>
          <w:szCs w:val="24"/>
        </w:rPr>
        <w:t>.</w:t>
      </w:r>
    </w:p>
    <w:p w14:paraId="101AF912" w14:textId="77D7C90B" w:rsidR="00102CE1" w:rsidRPr="007A3BF7" w:rsidRDefault="00E177BF" w:rsidP="00102CE1">
      <w:pPr>
        <w:rPr>
          <w:sz w:val="24"/>
          <w:szCs w:val="24"/>
          <w:lang w:eastAsia="en-US"/>
        </w:rPr>
      </w:pPr>
      <w:r w:rsidRPr="00406888">
        <w:rPr>
          <w:sz w:val="24"/>
          <w:szCs w:val="24"/>
        </w:rPr>
        <w:t>C</w:t>
      </w:r>
      <w:r w:rsidR="00D1298D" w:rsidRPr="00406888">
        <w:rPr>
          <w:sz w:val="24"/>
          <w:szCs w:val="24"/>
        </w:rPr>
        <w:t>hildren</w:t>
      </w:r>
      <w:r w:rsidR="00D1298D">
        <w:rPr>
          <w:sz w:val="24"/>
          <w:szCs w:val="24"/>
        </w:rPr>
        <w:t xml:space="preserve"> with congenital anomalies consistently had higher rates of anti-asthmatic medication than reference children</w:t>
      </w:r>
      <w:r w:rsidR="00571279">
        <w:rPr>
          <w:sz w:val="24"/>
          <w:szCs w:val="24"/>
        </w:rPr>
        <w:t xml:space="preserve"> which</w:t>
      </w:r>
      <w:r w:rsidR="00D1298D">
        <w:rPr>
          <w:sz w:val="24"/>
          <w:szCs w:val="24"/>
        </w:rPr>
        <w:t xml:space="preserve"> may be </w:t>
      </w:r>
      <w:proofErr w:type="gramStart"/>
      <w:r w:rsidR="00D1298D">
        <w:rPr>
          <w:sz w:val="24"/>
          <w:szCs w:val="24"/>
        </w:rPr>
        <w:t xml:space="preserve">due to </w:t>
      </w:r>
      <w:bookmarkStart w:id="9" w:name="_Hlk143001974"/>
      <w:r w:rsidR="00EB0397">
        <w:rPr>
          <w:sz w:val="24"/>
          <w:szCs w:val="24"/>
        </w:rPr>
        <w:t>the fact that</w:t>
      </w:r>
      <w:proofErr w:type="gramEnd"/>
      <w:r w:rsidR="00B00F8F">
        <w:rPr>
          <w:sz w:val="24"/>
          <w:szCs w:val="24"/>
        </w:rPr>
        <w:t xml:space="preserve"> a</w:t>
      </w:r>
      <w:r w:rsidR="00026AF0" w:rsidRPr="000F24EC">
        <w:rPr>
          <w:sz w:val="24"/>
          <w:szCs w:val="24"/>
          <w:lang w:eastAsia="en-US"/>
        </w:rPr>
        <w:t xml:space="preserve">nti-asthmatic medications are widely used to treat respiratory complications of some anomalies. </w:t>
      </w:r>
      <w:bookmarkEnd w:id="9"/>
      <w:r w:rsidR="00D1298D">
        <w:rPr>
          <w:sz w:val="24"/>
          <w:szCs w:val="24"/>
        </w:rPr>
        <w:t xml:space="preserve"> </w:t>
      </w:r>
      <w:r w:rsidR="00126DCB">
        <w:rPr>
          <w:sz w:val="24"/>
          <w:szCs w:val="24"/>
        </w:rPr>
        <w:t>For example, c</w:t>
      </w:r>
      <w:r w:rsidR="00D1298D">
        <w:rPr>
          <w:sz w:val="24"/>
          <w:szCs w:val="24"/>
        </w:rPr>
        <w:t>ongenital anomalies such as diaphragmatic hernia and Down syndrome</w:t>
      </w:r>
      <w:r w:rsidR="00602546">
        <w:rPr>
          <w:sz w:val="24"/>
          <w:szCs w:val="24"/>
        </w:rPr>
        <w:t xml:space="preserve"> </w:t>
      </w:r>
      <w:r w:rsidR="00D1298D">
        <w:rPr>
          <w:sz w:val="24"/>
          <w:szCs w:val="24"/>
        </w:rPr>
        <w:t xml:space="preserve">are associated with pulmonary hypoplasia </w:t>
      </w:r>
      <w:r w:rsidR="00454D9B">
        <w:rPr>
          <w:sz w:val="24"/>
          <w:szCs w:val="24"/>
        </w:rPr>
        <w:t>[30-33]</w:t>
      </w:r>
      <w:r w:rsidR="00D1298D">
        <w:rPr>
          <w:sz w:val="24"/>
          <w:szCs w:val="24"/>
        </w:rPr>
        <w:t xml:space="preserve">, requiring anti-asthmatics to manage wheezing episodes. Children </w:t>
      </w:r>
      <w:r w:rsidR="001A1FFB">
        <w:rPr>
          <w:sz w:val="24"/>
          <w:szCs w:val="24"/>
        </w:rPr>
        <w:t>with</w:t>
      </w:r>
      <w:r w:rsidR="00D1298D">
        <w:rPr>
          <w:sz w:val="24"/>
          <w:szCs w:val="24"/>
        </w:rPr>
        <w:t xml:space="preserve"> diaphragmatic hernia commonly require </w:t>
      </w:r>
      <w:r w:rsidR="00391B2D">
        <w:rPr>
          <w:sz w:val="24"/>
          <w:szCs w:val="24"/>
        </w:rPr>
        <w:t>mechanical</w:t>
      </w:r>
      <w:r w:rsidR="00D1298D">
        <w:rPr>
          <w:sz w:val="24"/>
          <w:szCs w:val="24"/>
        </w:rPr>
        <w:t xml:space="preserve"> ventilation </w:t>
      </w:r>
      <w:r w:rsidR="00391B2D">
        <w:rPr>
          <w:sz w:val="24"/>
          <w:szCs w:val="24"/>
        </w:rPr>
        <w:t xml:space="preserve">for days or weeks after birth </w:t>
      </w:r>
      <w:r w:rsidR="00D1298D">
        <w:rPr>
          <w:sz w:val="24"/>
          <w:szCs w:val="24"/>
        </w:rPr>
        <w:t xml:space="preserve">which can lead to bronchopulmonary dysplasia </w:t>
      </w:r>
      <w:r w:rsidR="00454D9B">
        <w:rPr>
          <w:sz w:val="24"/>
          <w:szCs w:val="24"/>
        </w:rPr>
        <w:t xml:space="preserve">[31; </w:t>
      </w:r>
      <w:r w:rsidR="00454D9B">
        <w:rPr>
          <w:sz w:val="24"/>
          <w:szCs w:val="24"/>
        </w:rPr>
        <w:lastRenderedPageBreak/>
        <w:t>34]</w:t>
      </w:r>
      <w:r w:rsidR="00D1298D">
        <w:rPr>
          <w:sz w:val="24"/>
          <w:szCs w:val="24"/>
        </w:rPr>
        <w:t>. Beta-2 agonists are prescribed to children with bronchopulmonary dysplasia to reduce pulmonary resistance</w:t>
      </w:r>
      <w:r w:rsidR="00D05754">
        <w:rPr>
          <w:sz w:val="24"/>
          <w:szCs w:val="24"/>
        </w:rPr>
        <w:t xml:space="preserve"> </w:t>
      </w:r>
      <w:r w:rsidR="00454D9B">
        <w:rPr>
          <w:sz w:val="24"/>
          <w:szCs w:val="24"/>
        </w:rPr>
        <w:t>[35]</w:t>
      </w:r>
      <w:r w:rsidR="00D1298D">
        <w:rPr>
          <w:sz w:val="24"/>
          <w:szCs w:val="24"/>
        </w:rPr>
        <w:t xml:space="preserve">. </w:t>
      </w:r>
      <w:r w:rsidR="00AB5BCC">
        <w:rPr>
          <w:sz w:val="24"/>
          <w:szCs w:val="24"/>
        </w:rPr>
        <w:t>Stud</w:t>
      </w:r>
      <w:r w:rsidR="00D362C2">
        <w:rPr>
          <w:sz w:val="24"/>
          <w:szCs w:val="24"/>
        </w:rPr>
        <w:t>ies have shown that p</w:t>
      </w:r>
      <w:r w:rsidR="00AB5BCC">
        <w:rPr>
          <w:sz w:val="24"/>
          <w:szCs w:val="24"/>
        </w:rPr>
        <w:t>atients with diaphragmatic hernia were over six times more likely to have been diagnosed with asthma than the general population</w:t>
      </w:r>
      <w:r w:rsidR="00D05754">
        <w:rPr>
          <w:sz w:val="24"/>
          <w:szCs w:val="24"/>
        </w:rPr>
        <w:t xml:space="preserve"> </w:t>
      </w:r>
      <w:r w:rsidR="00454D9B">
        <w:rPr>
          <w:sz w:val="24"/>
          <w:szCs w:val="24"/>
        </w:rPr>
        <w:t>[34]</w:t>
      </w:r>
      <w:r w:rsidR="00AB5BCC">
        <w:rPr>
          <w:sz w:val="24"/>
          <w:szCs w:val="24"/>
        </w:rPr>
        <w:t xml:space="preserve">. </w:t>
      </w:r>
      <w:r w:rsidR="00D1298D">
        <w:rPr>
          <w:sz w:val="24"/>
          <w:szCs w:val="24"/>
        </w:rPr>
        <w:t xml:space="preserve">Congenital anomalies may be comorbid with respiratory conditions, such as the associations between oesophageal atresia, Down </w:t>
      </w:r>
      <w:proofErr w:type="gramStart"/>
      <w:r w:rsidR="00D1298D">
        <w:rPr>
          <w:sz w:val="24"/>
          <w:szCs w:val="24"/>
        </w:rPr>
        <w:t>syndrome</w:t>
      </w:r>
      <w:proofErr w:type="gramEnd"/>
      <w:r w:rsidR="00D1298D">
        <w:rPr>
          <w:sz w:val="24"/>
          <w:szCs w:val="24"/>
        </w:rPr>
        <w:t xml:space="preserve"> and Di George syndrome with respiratory tract disease</w:t>
      </w:r>
      <w:r w:rsidR="00D05754">
        <w:rPr>
          <w:sz w:val="24"/>
          <w:szCs w:val="24"/>
        </w:rPr>
        <w:t xml:space="preserve"> </w:t>
      </w:r>
      <w:r w:rsidR="00454D9B">
        <w:rPr>
          <w:sz w:val="24"/>
          <w:szCs w:val="24"/>
        </w:rPr>
        <w:t>[36-38]</w:t>
      </w:r>
      <w:r w:rsidR="00D1298D">
        <w:rPr>
          <w:sz w:val="24"/>
          <w:szCs w:val="24"/>
        </w:rPr>
        <w:t>.</w:t>
      </w:r>
      <w:r w:rsidR="00391B2D">
        <w:rPr>
          <w:sz w:val="24"/>
          <w:szCs w:val="24"/>
        </w:rPr>
        <w:t xml:space="preserve"> </w:t>
      </w:r>
      <w:r w:rsidR="002F3666">
        <w:rPr>
          <w:sz w:val="24"/>
          <w:szCs w:val="24"/>
        </w:rPr>
        <w:t>In addition, c</w:t>
      </w:r>
      <w:r w:rsidR="00102CE1" w:rsidRPr="007A3BF7">
        <w:rPr>
          <w:sz w:val="24"/>
          <w:szCs w:val="24"/>
          <w:lang w:eastAsia="en-US"/>
        </w:rPr>
        <w:t>hildren with congenital anomalies requiring surgery and follow-up in the first year of life or those requiring routine medical care throughout their life span will have multiple interactions with the medical care team, hence there is greater opportunity for a diagnosis of respiratory difficulties to be made and anti-asthmatics to be dispensed. Indeed, an earlier EUROlinkCAT study found that children with congenital anomalies had significantly more hospital stays than children without congenital anomalies, particularly in the first year of life [</w:t>
      </w:r>
      <w:r w:rsidR="00590258">
        <w:rPr>
          <w:sz w:val="24"/>
          <w:szCs w:val="24"/>
          <w:lang w:eastAsia="en-US"/>
        </w:rPr>
        <w:t>39</w:t>
      </w:r>
      <w:r w:rsidR="00102CE1" w:rsidRPr="007A3BF7">
        <w:rPr>
          <w:sz w:val="24"/>
          <w:szCs w:val="24"/>
          <w:lang w:eastAsia="en-US"/>
        </w:rPr>
        <w:t xml:space="preserve">]. </w:t>
      </w:r>
    </w:p>
    <w:p w14:paraId="43D7B527" w14:textId="75723252" w:rsidR="00BB3E76" w:rsidRDefault="00391B2D" w:rsidP="00BB3E76">
      <w:pPr>
        <w:rPr>
          <w:sz w:val="24"/>
          <w:szCs w:val="24"/>
        </w:rPr>
      </w:pPr>
      <w:r>
        <w:rPr>
          <w:sz w:val="24"/>
          <w:szCs w:val="24"/>
        </w:rPr>
        <w:t xml:space="preserve">We did not find an increased risk for prescription </w:t>
      </w:r>
      <w:r w:rsidR="00CC1E8D">
        <w:rPr>
          <w:sz w:val="24"/>
          <w:szCs w:val="24"/>
        </w:rPr>
        <w:t>of beta</w:t>
      </w:r>
      <w:r w:rsidR="00601161">
        <w:rPr>
          <w:sz w:val="24"/>
          <w:szCs w:val="24"/>
        </w:rPr>
        <w:t>-</w:t>
      </w:r>
      <w:r w:rsidR="00CC1E8D">
        <w:rPr>
          <w:sz w:val="24"/>
          <w:szCs w:val="24"/>
        </w:rPr>
        <w:t>2 agonists for children with Tetralogy of Fallot. Beta-2-agonists should not be used in children with infundibular pulmonary stenosis</w:t>
      </w:r>
      <w:r w:rsidR="00FF3773">
        <w:rPr>
          <w:sz w:val="24"/>
          <w:szCs w:val="24"/>
        </w:rPr>
        <w:t xml:space="preserve"> </w:t>
      </w:r>
      <w:r w:rsidR="00D1298D">
        <w:rPr>
          <w:sz w:val="24"/>
          <w:szCs w:val="24"/>
        </w:rPr>
        <w:t xml:space="preserve">as beta-blockers may be prescribed to </w:t>
      </w:r>
      <w:r w:rsidR="00CC1E8D">
        <w:rPr>
          <w:sz w:val="24"/>
          <w:szCs w:val="24"/>
        </w:rPr>
        <w:t>prevent hypoxic spells in these children</w:t>
      </w:r>
      <w:r w:rsidR="00D1298D">
        <w:rPr>
          <w:sz w:val="24"/>
          <w:szCs w:val="24"/>
        </w:rPr>
        <w:t xml:space="preserve"> while awaiting surgery</w:t>
      </w:r>
      <w:r w:rsidR="00D05754">
        <w:rPr>
          <w:sz w:val="24"/>
          <w:szCs w:val="24"/>
        </w:rPr>
        <w:t xml:space="preserve"> </w:t>
      </w:r>
      <w:r w:rsidR="006A4D2F">
        <w:rPr>
          <w:sz w:val="24"/>
          <w:szCs w:val="24"/>
        </w:rPr>
        <w:t>[</w:t>
      </w:r>
      <w:r w:rsidR="00C66EA4">
        <w:rPr>
          <w:sz w:val="24"/>
          <w:szCs w:val="24"/>
        </w:rPr>
        <w:t>4</w:t>
      </w:r>
      <w:r w:rsidR="005831D7">
        <w:rPr>
          <w:sz w:val="24"/>
          <w:szCs w:val="24"/>
        </w:rPr>
        <w:t>0</w:t>
      </w:r>
      <w:r w:rsidR="006A4D2F">
        <w:rPr>
          <w:sz w:val="24"/>
          <w:szCs w:val="24"/>
        </w:rPr>
        <w:t>]</w:t>
      </w:r>
      <w:r w:rsidR="00E8757F">
        <w:rPr>
          <w:sz w:val="24"/>
          <w:szCs w:val="24"/>
        </w:rPr>
        <w:t>.</w:t>
      </w:r>
      <w:r w:rsidR="005831D7" w:rsidRPr="005831D7">
        <w:rPr>
          <w:sz w:val="24"/>
          <w:szCs w:val="24"/>
          <w:lang w:eastAsia="en-US"/>
        </w:rPr>
        <w:t xml:space="preserve"> </w:t>
      </w:r>
      <w:r w:rsidR="005831D7" w:rsidRPr="00406888">
        <w:rPr>
          <w:sz w:val="24"/>
          <w:szCs w:val="24"/>
          <w:lang w:eastAsia="en-US"/>
        </w:rPr>
        <w:t>While over 50% of children in hospitals are administered “unlicensed” or “off label” medicines [</w:t>
      </w:r>
      <w:r w:rsidR="005831D7">
        <w:rPr>
          <w:sz w:val="24"/>
          <w:szCs w:val="24"/>
          <w:lang w:eastAsia="en-US"/>
        </w:rPr>
        <w:t>4</w:t>
      </w:r>
      <w:r w:rsidR="0072261E">
        <w:rPr>
          <w:sz w:val="24"/>
          <w:szCs w:val="24"/>
          <w:lang w:eastAsia="en-US"/>
        </w:rPr>
        <w:t>1</w:t>
      </w:r>
      <w:r w:rsidR="005831D7">
        <w:rPr>
          <w:sz w:val="24"/>
          <w:szCs w:val="24"/>
          <w:lang w:eastAsia="en-US"/>
        </w:rPr>
        <w:t>-4</w:t>
      </w:r>
      <w:r w:rsidR="0072261E">
        <w:rPr>
          <w:sz w:val="24"/>
          <w:szCs w:val="24"/>
          <w:lang w:eastAsia="en-US"/>
        </w:rPr>
        <w:t>2</w:t>
      </w:r>
      <w:r w:rsidR="005831D7" w:rsidRPr="00406888">
        <w:rPr>
          <w:sz w:val="24"/>
          <w:szCs w:val="24"/>
          <w:lang w:eastAsia="en-US"/>
        </w:rPr>
        <w:t xml:space="preserve">), a Spanish study reported that 16% of anti-asthmatics dispensed by community pharmacies for use by children were “off label” and that the seasonal variations suggested that these were prescribed to treat respiratory infections in young children rather than asthma </w:t>
      </w:r>
      <w:r w:rsidR="005831D7">
        <w:rPr>
          <w:sz w:val="24"/>
          <w:szCs w:val="24"/>
          <w:lang w:eastAsia="en-US"/>
        </w:rPr>
        <w:t>[4</w:t>
      </w:r>
      <w:r w:rsidR="0072261E">
        <w:rPr>
          <w:sz w:val="24"/>
          <w:szCs w:val="24"/>
          <w:lang w:eastAsia="en-US"/>
        </w:rPr>
        <w:t>3</w:t>
      </w:r>
      <w:r w:rsidR="005831D7">
        <w:rPr>
          <w:sz w:val="24"/>
          <w:szCs w:val="24"/>
          <w:lang w:eastAsia="en-US"/>
        </w:rPr>
        <w:t>]</w:t>
      </w:r>
      <w:r w:rsidR="005831D7" w:rsidRPr="00406888">
        <w:rPr>
          <w:sz w:val="24"/>
          <w:szCs w:val="24"/>
          <w:lang w:eastAsia="en-US"/>
        </w:rPr>
        <w:t>. We</w:t>
      </w:r>
      <w:r w:rsidR="005831D7" w:rsidRPr="00406888">
        <w:rPr>
          <w:sz w:val="24"/>
          <w:szCs w:val="24"/>
        </w:rPr>
        <w:t xml:space="preserve"> </w:t>
      </w:r>
      <w:r w:rsidR="005831D7" w:rsidRPr="00406888">
        <w:rPr>
          <w:sz w:val="24"/>
          <w:szCs w:val="24"/>
          <w:lang w:eastAsia="en-US"/>
        </w:rPr>
        <w:t>do not have information about off label use in our study but the indications and age limits for prescribing off label anti-asthmatics are likely to differ between countries.</w:t>
      </w:r>
    </w:p>
    <w:p w14:paraId="1E5B6146" w14:textId="591D09B1" w:rsidR="00612934" w:rsidRDefault="003D22CD" w:rsidP="00B50A1E">
      <w:pPr>
        <w:rPr>
          <w:sz w:val="24"/>
          <w:szCs w:val="24"/>
        </w:rPr>
      </w:pPr>
      <w:r>
        <w:rPr>
          <w:sz w:val="24"/>
          <w:szCs w:val="24"/>
        </w:rPr>
        <w:t>The finding that boys</w:t>
      </w:r>
      <w:r w:rsidR="00612934">
        <w:rPr>
          <w:sz w:val="24"/>
          <w:szCs w:val="24"/>
        </w:rPr>
        <w:t xml:space="preserve"> were more likely to be prescribed/dispensed anti-asthmatics</w:t>
      </w:r>
      <w:r>
        <w:rPr>
          <w:sz w:val="24"/>
          <w:szCs w:val="24"/>
        </w:rPr>
        <w:t xml:space="preserve"> </w:t>
      </w:r>
      <w:r w:rsidR="00343B89">
        <w:rPr>
          <w:sz w:val="24"/>
          <w:szCs w:val="24"/>
        </w:rPr>
        <w:t>is consistent with previous literature</w:t>
      </w:r>
      <w:r w:rsidR="00004AAA">
        <w:rPr>
          <w:sz w:val="24"/>
          <w:szCs w:val="24"/>
        </w:rPr>
        <w:t xml:space="preserve"> </w:t>
      </w:r>
      <w:r w:rsidR="00343B89">
        <w:rPr>
          <w:sz w:val="24"/>
          <w:szCs w:val="24"/>
        </w:rPr>
        <w:t>[</w:t>
      </w:r>
      <w:r w:rsidR="00077FF8">
        <w:rPr>
          <w:sz w:val="24"/>
          <w:szCs w:val="24"/>
        </w:rPr>
        <w:t>10-15</w:t>
      </w:r>
      <w:r w:rsidR="00343B89">
        <w:rPr>
          <w:sz w:val="24"/>
          <w:szCs w:val="24"/>
        </w:rPr>
        <w:t xml:space="preserve">]. </w:t>
      </w:r>
      <w:r w:rsidR="006B2A4F">
        <w:rPr>
          <w:sz w:val="24"/>
          <w:szCs w:val="24"/>
        </w:rPr>
        <w:t>Both children with and without congenital anomalies h</w:t>
      </w:r>
      <w:r w:rsidR="00804AEB">
        <w:rPr>
          <w:sz w:val="24"/>
          <w:szCs w:val="24"/>
        </w:rPr>
        <w:t xml:space="preserve">ad </w:t>
      </w:r>
      <w:r w:rsidR="00612934">
        <w:rPr>
          <w:sz w:val="24"/>
          <w:szCs w:val="24"/>
        </w:rPr>
        <w:t>more</w:t>
      </w:r>
      <w:r w:rsidR="00804AEB">
        <w:rPr>
          <w:sz w:val="24"/>
          <w:szCs w:val="24"/>
        </w:rPr>
        <w:t xml:space="preserve"> anti-asthmatic prescription</w:t>
      </w:r>
      <w:r w:rsidR="00612934">
        <w:rPr>
          <w:sz w:val="24"/>
          <w:szCs w:val="24"/>
        </w:rPr>
        <w:t xml:space="preserve">s </w:t>
      </w:r>
      <w:r w:rsidR="00804AEB">
        <w:rPr>
          <w:sz w:val="24"/>
          <w:szCs w:val="24"/>
        </w:rPr>
        <w:t>in 2005-2009 compared to 2000-2004.</w:t>
      </w:r>
      <w:r w:rsidR="00C75066">
        <w:rPr>
          <w:sz w:val="24"/>
          <w:szCs w:val="24"/>
        </w:rPr>
        <w:t xml:space="preserve"> </w:t>
      </w:r>
      <w:r w:rsidR="00F933F7" w:rsidRPr="00655CFC">
        <w:rPr>
          <w:sz w:val="24"/>
          <w:szCs w:val="24"/>
        </w:rPr>
        <w:t xml:space="preserve">While the magnitude of risk was higher in reference children </w:t>
      </w:r>
      <w:r w:rsidR="00D001CA">
        <w:rPr>
          <w:sz w:val="24"/>
          <w:szCs w:val="24"/>
        </w:rPr>
        <w:t>than for</w:t>
      </w:r>
      <w:r w:rsidR="00F933F7" w:rsidRPr="00655CFC">
        <w:rPr>
          <w:sz w:val="24"/>
          <w:szCs w:val="24"/>
        </w:rPr>
        <w:t xml:space="preserve"> children with congenital anomalies</w:t>
      </w:r>
      <w:r w:rsidR="00110D02">
        <w:rPr>
          <w:sz w:val="24"/>
          <w:szCs w:val="24"/>
        </w:rPr>
        <w:t xml:space="preserve">, the </w:t>
      </w:r>
      <w:r w:rsidR="00A35662">
        <w:rPr>
          <w:sz w:val="24"/>
          <w:szCs w:val="24"/>
        </w:rPr>
        <w:t>comparisons were not between chil</w:t>
      </w:r>
      <w:r w:rsidR="00110D02">
        <w:rPr>
          <w:sz w:val="24"/>
          <w:szCs w:val="24"/>
        </w:rPr>
        <w:t>dre</w:t>
      </w:r>
      <w:r w:rsidR="00A35662">
        <w:rPr>
          <w:sz w:val="24"/>
          <w:szCs w:val="24"/>
        </w:rPr>
        <w:t>n with congenital anomalies</w:t>
      </w:r>
      <w:r w:rsidR="003B2092">
        <w:rPr>
          <w:sz w:val="24"/>
          <w:szCs w:val="24"/>
        </w:rPr>
        <w:t xml:space="preserve"> </w:t>
      </w:r>
      <w:r w:rsidR="00A35662">
        <w:rPr>
          <w:sz w:val="24"/>
          <w:szCs w:val="24"/>
        </w:rPr>
        <w:t>and reference children, but within the</w:t>
      </w:r>
      <w:r w:rsidR="003B2092">
        <w:rPr>
          <w:sz w:val="24"/>
          <w:szCs w:val="24"/>
        </w:rPr>
        <w:t xml:space="preserve"> two groups</w:t>
      </w:r>
      <w:r w:rsidR="000B7F75">
        <w:rPr>
          <w:sz w:val="24"/>
          <w:szCs w:val="24"/>
        </w:rPr>
        <w:t xml:space="preserve"> of</w:t>
      </w:r>
      <w:r w:rsidR="00FC732D">
        <w:rPr>
          <w:sz w:val="24"/>
          <w:szCs w:val="24"/>
        </w:rPr>
        <w:t xml:space="preserve"> children</w:t>
      </w:r>
      <w:r w:rsidR="003B2092">
        <w:rPr>
          <w:sz w:val="24"/>
          <w:szCs w:val="24"/>
        </w:rPr>
        <w:t xml:space="preserve">. </w:t>
      </w:r>
      <w:r w:rsidR="000B7F75">
        <w:rPr>
          <w:sz w:val="24"/>
          <w:szCs w:val="24"/>
        </w:rPr>
        <w:t>Indeed, children with congenital anomalies</w:t>
      </w:r>
      <w:r w:rsidR="00F933F7" w:rsidRPr="00655CFC">
        <w:rPr>
          <w:sz w:val="24"/>
          <w:szCs w:val="24"/>
        </w:rPr>
        <w:t xml:space="preserve"> had a slightly higher proportion of &gt;1 anti-asthmatic prescription (24%) compared to reference children (22%). </w:t>
      </w:r>
      <w:r w:rsidR="0092386E">
        <w:rPr>
          <w:sz w:val="24"/>
          <w:szCs w:val="24"/>
        </w:rPr>
        <w:t xml:space="preserve">While self-reported anti-asthmatic use has increased </w:t>
      </w:r>
      <w:r w:rsidR="00D17BC8">
        <w:rPr>
          <w:sz w:val="24"/>
          <w:szCs w:val="24"/>
        </w:rPr>
        <w:t xml:space="preserve">in </w:t>
      </w:r>
      <w:r w:rsidR="00F40B3C">
        <w:rPr>
          <w:sz w:val="24"/>
          <w:szCs w:val="24"/>
        </w:rPr>
        <w:t xml:space="preserve">cohort studies of </w:t>
      </w:r>
      <w:r w:rsidR="00D17BC8">
        <w:rPr>
          <w:sz w:val="24"/>
          <w:szCs w:val="24"/>
        </w:rPr>
        <w:t>young adults between 1990-</w:t>
      </w:r>
      <w:r w:rsidR="00DD4F09">
        <w:rPr>
          <w:sz w:val="24"/>
          <w:szCs w:val="24"/>
        </w:rPr>
        <w:t>2007 [</w:t>
      </w:r>
      <w:r w:rsidR="008D3CA7">
        <w:rPr>
          <w:sz w:val="24"/>
          <w:szCs w:val="24"/>
        </w:rPr>
        <w:t>44</w:t>
      </w:r>
      <w:r w:rsidR="00DD4F09">
        <w:rPr>
          <w:sz w:val="24"/>
          <w:szCs w:val="24"/>
        </w:rPr>
        <w:t xml:space="preserve">], our findings </w:t>
      </w:r>
      <w:r w:rsidR="00612934">
        <w:rPr>
          <w:sz w:val="24"/>
          <w:szCs w:val="24"/>
        </w:rPr>
        <w:t>support an</w:t>
      </w:r>
      <w:r w:rsidR="00DD4F09">
        <w:rPr>
          <w:sz w:val="24"/>
          <w:szCs w:val="24"/>
        </w:rPr>
        <w:t xml:space="preserve"> increas</w:t>
      </w:r>
      <w:r w:rsidR="002342E8">
        <w:rPr>
          <w:sz w:val="24"/>
          <w:szCs w:val="24"/>
        </w:rPr>
        <w:t>ing trend of</w:t>
      </w:r>
      <w:r w:rsidR="00DD4F09">
        <w:rPr>
          <w:sz w:val="24"/>
          <w:szCs w:val="24"/>
        </w:rPr>
        <w:t xml:space="preserve"> anti-asthmatic prescriptions </w:t>
      </w:r>
      <w:r w:rsidR="002342E8">
        <w:rPr>
          <w:sz w:val="24"/>
          <w:szCs w:val="24"/>
        </w:rPr>
        <w:t xml:space="preserve">over time </w:t>
      </w:r>
      <w:r w:rsidR="00DD4F09">
        <w:rPr>
          <w:sz w:val="24"/>
          <w:szCs w:val="24"/>
        </w:rPr>
        <w:t xml:space="preserve">in </w:t>
      </w:r>
      <w:r w:rsidR="00C14807">
        <w:rPr>
          <w:sz w:val="24"/>
          <w:szCs w:val="24"/>
        </w:rPr>
        <w:t>children using administrative prescription data</w:t>
      </w:r>
      <w:r w:rsidR="00612934">
        <w:rPr>
          <w:sz w:val="24"/>
          <w:szCs w:val="24"/>
        </w:rPr>
        <w:t>.</w:t>
      </w:r>
      <w:r w:rsidR="00C14807">
        <w:rPr>
          <w:sz w:val="24"/>
          <w:szCs w:val="24"/>
        </w:rPr>
        <w:t xml:space="preserve"> </w:t>
      </w:r>
      <w:r w:rsidR="005841F6">
        <w:rPr>
          <w:sz w:val="24"/>
          <w:szCs w:val="24"/>
        </w:rPr>
        <w:t xml:space="preserve">Children </w:t>
      </w:r>
      <w:r w:rsidR="00612934">
        <w:rPr>
          <w:sz w:val="24"/>
          <w:szCs w:val="24"/>
        </w:rPr>
        <w:t xml:space="preserve">born preterm at </w:t>
      </w:r>
      <w:r w:rsidR="005A6149">
        <w:rPr>
          <w:sz w:val="24"/>
          <w:szCs w:val="24"/>
        </w:rPr>
        <w:t xml:space="preserve">&lt;32 weeks GA </w:t>
      </w:r>
      <w:r w:rsidR="00612934">
        <w:rPr>
          <w:sz w:val="24"/>
          <w:szCs w:val="24"/>
        </w:rPr>
        <w:t xml:space="preserve">were twice as likely to be prescribed/dispensed anti-asthmatics than children born at term, although the risk was reduced for children born 32-36 weeks. The higher risk in children born &lt;32 weeks GA may be due to respiratory complications such as respiratory distress syndrome or bronchopulmonary dysplasia arising from mechanical ventilation in preterm children </w:t>
      </w:r>
      <w:r w:rsidR="00612934" w:rsidRPr="00073DA6">
        <w:rPr>
          <w:sz w:val="24"/>
          <w:szCs w:val="24"/>
        </w:rPr>
        <w:t>[</w:t>
      </w:r>
      <w:r w:rsidR="008D3CA7">
        <w:rPr>
          <w:sz w:val="24"/>
          <w:szCs w:val="24"/>
        </w:rPr>
        <w:t>45-46</w:t>
      </w:r>
      <w:r w:rsidR="00FF3671">
        <w:rPr>
          <w:sz w:val="24"/>
          <w:szCs w:val="24"/>
        </w:rPr>
        <w:t>]</w:t>
      </w:r>
    </w:p>
    <w:p w14:paraId="5CF9F850" w14:textId="77777777" w:rsidR="00F63C68" w:rsidRDefault="00656E94" w:rsidP="00F96F4E">
      <w:pPr>
        <w:ind w:left="32"/>
        <w:rPr>
          <w:sz w:val="24"/>
          <w:szCs w:val="24"/>
        </w:rPr>
      </w:pPr>
      <w:bookmarkStart w:id="10" w:name="_Hlk115700416"/>
      <w:r>
        <w:rPr>
          <w:sz w:val="24"/>
          <w:szCs w:val="24"/>
        </w:rPr>
        <w:t xml:space="preserve">A major strength of this study is that </w:t>
      </w:r>
      <w:r w:rsidRPr="007B78DF">
        <w:rPr>
          <w:sz w:val="24"/>
          <w:szCs w:val="24"/>
        </w:rPr>
        <w:t>we have standardised data on congenital anomalies</w:t>
      </w:r>
      <w:r>
        <w:rPr>
          <w:sz w:val="24"/>
          <w:szCs w:val="24"/>
        </w:rPr>
        <w:t xml:space="preserve"> and a</w:t>
      </w:r>
      <w:r w:rsidRPr="007B78DF">
        <w:rPr>
          <w:sz w:val="24"/>
          <w:szCs w:val="24"/>
        </w:rPr>
        <w:t xml:space="preserve"> </w:t>
      </w:r>
      <w:r w:rsidR="009E120C">
        <w:rPr>
          <w:sz w:val="24"/>
          <w:szCs w:val="24"/>
        </w:rPr>
        <w:t>C</w:t>
      </w:r>
      <w:r w:rsidRPr="007B78DF">
        <w:rPr>
          <w:sz w:val="24"/>
          <w:szCs w:val="24"/>
        </w:rPr>
        <w:t xml:space="preserve">ommon </w:t>
      </w:r>
      <w:r w:rsidR="009E120C">
        <w:rPr>
          <w:sz w:val="24"/>
          <w:szCs w:val="24"/>
        </w:rPr>
        <w:t>D</w:t>
      </w:r>
      <w:r w:rsidRPr="007B78DF">
        <w:rPr>
          <w:sz w:val="24"/>
          <w:szCs w:val="24"/>
        </w:rPr>
        <w:t xml:space="preserve">ata </w:t>
      </w:r>
      <w:r w:rsidR="009E120C">
        <w:rPr>
          <w:sz w:val="24"/>
          <w:szCs w:val="24"/>
        </w:rPr>
        <w:t>M</w:t>
      </w:r>
      <w:r w:rsidRPr="007B78DF">
        <w:rPr>
          <w:sz w:val="24"/>
          <w:szCs w:val="24"/>
        </w:rPr>
        <w:t>odel which enabled us to map and standardise the prescription/pharmacy dispensing records, as well as standardising demographic information on children. This is important as there are diverse coding classification systems, languages, and healthcare systems in Europe.</w:t>
      </w:r>
      <w:r>
        <w:rPr>
          <w:sz w:val="24"/>
          <w:szCs w:val="24"/>
        </w:rPr>
        <w:t xml:space="preserve"> </w:t>
      </w:r>
      <w:r w:rsidR="00DC0C1F">
        <w:rPr>
          <w:sz w:val="24"/>
          <w:szCs w:val="24"/>
        </w:rPr>
        <w:t>Furthermore, t</w:t>
      </w:r>
      <w:r w:rsidR="00DC0C1F" w:rsidRPr="003D135D">
        <w:rPr>
          <w:sz w:val="24"/>
          <w:szCs w:val="24"/>
        </w:rPr>
        <w:t>his</w:t>
      </w:r>
      <w:r w:rsidR="00B50A1E" w:rsidRPr="003D135D">
        <w:rPr>
          <w:sz w:val="24"/>
          <w:szCs w:val="24"/>
        </w:rPr>
        <w:t xml:space="preserve"> is the first population-</w:t>
      </w:r>
      <w:r w:rsidR="00B50A1E" w:rsidRPr="003D135D">
        <w:rPr>
          <w:sz w:val="24"/>
          <w:szCs w:val="24"/>
        </w:rPr>
        <w:lastRenderedPageBreak/>
        <w:t xml:space="preserve">based </w:t>
      </w:r>
      <w:r w:rsidR="00DC0C1F">
        <w:rPr>
          <w:sz w:val="24"/>
          <w:szCs w:val="24"/>
        </w:rPr>
        <w:t>multi-centre</w:t>
      </w:r>
      <w:r w:rsidR="00B50A1E" w:rsidRPr="003D135D">
        <w:rPr>
          <w:sz w:val="24"/>
          <w:szCs w:val="24"/>
        </w:rPr>
        <w:t xml:space="preserve"> study exploring anti-asthmatic </w:t>
      </w:r>
      <w:r w:rsidR="00542CEB">
        <w:rPr>
          <w:sz w:val="24"/>
          <w:szCs w:val="24"/>
        </w:rPr>
        <w:t>prescriptions</w:t>
      </w:r>
      <w:r w:rsidR="00542CEB" w:rsidRPr="003D135D">
        <w:rPr>
          <w:sz w:val="24"/>
          <w:szCs w:val="24"/>
        </w:rPr>
        <w:t xml:space="preserve"> </w:t>
      </w:r>
      <w:r w:rsidR="00B50A1E" w:rsidRPr="003D135D">
        <w:rPr>
          <w:sz w:val="24"/>
          <w:szCs w:val="24"/>
        </w:rPr>
        <w:t xml:space="preserve">in children with </w:t>
      </w:r>
      <w:r w:rsidR="00B50A1E">
        <w:rPr>
          <w:sz w:val="24"/>
          <w:szCs w:val="24"/>
        </w:rPr>
        <w:t>and without congenital anomalies</w:t>
      </w:r>
      <w:r w:rsidR="00261F28">
        <w:rPr>
          <w:sz w:val="24"/>
          <w:szCs w:val="24"/>
        </w:rPr>
        <w:t xml:space="preserve"> which included </w:t>
      </w:r>
      <w:r w:rsidR="00B50A1E">
        <w:rPr>
          <w:sz w:val="24"/>
          <w:szCs w:val="24"/>
        </w:rPr>
        <w:t xml:space="preserve">data from </w:t>
      </w:r>
      <w:r w:rsidR="00013789" w:rsidRPr="00932CD0">
        <w:rPr>
          <w:sz w:val="24"/>
          <w:szCs w:val="24"/>
          <w:lang w:eastAsia="en-US"/>
        </w:rPr>
        <w:t>6</w:t>
      </w:r>
      <w:r w:rsidR="00013789">
        <w:rPr>
          <w:sz w:val="24"/>
          <w:szCs w:val="24"/>
          <w:lang w:eastAsia="en-US"/>
        </w:rPr>
        <w:t>0,6</w:t>
      </w:r>
      <w:r w:rsidR="003E5053">
        <w:rPr>
          <w:sz w:val="24"/>
          <w:szCs w:val="24"/>
          <w:lang w:eastAsia="en-US"/>
        </w:rPr>
        <w:t>62</w:t>
      </w:r>
      <w:r w:rsidR="00013789" w:rsidRPr="00932CD0">
        <w:rPr>
          <w:sz w:val="24"/>
          <w:szCs w:val="24"/>
          <w:lang w:eastAsia="en-US"/>
        </w:rPr>
        <w:t xml:space="preserve"> </w:t>
      </w:r>
      <w:r w:rsidR="00B50A1E">
        <w:rPr>
          <w:sz w:val="24"/>
          <w:szCs w:val="24"/>
        </w:rPr>
        <w:t xml:space="preserve">children </w:t>
      </w:r>
      <w:r w:rsidR="00546220">
        <w:rPr>
          <w:sz w:val="24"/>
          <w:szCs w:val="24"/>
        </w:rPr>
        <w:t xml:space="preserve">with congenital anomalies </w:t>
      </w:r>
      <w:r w:rsidR="00B50A1E">
        <w:rPr>
          <w:sz w:val="24"/>
          <w:szCs w:val="24"/>
        </w:rPr>
        <w:t xml:space="preserve">across Europe, overcoming limitations of previous research based on small </w:t>
      </w:r>
      <w:r w:rsidR="003150F0">
        <w:rPr>
          <w:sz w:val="24"/>
          <w:szCs w:val="24"/>
        </w:rPr>
        <w:t>sizes</w:t>
      </w:r>
      <w:r w:rsidR="00B50A1E">
        <w:rPr>
          <w:sz w:val="24"/>
          <w:szCs w:val="24"/>
        </w:rPr>
        <w:t xml:space="preserve">. </w:t>
      </w:r>
      <w:r w:rsidR="00CC1E8D">
        <w:rPr>
          <w:sz w:val="24"/>
          <w:szCs w:val="24"/>
        </w:rPr>
        <w:t xml:space="preserve">The use of reference children for comparison in each geographical region is also a major strength, as </w:t>
      </w:r>
      <w:r w:rsidR="00FF3773">
        <w:rPr>
          <w:sz w:val="24"/>
          <w:szCs w:val="24"/>
        </w:rPr>
        <w:t>some differences in prescription rates</w:t>
      </w:r>
      <w:r w:rsidR="00CC1E8D">
        <w:rPr>
          <w:sz w:val="24"/>
          <w:szCs w:val="24"/>
        </w:rPr>
        <w:t xml:space="preserve"> across Europe may be explained by methodological issues (</w:t>
      </w:r>
      <w:r w:rsidR="00601161">
        <w:rPr>
          <w:sz w:val="24"/>
          <w:szCs w:val="24"/>
        </w:rPr>
        <w:t xml:space="preserve">such as </w:t>
      </w:r>
      <w:r w:rsidR="00CC1E8D">
        <w:rPr>
          <w:sz w:val="24"/>
          <w:szCs w:val="24"/>
        </w:rPr>
        <w:t>frequency of prescriptions</w:t>
      </w:r>
      <w:r w:rsidR="000013CD">
        <w:rPr>
          <w:sz w:val="24"/>
          <w:szCs w:val="24"/>
        </w:rPr>
        <w:t xml:space="preserve"> issued at the pharmacy</w:t>
      </w:r>
      <w:r w:rsidR="00CC1E8D">
        <w:rPr>
          <w:sz w:val="24"/>
          <w:szCs w:val="24"/>
        </w:rPr>
        <w:t xml:space="preserve">) and </w:t>
      </w:r>
      <w:r w:rsidR="000013CD">
        <w:rPr>
          <w:sz w:val="24"/>
          <w:szCs w:val="24"/>
        </w:rPr>
        <w:t>different level of indication for prescribing asthma medications to small children.</w:t>
      </w:r>
      <w:r w:rsidR="009E4B92">
        <w:rPr>
          <w:sz w:val="24"/>
          <w:szCs w:val="24"/>
        </w:rPr>
        <w:t xml:space="preserve"> </w:t>
      </w:r>
    </w:p>
    <w:p w14:paraId="42BB0E7D" w14:textId="519C064C" w:rsidR="00676D00" w:rsidRDefault="009E4B92" w:rsidP="00655CFC">
      <w:pPr>
        <w:ind w:left="32"/>
        <w:rPr>
          <w:sz w:val="24"/>
          <w:szCs w:val="24"/>
        </w:rPr>
      </w:pPr>
      <w:r>
        <w:rPr>
          <w:sz w:val="24"/>
          <w:szCs w:val="24"/>
        </w:rPr>
        <w:t>However, t</w:t>
      </w:r>
      <w:r w:rsidR="00FB5ABF" w:rsidRPr="00DD1AC6">
        <w:rPr>
          <w:sz w:val="24"/>
          <w:szCs w:val="24"/>
        </w:rPr>
        <w:t xml:space="preserve">here were </w:t>
      </w:r>
      <w:proofErr w:type="gramStart"/>
      <w:r w:rsidR="00FB5ABF" w:rsidRPr="00DD1AC6">
        <w:rPr>
          <w:sz w:val="24"/>
          <w:szCs w:val="24"/>
        </w:rPr>
        <w:t>a number of</w:t>
      </w:r>
      <w:proofErr w:type="gramEnd"/>
      <w:r w:rsidR="00FB5ABF" w:rsidRPr="00DD1AC6">
        <w:rPr>
          <w:sz w:val="24"/>
          <w:szCs w:val="24"/>
        </w:rPr>
        <w:t xml:space="preserve"> limitations to this study. Firstly, bias may arise as </w:t>
      </w:r>
      <w:r w:rsidR="00A35B68">
        <w:rPr>
          <w:sz w:val="24"/>
          <w:szCs w:val="24"/>
        </w:rPr>
        <w:t xml:space="preserve">approximately 5% of children across registries </w:t>
      </w:r>
      <w:r w:rsidR="00E729B2">
        <w:rPr>
          <w:sz w:val="24"/>
          <w:szCs w:val="24"/>
        </w:rPr>
        <w:t xml:space="preserve">were </w:t>
      </w:r>
      <w:r w:rsidR="00A35B68">
        <w:rPr>
          <w:sz w:val="24"/>
          <w:szCs w:val="24"/>
        </w:rPr>
        <w:t xml:space="preserve">unable to be linked to the prescription database due to invalid identifications numbers </w:t>
      </w:r>
      <w:r w:rsidR="00E729B2">
        <w:rPr>
          <w:sz w:val="24"/>
          <w:szCs w:val="24"/>
        </w:rPr>
        <w:t>as was the case in Tuscany</w:t>
      </w:r>
      <w:r w:rsidR="00FA78C7">
        <w:rPr>
          <w:sz w:val="24"/>
          <w:szCs w:val="24"/>
        </w:rPr>
        <w:t>,</w:t>
      </w:r>
      <w:r w:rsidR="00E729B2">
        <w:rPr>
          <w:sz w:val="24"/>
          <w:szCs w:val="24"/>
        </w:rPr>
        <w:t xml:space="preserve"> </w:t>
      </w:r>
      <w:r w:rsidR="00A35B68">
        <w:rPr>
          <w:sz w:val="24"/>
          <w:szCs w:val="24"/>
        </w:rPr>
        <w:t xml:space="preserve">or because their records were not sent to the national/vital statistics to be linked. In Wales, the children were registered in a GP practice that was not part of the SAIL databank, therefore they could not be linked. </w:t>
      </w:r>
      <w:r w:rsidR="00FB5ABF" w:rsidRPr="00DD1AC6">
        <w:rPr>
          <w:sz w:val="24"/>
          <w:szCs w:val="24"/>
        </w:rPr>
        <w:t xml:space="preserve"> </w:t>
      </w:r>
      <w:r w:rsidR="00F96F4E" w:rsidRPr="000F2278">
        <w:rPr>
          <w:sz w:val="24"/>
          <w:szCs w:val="24"/>
        </w:rPr>
        <w:t xml:space="preserve">There is evidence suggesting that low socioeconomic status (SES) is associated with </w:t>
      </w:r>
      <w:r w:rsidR="00F96F4E" w:rsidRPr="00073DA6">
        <w:rPr>
          <w:sz w:val="24"/>
          <w:szCs w:val="24"/>
        </w:rPr>
        <w:t>asthma</w:t>
      </w:r>
      <w:r w:rsidR="00827175" w:rsidRPr="00073DA6">
        <w:rPr>
          <w:sz w:val="24"/>
          <w:szCs w:val="24"/>
        </w:rPr>
        <w:t xml:space="preserve"> [</w:t>
      </w:r>
      <w:r w:rsidR="00FF3671" w:rsidRPr="00073DA6">
        <w:rPr>
          <w:sz w:val="24"/>
          <w:szCs w:val="24"/>
        </w:rPr>
        <w:t>47</w:t>
      </w:r>
      <w:r w:rsidR="00175430" w:rsidRPr="000F2278">
        <w:rPr>
          <w:sz w:val="24"/>
          <w:szCs w:val="24"/>
        </w:rPr>
        <w:t>]</w:t>
      </w:r>
      <w:r w:rsidR="00F96F4E" w:rsidRPr="000F2278">
        <w:rPr>
          <w:sz w:val="24"/>
          <w:szCs w:val="24"/>
        </w:rPr>
        <w:t>. Wales compared the SES of children registered in SAIL versus children not registered in SAIL and concluded that</w:t>
      </w:r>
      <w:r w:rsidR="00F96F4E" w:rsidRPr="000F2278">
        <w:rPr>
          <w:rFonts w:cstheme="minorHAnsi"/>
          <w:sz w:val="24"/>
          <w:szCs w:val="24"/>
        </w:rPr>
        <w:t xml:space="preserve"> there were no differences in SES between linked/unlinked children. Similarly, Tuscany found no differences in gestational age, maternal age, </w:t>
      </w:r>
      <w:proofErr w:type="gramStart"/>
      <w:r w:rsidR="00F96F4E" w:rsidRPr="000F2278">
        <w:rPr>
          <w:rFonts w:cstheme="minorHAnsi"/>
          <w:sz w:val="24"/>
          <w:szCs w:val="24"/>
        </w:rPr>
        <w:t>sex</w:t>
      </w:r>
      <w:proofErr w:type="gramEnd"/>
      <w:r w:rsidR="00F96F4E" w:rsidRPr="000F2278">
        <w:rPr>
          <w:rFonts w:cstheme="minorHAnsi"/>
          <w:sz w:val="24"/>
          <w:szCs w:val="24"/>
        </w:rPr>
        <w:t xml:space="preserve"> and survival between children with congenital anomalies who were linked versus those who were not linked.</w:t>
      </w:r>
      <w:r w:rsidR="00F96F4E">
        <w:rPr>
          <w:rFonts w:cstheme="minorHAnsi"/>
          <w:color w:val="0070C0"/>
          <w:sz w:val="24"/>
          <w:szCs w:val="24"/>
        </w:rPr>
        <w:t xml:space="preserve"> </w:t>
      </w:r>
      <w:r w:rsidR="00FB5ABF" w:rsidRPr="00DD1AC6">
        <w:rPr>
          <w:sz w:val="24"/>
          <w:szCs w:val="24"/>
        </w:rPr>
        <w:t xml:space="preserve">Secondly, </w:t>
      </w:r>
      <w:r w:rsidR="00B50A1E">
        <w:rPr>
          <w:sz w:val="24"/>
          <w:szCs w:val="24"/>
        </w:rPr>
        <w:t xml:space="preserve">only three participating registries (Funen, </w:t>
      </w:r>
      <w:proofErr w:type="gramStart"/>
      <w:r w:rsidR="00B50A1E">
        <w:rPr>
          <w:sz w:val="24"/>
          <w:szCs w:val="24"/>
        </w:rPr>
        <w:t>Finland</w:t>
      </w:r>
      <w:proofErr w:type="gramEnd"/>
      <w:r w:rsidR="00B50A1E">
        <w:rPr>
          <w:sz w:val="24"/>
          <w:szCs w:val="24"/>
        </w:rPr>
        <w:t xml:space="preserve"> and Wales) could provide data for </w:t>
      </w:r>
      <w:r w:rsidR="00681F56">
        <w:rPr>
          <w:sz w:val="24"/>
          <w:szCs w:val="24"/>
        </w:rPr>
        <w:t xml:space="preserve">children </w:t>
      </w:r>
      <w:r w:rsidR="00B50A1E">
        <w:rPr>
          <w:sz w:val="24"/>
          <w:szCs w:val="24"/>
        </w:rPr>
        <w:t>up to</w:t>
      </w:r>
      <w:r w:rsidR="00A95B94">
        <w:rPr>
          <w:sz w:val="24"/>
          <w:szCs w:val="24"/>
        </w:rPr>
        <w:t xml:space="preserve"> </w:t>
      </w:r>
      <w:r w:rsidR="00681F56">
        <w:rPr>
          <w:sz w:val="24"/>
          <w:szCs w:val="24"/>
        </w:rPr>
        <w:t xml:space="preserve">and including nine </w:t>
      </w:r>
      <w:r w:rsidR="00B50A1E">
        <w:rPr>
          <w:sz w:val="24"/>
          <w:szCs w:val="24"/>
        </w:rPr>
        <w:t xml:space="preserve">years of age. </w:t>
      </w:r>
      <w:r w:rsidR="00C26F55">
        <w:rPr>
          <w:sz w:val="24"/>
          <w:szCs w:val="24"/>
        </w:rPr>
        <w:t>O</w:t>
      </w:r>
      <w:r w:rsidR="00B278DE">
        <w:rPr>
          <w:sz w:val="24"/>
          <w:szCs w:val="24"/>
        </w:rPr>
        <w:t>ur list of anti-asthmatic medications did not include oral corticosteroids used to treat acute symptoms</w:t>
      </w:r>
      <w:r w:rsidR="00C26F55">
        <w:rPr>
          <w:sz w:val="24"/>
          <w:szCs w:val="24"/>
        </w:rPr>
        <w:t>, but for young children this treatment may mainly be done during hospital stays,</w:t>
      </w:r>
      <w:r>
        <w:rPr>
          <w:sz w:val="24"/>
          <w:szCs w:val="24"/>
        </w:rPr>
        <w:t xml:space="preserve"> and</w:t>
      </w:r>
      <w:r w:rsidR="00B278DE">
        <w:rPr>
          <w:sz w:val="24"/>
          <w:szCs w:val="24"/>
        </w:rPr>
        <w:t xml:space="preserve"> we were unable to differentiate between long-acting and short-acting beta-2-agonists. </w:t>
      </w:r>
      <w:r w:rsidR="00871A9E">
        <w:rPr>
          <w:sz w:val="24"/>
          <w:szCs w:val="24"/>
        </w:rPr>
        <w:t xml:space="preserve">While we explored medications prescribed and dispensed, we were unable to gauge whether these medications were </w:t>
      </w:r>
      <w:proofErr w:type="gramStart"/>
      <w:r w:rsidR="00871A9E">
        <w:rPr>
          <w:sz w:val="24"/>
          <w:szCs w:val="24"/>
        </w:rPr>
        <w:t>actually taken</w:t>
      </w:r>
      <w:proofErr w:type="gramEnd"/>
      <w:r w:rsidR="00871A9E">
        <w:rPr>
          <w:sz w:val="24"/>
          <w:szCs w:val="24"/>
        </w:rPr>
        <w:t>.</w:t>
      </w:r>
      <w:r w:rsidR="00B278DE">
        <w:rPr>
          <w:sz w:val="24"/>
          <w:szCs w:val="24"/>
        </w:rPr>
        <w:t xml:space="preserve"> </w:t>
      </w:r>
    </w:p>
    <w:bookmarkEnd w:id="8"/>
    <w:bookmarkEnd w:id="10"/>
    <w:p w14:paraId="3B1B0493" w14:textId="5B6756D0" w:rsidR="00856380" w:rsidRDefault="00956016" w:rsidP="005009AB">
      <w:pPr>
        <w:pStyle w:val="CommentText"/>
      </w:pPr>
      <w:r>
        <w:rPr>
          <w:sz w:val="24"/>
          <w:szCs w:val="24"/>
        </w:rPr>
        <w:t>In summary</w:t>
      </w:r>
      <w:r w:rsidR="00E850EE">
        <w:rPr>
          <w:sz w:val="24"/>
          <w:szCs w:val="24"/>
        </w:rPr>
        <w:t>,</w:t>
      </w:r>
      <w:r w:rsidR="00CE308E">
        <w:rPr>
          <w:sz w:val="24"/>
          <w:szCs w:val="24"/>
        </w:rPr>
        <w:t xml:space="preserve"> t</w:t>
      </w:r>
      <w:r w:rsidR="00B46F13">
        <w:rPr>
          <w:sz w:val="24"/>
          <w:szCs w:val="24"/>
        </w:rPr>
        <w:t xml:space="preserve">his study </w:t>
      </w:r>
      <w:r w:rsidR="00BB2E47">
        <w:rPr>
          <w:sz w:val="24"/>
          <w:szCs w:val="24"/>
        </w:rPr>
        <w:t>demonstrates</w:t>
      </w:r>
      <w:r w:rsidR="00B46F13">
        <w:rPr>
          <w:sz w:val="24"/>
          <w:szCs w:val="24"/>
        </w:rPr>
        <w:t xml:space="preserve"> </w:t>
      </w:r>
      <w:r w:rsidR="00336562">
        <w:rPr>
          <w:sz w:val="24"/>
          <w:szCs w:val="24"/>
        </w:rPr>
        <w:t xml:space="preserve">that </w:t>
      </w:r>
      <w:r w:rsidR="00B46F13">
        <w:rPr>
          <w:sz w:val="24"/>
          <w:szCs w:val="24"/>
        </w:rPr>
        <w:t>valid information on the prevalence of anti-asthmatic prescriptions</w:t>
      </w:r>
      <w:r w:rsidR="00CE308E">
        <w:rPr>
          <w:sz w:val="24"/>
          <w:szCs w:val="24"/>
        </w:rPr>
        <w:t xml:space="preserve"> for children</w:t>
      </w:r>
      <w:r w:rsidR="00B46F13">
        <w:rPr>
          <w:sz w:val="24"/>
          <w:szCs w:val="24"/>
        </w:rPr>
        <w:t xml:space="preserve"> </w:t>
      </w:r>
      <w:r w:rsidR="00607EE5">
        <w:rPr>
          <w:sz w:val="24"/>
          <w:szCs w:val="24"/>
        </w:rPr>
        <w:t xml:space="preserve">can be </w:t>
      </w:r>
      <w:r w:rsidR="00BB2E47">
        <w:rPr>
          <w:sz w:val="24"/>
          <w:szCs w:val="24"/>
        </w:rPr>
        <w:t xml:space="preserve">obtained </w:t>
      </w:r>
      <w:r w:rsidR="00B46F13">
        <w:rPr>
          <w:sz w:val="24"/>
          <w:szCs w:val="24"/>
        </w:rPr>
        <w:t>through data linkage</w:t>
      </w:r>
      <w:r w:rsidR="00612934">
        <w:rPr>
          <w:sz w:val="24"/>
          <w:szCs w:val="24"/>
        </w:rPr>
        <w:t xml:space="preserve"> studies</w:t>
      </w:r>
      <w:r w:rsidR="00607EE5">
        <w:rPr>
          <w:sz w:val="24"/>
          <w:szCs w:val="24"/>
        </w:rPr>
        <w:t xml:space="preserve"> </w:t>
      </w:r>
      <w:proofErr w:type="gramStart"/>
      <w:r w:rsidR="00607EE5">
        <w:rPr>
          <w:sz w:val="24"/>
          <w:szCs w:val="24"/>
        </w:rPr>
        <w:t>in order to</w:t>
      </w:r>
      <w:proofErr w:type="gramEnd"/>
      <w:r w:rsidR="00607EE5">
        <w:rPr>
          <w:sz w:val="24"/>
          <w:szCs w:val="24"/>
        </w:rPr>
        <w:t xml:space="preserve"> </w:t>
      </w:r>
      <w:r w:rsidR="00BB2E47">
        <w:rPr>
          <w:sz w:val="24"/>
          <w:szCs w:val="24"/>
        </w:rPr>
        <w:t>monitor</w:t>
      </w:r>
      <w:r w:rsidR="00612934">
        <w:rPr>
          <w:sz w:val="24"/>
          <w:szCs w:val="24"/>
        </w:rPr>
        <w:t xml:space="preserve"> regional differences across age groups and over time</w:t>
      </w:r>
      <w:r w:rsidR="00BB2E47">
        <w:rPr>
          <w:sz w:val="24"/>
          <w:szCs w:val="24"/>
        </w:rPr>
        <w:t>.</w:t>
      </w:r>
      <w:r w:rsidR="00B46F13">
        <w:rPr>
          <w:sz w:val="24"/>
          <w:szCs w:val="24"/>
        </w:rPr>
        <w:t xml:space="preserve"> </w:t>
      </w:r>
      <w:r w:rsidR="00612934">
        <w:rPr>
          <w:sz w:val="24"/>
          <w:szCs w:val="24"/>
        </w:rPr>
        <w:t>In general, c</w:t>
      </w:r>
      <w:r w:rsidR="008047C3">
        <w:rPr>
          <w:sz w:val="24"/>
          <w:szCs w:val="24"/>
        </w:rPr>
        <w:t>hildren with congenital anomalies had a higher prevalence and risk of anti-asthmatic prescriptions than reference children</w:t>
      </w:r>
      <w:r w:rsidR="00CE308E">
        <w:rPr>
          <w:sz w:val="24"/>
          <w:szCs w:val="24"/>
        </w:rPr>
        <w:t>.</w:t>
      </w:r>
      <w:r w:rsidR="000E321E">
        <w:rPr>
          <w:sz w:val="24"/>
          <w:szCs w:val="24"/>
        </w:rPr>
        <w:t xml:space="preserve"> </w:t>
      </w:r>
      <w:r w:rsidR="00607EE5">
        <w:rPr>
          <w:sz w:val="24"/>
          <w:szCs w:val="24"/>
        </w:rPr>
        <w:t>To evaluate the additional burden</w:t>
      </w:r>
      <w:r w:rsidR="00612934">
        <w:rPr>
          <w:sz w:val="24"/>
          <w:szCs w:val="24"/>
        </w:rPr>
        <w:t xml:space="preserve"> of disease that</w:t>
      </w:r>
      <w:r w:rsidR="00607EE5">
        <w:rPr>
          <w:sz w:val="24"/>
          <w:szCs w:val="24"/>
        </w:rPr>
        <w:t xml:space="preserve"> children with congenital anomalies face</w:t>
      </w:r>
      <w:r w:rsidR="00C84302" w:rsidRPr="006E7EAA">
        <w:rPr>
          <w:sz w:val="24"/>
          <w:szCs w:val="24"/>
        </w:rPr>
        <w:t xml:space="preserve">, it is essential to compare </w:t>
      </w:r>
      <w:r w:rsidR="00607EE5">
        <w:rPr>
          <w:sz w:val="24"/>
          <w:szCs w:val="24"/>
        </w:rPr>
        <w:t xml:space="preserve">these </w:t>
      </w:r>
      <w:r w:rsidR="00C84302" w:rsidRPr="006E7EAA">
        <w:rPr>
          <w:sz w:val="24"/>
          <w:szCs w:val="24"/>
        </w:rPr>
        <w:t xml:space="preserve">children to those </w:t>
      </w:r>
      <w:r w:rsidR="00607EE5">
        <w:rPr>
          <w:sz w:val="24"/>
          <w:szCs w:val="24"/>
        </w:rPr>
        <w:t xml:space="preserve">without congenital anomalies </w:t>
      </w:r>
      <w:r w:rsidR="00C84302" w:rsidRPr="006E7EAA">
        <w:rPr>
          <w:sz w:val="24"/>
          <w:szCs w:val="24"/>
        </w:rPr>
        <w:t xml:space="preserve">in the same geographic areas as prescription patterns </w:t>
      </w:r>
      <w:r w:rsidR="00ED4442">
        <w:rPr>
          <w:sz w:val="24"/>
          <w:szCs w:val="24"/>
        </w:rPr>
        <w:t xml:space="preserve">of anti-asthmatic medications </w:t>
      </w:r>
      <w:r w:rsidR="00C84302" w:rsidRPr="006E7EAA">
        <w:rPr>
          <w:sz w:val="24"/>
          <w:szCs w:val="24"/>
        </w:rPr>
        <w:t>vary across Europe</w:t>
      </w:r>
      <w:r w:rsidR="00C84302">
        <w:rPr>
          <w:sz w:val="24"/>
          <w:szCs w:val="24"/>
        </w:rPr>
        <w:t xml:space="preserve">. </w:t>
      </w:r>
      <w:r w:rsidR="00BB2E47">
        <w:rPr>
          <w:sz w:val="24"/>
          <w:szCs w:val="24"/>
        </w:rPr>
        <w:t>The findings</w:t>
      </w:r>
      <w:r w:rsidR="00ED4442">
        <w:rPr>
          <w:sz w:val="24"/>
          <w:szCs w:val="24"/>
        </w:rPr>
        <w:t xml:space="preserve"> from this study</w:t>
      </w:r>
      <w:r w:rsidR="00BB2E47">
        <w:rPr>
          <w:sz w:val="24"/>
          <w:szCs w:val="24"/>
        </w:rPr>
        <w:t xml:space="preserve"> are also beneficial to clinicians for identifying which congenital anomalies are associated with a higher risk of </w:t>
      </w:r>
      <w:r w:rsidR="00CE1C0F">
        <w:rPr>
          <w:sz w:val="24"/>
          <w:szCs w:val="24"/>
        </w:rPr>
        <w:t>prescriptions for respiratory symptoms</w:t>
      </w:r>
      <w:r w:rsidR="00ED4442">
        <w:rPr>
          <w:sz w:val="24"/>
          <w:szCs w:val="24"/>
        </w:rPr>
        <w:t xml:space="preserve"> and breathing difficulties</w:t>
      </w:r>
      <w:r w:rsidR="00BB2E47">
        <w:rPr>
          <w:sz w:val="24"/>
          <w:szCs w:val="24"/>
        </w:rPr>
        <w:t>.</w:t>
      </w:r>
      <w:r w:rsidR="006E7EAA" w:rsidRPr="006E7EAA">
        <w:t xml:space="preserve"> </w:t>
      </w:r>
      <w:r w:rsidR="00856380">
        <w:br w:type="page"/>
      </w:r>
    </w:p>
    <w:p w14:paraId="18C2DE1C" w14:textId="4C748CF0" w:rsidR="00856380" w:rsidRDefault="00856380" w:rsidP="00856380">
      <w:pPr>
        <w:rPr>
          <w:sz w:val="24"/>
          <w:szCs w:val="24"/>
        </w:rPr>
      </w:pPr>
      <w:proofErr w:type="spellStart"/>
      <w:r>
        <w:rPr>
          <w:b/>
          <w:bCs/>
          <w:sz w:val="24"/>
          <w:szCs w:val="24"/>
        </w:rPr>
        <w:lastRenderedPageBreak/>
        <w:t>Contributorship</w:t>
      </w:r>
      <w:proofErr w:type="spellEnd"/>
      <w:r>
        <w:rPr>
          <w:b/>
          <w:bCs/>
          <w:sz w:val="24"/>
          <w:szCs w:val="24"/>
        </w:rPr>
        <w:t xml:space="preserve"> Statement: </w:t>
      </w:r>
      <w:r w:rsidRPr="000B0926">
        <w:rPr>
          <w:sz w:val="24"/>
          <w:szCs w:val="24"/>
        </w:rPr>
        <w:t>ND prepared the manuscript</w:t>
      </w:r>
      <w:r>
        <w:rPr>
          <w:sz w:val="24"/>
          <w:szCs w:val="24"/>
        </w:rPr>
        <w:t xml:space="preserve"> and revised it</w:t>
      </w:r>
      <w:r w:rsidRPr="000B0926">
        <w:rPr>
          <w:sz w:val="24"/>
          <w:szCs w:val="24"/>
        </w:rPr>
        <w:t xml:space="preserve"> following feedback</w:t>
      </w:r>
      <w:r>
        <w:rPr>
          <w:sz w:val="24"/>
          <w:szCs w:val="24"/>
        </w:rPr>
        <w:t xml:space="preserve"> and comments from all authors. ND</w:t>
      </w:r>
      <w:r w:rsidRPr="000B0926">
        <w:rPr>
          <w:sz w:val="24"/>
          <w:szCs w:val="24"/>
        </w:rPr>
        <w:t xml:space="preserve"> analysed </w:t>
      </w:r>
      <w:r>
        <w:rPr>
          <w:sz w:val="24"/>
          <w:szCs w:val="24"/>
        </w:rPr>
        <w:t xml:space="preserve">the </w:t>
      </w:r>
      <w:r w:rsidRPr="000B0926">
        <w:rPr>
          <w:sz w:val="24"/>
          <w:szCs w:val="24"/>
        </w:rPr>
        <w:t>pooled data from each registry.</w:t>
      </w:r>
      <w:r w:rsidRPr="0002558B">
        <w:rPr>
          <w:sz w:val="24"/>
          <w:szCs w:val="24"/>
        </w:rPr>
        <w:t xml:space="preserve"> </w:t>
      </w:r>
      <w:r>
        <w:rPr>
          <w:sz w:val="24"/>
          <w:szCs w:val="24"/>
        </w:rPr>
        <w:t>JG and ML produced the standardisation scripts. JT and JKM produced the central analysis scripts.</w:t>
      </w:r>
      <w:r w:rsidRPr="000B0926">
        <w:rPr>
          <w:sz w:val="24"/>
          <w:szCs w:val="24"/>
        </w:rPr>
        <w:t xml:space="preserve"> GA, EB, LBB, CC, AC, MG, AH, SJ, AP, IS, SKU extracted and analysed local registry data.</w:t>
      </w:r>
      <w:r>
        <w:rPr>
          <w:sz w:val="24"/>
          <w:szCs w:val="24"/>
        </w:rPr>
        <w:t xml:space="preserve"> </w:t>
      </w:r>
      <w:r w:rsidRPr="000B0926">
        <w:rPr>
          <w:sz w:val="24"/>
          <w:szCs w:val="24"/>
        </w:rPr>
        <w:t xml:space="preserve">ML, EG and </w:t>
      </w:r>
      <w:r w:rsidR="000E0B68" w:rsidRPr="000B0926">
        <w:rPr>
          <w:sz w:val="24"/>
          <w:szCs w:val="24"/>
        </w:rPr>
        <w:t xml:space="preserve">JKM </w:t>
      </w:r>
      <w:r w:rsidR="000E0B68">
        <w:rPr>
          <w:sz w:val="24"/>
          <w:szCs w:val="24"/>
        </w:rPr>
        <w:t>secured</w:t>
      </w:r>
      <w:r>
        <w:rPr>
          <w:sz w:val="24"/>
          <w:szCs w:val="24"/>
        </w:rPr>
        <w:t xml:space="preserve"> funding, </w:t>
      </w:r>
      <w:proofErr w:type="gramStart"/>
      <w:r>
        <w:rPr>
          <w:sz w:val="24"/>
          <w:szCs w:val="24"/>
        </w:rPr>
        <w:t>conceptualised</w:t>
      </w:r>
      <w:proofErr w:type="gramEnd"/>
      <w:r>
        <w:rPr>
          <w:sz w:val="24"/>
          <w:szCs w:val="24"/>
        </w:rPr>
        <w:t xml:space="preserve"> and </w:t>
      </w:r>
      <w:r w:rsidRPr="000B0926">
        <w:rPr>
          <w:sz w:val="24"/>
          <w:szCs w:val="24"/>
        </w:rPr>
        <w:t>designed the study</w:t>
      </w:r>
      <w:r>
        <w:rPr>
          <w:sz w:val="24"/>
          <w:szCs w:val="24"/>
        </w:rPr>
        <w:t>,</w:t>
      </w:r>
      <w:r w:rsidRPr="000B0926">
        <w:rPr>
          <w:sz w:val="24"/>
          <w:szCs w:val="24"/>
        </w:rPr>
        <w:t xml:space="preserve"> and provided frequent feedback on manuscript drafts. JKM and ML provided data analysis guidance and syntax for meta-analyses. ML executed data analysis syntax relating to protected data.</w:t>
      </w:r>
      <w:r>
        <w:rPr>
          <w:sz w:val="24"/>
          <w:szCs w:val="24"/>
        </w:rPr>
        <w:t xml:space="preserve"> </w:t>
      </w:r>
    </w:p>
    <w:p w14:paraId="3300FDC3" w14:textId="4BA5943C" w:rsidR="00856380" w:rsidRPr="00856380" w:rsidRDefault="00856380" w:rsidP="00856380">
      <w:pPr>
        <w:pStyle w:val="NormalWeb"/>
        <w:rPr>
          <w:rFonts w:asciiTheme="minorHAnsi" w:eastAsia="Times New Roman" w:hAnsiTheme="minorHAnsi" w:cstheme="minorHAnsi"/>
        </w:rPr>
      </w:pPr>
      <w:r w:rsidRPr="00856380">
        <w:rPr>
          <w:rFonts w:asciiTheme="minorHAnsi" w:eastAsia="Times New Roman" w:hAnsiTheme="minorHAnsi" w:cstheme="minorHAnsi"/>
          <w:b/>
          <w:bCs/>
        </w:rPr>
        <w:t>Competing Interests</w:t>
      </w:r>
      <w:r>
        <w:rPr>
          <w:rFonts w:asciiTheme="minorHAnsi" w:eastAsia="Times New Roman" w:hAnsiTheme="minorHAnsi" w:cstheme="minorHAnsi"/>
        </w:rPr>
        <w:t>: None</w:t>
      </w:r>
    </w:p>
    <w:p w14:paraId="75C7D664" w14:textId="70553A2A" w:rsidR="00856380" w:rsidRPr="00856380" w:rsidRDefault="00856380" w:rsidP="00856380">
      <w:pPr>
        <w:pStyle w:val="NormalWeb"/>
        <w:rPr>
          <w:rFonts w:asciiTheme="minorHAnsi" w:eastAsia="Times New Roman" w:hAnsiTheme="minorHAnsi" w:cstheme="minorHAnsi"/>
        </w:rPr>
      </w:pPr>
      <w:r w:rsidRPr="00856380">
        <w:rPr>
          <w:rFonts w:asciiTheme="minorHAnsi" w:hAnsiTheme="minorHAnsi" w:cstheme="minorHAnsi"/>
          <w:b/>
          <w:bCs/>
        </w:rPr>
        <w:t>Funding Statement</w:t>
      </w:r>
      <w:r w:rsidRPr="004E777A">
        <w:rPr>
          <w:rFonts w:asciiTheme="minorHAnsi" w:hAnsiTheme="minorHAnsi" w:cstheme="minorHAnsi"/>
        </w:rPr>
        <w:t xml:space="preserve">: This </w:t>
      </w:r>
      <w:r>
        <w:rPr>
          <w:rFonts w:asciiTheme="minorHAnsi" w:hAnsiTheme="minorHAnsi" w:cstheme="minorHAnsi"/>
        </w:rPr>
        <w:t>work was supported</w:t>
      </w:r>
      <w:r w:rsidRPr="004E777A">
        <w:rPr>
          <w:rFonts w:asciiTheme="minorHAnsi" w:hAnsiTheme="minorHAnsi" w:cstheme="minorHAnsi"/>
        </w:rPr>
        <w:t xml:space="preserve"> by the </w:t>
      </w:r>
      <w:r w:rsidRPr="004E777A">
        <w:rPr>
          <w:rFonts w:asciiTheme="minorHAnsi" w:eastAsia="Times New Roman" w:hAnsiTheme="minorHAnsi" w:cstheme="minorHAnsi"/>
        </w:rPr>
        <w:t>European Union’s Horizon 2020 research and innovation programme under grant agreement No. 733001.</w:t>
      </w:r>
      <w:r w:rsidRPr="00C75C5F">
        <w:t xml:space="preserve"> </w:t>
      </w:r>
      <w:r w:rsidRPr="00C75C5F">
        <w:rPr>
          <w:rFonts w:asciiTheme="minorHAnsi" w:eastAsia="Times New Roman" w:hAnsiTheme="minorHAnsi" w:cstheme="minorHAnsi"/>
        </w:rPr>
        <w:t>The views presented here are those of the authors only, and the European Commission is not responsible for any use that may be made of the information presented here</w:t>
      </w:r>
      <w:r>
        <w:rPr>
          <w:rFonts w:asciiTheme="minorHAnsi" w:eastAsia="Times New Roman" w:hAnsiTheme="minorHAnsi" w:cstheme="minorHAnsi"/>
        </w:rPr>
        <w:t xml:space="preserve">. </w:t>
      </w:r>
    </w:p>
    <w:p w14:paraId="6A82AD3D" w14:textId="3FC94B54" w:rsidR="00856380" w:rsidRDefault="00856380" w:rsidP="00856380">
      <w:pPr>
        <w:pStyle w:val="NormalWeb"/>
        <w:rPr>
          <w:rFonts w:asciiTheme="minorHAnsi" w:eastAsia="Times New Roman" w:hAnsiTheme="minorHAnsi" w:cstheme="minorHAnsi"/>
        </w:rPr>
      </w:pPr>
      <w:r>
        <w:rPr>
          <w:rFonts w:asciiTheme="minorHAnsi" w:eastAsia="Times New Roman" w:hAnsiTheme="minorHAnsi" w:cstheme="minorHAnsi"/>
          <w:b/>
          <w:bCs/>
        </w:rPr>
        <w:t>Data Sharing Statement:</w:t>
      </w:r>
      <w:r w:rsidR="004F4DD7" w:rsidRPr="004F4DD7">
        <w:rPr>
          <w:rFonts w:asciiTheme="minorHAnsi" w:hAnsiTheme="minorHAnsi" w:cstheme="minorHAnsi"/>
        </w:rPr>
        <w:t xml:space="preserve"> </w:t>
      </w:r>
      <w:r w:rsidR="004F4DD7" w:rsidRPr="00047F8B">
        <w:rPr>
          <w:rFonts w:asciiTheme="minorHAnsi" w:hAnsiTheme="minorHAnsi" w:cstheme="minorHAnsi"/>
        </w:rPr>
        <w:t xml:space="preserve">We are legally not allowed to share the third-party administrative data used in this study as it belongs to the data providers in each of the regions </w:t>
      </w:r>
      <w:proofErr w:type="gramStart"/>
      <w:r w:rsidR="004F4DD7" w:rsidRPr="00047F8B">
        <w:rPr>
          <w:rFonts w:asciiTheme="minorHAnsi" w:hAnsiTheme="minorHAnsi" w:cstheme="minorHAnsi"/>
        </w:rPr>
        <w:t>i.e.</w:t>
      </w:r>
      <w:proofErr w:type="gramEnd"/>
      <w:r w:rsidR="004F4DD7" w:rsidRPr="00047F8B">
        <w:rPr>
          <w:rFonts w:asciiTheme="minorHAnsi" w:hAnsiTheme="minorHAnsi" w:cstheme="minorHAnsi"/>
        </w:rPr>
        <w:t xml:space="preserve"> the regional or national statistical organisations. </w:t>
      </w:r>
      <w:r w:rsidR="004F4DD7" w:rsidRPr="00047F8B">
        <w:rPr>
          <w:rFonts w:asciiTheme="minorHAnsi" w:hAnsiTheme="minorHAnsi" w:cstheme="minorHAnsi"/>
          <w:color w:val="000000"/>
        </w:rPr>
        <w:t>All</w:t>
      </w:r>
      <w:r w:rsidR="004F4DD7" w:rsidRPr="00092471">
        <w:rPr>
          <w:rFonts w:asciiTheme="minorHAnsi" w:hAnsiTheme="minorHAnsi" w:cstheme="minorHAnsi"/>
        </w:rPr>
        <w:t xml:space="preserve"> our documentation </w:t>
      </w:r>
      <w:r w:rsidR="004F4DD7" w:rsidRPr="00047F8B">
        <w:rPr>
          <w:rFonts w:asciiTheme="minorHAnsi" w:hAnsiTheme="minorHAnsi" w:cstheme="minorHAnsi"/>
        </w:rPr>
        <w:t xml:space="preserve">is </w:t>
      </w:r>
      <w:r w:rsidR="004F4DD7" w:rsidRPr="00092471">
        <w:rPr>
          <w:rFonts w:asciiTheme="minorHAnsi" w:hAnsiTheme="minorHAnsi" w:cstheme="minorHAnsi"/>
        </w:rPr>
        <w:t xml:space="preserve">available </w:t>
      </w:r>
      <w:r w:rsidR="004F4DD7" w:rsidRPr="00047F8B">
        <w:rPr>
          <w:rFonts w:asciiTheme="minorHAnsi" w:hAnsiTheme="minorHAnsi" w:cstheme="minorHAnsi"/>
        </w:rPr>
        <w:t>on the EUROlinkCAT website (</w:t>
      </w:r>
      <w:r w:rsidR="004F4DD7" w:rsidRPr="00047F8B">
        <w:rPr>
          <w:rFonts w:asciiTheme="minorHAnsi" w:hAnsiTheme="minorHAnsi" w:cstheme="minorHAnsi"/>
          <w:color w:val="1E0F49"/>
          <w:shd w:val="clear" w:color="auto" w:fill="FFFFFF"/>
        </w:rPr>
        <w:t> </w:t>
      </w:r>
      <w:hyperlink r:id="rId11" w:history="1">
        <w:r w:rsidR="004F4DD7" w:rsidRPr="00047F8B">
          <w:rPr>
            <w:rStyle w:val="Hyperlink"/>
            <w:rFonts w:asciiTheme="minorHAnsi" w:hAnsiTheme="minorHAnsi" w:cstheme="minorHAnsi"/>
            <w:shd w:val="clear" w:color="auto" w:fill="FFFFFF"/>
          </w:rPr>
          <w:t>http://www.EUROlinkCAT.eu/wp2-buildingresultsrepository</w:t>
        </w:r>
      </w:hyperlink>
      <w:r w:rsidR="004F4DD7" w:rsidRPr="00047F8B">
        <w:rPr>
          <w:rFonts w:asciiTheme="minorHAnsi" w:hAnsiTheme="minorHAnsi" w:cstheme="minorHAnsi"/>
          <w:color w:val="1E0F49"/>
          <w:shd w:val="clear" w:color="auto" w:fill="FFFFFF"/>
        </w:rPr>
        <w:t xml:space="preserve">). </w:t>
      </w:r>
      <w:r w:rsidR="004F4DD7" w:rsidRPr="00092471">
        <w:rPr>
          <w:rFonts w:asciiTheme="minorHAnsi" w:hAnsiTheme="minorHAnsi" w:cstheme="minorHAnsi"/>
        </w:rPr>
        <w:t xml:space="preserve">and </w:t>
      </w:r>
      <w:r w:rsidR="004F4DD7" w:rsidRPr="00047F8B">
        <w:rPr>
          <w:rFonts w:asciiTheme="minorHAnsi" w:hAnsiTheme="minorHAnsi" w:cstheme="minorHAnsi"/>
        </w:rPr>
        <w:t xml:space="preserve">we </w:t>
      </w:r>
      <w:r w:rsidR="004F4DD7" w:rsidRPr="00092471">
        <w:rPr>
          <w:rFonts w:asciiTheme="minorHAnsi" w:hAnsiTheme="minorHAnsi" w:cstheme="minorHAnsi"/>
        </w:rPr>
        <w:t>encourage any interested parties to apply to the EUROlinkCAT management team to assist them in obtaining approval from the data providers in each region/ country to use the aggregated data for an approved study</w:t>
      </w:r>
      <w:r w:rsidR="004F4DD7" w:rsidRPr="00047F8B">
        <w:rPr>
          <w:rFonts w:asciiTheme="minorHAnsi" w:hAnsiTheme="minorHAnsi" w:cstheme="minorHAnsi"/>
        </w:rPr>
        <w:t xml:space="preserve"> </w:t>
      </w:r>
      <w:hyperlink r:id="rId12" w:history="1">
        <w:r w:rsidR="004F4DD7" w:rsidRPr="00047F8B">
          <w:rPr>
            <w:rStyle w:val="Hyperlink"/>
            <w:rFonts w:asciiTheme="minorHAnsi" w:hAnsiTheme="minorHAnsi" w:cstheme="minorHAnsi"/>
            <w:shd w:val="clear" w:color="auto" w:fill="FFFFFF"/>
          </w:rPr>
          <w:t>http://www.EUROlinkCAT.eu/contactinformationanddatarequests</w:t>
        </w:r>
      </w:hyperlink>
      <w:r w:rsidR="004F4DD7">
        <w:rPr>
          <w:rFonts w:asciiTheme="minorHAnsi" w:eastAsia="Times New Roman" w:hAnsiTheme="minorHAnsi" w:cstheme="minorHAnsi"/>
        </w:rPr>
        <w:t xml:space="preserve"> </w:t>
      </w:r>
      <w:r>
        <w:rPr>
          <w:rFonts w:asciiTheme="minorHAnsi" w:eastAsia="Times New Roman" w:hAnsiTheme="minorHAnsi" w:cstheme="minorHAnsi"/>
        </w:rPr>
        <w:t xml:space="preserve"> </w:t>
      </w:r>
    </w:p>
    <w:p w14:paraId="63170CB3" w14:textId="285BAF78" w:rsidR="00586226" w:rsidRPr="00856380" w:rsidRDefault="00856380" w:rsidP="00856380">
      <w:pPr>
        <w:pStyle w:val="NormalWeb"/>
        <w:rPr>
          <w:rFonts w:asciiTheme="minorHAnsi" w:eastAsia="Times New Roman" w:hAnsiTheme="minorHAnsi" w:cstheme="minorHAnsi"/>
        </w:rPr>
      </w:pPr>
      <w:r>
        <w:rPr>
          <w:rFonts w:asciiTheme="minorHAnsi" w:eastAsia="Times New Roman" w:hAnsiTheme="minorHAnsi" w:cstheme="minorHAnsi"/>
          <w:b/>
          <w:bCs/>
        </w:rPr>
        <w:t xml:space="preserve">Ethics Approval Statement: </w:t>
      </w:r>
      <w:r w:rsidRPr="00856380">
        <w:rPr>
          <w:rFonts w:asciiTheme="minorHAnsi" w:hAnsiTheme="minorHAnsi" w:cstheme="minorHAnsi"/>
        </w:rPr>
        <w:t>Ethical approval for this study was obtained from Ulster University’s Nursing and Health Research Ethics Filter Committee (Reference Number: FCNUR-21-060).</w:t>
      </w:r>
      <w:r w:rsidR="0086240A">
        <w:rPr>
          <w:rFonts w:asciiTheme="minorHAnsi" w:hAnsiTheme="minorHAnsi" w:cstheme="minorHAnsi"/>
        </w:rPr>
        <w:t xml:space="preserve"> </w:t>
      </w:r>
      <w:r w:rsidR="0086240A" w:rsidRPr="00655CFC">
        <w:rPr>
          <w:rFonts w:asciiTheme="minorHAnsi" w:hAnsiTheme="minorHAnsi" w:cstheme="minorHAnsi"/>
        </w:rPr>
        <w:t xml:space="preserve">This study is based on secondary data analysis of data held in routine administrative databases in Europe. The individual records of children linked to electronic prescription databases remain within the regional/national statistical organisations. Only aggregated results were sent to the research team for analysis, hence informed consent was not required. Each participating registry obtained local approvals for their data to be used in the EUROlinkCAT project as described in a paper </w:t>
      </w:r>
      <w:r w:rsidR="0086240A" w:rsidRPr="00655CFC">
        <w:rPr>
          <w:rFonts w:asciiTheme="minorHAnsi" w:hAnsiTheme="minorHAnsi" w:cstheme="minorHAnsi"/>
          <w:lang w:val="da-DK"/>
        </w:rPr>
        <w:t xml:space="preserve">accepted for publication by the BMJ Open: </w:t>
      </w:r>
      <w:r w:rsidR="0086240A" w:rsidRPr="00655CFC">
        <w:rPr>
          <w:rFonts w:asciiTheme="minorHAnsi" w:hAnsiTheme="minorHAnsi" w:cstheme="minorHAnsi"/>
        </w:rPr>
        <w:t xml:space="preserve">Claridge H et al “Ethics and legal requirements for data linkage in 14 European countries”. </w:t>
      </w:r>
      <w:r w:rsidR="00586226">
        <w:rPr>
          <w:b/>
          <w:bCs/>
        </w:rPr>
        <w:br w:type="page"/>
      </w:r>
    </w:p>
    <w:p w14:paraId="724C3341" w14:textId="55EF943F" w:rsidR="00B50A1E" w:rsidRDefault="00B50A1E" w:rsidP="00B50A1E">
      <w:pPr>
        <w:rPr>
          <w:b/>
          <w:bCs/>
          <w:sz w:val="24"/>
          <w:szCs w:val="24"/>
        </w:rPr>
      </w:pPr>
      <w:r>
        <w:rPr>
          <w:b/>
          <w:bCs/>
          <w:sz w:val="24"/>
          <w:szCs w:val="24"/>
        </w:rPr>
        <w:lastRenderedPageBreak/>
        <w:t>References</w:t>
      </w:r>
    </w:p>
    <w:p w14:paraId="0505514E" w14:textId="77777777" w:rsidR="00F3737A" w:rsidRPr="005F6AF8" w:rsidRDefault="00F3737A" w:rsidP="00F3737A">
      <w:pPr>
        <w:numPr>
          <w:ilvl w:val="0"/>
          <w:numId w:val="4"/>
        </w:numPr>
        <w:contextualSpacing/>
        <w:rPr>
          <w:sz w:val="24"/>
          <w:szCs w:val="24"/>
        </w:rPr>
      </w:pPr>
      <w:bookmarkStart w:id="11" w:name="_Hlk89169980"/>
      <w:r w:rsidRPr="005F6AF8">
        <w:rPr>
          <w:sz w:val="24"/>
          <w:szCs w:val="24"/>
        </w:rPr>
        <w:t xml:space="preserve">World Health Organisation. Asthma [Internet]. World Health Organisation; 2021 [cited 2021 Aug 18]. Available from: </w:t>
      </w:r>
      <w:hyperlink r:id="rId13" w:history="1">
        <w:r w:rsidRPr="005F6AF8">
          <w:rPr>
            <w:color w:val="0563C1" w:themeColor="hyperlink"/>
            <w:sz w:val="24"/>
            <w:szCs w:val="24"/>
            <w:u w:val="single"/>
          </w:rPr>
          <w:t>https://www.who.int/news-room/fact-sheets/detail/asthma</w:t>
        </w:r>
      </w:hyperlink>
    </w:p>
    <w:p w14:paraId="380CC2A7" w14:textId="77777777" w:rsidR="00F3737A" w:rsidRPr="005F6AF8" w:rsidRDefault="00F3737A" w:rsidP="00F3737A">
      <w:pPr>
        <w:numPr>
          <w:ilvl w:val="0"/>
          <w:numId w:val="4"/>
        </w:numPr>
        <w:contextualSpacing/>
        <w:rPr>
          <w:sz w:val="24"/>
          <w:szCs w:val="24"/>
        </w:rPr>
      </w:pPr>
      <w:r w:rsidRPr="005F6AF8">
        <w:rPr>
          <w:sz w:val="24"/>
          <w:szCs w:val="24"/>
          <w:lang w:val="it-IT"/>
        </w:rPr>
        <w:t xml:space="preserve">Akinbami LJ, Simon AE, Rossen LM. </w:t>
      </w:r>
      <w:r w:rsidRPr="005F6AF8">
        <w:rPr>
          <w:sz w:val="24"/>
          <w:szCs w:val="24"/>
        </w:rPr>
        <w:t>Changing trends in asthma prevalence among children. Pediatrics. 2016 Jan 1;137(1).</w:t>
      </w:r>
    </w:p>
    <w:p w14:paraId="5C9445AD" w14:textId="3B21F8C5" w:rsidR="00F3737A" w:rsidRPr="005F6AF8" w:rsidRDefault="00F3737A" w:rsidP="00F3737A">
      <w:pPr>
        <w:numPr>
          <w:ilvl w:val="0"/>
          <w:numId w:val="4"/>
        </w:numPr>
        <w:contextualSpacing/>
        <w:rPr>
          <w:sz w:val="24"/>
          <w:szCs w:val="24"/>
        </w:rPr>
      </w:pPr>
      <w:proofErr w:type="spellStart"/>
      <w:r w:rsidRPr="005F6AF8">
        <w:rPr>
          <w:sz w:val="24"/>
          <w:szCs w:val="24"/>
        </w:rPr>
        <w:t>Wirl</w:t>
      </w:r>
      <w:proofErr w:type="spellEnd"/>
      <w:r w:rsidRPr="005F6AF8">
        <w:rPr>
          <w:sz w:val="24"/>
          <w:szCs w:val="24"/>
        </w:rPr>
        <w:t xml:space="preserve"> C, </w:t>
      </w:r>
      <w:proofErr w:type="spellStart"/>
      <w:r w:rsidRPr="005F6AF8">
        <w:rPr>
          <w:sz w:val="24"/>
          <w:szCs w:val="24"/>
        </w:rPr>
        <w:t>Puklova</w:t>
      </w:r>
      <w:proofErr w:type="spellEnd"/>
      <w:r w:rsidRPr="005F6AF8">
        <w:rPr>
          <w:sz w:val="24"/>
          <w:szCs w:val="24"/>
        </w:rPr>
        <w:t xml:space="preserve"> V. Prevalence of asthma and allergies in children. </w:t>
      </w:r>
      <w:r w:rsidRPr="005F6AF8">
        <w:rPr>
          <w:i/>
          <w:iCs/>
          <w:sz w:val="24"/>
          <w:szCs w:val="24"/>
        </w:rPr>
        <w:t>European Environment and Health Information System Fact Sheet, World Health Organization. 2007</w:t>
      </w:r>
      <w:r w:rsidRPr="005F6AF8">
        <w:rPr>
          <w:sz w:val="24"/>
          <w:szCs w:val="24"/>
        </w:rPr>
        <w:t>; Fact Sheet No 3.1 (May).</w:t>
      </w:r>
    </w:p>
    <w:p w14:paraId="21516F04" w14:textId="6ACD6BBE" w:rsidR="00016EE6" w:rsidRPr="005F6AF8" w:rsidRDefault="00CE7F1C" w:rsidP="00DD43AF">
      <w:pPr>
        <w:numPr>
          <w:ilvl w:val="0"/>
          <w:numId w:val="4"/>
        </w:numPr>
        <w:contextualSpacing/>
        <w:rPr>
          <w:sz w:val="24"/>
          <w:szCs w:val="24"/>
        </w:rPr>
      </w:pPr>
      <w:r w:rsidRPr="005F6AF8">
        <w:rPr>
          <w:sz w:val="24"/>
          <w:szCs w:val="24"/>
        </w:rPr>
        <w:t xml:space="preserve">Pearce N, </w:t>
      </w:r>
      <w:proofErr w:type="spellStart"/>
      <w:r w:rsidRPr="005F6AF8">
        <w:rPr>
          <w:sz w:val="24"/>
          <w:szCs w:val="24"/>
        </w:rPr>
        <w:t>Aït</w:t>
      </w:r>
      <w:proofErr w:type="spellEnd"/>
      <w:r w:rsidRPr="005F6AF8">
        <w:rPr>
          <w:sz w:val="24"/>
          <w:szCs w:val="24"/>
        </w:rPr>
        <w:t xml:space="preserve">-Khaled N, Beasley R, </w:t>
      </w:r>
      <w:proofErr w:type="spellStart"/>
      <w:r w:rsidRPr="005F6AF8">
        <w:rPr>
          <w:sz w:val="24"/>
          <w:szCs w:val="24"/>
        </w:rPr>
        <w:t>Mallol</w:t>
      </w:r>
      <w:proofErr w:type="spellEnd"/>
      <w:r w:rsidRPr="005F6AF8">
        <w:rPr>
          <w:sz w:val="24"/>
          <w:szCs w:val="24"/>
        </w:rPr>
        <w:t xml:space="preserve"> J, Keil U, Mitchell E, Robertson C. Worldwide trends in the prevalence of asthma symptoms: phase III of the International Study of Asthma and Allergies in Childhood (ISAAC). Thorax. 2007 Sep 1;62(9):758-66.</w:t>
      </w:r>
    </w:p>
    <w:p w14:paraId="3F41E2DA" w14:textId="77777777" w:rsidR="00F3737A" w:rsidRPr="005F6AF8" w:rsidRDefault="00F3737A" w:rsidP="00F3737A">
      <w:pPr>
        <w:numPr>
          <w:ilvl w:val="0"/>
          <w:numId w:val="4"/>
        </w:numPr>
        <w:contextualSpacing/>
        <w:rPr>
          <w:sz w:val="24"/>
          <w:szCs w:val="24"/>
        </w:rPr>
      </w:pPr>
      <w:proofErr w:type="spellStart"/>
      <w:r w:rsidRPr="005F6AF8">
        <w:rPr>
          <w:sz w:val="24"/>
          <w:szCs w:val="24"/>
        </w:rPr>
        <w:t>Uphoff</w:t>
      </w:r>
      <w:proofErr w:type="spellEnd"/>
      <w:r w:rsidRPr="005F6AF8">
        <w:rPr>
          <w:sz w:val="24"/>
          <w:szCs w:val="24"/>
        </w:rPr>
        <w:t xml:space="preserve"> EP, Bird PK, </w:t>
      </w:r>
      <w:proofErr w:type="spellStart"/>
      <w:r w:rsidRPr="005F6AF8">
        <w:rPr>
          <w:sz w:val="24"/>
          <w:szCs w:val="24"/>
        </w:rPr>
        <w:t>Antó</w:t>
      </w:r>
      <w:proofErr w:type="spellEnd"/>
      <w:r w:rsidRPr="005F6AF8">
        <w:rPr>
          <w:sz w:val="24"/>
          <w:szCs w:val="24"/>
        </w:rPr>
        <w:t xml:space="preserve"> JM, </w:t>
      </w:r>
      <w:proofErr w:type="spellStart"/>
      <w:r w:rsidRPr="005F6AF8">
        <w:rPr>
          <w:sz w:val="24"/>
          <w:szCs w:val="24"/>
        </w:rPr>
        <w:t>Basterrechea</w:t>
      </w:r>
      <w:proofErr w:type="spellEnd"/>
      <w:r w:rsidRPr="005F6AF8">
        <w:rPr>
          <w:sz w:val="24"/>
          <w:szCs w:val="24"/>
        </w:rPr>
        <w:t xml:space="preserve"> M, Von Berg A, </w:t>
      </w:r>
      <w:proofErr w:type="spellStart"/>
      <w:r w:rsidRPr="005F6AF8">
        <w:rPr>
          <w:sz w:val="24"/>
          <w:szCs w:val="24"/>
        </w:rPr>
        <w:t>Bergström</w:t>
      </w:r>
      <w:proofErr w:type="spellEnd"/>
      <w:r w:rsidRPr="005F6AF8">
        <w:rPr>
          <w:sz w:val="24"/>
          <w:szCs w:val="24"/>
        </w:rPr>
        <w:t xml:space="preserve"> A, Bousquet J, </w:t>
      </w:r>
      <w:proofErr w:type="spellStart"/>
      <w:r w:rsidRPr="005F6AF8">
        <w:rPr>
          <w:sz w:val="24"/>
          <w:szCs w:val="24"/>
        </w:rPr>
        <w:t>Chatzi</w:t>
      </w:r>
      <w:proofErr w:type="spellEnd"/>
      <w:r w:rsidRPr="005F6AF8">
        <w:rPr>
          <w:sz w:val="24"/>
          <w:szCs w:val="24"/>
        </w:rPr>
        <w:t xml:space="preserve"> L, </w:t>
      </w:r>
      <w:proofErr w:type="spellStart"/>
      <w:r w:rsidRPr="005F6AF8">
        <w:rPr>
          <w:sz w:val="24"/>
          <w:szCs w:val="24"/>
        </w:rPr>
        <w:t>Fantini</w:t>
      </w:r>
      <w:proofErr w:type="spellEnd"/>
      <w:r w:rsidRPr="005F6AF8">
        <w:rPr>
          <w:sz w:val="24"/>
          <w:szCs w:val="24"/>
        </w:rPr>
        <w:t xml:space="preserve"> MP, Ferrero A, Gehring U. Variations in the prevalence of childhood asthma and wheeze in </w:t>
      </w:r>
      <w:proofErr w:type="spellStart"/>
      <w:r w:rsidRPr="005F6AF8">
        <w:rPr>
          <w:sz w:val="24"/>
          <w:szCs w:val="24"/>
        </w:rPr>
        <w:t>MeDALL</w:t>
      </w:r>
      <w:proofErr w:type="spellEnd"/>
      <w:r w:rsidRPr="005F6AF8">
        <w:rPr>
          <w:sz w:val="24"/>
          <w:szCs w:val="24"/>
        </w:rPr>
        <w:t xml:space="preserve"> cohorts in Europe. ERJ open research. 2017 Jul 1;3(3).</w:t>
      </w:r>
    </w:p>
    <w:p w14:paraId="5DA89957" w14:textId="77777777" w:rsidR="00F3737A" w:rsidRPr="005F6AF8" w:rsidRDefault="00F3737A" w:rsidP="00F3737A">
      <w:pPr>
        <w:numPr>
          <w:ilvl w:val="0"/>
          <w:numId w:val="4"/>
        </w:numPr>
        <w:contextualSpacing/>
        <w:rPr>
          <w:sz w:val="24"/>
          <w:szCs w:val="24"/>
        </w:rPr>
      </w:pPr>
      <w:r w:rsidRPr="005F6AF8">
        <w:rPr>
          <w:sz w:val="24"/>
          <w:szCs w:val="24"/>
        </w:rPr>
        <w:t xml:space="preserve">Bloom CI, </w:t>
      </w:r>
      <w:proofErr w:type="spellStart"/>
      <w:r w:rsidRPr="005F6AF8">
        <w:rPr>
          <w:sz w:val="24"/>
          <w:szCs w:val="24"/>
        </w:rPr>
        <w:t>Saglani</w:t>
      </w:r>
      <w:proofErr w:type="spellEnd"/>
      <w:r w:rsidRPr="005F6AF8">
        <w:rPr>
          <w:sz w:val="24"/>
          <w:szCs w:val="24"/>
        </w:rPr>
        <w:t xml:space="preserve"> S, </w:t>
      </w:r>
      <w:proofErr w:type="spellStart"/>
      <w:r w:rsidRPr="005F6AF8">
        <w:rPr>
          <w:sz w:val="24"/>
          <w:szCs w:val="24"/>
        </w:rPr>
        <w:t>Feary</w:t>
      </w:r>
      <w:proofErr w:type="spellEnd"/>
      <w:r w:rsidRPr="005F6AF8">
        <w:rPr>
          <w:sz w:val="24"/>
          <w:szCs w:val="24"/>
        </w:rPr>
        <w:t xml:space="preserve"> J, Jarvis D, Quint JK. Changing prevalence of current asthma and inhaled corticosteroid treatment in the UK: population-based cohort 2006–2016. European Respiratory Journal. 2019 Apr 1;53(4).</w:t>
      </w:r>
    </w:p>
    <w:p w14:paraId="280F77C6" w14:textId="77777777" w:rsidR="00F3737A" w:rsidRPr="005F6AF8" w:rsidRDefault="00F3737A" w:rsidP="00F3737A">
      <w:pPr>
        <w:numPr>
          <w:ilvl w:val="0"/>
          <w:numId w:val="4"/>
        </w:numPr>
        <w:contextualSpacing/>
        <w:rPr>
          <w:sz w:val="24"/>
          <w:szCs w:val="24"/>
        </w:rPr>
      </w:pPr>
      <w:proofErr w:type="spellStart"/>
      <w:r w:rsidRPr="005F6AF8">
        <w:rPr>
          <w:sz w:val="24"/>
          <w:szCs w:val="24"/>
        </w:rPr>
        <w:t>Sestini</w:t>
      </w:r>
      <w:proofErr w:type="spellEnd"/>
      <w:r w:rsidRPr="005F6AF8">
        <w:rPr>
          <w:sz w:val="24"/>
          <w:szCs w:val="24"/>
        </w:rPr>
        <w:t xml:space="preserve"> P, De </w:t>
      </w:r>
      <w:proofErr w:type="spellStart"/>
      <w:r w:rsidRPr="005F6AF8">
        <w:rPr>
          <w:sz w:val="24"/>
          <w:szCs w:val="24"/>
        </w:rPr>
        <w:t>Sario</w:t>
      </w:r>
      <w:proofErr w:type="spellEnd"/>
      <w:r w:rsidRPr="005F6AF8">
        <w:rPr>
          <w:sz w:val="24"/>
          <w:szCs w:val="24"/>
        </w:rPr>
        <w:t xml:space="preserve"> M, </w:t>
      </w:r>
      <w:proofErr w:type="spellStart"/>
      <w:r w:rsidRPr="005F6AF8">
        <w:rPr>
          <w:sz w:val="24"/>
          <w:szCs w:val="24"/>
        </w:rPr>
        <w:t>Bugiani</w:t>
      </w:r>
      <w:proofErr w:type="spellEnd"/>
      <w:r w:rsidRPr="005F6AF8">
        <w:rPr>
          <w:sz w:val="24"/>
          <w:szCs w:val="24"/>
        </w:rPr>
        <w:t xml:space="preserve"> M, </w:t>
      </w:r>
      <w:proofErr w:type="spellStart"/>
      <w:r w:rsidRPr="005F6AF8">
        <w:rPr>
          <w:sz w:val="24"/>
          <w:szCs w:val="24"/>
        </w:rPr>
        <w:t>Bisanti</w:t>
      </w:r>
      <w:proofErr w:type="spellEnd"/>
      <w:r w:rsidRPr="005F6AF8">
        <w:rPr>
          <w:sz w:val="24"/>
          <w:szCs w:val="24"/>
        </w:rPr>
        <w:t xml:space="preserve"> L, </w:t>
      </w:r>
      <w:proofErr w:type="spellStart"/>
      <w:r w:rsidRPr="005F6AF8">
        <w:rPr>
          <w:sz w:val="24"/>
          <w:szCs w:val="24"/>
        </w:rPr>
        <w:t>Giannella</w:t>
      </w:r>
      <w:proofErr w:type="spellEnd"/>
      <w:r w:rsidRPr="005F6AF8">
        <w:rPr>
          <w:sz w:val="24"/>
          <w:szCs w:val="24"/>
        </w:rPr>
        <w:t xml:space="preserve"> G, </w:t>
      </w:r>
      <w:proofErr w:type="spellStart"/>
      <w:r w:rsidRPr="005F6AF8">
        <w:rPr>
          <w:sz w:val="24"/>
          <w:szCs w:val="24"/>
        </w:rPr>
        <w:t>Kaisermann</w:t>
      </w:r>
      <w:proofErr w:type="spellEnd"/>
      <w:r w:rsidRPr="005F6AF8">
        <w:rPr>
          <w:sz w:val="24"/>
          <w:szCs w:val="24"/>
        </w:rPr>
        <w:t xml:space="preserve"> D, </w:t>
      </w:r>
      <w:proofErr w:type="spellStart"/>
      <w:r w:rsidRPr="005F6AF8">
        <w:rPr>
          <w:sz w:val="24"/>
          <w:szCs w:val="24"/>
        </w:rPr>
        <w:t>Frasca</w:t>
      </w:r>
      <w:proofErr w:type="spellEnd"/>
      <w:r w:rsidRPr="005F6AF8">
        <w:rPr>
          <w:sz w:val="24"/>
          <w:szCs w:val="24"/>
        </w:rPr>
        <w:t xml:space="preserve"> G, Lombardi E, </w:t>
      </w:r>
      <w:proofErr w:type="spellStart"/>
      <w:r w:rsidRPr="005F6AF8">
        <w:rPr>
          <w:sz w:val="24"/>
          <w:szCs w:val="24"/>
        </w:rPr>
        <w:t>Petronio</w:t>
      </w:r>
      <w:proofErr w:type="spellEnd"/>
      <w:r w:rsidRPr="005F6AF8">
        <w:rPr>
          <w:sz w:val="24"/>
          <w:szCs w:val="24"/>
        </w:rPr>
        <w:t xml:space="preserve"> MG, </w:t>
      </w:r>
      <w:proofErr w:type="spellStart"/>
      <w:r w:rsidRPr="005F6AF8">
        <w:rPr>
          <w:sz w:val="24"/>
          <w:szCs w:val="24"/>
        </w:rPr>
        <w:t>Dell'Orco</w:t>
      </w:r>
      <w:proofErr w:type="spellEnd"/>
      <w:r w:rsidRPr="005F6AF8">
        <w:rPr>
          <w:sz w:val="24"/>
          <w:szCs w:val="24"/>
        </w:rPr>
        <w:t xml:space="preserve"> V, </w:t>
      </w:r>
      <w:proofErr w:type="spellStart"/>
      <w:r w:rsidRPr="005F6AF8">
        <w:rPr>
          <w:sz w:val="24"/>
          <w:szCs w:val="24"/>
        </w:rPr>
        <w:t>Indinnimeo</w:t>
      </w:r>
      <w:proofErr w:type="spellEnd"/>
      <w:r w:rsidRPr="005F6AF8">
        <w:rPr>
          <w:sz w:val="24"/>
          <w:szCs w:val="24"/>
        </w:rPr>
        <w:t xml:space="preserve"> L. Frequency of asthma and allergies in Italian children and adolescents: results from SIDRIA-2. </w:t>
      </w:r>
      <w:proofErr w:type="spellStart"/>
      <w:r w:rsidRPr="005F6AF8">
        <w:rPr>
          <w:sz w:val="24"/>
          <w:szCs w:val="24"/>
        </w:rPr>
        <w:t>Epidemiologia</w:t>
      </w:r>
      <w:proofErr w:type="spellEnd"/>
      <w:r w:rsidRPr="005F6AF8">
        <w:rPr>
          <w:sz w:val="24"/>
          <w:szCs w:val="24"/>
        </w:rPr>
        <w:t xml:space="preserve"> e </w:t>
      </w:r>
      <w:proofErr w:type="spellStart"/>
      <w:r w:rsidRPr="005F6AF8">
        <w:rPr>
          <w:sz w:val="24"/>
          <w:szCs w:val="24"/>
        </w:rPr>
        <w:t>prevenzione</w:t>
      </w:r>
      <w:proofErr w:type="spellEnd"/>
      <w:r w:rsidRPr="005F6AF8">
        <w:rPr>
          <w:sz w:val="24"/>
          <w:szCs w:val="24"/>
        </w:rPr>
        <w:t xml:space="preserve">. 2005 Mar 1;29(2 </w:t>
      </w:r>
      <w:proofErr w:type="spellStart"/>
      <w:r w:rsidRPr="005F6AF8">
        <w:rPr>
          <w:sz w:val="24"/>
          <w:szCs w:val="24"/>
        </w:rPr>
        <w:t>Suppl</w:t>
      </w:r>
      <w:proofErr w:type="spellEnd"/>
      <w:r w:rsidRPr="005F6AF8">
        <w:rPr>
          <w:sz w:val="24"/>
          <w:szCs w:val="24"/>
        </w:rPr>
        <w:t>):24-31</w:t>
      </w:r>
    </w:p>
    <w:p w14:paraId="7472A03F" w14:textId="77777777" w:rsidR="00F3737A" w:rsidRPr="005F6AF8" w:rsidRDefault="00F3737A" w:rsidP="00F3737A">
      <w:pPr>
        <w:numPr>
          <w:ilvl w:val="0"/>
          <w:numId w:val="4"/>
        </w:numPr>
        <w:contextualSpacing/>
        <w:rPr>
          <w:sz w:val="24"/>
          <w:szCs w:val="24"/>
        </w:rPr>
      </w:pPr>
      <w:r w:rsidRPr="005F6AF8">
        <w:rPr>
          <w:sz w:val="24"/>
          <w:szCs w:val="24"/>
        </w:rPr>
        <w:t xml:space="preserve">Alvarez-Alvarez I, </w:t>
      </w:r>
      <w:proofErr w:type="spellStart"/>
      <w:r w:rsidRPr="005F6AF8">
        <w:rPr>
          <w:sz w:val="24"/>
          <w:szCs w:val="24"/>
        </w:rPr>
        <w:t>Niu</w:t>
      </w:r>
      <w:proofErr w:type="spellEnd"/>
      <w:r w:rsidRPr="005F6AF8">
        <w:rPr>
          <w:sz w:val="24"/>
          <w:szCs w:val="24"/>
        </w:rPr>
        <w:t xml:space="preserve"> H, Guillen-</w:t>
      </w:r>
      <w:proofErr w:type="spellStart"/>
      <w:r w:rsidRPr="005F6AF8">
        <w:rPr>
          <w:sz w:val="24"/>
          <w:szCs w:val="24"/>
        </w:rPr>
        <w:t>Grima</w:t>
      </w:r>
      <w:proofErr w:type="spellEnd"/>
      <w:r w:rsidRPr="005F6AF8">
        <w:rPr>
          <w:sz w:val="24"/>
          <w:szCs w:val="24"/>
        </w:rPr>
        <w:t xml:space="preserve"> F, </w:t>
      </w:r>
      <w:proofErr w:type="spellStart"/>
      <w:r w:rsidRPr="005F6AF8">
        <w:rPr>
          <w:sz w:val="24"/>
          <w:szCs w:val="24"/>
        </w:rPr>
        <w:t>Aguinaga-Ontoso</w:t>
      </w:r>
      <w:proofErr w:type="spellEnd"/>
      <w:r w:rsidRPr="005F6AF8">
        <w:rPr>
          <w:sz w:val="24"/>
          <w:szCs w:val="24"/>
        </w:rPr>
        <w:t xml:space="preserve"> I. Meta-analysis of prevalence of wheezing and recurrent wheezing in infants. </w:t>
      </w:r>
      <w:proofErr w:type="spellStart"/>
      <w:r w:rsidRPr="005F6AF8">
        <w:rPr>
          <w:sz w:val="24"/>
          <w:szCs w:val="24"/>
        </w:rPr>
        <w:t>Allergologia</w:t>
      </w:r>
      <w:proofErr w:type="spellEnd"/>
      <w:r w:rsidRPr="005F6AF8">
        <w:rPr>
          <w:sz w:val="24"/>
          <w:szCs w:val="24"/>
        </w:rPr>
        <w:t xml:space="preserve"> et </w:t>
      </w:r>
      <w:proofErr w:type="spellStart"/>
      <w:r w:rsidRPr="005F6AF8">
        <w:rPr>
          <w:sz w:val="24"/>
          <w:szCs w:val="24"/>
        </w:rPr>
        <w:t>immunopathologia</w:t>
      </w:r>
      <w:proofErr w:type="spellEnd"/>
      <w:r w:rsidRPr="005F6AF8">
        <w:rPr>
          <w:sz w:val="24"/>
          <w:szCs w:val="24"/>
        </w:rPr>
        <w:t>. 2018 May 1;46(3):210-7.</w:t>
      </w:r>
    </w:p>
    <w:p w14:paraId="6C7A8F5D" w14:textId="4DE43A0D" w:rsidR="00F3737A" w:rsidRPr="005F6AF8" w:rsidRDefault="00F3737A" w:rsidP="00F3737A">
      <w:pPr>
        <w:numPr>
          <w:ilvl w:val="0"/>
          <w:numId w:val="4"/>
        </w:numPr>
        <w:contextualSpacing/>
        <w:rPr>
          <w:sz w:val="24"/>
          <w:szCs w:val="24"/>
        </w:rPr>
      </w:pPr>
      <w:r w:rsidRPr="005F6AF8">
        <w:rPr>
          <w:sz w:val="24"/>
          <w:szCs w:val="24"/>
        </w:rPr>
        <w:t xml:space="preserve">Lai CK, Beasley R, Crane J, </w:t>
      </w:r>
      <w:proofErr w:type="spellStart"/>
      <w:r w:rsidRPr="005F6AF8">
        <w:rPr>
          <w:sz w:val="24"/>
          <w:szCs w:val="24"/>
        </w:rPr>
        <w:t>Foliaki</w:t>
      </w:r>
      <w:proofErr w:type="spellEnd"/>
      <w:r w:rsidRPr="005F6AF8">
        <w:rPr>
          <w:sz w:val="24"/>
          <w:szCs w:val="24"/>
        </w:rPr>
        <w:t xml:space="preserve"> S, Shah J, Weiland S, ISAAC Phase Three Study Group. Global variation in the prevalence and severity of asthma symptoms: phase three of the International Study of Asthma and Allergies in Childhood (ISAAC). Thorax. 2009 Jun 1;64(6):476-83.</w:t>
      </w:r>
    </w:p>
    <w:p w14:paraId="4793DB90" w14:textId="2EC1EEB7" w:rsidR="00945057" w:rsidRPr="005F6AF8" w:rsidRDefault="00945057" w:rsidP="00F3737A">
      <w:pPr>
        <w:numPr>
          <w:ilvl w:val="0"/>
          <w:numId w:val="4"/>
        </w:numPr>
        <w:contextualSpacing/>
        <w:rPr>
          <w:sz w:val="24"/>
          <w:szCs w:val="24"/>
        </w:rPr>
      </w:pPr>
      <w:r w:rsidRPr="005F6AF8">
        <w:rPr>
          <w:sz w:val="24"/>
          <w:szCs w:val="24"/>
        </w:rPr>
        <w:t xml:space="preserve">Duggan EM, </w:t>
      </w:r>
      <w:proofErr w:type="spellStart"/>
      <w:r w:rsidRPr="005F6AF8">
        <w:rPr>
          <w:sz w:val="24"/>
          <w:szCs w:val="24"/>
        </w:rPr>
        <w:t>Sturley</w:t>
      </w:r>
      <w:proofErr w:type="spellEnd"/>
      <w:r w:rsidRPr="005F6AF8">
        <w:rPr>
          <w:sz w:val="24"/>
          <w:szCs w:val="24"/>
        </w:rPr>
        <w:t xml:space="preserve"> J, Fitzgerald AP, Perry IJ, Hourihane JO. The 2002–2007 trends of prevalence of asthma, allergic </w:t>
      </w:r>
      <w:proofErr w:type="gramStart"/>
      <w:r w:rsidRPr="005F6AF8">
        <w:rPr>
          <w:sz w:val="24"/>
          <w:szCs w:val="24"/>
        </w:rPr>
        <w:t>rhinitis</w:t>
      </w:r>
      <w:proofErr w:type="gramEnd"/>
      <w:r w:rsidRPr="005F6AF8">
        <w:rPr>
          <w:sz w:val="24"/>
          <w:szCs w:val="24"/>
        </w:rPr>
        <w:t xml:space="preserve"> and eczema in Irish schoolchildren. </w:t>
      </w:r>
      <w:proofErr w:type="spellStart"/>
      <w:r w:rsidRPr="005F6AF8">
        <w:rPr>
          <w:sz w:val="24"/>
          <w:szCs w:val="24"/>
        </w:rPr>
        <w:t>Pediatric</w:t>
      </w:r>
      <w:proofErr w:type="spellEnd"/>
      <w:r w:rsidRPr="005F6AF8">
        <w:rPr>
          <w:sz w:val="24"/>
          <w:szCs w:val="24"/>
        </w:rPr>
        <w:t xml:space="preserve"> allergy and immunology. 2012 Aug;23(5):464-71.</w:t>
      </w:r>
    </w:p>
    <w:p w14:paraId="60EFB486" w14:textId="05CB4D07" w:rsidR="008C6AF1" w:rsidRPr="005F6AF8" w:rsidRDefault="008C6AF1" w:rsidP="00F3737A">
      <w:pPr>
        <w:numPr>
          <w:ilvl w:val="0"/>
          <w:numId w:val="4"/>
        </w:numPr>
        <w:contextualSpacing/>
        <w:rPr>
          <w:sz w:val="24"/>
          <w:szCs w:val="24"/>
        </w:rPr>
      </w:pPr>
      <w:r w:rsidRPr="005F6AF8">
        <w:rPr>
          <w:sz w:val="24"/>
          <w:szCs w:val="24"/>
        </w:rPr>
        <w:t xml:space="preserve">Ciccone G, </w:t>
      </w:r>
      <w:proofErr w:type="spellStart"/>
      <w:r w:rsidRPr="005F6AF8">
        <w:rPr>
          <w:sz w:val="24"/>
          <w:szCs w:val="24"/>
        </w:rPr>
        <w:t>Camarlengo</w:t>
      </w:r>
      <w:proofErr w:type="spellEnd"/>
      <w:r w:rsidRPr="005F6AF8">
        <w:rPr>
          <w:sz w:val="24"/>
          <w:szCs w:val="24"/>
        </w:rPr>
        <w:t xml:space="preserve"> A, </w:t>
      </w:r>
      <w:proofErr w:type="spellStart"/>
      <w:r w:rsidRPr="005F6AF8">
        <w:rPr>
          <w:sz w:val="24"/>
          <w:szCs w:val="24"/>
        </w:rPr>
        <w:t>Bugiani</w:t>
      </w:r>
      <w:proofErr w:type="spellEnd"/>
      <w:r w:rsidRPr="005F6AF8">
        <w:rPr>
          <w:sz w:val="24"/>
          <w:szCs w:val="24"/>
        </w:rPr>
        <w:t xml:space="preserve"> M, Dalmasso P, </w:t>
      </w:r>
      <w:proofErr w:type="spellStart"/>
      <w:r w:rsidRPr="005F6AF8">
        <w:rPr>
          <w:sz w:val="24"/>
          <w:szCs w:val="24"/>
        </w:rPr>
        <w:t>Faggiano</w:t>
      </w:r>
      <w:proofErr w:type="spellEnd"/>
      <w:r w:rsidRPr="005F6AF8">
        <w:rPr>
          <w:sz w:val="24"/>
          <w:szCs w:val="24"/>
        </w:rPr>
        <w:t xml:space="preserve"> F, Volante T, Magnani C, Natale P, </w:t>
      </w:r>
      <w:proofErr w:type="spellStart"/>
      <w:r w:rsidRPr="005F6AF8">
        <w:rPr>
          <w:sz w:val="24"/>
          <w:szCs w:val="24"/>
        </w:rPr>
        <w:t>Piccioni</w:t>
      </w:r>
      <w:proofErr w:type="spellEnd"/>
      <w:r w:rsidRPr="005F6AF8">
        <w:rPr>
          <w:sz w:val="24"/>
          <w:szCs w:val="24"/>
        </w:rPr>
        <w:t xml:space="preserve"> P, </w:t>
      </w:r>
      <w:proofErr w:type="spellStart"/>
      <w:r w:rsidRPr="005F6AF8">
        <w:rPr>
          <w:sz w:val="24"/>
          <w:szCs w:val="24"/>
        </w:rPr>
        <w:t>Bisanti</w:t>
      </w:r>
      <w:proofErr w:type="spellEnd"/>
      <w:r w:rsidRPr="005F6AF8">
        <w:rPr>
          <w:sz w:val="24"/>
          <w:szCs w:val="24"/>
        </w:rPr>
        <w:t xml:space="preserve"> L, </w:t>
      </w:r>
      <w:proofErr w:type="spellStart"/>
      <w:r w:rsidRPr="005F6AF8">
        <w:rPr>
          <w:sz w:val="24"/>
          <w:szCs w:val="24"/>
        </w:rPr>
        <w:t>Gianelle</w:t>
      </w:r>
      <w:proofErr w:type="spellEnd"/>
      <w:r w:rsidRPr="005F6AF8">
        <w:rPr>
          <w:sz w:val="24"/>
          <w:szCs w:val="24"/>
        </w:rPr>
        <w:t xml:space="preserve"> V. </w:t>
      </w:r>
      <w:proofErr w:type="gramStart"/>
      <w:r w:rsidRPr="005F6AF8">
        <w:rPr>
          <w:sz w:val="24"/>
          <w:szCs w:val="24"/>
        </w:rPr>
        <w:t>Asthma</w:t>
      </w:r>
      <w:proofErr w:type="gramEnd"/>
      <w:r w:rsidRPr="005F6AF8">
        <w:rPr>
          <w:sz w:val="24"/>
          <w:szCs w:val="24"/>
        </w:rPr>
        <w:t xml:space="preserve"> and respiratory symptoms in 6-7 </w:t>
      </w:r>
      <w:proofErr w:type="spellStart"/>
      <w:r w:rsidRPr="005F6AF8">
        <w:rPr>
          <w:sz w:val="24"/>
          <w:szCs w:val="24"/>
        </w:rPr>
        <w:t>yr</w:t>
      </w:r>
      <w:proofErr w:type="spellEnd"/>
      <w:r w:rsidRPr="005F6AF8">
        <w:rPr>
          <w:sz w:val="24"/>
          <w:szCs w:val="24"/>
        </w:rPr>
        <w:t xml:space="preserve"> old Italian children: gender, latitude, urbanization and socioeconomic factors. </w:t>
      </w:r>
      <w:proofErr w:type="spellStart"/>
      <w:r w:rsidRPr="005F6AF8">
        <w:rPr>
          <w:sz w:val="24"/>
          <w:szCs w:val="24"/>
        </w:rPr>
        <w:t>Eur</w:t>
      </w:r>
      <w:proofErr w:type="spellEnd"/>
      <w:r w:rsidRPr="005F6AF8">
        <w:rPr>
          <w:sz w:val="24"/>
          <w:szCs w:val="24"/>
        </w:rPr>
        <w:t xml:space="preserve"> Respir J. 1997 Aug </w:t>
      </w:r>
      <w:proofErr w:type="gramStart"/>
      <w:r w:rsidRPr="005F6AF8">
        <w:rPr>
          <w:sz w:val="24"/>
          <w:szCs w:val="24"/>
        </w:rPr>
        <w:t>1;10:1780</w:t>
      </w:r>
      <w:proofErr w:type="gramEnd"/>
      <w:r w:rsidRPr="005F6AF8">
        <w:rPr>
          <w:sz w:val="24"/>
          <w:szCs w:val="24"/>
        </w:rPr>
        <w:t>-6.</w:t>
      </w:r>
    </w:p>
    <w:p w14:paraId="6356A6E2" w14:textId="1C24520C" w:rsidR="009A531B" w:rsidRPr="005F6AF8" w:rsidRDefault="009A531B" w:rsidP="00F3737A">
      <w:pPr>
        <w:numPr>
          <w:ilvl w:val="0"/>
          <w:numId w:val="4"/>
        </w:numPr>
        <w:contextualSpacing/>
        <w:rPr>
          <w:sz w:val="24"/>
          <w:szCs w:val="24"/>
        </w:rPr>
      </w:pPr>
      <w:r w:rsidRPr="005F6AF8">
        <w:rPr>
          <w:sz w:val="24"/>
          <w:szCs w:val="24"/>
          <w:lang w:val="de-DE"/>
        </w:rPr>
        <w:t xml:space="preserve">Linneberg A, Simonsen JB, Petersen J, Stensballe LG, Benn CS. </w:t>
      </w:r>
      <w:r w:rsidRPr="005F6AF8">
        <w:rPr>
          <w:sz w:val="24"/>
          <w:szCs w:val="24"/>
        </w:rPr>
        <w:t xml:space="preserve">Differential effects of risk factors on infant wheeze and atopic dermatitis emphasize a different </w:t>
      </w:r>
      <w:proofErr w:type="spellStart"/>
      <w:r w:rsidRPr="005F6AF8">
        <w:rPr>
          <w:sz w:val="24"/>
          <w:szCs w:val="24"/>
        </w:rPr>
        <w:t>etiology</w:t>
      </w:r>
      <w:proofErr w:type="spellEnd"/>
      <w:r w:rsidRPr="005F6AF8">
        <w:rPr>
          <w:sz w:val="24"/>
          <w:szCs w:val="24"/>
        </w:rPr>
        <w:t>. Journal of Allergy and Clinical Immunology. 2006 Jan 1;117(1):184-9.</w:t>
      </w:r>
    </w:p>
    <w:p w14:paraId="386C5DC4" w14:textId="5D84E247" w:rsidR="003F701F" w:rsidRPr="005F6AF8" w:rsidRDefault="003F701F" w:rsidP="00F3737A">
      <w:pPr>
        <w:numPr>
          <w:ilvl w:val="0"/>
          <w:numId w:val="4"/>
        </w:numPr>
        <w:contextualSpacing/>
        <w:rPr>
          <w:sz w:val="24"/>
          <w:szCs w:val="24"/>
        </w:rPr>
      </w:pPr>
      <w:r w:rsidRPr="005F6AF8">
        <w:rPr>
          <w:sz w:val="24"/>
          <w:szCs w:val="24"/>
        </w:rPr>
        <w:t xml:space="preserve">Henriksen L, Simonsen J, </w:t>
      </w:r>
      <w:proofErr w:type="spellStart"/>
      <w:r w:rsidRPr="005F6AF8">
        <w:rPr>
          <w:sz w:val="24"/>
          <w:szCs w:val="24"/>
        </w:rPr>
        <w:t>Haerskjold</w:t>
      </w:r>
      <w:proofErr w:type="spellEnd"/>
      <w:r w:rsidRPr="005F6AF8">
        <w:rPr>
          <w:sz w:val="24"/>
          <w:szCs w:val="24"/>
        </w:rPr>
        <w:t xml:space="preserve"> A, Linder M, Kieler H, Thomsen SF, </w:t>
      </w:r>
      <w:proofErr w:type="spellStart"/>
      <w:r w:rsidRPr="005F6AF8">
        <w:rPr>
          <w:sz w:val="24"/>
          <w:szCs w:val="24"/>
        </w:rPr>
        <w:t>Stensballe</w:t>
      </w:r>
      <w:proofErr w:type="spellEnd"/>
      <w:r w:rsidRPr="005F6AF8">
        <w:rPr>
          <w:sz w:val="24"/>
          <w:szCs w:val="24"/>
        </w:rPr>
        <w:t xml:space="preserve"> LG. Incidence rates of atopic dermatitis, asthma, and allergic </w:t>
      </w:r>
      <w:proofErr w:type="spellStart"/>
      <w:r w:rsidRPr="005F6AF8">
        <w:rPr>
          <w:sz w:val="24"/>
          <w:szCs w:val="24"/>
        </w:rPr>
        <w:t>rhinoconjunctivitis</w:t>
      </w:r>
      <w:proofErr w:type="spellEnd"/>
      <w:r w:rsidRPr="005F6AF8">
        <w:rPr>
          <w:sz w:val="24"/>
          <w:szCs w:val="24"/>
        </w:rPr>
        <w:t xml:space="preserve"> in </w:t>
      </w:r>
      <w:r w:rsidRPr="005F6AF8">
        <w:rPr>
          <w:sz w:val="24"/>
          <w:szCs w:val="24"/>
        </w:rPr>
        <w:lastRenderedPageBreak/>
        <w:t>Danish and Swedish children. Journal of Allergy and Clinical Immunology. 2015 Aug 1;136(2):360-6.</w:t>
      </w:r>
    </w:p>
    <w:p w14:paraId="4DE9B6A7" w14:textId="049EB15D" w:rsidR="00057988" w:rsidRPr="005F6AF8" w:rsidRDefault="00A45474" w:rsidP="00F3737A">
      <w:pPr>
        <w:numPr>
          <w:ilvl w:val="0"/>
          <w:numId w:val="4"/>
        </w:numPr>
        <w:contextualSpacing/>
        <w:rPr>
          <w:sz w:val="24"/>
          <w:szCs w:val="24"/>
        </w:rPr>
      </w:pPr>
      <w:r w:rsidRPr="005F6AF8">
        <w:rPr>
          <w:sz w:val="24"/>
          <w:szCs w:val="24"/>
        </w:rPr>
        <w:t xml:space="preserve">Hoffmann F, </w:t>
      </w:r>
      <w:proofErr w:type="spellStart"/>
      <w:r w:rsidRPr="005F6AF8">
        <w:rPr>
          <w:sz w:val="24"/>
          <w:szCs w:val="24"/>
        </w:rPr>
        <w:t>Glaeske</w:t>
      </w:r>
      <w:proofErr w:type="spellEnd"/>
      <w:r w:rsidRPr="005F6AF8">
        <w:rPr>
          <w:sz w:val="24"/>
          <w:szCs w:val="24"/>
        </w:rPr>
        <w:t xml:space="preserve"> G. Prescriptions as a proxy for asthma in children: a good </w:t>
      </w:r>
      <w:proofErr w:type="gramStart"/>
      <w:r w:rsidRPr="005F6AF8">
        <w:rPr>
          <w:sz w:val="24"/>
          <w:szCs w:val="24"/>
        </w:rPr>
        <w:t>choice?.</w:t>
      </w:r>
      <w:proofErr w:type="gramEnd"/>
      <w:r w:rsidRPr="005F6AF8">
        <w:rPr>
          <w:sz w:val="24"/>
          <w:szCs w:val="24"/>
        </w:rPr>
        <w:t xml:space="preserve"> European journal of clinical pharmacology. 2010 Mar;66(3):307-13.</w:t>
      </w:r>
    </w:p>
    <w:p w14:paraId="5706F98D" w14:textId="35C453CF" w:rsidR="00A45474" w:rsidRPr="005F6AF8" w:rsidRDefault="006B34F3" w:rsidP="00F3737A">
      <w:pPr>
        <w:numPr>
          <w:ilvl w:val="0"/>
          <w:numId w:val="4"/>
        </w:numPr>
        <w:contextualSpacing/>
        <w:rPr>
          <w:sz w:val="24"/>
          <w:szCs w:val="24"/>
        </w:rPr>
      </w:pPr>
      <w:r w:rsidRPr="005F6AF8">
        <w:rPr>
          <w:sz w:val="24"/>
          <w:szCs w:val="24"/>
          <w:lang w:val="de-DE"/>
        </w:rPr>
        <w:t xml:space="preserve">Stock S, Redaelli M, Luengen M, Wendland G, Civello D, Lauterbach KW. </w:t>
      </w:r>
      <w:r w:rsidRPr="005F6AF8">
        <w:rPr>
          <w:sz w:val="24"/>
          <w:szCs w:val="24"/>
        </w:rPr>
        <w:t>Asthma: prevalence and cost of illness. European Respiratory Journal. 2005 Jan 1;25(1):47-53.</w:t>
      </w:r>
    </w:p>
    <w:p w14:paraId="34DAD401" w14:textId="7B582ACC" w:rsidR="00F3737A" w:rsidRPr="005F6AF8" w:rsidRDefault="00F3737A" w:rsidP="00F3737A">
      <w:pPr>
        <w:numPr>
          <w:ilvl w:val="0"/>
          <w:numId w:val="4"/>
        </w:numPr>
        <w:contextualSpacing/>
        <w:rPr>
          <w:sz w:val="24"/>
          <w:szCs w:val="24"/>
        </w:rPr>
      </w:pPr>
      <w:r w:rsidRPr="005F6AF8">
        <w:rPr>
          <w:sz w:val="24"/>
          <w:szCs w:val="24"/>
          <w:lang w:val="da-DK"/>
        </w:rPr>
        <w:t xml:space="preserve">Dik N, Tate RB, Manfreda J, Anthonisen NR. </w:t>
      </w:r>
      <w:r w:rsidRPr="005F6AF8">
        <w:rPr>
          <w:sz w:val="24"/>
          <w:szCs w:val="24"/>
        </w:rPr>
        <w:t>Risk of physician-diagnosed asthma in the first 6 years of life. Chest. 2004 Oct 1;126(4):1147-53.</w:t>
      </w:r>
    </w:p>
    <w:p w14:paraId="006ECB1A" w14:textId="30A08966" w:rsidR="00607E36" w:rsidRPr="005F6AF8" w:rsidRDefault="00607E36" w:rsidP="00F3737A">
      <w:pPr>
        <w:numPr>
          <w:ilvl w:val="0"/>
          <w:numId w:val="4"/>
        </w:numPr>
        <w:contextualSpacing/>
        <w:rPr>
          <w:sz w:val="24"/>
          <w:szCs w:val="24"/>
        </w:rPr>
      </w:pPr>
      <w:r w:rsidRPr="005F6AF8">
        <w:rPr>
          <w:sz w:val="24"/>
          <w:szCs w:val="24"/>
        </w:rPr>
        <w:t xml:space="preserve">Benoist G, Mokhtari M, </w:t>
      </w:r>
      <w:proofErr w:type="spellStart"/>
      <w:r w:rsidRPr="005F6AF8">
        <w:rPr>
          <w:sz w:val="24"/>
          <w:szCs w:val="24"/>
        </w:rPr>
        <w:t>Deschildre</w:t>
      </w:r>
      <w:proofErr w:type="spellEnd"/>
      <w:r w:rsidRPr="005F6AF8">
        <w:rPr>
          <w:sz w:val="24"/>
          <w:szCs w:val="24"/>
        </w:rPr>
        <w:t xml:space="preserve"> A, </w:t>
      </w:r>
      <w:proofErr w:type="spellStart"/>
      <w:r w:rsidRPr="005F6AF8">
        <w:rPr>
          <w:sz w:val="24"/>
          <w:szCs w:val="24"/>
        </w:rPr>
        <w:t>Khen</w:t>
      </w:r>
      <w:proofErr w:type="spellEnd"/>
      <w:r w:rsidRPr="005F6AF8">
        <w:rPr>
          <w:sz w:val="24"/>
          <w:szCs w:val="24"/>
        </w:rPr>
        <w:t xml:space="preserve">-Dunlop N, </w:t>
      </w:r>
      <w:proofErr w:type="spellStart"/>
      <w:r w:rsidRPr="005F6AF8">
        <w:rPr>
          <w:sz w:val="24"/>
          <w:szCs w:val="24"/>
        </w:rPr>
        <w:t>Storme</w:t>
      </w:r>
      <w:proofErr w:type="spellEnd"/>
      <w:r w:rsidRPr="005F6AF8">
        <w:rPr>
          <w:sz w:val="24"/>
          <w:szCs w:val="24"/>
        </w:rPr>
        <w:t xml:space="preserve"> L, </w:t>
      </w:r>
      <w:proofErr w:type="spellStart"/>
      <w:r w:rsidRPr="005F6AF8">
        <w:rPr>
          <w:sz w:val="24"/>
          <w:szCs w:val="24"/>
        </w:rPr>
        <w:t>Benachi</w:t>
      </w:r>
      <w:proofErr w:type="spellEnd"/>
      <w:r w:rsidRPr="005F6AF8">
        <w:rPr>
          <w:sz w:val="24"/>
          <w:szCs w:val="24"/>
        </w:rPr>
        <w:t xml:space="preserve"> A, </w:t>
      </w:r>
      <w:proofErr w:type="spellStart"/>
      <w:r w:rsidRPr="005F6AF8">
        <w:rPr>
          <w:sz w:val="24"/>
          <w:szCs w:val="24"/>
        </w:rPr>
        <w:t>Delacourt</w:t>
      </w:r>
      <w:proofErr w:type="spellEnd"/>
      <w:r w:rsidRPr="005F6AF8">
        <w:rPr>
          <w:sz w:val="24"/>
          <w:szCs w:val="24"/>
        </w:rPr>
        <w:t xml:space="preserve"> C. Risk of readmission for wheezing during infancy in children with congenital diaphragmatic hernia. </w:t>
      </w:r>
      <w:proofErr w:type="spellStart"/>
      <w:r w:rsidRPr="005F6AF8">
        <w:rPr>
          <w:sz w:val="24"/>
          <w:szCs w:val="24"/>
        </w:rPr>
        <w:t>PloS</w:t>
      </w:r>
      <w:proofErr w:type="spellEnd"/>
      <w:r w:rsidRPr="005F6AF8">
        <w:rPr>
          <w:sz w:val="24"/>
          <w:szCs w:val="24"/>
        </w:rPr>
        <w:t xml:space="preserve"> one. 2016 May 12;11(5</w:t>
      </w:r>
      <w:proofErr w:type="gramStart"/>
      <w:r w:rsidRPr="005F6AF8">
        <w:rPr>
          <w:sz w:val="24"/>
          <w:szCs w:val="24"/>
        </w:rPr>
        <w:t>):e</w:t>
      </w:r>
      <w:proofErr w:type="gramEnd"/>
      <w:r w:rsidRPr="005F6AF8">
        <w:rPr>
          <w:sz w:val="24"/>
          <w:szCs w:val="24"/>
        </w:rPr>
        <w:t>0155556</w:t>
      </w:r>
    </w:p>
    <w:p w14:paraId="4A03EF86" w14:textId="77777777" w:rsidR="00F3737A" w:rsidRPr="005F6AF8" w:rsidRDefault="00F3737A" w:rsidP="00F3737A">
      <w:pPr>
        <w:numPr>
          <w:ilvl w:val="0"/>
          <w:numId w:val="4"/>
        </w:numPr>
        <w:contextualSpacing/>
        <w:rPr>
          <w:sz w:val="24"/>
          <w:szCs w:val="24"/>
        </w:rPr>
      </w:pPr>
      <w:r w:rsidRPr="005F6AF8">
        <w:rPr>
          <w:sz w:val="24"/>
          <w:szCs w:val="24"/>
        </w:rPr>
        <w:t xml:space="preserve">Nassif M, van </w:t>
      </w:r>
      <w:proofErr w:type="spellStart"/>
      <w:r w:rsidRPr="005F6AF8">
        <w:rPr>
          <w:sz w:val="24"/>
          <w:szCs w:val="24"/>
        </w:rPr>
        <w:t>Steenwijk</w:t>
      </w:r>
      <w:proofErr w:type="spellEnd"/>
      <w:r w:rsidRPr="005F6AF8">
        <w:rPr>
          <w:sz w:val="24"/>
          <w:szCs w:val="24"/>
        </w:rPr>
        <w:t xml:space="preserve"> RP, </w:t>
      </w:r>
      <w:proofErr w:type="spellStart"/>
      <w:r w:rsidRPr="005F6AF8">
        <w:rPr>
          <w:sz w:val="24"/>
          <w:szCs w:val="24"/>
        </w:rPr>
        <w:t>Hogenhout</w:t>
      </w:r>
      <w:proofErr w:type="spellEnd"/>
      <w:r w:rsidRPr="005F6AF8">
        <w:rPr>
          <w:sz w:val="24"/>
          <w:szCs w:val="24"/>
        </w:rPr>
        <w:t xml:space="preserve"> JM, Lu H, de Bruin‐Bon RH, Hirsch A, </w:t>
      </w:r>
      <w:proofErr w:type="spellStart"/>
      <w:r w:rsidRPr="005F6AF8">
        <w:rPr>
          <w:sz w:val="24"/>
          <w:szCs w:val="24"/>
        </w:rPr>
        <w:t>Sterk</w:t>
      </w:r>
      <w:proofErr w:type="spellEnd"/>
      <w:r w:rsidRPr="005F6AF8">
        <w:rPr>
          <w:sz w:val="24"/>
          <w:szCs w:val="24"/>
        </w:rPr>
        <w:t xml:space="preserve"> PJ, Bouma BJ, </w:t>
      </w:r>
      <w:proofErr w:type="spellStart"/>
      <w:r w:rsidRPr="005F6AF8">
        <w:rPr>
          <w:sz w:val="24"/>
          <w:szCs w:val="24"/>
        </w:rPr>
        <w:t>Straver</w:t>
      </w:r>
      <w:proofErr w:type="spellEnd"/>
      <w:r w:rsidRPr="005F6AF8">
        <w:rPr>
          <w:sz w:val="24"/>
          <w:szCs w:val="24"/>
        </w:rPr>
        <w:t xml:space="preserve"> B, </w:t>
      </w:r>
      <w:proofErr w:type="spellStart"/>
      <w:r w:rsidRPr="005F6AF8">
        <w:rPr>
          <w:sz w:val="24"/>
          <w:szCs w:val="24"/>
        </w:rPr>
        <w:t>Tijssen</w:t>
      </w:r>
      <w:proofErr w:type="spellEnd"/>
      <w:r w:rsidRPr="005F6AF8">
        <w:rPr>
          <w:sz w:val="24"/>
          <w:szCs w:val="24"/>
        </w:rPr>
        <w:t xml:space="preserve"> JG, Mulder BJ. Atrial septal defect in adults is associated with airway hyperresponsiveness. Congenital heart disease. 2018 Nov;13(6):959-66.</w:t>
      </w:r>
    </w:p>
    <w:p w14:paraId="1408B442" w14:textId="77777777" w:rsidR="00F3737A" w:rsidRPr="005F6AF8" w:rsidRDefault="00F3737A" w:rsidP="00F3737A">
      <w:pPr>
        <w:numPr>
          <w:ilvl w:val="0"/>
          <w:numId w:val="4"/>
        </w:numPr>
        <w:contextualSpacing/>
        <w:rPr>
          <w:sz w:val="24"/>
          <w:szCs w:val="24"/>
        </w:rPr>
      </w:pPr>
      <w:r w:rsidRPr="005F6AF8">
        <w:rPr>
          <w:sz w:val="24"/>
          <w:szCs w:val="24"/>
        </w:rPr>
        <w:t xml:space="preserve">Agrawal L, </w:t>
      </w:r>
      <w:proofErr w:type="spellStart"/>
      <w:r w:rsidRPr="005F6AF8">
        <w:rPr>
          <w:sz w:val="24"/>
          <w:szCs w:val="24"/>
        </w:rPr>
        <w:t>Beardsmore</w:t>
      </w:r>
      <w:proofErr w:type="spellEnd"/>
      <w:r w:rsidRPr="005F6AF8">
        <w:rPr>
          <w:sz w:val="24"/>
          <w:szCs w:val="24"/>
        </w:rPr>
        <w:t xml:space="preserve"> CS, MacFadyen UM. Respiratory function in childhood following repair of oesophageal atresia and tracheoesophageal fistula. Archives of disease in childhood. 1999 Nov 1;81(5):404-8.</w:t>
      </w:r>
    </w:p>
    <w:p w14:paraId="2CF813E1" w14:textId="4B304231" w:rsidR="00F3737A" w:rsidRPr="005F6AF8" w:rsidRDefault="00F3737A" w:rsidP="00F3737A">
      <w:pPr>
        <w:numPr>
          <w:ilvl w:val="0"/>
          <w:numId w:val="4"/>
        </w:numPr>
        <w:contextualSpacing/>
        <w:rPr>
          <w:sz w:val="24"/>
          <w:szCs w:val="24"/>
        </w:rPr>
      </w:pPr>
      <w:r w:rsidRPr="005F6AF8">
        <w:rPr>
          <w:sz w:val="24"/>
          <w:szCs w:val="24"/>
        </w:rPr>
        <w:t xml:space="preserve">Boyd PA, </w:t>
      </w:r>
      <w:proofErr w:type="spellStart"/>
      <w:r w:rsidRPr="005F6AF8">
        <w:rPr>
          <w:sz w:val="24"/>
          <w:szCs w:val="24"/>
        </w:rPr>
        <w:t>Haeusler</w:t>
      </w:r>
      <w:proofErr w:type="spellEnd"/>
      <w:r w:rsidRPr="005F6AF8">
        <w:rPr>
          <w:sz w:val="24"/>
          <w:szCs w:val="24"/>
        </w:rPr>
        <w:t xml:space="preserve"> M, Barisic I, Loane M, Garne E, Dolk H. Paper 1: The EUROCAT network—organization and processes. </w:t>
      </w:r>
      <w:r w:rsidRPr="005F6AF8">
        <w:rPr>
          <w:i/>
          <w:sz w:val="24"/>
          <w:szCs w:val="24"/>
        </w:rPr>
        <w:t xml:space="preserve">Birth Defects Research Part A, Clinical and Molecular Teratology. </w:t>
      </w:r>
      <w:r w:rsidRPr="005F6AF8">
        <w:rPr>
          <w:sz w:val="24"/>
          <w:szCs w:val="24"/>
        </w:rPr>
        <w:t>2011;91(S1</w:t>
      </w:r>
      <w:proofErr w:type="gramStart"/>
      <w:r w:rsidRPr="005F6AF8">
        <w:rPr>
          <w:sz w:val="24"/>
          <w:szCs w:val="24"/>
        </w:rPr>
        <w:t>):S</w:t>
      </w:r>
      <w:proofErr w:type="gramEnd"/>
      <w:r w:rsidRPr="005F6AF8">
        <w:rPr>
          <w:sz w:val="24"/>
          <w:szCs w:val="24"/>
        </w:rPr>
        <w:t>2-S15.</w:t>
      </w:r>
    </w:p>
    <w:p w14:paraId="15682978" w14:textId="4178A051" w:rsidR="002A6F54" w:rsidRPr="005F6AF8" w:rsidRDefault="002A6F54" w:rsidP="00F3737A">
      <w:pPr>
        <w:numPr>
          <w:ilvl w:val="0"/>
          <w:numId w:val="4"/>
        </w:numPr>
        <w:contextualSpacing/>
        <w:rPr>
          <w:sz w:val="24"/>
          <w:szCs w:val="24"/>
        </w:rPr>
      </w:pPr>
      <w:r w:rsidRPr="005F6AF8">
        <w:rPr>
          <w:sz w:val="24"/>
          <w:szCs w:val="24"/>
          <w:lang w:val="da-DK"/>
        </w:rPr>
        <w:t xml:space="preserve">Morris JK, Garne E, Loane M, Barisic I, Densem J, Latos-Bieleńska A, et al. </w:t>
      </w:r>
      <w:r w:rsidRPr="005F6AF8">
        <w:rPr>
          <w:sz w:val="24"/>
          <w:szCs w:val="24"/>
        </w:rPr>
        <w:t xml:space="preserve">EUROlinkCAT protocol for a European population-based data linkage study investigating the survival, </w:t>
      </w:r>
      <w:proofErr w:type="gramStart"/>
      <w:r w:rsidRPr="005F6AF8">
        <w:rPr>
          <w:sz w:val="24"/>
          <w:szCs w:val="24"/>
        </w:rPr>
        <w:t>morbidity</w:t>
      </w:r>
      <w:proofErr w:type="gramEnd"/>
      <w:r w:rsidRPr="005F6AF8">
        <w:rPr>
          <w:sz w:val="24"/>
          <w:szCs w:val="24"/>
        </w:rPr>
        <w:t xml:space="preserve"> and education of children with congenital anomalies. BMJ Open. 2021;11(6</w:t>
      </w:r>
      <w:proofErr w:type="gramStart"/>
      <w:r w:rsidRPr="005F6AF8">
        <w:rPr>
          <w:sz w:val="24"/>
          <w:szCs w:val="24"/>
        </w:rPr>
        <w:t>):e</w:t>
      </w:r>
      <w:proofErr w:type="gramEnd"/>
      <w:r w:rsidRPr="005F6AF8">
        <w:rPr>
          <w:sz w:val="24"/>
          <w:szCs w:val="24"/>
        </w:rPr>
        <w:t>047859.</w:t>
      </w:r>
    </w:p>
    <w:p w14:paraId="10BCF61C" w14:textId="77777777" w:rsidR="0096627A" w:rsidRPr="005F6AF8" w:rsidRDefault="00733904" w:rsidP="00F3737A">
      <w:pPr>
        <w:numPr>
          <w:ilvl w:val="0"/>
          <w:numId w:val="4"/>
        </w:numPr>
        <w:contextualSpacing/>
        <w:rPr>
          <w:sz w:val="24"/>
          <w:szCs w:val="24"/>
        </w:rPr>
      </w:pPr>
      <w:r w:rsidRPr="005F6AF8">
        <w:rPr>
          <w:sz w:val="24"/>
          <w:szCs w:val="24"/>
        </w:rPr>
        <w:t xml:space="preserve">Loane M, Given JE, Tan J, </w:t>
      </w:r>
      <w:proofErr w:type="spellStart"/>
      <w:r w:rsidRPr="005F6AF8">
        <w:rPr>
          <w:sz w:val="24"/>
          <w:szCs w:val="24"/>
        </w:rPr>
        <w:t>Astolfi</w:t>
      </w:r>
      <w:proofErr w:type="spellEnd"/>
      <w:r w:rsidRPr="005F6AF8">
        <w:rPr>
          <w:sz w:val="24"/>
          <w:szCs w:val="24"/>
        </w:rPr>
        <w:t xml:space="preserve"> G, Barisic I, </w:t>
      </w:r>
      <w:proofErr w:type="spellStart"/>
      <w:r w:rsidRPr="005F6AF8">
        <w:rPr>
          <w:rFonts w:cstheme="minorHAnsi"/>
          <w:sz w:val="24"/>
          <w:szCs w:val="24"/>
        </w:rPr>
        <w:t>Carbonell</w:t>
      </w:r>
      <w:proofErr w:type="spellEnd"/>
      <w:r w:rsidRPr="005F6AF8">
        <w:rPr>
          <w:sz w:val="24"/>
          <w:szCs w:val="24"/>
        </w:rPr>
        <w:t xml:space="preserve"> CC, et al. (2021) Creating a population-based cohort of children born with and without congenital anomalies using birth data linked to hospital discharge databases in 11 European regions: assessment of linkage success and data quality. </w:t>
      </w:r>
      <w:proofErr w:type="spellStart"/>
      <w:r w:rsidRPr="005F6AF8">
        <w:rPr>
          <w:sz w:val="24"/>
          <w:szCs w:val="24"/>
        </w:rPr>
        <w:t>PLoS</w:t>
      </w:r>
      <w:proofErr w:type="spellEnd"/>
      <w:r w:rsidRPr="005F6AF8">
        <w:rPr>
          <w:sz w:val="24"/>
          <w:szCs w:val="24"/>
        </w:rPr>
        <w:t xml:space="preserve"> ONE (submitted) </w:t>
      </w:r>
    </w:p>
    <w:p w14:paraId="441F78A7" w14:textId="5F3F0C05" w:rsidR="00F3737A" w:rsidRPr="005F6AF8" w:rsidRDefault="00F3737A" w:rsidP="00F3737A">
      <w:pPr>
        <w:numPr>
          <w:ilvl w:val="0"/>
          <w:numId w:val="4"/>
        </w:numPr>
        <w:contextualSpacing/>
        <w:rPr>
          <w:sz w:val="24"/>
          <w:szCs w:val="24"/>
        </w:rPr>
      </w:pPr>
      <w:r w:rsidRPr="005F6AF8">
        <w:rPr>
          <w:sz w:val="24"/>
          <w:szCs w:val="24"/>
        </w:rPr>
        <w:t>EUROCAT (2020). EUROCAT Guide 1.4: instruction for the registration of congenital anomalies. EUROCAT Central Registry, Ulster University</w:t>
      </w:r>
    </w:p>
    <w:p w14:paraId="4ABB478A" w14:textId="3BEBC781" w:rsidR="000D246A" w:rsidRPr="005F6AF8" w:rsidRDefault="000D246A" w:rsidP="00F3737A">
      <w:pPr>
        <w:numPr>
          <w:ilvl w:val="0"/>
          <w:numId w:val="4"/>
        </w:numPr>
        <w:contextualSpacing/>
        <w:rPr>
          <w:sz w:val="24"/>
          <w:szCs w:val="24"/>
          <w:lang w:val="en-US"/>
        </w:rPr>
      </w:pPr>
      <w:proofErr w:type="spellStart"/>
      <w:r w:rsidRPr="005F6AF8">
        <w:rPr>
          <w:sz w:val="24"/>
          <w:szCs w:val="24"/>
          <w:lang w:val="en-US"/>
        </w:rPr>
        <w:t>DerSimonian</w:t>
      </w:r>
      <w:proofErr w:type="spellEnd"/>
      <w:r w:rsidRPr="005F6AF8">
        <w:rPr>
          <w:sz w:val="24"/>
          <w:szCs w:val="24"/>
          <w:lang w:val="en-US"/>
        </w:rPr>
        <w:t xml:space="preserve"> R, Laird N. Meta-analysis in clinical trials. Control Clin Trials. 1986; 7(3):177–88. https://doi.org/10.1016/0197-2456(86)90046-2.</w:t>
      </w:r>
    </w:p>
    <w:p w14:paraId="5741E6F7" w14:textId="77777777" w:rsidR="00F3737A" w:rsidRPr="005F6AF8" w:rsidRDefault="00F3737A" w:rsidP="00F3737A">
      <w:pPr>
        <w:numPr>
          <w:ilvl w:val="0"/>
          <w:numId w:val="4"/>
        </w:numPr>
        <w:contextualSpacing/>
        <w:rPr>
          <w:sz w:val="24"/>
          <w:szCs w:val="24"/>
        </w:rPr>
      </w:pPr>
      <w:proofErr w:type="spellStart"/>
      <w:r w:rsidRPr="005F6AF8">
        <w:rPr>
          <w:sz w:val="24"/>
          <w:szCs w:val="24"/>
        </w:rPr>
        <w:t>StataCorp</w:t>
      </w:r>
      <w:proofErr w:type="spellEnd"/>
      <w:r w:rsidRPr="005F6AF8">
        <w:rPr>
          <w:sz w:val="24"/>
          <w:szCs w:val="24"/>
        </w:rPr>
        <w:t xml:space="preserve">. 2021. </w:t>
      </w:r>
      <w:r w:rsidRPr="005F6AF8">
        <w:rPr>
          <w:i/>
          <w:iCs/>
          <w:sz w:val="24"/>
          <w:szCs w:val="24"/>
        </w:rPr>
        <w:t>Stata Statistical Software: Release 17</w:t>
      </w:r>
      <w:r w:rsidRPr="005F6AF8">
        <w:rPr>
          <w:sz w:val="24"/>
          <w:szCs w:val="24"/>
        </w:rPr>
        <w:t xml:space="preserve">. College Station, TX: </w:t>
      </w:r>
      <w:proofErr w:type="spellStart"/>
      <w:r w:rsidRPr="005F6AF8">
        <w:rPr>
          <w:sz w:val="24"/>
          <w:szCs w:val="24"/>
        </w:rPr>
        <w:t>StataCorp</w:t>
      </w:r>
      <w:proofErr w:type="spellEnd"/>
      <w:r w:rsidRPr="005F6AF8">
        <w:rPr>
          <w:sz w:val="24"/>
          <w:szCs w:val="24"/>
        </w:rPr>
        <w:t xml:space="preserve"> LLC.</w:t>
      </w:r>
    </w:p>
    <w:p w14:paraId="5CBD9123" w14:textId="77777777" w:rsidR="00454D9B" w:rsidRPr="005F6AF8" w:rsidRDefault="00454D9B" w:rsidP="00454D9B">
      <w:pPr>
        <w:numPr>
          <w:ilvl w:val="0"/>
          <w:numId w:val="4"/>
        </w:numPr>
        <w:contextualSpacing/>
        <w:rPr>
          <w:sz w:val="24"/>
          <w:szCs w:val="24"/>
        </w:rPr>
      </w:pPr>
      <w:r w:rsidRPr="005F6AF8">
        <w:rPr>
          <w:sz w:val="24"/>
          <w:szCs w:val="24"/>
        </w:rPr>
        <w:t xml:space="preserve">Brand PL, </w:t>
      </w:r>
      <w:proofErr w:type="spellStart"/>
      <w:r w:rsidRPr="005F6AF8">
        <w:rPr>
          <w:sz w:val="24"/>
          <w:szCs w:val="24"/>
        </w:rPr>
        <w:t>Baraldi</w:t>
      </w:r>
      <w:proofErr w:type="spellEnd"/>
      <w:r w:rsidRPr="005F6AF8">
        <w:rPr>
          <w:sz w:val="24"/>
          <w:szCs w:val="24"/>
        </w:rPr>
        <w:t xml:space="preserve"> E, Bisgaard H, Boner AL, Castro-Rodriguez JA, </w:t>
      </w:r>
      <w:proofErr w:type="spellStart"/>
      <w:r w:rsidRPr="005F6AF8">
        <w:rPr>
          <w:sz w:val="24"/>
          <w:szCs w:val="24"/>
        </w:rPr>
        <w:t>Custovic</w:t>
      </w:r>
      <w:proofErr w:type="spellEnd"/>
      <w:r w:rsidRPr="005F6AF8">
        <w:rPr>
          <w:sz w:val="24"/>
          <w:szCs w:val="24"/>
        </w:rPr>
        <w:t xml:space="preserve"> A, de </w:t>
      </w:r>
      <w:proofErr w:type="spellStart"/>
      <w:r w:rsidRPr="005F6AF8">
        <w:rPr>
          <w:sz w:val="24"/>
          <w:szCs w:val="24"/>
        </w:rPr>
        <w:t>Blic</w:t>
      </w:r>
      <w:proofErr w:type="spellEnd"/>
      <w:r w:rsidRPr="005F6AF8">
        <w:rPr>
          <w:sz w:val="24"/>
          <w:szCs w:val="24"/>
        </w:rPr>
        <w:t xml:space="preserve"> J, De </w:t>
      </w:r>
      <w:proofErr w:type="spellStart"/>
      <w:r w:rsidRPr="005F6AF8">
        <w:rPr>
          <w:sz w:val="24"/>
          <w:szCs w:val="24"/>
        </w:rPr>
        <w:t>Jongste</w:t>
      </w:r>
      <w:proofErr w:type="spellEnd"/>
      <w:r w:rsidRPr="005F6AF8">
        <w:rPr>
          <w:sz w:val="24"/>
          <w:szCs w:val="24"/>
        </w:rPr>
        <w:t xml:space="preserve"> JC, Eber E, Everard ML, Frey U. Definition, </w:t>
      </w:r>
      <w:proofErr w:type="gramStart"/>
      <w:r w:rsidRPr="005F6AF8">
        <w:rPr>
          <w:sz w:val="24"/>
          <w:szCs w:val="24"/>
        </w:rPr>
        <w:t>assessment</w:t>
      </w:r>
      <w:proofErr w:type="gramEnd"/>
      <w:r w:rsidRPr="005F6AF8">
        <w:rPr>
          <w:sz w:val="24"/>
          <w:szCs w:val="24"/>
        </w:rPr>
        <w:t xml:space="preserve"> and treatment of wheezing disorders in preschool children: an evidence-based approach. European Respiratory Journal. 2008 Oct 1;32(4):1096-110.</w:t>
      </w:r>
    </w:p>
    <w:p w14:paraId="054F9FE8" w14:textId="77777777" w:rsidR="00454D9B" w:rsidRPr="005F6AF8" w:rsidRDefault="00454D9B" w:rsidP="00454D9B">
      <w:pPr>
        <w:numPr>
          <w:ilvl w:val="0"/>
          <w:numId w:val="4"/>
        </w:numPr>
        <w:contextualSpacing/>
        <w:rPr>
          <w:sz w:val="24"/>
          <w:szCs w:val="24"/>
        </w:rPr>
      </w:pPr>
      <w:r w:rsidRPr="005F6AF8">
        <w:rPr>
          <w:sz w:val="24"/>
          <w:szCs w:val="24"/>
        </w:rPr>
        <w:t xml:space="preserve">Nair H, </w:t>
      </w:r>
      <w:proofErr w:type="spellStart"/>
      <w:r w:rsidRPr="005F6AF8">
        <w:rPr>
          <w:sz w:val="24"/>
          <w:szCs w:val="24"/>
        </w:rPr>
        <w:t>Nokes</w:t>
      </w:r>
      <w:proofErr w:type="spellEnd"/>
      <w:r w:rsidRPr="005F6AF8">
        <w:rPr>
          <w:sz w:val="24"/>
          <w:szCs w:val="24"/>
        </w:rPr>
        <w:t xml:space="preserve"> DJ, Gessner BD, </w:t>
      </w:r>
      <w:proofErr w:type="spellStart"/>
      <w:r w:rsidRPr="005F6AF8">
        <w:rPr>
          <w:sz w:val="24"/>
          <w:szCs w:val="24"/>
        </w:rPr>
        <w:t>Dherani</w:t>
      </w:r>
      <w:proofErr w:type="spellEnd"/>
      <w:r w:rsidRPr="005F6AF8">
        <w:rPr>
          <w:sz w:val="24"/>
          <w:szCs w:val="24"/>
        </w:rPr>
        <w:t xml:space="preserve"> M, </w:t>
      </w:r>
      <w:proofErr w:type="spellStart"/>
      <w:r w:rsidRPr="005F6AF8">
        <w:rPr>
          <w:sz w:val="24"/>
          <w:szCs w:val="24"/>
        </w:rPr>
        <w:t>Madhi</w:t>
      </w:r>
      <w:proofErr w:type="spellEnd"/>
      <w:r w:rsidRPr="005F6AF8">
        <w:rPr>
          <w:sz w:val="24"/>
          <w:szCs w:val="24"/>
        </w:rPr>
        <w:t xml:space="preserve"> SA, Singleton RJ, O'Brien KL, Roca A, Wright PF, Bruce N, Chandran A. Global burden of acute lower respiratory infections due to respiratory syncytial virus in young children: a systematic review and meta-analysis. The Lancet. 2010 May 1;375(9725):1545-55.</w:t>
      </w:r>
    </w:p>
    <w:p w14:paraId="342CEC65" w14:textId="77777777" w:rsidR="00454D9B" w:rsidRPr="00281561" w:rsidRDefault="00454D9B" w:rsidP="000F2278">
      <w:pPr>
        <w:pStyle w:val="ListParagraph"/>
        <w:numPr>
          <w:ilvl w:val="0"/>
          <w:numId w:val="4"/>
        </w:numPr>
        <w:spacing w:after="0"/>
        <w:rPr>
          <w:sz w:val="24"/>
          <w:szCs w:val="24"/>
        </w:rPr>
      </w:pPr>
      <w:r w:rsidRPr="005F6AF8">
        <w:rPr>
          <w:sz w:val="24"/>
          <w:szCs w:val="24"/>
          <w:lang w:val="fr-FR"/>
        </w:rPr>
        <w:lastRenderedPageBreak/>
        <w:t xml:space="preserve">Griffiths LJ, Lyons RA, Bandyopadhyay A, et al. </w:t>
      </w:r>
      <w:r w:rsidRPr="005F6AF8">
        <w:rPr>
          <w:sz w:val="24"/>
          <w:szCs w:val="24"/>
        </w:rPr>
        <w:t xml:space="preserve">Childhood asthma prevalence: cross-sectional record linkage study comparing parent-reported wheeze with general practitioner-recorded asthma diagnoses from primary care electronic health records in Wales. BMJ Open </w:t>
      </w:r>
      <w:proofErr w:type="spellStart"/>
      <w:r w:rsidRPr="005F6AF8">
        <w:rPr>
          <w:sz w:val="24"/>
          <w:szCs w:val="24"/>
        </w:rPr>
        <w:t>Resp</w:t>
      </w:r>
      <w:proofErr w:type="spellEnd"/>
      <w:r w:rsidRPr="005F6AF8">
        <w:rPr>
          <w:sz w:val="24"/>
          <w:szCs w:val="24"/>
        </w:rPr>
        <w:t xml:space="preserve"> Res 2018;</w:t>
      </w:r>
      <w:proofErr w:type="gramStart"/>
      <w:r w:rsidRPr="005F6AF8">
        <w:rPr>
          <w:sz w:val="24"/>
          <w:szCs w:val="24"/>
        </w:rPr>
        <w:t>5:e</w:t>
      </w:r>
      <w:proofErr w:type="gramEnd"/>
      <w:r w:rsidRPr="005F6AF8">
        <w:rPr>
          <w:sz w:val="24"/>
          <w:szCs w:val="24"/>
        </w:rPr>
        <w:t>000260. doi:10.1136/ bmjresp-2017-000260</w:t>
      </w:r>
    </w:p>
    <w:p w14:paraId="070B4D88" w14:textId="77777777" w:rsidR="00454D9B" w:rsidRPr="005F6AF8" w:rsidRDefault="00454D9B" w:rsidP="00454D9B">
      <w:pPr>
        <w:numPr>
          <w:ilvl w:val="0"/>
          <w:numId w:val="4"/>
        </w:numPr>
        <w:contextualSpacing/>
        <w:rPr>
          <w:sz w:val="24"/>
          <w:szCs w:val="24"/>
        </w:rPr>
      </w:pPr>
      <w:r w:rsidRPr="005F6AF8">
        <w:rPr>
          <w:sz w:val="24"/>
          <w:szCs w:val="24"/>
        </w:rPr>
        <w:t xml:space="preserve">Charlton RA, Pierini A, Klungsøyr K, Neville AJ, Jordan S, Thayer D, Bos HJ, Puccini A, Hansen AV, Gini R, </w:t>
      </w:r>
      <w:proofErr w:type="spellStart"/>
      <w:r w:rsidRPr="005F6AF8">
        <w:rPr>
          <w:sz w:val="24"/>
          <w:szCs w:val="24"/>
        </w:rPr>
        <w:t>Engeland</w:t>
      </w:r>
      <w:proofErr w:type="spellEnd"/>
      <w:r w:rsidRPr="005F6AF8">
        <w:rPr>
          <w:sz w:val="24"/>
          <w:szCs w:val="24"/>
        </w:rPr>
        <w:t xml:space="preserve"> A. Asthma medication prescribing before, during and after pregnancy: a study in seven European regions. BMJ open. 2016 Jan 1;6(1</w:t>
      </w:r>
      <w:proofErr w:type="gramStart"/>
      <w:r w:rsidRPr="005F6AF8">
        <w:rPr>
          <w:sz w:val="24"/>
          <w:szCs w:val="24"/>
        </w:rPr>
        <w:t>):e</w:t>
      </w:r>
      <w:proofErr w:type="gramEnd"/>
      <w:r w:rsidRPr="005F6AF8">
        <w:rPr>
          <w:sz w:val="24"/>
          <w:szCs w:val="24"/>
        </w:rPr>
        <w:t>009237.</w:t>
      </w:r>
    </w:p>
    <w:p w14:paraId="164686B2" w14:textId="77777777" w:rsidR="00F3737A" w:rsidRPr="005F6AF8" w:rsidRDefault="00F3737A" w:rsidP="00F3737A">
      <w:pPr>
        <w:numPr>
          <w:ilvl w:val="0"/>
          <w:numId w:val="4"/>
        </w:numPr>
        <w:contextualSpacing/>
        <w:rPr>
          <w:sz w:val="24"/>
          <w:szCs w:val="24"/>
        </w:rPr>
      </w:pPr>
      <w:r w:rsidRPr="005F6AF8">
        <w:rPr>
          <w:sz w:val="24"/>
          <w:szCs w:val="24"/>
        </w:rPr>
        <w:t xml:space="preserve">Cooney TP, </w:t>
      </w:r>
      <w:proofErr w:type="spellStart"/>
      <w:r w:rsidRPr="005F6AF8">
        <w:rPr>
          <w:sz w:val="24"/>
          <w:szCs w:val="24"/>
        </w:rPr>
        <w:t>Thurlbeck</w:t>
      </w:r>
      <w:proofErr w:type="spellEnd"/>
      <w:r w:rsidRPr="005F6AF8">
        <w:rPr>
          <w:sz w:val="24"/>
          <w:szCs w:val="24"/>
        </w:rPr>
        <w:t xml:space="preserve"> WM. Pulmonary hypoplasia in Down's syndrome. New England Journal of Medicine. 1982 Nov 4;307(19):1170-3.</w:t>
      </w:r>
    </w:p>
    <w:p w14:paraId="2AAA22E6" w14:textId="77777777" w:rsidR="00F3737A" w:rsidRPr="005F6AF8" w:rsidRDefault="00F3737A" w:rsidP="00F3737A">
      <w:pPr>
        <w:numPr>
          <w:ilvl w:val="0"/>
          <w:numId w:val="4"/>
        </w:numPr>
        <w:contextualSpacing/>
        <w:rPr>
          <w:sz w:val="24"/>
          <w:szCs w:val="24"/>
        </w:rPr>
      </w:pPr>
      <w:r w:rsidRPr="005F6AF8">
        <w:rPr>
          <w:sz w:val="24"/>
          <w:szCs w:val="24"/>
          <w:lang w:val="da-DK"/>
        </w:rPr>
        <w:t xml:space="preserve">Ijsselstijn H, Tibboel D, Hop WJ, Molenaar JC, de Jongste JC. </w:t>
      </w:r>
      <w:r w:rsidRPr="005F6AF8">
        <w:rPr>
          <w:sz w:val="24"/>
          <w:szCs w:val="24"/>
        </w:rPr>
        <w:t xml:space="preserve">Long-term pulmonary sequelae in children with congenital diaphragmatic hernia. Am J Respir Crit Care Med </w:t>
      </w:r>
      <w:proofErr w:type="gramStart"/>
      <w:r w:rsidRPr="005F6AF8">
        <w:rPr>
          <w:sz w:val="24"/>
          <w:szCs w:val="24"/>
        </w:rPr>
        <w:t>1997;155:174</w:t>
      </w:r>
      <w:proofErr w:type="gramEnd"/>
      <w:r w:rsidRPr="005F6AF8">
        <w:rPr>
          <w:sz w:val="24"/>
          <w:szCs w:val="24"/>
        </w:rPr>
        <w:t>–180.</w:t>
      </w:r>
    </w:p>
    <w:p w14:paraId="5C0988ED" w14:textId="77777777" w:rsidR="00F3737A" w:rsidRPr="005F6AF8" w:rsidRDefault="00F3737A" w:rsidP="00F3737A">
      <w:pPr>
        <w:numPr>
          <w:ilvl w:val="0"/>
          <w:numId w:val="4"/>
        </w:numPr>
        <w:contextualSpacing/>
        <w:rPr>
          <w:sz w:val="24"/>
          <w:szCs w:val="24"/>
        </w:rPr>
      </w:pPr>
      <w:r w:rsidRPr="005F6AF8">
        <w:rPr>
          <w:sz w:val="24"/>
          <w:szCs w:val="24"/>
        </w:rPr>
        <w:t xml:space="preserve">Logan JW, Rice HE, Goldberg RN, </w:t>
      </w:r>
      <w:proofErr w:type="spellStart"/>
      <w:r w:rsidRPr="005F6AF8">
        <w:rPr>
          <w:sz w:val="24"/>
          <w:szCs w:val="24"/>
        </w:rPr>
        <w:t>Cotten</w:t>
      </w:r>
      <w:proofErr w:type="spellEnd"/>
      <w:r w:rsidRPr="005F6AF8">
        <w:rPr>
          <w:sz w:val="24"/>
          <w:szCs w:val="24"/>
        </w:rPr>
        <w:t xml:space="preserve"> CM. Congenital diaphragmatic hernia: a systematic review and summary of best-evidence practice strategies. Journal of Perinatology. 2007 Sep;27(9):535-49.</w:t>
      </w:r>
    </w:p>
    <w:p w14:paraId="74D6CEDA" w14:textId="77777777" w:rsidR="00F3737A" w:rsidRPr="005F6AF8" w:rsidRDefault="00F3737A" w:rsidP="00F3737A">
      <w:pPr>
        <w:numPr>
          <w:ilvl w:val="0"/>
          <w:numId w:val="4"/>
        </w:numPr>
        <w:contextualSpacing/>
        <w:rPr>
          <w:sz w:val="24"/>
          <w:szCs w:val="24"/>
        </w:rPr>
      </w:pPr>
      <w:r w:rsidRPr="005F6AF8">
        <w:rPr>
          <w:sz w:val="24"/>
          <w:szCs w:val="24"/>
        </w:rPr>
        <w:t xml:space="preserve">Wang J, Liu H, Gao L, Liu X. Impaired FGF10 </w:t>
      </w:r>
      <w:proofErr w:type="spellStart"/>
      <w:r w:rsidRPr="005F6AF8">
        <w:rPr>
          <w:sz w:val="24"/>
          <w:szCs w:val="24"/>
        </w:rPr>
        <w:t>signaling</w:t>
      </w:r>
      <w:proofErr w:type="spellEnd"/>
      <w:r w:rsidRPr="005F6AF8">
        <w:rPr>
          <w:sz w:val="24"/>
          <w:szCs w:val="24"/>
        </w:rPr>
        <w:t xml:space="preserve"> and epithelial development in experimental lung hypoplasia with </w:t>
      </w:r>
      <w:proofErr w:type="spellStart"/>
      <w:r w:rsidRPr="005F6AF8">
        <w:rPr>
          <w:sz w:val="24"/>
          <w:szCs w:val="24"/>
        </w:rPr>
        <w:t>esophageal</w:t>
      </w:r>
      <w:proofErr w:type="spellEnd"/>
      <w:r w:rsidRPr="005F6AF8">
        <w:rPr>
          <w:sz w:val="24"/>
          <w:szCs w:val="24"/>
        </w:rPr>
        <w:t xml:space="preserve"> atresia. Frontiers in </w:t>
      </w:r>
      <w:proofErr w:type="spellStart"/>
      <w:r w:rsidRPr="005F6AF8">
        <w:rPr>
          <w:sz w:val="24"/>
          <w:szCs w:val="24"/>
        </w:rPr>
        <w:t>pediatrics</w:t>
      </w:r>
      <w:proofErr w:type="spellEnd"/>
      <w:r w:rsidRPr="005F6AF8">
        <w:rPr>
          <w:sz w:val="24"/>
          <w:szCs w:val="24"/>
        </w:rPr>
        <w:t xml:space="preserve">. 2018 Apr </w:t>
      </w:r>
      <w:proofErr w:type="gramStart"/>
      <w:r w:rsidRPr="005F6AF8">
        <w:rPr>
          <w:sz w:val="24"/>
          <w:szCs w:val="24"/>
        </w:rPr>
        <w:t>20;6:109</w:t>
      </w:r>
      <w:proofErr w:type="gramEnd"/>
      <w:r w:rsidRPr="005F6AF8">
        <w:rPr>
          <w:sz w:val="24"/>
          <w:szCs w:val="24"/>
        </w:rPr>
        <w:t>.</w:t>
      </w:r>
    </w:p>
    <w:p w14:paraId="6FCA6A78" w14:textId="77777777" w:rsidR="00F3737A" w:rsidRPr="005F6AF8" w:rsidRDefault="00F3737A" w:rsidP="00F3737A">
      <w:pPr>
        <w:numPr>
          <w:ilvl w:val="0"/>
          <w:numId w:val="4"/>
        </w:numPr>
        <w:contextualSpacing/>
        <w:rPr>
          <w:sz w:val="24"/>
          <w:szCs w:val="24"/>
        </w:rPr>
      </w:pPr>
      <w:proofErr w:type="spellStart"/>
      <w:r w:rsidRPr="005F6AF8">
        <w:rPr>
          <w:sz w:val="24"/>
          <w:szCs w:val="24"/>
        </w:rPr>
        <w:t>Spoel</w:t>
      </w:r>
      <w:proofErr w:type="spellEnd"/>
      <w:r w:rsidRPr="005F6AF8">
        <w:rPr>
          <w:sz w:val="24"/>
          <w:szCs w:val="24"/>
        </w:rPr>
        <w:t xml:space="preserve"> M, van der </w:t>
      </w:r>
      <w:proofErr w:type="spellStart"/>
      <w:r w:rsidRPr="005F6AF8">
        <w:rPr>
          <w:sz w:val="24"/>
          <w:szCs w:val="24"/>
        </w:rPr>
        <w:t>Cammen</w:t>
      </w:r>
      <w:proofErr w:type="spellEnd"/>
      <w:r w:rsidRPr="005F6AF8">
        <w:rPr>
          <w:sz w:val="24"/>
          <w:szCs w:val="24"/>
        </w:rPr>
        <w:t xml:space="preserve">‐van </w:t>
      </w:r>
      <w:proofErr w:type="spellStart"/>
      <w:r w:rsidRPr="005F6AF8">
        <w:rPr>
          <w:sz w:val="24"/>
          <w:szCs w:val="24"/>
        </w:rPr>
        <w:t>Zijp</w:t>
      </w:r>
      <w:proofErr w:type="spellEnd"/>
      <w:r w:rsidRPr="005F6AF8">
        <w:rPr>
          <w:sz w:val="24"/>
          <w:szCs w:val="24"/>
        </w:rPr>
        <w:t xml:space="preserve"> MH, Hop WC, </w:t>
      </w:r>
      <w:proofErr w:type="spellStart"/>
      <w:r w:rsidRPr="005F6AF8">
        <w:rPr>
          <w:sz w:val="24"/>
          <w:szCs w:val="24"/>
        </w:rPr>
        <w:t>Tibboel</w:t>
      </w:r>
      <w:proofErr w:type="spellEnd"/>
      <w:r w:rsidRPr="005F6AF8">
        <w:rPr>
          <w:sz w:val="24"/>
          <w:szCs w:val="24"/>
        </w:rPr>
        <w:t xml:space="preserve"> D, de </w:t>
      </w:r>
      <w:proofErr w:type="spellStart"/>
      <w:r w:rsidRPr="005F6AF8">
        <w:rPr>
          <w:sz w:val="24"/>
          <w:szCs w:val="24"/>
        </w:rPr>
        <w:t>Jongste</w:t>
      </w:r>
      <w:proofErr w:type="spellEnd"/>
      <w:r w:rsidRPr="005F6AF8">
        <w:rPr>
          <w:sz w:val="24"/>
          <w:szCs w:val="24"/>
        </w:rPr>
        <w:t xml:space="preserve"> JC, </w:t>
      </w:r>
      <w:proofErr w:type="spellStart"/>
      <w:r w:rsidRPr="005F6AF8">
        <w:rPr>
          <w:sz w:val="24"/>
          <w:szCs w:val="24"/>
        </w:rPr>
        <w:t>IJsselstijn</w:t>
      </w:r>
      <w:proofErr w:type="spellEnd"/>
      <w:r w:rsidRPr="005F6AF8">
        <w:rPr>
          <w:sz w:val="24"/>
          <w:szCs w:val="24"/>
        </w:rPr>
        <w:t xml:space="preserve"> H. Lung function in young adults with congenital diaphragmatic </w:t>
      </w:r>
      <w:proofErr w:type="gramStart"/>
      <w:r w:rsidRPr="005F6AF8">
        <w:rPr>
          <w:sz w:val="24"/>
          <w:szCs w:val="24"/>
        </w:rPr>
        <w:t>hernia;</w:t>
      </w:r>
      <w:proofErr w:type="gramEnd"/>
      <w:r w:rsidRPr="005F6AF8">
        <w:rPr>
          <w:sz w:val="24"/>
          <w:szCs w:val="24"/>
        </w:rPr>
        <w:t xml:space="preserve"> a longitudinal evaluation. </w:t>
      </w:r>
      <w:proofErr w:type="spellStart"/>
      <w:r w:rsidRPr="005F6AF8">
        <w:rPr>
          <w:sz w:val="24"/>
          <w:szCs w:val="24"/>
        </w:rPr>
        <w:t>Pediatric</w:t>
      </w:r>
      <w:proofErr w:type="spellEnd"/>
      <w:r w:rsidRPr="005F6AF8">
        <w:rPr>
          <w:sz w:val="24"/>
          <w:szCs w:val="24"/>
        </w:rPr>
        <w:t xml:space="preserve"> pulmonology. 2013 Feb;48(2):130-7.</w:t>
      </w:r>
    </w:p>
    <w:p w14:paraId="43635F60" w14:textId="77777777" w:rsidR="00F3737A" w:rsidRPr="005F6AF8" w:rsidRDefault="00F3737A" w:rsidP="00F3737A">
      <w:pPr>
        <w:numPr>
          <w:ilvl w:val="0"/>
          <w:numId w:val="4"/>
        </w:numPr>
        <w:contextualSpacing/>
        <w:rPr>
          <w:sz w:val="24"/>
          <w:szCs w:val="24"/>
        </w:rPr>
      </w:pPr>
      <w:proofErr w:type="spellStart"/>
      <w:r w:rsidRPr="005F6AF8">
        <w:rPr>
          <w:sz w:val="24"/>
          <w:szCs w:val="24"/>
        </w:rPr>
        <w:t>Pfenninger</w:t>
      </w:r>
      <w:proofErr w:type="spellEnd"/>
      <w:r w:rsidRPr="005F6AF8">
        <w:rPr>
          <w:sz w:val="24"/>
          <w:szCs w:val="24"/>
        </w:rPr>
        <w:t xml:space="preserve"> J, Aebi C. Respiratory response to salbutamol (</w:t>
      </w:r>
      <w:proofErr w:type="spellStart"/>
      <w:r w:rsidRPr="005F6AF8">
        <w:rPr>
          <w:sz w:val="24"/>
          <w:szCs w:val="24"/>
        </w:rPr>
        <w:t>albuterol</w:t>
      </w:r>
      <w:proofErr w:type="spellEnd"/>
      <w:r w:rsidRPr="005F6AF8">
        <w:rPr>
          <w:sz w:val="24"/>
          <w:szCs w:val="24"/>
        </w:rPr>
        <w:t>) in ventilator-dependent infants with chronic lung disease: pressurized aerosol delivery versus intravenous injection. Intensive care medicine. 1993 May;19(5):251-5.</w:t>
      </w:r>
    </w:p>
    <w:p w14:paraId="564EC15D" w14:textId="77777777" w:rsidR="00F3737A" w:rsidRPr="005F6AF8" w:rsidRDefault="00F3737A" w:rsidP="00F3737A">
      <w:pPr>
        <w:numPr>
          <w:ilvl w:val="0"/>
          <w:numId w:val="4"/>
        </w:numPr>
        <w:contextualSpacing/>
        <w:rPr>
          <w:sz w:val="24"/>
          <w:szCs w:val="24"/>
        </w:rPr>
      </w:pPr>
      <w:r w:rsidRPr="005F6AF8">
        <w:rPr>
          <w:sz w:val="24"/>
          <w:szCs w:val="24"/>
        </w:rPr>
        <w:t xml:space="preserve">Usui N, </w:t>
      </w:r>
      <w:proofErr w:type="spellStart"/>
      <w:r w:rsidRPr="005F6AF8">
        <w:rPr>
          <w:sz w:val="24"/>
          <w:szCs w:val="24"/>
        </w:rPr>
        <w:t>Kamata</w:t>
      </w:r>
      <w:proofErr w:type="spellEnd"/>
      <w:r w:rsidRPr="005F6AF8">
        <w:rPr>
          <w:sz w:val="24"/>
          <w:szCs w:val="24"/>
        </w:rPr>
        <w:t xml:space="preserve"> S, Ishikawa S, Sawai T, </w:t>
      </w:r>
      <w:proofErr w:type="spellStart"/>
      <w:r w:rsidRPr="005F6AF8">
        <w:rPr>
          <w:sz w:val="24"/>
          <w:szCs w:val="24"/>
        </w:rPr>
        <w:t>Okuyama</w:t>
      </w:r>
      <w:proofErr w:type="spellEnd"/>
      <w:r w:rsidRPr="005F6AF8">
        <w:rPr>
          <w:sz w:val="24"/>
          <w:szCs w:val="24"/>
        </w:rPr>
        <w:t xml:space="preserve"> H, </w:t>
      </w:r>
      <w:proofErr w:type="spellStart"/>
      <w:r w:rsidRPr="005F6AF8">
        <w:rPr>
          <w:sz w:val="24"/>
          <w:szCs w:val="24"/>
        </w:rPr>
        <w:t>Imura</w:t>
      </w:r>
      <w:proofErr w:type="spellEnd"/>
      <w:r w:rsidRPr="005F6AF8">
        <w:rPr>
          <w:sz w:val="24"/>
          <w:szCs w:val="24"/>
        </w:rPr>
        <w:t xml:space="preserve"> K, Okada A. Anomalies of the tracheobronchial tree in patients with </w:t>
      </w:r>
      <w:proofErr w:type="spellStart"/>
      <w:r w:rsidRPr="005F6AF8">
        <w:rPr>
          <w:sz w:val="24"/>
          <w:szCs w:val="24"/>
        </w:rPr>
        <w:t>esophageal</w:t>
      </w:r>
      <w:proofErr w:type="spellEnd"/>
      <w:r w:rsidRPr="005F6AF8">
        <w:rPr>
          <w:sz w:val="24"/>
          <w:szCs w:val="24"/>
        </w:rPr>
        <w:t xml:space="preserve"> atresia. Journal of </w:t>
      </w:r>
      <w:proofErr w:type="spellStart"/>
      <w:r w:rsidRPr="005F6AF8">
        <w:rPr>
          <w:sz w:val="24"/>
          <w:szCs w:val="24"/>
        </w:rPr>
        <w:t>pediatric</w:t>
      </w:r>
      <w:proofErr w:type="spellEnd"/>
      <w:r w:rsidRPr="005F6AF8">
        <w:rPr>
          <w:sz w:val="24"/>
          <w:szCs w:val="24"/>
        </w:rPr>
        <w:t xml:space="preserve"> surgery. 1996 Feb 1;31(2):258-62.</w:t>
      </w:r>
    </w:p>
    <w:p w14:paraId="265CDE4F" w14:textId="77777777" w:rsidR="00F3737A" w:rsidRPr="005F6AF8" w:rsidRDefault="00F3737A" w:rsidP="00F3737A">
      <w:pPr>
        <w:numPr>
          <w:ilvl w:val="0"/>
          <w:numId w:val="4"/>
        </w:numPr>
        <w:contextualSpacing/>
        <w:rPr>
          <w:sz w:val="24"/>
          <w:szCs w:val="24"/>
        </w:rPr>
      </w:pPr>
      <w:r w:rsidRPr="005F6AF8">
        <w:rPr>
          <w:sz w:val="24"/>
          <w:szCs w:val="24"/>
          <w:lang w:val="da-DK"/>
        </w:rPr>
        <w:t xml:space="preserve">Verheij E, Speleman L, van der Molen AB, Thomeer HG. </w:t>
      </w:r>
      <w:r w:rsidRPr="005F6AF8">
        <w:rPr>
          <w:sz w:val="24"/>
          <w:szCs w:val="24"/>
          <w:lang w:val="nl-NL"/>
        </w:rPr>
        <w:t xml:space="preserve">Congenital respiratory tract disorders in 22q11. </w:t>
      </w:r>
      <w:r w:rsidRPr="005F6AF8">
        <w:rPr>
          <w:sz w:val="24"/>
          <w:szCs w:val="24"/>
        </w:rPr>
        <w:t xml:space="preserve">2 deletion </w:t>
      </w:r>
      <w:proofErr w:type="gramStart"/>
      <w:r w:rsidRPr="005F6AF8">
        <w:rPr>
          <w:sz w:val="24"/>
          <w:szCs w:val="24"/>
        </w:rPr>
        <w:t>syndrome</w:t>
      </w:r>
      <w:proofErr w:type="gramEnd"/>
      <w:r w:rsidRPr="005F6AF8">
        <w:rPr>
          <w:sz w:val="24"/>
          <w:szCs w:val="24"/>
        </w:rPr>
        <w:t xml:space="preserve">. International journal of </w:t>
      </w:r>
      <w:proofErr w:type="spellStart"/>
      <w:r w:rsidRPr="005F6AF8">
        <w:rPr>
          <w:sz w:val="24"/>
          <w:szCs w:val="24"/>
        </w:rPr>
        <w:t>pediatric</w:t>
      </w:r>
      <w:proofErr w:type="spellEnd"/>
      <w:r w:rsidRPr="005F6AF8">
        <w:rPr>
          <w:sz w:val="24"/>
          <w:szCs w:val="24"/>
        </w:rPr>
        <w:t xml:space="preserve"> otorhinolaryngology. 2018 Jan </w:t>
      </w:r>
      <w:proofErr w:type="gramStart"/>
      <w:r w:rsidRPr="005F6AF8">
        <w:rPr>
          <w:sz w:val="24"/>
          <w:szCs w:val="24"/>
        </w:rPr>
        <w:t>1;104:1</w:t>
      </w:r>
      <w:proofErr w:type="gramEnd"/>
      <w:r w:rsidRPr="005F6AF8">
        <w:rPr>
          <w:sz w:val="24"/>
          <w:szCs w:val="24"/>
        </w:rPr>
        <w:t>-4.</w:t>
      </w:r>
    </w:p>
    <w:p w14:paraId="675BA30C" w14:textId="77777777" w:rsidR="009977F9" w:rsidRPr="005F6AF8" w:rsidRDefault="00F3737A" w:rsidP="009977F9">
      <w:pPr>
        <w:numPr>
          <w:ilvl w:val="0"/>
          <w:numId w:val="4"/>
        </w:numPr>
        <w:spacing w:after="0"/>
        <w:contextualSpacing/>
        <w:rPr>
          <w:sz w:val="24"/>
          <w:szCs w:val="24"/>
        </w:rPr>
      </w:pPr>
      <w:r w:rsidRPr="005F6AF8">
        <w:rPr>
          <w:sz w:val="24"/>
          <w:szCs w:val="24"/>
        </w:rPr>
        <w:t>Colvin KL, Yeager ME. What people with Down Syndrome can teach us about cardiopulmonary disease. European Respiratory Review. 2017 Mar 31;26(143).</w:t>
      </w:r>
    </w:p>
    <w:p w14:paraId="21FF77DD" w14:textId="77777777" w:rsidR="00EC608C" w:rsidRPr="005F6AF8" w:rsidRDefault="00EC608C" w:rsidP="00EC608C">
      <w:pPr>
        <w:pStyle w:val="Maria"/>
      </w:pPr>
      <w:proofErr w:type="spellStart"/>
      <w:r w:rsidRPr="005F6AF8">
        <w:t>Urhoj</w:t>
      </w:r>
      <w:proofErr w:type="spellEnd"/>
      <w:r w:rsidRPr="005F6AF8">
        <w:t xml:space="preserve"> SK, Tan J, Morris JK, Given J, </w:t>
      </w:r>
      <w:proofErr w:type="spellStart"/>
      <w:r w:rsidRPr="005F6AF8">
        <w:t>Astolfi</w:t>
      </w:r>
      <w:proofErr w:type="spellEnd"/>
      <w:r w:rsidRPr="005F6AF8">
        <w:t xml:space="preserve"> G, et al… (2022) Hospital length of stay among children with and without congenital anomalies across 11 European regions—A population-based data linkage study. </w:t>
      </w:r>
      <w:proofErr w:type="spellStart"/>
      <w:r w:rsidRPr="005F6AF8">
        <w:t>PLoS</w:t>
      </w:r>
      <w:proofErr w:type="spellEnd"/>
      <w:r w:rsidRPr="005F6AF8">
        <w:t xml:space="preserve"> ONE 17(7): </w:t>
      </w:r>
      <w:r w:rsidRPr="005F6AF8">
        <w:rPr>
          <w:color w:val="2C5CFB"/>
        </w:rPr>
        <w:t>https://doi.org/10.1371/journal.pone.0269874</w:t>
      </w:r>
    </w:p>
    <w:p w14:paraId="11B43A63" w14:textId="77777777" w:rsidR="009C7A68" w:rsidRPr="005F6AF8" w:rsidRDefault="009C7A68" w:rsidP="009C7A68">
      <w:pPr>
        <w:pStyle w:val="ListParagraph"/>
        <w:numPr>
          <w:ilvl w:val="0"/>
          <w:numId w:val="4"/>
        </w:numPr>
        <w:spacing w:after="0" w:line="240" w:lineRule="auto"/>
        <w:contextualSpacing w:val="0"/>
        <w:rPr>
          <w:sz w:val="24"/>
          <w:szCs w:val="24"/>
        </w:rPr>
      </w:pPr>
      <w:r w:rsidRPr="005F6AF8">
        <w:rPr>
          <w:rFonts w:eastAsia="Times New Roman"/>
          <w:color w:val="212121"/>
          <w:sz w:val="24"/>
          <w:szCs w:val="24"/>
          <w:shd w:val="clear" w:color="auto" w:fill="FFFFFF"/>
        </w:rPr>
        <w:t xml:space="preserve">Conroy S, </w:t>
      </w:r>
      <w:proofErr w:type="spellStart"/>
      <w:r w:rsidRPr="005F6AF8">
        <w:rPr>
          <w:rFonts w:eastAsia="Times New Roman"/>
          <w:color w:val="212121"/>
          <w:sz w:val="24"/>
          <w:szCs w:val="24"/>
          <w:shd w:val="clear" w:color="auto" w:fill="FFFFFF"/>
        </w:rPr>
        <w:t>Choonara</w:t>
      </w:r>
      <w:proofErr w:type="spellEnd"/>
      <w:r w:rsidRPr="005F6AF8">
        <w:rPr>
          <w:rFonts w:eastAsia="Times New Roman"/>
          <w:color w:val="212121"/>
          <w:sz w:val="24"/>
          <w:szCs w:val="24"/>
          <w:shd w:val="clear" w:color="auto" w:fill="FFFFFF"/>
        </w:rPr>
        <w:t xml:space="preserve"> I, </w:t>
      </w:r>
      <w:proofErr w:type="spellStart"/>
      <w:r w:rsidRPr="005F6AF8">
        <w:rPr>
          <w:rFonts w:eastAsia="Times New Roman"/>
          <w:color w:val="212121"/>
          <w:sz w:val="24"/>
          <w:szCs w:val="24"/>
          <w:shd w:val="clear" w:color="auto" w:fill="FFFFFF"/>
        </w:rPr>
        <w:t>Impicciatore</w:t>
      </w:r>
      <w:proofErr w:type="spellEnd"/>
      <w:r w:rsidRPr="005F6AF8">
        <w:rPr>
          <w:rFonts w:eastAsia="Times New Roman"/>
          <w:color w:val="212121"/>
          <w:sz w:val="24"/>
          <w:szCs w:val="24"/>
          <w:shd w:val="clear" w:color="auto" w:fill="FFFFFF"/>
        </w:rPr>
        <w:t xml:space="preserve"> P, </w:t>
      </w:r>
      <w:proofErr w:type="spellStart"/>
      <w:r w:rsidRPr="005F6AF8">
        <w:rPr>
          <w:rFonts w:eastAsia="Times New Roman"/>
          <w:color w:val="212121"/>
          <w:sz w:val="24"/>
          <w:szCs w:val="24"/>
          <w:shd w:val="clear" w:color="auto" w:fill="FFFFFF"/>
        </w:rPr>
        <w:t>Mohn</w:t>
      </w:r>
      <w:proofErr w:type="spellEnd"/>
      <w:r w:rsidRPr="005F6AF8">
        <w:rPr>
          <w:rFonts w:eastAsia="Times New Roman"/>
          <w:color w:val="212121"/>
          <w:sz w:val="24"/>
          <w:szCs w:val="24"/>
          <w:shd w:val="clear" w:color="auto" w:fill="FFFFFF"/>
        </w:rPr>
        <w:t xml:space="preserve"> A, Arnell H, et al. Survey of unlicensed and off label drug use in paediatric wards in European countries. European Network for Drug Investigation in Children. BMJ. 2000 Jan 8;320(7227):79-82. </w:t>
      </w:r>
      <w:proofErr w:type="spellStart"/>
      <w:r w:rsidRPr="005F6AF8">
        <w:rPr>
          <w:rFonts w:eastAsia="Times New Roman"/>
          <w:color w:val="212121"/>
          <w:sz w:val="24"/>
          <w:szCs w:val="24"/>
          <w:shd w:val="clear" w:color="auto" w:fill="FFFFFF"/>
        </w:rPr>
        <w:t>doi</w:t>
      </w:r>
      <w:proofErr w:type="spellEnd"/>
      <w:r w:rsidRPr="005F6AF8">
        <w:rPr>
          <w:rFonts w:eastAsia="Times New Roman"/>
          <w:color w:val="212121"/>
          <w:sz w:val="24"/>
          <w:szCs w:val="24"/>
          <w:shd w:val="clear" w:color="auto" w:fill="FFFFFF"/>
        </w:rPr>
        <w:t xml:space="preserve">: 10.1136/bmj.320.7227.79. </w:t>
      </w:r>
    </w:p>
    <w:p w14:paraId="4A30B12B" w14:textId="77777777" w:rsidR="009C7A68" w:rsidRPr="005F6AF8" w:rsidRDefault="009C7A68" w:rsidP="00EC608C">
      <w:pPr>
        <w:pStyle w:val="Maria"/>
      </w:pPr>
      <w:proofErr w:type="spellStart"/>
      <w:r w:rsidRPr="005F6AF8">
        <w:t>Gade</w:t>
      </w:r>
      <w:proofErr w:type="spellEnd"/>
      <w:r w:rsidRPr="005F6AF8">
        <w:t xml:space="preserve"> C, </w:t>
      </w:r>
      <w:proofErr w:type="spellStart"/>
      <w:r w:rsidRPr="005F6AF8">
        <w:t>Trolle</w:t>
      </w:r>
      <w:proofErr w:type="spellEnd"/>
      <w:r w:rsidRPr="005F6AF8">
        <w:t xml:space="preserve"> S, </w:t>
      </w:r>
      <w:proofErr w:type="spellStart"/>
      <w:r w:rsidRPr="005F6AF8">
        <w:t>Mørk</w:t>
      </w:r>
      <w:proofErr w:type="spellEnd"/>
      <w:r w:rsidRPr="005F6AF8">
        <w:t xml:space="preserve"> ML, Lewis A, Andersen PF, et al. </w:t>
      </w:r>
      <w:proofErr w:type="gramStart"/>
      <w:r w:rsidRPr="005F6AF8">
        <w:t>Massive</w:t>
      </w:r>
      <w:proofErr w:type="gramEnd"/>
      <w:r w:rsidRPr="005F6AF8">
        <w:t xml:space="preserve"> presence of off-label medicines in Danish neonatal departments: A nationwide survey using national hospital purchase data. </w:t>
      </w:r>
      <w:proofErr w:type="spellStart"/>
      <w:r w:rsidRPr="005F6AF8">
        <w:t>Pharmacol</w:t>
      </w:r>
      <w:proofErr w:type="spellEnd"/>
      <w:r w:rsidRPr="005F6AF8">
        <w:t xml:space="preserve"> Res </w:t>
      </w:r>
      <w:proofErr w:type="spellStart"/>
      <w:r w:rsidRPr="005F6AF8">
        <w:t>Perspect</w:t>
      </w:r>
      <w:proofErr w:type="spellEnd"/>
      <w:r w:rsidRPr="005F6AF8">
        <w:t>. 2023 Feb;11(1</w:t>
      </w:r>
      <w:proofErr w:type="gramStart"/>
      <w:r w:rsidRPr="005F6AF8">
        <w:t>):e</w:t>
      </w:r>
      <w:proofErr w:type="gramEnd"/>
      <w:r w:rsidRPr="005F6AF8">
        <w:t xml:space="preserve">01037. </w:t>
      </w:r>
      <w:proofErr w:type="spellStart"/>
      <w:r w:rsidRPr="005F6AF8">
        <w:t>doi</w:t>
      </w:r>
      <w:proofErr w:type="spellEnd"/>
      <w:r w:rsidRPr="005F6AF8">
        <w:t>: 10.1002/prp2.1037.</w:t>
      </w:r>
      <w:r w:rsidRPr="005F6AF8">
        <w:rPr>
          <w:color w:val="333333"/>
        </w:rPr>
        <w:t xml:space="preserve">Casares Alonso I, Cano </w:t>
      </w:r>
      <w:proofErr w:type="spellStart"/>
      <w:r w:rsidRPr="005F6AF8">
        <w:rPr>
          <w:color w:val="333333"/>
        </w:rPr>
        <w:t>Garcinuño</w:t>
      </w:r>
      <w:proofErr w:type="spellEnd"/>
      <w:r w:rsidRPr="005F6AF8">
        <w:rPr>
          <w:color w:val="333333"/>
        </w:rPr>
        <w:t xml:space="preserve"> A, Blanco Quirós A, Pérez </w:t>
      </w:r>
      <w:r w:rsidRPr="005F6AF8">
        <w:rPr>
          <w:lang w:eastAsia="en-US"/>
        </w:rPr>
        <w:lastRenderedPageBreak/>
        <w:t xml:space="preserve">García I. Off-label prescription of anti-asthmatic agents in Primary Care. Rev </w:t>
      </w:r>
      <w:proofErr w:type="spellStart"/>
      <w:r w:rsidRPr="005F6AF8">
        <w:rPr>
          <w:lang w:eastAsia="en-US"/>
        </w:rPr>
        <w:t>Pediatr</w:t>
      </w:r>
      <w:proofErr w:type="spellEnd"/>
      <w:r w:rsidRPr="005F6AF8">
        <w:rPr>
          <w:lang w:eastAsia="en-US"/>
        </w:rPr>
        <w:t xml:space="preserve"> Aten Primaria. </w:t>
      </w:r>
      <w:proofErr w:type="gramStart"/>
      <w:r w:rsidRPr="005F6AF8">
        <w:rPr>
          <w:lang w:eastAsia="en-US"/>
        </w:rPr>
        <w:t>2015;17:237</w:t>
      </w:r>
      <w:proofErr w:type="gramEnd"/>
      <w:r w:rsidRPr="005F6AF8">
        <w:rPr>
          <w:lang w:eastAsia="en-US"/>
        </w:rPr>
        <w:t>-46</w:t>
      </w:r>
    </w:p>
    <w:p w14:paraId="0D0D29E2" w14:textId="77777777" w:rsidR="00151091" w:rsidRPr="005F6AF8" w:rsidRDefault="00151091" w:rsidP="00EC608C">
      <w:pPr>
        <w:pStyle w:val="Maria"/>
      </w:pPr>
      <w:proofErr w:type="spellStart"/>
      <w:r w:rsidRPr="005F6AF8">
        <w:rPr>
          <w:color w:val="333333"/>
        </w:rPr>
        <w:t>Casares</w:t>
      </w:r>
      <w:proofErr w:type="spellEnd"/>
      <w:r w:rsidRPr="005F6AF8">
        <w:rPr>
          <w:color w:val="333333"/>
        </w:rPr>
        <w:t xml:space="preserve"> Alonso I, Cano </w:t>
      </w:r>
      <w:proofErr w:type="spellStart"/>
      <w:r w:rsidRPr="005F6AF8">
        <w:rPr>
          <w:color w:val="333333"/>
        </w:rPr>
        <w:t>Garcinuño</w:t>
      </w:r>
      <w:proofErr w:type="spellEnd"/>
      <w:r w:rsidRPr="005F6AF8">
        <w:rPr>
          <w:color w:val="333333"/>
        </w:rPr>
        <w:t xml:space="preserve"> A, Blanco Quirós A, Pérez </w:t>
      </w:r>
      <w:r w:rsidRPr="005F6AF8">
        <w:t xml:space="preserve">García I. Off-label prescription of anti-asthmatic agents in Primary Care. Rev </w:t>
      </w:r>
      <w:proofErr w:type="spellStart"/>
      <w:r w:rsidRPr="005F6AF8">
        <w:t>Pediatr</w:t>
      </w:r>
      <w:proofErr w:type="spellEnd"/>
      <w:r w:rsidRPr="005F6AF8">
        <w:t xml:space="preserve"> Aten Primaria. </w:t>
      </w:r>
      <w:proofErr w:type="gramStart"/>
      <w:r w:rsidRPr="005F6AF8">
        <w:t>2015;17:237</w:t>
      </w:r>
      <w:proofErr w:type="gramEnd"/>
      <w:r w:rsidRPr="005F6AF8">
        <w:t>-46.</w:t>
      </w:r>
    </w:p>
    <w:p w14:paraId="702A80C0" w14:textId="77777777" w:rsidR="009977F9" w:rsidRPr="005F6AF8" w:rsidRDefault="00E8757F" w:rsidP="005251B1">
      <w:pPr>
        <w:numPr>
          <w:ilvl w:val="0"/>
          <w:numId w:val="4"/>
        </w:numPr>
        <w:spacing w:after="0"/>
        <w:contextualSpacing/>
        <w:rPr>
          <w:rFonts w:cstheme="minorHAnsi"/>
          <w:sz w:val="24"/>
          <w:szCs w:val="24"/>
        </w:rPr>
      </w:pPr>
      <w:proofErr w:type="spellStart"/>
      <w:r w:rsidRPr="005F6AF8">
        <w:rPr>
          <w:sz w:val="24"/>
          <w:szCs w:val="24"/>
        </w:rPr>
        <w:t>Fanous</w:t>
      </w:r>
      <w:proofErr w:type="spellEnd"/>
      <w:r w:rsidRPr="005F6AF8">
        <w:rPr>
          <w:sz w:val="24"/>
          <w:szCs w:val="24"/>
        </w:rPr>
        <w:t xml:space="preserve"> E, </w:t>
      </w:r>
      <w:proofErr w:type="spellStart"/>
      <w:r w:rsidRPr="005F6AF8">
        <w:rPr>
          <w:sz w:val="24"/>
          <w:szCs w:val="24"/>
        </w:rPr>
        <w:t>Mogyorósy</w:t>
      </w:r>
      <w:proofErr w:type="spellEnd"/>
      <w:r w:rsidRPr="005F6AF8">
        <w:rPr>
          <w:sz w:val="24"/>
          <w:szCs w:val="24"/>
        </w:rPr>
        <w:t xml:space="preserve"> G. Does the prophylactic and therapeutic use of beta-blockers in preoperative patients with tetralogy of Fallot significantly prevent and treat the occurrence of cyanotic spells? Interactive cardiovascular and thoracic surgery. 2017 Oct 1;25(4):647-50.</w:t>
      </w:r>
      <w:bookmarkEnd w:id="11"/>
    </w:p>
    <w:p w14:paraId="55939C5B" w14:textId="48D00A5D" w:rsidR="00F10131" w:rsidRPr="005F6AF8" w:rsidRDefault="00F10131" w:rsidP="005251B1">
      <w:pPr>
        <w:numPr>
          <w:ilvl w:val="0"/>
          <w:numId w:val="4"/>
        </w:numPr>
        <w:spacing w:after="0"/>
        <w:contextualSpacing/>
        <w:rPr>
          <w:rFonts w:cstheme="minorHAnsi"/>
          <w:sz w:val="24"/>
          <w:szCs w:val="24"/>
        </w:rPr>
      </w:pPr>
      <w:proofErr w:type="spellStart"/>
      <w:r w:rsidRPr="005F6AF8">
        <w:rPr>
          <w:rFonts w:cstheme="minorHAnsi"/>
          <w:color w:val="222222"/>
          <w:sz w:val="24"/>
          <w:szCs w:val="24"/>
          <w:shd w:val="clear" w:color="auto" w:fill="FFFFFF"/>
        </w:rPr>
        <w:t>Sigurkarlsson</w:t>
      </w:r>
      <w:proofErr w:type="spellEnd"/>
      <w:r w:rsidRPr="005F6AF8">
        <w:rPr>
          <w:rFonts w:cstheme="minorHAnsi"/>
          <w:color w:val="222222"/>
          <w:sz w:val="24"/>
          <w:szCs w:val="24"/>
          <w:shd w:val="clear" w:color="auto" w:fill="FFFFFF"/>
        </w:rPr>
        <w:t xml:space="preserve"> S, Clausen M, </w:t>
      </w:r>
      <w:proofErr w:type="spellStart"/>
      <w:r w:rsidRPr="005F6AF8">
        <w:rPr>
          <w:rFonts w:cstheme="minorHAnsi"/>
          <w:color w:val="222222"/>
          <w:sz w:val="24"/>
          <w:szCs w:val="24"/>
          <w:shd w:val="clear" w:color="auto" w:fill="FFFFFF"/>
        </w:rPr>
        <w:t>Gislason</w:t>
      </w:r>
      <w:proofErr w:type="spellEnd"/>
      <w:r w:rsidRPr="005F6AF8">
        <w:rPr>
          <w:rFonts w:cstheme="minorHAnsi"/>
          <w:color w:val="222222"/>
          <w:sz w:val="24"/>
          <w:szCs w:val="24"/>
          <w:shd w:val="clear" w:color="auto" w:fill="FFFFFF"/>
        </w:rPr>
        <w:t xml:space="preserve"> T, </w:t>
      </w:r>
      <w:proofErr w:type="spellStart"/>
      <w:r w:rsidRPr="005F6AF8">
        <w:rPr>
          <w:rFonts w:cstheme="minorHAnsi"/>
          <w:color w:val="222222"/>
          <w:sz w:val="24"/>
          <w:szCs w:val="24"/>
          <w:shd w:val="clear" w:color="auto" w:fill="FFFFFF"/>
        </w:rPr>
        <w:t>Gislason</w:t>
      </w:r>
      <w:proofErr w:type="spellEnd"/>
      <w:r w:rsidRPr="005F6AF8">
        <w:rPr>
          <w:rFonts w:cstheme="minorHAnsi"/>
          <w:color w:val="222222"/>
          <w:sz w:val="24"/>
          <w:szCs w:val="24"/>
          <w:shd w:val="clear" w:color="auto" w:fill="FFFFFF"/>
        </w:rPr>
        <w:t xml:space="preserve"> D. Prevalence of respiratory symptoms and use of asthma drugs are increasing among young adult Icelanders. </w:t>
      </w:r>
      <w:proofErr w:type="spellStart"/>
      <w:r w:rsidRPr="005F6AF8">
        <w:rPr>
          <w:rFonts w:cstheme="minorHAnsi"/>
          <w:color w:val="222222"/>
          <w:sz w:val="24"/>
          <w:szCs w:val="24"/>
          <w:shd w:val="clear" w:color="auto" w:fill="FFFFFF"/>
        </w:rPr>
        <w:t>Laeknabladid</w:t>
      </w:r>
      <w:proofErr w:type="spellEnd"/>
      <w:r w:rsidRPr="005F6AF8">
        <w:rPr>
          <w:rFonts w:cstheme="minorHAnsi"/>
          <w:color w:val="222222"/>
          <w:sz w:val="24"/>
          <w:szCs w:val="24"/>
          <w:shd w:val="clear" w:color="auto" w:fill="FFFFFF"/>
        </w:rPr>
        <w:t>. 2011 Sep 1;97(9):463-7.</w:t>
      </w:r>
    </w:p>
    <w:p w14:paraId="2F26F35F" w14:textId="1BCB36BE" w:rsidR="00623890" w:rsidRPr="005F6AF8" w:rsidRDefault="00623890" w:rsidP="0076215D">
      <w:pPr>
        <w:pStyle w:val="ListParagraph"/>
        <w:numPr>
          <w:ilvl w:val="0"/>
          <w:numId w:val="4"/>
        </w:numPr>
        <w:rPr>
          <w:rFonts w:cstheme="minorHAnsi"/>
          <w:sz w:val="24"/>
          <w:szCs w:val="24"/>
        </w:rPr>
      </w:pPr>
      <w:r w:rsidRPr="005F6AF8">
        <w:rPr>
          <w:rFonts w:cstheme="minorHAnsi"/>
          <w:color w:val="222222"/>
          <w:sz w:val="24"/>
          <w:szCs w:val="24"/>
          <w:shd w:val="clear" w:color="auto" w:fill="FFFFFF"/>
        </w:rPr>
        <w:t xml:space="preserve">Fraser J, Walls M, McGuire W. Respiratory complications of preterm birth. </w:t>
      </w:r>
      <w:proofErr w:type="spellStart"/>
      <w:r w:rsidRPr="005F6AF8">
        <w:rPr>
          <w:rFonts w:cstheme="minorHAnsi"/>
          <w:color w:val="222222"/>
          <w:sz w:val="24"/>
          <w:szCs w:val="24"/>
          <w:shd w:val="clear" w:color="auto" w:fill="FFFFFF"/>
        </w:rPr>
        <w:t>Bmj</w:t>
      </w:r>
      <w:proofErr w:type="spellEnd"/>
      <w:r w:rsidRPr="005F6AF8">
        <w:rPr>
          <w:rFonts w:cstheme="minorHAnsi"/>
          <w:color w:val="222222"/>
          <w:sz w:val="24"/>
          <w:szCs w:val="24"/>
          <w:shd w:val="clear" w:color="auto" w:fill="FFFFFF"/>
        </w:rPr>
        <w:t>. 2004 Oct 21;329(7472):962-5.</w:t>
      </w:r>
    </w:p>
    <w:p w14:paraId="5DFFC747" w14:textId="68BCE030" w:rsidR="002F108A" w:rsidRPr="005F6AF8" w:rsidRDefault="002F108A" w:rsidP="0076215D">
      <w:pPr>
        <w:pStyle w:val="ListParagraph"/>
        <w:numPr>
          <w:ilvl w:val="0"/>
          <w:numId w:val="4"/>
        </w:numPr>
        <w:rPr>
          <w:rFonts w:cstheme="minorHAnsi"/>
          <w:sz w:val="24"/>
          <w:szCs w:val="24"/>
        </w:rPr>
      </w:pPr>
      <w:r w:rsidRPr="005F6AF8">
        <w:rPr>
          <w:rFonts w:cstheme="minorHAnsi"/>
          <w:color w:val="222222"/>
          <w:sz w:val="24"/>
          <w:szCs w:val="24"/>
          <w:shd w:val="clear" w:color="auto" w:fill="FFFFFF"/>
        </w:rPr>
        <w:t xml:space="preserve">Xu YP. Bronchopulmonary dysplasia in preterm infants born at less than 32 weeks gestation. Global </w:t>
      </w:r>
      <w:proofErr w:type="spellStart"/>
      <w:r w:rsidRPr="005F6AF8">
        <w:rPr>
          <w:rFonts w:cstheme="minorHAnsi"/>
          <w:color w:val="222222"/>
          <w:sz w:val="24"/>
          <w:szCs w:val="24"/>
          <w:shd w:val="clear" w:color="auto" w:fill="FFFFFF"/>
        </w:rPr>
        <w:t>pediatric</w:t>
      </w:r>
      <w:proofErr w:type="spellEnd"/>
      <w:r w:rsidRPr="005F6AF8">
        <w:rPr>
          <w:rFonts w:cstheme="minorHAnsi"/>
          <w:color w:val="222222"/>
          <w:sz w:val="24"/>
          <w:szCs w:val="24"/>
          <w:shd w:val="clear" w:color="auto" w:fill="FFFFFF"/>
        </w:rPr>
        <w:t xml:space="preserve"> health. 2016 Sep </w:t>
      </w:r>
      <w:proofErr w:type="gramStart"/>
      <w:r w:rsidRPr="005F6AF8">
        <w:rPr>
          <w:rFonts w:cstheme="minorHAnsi"/>
          <w:color w:val="222222"/>
          <w:sz w:val="24"/>
          <w:szCs w:val="24"/>
          <w:shd w:val="clear" w:color="auto" w:fill="FFFFFF"/>
        </w:rPr>
        <w:t>13;3:2333794</w:t>
      </w:r>
      <w:proofErr w:type="gramEnd"/>
      <w:r w:rsidRPr="005F6AF8">
        <w:rPr>
          <w:rFonts w:cstheme="minorHAnsi"/>
          <w:color w:val="222222"/>
          <w:sz w:val="24"/>
          <w:szCs w:val="24"/>
          <w:shd w:val="clear" w:color="auto" w:fill="FFFFFF"/>
        </w:rPr>
        <w:t>X16668773.</w:t>
      </w:r>
    </w:p>
    <w:p w14:paraId="30F181E8" w14:textId="34C9718B" w:rsidR="00F63C68" w:rsidRPr="005F6AF8" w:rsidRDefault="00F63C68" w:rsidP="00655CFC">
      <w:pPr>
        <w:pStyle w:val="ListParagraph"/>
        <w:numPr>
          <w:ilvl w:val="0"/>
          <w:numId w:val="4"/>
        </w:numPr>
        <w:spacing w:after="0" w:line="240" w:lineRule="auto"/>
        <w:rPr>
          <w:sz w:val="24"/>
          <w:szCs w:val="24"/>
        </w:rPr>
      </w:pPr>
      <w:proofErr w:type="spellStart"/>
      <w:r w:rsidRPr="005F6AF8">
        <w:rPr>
          <w:rFonts w:cstheme="minorHAnsi"/>
          <w:sz w:val="24"/>
          <w:szCs w:val="24"/>
        </w:rPr>
        <w:t>Uphoff</w:t>
      </w:r>
      <w:proofErr w:type="spellEnd"/>
      <w:r w:rsidRPr="005F6AF8">
        <w:rPr>
          <w:rFonts w:cstheme="minorHAnsi"/>
          <w:sz w:val="24"/>
          <w:szCs w:val="24"/>
        </w:rPr>
        <w:t xml:space="preserve"> E, </w:t>
      </w:r>
      <w:proofErr w:type="spellStart"/>
      <w:r w:rsidRPr="005F6AF8">
        <w:rPr>
          <w:rFonts w:cstheme="minorHAnsi"/>
          <w:sz w:val="24"/>
          <w:szCs w:val="24"/>
        </w:rPr>
        <w:t>Cabieses</w:t>
      </w:r>
      <w:proofErr w:type="spellEnd"/>
      <w:r w:rsidRPr="005F6AF8">
        <w:rPr>
          <w:rFonts w:cstheme="minorHAnsi"/>
          <w:sz w:val="24"/>
          <w:szCs w:val="24"/>
        </w:rPr>
        <w:t xml:space="preserve"> B, </w:t>
      </w:r>
      <w:proofErr w:type="spellStart"/>
      <w:r w:rsidRPr="005F6AF8">
        <w:rPr>
          <w:rFonts w:cstheme="minorHAnsi"/>
          <w:sz w:val="24"/>
          <w:szCs w:val="24"/>
        </w:rPr>
        <w:t>Pinart</w:t>
      </w:r>
      <w:proofErr w:type="spellEnd"/>
      <w:r w:rsidRPr="005F6AF8">
        <w:rPr>
          <w:rFonts w:cstheme="minorHAnsi"/>
          <w:sz w:val="24"/>
          <w:szCs w:val="24"/>
        </w:rPr>
        <w:t xml:space="preserve"> M, et al. A systematic review of socioeconomic position in relation to asthma and allergic diseases. </w:t>
      </w:r>
      <w:proofErr w:type="spellStart"/>
      <w:r w:rsidRPr="005F6AF8">
        <w:rPr>
          <w:rFonts w:cstheme="minorHAnsi"/>
          <w:sz w:val="24"/>
          <w:szCs w:val="24"/>
        </w:rPr>
        <w:t>Eur</w:t>
      </w:r>
      <w:proofErr w:type="spellEnd"/>
      <w:r w:rsidRPr="005F6AF8">
        <w:rPr>
          <w:rFonts w:cstheme="minorHAnsi"/>
          <w:sz w:val="24"/>
          <w:szCs w:val="24"/>
        </w:rPr>
        <w:t xml:space="preserve"> Respir J 2015; 46: 364–374</w:t>
      </w:r>
    </w:p>
    <w:p w14:paraId="5507F714" w14:textId="77777777" w:rsidR="005E0558" w:rsidRDefault="005E0558" w:rsidP="00291988">
      <w:pPr>
        <w:rPr>
          <w:b/>
          <w:bCs/>
          <w:sz w:val="24"/>
          <w:szCs w:val="24"/>
        </w:rPr>
      </w:pPr>
      <w:r w:rsidRPr="007C672C">
        <w:rPr>
          <w:sz w:val="24"/>
          <w:szCs w:val="24"/>
        </w:rPr>
        <w:br w:type="page"/>
      </w:r>
      <w:r w:rsidRPr="007C672C">
        <w:rPr>
          <w:b/>
          <w:bCs/>
          <w:sz w:val="24"/>
          <w:szCs w:val="24"/>
        </w:rPr>
        <w:lastRenderedPageBreak/>
        <w:t>Legend</w:t>
      </w:r>
      <w:r>
        <w:rPr>
          <w:b/>
          <w:bCs/>
          <w:sz w:val="24"/>
          <w:szCs w:val="24"/>
        </w:rPr>
        <w:t>s</w:t>
      </w:r>
    </w:p>
    <w:p w14:paraId="545AB538" w14:textId="77777777" w:rsidR="00EB0A02" w:rsidRDefault="00EB0A02" w:rsidP="00EB0A02">
      <w:pPr>
        <w:rPr>
          <w:sz w:val="24"/>
          <w:szCs w:val="24"/>
        </w:rPr>
      </w:pPr>
      <w:r>
        <w:rPr>
          <w:b/>
          <w:bCs/>
          <w:sz w:val="24"/>
          <w:szCs w:val="24"/>
        </w:rPr>
        <w:t xml:space="preserve">Figure 1. </w:t>
      </w:r>
      <w:r>
        <w:rPr>
          <w:sz w:val="24"/>
          <w:szCs w:val="24"/>
        </w:rPr>
        <w:t>Prevalence of &gt;1 prescription for any anti-asthmatic per 100 children in each age group, by registry</w:t>
      </w:r>
    </w:p>
    <w:p w14:paraId="1B22F6A1" w14:textId="77777777" w:rsidR="00EB0A02" w:rsidRDefault="00EB0A02" w:rsidP="00EB0A02">
      <w:pPr>
        <w:spacing w:after="0"/>
        <w:rPr>
          <w:sz w:val="20"/>
          <w:szCs w:val="20"/>
        </w:rPr>
      </w:pPr>
      <w:r>
        <w:rPr>
          <w:b/>
          <w:bCs/>
          <w:sz w:val="24"/>
          <w:szCs w:val="24"/>
        </w:rPr>
        <w:t xml:space="preserve">Figure 2. </w:t>
      </w:r>
      <w:r>
        <w:rPr>
          <w:sz w:val="24"/>
          <w:szCs w:val="24"/>
        </w:rPr>
        <w:t>Relative risk (RR) of &gt;1 prescription for any anti-asthmatic (AA) in children with congenital anomalies (CAs) compared to reference children, by registry</w:t>
      </w:r>
      <w:r>
        <w:rPr>
          <w:sz w:val="24"/>
          <w:szCs w:val="24"/>
        </w:rPr>
        <w:br/>
      </w:r>
      <w:r w:rsidRPr="00B6007D">
        <w:rPr>
          <w:sz w:val="20"/>
          <w:szCs w:val="20"/>
        </w:rPr>
        <w:t>CI=Confidence intervals</w:t>
      </w:r>
      <w:r>
        <w:rPr>
          <w:sz w:val="20"/>
          <w:szCs w:val="20"/>
        </w:rPr>
        <w:t xml:space="preserve">, </w:t>
      </w:r>
    </w:p>
    <w:p w14:paraId="275C4393" w14:textId="77777777" w:rsidR="00EB0A02" w:rsidRDefault="00EB0A02" w:rsidP="00EB0A02">
      <w:pPr>
        <w:rPr>
          <w:sz w:val="20"/>
          <w:szCs w:val="20"/>
        </w:rPr>
      </w:pPr>
      <w:r>
        <w:rPr>
          <w:sz w:val="20"/>
          <w:szCs w:val="20"/>
        </w:rPr>
        <w:t>DL=</w:t>
      </w:r>
      <w:proofErr w:type="spellStart"/>
      <w:r w:rsidRPr="00B71E86">
        <w:rPr>
          <w:sz w:val="20"/>
          <w:szCs w:val="20"/>
        </w:rPr>
        <w:t>DerSimonian</w:t>
      </w:r>
      <w:proofErr w:type="spellEnd"/>
      <w:r w:rsidRPr="00B71E86">
        <w:rPr>
          <w:sz w:val="20"/>
          <w:szCs w:val="20"/>
        </w:rPr>
        <w:t>-Laird</w:t>
      </w:r>
    </w:p>
    <w:p w14:paraId="6ED08427" w14:textId="5F754796" w:rsidR="00EB0A02" w:rsidRDefault="00EB0A02" w:rsidP="00EB0A02">
      <w:pPr>
        <w:tabs>
          <w:tab w:val="left" w:pos="930"/>
        </w:tabs>
        <w:spacing w:after="0"/>
        <w:rPr>
          <w:sz w:val="20"/>
          <w:szCs w:val="20"/>
        </w:rPr>
      </w:pPr>
      <w:r>
        <w:rPr>
          <w:b/>
          <w:bCs/>
          <w:sz w:val="24"/>
          <w:szCs w:val="24"/>
        </w:rPr>
        <w:t xml:space="preserve">Figure 3. </w:t>
      </w:r>
      <w:r>
        <w:rPr>
          <w:sz w:val="24"/>
          <w:szCs w:val="24"/>
        </w:rPr>
        <w:t>Relative risk (RR) of &gt;1 beta-2 agonist (B2A) prescription and &gt;1 inhaled corticosteroid (ICS)</w:t>
      </w:r>
      <w:r w:rsidR="00F93A07">
        <w:rPr>
          <w:sz w:val="24"/>
          <w:szCs w:val="24"/>
        </w:rPr>
        <w:t xml:space="preserve"> prescription</w:t>
      </w:r>
      <w:r>
        <w:rPr>
          <w:sz w:val="24"/>
          <w:szCs w:val="24"/>
        </w:rPr>
        <w:t xml:space="preserve"> in children with congenital anomalies (CAs) compared to reference children, by registry</w:t>
      </w:r>
      <w:r>
        <w:rPr>
          <w:b/>
          <w:bCs/>
          <w:sz w:val="24"/>
          <w:szCs w:val="24"/>
        </w:rPr>
        <w:t xml:space="preserve"> </w:t>
      </w:r>
      <w:r>
        <w:rPr>
          <w:sz w:val="20"/>
          <w:szCs w:val="20"/>
        </w:rPr>
        <w:br/>
      </w:r>
      <w:r w:rsidRPr="0094064F">
        <w:rPr>
          <w:sz w:val="20"/>
          <w:szCs w:val="20"/>
        </w:rPr>
        <w:t>CI=Confidence interval</w:t>
      </w:r>
    </w:p>
    <w:p w14:paraId="3034757E" w14:textId="616D32A0" w:rsidR="007347D3" w:rsidRDefault="00EB0A02" w:rsidP="00B80B2D">
      <w:pPr>
        <w:rPr>
          <w:sz w:val="20"/>
          <w:szCs w:val="20"/>
        </w:rPr>
      </w:pPr>
      <w:r>
        <w:rPr>
          <w:sz w:val="20"/>
          <w:szCs w:val="20"/>
        </w:rPr>
        <w:t>DL=</w:t>
      </w:r>
      <w:proofErr w:type="spellStart"/>
      <w:r w:rsidRPr="00B12C7F">
        <w:rPr>
          <w:sz w:val="20"/>
          <w:szCs w:val="20"/>
        </w:rPr>
        <w:t>DerSimonian</w:t>
      </w:r>
      <w:proofErr w:type="spellEnd"/>
      <w:r w:rsidRPr="00B12C7F">
        <w:rPr>
          <w:sz w:val="20"/>
          <w:szCs w:val="20"/>
        </w:rPr>
        <w:t>-Laird</w:t>
      </w:r>
    </w:p>
    <w:sectPr w:rsidR="007347D3" w:rsidSect="00D1517E">
      <w:pgSz w:w="11906" w:h="16838"/>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C488" w14:textId="77777777" w:rsidR="00377ED3" w:rsidRDefault="00377ED3" w:rsidP="00AA7944">
      <w:pPr>
        <w:spacing w:after="0" w:line="240" w:lineRule="auto"/>
      </w:pPr>
      <w:r>
        <w:separator/>
      </w:r>
    </w:p>
  </w:endnote>
  <w:endnote w:type="continuationSeparator" w:id="0">
    <w:p w14:paraId="5A4DF424" w14:textId="77777777" w:rsidR="00377ED3" w:rsidRDefault="00377ED3" w:rsidP="00AA7944">
      <w:pPr>
        <w:spacing w:after="0" w:line="240" w:lineRule="auto"/>
      </w:pPr>
      <w:r>
        <w:continuationSeparator/>
      </w:r>
    </w:p>
  </w:endnote>
  <w:endnote w:type="continuationNotice" w:id="1">
    <w:p w14:paraId="25BC2A4A" w14:textId="77777777" w:rsidR="00377ED3" w:rsidRDefault="00377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dvP7C2E">
    <w:altName w:val="Yu Gothic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58430"/>
      <w:docPartObj>
        <w:docPartGallery w:val="Page Numbers (Bottom of Page)"/>
        <w:docPartUnique/>
      </w:docPartObj>
    </w:sdtPr>
    <w:sdtEndPr>
      <w:rPr>
        <w:noProof/>
      </w:rPr>
    </w:sdtEndPr>
    <w:sdtContent>
      <w:p w14:paraId="5D5F67A6" w14:textId="5C4B0CFB" w:rsidR="004A2B6C" w:rsidRDefault="004A2B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2BACA" w14:textId="464EF024" w:rsidR="00AA7944" w:rsidRDefault="00AA7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261E" w14:textId="79ED5C1C" w:rsidR="00EF6CE5" w:rsidRDefault="00EF6CE5">
    <w:pPr>
      <w:pStyle w:val="Footer"/>
      <w:jc w:val="center"/>
    </w:pPr>
  </w:p>
  <w:p w14:paraId="4D55A6D0" w14:textId="77777777" w:rsidR="00D8401B" w:rsidRDefault="00D84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16678"/>
      <w:docPartObj>
        <w:docPartGallery w:val="Page Numbers (Bottom of Page)"/>
        <w:docPartUnique/>
      </w:docPartObj>
    </w:sdtPr>
    <w:sdtEndPr>
      <w:rPr>
        <w:noProof/>
      </w:rPr>
    </w:sdtEndPr>
    <w:sdtContent>
      <w:p w14:paraId="2593F482" w14:textId="77777777" w:rsidR="005440FD" w:rsidRDefault="00544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17F88B" w14:textId="77777777" w:rsidR="005440FD" w:rsidRPr="00DC056F" w:rsidRDefault="005440FD" w:rsidP="00DC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2008" w14:textId="77777777" w:rsidR="00377ED3" w:rsidRDefault="00377ED3" w:rsidP="00AA7944">
      <w:pPr>
        <w:spacing w:after="0" w:line="240" w:lineRule="auto"/>
      </w:pPr>
      <w:r>
        <w:separator/>
      </w:r>
    </w:p>
  </w:footnote>
  <w:footnote w:type="continuationSeparator" w:id="0">
    <w:p w14:paraId="76263BCC" w14:textId="77777777" w:rsidR="00377ED3" w:rsidRDefault="00377ED3" w:rsidP="00AA7944">
      <w:pPr>
        <w:spacing w:after="0" w:line="240" w:lineRule="auto"/>
      </w:pPr>
      <w:r>
        <w:continuationSeparator/>
      </w:r>
    </w:p>
  </w:footnote>
  <w:footnote w:type="continuationNotice" w:id="1">
    <w:p w14:paraId="75851C4A" w14:textId="77777777" w:rsidR="00377ED3" w:rsidRDefault="00377E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466"/>
    <w:multiLevelType w:val="hybridMultilevel"/>
    <w:tmpl w:val="BD387C5E"/>
    <w:lvl w:ilvl="0" w:tplc="A80694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0265D"/>
    <w:multiLevelType w:val="hybridMultilevel"/>
    <w:tmpl w:val="8F926D82"/>
    <w:lvl w:ilvl="0" w:tplc="8D3CE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D57"/>
    <w:multiLevelType w:val="hybridMultilevel"/>
    <w:tmpl w:val="4A1223FA"/>
    <w:lvl w:ilvl="0" w:tplc="7A72E672">
      <w:start w:val="4"/>
      <w:numFmt w:val="bullet"/>
      <w:lvlText w:val=""/>
      <w:lvlJc w:val="left"/>
      <w:pPr>
        <w:ind w:left="720" w:hanging="360"/>
      </w:pPr>
      <w:rPr>
        <w:rFonts w:ascii="Symbol" w:eastAsiaTheme="minorEastAsia"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F74A3"/>
    <w:multiLevelType w:val="hybridMultilevel"/>
    <w:tmpl w:val="8B5E3BEE"/>
    <w:lvl w:ilvl="0" w:tplc="6E808B6C">
      <w:start w:val="1"/>
      <w:numFmt w:val="decimal"/>
      <w:pStyle w:val="Maria"/>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E71CC"/>
    <w:multiLevelType w:val="hybridMultilevel"/>
    <w:tmpl w:val="FD14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F83DFC"/>
    <w:multiLevelType w:val="hybridMultilevel"/>
    <w:tmpl w:val="9E967D2C"/>
    <w:lvl w:ilvl="0" w:tplc="B9E400A2">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453F9"/>
    <w:multiLevelType w:val="hybridMultilevel"/>
    <w:tmpl w:val="6430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73E00"/>
    <w:multiLevelType w:val="multilevel"/>
    <w:tmpl w:val="9776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5751D"/>
    <w:multiLevelType w:val="hybridMultilevel"/>
    <w:tmpl w:val="F4561ABC"/>
    <w:lvl w:ilvl="0" w:tplc="1CCAC180">
      <w:start w:val="4"/>
      <w:numFmt w:val="bullet"/>
      <w:lvlText w:val=""/>
      <w:lvlJc w:val="left"/>
      <w:pPr>
        <w:ind w:left="720" w:hanging="360"/>
      </w:pPr>
      <w:rPr>
        <w:rFonts w:ascii="Symbol" w:eastAsiaTheme="minorEastAsia"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738A2"/>
    <w:multiLevelType w:val="hybridMultilevel"/>
    <w:tmpl w:val="9668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66520"/>
    <w:multiLevelType w:val="hybridMultilevel"/>
    <w:tmpl w:val="ABC4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65B95"/>
    <w:multiLevelType w:val="hybridMultilevel"/>
    <w:tmpl w:val="FA38CEEE"/>
    <w:lvl w:ilvl="0" w:tplc="3B406146">
      <w:start w:val="1"/>
      <w:numFmt w:val="decimal"/>
      <w:lvlText w:val="%1."/>
      <w:lvlJc w:val="left"/>
      <w:pPr>
        <w:ind w:left="360" w:hanging="360"/>
      </w:pPr>
      <w:rPr>
        <w:color w:val="auto"/>
        <w:sz w:val="22"/>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16cid:durableId="1027095835">
    <w:abstractNumId w:val="6"/>
  </w:num>
  <w:num w:numId="2" w16cid:durableId="1403408080">
    <w:abstractNumId w:val="0"/>
  </w:num>
  <w:num w:numId="3" w16cid:durableId="1751736962">
    <w:abstractNumId w:val="5"/>
  </w:num>
  <w:num w:numId="4" w16cid:durableId="651174378">
    <w:abstractNumId w:val="3"/>
  </w:num>
  <w:num w:numId="5" w16cid:durableId="1517957606">
    <w:abstractNumId w:val="2"/>
  </w:num>
  <w:num w:numId="6" w16cid:durableId="415396341">
    <w:abstractNumId w:val="8"/>
  </w:num>
  <w:num w:numId="7" w16cid:durableId="691615049">
    <w:abstractNumId w:val="11"/>
  </w:num>
  <w:num w:numId="8" w16cid:durableId="1312128718">
    <w:abstractNumId w:val="7"/>
  </w:num>
  <w:num w:numId="9" w16cid:durableId="261494340">
    <w:abstractNumId w:val="10"/>
  </w:num>
  <w:num w:numId="10" w16cid:durableId="800802707">
    <w:abstractNumId w:val="9"/>
  </w:num>
  <w:num w:numId="11" w16cid:durableId="367149050">
    <w:abstractNumId w:val="4"/>
  </w:num>
  <w:num w:numId="12" w16cid:durableId="1585919223">
    <w:abstractNumId w:val="1"/>
  </w:num>
  <w:num w:numId="13" w16cid:durableId="28785904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BE"/>
    <w:rsid w:val="000013CD"/>
    <w:rsid w:val="0000218F"/>
    <w:rsid w:val="00003022"/>
    <w:rsid w:val="000034FF"/>
    <w:rsid w:val="00004AAA"/>
    <w:rsid w:val="00004F75"/>
    <w:rsid w:val="00005490"/>
    <w:rsid w:val="00005ECE"/>
    <w:rsid w:val="00006E8B"/>
    <w:rsid w:val="000072B2"/>
    <w:rsid w:val="00007A39"/>
    <w:rsid w:val="00011F81"/>
    <w:rsid w:val="00013789"/>
    <w:rsid w:val="00014993"/>
    <w:rsid w:val="00015D60"/>
    <w:rsid w:val="00016EE6"/>
    <w:rsid w:val="0001703D"/>
    <w:rsid w:val="0001718B"/>
    <w:rsid w:val="00017483"/>
    <w:rsid w:val="00017721"/>
    <w:rsid w:val="00017E1C"/>
    <w:rsid w:val="00020059"/>
    <w:rsid w:val="00021255"/>
    <w:rsid w:val="00021552"/>
    <w:rsid w:val="00022717"/>
    <w:rsid w:val="00022BD3"/>
    <w:rsid w:val="00024235"/>
    <w:rsid w:val="0002518D"/>
    <w:rsid w:val="0002569F"/>
    <w:rsid w:val="000261D5"/>
    <w:rsid w:val="00026AF0"/>
    <w:rsid w:val="00026CFB"/>
    <w:rsid w:val="00026E2C"/>
    <w:rsid w:val="000302CC"/>
    <w:rsid w:val="000303CC"/>
    <w:rsid w:val="00030A8C"/>
    <w:rsid w:val="00031276"/>
    <w:rsid w:val="000317B1"/>
    <w:rsid w:val="00032263"/>
    <w:rsid w:val="000323BF"/>
    <w:rsid w:val="00033F7A"/>
    <w:rsid w:val="0003409E"/>
    <w:rsid w:val="0003480D"/>
    <w:rsid w:val="00034879"/>
    <w:rsid w:val="00034DF6"/>
    <w:rsid w:val="00035F90"/>
    <w:rsid w:val="0003636A"/>
    <w:rsid w:val="000375BD"/>
    <w:rsid w:val="00040B1F"/>
    <w:rsid w:val="00040D43"/>
    <w:rsid w:val="00040EAC"/>
    <w:rsid w:val="000417CC"/>
    <w:rsid w:val="00041A85"/>
    <w:rsid w:val="00042BEB"/>
    <w:rsid w:val="00043B4F"/>
    <w:rsid w:val="000461FB"/>
    <w:rsid w:val="000502DF"/>
    <w:rsid w:val="00052026"/>
    <w:rsid w:val="00053B05"/>
    <w:rsid w:val="00054156"/>
    <w:rsid w:val="0005537B"/>
    <w:rsid w:val="000557D9"/>
    <w:rsid w:val="00057137"/>
    <w:rsid w:val="00057988"/>
    <w:rsid w:val="0006002D"/>
    <w:rsid w:val="000604F9"/>
    <w:rsid w:val="00060CE6"/>
    <w:rsid w:val="000617CD"/>
    <w:rsid w:val="00063338"/>
    <w:rsid w:val="000637B3"/>
    <w:rsid w:val="00063961"/>
    <w:rsid w:val="00064ABD"/>
    <w:rsid w:val="00064D37"/>
    <w:rsid w:val="00064D4F"/>
    <w:rsid w:val="000653BA"/>
    <w:rsid w:val="000658F6"/>
    <w:rsid w:val="00065A48"/>
    <w:rsid w:val="00065BF5"/>
    <w:rsid w:val="00065E16"/>
    <w:rsid w:val="0006622F"/>
    <w:rsid w:val="0006747C"/>
    <w:rsid w:val="00067987"/>
    <w:rsid w:val="00070FDC"/>
    <w:rsid w:val="000714B6"/>
    <w:rsid w:val="0007188A"/>
    <w:rsid w:val="00071F98"/>
    <w:rsid w:val="000722D2"/>
    <w:rsid w:val="00072548"/>
    <w:rsid w:val="00073BCA"/>
    <w:rsid w:val="00073DA6"/>
    <w:rsid w:val="0007498C"/>
    <w:rsid w:val="00074CDE"/>
    <w:rsid w:val="00075E78"/>
    <w:rsid w:val="0007680D"/>
    <w:rsid w:val="00077F20"/>
    <w:rsid w:val="00077FF8"/>
    <w:rsid w:val="0008194B"/>
    <w:rsid w:val="000832B4"/>
    <w:rsid w:val="000855BE"/>
    <w:rsid w:val="000860DB"/>
    <w:rsid w:val="00091A5E"/>
    <w:rsid w:val="00092FF0"/>
    <w:rsid w:val="00093927"/>
    <w:rsid w:val="00093AB1"/>
    <w:rsid w:val="00093D8D"/>
    <w:rsid w:val="000948D9"/>
    <w:rsid w:val="00094A63"/>
    <w:rsid w:val="00095B72"/>
    <w:rsid w:val="00095F02"/>
    <w:rsid w:val="00096BF7"/>
    <w:rsid w:val="0009716E"/>
    <w:rsid w:val="00097699"/>
    <w:rsid w:val="000A00F9"/>
    <w:rsid w:val="000A0528"/>
    <w:rsid w:val="000A0661"/>
    <w:rsid w:val="000A07AD"/>
    <w:rsid w:val="000A1ACE"/>
    <w:rsid w:val="000A2DE9"/>
    <w:rsid w:val="000A4192"/>
    <w:rsid w:val="000A4EA8"/>
    <w:rsid w:val="000A5070"/>
    <w:rsid w:val="000A5722"/>
    <w:rsid w:val="000A5A7C"/>
    <w:rsid w:val="000A60CB"/>
    <w:rsid w:val="000A6CAD"/>
    <w:rsid w:val="000A7B2C"/>
    <w:rsid w:val="000A7F2A"/>
    <w:rsid w:val="000B0926"/>
    <w:rsid w:val="000B09A5"/>
    <w:rsid w:val="000B0BAD"/>
    <w:rsid w:val="000B2519"/>
    <w:rsid w:val="000B296D"/>
    <w:rsid w:val="000B6040"/>
    <w:rsid w:val="000B6733"/>
    <w:rsid w:val="000B732D"/>
    <w:rsid w:val="000B77FF"/>
    <w:rsid w:val="000B7F75"/>
    <w:rsid w:val="000C08D6"/>
    <w:rsid w:val="000C1121"/>
    <w:rsid w:val="000C18BB"/>
    <w:rsid w:val="000C35C2"/>
    <w:rsid w:val="000C3CC5"/>
    <w:rsid w:val="000C5B26"/>
    <w:rsid w:val="000C5CC0"/>
    <w:rsid w:val="000C5D7F"/>
    <w:rsid w:val="000C6850"/>
    <w:rsid w:val="000C744F"/>
    <w:rsid w:val="000C7796"/>
    <w:rsid w:val="000C7929"/>
    <w:rsid w:val="000D11AD"/>
    <w:rsid w:val="000D21FC"/>
    <w:rsid w:val="000D246A"/>
    <w:rsid w:val="000D3F77"/>
    <w:rsid w:val="000D40EB"/>
    <w:rsid w:val="000D49BB"/>
    <w:rsid w:val="000D654B"/>
    <w:rsid w:val="000D67F3"/>
    <w:rsid w:val="000D6808"/>
    <w:rsid w:val="000D75E1"/>
    <w:rsid w:val="000E0B68"/>
    <w:rsid w:val="000E0C12"/>
    <w:rsid w:val="000E104B"/>
    <w:rsid w:val="000E244B"/>
    <w:rsid w:val="000E2C54"/>
    <w:rsid w:val="000E321E"/>
    <w:rsid w:val="000E4E2D"/>
    <w:rsid w:val="000E546D"/>
    <w:rsid w:val="000E719F"/>
    <w:rsid w:val="000E7536"/>
    <w:rsid w:val="000F0C76"/>
    <w:rsid w:val="000F0CEE"/>
    <w:rsid w:val="000F197E"/>
    <w:rsid w:val="000F2278"/>
    <w:rsid w:val="000F24EC"/>
    <w:rsid w:val="000F3051"/>
    <w:rsid w:val="000F4DDC"/>
    <w:rsid w:val="000F5210"/>
    <w:rsid w:val="000F573D"/>
    <w:rsid w:val="00100CE1"/>
    <w:rsid w:val="00102669"/>
    <w:rsid w:val="00102C6C"/>
    <w:rsid w:val="00102CE1"/>
    <w:rsid w:val="00102E59"/>
    <w:rsid w:val="00102FA1"/>
    <w:rsid w:val="00102FF4"/>
    <w:rsid w:val="00103DE7"/>
    <w:rsid w:val="00104FD8"/>
    <w:rsid w:val="0010500B"/>
    <w:rsid w:val="0010620C"/>
    <w:rsid w:val="00106AF2"/>
    <w:rsid w:val="00106B3C"/>
    <w:rsid w:val="00107795"/>
    <w:rsid w:val="00110D02"/>
    <w:rsid w:val="00111542"/>
    <w:rsid w:val="001116B6"/>
    <w:rsid w:val="00112A05"/>
    <w:rsid w:val="00112BB8"/>
    <w:rsid w:val="00112BD4"/>
    <w:rsid w:val="001130EE"/>
    <w:rsid w:val="00114442"/>
    <w:rsid w:val="0011482E"/>
    <w:rsid w:val="00115F11"/>
    <w:rsid w:val="00116D1B"/>
    <w:rsid w:val="00116F9F"/>
    <w:rsid w:val="00117A27"/>
    <w:rsid w:val="00117FBE"/>
    <w:rsid w:val="001203CE"/>
    <w:rsid w:val="00120BA8"/>
    <w:rsid w:val="00120CA2"/>
    <w:rsid w:val="00120CF0"/>
    <w:rsid w:val="001213F7"/>
    <w:rsid w:val="00121CB7"/>
    <w:rsid w:val="00121EB2"/>
    <w:rsid w:val="001233F3"/>
    <w:rsid w:val="00124299"/>
    <w:rsid w:val="0012528F"/>
    <w:rsid w:val="00126236"/>
    <w:rsid w:val="001263E1"/>
    <w:rsid w:val="0012659A"/>
    <w:rsid w:val="00126A51"/>
    <w:rsid w:val="00126DCB"/>
    <w:rsid w:val="00126F2C"/>
    <w:rsid w:val="0012795E"/>
    <w:rsid w:val="00131C66"/>
    <w:rsid w:val="00131EB9"/>
    <w:rsid w:val="00133205"/>
    <w:rsid w:val="00134363"/>
    <w:rsid w:val="00135004"/>
    <w:rsid w:val="00135238"/>
    <w:rsid w:val="00135C10"/>
    <w:rsid w:val="00137A00"/>
    <w:rsid w:val="00137FC5"/>
    <w:rsid w:val="001419C5"/>
    <w:rsid w:val="00141A4D"/>
    <w:rsid w:val="001424ED"/>
    <w:rsid w:val="00142E55"/>
    <w:rsid w:val="00144566"/>
    <w:rsid w:val="0014481B"/>
    <w:rsid w:val="0014489C"/>
    <w:rsid w:val="00144D35"/>
    <w:rsid w:val="00146464"/>
    <w:rsid w:val="00146F62"/>
    <w:rsid w:val="00147B61"/>
    <w:rsid w:val="001504C2"/>
    <w:rsid w:val="00151091"/>
    <w:rsid w:val="001527B5"/>
    <w:rsid w:val="00153534"/>
    <w:rsid w:val="00153572"/>
    <w:rsid w:val="0015457B"/>
    <w:rsid w:val="00154D70"/>
    <w:rsid w:val="001566C7"/>
    <w:rsid w:val="00157B67"/>
    <w:rsid w:val="00161F1B"/>
    <w:rsid w:val="0016218F"/>
    <w:rsid w:val="001639BC"/>
    <w:rsid w:val="00164337"/>
    <w:rsid w:val="00164F1D"/>
    <w:rsid w:val="00165108"/>
    <w:rsid w:val="00165AC4"/>
    <w:rsid w:val="00165F94"/>
    <w:rsid w:val="00167E41"/>
    <w:rsid w:val="00170961"/>
    <w:rsid w:val="00170ED4"/>
    <w:rsid w:val="00172718"/>
    <w:rsid w:val="00172858"/>
    <w:rsid w:val="0017328F"/>
    <w:rsid w:val="00173392"/>
    <w:rsid w:val="00173A57"/>
    <w:rsid w:val="00173D71"/>
    <w:rsid w:val="00173FC0"/>
    <w:rsid w:val="001746AC"/>
    <w:rsid w:val="00174CB7"/>
    <w:rsid w:val="001753AF"/>
    <w:rsid w:val="00175430"/>
    <w:rsid w:val="001758EE"/>
    <w:rsid w:val="00175972"/>
    <w:rsid w:val="00175C7C"/>
    <w:rsid w:val="001761B9"/>
    <w:rsid w:val="001778F8"/>
    <w:rsid w:val="001779F5"/>
    <w:rsid w:val="00177A88"/>
    <w:rsid w:val="00181912"/>
    <w:rsid w:val="00183196"/>
    <w:rsid w:val="001838C0"/>
    <w:rsid w:val="00185606"/>
    <w:rsid w:val="00185B11"/>
    <w:rsid w:val="00186DD7"/>
    <w:rsid w:val="00186E6E"/>
    <w:rsid w:val="001870BA"/>
    <w:rsid w:val="001905EA"/>
    <w:rsid w:val="00191A85"/>
    <w:rsid w:val="00192C78"/>
    <w:rsid w:val="00194690"/>
    <w:rsid w:val="0019625E"/>
    <w:rsid w:val="001973A0"/>
    <w:rsid w:val="00197E77"/>
    <w:rsid w:val="001A022D"/>
    <w:rsid w:val="001A0C16"/>
    <w:rsid w:val="001A11C2"/>
    <w:rsid w:val="001A1E43"/>
    <w:rsid w:val="001A1FFB"/>
    <w:rsid w:val="001A2520"/>
    <w:rsid w:val="001A32DA"/>
    <w:rsid w:val="001A36DD"/>
    <w:rsid w:val="001A38C6"/>
    <w:rsid w:val="001A529B"/>
    <w:rsid w:val="001A5BB3"/>
    <w:rsid w:val="001A5F3C"/>
    <w:rsid w:val="001A637E"/>
    <w:rsid w:val="001B0981"/>
    <w:rsid w:val="001B0CE4"/>
    <w:rsid w:val="001B0FAA"/>
    <w:rsid w:val="001B11EF"/>
    <w:rsid w:val="001B1C18"/>
    <w:rsid w:val="001B1DB9"/>
    <w:rsid w:val="001B2225"/>
    <w:rsid w:val="001B3440"/>
    <w:rsid w:val="001B360F"/>
    <w:rsid w:val="001B3C5B"/>
    <w:rsid w:val="001B4222"/>
    <w:rsid w:val="001B4330"/>
    <w:rsid w:val="001B4F0D"/>
    <w:rsid w:val="001B5D24"/>
    <w:rsid w:val="001B6275"/>
    <w:rsid w:val="001B6FA2"/>
    <w:rsid w:val="001B701C"/>
    <w:rsid w:val="001B765C"/>
    <w:rsid w:val="001C0A7E"/>
    <w:rsid w:val="001C2265"/>
    <w:rsid w:val="001C2EFA"/>
    <w:rsid w:val="001C3777"/>
    <w:rsid w:val="001C3957"/>
    <w:rsid w:val="001C48EC"/>
    <w:rsid w:val="001C4A4A"/>
    <w:rsid w:val="001C4E70"/>
    <w:rsid w:val="001C5A1E"/>
    <w:rsid w:val="001C616E"/>
    <w:rsid w:val="001C64DC"/>
    <w:rsid w:val="001C6893"/>
    <w:rsid w:val="001C7A7C"/>
    <w:rsid w:val="001D1FA3"/>
    <w:rsid w:val="001D3893"/>
    <w:rsid w:val="001D4197"/>
    <w:rsid w:val="001D43EB"/>
    <w:rsid w:val="001D4EB7"/>
    <w:rsid w:val="001D568D"/>
    <w:rsid w:val="001D628D"/>
    <w:rsid w:val="001D6395"/>
    <w:rsid w:val="001D70FE"/>
    <w:rsid w:val="001E1350"/>
    <w:rsid w:val="001E15D2"/>
    <w:rsid w:val="001E18ED"/>
    <w:rsid w:val="001E1D1C"/>
    <w:rsid w:val="001E2CA0"/>
    <w:rsid w:val="001E304F"/>
    <w:rsid w:val="001E3367"/>
    <w:rsid w:val="001E3585"/>
    <w:rsid w:val="001E3E18"/>
    <w:rsid w:val="001E52B0"/>
    <w:rsid w:val="001E58C9"/>
    <w:rsid w:val="001E632C"/>
    <w:rsid w:val="001E753F"/>
    <w:rsid w:val="001E7CB4"/>
    <w:rsid w:val="001F0CCD"/>
    <w:rsid w:val="001F0D31"/>
    <w:rsid w:val="001F1598"/>
    <w:rsid w:val="001F185C"/>
    <w:rsid w:val="001F225F"/>
    <w:rsid w:val="001F23FE"/>
    <w:rsid w:val="001F2A64"/>
    <w:rsid w:val="001F2EDA"/>
    <w:rsid w:val="001F32BA"/>
    <w:rsid w:val="001F4518"/>
    <w:rsid w:val="001F47C3"/>
    <w:rsid w:val="001F54F3"/>
    <w:rsid w:val="001F617D"/>
    <w:rsid w:val="001F63E3"/>
    <w:rsid w:val="001F6D90"/>
    <w:rsid w:val="001F7DF5"/>
    <w:rsid w:val="002005F5"/>
    <w:rsid w:val="00200D1A"/>
    <w:rsid w:val="002010EF"/>
    <w:rsid w:val="00201116"/>
    <w:rsid w:val="002014E8"/>
    <w:rsid w:val="002026D8"/>
    <w:rsid w:val="0020282F"/>
    <w:rsid w:val="00204C2D"/>
    <w:rsid w:val="002054C8"/>
    <w:rsid w:val="002056E6"/>
    <w:rsid w:val="00206902"/>
    <w:rsid w:val="00206A2B"/>
    <w:rsid w:val="002076D7"/>
    <w:rsid w:val="00207AF8"/>
    <w:rsid w:val="00207C61"/>
    <w:rsid w:val="00207D5E"/>
    <w:rsid w:val="00210530"/>
    <w:rsid w:val="002106AD"/>
    <w:rsid w:val="002119DD"/>
    <w:rsid w:val="00211A89"/>
    <w:rsid w:val="00213160"/>
    <w:rsid w:val="0021457C"/>
    <w:rsid w:val="002146E3"/>
    <w:rsid w:val="00215665"/>
    <w:rsid w:val="0021607A"/>
    <w:rsid w:val="002169F9"/>
    <w:rsid w:val="002202DE"/>
    <w:rsid w:val="00220353"/>
    <w:rsid w:val="00220EF8"/>
    <w:rsid w:val="00222BDB"/>
    <w:rsid w:val="00223345"/>
    <w:rsid w:val="00224C54"/>
    <w:rsid w:val="002255CB"/>
    <w:rsid w:val="002271D0"/>
    <w:rsid w:val="00230352"/>
    <w:rsid w:val="00230D0D"/>
    <w:rsid w:val="002310EB"/>
    <w:rsid w:val="002318DC"/>
    <w:rsid w:val="002321D3"/>
    <w:rsid w:val="0023310C"/>
    <w:rsid w:val="002335FC"/>
    <w:rsid w:val="00233C7F"/>
    <w:rsid w:val="00233DA3"/>
    <w:rsid w:val="002342E8"/>
    <w:rsid w:val="00234BD2"/>
    <w:rsid w:val="00234FF5"/>
    <w:rsid w:val="002354A6"/>
    <w:rsid w:val="002403E9"/>
    <w:rsid w:val="0024056A"/>
    <w:rsid w:val="00241922"/>
    <w:rsid w:val="00241DDA"/>
    <w:rsid w:val="00242338"/>
    <w:rsid w:val="0024264C"/>
    <w:rsid w:val="00242F3F"/>
    <w:rsid w:val="002437E3"/>
    <w:rsid w:val="00243A2A"/>
    <w:rsid w:val="00243A87"/>
    <w:rsid w:val="00243EEA"/>
    <w:rsid w:val="0024438F"/>
    <w:rsid w:val="002445F5"/>
    <w:rsid w:val="00244B17"/>
    <w:rsid w:val="00244F2E"/>
    <w:rsid w:val="00244F68"/>
    <w:rsid w:val="0024568F"/>
    <w:rsid w:val="00245CD3"/>
    <w:rsid w:val="002466AE"/>
    <w:rsid w:val="002468EB"/>
    <w:rsid w:val="00246B29"/>
    <w:rsid w:val="0024702A"/>
    <w:rsid w:val="00250D77"/>
    <w:rsid w:val="0025114E"/>
    <w:rsid w:val="002512F9"/>
    <w:rsid w:val="0025164C"/>
    <w:rsid w:val="00252773"/>
    <w:rsid w:val="00252FD4"/>
    <w:rsid w:val="00254A27"/>
    <w:rsid w:val="00254C36"/>
    <w:rsid w:val="0025527B"/>
    <w:rsid w:val="00255975"/>
    <w:rsid w:val="00256B55"/>
    <w:rsid w:val="0025715E"/>
    <w:rsid w:val="00257C1D"/>
    <w:rsid w:val="002603B7"/>
    <w:rsid w:val="0026115E"/>
    <w:rsid w:val="002618D9"/>
    <w:rsid w:val="00261F28"/>
    <w:rsid w:val="002623CA"/>
    <w:rsid w:val="00262C77"/>
    <w:rsid w:val="002632E0"/>
    <w:rsid w:val="002650BF"/>
    <w:rsid w:val="00265887"/>
    <w:rsid w:val="00265905"/>
    <w:rsid w:val="00266E78"/>
    <w:rsid w:val="00267408"/>
    <w:rsid w:val="00267F3C"/>
    <w:rsid w:val="00273759"/>
    <w:rsid w:val="002742D1"/>
    <w:rsid w:val="00274503"/>
    <w:rsid w:val="00274897"/>
    <w:rsid w:val="0027549A"/>
    <w:rsid w:val="002760B9"/>
    <w:rsid w:val="002762C2"/>
    <w:rsid w:val="0027634D"/>
    <w:rsid w:val="0027763A"/>
    <w:rsid w:val="00277FF9"/>
    <w:rsid w:val="00280295"/>
    <w:rsid w:val="0028034E"/>
    <w:rsid w:val="00280C62"/>
    <w:rsid w:val="00281561"/>
    <w:rsid w:val="00281F5E"/>
    <w:rsid w:val="002823EA"/>
    <w:rsid w:val="0028315E"/>
    <w:rsid w:val="0028388E"/>
    <w:rsid w:val="00283D1E"/>
    <w:rsid w:val="00284233"/>
    <w:rsid w:val="00284A27"/>
    <w:rsid w:val="0028544A"/>
    <w:rsid w:val="0028791F"/>
    <w:rsid w:val="00291256"/>
    <w:rsid w:val="00291988"/>
    <w:rsid w:val="00292239"/>
    <w:rsid w:val="002934E2"/>
    <w:rsid w:val="002937C3"/>
    <w:rsid w:val="002939FB"/>
    <w:rsid w:val="00293F03"/>
    <w:rsid w:val="00293FBF"/>
    <w:rsid w:val="00294BD0"/>
    <w:rsid w:val="00294E37"/>
    <w:rsid w:val="00295403"/>
    <w:rsid w:val="0029559C"/>
    <w:rsid w:val="00295642"/>
    <w:rsid w:val="0029604B"/>
    <w:rsid w:val="002963A4"/>
    <w:rsid w:val="002964CE"/>
    <w:rsid w:val="00297112"/>
    <w:rsid w:val="002975B9"/>
    <w:rsid w:val="0029777E"/>
    <w:rsid w:val="002A0A85"/>
    <w:rsid w:val="002A18E3"/>
    <w:rsid w:val="002A1C58"/>
    <w:rsid w:val="002A2FDA"/>
    <w:rsid w:val="002A3C33"/>
    <w:rsid w:val="002A44B3"/>
    <w:rsid w:val="002A45F5"/>
    <w:rsid w:val="002A4EC4"/>
    <w:rsid w:val="002A5858"/>
    <w:rsid w:val="002A6F54"/>
    <w:rsid w:val="002A7941"/>
    <w:rsid w:val="002B02C0"/>
    <w:rsid w:val="002B0C34"/>
    <w:rsid w:val="002B0C73"/>
    <w:rsid w:val="002B0D0C"/>
    <w:rsid w:val="002B0ED5"/>
    <w:rsid w:val="002B0FBD"/>
    <w:rsid w:val="002B1283"/>
    <w:rsid w:val="002B17D8"/>
    <w:rsid w:val="002B1DA3"/>
    <w:rsid w:val="002B2214"/>
    <w:rsid w:val="002B3556"/>
    <w:rsid w:val="002B453C"/>
    <w:rsid w:val="002B48DB"/>
    <w:rsid w:val="002B55D8"/>
    <w:rsid w:val="002B5BEF"/>
    <w:rsid w:val="002B6083"/>
    <w:rsid w:val="002B6DB9"/>
    <w:rsid w:val="002B72AC"/>
    <w:rsid w:val="002C0715"/>
    <w:rsid w:val="002C14DF"/>
    <w:rsid w:val="002C1C48"/>
    <w:rsid w:val="002C2073"/>
    <w:rsid w:val="002C27E0"/>
    <w:rsid w:val="002C3F56"/>
    <w:rsid w:val="002C55A5"/>
    <w:rsid w:val="002C5872"/>
    <w:rsid w:val="002C6A4F"/>
    <w:rsid w:val="002C6AA8"/>
    <w:rsid w:val="002D28B0"/>
    <w:rsid w:val="002D291D"/>
    <w:rsid w:val="002D39D3"/>
    <w:rsid w:val="002D4E42"/>
    <w:rsid w:val="002D65A7"/>
    <w:rsid w:val="002D6873"/>
    <w:rsid w:val="002D6C4A"/>
    <w:rsid w:val="002D79CD"/>
    <w:rsid w:val="002E037D"/>
    <w:rsid w:val="002E11B5"/>
    <w:rsid w:val="002E1916"/>
    <w:rsid w:val="002E1DDB"/>
    <w:rsid w:val="002E1FF1"/>
    <w:rsid w:val="002E2832"/>
    <w:rsid w:val="002E2B11"/>
    <w:rsid w:val="002E4144"/>
    <w:rsid w:val="002E6167"/>
    <w:rsid w:val="002E6F32"/>
    <w:rsid w:val="002E76FD"/>
    <w:rsid w:val="002E7A5B"/>
    <w:rsid w:val="002F0613"/>
    <w:rsid w:val="002F0D1A"/>
    <w:rsid w:val="002F108A"/>
    <w:rsid w:val="002F1D72"/>
    <w:rsid w:val="002F26FA"/>
    <w:rsid w:val="002F2F54"/>
    <w:rsid w:val="002F3200"/>
    <w:rsid w:val="002F3666"/>
    <w:rsid w:val="002F37CE"/>
    <w:rsid w:val="002F4693"/>
    <w:rsid w:val="002F4BF7"/>
    <w:rsid w:val="002F52BD"/>
    <w:rsid w:val="002F5D8F"/>
    <w:rsid w:val="002F6E57"/>
    <w:rsid w:val="002F7156"/>
    <w:rsid w:val="002F7D50"/>
    <w:rsid w:val="002F7E5A"/>
    <w:rsid w:val="00300AF2"/>
    <w:rsid w:val="00300C2A"/>
    <w:rsid w:val="00301839"/>
    <w:rsid w:val="00301B84"/>
    <w:rsid w:val="00301FEE"/>
    <w:rsid w:val="00303483"/>
    <w:rsid w:val="00303C34"/>
    <w:rsid w:val="003047DA"/>
    <w:rsid w:val="00304F93"/>
    <w:rsid w:val="003060A0"/>
    <w:rsid w:val="00307EC2"/>
    <w:rsid w:val="00310F67"/>
    <w:rsid w:val="00311660"/>
    <w:rsid w:val="00311D0D"/>
    <w:rsid w:val="003124CA"/>
    <w:rsid w:val="00312530"/>
    <w:rsid w:val="003150F0"/>
    <w:rsid w:val="00315B60"/>
    <w:rsid w:val="003161F7"/>
    <w:rsid w:val="00316381"/>
    <w:rsid w:val="00317E11"/>
    <w:rsid w:val="00320FE0"/>
    <w:rsid w:val="00321705"/>
    <w:rsid w:val="00323667"/>
    <w:rsid w:val="00324A04"/>
    <w:rsid w:val="003261BC"/>
    <w:rsid w:val="003269C7"/>
    <w:rsid w:val="003269EA"/>
    <w:rsid w:val="0032752B"/>
    <w:rsid w:val="003276D2"/>
    <w:rsid w:val="00333318"/>
    <w:rsid w:val="00334C05"/>
    <w:rsid w:val="00335705"/>
    <w:rsid w:val="00335879"/>
    <w:rsid w:val="00335A11"/>
    <w:rsid w:val="00336562"/>
    <w:rsid w:val="00337BD2"/>
    <w:rsid w:val="0034002B"/>
    <w:rsid w:val="00340601"/>
    <w:rsid w:val="00340ABE"/>
    <w:rsid w:val="00340E81"/>
    <w:rsid w:val="00341623"/>
    <w:rsid w:val="003422C9"/>
    <w:rsid w:val="0034236F"/>
    <w:rsid w:val="00342573"/>
    <w:rsid w:val="0034391B"/>
    <w:rsid w:val="00343B89"/>
    <w:rsid w:val="00345103"/>
    <w:rsid w:val="00346E75"/>
    <w:rsid w:val="00347BED"/>
    <w:rsid w:val="00347EAF"/>
    <w:rsid w:val="00350447"/>
    <w:rsid w:val="0035275C"/>
    <w:rsid w:val="00352E7B"/>
    <w:rsid w:val="00353FA6"/>
    <w:rsid w:val="003543A0"/>
    <w:rsid w:val="00354909"/>
    <w:rsid w:val="0035561A"/>
    <w:rsid w:val="003558BF"/>
    <w:rsid w:val="00355C87"/>
    <w:rsid w:val="00357D0F"/>
    <w:rsid w:val="0036049B"/>
    <w:rsid w:val="003606C7"/>
    <w:rsid w:val="003607D0"/>
    <w:rsid w:val="00361036"/>
    <w:rsid w:val="003615D6"/>
    <w:rsid w:val="00362530"/>
    <w:rsid w:val="00363AB4"/>
    <w:rsid w:val="003646F5"/>
    <w:rsid w:val="00365248"/>
    <w:rsid w:val="00365435"/>
    <w:rsid w:val="00365D02"/>
    <w:rsid w:val="003662CD"/>
    <w:rsid w:val="003670C2"/>
    <w:rsid w:val="00367BDD"/>
    <w:rsid w:val="00367F52"/>
    <w:rsid w:val="00370290"/>
    <w:rsid w:val="0037178D"/>
    <w:rsid w:val="00371F82"/>
    <w:rsid w:val="00372221"/>
    <w:rsid w:val="00372CB7"/>
    <w:rsid w:val="003741F9"/>
    <w:rsid w:val="0037434F"/>
    <w:rsid w:val="00374ECB"/>
    <w:rsid w:val="003763E5"/>
    <w:rsid w:val="00377ED3"/>
    <w:rsid w:val="0038062C"/>
    <w:rsid w:val="00380959"/>
    <w:rsid w:val="00380A87"/>
    <w:rsid w:val="00380F74"/>
    <w:rsid w:val="00381844"/>
    <w:rsid w:val="003849F1"/>
    <w:rsid w:val="003860D7"/>
    <w:rsid w:val="00387727"/>
    <w:rsid w:val="0038783E"/>
    <w:rsid w:val="00387DFB"/>
    <w:rsid w:val="003917EE"/>
    <w:rsid w:val="00391AD2"/>
    <w:rsid w:val="00391B2D"/>
    <w:rsid w:val="0039255A"/>
    <w:rsid w:val="0039346A"/>
    <w:rsid w:val="00394CCA"/>
    <w:rsid w:val="00395534"/>
    <w:rsid w:val="00395769"/>
    <w:rsid w:val="003962A7"/>
    <w:rsid w:val="003966DF"/>
    <w:rsid w:val="00397204"/>
    <w:rsid w:val="003973B3"/>
    <w:rsid w:val="003977D1"/>
    <w:rsid w:val="003A100F"/>
    <w:rsid w:val="003A157E"/>
    <w:rsid w:val="003A2713"/>
    <w:rsid w:val="003A2B25"/>
    <w:rsid w:val="003A453E"/>
    <w:rsid w:val="003A51A1"/>
    <w:rsid w:val="003A5EC2"/>
    <w:rsid w:val="003A6245"/>
    <w:rsid w:val="003A6F71"/>
    <w:rsid w:val="003A7167"/>
    <w:rsid w:val="003A7B38"/>
    <w:rsid w:val="003B19AB"/>
    <w:rsid w:val="003B1E15"/>
    <w:rsid w:val="003B1F83"/>
    <w:rsid w:val="003B2092"/>
    <w:rsid w:val="003B2188"/>
    <w:rsid w:val="003B2271"/>
    <w:rsid w:val="003B22A9"/>
    <w:rsid w:val="003B2DF8"/>
    <w:rsid w:val="003B3D11"/>
    <w:rsid w:val="003B475D"/>
    <w:rsid w:val="003B4DC7"/>
    <w:rsid w:val="003B587F"/>
    <w:rsid w:val="003B727E"/>
    <w:rsid w:val="003B7803"/>
    <w:rsid w:val="003C2497"/>
    <w:rsid w:val="003C32E8"/>
    <w:rsid w:val="003C453A"/>
    <w:rsid w:val="003C4667"/>
    <w:rsid w:val="003C48D4"/>
    <w:rsid w:val="003C4F3E"/>
    <w:rsid w:val="003C5F55"/>
    <w:rsid w:val="003C643E"/>
    <w:rsid w:val="003C6876"/>
    <w:rsid w:val="003C77B2"/>
    <w:rsid w:val="003C7842"/>
    <w:rsid w:val="003C7B92"/>
    <w:rsid w:val="003D1CE5"/>
    <w:rsid w:val="003D22CD"/>
    <w:rsid w:val="003D2977"/>
    <w:rsid w:val="003D32B0"/>
    <w:rsid w:val="003D417D"/>
    <w:rsid w:val="003D4276"/>
    <w:rsid w:val="003D45BD"/>
    <w:rsid w:val="003D4B65"/>
    <w:rsid w:val="003D56B9"/>
    <w:rsid w:val="003D624D"/>
    <w:rsid w:val="003D6F4D"/>
    <w:rsid w:val="003D6FC8"/>
    <w:rsid w:val="003E0F29"/>
    <w:rsid w:val="003E0FE1"/>
    <w:rsid w:val="003E1051"/>
    <w:rsid w:val="003E145F"/>
    <w:rsid w:val="003E1D37"/>
    <w:rsid w:val="003E22D9"/>
    <w:rsid w:val="003E2E4F"/>
    <w:rsid w:val="003E433D"/>
    <w:rsid w:val="003E4CBC"/>
    <w:rsid w:val="003E5053"/>
    <w:rsid w:val="003E50B6"/>
    <w:rsid w:val="003E5728"/>
    <w:rsid w:val="003E59B8"/>
    <w:rsid w:val="003E6445"/>
    <w:rsid w:val="003E6783"/>
    <w:rsid w:val="003E691A"/>
    <w:rsid w:val="003E6D31"/>
    <w:rsid w:val="003F0383"/>
    <w:rsid w:val="003F0882"/>
    <w:rsid w:val="003F093D"/>
    <w:rsid w:val="003F1884"/>
    <w:rsid w:val="003F1E24"/>
    <w:rsid w:val="003F346F"/>
    <w:rsid w:val="003F4642"/>
    <w:rsid w:val="003F48D6"/>
    <w:rsid w:val="003F55A0"/>
    <w:rsid w:val="003F5AFD"/>
    <w:rsid w:val="003F701F"/>
    <w:rsid w:val="00400953"/>
    <w:rsid w:val="004016F3"/>
    <w:rsid w:val="00401A3C"/>
    <w:rsid w:val="00401C6A"/>
    <w:rsid w:val="00401EFF"/>
    <w:rsid w:val="004022AE"/>
    <w:rsid w:val="004027ED"/>
    <w:rsid w:val="004043A9"/>
    <w:rsid w:val="00406793"/>
    <w:rsid w:val="00406888"/>
    <w:rsid w:val="00406E4A"/>
    <w:rsid w:val="004074ED"/>
    <w:rsid w:val="00407771"/>
    <w:rsid w:val="00410055"/>
    <w:rsid w:val="004105E0"/>
    <w:rsid w:val="00410F96"/>
    <w:rsid w:val="00411597"/>
    <w:rsid w:val="0041172D"/>
    <w:rsid w:val="0041186A"/>
    <w:rsid w:val="004119C7"/>
    <w:rsid w:val="0041415E"/>
    <w:rsid w:val="00414819"/>
    <w:rsid w:val="00414C2F"/>
    <w:rsid w:val="00415780"/>
    <w:rsid w:val="00415FF8"/>
    <w:rsid w:val="004162F9"/>
    <w:rsid w:val="00416774"/>
    <w:rsid w:val="00416BB4"/>
    <w:rsid w:val="00417A7F"/>
    <w:rsid w:val="0042000C"/>
    <w:rsid w:val="004222DB"/>
    <w:rsid w:val="00423002"/>
    <w:rsid w:val="00423940"/>
    <w:rsid w:val="004240F4"/>
    <w:rsid w:val="004246DD"/>
    <w:rsid w:val="0042518C"/>
    <w:rsid w:val="00425875"/>
    <w:rsid w:val="00426156"/>
    <w:rsid w:val="00427554"/>
    <w:rsid w:val="004308DD"/>
    <w:rsid w:val="00431706"/>
    <w:rsid w:val="00432733"/>
    <w:rsid w:val="00435BB8"/>
    <w:rsid w:val="00437597"/>
    <w:rsid w:val="00437A7C"/>
    <w:rsid w:val="00437B5B"/>
    <w:rsid w:val="00440B5C"/>
    <w:rsid w:val="00440FBE"/>
    <w:rsid w:val="00441B12"/>
    <w:rsid w:val="004422F3"/>
    <w:rsid w:val="00442DAC"/>
    <w:rsid w:val="004430B7"/>
    <w:rsid w:val="004433D9"/>
    <w:rsid w:val="00443609"/>
    <w:rsid w:val="00443DA5"/>
    <w:rsid w:val="004443DB"/>
    <w:rsid w:val="00444582"/>
    <w:rsid w:val="0044474A"/>
    <w:rsid w:val="00444861"/>
    <w:rsid w:val="00445097"/>
    <w:rsid w:val="0044594B"/>
    <w:rsid w:val="004461ED"/>
    <w:rsid w:val="004475F6"/>
    <w:rsid w:val="004477AC"/>
    <w:rsid w:val="0045083F"/>
    <w:rsid w:val="004515F9"/>
    <w:rsid w:val="00451B91"/>
    <w:rsid w:val="00454478"/>
    <w:rsid w:val="00454537"/>
    <w:rsid w:val="00454853"/>
    <w:rsid w:val="0045491D"/>
    <w:rsid w:val="00454A5A"/>
    <w:rsid w:val="00454D9B"/>
    <w:rsid w:val="00455729"/>
    <w:rsid w:val="0045767E"/>
    <w:rsid w:val="004577B8"/>
    <w:rsid w:val="00457ADB"/>
    <w:rsid w:val="00457DFF"/>
    <w:rsid w:val="00460594"/>
    <w:rsid w:val="00460CAB"/>
    <w:rsid w:val="00461279"/>
    <w:rsid w:val="00462682"/>
    <w:rsid w:val="0046362F"/>
    <w:rsid w:val="00464CAC"/>
    <w:rsid w:val="00465476"/>
    <w:rsid w:val="004658F4"/>
    <w:rsid w:val="00465C64"/>
    <w:rsid w:val="00470327"/>
    <w:rsid w:val="00470C7E"/>
    <w:rsid w:val="004715D3"/>
    <w:rsid w:val="00472431"/>
    <w:rsid w:val="004733E1"/>
    <w:rsid w:val="004735ED"/>
    <w:rsid w:val="00474B3C"/>
    <w:rsid w:val="00474FC9"/>
    <w:rsid w:val="004752B8"/>
    <w:rsid w:val="00475A5E"/>
    <w:rsid w:val="00475CAF"/>
    <w:rsid w:val="004775CA"/>
    <w:rsid w:val="00480D9D"/>
    <w:rsid w:val="0048606A"/>
    <w:rsid w:val="00486687"/>
    <w:rsid w:val="004877AE"/>
    <w:rsid w:val="004879ED"/>
    <w:rsid w:val="00491F78"/>
    <w:rsid w:val="00491FF0"/>
    <w:rsid w:val="0049214F"/>
    <w:rsid w:val="004933C5"/>
    <w:rsid w:val="004943CF"/>
    <w:rsid w:val="004943E9"/>
    <w:rsid w:val="00494B27"/>
    <w:rsid w:val="004A053E"/>
    <w:rsid w:val="004A06B7"/>
    <w:rsid w:val="004A081F"/>
    <w:rsid w:val="004A0E28"/>
    <w:rsid w:val="004A14D9"/>
    <w:rsid w:val="004A2B6C"/>
    <w:rsid w:val="004A3405"/>
    <w:rsid w:val="004A4083"/>
    <w:rsid w:val="004A4965"/>
    <w:rsid w:val="004A4BD1"/>
    <w:rsid w:val="004A6429"/>
    <w:rsid w:val="004A6432"/>
    <w:rsid w:val="004A6961"/>
    <w:rsid w:val="004A758E"/>
    <w:rsid w:val="004A7A95"/>
    <w:rsid w:val="004A7F7B"/>
    <w:rsid w:val="004B1BB7"/>
    <w:rsid w:val="004B1D5A"/>
    <w:rsid w:val="004B2D44"/>
    <w:rsid w:val="004B4ABC"/>
    <w:rsid w:val="004B4DAF"/>
    <w:rsid w:val="004B4FA3"/>
    <w:rsid w:val="004B5443"/>
    <w:rsid w:val="004B6801"/>
    <w:rsid w:val="004B68F6"/>
    <w:rsid w:val="004B6E24"/>
    <w:rsid w:val="004B6FF0"/>
    <w:rsid w:val="004C06CC"/>
    <w:rsid w:val="004C2646"/>
    <w:rsid w:val="004C29EF"/>
    <w:rsid w:val="004C36C0"/>
    <w:rsid w:val="004C47B8"/>
    <w:rsid w:val="004C4C62"/>
    <w:rsid w:val="004C4F76"/>
    <w:rsid w:val="004C4F78"/>
    <w:rsid w:val="004C67A7"/>
    <w:rsid w:val="004D0277"/>
    <w:rsid w:val="004D1AA1"/>
    <w:rsid w:val="004D1E0B"/>
    <w:rsid w:val="004D2109"/>
    <w:rsid w:val="004D28A6"/>
    <w:rsid w:val="004D36A7"/>
    <w:rsid w:val="004D3F31"/>
    <w:rsid w:val="004D4626"/>
    <w:rsid w:val="004D5665"/>
    <w:rsid w:val="004D59A3"/>
    <w:rsid w:val="004D5F1C"/>
    <w:rsid w:val="004D6BC8"/>
    <w:rsid w:val="004E0237"/>
    <w:rsid w:val="004E0AA5"/>
    <w:rsid w:val="004E1B0A"/>
    <w:rsid w:val="004E1D62"/>
    <w:rsid w:val="004E36CC"/>
    <w:rsid w:val="004E4631"/>
    <w:rsid w:val="004E485B"/>
    <w:rsid w:val="004E4871"/>
    <w:rsid w:val="004E498E"/>
    <w:rsid w:val="004E4AF7"/>
    <w:rsid w:val="004E50D4"/>
    <w:rsid w:val="004E5712"/>
    <w:rsid w:val="004E5D28"/>
    <w:rsid w:val="004E643B"/>
    <w:rsid w:val="004E69CF"/>
    <w:rsid w:val="004E777A"/>
    <w:rsid w:val="004E7C74"/>
    <w:rsid w:val="004F02E4"/>
    <w:rsid w:val="004F0577"/>
    <w:rsid w:val="004F1DB5"/>
    <w:rsid w:val="004F215D"/>
    <w:rsid w:val="004F3231"/>
    <w:rsid w:val="004F4618"/>
    <w:rsid w:val="004F485B"/>
    <w:rsid w:val="004F4DD7"/>
    <w:rsid w:val="004F51BA"/>
    <w:rsid w:val="004F5970"/>
    <w:rsid w:val="004F651A"/>
    <w:rsid w:val="004F68A5"/>
    <w:rsid w:val="004F69AF"/>
    <w:rsid w:val="004F6F4A"/>
    <w:rsid w:val="005008F3"/>
    <w:rsid w:val="005009AB"/>
    <w:rsid w:val="00500A57"/>
    <w:rsid w:val="00501922"/>
    <w:rsid w:val="00501F42"/>
    <w:rsid w:val="00502429"/>
    <w:rsid w:val="0050244F"/>
    <w:rsid w:val="005027AF"/>
    <w:rsid w:val="0050295B"/>
    <w:rsid w:val="00502A48"/>
    <w:rsid w:val="00502F05"/>
    <w:rsid w:val="00504F2D"/>
    <w:rsid w:val="00505104"/>
    <w:rsid w:val="00505BAE"/>
    <w:rsid w:val="00506831"/>
    <w:rsid w:val="00506987"/>
    <w:rsid w:val="00507B3E"/>
    <w:rsid w:val="00507BCE"/>
    <w:rsid w:val="00507D4D"/>
    <w:rsid w:val="00507E4D"/>
    <w:rsid w:val="00507F2E"/>
    <w:rsid w:val="00510550"/>
    <w:rsid w:val="00510FFE"/>
    <w:rsid w:val="00512FD0"/>
    <w:rsid w:val="00513A67"/>
    <w:rsid w:val="00513A92"/>
    <w:rsid w:val="00514D8C"/>
    <w:rsid w:val="00515654"/>
    <w:rsid w:val="005156EE"/>
    <w:rsid w:val="005163AB"/>
    <w:rsid w:val="00517EF1"/>
    <w:rsid w:val="005200FB"/>
    <w:rsid w:val="0052277E"/>
    <w:rsid w:val="00522EEE"/>
    <w:rsid w:val="00523823"/>
    <w:rsid w:val="00523B9A"/>
    <w:rsid w:val="00524CBF"/>
    <w:rsid w:val="005251B1"/>
    <w:rsid w:val="00525A56"/>
    <w:rsid w:val="00526235"/>
    <w:rsid w:val="00526B68"/>
    <w:rsid w:val="0053026F"/>
    <w:rsid w:val="00531D9C"/>
    <w:rsid w:val="00532024"/>
    <w:rsid w:val="0053206E"/>
    <w:rsid w:val="00534377"/>
    <w:rsid w:val="00534F54"/>
    <w:rsid w:val="005358B5"/>
    <w:rsid w:val="00536174"/>
    <w:rsid w:val="005364BD"/>
    <w:rsid w:val="00536FD4"/>
    <w:rsid w:val="005371A1"/>
    <w:rsid w:val="0054160F"/>
    <w:rsid w:val="0054282D"/>
    <w:rsid w:val="00542A24"/>
    <w:rsid w:val="00542CEB"/>
    <w:rsid w:val="0054309C"/>
    <w:rsid w:val="0054325B"/>
    <w:rsid w:val="00543AC2"/>
    <w:rsid w:val="00543BDB"/>
    <w:rsid w:val="0054400E"/>
    <w:rsid w:val="005440FD"/>
    <w:rsid w:val="00544AC4"/>
    <w:rsid w:val="00544E3A"/>
    <w:rsid w:val="00546220"/>
    <w:rsid w:val="005478C7"/>
    <w:rsid w:val="00547D32"/>
    <w:rsid w:val="00550CF6"/>
    <w:rsid w:val="005512F7"/>
    <w:rsid w:val="00551CC0"/>
    <w:rsid w:val="00552CB8"/>
    <w:rsid w:val="00552D54"/>
    <w:rsid w:val="00552E53"/>
    <w:rsid w:val="00553CCB"/>
    <w:rsid w:val="00554BEB"/>
    <w:rsid w:val="00555772"/>
    <w:rsid w:val="00557064"/>
    <w:rsid w:val="00560743"/>
    <w:rsid w:val="005608B8"/>
    <w:rsid w:val="00561205"/>
    <w:rsid w:val="00561F88"/>
    <w:rsid w:val="005624D0"/>
    <w:rsid w:val="00563869"/>
    <w:rsid w:val="00563C77"/>
    <w:rsid w:val="00563D27"/>
    <w:rsid w:val="00564230"/>
    <w:rsid w:val="00565B2B"/>
    <w:rsid w:val="00565E5F"/>
    <w:rsid w:val="005665DB"/>
    <w:rsid w:val="00566665"/>
    <w:rsid w:val="00570244"/>
    <w:rsid w:val="00571168"/>
    <w:rsid w:val="00571279"/>
    <w:rsid w:val="00571E8D"/>
    <w:rsid w:val="00572A4E"/>
    <w:rsid w:val="00572A9D"/>
    <w:rsid w:val="00572C37"/>
    <w:rsid w:val="00572DCB"/>
    <w:rsid w:val="00572E1D"/>
    <w:rsid w:val="00572E6E"/>
    <w:rsid w:val="0057397C"/>
    <w:rsid w:val="00576C0E"/>
    <w:rsid w:val="00577082"/>
    <w:rsid w:val="00577E98"/>
    <w:rsid w:val="00577F5C"/>
    <w:rsid w:val="00577F7B"/>
    <w:rsid w:val="005807B6"/>
    <w:rsid w:val="00581B9D"/>
    <w:rsid w:val="0058222C"/>
    <w:rsid w:val="005829DD"/>
    <w:rsid w:val="00582F7F"/>
    <w:rsid w:val="005831D7"/>
    <w:rsid w:val="005841F6"/>
    <w:rsid w:val="00585467"/>
    <w:rsid w:val="00585B10"/>
    <w:rsid w:val="00585B36"/>
    <w:rsid w:val="00586226"/>
    <w:rsid w:val="00586310"/>
    <w:rsid w:val="0058639A"/>
    <w:rsid w:val="00586545"/>
    <w:rsid w:val="0058660A"/>
    <w:rsid w:val="00586D64"/>
    <w:rsid w:val="005871BA"/>
    <w:rsid w:val="00587650"/>
    <w:rsid w:val="00590258"/>
    <w:rsid w:val="00591036"/>
    <w:rsid w:val="00592675"/>
    <w:rsid w:val="0059296E"/>
    <w:rsid w:val="00592D88"/>
    <w:rsid w:val="0059400D"/>
    <w:rsid w:val="005945B7"/>
    <w:rsid w:val="00595C44"/>
    <w:rsid w:val="0059721A"/>
    <w:rsid w:val="005A16DA"/>
    <w:rsid w:val="005A22BE"/>
    <w:rsid w:val="005A2869"/>
    <w:rsid w:val="005A2FF4"/>
    <w:rsid w:val="005A335C"/>
    <w:rsid w:val="005A417C"/>
    <w:rsid w:val="005A506D"/>
    <w:rsid w:val="005A5380"/>
    <w:rsid w:val="005A5E57"/>
    <w:rsid w:val="005A60D2"/>
    <w:rsid w:val="005A6149"/>
    <w:rsid w:val="005A679C"/>
    <w:rsid w:val="005A7B20"/>
    <w:rsid w:val="005A7F10"/>
    <w:rsid w:val="005B029F"/>
    <w:rsid w:val="005B0D8B"/>
    <w:rsid w:val="005B0FC6"/>
    <w:rsid w:val="005B1E67"/>
    <w:rsid w:val="005B2950"/>
    <w:rsid w:val="005B2A00"/>
    <w:rsid w:val="005B2C22"/>
    <w:rsid w:val="005B2C91"/>
    <w:rsid w:val="005B32FF"/>
    <w:rsid w:val="005B4047"/>
    <w:rsid w:val="005B473C"/>
    <w:rsid w:val="005B4796"/>
    <w:rsid w:val="005B6D76"/>
    <w:rsid w:val="005B706F"/>
    <w:rsid w:val="005B7274"/>
    <w:rsid w:val="005B7A17"/>
    <w:rsid w:val="005C07A0"/>
    <w:rsid w:val="005C0FC5"/>
    <w:rsid w:val="005C12C4"/>
    <w:rsid w:val="005C33D0"/>
    <w:rsid w:val="005C43BD"/>
    <w:rsid w:val="005C4A72"/>
    <w:rsid w:val="005C4C4F"/>
    <w:rsid w:val="005C561D"/>
    <w:rsid w:val="005C58DD"/>
    <w:rsid w:val="005C6986"/>
    <w:rsid w:val="005C7AC9"/>
    <w:rsid w:val="005C7E5E"/>
    <w:rsid w:val="005D0C1B"/>
    <w:rsid w:val="005D10DC"/>
    <w:rsid w:val="005D1A07"/>
    <w:rsid w:val="005D2789"/>
    <w:rsid w:val="005D2943"/>
    <w:rsid w:val="005D314A"/>
    <w:rsid w:val="005D34BA"/>
    <w:rsid w:val="005D47AF"/>
    <w:rsid w:val="005D52C9"/>
    <w:rsid w:val="005D5954"/>
    <w:rsid w:val="005D5B24"/>
    <w:rsid w:val="005D6955"/>
    <w:rsid w:val="005D6D98"/>
    <w:rsid w:val="005D74B8"/>
    <w:rsid w:val="005E0558"/>
    <w:rsid w:val="005E1576"/>
    <w:rsid w:val="005E1B9A"/>
    <w:rsid w:val="005E1C87"/>
    <w:rsid w:val="005E2AC2"/>
    <w:rsid w:val="005E4818"/>
    <w:rsid w:val="005E4CBF"/>
    <w:rsid w:val="005E4DCC"/>
    <w:rsid w:val="005E5445"/>
    <w:rsid w:val="005E58D6"/>
    <w:rsid w:val="005E71E1"/>
    <w:rsid w:val="005E71F5"/>
    <w:rsid w:val="005E7D56"/>
    <w:rsid w:val="005F12CD"/>
    <w:rsid w:val="005F13EC"/>
    <w:rsid w:val="005F1641"/>
    <w:rsid w:val="005F3575"/>
    <w:rsid w:val="005F3F50"/>
    <w:rsid w:val="005F521E"/>
    <w:rsid w:val="005F5D9C"/>
    <w:rsid w:val="005F6AF8"/>
    <w:rsid w:val="005F6CC6"/>
    <w:rsid w:val="00601161"/>
    <w:rsid w:val="00601C18"/>
    <w:rsid w:val="00602546"/>
    <w:rsid w:val="0060287C"/>
    <w:rsid w:val="00604297"/>
    <w:rsid w:val="00604AA8"/>
    <w:rsid w:val="00604CBC"/>
    <w:rsid w:val="00604F03"/>
    <w:rsid w:val="0060640A"/>
    <w:rsid w:val="00607608"/>
    <w:rsid w:val="00607954"/>
    <w:rsid w:val="00607E36"/>
    <w:rsid w:val="00607EE5"/>
    <w:rsid w:val="0061161C"/>
    <w:rsid w:val="00611B13"/>
    <w:rsid w:val="00611ECE"/>
    <w:rsid w:val="00612934"/>
    <w:rsid w:val="0061298B"/>
    <w:rsid w:val="006133B5"/>
    <w:rsid w:val="00613520"/>
    <w:rsid w:val="00614546"/>
    <w:rsid w:val="00614593"/>
    <w:rsid w:val="006152FE"/>
    <w:rsid w:val="006178F1"/>
    <w:rsid w:val="006179E0"/>
    <w:rsid w:val="00620023"/>
    <w:rsid w:val="006209CC"/>
    <w:rsid w:val="006210C5"/>
    <w:rsid w:val="006213F3"/>
    <w:rsid w:val="00621853"/>
    <w:rsid w:val="006225C1"/>
    <w:rsid w:val="00622E15"/>
    <w:rsid w:val="006232E6"/>
    <w:rsid w:val="00623890"/>
    <w:rsid w:val="006238FE"/>
    <w:rsid w:val="00623A5C"/>
    <w:rsid w:val="006255BC"/>
    <w:rsid w:val="00626185"/>
    <w:rsid w:val="00627565"/>
    <w:rsid w:val="00627999"/>
    <w:rsid w:val="006300A5"/>
    <w:rsid w:val="00630B4B"/>
    <w:rsid w:val="00630B98"/>
    <w:rsid w:val="00632888"/>
    <w:rsid w:val="00634130"/>
    <w:rsid w:val="0063450C"/>
    <w:rsid w:val="00635E79"/>
    <w:rsid w:val="006363E6"/>
    <w:rsid w:val="006364E5"/>
    <w:rsid w:val="00636DEF"/>
    <w:rsid w:val="0064232E"/>
    <w:rsid w:val="0064572A"/>
    <w:rsid w:val="00645914"/>
    <w:rsid w:val="00646944"/>
    <w:rsid w:val="00650401"/>
    <w:rsid w:val="00650B35"/>
    <w:rsid w:val="0065123B"/>
    <w:rsid w:val="00651246"/>
    <w:rsid w:val="00651496"/>
    <w:rsid w:val="006516CA"/>
    <w:rsid w:val="00652A24"/>
    <w:rsid w:val="006531C5"/>
    <w:rsid w:val="00654304"/>
    <w:rsid w:val="00654975"/>
    <w:rsid w:val="00654B18"/>
    <w:rsid w:val="006551EB"/>
    <w:rsid w:val="00655CFC"/>
    <w:rsid w:val="00656BAA"/>
    <w:rsid w:val="00656E94"/>
    <w:rsid w:val="00657EC5"/>
    <w:rsid w:val="00660BB1"/>
    <w:rsid w:val="00661888"/>
    <w:rsid w:val="00662DEC"/>
    <w:rsid w:val="006632D3"/>
    <w:rsid w:val="006636AB"/>
    <w:rsid w:val="0066452B"/>
    <w:rsid w:val="0066471E"/>
    <w:rsid w:val="0066487B"/>
    <w:rsid w:val="00664DB6"/>
    <w:rsid w:val="00664E8A"/>
    <w:rsid w:val="006651B7"/>
    <w:rsid w:val="006657E2"/>
    <w:rsid w:val="00665BD0"/>
    <w:rsid w:val="00666A61"/>
    <w:rsid w:val="006671EA"/>
    <w:rsid w:val="006672A2"/>
    <w:rsid w:val="00670371"/>
    <w:rsid w:val="00671495"/>
    <w:rsid w:val="00671D09"/>
    <w:rsid w:val="00671F0D"/>
    <w:rsid w:val="006722CA"/>
    <w:rsid w:val="00672CE7"/>
    <w:rsid w:val="00673215"/>
    <w:rsid w:val="00673B31"/>
    <w:rsid w:val="00673FD2"/>
    <w:rsid w:val="00674EEB"/>
    <w:rsid w:val="006752A6"/>
    <w:rsid w:val="006759F0"/>
    <w:rsid w:val="00675BE7"/>
    <w:rsid w:val="00675DAF"/>
    <w:rsid w:val="00676857"/>
    <w:rsid w:val="00676D00"/>
    <w:rsid w:val="006771E8"/>
    <w:rsid w:val="00680BC0"/>
    <w:rsid w:val="00680C28"/>
    <w:rsid w:val="00681F3C"/>
    <w:rsid w:val="00681F56"/>
    <w:rsid w:val="00681FD4"/>
    <w:rsid w:val="006842A9"/>
    <w:rsid w:val="006843B5"/>
    <w:rsid w:val="006848AF"/>
    <w:rsid w:val="00686E35"/>
    <w:rsid w:val="00686FFC"/>
    <w:rsid w:val="0068737F"/>
    <w:rsid w:val="0068742E"/>
    <w:rsid w:val="00687D06"/>
    <w:rsid w:val="00687E5B"/>
    <w:rsid w:val="0069058F"/>
    <w:rsid w:val="00690D9A"/>
    <w:rsid w:val="0069114E"/>
    <w:rsid w:val="00691375"/>
    <w:rsid w:val="00691B37"/>
    <w:rsid w:val="00691C04"/>
    <w:rsid w:val="00692F81"/>
    <w:rsid w:val="006939A2"/>
    <w:rsid w:val="006939B0"/>
    <w:rsid w:val="00693BB1"/>
    <w:rsid w:val="00694B05"/>
    <w:rsid w:val="00694D24"/>
    <w:rsid w:val="006965DD"/>
    <w:rsid w:val="00696C6F"/>
    <w:rsid w:val="006A144C"/>
    <w:rsid w:val="006A355F"/>
    <w:rsid w:val="006A3C25"/>
    <w:rsid w:val="006A484B"/>
    <w:rsid w:val="006A4D2F"/>
    <w:rsid w:val="006A57E1"/>
    <w:rsid w:val="006B0697"/>
    <w:rsid w:val="006B136D"/>
    <w:rsid w:val="006B20B6"/>
    <w:rsid w:val="006B2A4F"/>
    <w:rsid w:val="006B2B61"/>
    <w:rsid w:val="006B32B2"/>
    <w:rsid w:val="006B341F"/>
    <w:rsid w:val="006B34F3"/>
    <w:rsid w:val="006B5620"/>
    <w:rsid w:val="006B5ACD"/>
    <w:rsid w:val="006B6320"/>
    <w:rsid w:val="006B6C18"/>
    <w:rsid w:val="006B78F3"/>
    <w:rsid w:val="006C1569"/>
    <w:rsid w:val="006C21A1"/>
    <w:rsid w:val="006C40E2"/>
    <w:rsid w:val="006C4D53"/>
    <w:rsid w:val="006C597C"/>
    <w:rsid w:val="006C5DAD"/>
    <w:rsid w:val="006D04CB"/>
    <w:rsid w:val="006D05D0"/>
    <w:rsid w:val="006D1DEF"/>
    <w:rsid w:val="006D2CED"/>
    <w:rsid w:val="006D3AC8"/>
    <w:rsid w:val="006D3EB2"/>
    <w:rsid w:val="006D486A"/>
    <w:rsid w:val="006D4F62"/>
    <w:rsid w:val="006D6081"/>
    <w:rsid w:val="006D6F2C"/>
    <w:rsid w:val="006D7032"/>
    <w:rsid w:val="006D7670"/>
    <w:rsid w:val="006E31F8"/>
    <w:rsid w:val="006E324F"/>
    <w:rsid w:val="006E352F"/>
    <w:rsid w:val="006E3794"/>
    <w:rsid w:val="006E37F8"/>
    <w:rsid w:val="006E3B16"/>
    <w:rsid w:val="006E4849"/>
    <w:rsid w:val="006E4B3A"/>
    <w:rsid w:val="006E4F67"/>
    <w:rsid w:val="006E532D"/>
    <w:rsid w:val="006E5404"/>
    <w:rsid w:val="006E5812"/>
    <w:rsid w:val="006E7EAA"/>
    <w:rsid w:val="006F1CB3"/>
    <w:rsid w:val="006F20BD"/>
    <w:rsid w:val="006F2E21"/>
    <w:rsid w:val="006F306D"/>
    <w:rsid w:val="006F3503"/>
    <w:rsid w:val="006F3D78"/>
    <w:rsid w:val="006F5094"/>
    <w:rsid w:val="006F5404"/>
    <w:rsid w:val="006F5CF0"/>
    <w:rsid w:val="006F7434"/>
    <w:rsid w:val="007002A9"/>
    <w:rsid w:val="00700D90"/>
    <w:rsid w:val="00700E20"/>
    <w:rsid w:val="007016B3"/>
    <w:rsid w:val="00703736"/>
    <w:rsid w:val="00703BF1"/>
    <w:rsid w:val="00704444"/>
    <w:rsid w:val="007045E7"/>
    <w:rsid w:val="007061B3"/>
    <w:rsid w:val="00706747"/>
    <w:rsid w:val="00706A17"/>
    <w:rsid w:val="007072F4"/>
    <w:rsid w:val="00707D8A"/>
    <w:rsid w:val="00710583"/>
    <w:rsid w:val="0071112B"/>
    <w:rsid w:val="007117BF"/>
    <w:rsid w:val="007130D7"/>
    <w:rsid w:val="007156E6"/>
    <w:rsid w:val="0071652D"/>
    <w:rsid w:val="00716A70"/>
    <w:rsid w:val="007175E2"/>
    <w:rsid w:val="007205BB"/>
    <w:rsid w:val="00720F2F"/>
    <w:rsid w:val="007212A1"/>
    <w:rsid w:val="00721D4F"/>
    <w:rsid w:val="0072247A"/>
    <w:rsid w:val="0072261E"/>
    <w:rsid w:val="00722F65"/>
    <w:rsid w:val="00723AC8"/>
    <w:rsid w:val="0072487F"/>
    <w:rsid w:val="00725BA9"/>
    <w:rsid w:val="00725EB9"/>
    <w:rsid w:val="007300D9"/>
    <w:rsid w:val="0073072E"/>
    <w:rsid w:val="00731684"/>
    <w:rsid w:val="00731AAE"/>
    <w:rsid w:val="00731C32"/>
    <w:rsid w:val="00732401"/>
    <w:rsid w:val="007325DA"/>
    <w:rsid w:val="007327A9"/>
    <w:rsid w:val="00733904"/>
    <w:rsid w:val="00733F69"/>
    <w:rsid w:val="0073463E"/>
    <w:rsid w:val="007347D3"/>
    <w:rsid w:val="00734955"/>
    <w:rsid w:val="0073566C"/>
    <w:rsid w:val="007379D0"/>
    <w:rsid w:val="00740331"/>
    <w:rsid w:val="00741A18"/>
    <w:rsid w:val="00741BD5"/>
    <w:rsid w:val="00742EB4"/>
    <w:rsid w:val="00743120"/>
    <w:rsid w:val="007431A0"/>
    <w:rsid w:val="00743B48"/>
    <w:rsid w:val="00743CE2"/>
    <w:rsid w:val="00743DB8"/>
    <w:rsid w:val="00744AE5"/>
    <w:rsid w:val="00744F6A"/>
    <w:rsid w:val="00745341"/>
    <w:rsid w:val="00745B00"/>
    <w:rsid w:val="00747A09"/>
    <w:rsid w:val="00750D53"/>
    <w:rsid w:val="00750EFA"/>
    <w:rsid w:val="0075103B"/>
    <w:rsid w:val="00751590"/>
    <w:rsid w:val="007515EF"/>
    <w:rsid w:val="00751B81"/>
    <w:rsid w:val="007525E2"/>
    <w:rsid w:val="00752794"/>
    <w:rsid w:val="00752D10"/>
    <w:rsid w:val="0075367B"/>
    <w:rsid w:val="00754960"/>
    <w:rsid w:val="0075516F"/>
    <w:rsid w:val="00755731"/>
    <w:rsid w:val="00755EFD"/>
    <w:rsid w:val="00756701"/>
    <w:rsid w:val="00756D79"/>
    <w:rsid w:val="0075758B"/>
    <w:rsid w:val="007579C8"/>
    <w:rsid w:val="007579D5"/>
    <w:rsid w:val="00757B08"/>
    <w:rsid w:val="00761A99"/>
    <w:rsid w:val="007620D8"/>
    <w:rsid w:val="0076215D"/>
    <w:rsid w:val="007623E8"/>
    <w:rsid w:val="00762964"/>
    <w:rsid w:val="007635FE"/>
    <w:rsid w:val="00763864"/>
    <w:rsid w:val="00763D30"/>
    <w:rsid w:val="00763D9D"/>
    <w:rsid w:val="007640C7"/>
    <w:rsid w:val="007646A1"/>
    <w:rsid w:val="0076502A"/>
    <w:rsid w:val="007651DD"/>
    <w:rsid w:val="0076534D"/>
    <w:rsid w:val="00765887"/>
    <w:rsid w:val="00765893"/>
    <w:rsid w:val="00766DDB"/>
    <w:rsid w:val="007674D7"/>
    <w:rsid w:val="007701D6"/>
    <w:rsid w:val="0077042C"/>
    <w:rsid w:val="007710BA"/>
    <w:rsid w:val="007713F2"/>
    <w:rsid w:val="00772D66"/>
    <w:rsid w:val="007747E6"/>
    <w:rsid w:val="00774853"/>
    <w:rsid w:val="00775B1F"/>
    <w:rsid w:val="00776039"/>
    <w:rsid w:val="007767F1"/>
    <w:rsid w:val="007818A6"/>
    <w:rsid w:val="00781B0C"/>
    <w:rsid w:val="00783026"/>
    <w:rsid w:val="00783B6B"/>
    <w:rsid w:val="00784982"/>
    <w:rsid w:val="00784E1E"/>
    <w:rsid w:val="00785009"/>
    <w:rsid w:val="007851F9"/>
    <w:rsid w:val="00785C03"/>
    <w:rsid w:val="00786B37"/>
    <w:rsid w:val="00786CA6"/>
    <w:rsid w:val="00786EB3"/>
    <w:rsid w:val="00787336"/>
    <w:rsid w:val="0079110D"/>
    <w:rsid w:val="007914F6"/>
    <w:rsid w:val="0079299A"/>
    <w:rsid w:val="00793222"/>
    <w:rsid w:val="007941A3"/>
    <w:rsid w:val="007942DF"/>
    <w:rsid w:val="00795781"/>
    <w:rsid w:val="00795EC3"/>
    <w:rsid w:val="0079626F"/>
    <w:rsid w:val="007966C2"/>
    <w:rsid w:val="0079759C"/>
    <w:rsid w:val="007976A7"/>
    <w:rsid w:val="0079799B"/>
    <w:rsid w:val="00797A05"/>
    <w:rsid w:val="00797D94"/>
    <w:rsid w:val="007A03DC"/>
    <w:rsid w:val="007A045C"/>
    <w:rsid w:val="007A341B"/>
    <w:rsid w:val="007A374D"/>
    <w:rsid w:val="007A4433"/>
    <w:rsid w:val="007A5406"/>
    <w:rsid w:val="007A5EA9"/>
    <w:rsid w:val="007A69D6"/>
    <w:rsid w:val="007A7E2A"/>
    <w:rsid w:val="007B02F3"/>
    <w:rsid w:val="007B0508"/>
    <w:rsid w:val="007B0F41"/>
    <w:rsid w:val="007B10F2"/>
    <w:rsid w:val="007B182F"/>
    <w:rsid w:val="007B2B00"/>
    <w:rsid w:val="007B2C27"/>
    <w:rsid w:val="007B2DCD"/>
    <w:rsid w:val="007B45D2"/>
    <w:rsid w:val="007B6A99"/>
    <w:rsid w:val="007B7495"/>
    <w:rsid w:val="007B78AF"/>
    <w:rsid w:val="007B7F13"/>
    <w:rsid w:val="007C03C1"/>
    <w:rsid w:val="007C1104"/>
    <w:rsid w:val="007C2C42"/>
    <w:rsid w:val="007C2EC3"/>
    <w:rsid w:val="007C4649"/>
    <w:rsid w:val="007C4A98"/>
    <w:rsid w:val="007C60EB"/>
    <w:rsid w:val="007C672C"/>
    <w:rsid w:val="007C7315"/>
    <w:rsid w:val="007C7353"/>
    <w:rsid w:val="007D004A"/>
    <w:rsid w:val="007D0513"/>
    <w:rsid w:val="007D08B2"/>
    <w:rsid w:val="007D1A6A"/>
    <w:rsid w:val="007D3D13"/>
    <w:rsid w:val="007D400E"/>
    <w:rsid w:val="007D4290"/>
    <w:rsid w:val="007D48C5"/>
    <w:rsid w:val="007D55C4"/>
    <w:rsid w:val="007D5C0E"/>
    <w:rsid w:val="007D6090"/>
    <w:rsid w:val="007D6CF7"/>
    <w:rsid w:val="007D7146"/>
    <w:rsid w:val="007D720A"/>
    <w:rsid w:val="007D7734"/>
    <w:rsid w:val="007E07D4"/>
    <w:rsid w:val="007E1411"/>
    <w:rsid w:val="007E1D67"/>
    <w:rsid w:val="007E24B5"/>
    <w:rsid w:val="007E2C73"/>
    <w:rsid w:val="007E2E82"/>
    <w:rsid w:val="007E2EEB"/>
    <w:rsid w:val="007E3858"/>
    <w:rsid w:val="007E3CAE"/>
    <w:rsid w:val="007E3DAE"/>
    <w:rsid w:val="007E3DE0"/>
    <w:rsid w:val="007E54BC"/>
    <w:rsid w:val="007E6A28"/>
    <w:rsid w:val="007E7ACC"/>
    <w:rsid w:val="007E7C3B"/>
    <w:rsid w:val="007E7F08"/>
    <w:rsid w:val="007F0B9D"/>
    <w:rsid w:val="007F1D09"/>
    <w:rsid w:val="007F2433"/>
    <w:rsid w:val="007F42DC"/>
    <w:rsid w:val="007F48C6"/>
    <w:rsid w:val="007F591E"/>
    <w:rsid w:val="007F7D44"/>
    <w:rsid w:val="008002BB"/>
    <w:rsid w:val="008002EB"/>
    <w:rsid w:val="0080084B"/>
    <w:rsid w:val="00800BE6"/>
    <w:rsid w:val="00802520"/>
    <w:rsid w:val="00802804"/>
    <w:rsid w:val="00802821"/>
    <w:rsid w:val="00802858"/>
    <w:rsid w:val="0080327C"/>
    <w:rsid w:val="00803CFB"/>
    <w:rsid w:val="0080426E"/>
    <w:rsid w:val="008047C3"/>
    <w:rsid w:val="00804AEB"/>
    <w:rsid w:val="008067C1"/>
    <w:rsid w:val="00806B11"/>
    <w:rsid w:val="0080743A"/>
    <w:rsid w:val="00807E6E"/>
    <w:rsid w:val="00810C23"/>
    <w:rsid w:val="0081438F"/>
    <w:rsid w:val="00814882"/>
    <w:rsid w:val="00815021"/>
    <w:rsid w:val="00815473"/>
    <w:rsid w:val="0081582C"/>
    <w:rsid w:val="0081591F"/>
    <w:rsid w:val="00815D1E"/>
    <w:rsid w:val="0081664F"/>
    <w:rsid w:val="00816F62"/>
    <w:rsid w:val="008177E0"/>
    <w:rsid w:val="00820385"/>
    <w:rsid w:val="008204D6"/>
    <w:rsid w:val="00820562"/>
    <w:rsid w:val="0082087F"/>
    <w:rsid w:val="00820D1B"/>
    <w:rsid w:val="0082119F"/>
    <w:rsid w:val="00821B45"/>
    <w:rsid w:val="00821EA9"/>
    <w:rsid w:val="00823480"/>
    <w:rsid w:val="00824CA3"/>
    <w:rsid w:val="0082531E"/>
    <w:rsid w:val="008258F9"/>
    <w:rsid w:val="00825B56"/>
    <w:rsid w:val="00825B76"/>
    <w:rsid w:val="00827175"/>
    <w:rsid w:val="00827AA1"/>
    <w:rsid w:val="00827CA4"/>
    <w:rsid w:val="00827DA1"/>
    <w:rsid w:val="00827EC9"/>
    <w:rsid w:val="00830791"/>
    <w:rsid w:val="0083195D"/>
    <w:rsid w:val="00831979"/>
    <w:rsid w:val="00832055"/>
    <w:rsid w:val="0083463B"/>
    <w:rsid w:val="00836575"/>
    <w:rsid w:val="00836E4E"/>
    <w:rsid w:val="00836EB3"/>
    <w:rsid w:val="008370F5"/>
    <w:rsid w:val="00837DCC"/>
    <w:rsid w:val="008400A7"/>
    <w:rsid w:val="00840239"/>
    <w:rsid w:val="00840769"/>
    <w:rsid w:val="00840927"/>
    <w:rsid w:val="008410D0"/>
    <w:rsid w:val="008417A4"/>
    <w:rsid w:val="0084199F"/>
    <w:rsid w:val="00841A46"/>
    <w:rsid w:val="00841B72"/>
    <w:rsid w:val="00841BCF"/>
    <w:rsid w:val="00841C80"/>
    <w:rsid w:val="00841F5B"/>
    <w:rsid w:val="00842ADE"/>
    <w:rsid w:val="008436FB"/>
    <w:rsid w:val="0084411F"/>
    <w:rsid w:val="00844A64"/>
    <w:rsid w:val="00844E6D"/>
    <w:rsid w:val="00844FCB"/>
    <w:rsid w:val="00845015"/>
    <w:rsid w:val="008452DD"/>
    <w:rsid w:val="0084652F"/>
    <w:rsid w:val="00846DA0"/>
    <w:rsid w:val="008470D6"/>
    <w:rsid w:val="00847A7B"/>
    <w:rsid w:val="00847FF8"/>
    <w:rsid w:val="008505EE"/>
    <w:rsid w:val="00851184"/>
    <w:rsid w:val="00851548"/>
    <w:rsid w:val="008537C6"/>
    <w:rsid w:val="00853D55"/>
    <w:rsid w:val="008542B6"/>
    <w:rsid w:val="0085434D"/>
    <w:rsid w:val="0085460D"/>
    <w:rsid w:val="0085496B"/>
    <w:rsid w:val="008553CF"/>
    <w:rsid w:val="00855F9E"/>
    <w:rsid w:val="00856380"/>
    <w:rsid w:val="00856A17"/>
    <w:rsid w:val="00856E98"/>
    <w:rsid w:val="008607DC"/>
    <w:rsid w:val="00860E9F"/>
    <w:rsid w:val="0086240A"/>
    <w:rsid w:val="00863193"/>
    <w:rsid w:val="008632DB"/>
    <w:rsid w:val="00863FA4"/>
    <w:rsid w:val="00863FE6"/>
    <w:rsid w:val="00864449"/>
    <w:rsid w:val="00864ABD"/>
    <w:rsid w:val="008654EF"/>
    <w:rsid w:val="00867263"/>
    <w:rsid w:val="008679DE"/>
    <w:rsid w:val="0087070E"/>
    <w:rsid w:val="00871A9E"/>
    <w:rsid w:val="00872761"/>
    <w:rsid w:val="008736C6"/>
    <w:rsid w:val="00873FE9"/>
    <w:rsid w:val="00875CF4"/>
    <w:rsid w:val="00876C7B"/>
    <w:rsid w:val="00880257"/>
    <w:rsid w:val="00880B15"/>
    <w:rsid w:val="00880B72"/>
    <w:rsid w:val="00880D19"/>
    <w:rsid w:val="008810B3"/>
    <w:rsid w:val="008812FD"/>
    <w:rsid w:val="00882B31"/>
    <w:rsid w:val="00883787"/>
    <w:rsid w:val="00885291"/>
    <w:rsid w:val="008855B7"/>
    <w:rsid w:val="0088565E"/>
    <w:rsid w:val="00886027"/>
    <w:rsid w:val="00886C2C"/>
    <w:rsid w:val="00886E0E"/>
    <w:rsid w:val="008870AE"/>
    <w:rsid w:val="008875D7"/>
    <w:rsid w:val="008902FB"/>
    <w:rsid w:val="00892784"/>
    <w:rsid w:val="0089563B"/>
    <w:rsid w:val="008956A2"/>
    <w:rsid w:val="00896158"/>
    <w:rsid w:val="00896E5C"/>
    <w:rsid w:val="008A060D"/>
    <w:rsid w:val="008A12AF"/>
    <w:rsid w:val="008A157C"/>
    <w:rsid w:val="008A18F2"/>
    <w:rsid w:val="008A26DF"/>
    <w:rsid w:val="008A3D8F"/>
    <w:rsid w:val="008A43D0"/>
    <w:rsid w:val="008A44B4"/>
    <w:rsid w:val="008A6B69"/>
    <w:rsid w:val="008A7715"/>
    <w:rsid w:val="008A7CE4"/>
    <w:rsid w:val="008B01C9"/>
    <w:rsid w:val="008B114A"/>
    <w:rsid w:val="008B127B"/>
    <w:rsid w:val="008B140F"/>
    <w:rsid w:val="008B28E2"/>
    <w:rsid w:val="008B2B05"/>
    <w:rsid w:val="008B3B24"/>
    <w:rsid w:val="008B3C83"/>
    <w:rsid w:val="008B4D65"/>
    <w:rsid w:val="008B5AA6"/>
    <w:rsid w:val="008B5C6A"/>
    <w:rsid w:val="008B5E91"/>
    <w:rsid w:val="008B6289"/>
    <w:rsid w:val="008B66BF"/>
    <w:rsid w:val="008B6892"/>
    <w:rsid w:val="008B6BE6"/>
    <w:rsid w:val="008B74FA"/>
    <w:rsid w:val="008B75B3"/>
    <w:rsid w:val="008C0496"/>
    <w:rsid w:val="008C1EE7"/>
    <w:rsid w:val="008C2959"/>
    <w:rsid w:val="008C32D1"/>
    <w:rsid w:val="008C3D71"/>
    <w:rsid w:val="008C57D5"/>
    <w:rsid w:val="008C5D24"/>
    <w:rsid w:val="008C6AF1"/>
    <w:rsid w:val="008C6C2C"/>
    <w:rsid w:val="008D0411"/>
    <w:rsid w:val="008D0ED5"/>
    <w:rsid w:val="008D10BF"/>
    <w:rsid w:val="008D224D"/>
    <w:rsid w:val="008D284E"/>
    <w:rsid w:val="008D321A"/>
    <w:rsid w:val="008D335A"/>
    <w:rsid w:val="008D3A5B"/>
    <w:rsid w:val="008D3CA7"/>
    <w:rsid w:val="008D4891"/>
    <w:rsid w:val="008D4FD5"/>
    <w:rsid w:val="008D583D"/>
    <w:rsid w:val="008D7A94"/>
    <w:rsid w:val="008D7E67"/>
    <w:rsid w:val="008E04E7"/>
    <w:rsid w:val="008E119C"/>
    <w:rsid w:val="008E2776"/>
    <w:rsid w:val="008E2CB9"/>
    <w:rsid w:val="008E2F3B"/>
    <w:rsid w:val="008E5593"/>
    <w:rsid w:val="008E5E70"/>
    <w:rsid w:val="008E5F45"/>
    <w:rsid w:val="008E6408"/>
    <w:rsid w:val="008E64C6"/>
    <w:rsid w:val="008E66FF"/>
    <w:rsid w:val="008E6CD6"/>
    <w:rsid w:val="008E71D3"/>
    <w:rsid w:val="008E7268"/>
    <w:rsid w:val="008E72F0"/>
    <w:rsid w:val="008E7531"/>
    <w:rsid w:val="008E7554"/>
    <w:rsid w:val="008E795A"/>
    <w:rsid w:val="008E7E4C"/>
    <w:rsid w:val="008F00D2"/>
    <w:rsid w:val="008F2E34"/>
    <w:rsid w:val="008F395E"/>
    <w:rsid w:val="008F3E47"/>
    <w:rsid w:val="008F3F4A"/>
    <w:rsid w:val="008F42DF"/>
    <w:rsid w:val="008F436E"/>
    <w:rsid w:val="008F672B"/>
    <w:rsid w:val="00900B89"/>
    <w:rsid w:val="0090187B"/>
    <w:rsid w:val="00902000"/>
    <w:rsid w:val="00902BF6"/>
    <w:rsid w:val="00902CE6"/>
    <w:rsid w:val="00903219"/>
    <w:rsid w:val="00903BE7"/>
    <w:rsid w:val="00904CA1"/>
    <w:rsid w:val="00905B4E"/>
    <w:rsid w:val="0090687B"/>
    <w:rsid w:val="00907E98"/>
    <w:rsid w:val="0091070F"/>
    <w:rsid w:val="00911490"/>
    <w:rsid w:val="00912272"/>
    <w:rsid w:val="009125F4"/>
    <w:rsid w:val="00912834"/>
    <w:rsid w:val="00912E46"/>
    <w:rsid w:val="009139A9"/>
    <w:rsid w:val="00913EBD"/>
    <w:rsid w:val="009148C8"/>
    <w:rsid w:val="009149C0"/>
    <w:rsid w:val="00914BCB"/>
    <w:rsid w:val="00916B15"/>
    <w:rsid w:val="0092014E"/>
    <w:rsid w:val="0092123B"/>
    <w:rsid w:val="00921D9F"/>
    <w:rsid w:val="009220C8"/>
    <w:rsid w:val="00922C47"/>
    <w:rsid w:val="00923171"/>
    <w:rsid w:val="00923813"/>
    <w:rsid w:val="0092386E"/>
    <w:rsid w:val="00925C8D"/>
    <w:rsid w:val="00925D3C"/>
    <w:rsid w:val="009262C9"/>
    <w:rsid w:val="0092640D"/>
    <w:rsid w:val="00926BDE"/>
    <w:rsid w:val="00927E3E"/>
    <w:rsid w:val="00930AA0"/>
    <w:rsid w:val="0093267B"/>
    <w:rsid w:val="00932ACF"/>
    <w:rsid w:val="00932CD0"/>
    <w:rsid w:val="0093368F"/>
    <w:rsid w:val="009351DE"/>
    <w:rsid w:val="0093537F"/>
    <w:rsid w:val="00936E65"/>
    <w:rsid w:val="009372EB"/>
    <w:rsid w:val="00937494"/>
    <w:rsid w:val="0094064F"/>
    <w:rsid w:val="00941554"/>
    <w:rsid w:val="00941C1A"/>
    <w:rsid w:val="0094397A"/>
    <w:rsid w:val="00943DDD"/>
    <w:rsid w:val="00944298"/>
    <w:rsid w:val="009443E9"/>
    <w:rsid w:val="00945057"/>
    <w:rsid w:val="00946A56"/>
    <w:rsid w:val="00947639"/>
    <w:rsid w:val="00947AB7"/>
    <w:rsid w:val="0095006A"/>
    <w:rsid w:val="00951EE5"/>
    <w:rsid w:val="009522C3"/>
    <w:rsid w:val="009526B3"/>
    <w:rsid w:val="0095348E"/>
    <w:rsid w:val="009537A2"/>
    <w:rsid w:val="0095522C"/>
    <w:rsid w:val="00956016"/>
    <w:rsid w:val="00956D38"/>
    <w:rsid w:val="00961DC9"/>
    <w:rsid w:val="00962B76"/>
    <w:rsid w:val="00963644"/>
    <w:rsid w:val="00963B95"/>
    <w:rsid w:val="009641E3"/>
    <w:rsid w:val="00964D4F"/>
    <w:rsid w:val="0096627A"/>
    <w:rsid w:val="00970827"/>
    <w:rsid w:val="00972427"/>
    <w:rsid w:val="0097252C"/>
    <w:rsid w:val="00972C4A"/>
    <w:rsid w:val="00973592"/>
    <w:rsid w:val="009740E6"/>
    <w:rsid w:val="00974DA9"/>
    <w:rsid w:val="00975A24"/>
    <w:rsid w:val="00975E4E"/>
    <w:rsid w:val="0097651C"/>
    <w:rsid w:val="00980EB0"/>
    <w:rsid w:val="0098371C"/>
    <w:rsid w:val="00983779"/>
    <w:rsid w:val="00985431"/>
    <w:rsid w:val="009866C9"/>
    <w:rsid w:val="00986D8F"/>
    <w:rsid w:val="009872BE"/>
    <w:rsid w:val="009874A0"/>
    <w:rsid w:val="009874CC"/>
    <w:rsid w:val="0098785A"/>
    <w:rsid w:val="00987F98"/>
    <w:rsid w:val="009905F3"/>
    <w:rsid w:val="00992347"/>
    <w:rsid w:val="00993155"/>
    <w:rsid w:val="00993310"/>
    <w:rsid w:val="0099436D"/>
    <w:rsid w:val="009949F0"/>
    <w:rsid w:val="00995E0C"/>
    <w:rsid w:val="009960DD"/>
    <w:rsid w:val="00996865"/>
    <w:rsid w:val="00996D1D"/>
    <w:rsid w:val="00997280"/>
    <w:rsid w:val="009977F9"/>
    <w:rsid w:val="009A02EA"/>
    <w:rsid w:val="009A0466"/>
    <w:rsid w:val="009A1261"/>
    <w:rsid w:val="009A3565"/>
    <w:rsid w:val="009A4393"/>
    <w:rsid w:val="009A4BB0"/>
    <w:rsid w:val="009A531B"/>
    <w:rsid w:val="009A6ADF"/>
    <w:rsid w:val="009B0B02"/>
    <w:rsid w:val="009B0F92"/>
    <w:rsid w:val="009B14B4"/>
    <w:rsid w:val="009B19C1"/>
    <w:rsid w:val="009B1AD5"/>
    <w:rsid w:val="009B1BC0"/>
    <w:rsid w:val="009B1FFD"/>
    <w:rsid w:val="009B2322"/>
    <w:rsid w:val="009B298D"/>
    <w:rsid w:val="009B2D7E"/>
    <w:rsid w:val="009B2DC8"/>
    <w:rsid w:val="009B338A"/>
    <w:rsid w:val="009B3B48"/>
    <w:rsid w:val="009B3CA3"/>
    <w:rsid w:val="009B4453"/>
    <w:rsid w:val="009B44E6"/>
    <w:rsid w:val="009B51B2"/>
    <w:rsid w:val="009B56FC"/>
    <w:rsid w:val="009B5BBB"/>
    <w:rsid w:val="009B5DC6"/>
    <w:rsid w:val="009B5F69"/>
    <w:rsid w:val="009B6168"/>
    <w:rsid w:val="009B63A9"/>
    <w:rsid w:val="009B6512"/>
    <w:rsid w:val="009C0E36"/>
    <w:rsid w:val="009C27BC"/>
    <w:rsid w:val="009C2A41"/>
    <w:rsid w:val="009C2EF3"/>
    <w:rsid w:val="009C4D81"/>
    <w:rsid w:val="009C58C8"/>
    <w:rsid w:val="009C5E9A"/>
    <w:rsid w:val="009C5F09"/>
    <w:rsid w:val="009C75E8"/>
    <w:rsid w:val="009C7A68"/>
    <w:rsid w:val="009D0A47"/>
    <w:rsid w:val="009D0D1D"/>
    <w:rsid w:val="009D126E"/>
    <w:rsid w:val="009D2186"/>
    <w:rsid w:val="009D28B6"/>
    <w:rsid w:val="009D3B98"/>
    <w:rsid w:val="009D4ABA"/>
    <w:rsid w:val="009D511A"/>
    <w:rsid w:val="009D557C"/>
    <w:rsid w:val="009D629C"/>
    <w:rsid w:val="009D723F"/>
    <w:rsid w:val="009E06AF"/>
    <w:rsid w:val="009E0E3D"/>
    <w:rsid w:val="009E120C"/>
    <w:rsid w:val="009E3109"/>
    <w:rsid w:val="009E38FF"/>
    <w:rsid w:val="009E43A7"/>
    <w:rsid w:val="009E44A0"/>
    <w:rsid w:val="009E4541"/>
    <w:rsid w:val="009E45F7"/>
    <w:rsid w:val="009E4B92"/>
    <w:rsid w:val="009E5349"/>
    <w:rsid w:val="009E61DB"/>
    <w:rsid w:val="009E662A"/>
    <w:rsid w:val="009E682E"/>
    <w:rsid w:val="009E7DF6"/>
    <w:rsid w:val="009F088E"/>
    <w:rsid w:val="009F2543"/>
    <w:rsid w:val="009F2A92"/>
    <w:rsid w:val="009F3E62"/>
    <w:rsid w:val="009F3FB8"/>
    <w:rsid w:val="009F5EAC"/>
    <w:rsid w:val="00A00790"/>
    <w:rsid w:val="00A00E20"/>
    <w:rsid w:val="00A01506"/>
    <w:rsid w:val="00A01637"/>
    <w:rsid w:val="00A01701"/>
    <w:rsid w:val="00A02E9A"/>
    <w:rsid w:val="00A02ECB"/>
    <w:rsid w:val="00A0303E"/>
    <w:rsid w:val="00A033D2"/>
    <w:rsid w:val="00A037CA"/>
    <w:rsid w:val="00A03921"/>
    <w:rsid w:val="00A05647"/>
    <w:rsid w:val="00A058E3"/>
    <w:rsid w:val="00A06A78"/>
    <w:rsid w:val="00A070DD"/>
    <w:rsid w:val="00A0777D"/>
    <w:rsid w:val="00A1079E"/>
    <w:rsid w:val="00A1141A"/>
    <w:rsid w:val="00A14D63"/>
    <w:rsid w:val="00A15515"/>
    <w:rsid w:val="00A15EA8"/>
    <w:rsid w:val="00A16420"/>
    <w:rsid w:val="00A16B38"/>
    <w:rsid w:val="00A17399"/>
    <w:rsid w:val="00A174D8"/>
    <w:rsid w:val="00A17AF8"/>
    <w:rsid w:val="00A203A4"/>
    <w:rsid w:val="00A2040B"/>
    <w:rsid w:val="00A20B39"/>
    <w:rsid w:val="00A212B2"/>
    <w:rsid w:val="00A2187E"/>
    <w:rsid w:val="00A21A06"/>
    <w:rsid w:val="00A22F65"/>
    <w:rsid w:val="00A23266"/>
    <w:rsid w:val="00A23CA5"/>
    <w:rsid w:val="00A24C66"/>
    <w:rsid w:val="00A250B0"/>
    <w:rsid w:val="00A252BD"/>
    <w:rsid w:val="00A2589A"/>
    <w:rsid w:val="00A27DDD"/>
    <w:rsid w:val="00A304AD"/>
    <w:rsid w:val="00A30C54"/>
    <w:rsid w:val="00A31459"/>
    <w:rsid w:val="00A31475"/>
    <w:rsid w:val="00A31715"/>
    <w:rsid w:val="00A31772"/>
    <w:rsid w:val="00A31D6D"/>
    <w:rsid w:val="00A323EB"/>
    <w:rsid w:val="00A32B07"/>
    <w:rsid w:val="00A32F78"/>
    <w:rsid w:val="00A342A7"/>
    <w:rsid w:val="00A345A7"/>
    <w:rsid w:val="00A35662"/>
    <w:rsid w:val="00A35A08"/>
    <w:rsid w:val="00A35A82"/>
    <w:rsid w:val="00A35B68"/>
    <w:rsid w:val="00A35D1C"/>
    <w:rsid w:val="00A368E7"/>
    <w:rsid w:val="00A36D19"/>
    <w:rsid w:val="00A37EB6"/>
    <w:rsid w:val="00A408EB"/>
    <w:rsid w:val="00A409DB"/>
    <w:rsid w:val="00A40BD4"/>
    <w:rsid w:val="00A413F7"/>
    <w:rsid w:val="00A426C1"/>
    <w:rsid w:val="00A42BFF"/>
    <w:rsid w:val="00A43BDC"/>
    <w:rsid w:val="00A43C13"/>
    <w:rsid w:val="00A44597"/>
    <w:rsid w:val="00A44E63"/>
    <w:rsid w:val="00A45474"/>
    <w:rsid w:val="00A45609"/>
    <w:rsid w:val="00A46819"/>
    <w:rsid w:val="00A501A4"/>
    <w:rsid w:val="00A51DFC"/>
    <w:rsid w:val="00A526B8"/>
    <w:rsid w:val="00A52D78"/>
    <w:rsid w:val="00A535A6"/>
    <w:rsid w:val="00A53A03"/>
    <w:rsid w:val="00A53D16"/>
    <w:rsid w:val="00A53E02"/>
    <w:rsid w:val="00A547BC"/>
    <w:rsid w:val="00A5497F"/>
    <w:rsid w:val="00A565AA"/>
    <w:rsid w:val="00A56A07"/>
    <w:rsid w:val="00A5720B"/>
    <w:rsid w:val="00A60250"/>
    <w:rsid w:val="00A60BD2"/>
    <w:rsid w:val="00A61919"/>
    <w:rsid w:val="00A62DDA"/>
    <w:rsid w:val="00A65193"/>
    <w:rsid w:val="00A65207"/>
    <w:rsid w:val="00A6607F"/>
    <w:rsid w:val="00A67356"/>
    <w:rsid w:val="00A67A84"/>
    <w:rsid w:val="00A71BA9"/>
    <w:rsid w:val="00A71C69"/>
    <w:rsid w:val="00A71E64"/>
    <w:rsid w:val="00A72F3F"/>
    <w:rsid w:val="00A73165"/>
    <w:rsid w:val="00A731D9"/>
    <w:rsid w:val="00A746A8"/>
    <w:rsid w:val="00A753D9"/>
    <w:rsid w:val="00A76FB9"/>
    <w:rsid w:val="00A77012"/>
    <w:rsid w:val="00A771B3"/>
    <w:rsid w:val="00A7731E"/>
    <w:rsid w:val="00A7745E"/>
    <w:rsid w:val="00A80991"/>
    <w:rsid w:val="00A8164A"/>
    <w:rsid w:val="00A81788"/>
    <w:rsid w:val="00A82315"/>
    <w:rsid w:val="00A828D2"/>
    <w:rsid w:val="00A82AFE"/>
    <w:rsid w:val="00A82BB6"/>
    <w:rsid w:val="00A83B0E"/>
    <w:rsid w:val="00A83D0C"/>
    <w:rsid w:val="00A84022"/>
    <w:rsid w:val="00A84CD8"/>
    <w:rsid w:val="00A85DDF"/>
    <w:rsid w:val="00A874BB"/>
    <w:rsid w:val="00A877C6"/>
    <w:rsid w:val="00A935A8"/>
    <w:rsid w:val="00A9449E"/>
    <w:rsid w:val="00A94D97"/>
    <w:rsid w:val="00A95B94"/>
    <w:rsid w:val="00A967C1"/>
    <w:rsid w:val="00A97B68"/>
    <w:rsid w:val="00AA004E"/>
    <w:rsid w:val="00AA0192"/>
    <w:rsid w:val="00AA01F8"/>
    <w:rsid w:val="00AA0416"/>
    <w:rsid w:val="00AA1261"/>
    <w:rsid w:val="00AA156C"/>
    <w:rsid w:val="00AA31A8"/>
    <w:rsid w:val="00AA37D2"/>
    <w:rsid w:val="00AA427B"/>
    <w:rsid w:val="00AA48B7"/>
    <w:rsid w:val="00AA49B5"/>
    <w:rsid w:val="00AA49C2"/>
    <w:rsid w:val="00AA5B70"/>
    <w:rsid w:val="00AA7944"/>
    <w:rsid w:val="00AB0A98"/>
    <w:rsid w:val="00AB195C"/>
    <w:rsid w:val="00AB2959"/>
    <w:rsid w:val="00AB35DF"/>
    <w:rsid w:val="00AB3D4E"/>
    <w:rsid w:val="00AB3DF8"/>
    <w:rsid w:val="00AB413A"/>
    <w:rsid w:val="00AB44F9"/>
    <w:rsid w:val="00AB50BE"/>
    <w:rsid w:val="00AB5BCC"/>
    <w:rsid w:val="00AB60FC"/>
    <w:rsid w:val="00AB6B36"/>
    <w:rsid w:val="00AB6B8D"/>
    <w:rsid w:val="00AC1B61"/>
    <w:rsid w:val="00AC2F06"/>
    <w:rsid w:val="00AC3A6D"/>
    <w:rsid w:val="00AC4200"/>
    <w:rsid w:val="00AC472D"/>
    <w:rsid w:val="00AC75A8"/>
    <w:rsid w:val="00AC77CB"/>
    <w:rsid w:val="00AC7AD3"/>
    <w:rsid w:val="00AD123E"/>
    <w:rsid w:val="00AD14A9"/>
    <w:rsid w:val="00AD1B0E"/>
    <w:rsid w:val="00AD21C5"/>
    <w:rsid w:val="00AD2A27"/>
    <w:rsid w:val="00AD3796"/>
    <w:rsid w:val="00AD5F8A"/>
    <w:rsid w:val="00AD6743"/>
    <w:rsid w:val="00AD79A5"/>
    <w:rsid w:val="00AE301C"/>
    <w:rsid w:val="00AE3CF8"/>
    <w:rsid w:val="00AE3D9D"/>
    <w:rsid w:val="00AE451F"/>
    <w:rsid w:val="00AE5092"/>
    <w:rsid w:val="00AE56F1"/>
    <w:rsid w:val="00AE5DDD"/>
    <w:rsid w:val="00AE6F67"/>
    <w:rsid w:val="00AE7118"/>
    <w:rsid w:val="00AE71AA"/>
    <w:rsid w:val="00AE7CCA"/>
    <w:rsid w:val="00AE7E49"/>
    <w:rsid w:val="00AF0509"/>
    <w:rsid w:val="00AF0CF9"/>
    <w:rsid w:val="00AF0F11"/>
    <w:rsid w:val="00AF1422"/>
    <w:rsid w:val="00AF3455"/>
    <w:rsid w:val="00AF54BC"/>
    <w:rsid w:val="00AF5D0A"/>
    <w:rsid w:val="00AF5E7F"/>
    <w:rsid w:val="00AF5E87"/>
    <w:rsid w:val="00AF6088"/>
    <w:rsid w:val="00AF62E1"/>
    <w:rsid w:val="00AF64A7"/>
    <w:rsid w:val="00B00052"/>
    <w:rsid w:val="00B00F8F"/>
    <w:rsid w:val="00B018A3"/>
    <w:rsid w:val="00B019E7"/>
    <w:rsid w:val="00B01BD5"/>
    <w:rsid w:val="00B01FCE"/>
    <w:rsid w:val="00B043C3"/>
    <w:rsid w:val="00B048B3"/>
    <w:rsid w:val="00B05564"/>
    <w:rsid w:val="00B05AFC"/>
    <w:rsid w:val="00B05BE1"/>
    <w:rsid w:val="00B0757A"/>
    <w:rsid w:val="00B078D3"/>
    <w:rsid w:val="00B07939"/>
    <w:rsid w:val="00B07A5D"/>
    <w:rsid w:val="00B10019"/>
    <w:rsid w:val="00B1013F"/>
    <w:rsid w:val="00B1067F"/>
    <w:rsid w:val="00B106FE"/>
    <w:rsid w:val="00B1072E"/>
    <w:rsid w:val="00B10FCB"/>
    <w:rsid w:val="00B12C7F"/>
    <w:rsid w:val="00B13B3B"/>
    <w:rsid w:val="00B13FE2"/>
    <w:rsid w:val="00B141C0"/>
    <w:rsid w:val="00B15361"/>
    <w:rsid w:val="00B1585D"/>
    <w:rsid w:val="00B15909"/>
    <w:rsid w:val="00B16B2D"/>
    <w:rsid w:val="00B17274"/>
    <w:rsid w:val="00B17805"/>
    <w:rsid w:val="00B203A5"/>
    <w:rsid w:val="00B221BC"/>
    <w:rsid w:val="00B22A99"/>
    <w:rsid w:val="00B23C49"/>
    <w:rsid w:val="00B24086"/>
    <w:rsid w:val="00B251E7"/>
    <w:rsid w:val="00B2537D"/>
    <w:rsid w:val="00B25AF1"/>
    <w:rsid w:val="00B25B6E"/>
    <w:rsid w:val="00B25C32"/>
    <w:rsid w:val="00B2746A"/>
    <w:rsid w:val="00B278DE"/>
    <w:rsid w:val="00B279E3"/>
    <w:rsid w:val="00B30B6C"/>
    <w:rsid w:val="00B30C4F"/>
    <w:rsid w:val="00B30CC3"/>
    <w:rsid w:val="00B3133E"/>
    <w:rsid w:val="00B31653"/>
    <w:rsid w:val="00B334CA"/>
    <w:rsid w:val="00B358DB"/>
    <w:rsid w:val="00B35F6B"/>
    <w:rsid w:val="00B36D1D"/>
    <w:rsid w:val="00B37235"/>
    <w:rsid w:val="00B37E87"/>
    <w:rsid w:val="00B40A69"/>
    <w:rsid w:val="00B41E0D"/>
    <w:rsid w:val="00B4289E"/>
    <w:rsid w:val="00B42A41"/>
    <w:rsid w:val="00B42D39"/>
    <w:rsid w:val="00B42D4C"/>
    <w:rsid w:val="00B4311C"/>
    <w:rsid w:val="00B43AF5"/>
    <w:rsid w:val="00B4453F"/>
    <w:rsid w:val="00B44B7C"/>
    <w:rsid w:val="00B44BCF"/>
    <w:rsid w:val="00B46E85"/>
    <w:rsid w:val="00B46F13"/>
    <w:rsid w:val="00B47526"/>
    <w:rsid w:val="00B47F6C"/>
    <w:rsid w:val="00B50910"/>
    <w:rsid w:val="00B50A1E"/>
    <w:rsid w:val="00B50EC7"/>
    <w:rsid w:val="00B5149C"/>
    <w:rsid w:val="00B51E42"/>
    <w:rsid w:val="00B52862"/>
    <w:rsid w:val="00B535E5"/>
    <w:rsid w:val="00B5365E"/>
    <w:rsid w:val="00B54A4D"/>
    <w:rsid w:val="00B55B3F"/>
    <w:rsid w:val="00B55C90"/>
    <w:rsid w:val="00B55DFB"/>
    <w:rsid w:val="00B561BF"/>
    <w:rsid w:val="00B56C21"/>
    <w:rsid w:val="00B6007D"/>
    <w:rsid w:val="00B60B22"/>
    <w:rsid w:val="00B60C46"/>
    <w:rsid w:val="00B61189"/>
    <w:rsid w:val="00B64076"/>
    <w:rsid w:val="00B64183"/>
    <w:rsid w:val="00B64FB3"/>
    <w:rsid w:val="00B653E8"/>
    <w:rsid w:val="00B659CE"/>
    <w:rsid w:val="00B67B84"/>
    <w:rsid w:val="00B7033D"/>
    <w:rsid w:val="00B7189F"/>
    <w:rsid w:val="00B71CA7"/>
    <w:rsid w:val="00B71E86"/>
    <w:rsid w:val="00B71FC7"/>
    <w:rsid w:val="00B72C2B"/>
    <w:rsid w:val="00B72D28"/>
    <w:rsid w:val="00B731EE"/>
    <w:rsid w:val="00B73AB8"/>
    <w:rsid w:val="00B73DC1"/>
    <w:rsid w:val="00B75296"/>
    <w:rsid w:val="00B775D8"/>
    <w:rsid w:val="00B80B2D"/>
    <w:rsid w:val="00B8107F"/>
    <w:rsid w:val="00B812E7"/>
    <w:rsid w:val="00B82618"/>
    <w:rsid w:val="00B83198"/>
    <w:rsid w:val="00B83289"/>
    <w:rsid w:val="00B84A44"/>
    <w:rsid w:val="00B8603A"/>
    <w:rsid w:val="00B86D52"/>
    <w:rsid w:val="00B86F09"/>
    <w:rsid w:val="00B86F7C"/>
    <w:rsid w:val="00B87B62"/>
    <w:rsid w:val="00B900EA"/>
    <w:rsid w:val="00B909AD"/>
    <w:rsid w:val="00B913B9"/>
    <w:rsid w:val="00B91A0A"/>
    <w:rsid w:val="00B927EE"/>
    <w:rsid w:val="00B92E41"/>
    <w:rsid w:val="00B933EB"/>
    <w:rsid w:val="00B94395"/>
    <w:rsid w:val="00B95E8D"/>
    <w:rsid w:val="00B9634D"/>
    <w:rsid w:val="00B9684E"/>
    <w:rsid w:val="00BA0BA0"/>
    <w:rsid w:val="00BA1310"/>
    <w:rsid w:val="00BA1884"/>
    <w:rsid w:val="00BA2F92"/>
    <w:rsid w:val="00BA38D8"/>
    <w:rsid w:val="00BA78FE"/>
    <w:rsid w:val="00BB19AF"/>
    <w:rsid w:val="00BB25FC"/>
    <w:rsid w:val="00BB2CF3"/>
    <w:rsid w:val="00BB2E47"/>
    <w:rsid w:val="00BB36CE"/>
    <w:rsid w:val="00BB3D12"/>
    <w:rsid w:val="00BB3E76"/>
    <w:rsid w:val="00BB3F15"/>
    <w:rsid w:val="00BB4B22"/>
    <w:rsid w:val="00BB5CE2"/>
    <w:rsid w:val="00BB6057"/>
    <w:rsid w:val="00BB6C21"/>
    <w:rsid w:val="00BB767C"/>
    <w:rsid w:val="00BB76E0"/>
    <w:rsid w:val="00BC0261"/>
    <w:rsid w:val="00BC052C"/>
    <w:rsid w:val="00BC0894"/>
    <w:rsid w:val="00BC0A27"/>
    <w:rsid w:val="00BC1798"/>
    <w:rsid w:val="00BC192C"/>
    <w:rsid w:val="00BC2F1D"/>
    <w:rsid w:val="00BC499C"/>
    <w:rsid w:val="00BC4B8A"/>
    <w:rsid w:val="00BC51E1"/>
    <w:rsid w:val="00BC53D2"/>
    <w:rsid w:val="00BC5A4B"/>
    <w:rsid w:val="00BC6BA7"/>
    <w:rsid w:val="00BC72AD"/>
    <w:rsid w:val="00BD1F31"/>
    <w:rsid w:val="00BD2DC7"/>
    <w:rsid w:val="00BD2DF0"/>
    <w:rsid w:val="00BD34FB"/>
    <w:rsid w:val="00BD38B6"/>
    <w:rsid w:val="00BD3FD7"/>
    <w:rsid w:val="00BD41FB"/>
    <w:rsid w:val="00BD4258"/>
    <w:rsid w:val="00BD4B09"/>
    <w:rsid w:val="00BD4CEE"/>
    <w:rsid w:val="00BD63B9"/>
    <w:rsid w:val="00BD7103"/>
    <w:rsid w:val="00BE0835"/>
    <w:rsid w:val="00BE0E8B"/>
    <w:rsid w:val="00BE1FA5"/>
    <w:rsid w:val="00BE216B"/>
    <w:rsid w:val="00BE2FC3"/>
    <w:rsid w:val="00BE4065"/>
    <w:rsid w:val="00BE4200"/>
    <w:rsid w:val="00BE49A0"/>
    <w:rsid w:val="00BE4A96"/>
    <w:rsid w:val="00BE55F8"/>
    <w:rsid w:val="00BE5A97"/>
    <w:rsid w:val="00BE7A9D"/>
    <w:rsid w:val="00BE7AD6"/>
    <w:rsid w:val="00BF0075"/>
    <w:rsid w:val="00BF03CE"/>
    <w:rsid w:val="00BF0423"/>
    <w:rsid w:val="00BF148B"/>
    <w:rsid w:val="00BF2108"/>
    <w:rsid w:val="00BF25E4"/>
    <w:rsid w:val="00BF30CD"/>
    <w:rsid w:val="00BF37BB"/>
    <w:rsid w:val="00BF3C30"/>
    <w:rsid w:val="00BF4741"/>
    <w:rsid w:val="00BF4E5F"/>
    <w:rsid w:val="00BF505C"/>
    <w:rsid w:val="00BF537B"/>
    <w:rsid w:val="00BF5782"/>
    <w:rsid w:val="00BF6952"/>
    <w:rsid w:val="00BF6A83"/>
    <w:rsid w:val="00BF773B"/>
    <w:rsid w:val="00BF790B"/>
    <w:rsid w:val="00C00E86"/>
    <w:rsid w:val="00C033B4"/>
    <w:rsid w:val="00C05B6B"/>
    <w:rsid w:val="00C0614E"/>
    <w:rsid w:val="00C06826"/>
    <w:rsid w:val="00C06846"/>
    <w:rsid w:val="00C0695B"/>
    <w:rsid w:val="00C10329"/>
    <w:rsid w:val="00C10450"/>
    <w:rsid w:val="00C109D0"/>
    <w:rsid w:val="00C11F21"/>
    <w:rsid w:val="00C12673"/>
    <w:rsid w:val="00C1286F"/>
    <w:rsid w:val="00C12B11"/>
    <w:rsid w:val="00C14807"/>
    <w:rsid w:val="00C15185"/>
    <w:rsid w:val="00C16099"/>
    <w:rsid w:val="00C179C0"/>
    <w:rsid w:val="00C17AC0"/>
    <w:rsid w:val="00C17C15"/>
    <w:rsid w:val="00C20C69"/>
    <w:rsid w:val="00C21777"/>
    <w:rsid w:val="00C22AE0"/>
    <w:rsid w:val="00C22AF2"/>
    <w:rsid w:val="00C22CB4"/>
    <w:rsid w:val="00C22D1B"/>
    <w:rsid w:val="00C25428"/>
    <w:rsid w:val="00C26F55"/>
    <w:rsid w:val="00C27A7E"/>
    <w:rsid w:val="00C3028F"/>
    <w:rsid w:val="00C317EB"/>
    <w:rsid w:val="00C31952"/>
    <w:rsid w:val="00C324AC"/>
    <w:rsid w:val="00C32F5E"/>
    <w:rsid w:val="00C333CB"/>
    <w:rsid w:val="00C335DF"/>
    <w:rsid w:val="00C34A24"/>
    <w:rsid w:val="00C34A38"/>
    <w:rsid w:val="00C3518D"/>
    <w:rsid w:val="00C35F82"/>
    <w:rsid w:val="00C361DD"/>
    <w:rsid w:val="00C36C46"/>
    <w:rsid w:val="00C36DFA"/>
    <w:rsid w:val="00C37896"/>
    <w:rsid w:val="00C37C8D"/>
    <w:rsid w:val="00C4010D"/>
    <w:rsid w:val="00C40E08"/>
    <w:rsid w:val="00C40F26"/>
    <w:rsid w:val="00C414B9"/>
    <w:rsid w:val="00C43243"/>
    <w:rsid w:val="00C432F3"/>
    <w:rsid w:val="00C43400"/>
    <w:rsid w:val="00C434F7"/>
    <w:rsid w:val="00C4357A"/>
    <w:rsid w:val="00C43A39"/>
    <w:rsid w:val="00C43E04"/>
    <w:rsid w:val="00C45DDF"/>
    <w:rsid w:val="00C4654F"/>
    <w:rsid w:val="00C467C3"/>
    <w:rsid w:val="00C46DC1"/>
    <w:rsid w:val="00C470B6"/>
    <w:rsid w:val="00C4717D"/>
    <w:rsid w:val="00C50BCC"/>
    <w:rsid w:val="00C50D55"/>
    <w:rsid w:val="00C50E36"/>
    <w:rsid w:val="00C51632"/>
    <w:rsid w:val="00C5299E"/>
    <w:rsid w:val="00C53760"/>
    <w:rsid w:val="00C53C11"/>
    <w:rsid w:val="00C541C4"/>
    <w:rsid w:val="00C5468A"/>
    <w:rsid w:val="00C57665"/>
    <w:rsid w:val="00C57B7B"/>
    <w:rsid w:val="00C57C4D"/>
    <w:rsid w:val="00C57E67"/>
    <w:rsid w:val="00C61333"/>
    <w:rsid w:val="00C6137A"/>
    <w:rsid w:val="00C61A6C"/>
    <w:rsid w:val="00C61CF4"/>
    <w:rsid w:val="00C62146"/>
    <w:rsid w:val="00C62F01"/>
    <w:rsid w:val="00C637F0"/>
    <w:rsid w:val="00C63974"/>
    <w:rsid w:val="00C6518A"/>
    <w:rsid w:val="00C66174"/>
    <w:rsid w:val="00C665C2"/>
    <w:rsid w:val="00C66EA4"/>
    <w:rsid w:val="00C67C0F"/>
    <w:rsid w:val="00C67EC2"/>
    <w:rsid w:val="00C702AD"/>
    <w:rsid w:val="00C7061E"/>
    <w:rsid w:val="00C708AD"/>
    <w:rsid w:val="00C709FF"/>
    <w:rsid w:val="00C713E9"/>
    <w:rsid w:val="00C73C41"/>
    <w:rsid w:val="00C74678"/>
    <w:rsid w:val="00C75066"/>
    <w:rsid w:val="00C7599A"/>
    <w:rsid w:val="00C75C5F"/>
    <w:rsid w:val="00C75DBC"/>
    <w:rsid w:val="00C767BF"/>
    <w:rsid w:val="00C76BD2"/>
    <w:rsid w:val="00C76CA7"/>
    <w:rsid w:val="00C776F5"/>
    <w:rsid w:val="00C7799C"/>
    <w:rsid w:val="00C80382"/>
    <w:rsid w:val="00C80F33"/>
    <w:rsid w:val="00C817B5"/>
    <w:rsid w:val="00C82672"/>
    <w:rsid w:val="00C839B3"/>
    <w:rsid w:val="00C84302"/>
    <w:rsid w:val="00C84AC3"/>
    <w:rsid w:val="00C85DE3"/>
    <w:rsid w:val="00C85EC2"/>
    <w:rsid w:val="00C86384"/>
    <w:rsid w:val="00C8672E"/>
    <w:rsid w:val="00C86D81"/>
    <w:rsid w:val="00C86E43"/>
    <w:rsid w:val="00C873CD"/>
    <w:rsid w:val="00C91445"/>
    <w:rsid w:val="00C91672"/>
    <w:rsid w:val="00C91AF6"/>
    <w:rsid w:val="00C91CAF"/>
    <w:rsid w:val="00C91F43"/>
    <w:rsid w:val="00C930E3"/>
    <w:rsid w:val="00C93536"/>
    <w:rsid w:val="00C9395E"/>
    <w:rsid w:val="00C93CDC"/>
    <w:rsid w:val="00C94819"/>
    <w:rsid w:val="00C94ECF"/>
    <w:rsid w:val="00C96449"/>
    <w:rsid w:val="00C97089"/>
    <w:rsid w:val="00C97198"/>
    <w:rsid w:val="00C9795F"/>
    <w:rsid w:val="00CA0C3A"/>
    <w:rsid w:val="00CA3528"/>
    <w:rsid w:val="00CA4894"/>
    <w:rsid w:val="00CA4941"/>
    <w:rsid w:val="00CA49E9"/>
    <w:rsid w:val="00CA52CA"/>
    <w:rsid w:val="00CA5D70"/>
    <w:rsid w:val="00CA60EC"/>
    <w:rsid w:val="00CA6D99"/>
    <w:rsid w:val="00CA6E41"/>
    <w:rsid w:val="00CA701B"/>
    <w:rsid w:val="00CA73F8"/>
    <w:rsid w:val="00CA7DC4"/>
    <w:rsid w:val="00CB0512"/>
    <w:rsid w:val="00CB06C4"/>
    <w:rsid w:val="00CB1582"/>
    <w:rsid w:val="00CB1C24"/>
    <w:rsid w:val="00CB367C"/>
    <w:rsid w:val="00CB36D8"/>
    <w:rsid w:val="00CB3A35"/>
    <w:rsid w:val="00CB489A"/>
    <w:rsid w:val="00CB5EE5"/>
    <w:rsid w:val="00CC122E"/>
    <w:rsid w:val="00CC1E8D"/>
    <w:rsid w:val="00CC2834"/>
    <w:rsid w:val="00CC286E"/>
    <w:rsid w:val="00CC30AE"/>
    <w:rsid w:val="00CC434E"/>
    <w:rsid w:val="00CC4F09"/>
    <w:rsid w:val="00CC5962"/>
    <w:rsid w:val="00CC5F66"/>
    <w:rsid w:val="00CC73B3"/>
    <w:rsid w:val="00CC7486"/>
    <w:rsid w:val="00CD0304"/>
    <w:rsid w:val="00CD030E"/>
    <w:rsid w:val="00CD03AF"/>
    <w:rsid w:val="00CD1D69"/>
    <w:rsid w:val="00CD2130"/>
    <w:rsid w:val="00CD27FE"/>
    <w:rsid w:val="00CD2834"/>
    <w:rsid w:val="00CD3280"/>
    <w:rsid w:val="00CD33DA"/>
    <w:rsid w:val="00CD3E41"/>
    <w:rsid w:val="00CD3FDB"/>
    <w:rsid w:val="00CD490D"/>
    <w:rsid w:val="00CD4CF5"/>
    <w:rsid w:val="00CD4ED8"/>
    <w:rsid w:val="00CD5A44"/>
    <w:rsid w:val="00CE082D"/>
    <w:rsid w:val="00CE16EC"/>
    <w:rsid w:val="00CE1C0F"/>
    <w:rsid w:val="00CE2F4D"/>
    <w:rsid w:val="00CE308E"/>
    <w:rsid w:val="00CE3598"/>
    <w:rsid w:val="00CE443D"/>
    <w:rsid w:val="00CE493F"/>
    <w:rsid w:val="00CE7F1C"/>
    <w:rsid w:val="00CF0DD3"/>
    <w:rsid w:val="00CF29D1"/>
    <w:rsid w:val="00CF2C0D"/>
    <w:rsid w:val="00CF3D4E"/>
    <w:rsid w:val="00CF406A"/>
    <w:rsid w:val="00CF4270"/>
    <w:rsid w:val="00CF42C4"/>
    <w:rsid w:val="00CF447F"/>
    <w:rsid w:val="00CF5EEA"/>
    <w:rsid w:val="00CF6152"/>
    <w:rsid w:val="00CF69A2"/>
    <w:rsid w:val="00CF6C57"/>
    <w:rsid w:val="00CF7FA7"/>
    <w:rsid w:val="00D001CA"/>
    <w:rsid w:val="00D009B4"/>
    <w:rsid w:val="00D02278"/>
    <w:rsid w:val="00D03879"/>
    <w:rsid w:val="00D03D31"/>
    <w:rsid w:val="00D03F17"/>
    <w:rsid w:val="00D048AC"/>
    <w:rsid w:val="00D05754"/>
    <w:rsid w:val="00D05854"/>
    <w:rsid w:val="00D05C1D"/>
    <w:rsid w:val="00D06327"/>
    <w:rsid w:val="00D064A9"/>
    <w:rsid w:val="00D06E0B"/>
    <w:rsid w:val="00D11459"/>
    <w:rsid w:val="00D120B8"/>
    <w:rsid w:val="00D1220C"/>
    <w:rsid w:val="00D1298D"/>
    <w:rsid w:val="00D12A4E"/>
    <w:rsid w:val="00D12F6C"/>
    <w:rsid w:val="00D134E3"/>
    <w:rsid w:val="00D1503D"/>
    <w:rsid w:val="00D1517E"/>
    <w:rsid w:val="00D15CF7"/>
    <w:rsid w:val="00D16291"/>
    <w:rsid w:val="00D1641B"/>
    <w:rsid w:val="00D166A9"/>
    <w:rsid w:val="00D16CA7"/>
    <w:rsid w:val="00D16FCD"/>
    <w:rsid w:val="00D179F0"/>
    <w:rsid w:val="00D17BC8"/>
    <w:rsid w:val="00D20D77"/>
    <w:rsid w:val="00D2321D"/>
    <w:rsid w:val="00D2358D"/>
    <w:rsid w:val="00D238E6"/>
    <w:rsid w:val="00D23CCD"/>
    <w:rsid w:val="00D25D00"/>
    <w:rsid w:val="00D26659"/>
    <w:rsid w:val="00D30C4B"/>
    <w:rsid w:val="00D31BBB"/>
    <w:rsid w:val="00D31C06"/>
    <w:rsid w:val="00D32D8C"/>
    <w:rsid w:val="00D330D9"/>
    <w:rsid w:val="00D33AB9"/>
    <w:rsid w:val="00D33F6E"/>
    <w:rsid w:val="00D348BF"/>
    <w:rsid w:val="00D357A2"/>
    <w:rsid w:val="00D35F44"/>
    <w:rsid w:val="00D35F6B"/>
    <w:rsid w:val="00D362C2"/>
    <w:rsid w:val="00D37948"/>
    <w:rsid w:val="00D400EA"/>
    <w:rsid w:val="00D41321"/>
    <w:rsid w:val="00D41763"/>
    <w:rsid w:val="00D419FB"/>
    <w:rsid w:val="00D4215F"/>
    <w:rsid w:val="00D42649"/>
    <w:rsid w:val="00D4365E"/>
    <w:rsid w:val="00D43B04"/>
    <w:rsid w:val="00D44398"/>
    <w:rsid w:val="00D44877"/>
    <w:rsid w:val="00D454F4"/>
    <w:rsid w:val="00D47521"/>
    <w:rsid w:val="00D47776"/>
    <w:rsid w:val="00D47B50"/>
    <w:rsid w:val="00D5003C"/>
    <w:rsid w:val="00D50A55"/>
    <w:rsid w:val="00D50CD5"/>
    <w:rsid w:val="00D514E5"/>
    <w:rsid w:val="00D52D55"/>
    <w:rsid w:val="00D53269"/>
    <w:rsid w:val="00D5409F"/>
    <w:rsid w:val="00D548D1"/>
    <w:rsid w:val="00D551A6"/>
    <w:rsid w:val="00D55CF1"/>
    <w:rsid w:val="00D56378"/>
    <w:rsid w:val="00D56617"/>
    <w:rsid w:val="00D56630"/>
    <w:rsid w:val="00D62685"/>
    <w:rsid w:val="00D62B5E"/>
    <w:rsid w:val="00D62F86"/>
    <w:rsid w:val="00D632E2"/>
    <w:rsid w:val="00D633A7"/>
    <w:rsid w:val="00D66C8F"/>
    <w:rsid w:val="00D67C8F"/>
    <w:rsid w:val="00D67EFF"/>
    <w:rsid w:val="00D712C0"/>
    <w:rsid w:val="00D742F3"/>
    <w:rsid w:val="00D75BD0"/>
    <w:rsid w:val="00D75F9B"/>
    <w:rsid w:val="00D761B7"/>
    <w:rsid w:val="00D769AA"/>
    <w:rsid w:val="00D76B79"/>
    <w:rsid w:val="00D8001E"/>
    <w:rsid w:val="00D816A0"/>
    <w:rsid w:val="00D81703"/>
    <w:rsid w:val="00D81C53"/>
    <w:rsid w:val="00D82449"/>
    <w:rsid w:val="00D83763"/>
    <w:rsid w:val="00D8401B"/>
    <w:rsid w:val="00D844D2"/>
    <w:rsid w:val="00D85A92"/>
    <w:rsid w:val="00D85AE7"/>
    <w:rsid w:val="00D87077"/>
    <w:rsid w:val="00D87F8B"/>
    <w:rsid w:val="00D9312B"/>
    <w:rsid w:val="00D94670"/>
    <w:rsid w:val="00D94A70"/>
    <w:rsid w:val="00D95673"/>
    <w:rsid w:val="00D95A10"/>
    <w:rsid w:val="00D95EB5"/>
    <w:rsid w:val="00D962F1"/>
    <w:rsid w:val="00D96FDE"/>
    <w:rsid w:val="00D975DC"/>
    <w:rsid w:val="00D97E09"/>
    <w:rsid w:val="00DA032A"/>
    <w:rsid w:val="00DA0BFF"/>
    <w:rsid w:val="00DA1173"/>
    <w:rsid w:val="00DA1A30"/>
    <w:rsid w:val="00DA1BB1"/>
    <w:rsid w:val="00DA20A5"/>
    <w:rsid w:val="00DA25C4"/>
    <w:rsid w:val="00DA4A09"/>
    <w:rsid w:val="00DA4A98"/>
    <w:rsid w:val="00DA4B1B"/>
    <w:rsid w:val="00DA7210"/>
    <w:rsid w:val="00DB0456"/>
    <w:rsid w:val="00DB1782"/>
    <w:rsid w:val="00DB1E7C"/>
    <w:rsid w:val="00DB2350"/>
    <w:rsid w:val="00DB34C0"/>
    <w:rsid w:val="00DB36D6"/>
    <w:rsid w:val="00DB4AB8"/>
    <w:rsid w:val="00DB5094"/>
    <w:rsid w:val="00DB5424"/>
    <w:rsid w:val="00DB67B2"/>
    <w:rsid w:val="00DB7B1E"/>
    <w:rsid w:val="00DB7DD8"/>
    <w:rsid w:val="00DC056F"/>
    <w:rsid w:val="00DC07D4"/>
    <w:rsid w:val="00DC0C1F"/>
    <w:rsid w:val="00DC1465"/>
    <w:rsid w:val="00DC1913"/>
    <w:rsid w:val="00DC238B"/>
    <w:rsid w:val="00DC2D90"/>
    <w:rsid w:val="00DC30E1"/>
    <w:rsid w:val="00DC3BD3"/>
    <w:rsid w:val="00DC4D6A"/>
    <w:rsid w:val="00DC6C7B"/>
    <w:rsid w:val="00DC71B3"/>
    <w:rsid w:val="00DD0183"/>
    <w:rsid w:val="00DD0A6A"/>
    <w:rsid w:val="00DD1C47"/>
    <w:rsid w:val="00DD1EE1"/>
    <w:rsid w:val="00DD2301"/>
    <w:rsid w:val="00DD43A5"/>
    <w:rsid w:val="00DD43AF"/>
    <w:rsid w:val="00DD4F09"/>
    <w:rsid w:val="00DD5B71"/>
    <w:rsid w:val="00DD5D19"/>
    <w:rsid w:val="00DD7DC7"/>
    <w:rsid w:val="00DD7E89"/>
    <w:rsid w:val="00DE0AE8"/>
    <w:rsid w:val="00DE12E8"/>
    <w:rsid w:val="00DE1AC7"/>
    <w:rsid w:val="00DE1EF9"/>
    <w:rsid w:val="00DE2A23"/>
    <w:rsid w:val="00DE2D13"/>
    <w:rsid w:val="00DE3A90"/>
    <w:rsid w:val="00DE46B5"/>
    <w:rsid w:val="00DE4EAB"/>
    <w:rsid w:val="00DE576A"/>
    <w:rsid w:val="00DE57F7"/>
    <w:rsid w:val="00DE63F8"/>
    <w:rsid w:val="00DE6AF5"/>
    <w:rsid w:val="00DE6C96"/>
    <w:rsid w:val="00DE7655"/>
    <w:rsid w:val="00DF0944"/>
    <w:rsid w:val="00DF1587"/>
    <w:rsid w:val="00DF1875"/>
    <w:rsid w:val="00DF1A8B"/>
    <w:rsid w:val="00DF2499"/>
    <w:rsid w:val="00DF30C3"/>
    <w:rsid w:val="00DF3753"/>
    <w:rsid w:val="00DF3896"/>
    <w:rsid w:val="00DF442A"/>
    <w:rsid w:val="00DF5255"/>
    <w:rsid w:val="00DF6075"/>
    <w:rsid w:val="00DF76E0"/>
    <w:rsid w:val="00DF7976"/>
    <w:rsid w:val="00DF7CA7"/>
    <w:rsid w:val="00DF7DAB"/>
    <w:rsid w:val="00DF7FBD"/>
    <w:rsid w:val="00E009FA"/>
    <w:rsid w:val="00E02D9B"/>
    <w:rsid w:val="00E03068"/>
    <w:rsid w:val="00E049BC"/>
    <w:rsid w:val="00E04BAA"/>
    <w:rsid w:val="00E05C34"/>
    <w:rsid w:val="00E06835"/>
    <w:rsid w:val="00E07B2A"/>
    <w:rsid w:val="00E11156"/>
    <w:rsid w:val="00E1139F"/>
    <w:rsid w:val="00E114B4"/>
    <w:rsid w:val="00E11B20"/>
    <w:rsid w:val="00E12C15"/>
    <w:rsid w:val="00E140CD"/>
    <w:rsid w:val="00E14341"/>
    <w:rsid w:val="00E1468F"/>
    <w:rsid w:val="00E153A3"/>
    <w:rsid w:val="00E15703"/>
    <w:rsid w:val="00E17149"/>
    <w:rsid w:val="00E172AC"/>
    <w:rsid w:val="00E177BF"/>
    <w:rsid w:val="00E177E0"/>
    <w:rsid w:val="00E17FEE"/>
    <w:rsid w:val="00E201C5"/>
    <w:rsid w:val="00E20B2F"/>
    <w:rsid w:val="00E2103F"/>
    <w:rsid w:val="00E21608"/>
    <w:rsid w:val="00E226B8"/>
    <w:rsid w:val="00E22712"/>
    <w:rsid w:val="00E2370C"/>
    <w:rsid w:val="00E23D21"/>
    <w:rsid w:val="00E242CD"/>
    <w:rsid w:val="00E24346"/>
    <w:rsid w:val="00E252B4"/>
    <w:rsid w:val="00E253A6"/>
    <w:rsid w:val="00E260D9"/>
    <w:rsid w:val="00E26D2E"/>
    <w:rsid w:val="00E30187"/>
    <w:rsid w:val="00E30B2D"/>
    <w:rsid w:val="00E31153"/>
    <w:rsid w:val="00E313C3"/>
    <w:rsid w:val="00E317DF"/>
    <w:rsid w:val="00E32FBF"/>
    <w:rsid w:val="00E33654"/>
    <w:rsid w:val="00E33660"/>
    <w:rsid w:val="00E34A74"/>
    <w:rsid w:val="00E3613D"/>
    <w:rsid w:val="00E36802"/>
    <w:rsid w:val="00E36FCC"/>
    <w:rsid w:val="00E370C2"/>
    <w:rsid w:val="00E40BB3"/>
    <w:rsid w:val="00E425B0"/>
    <w:rsid w:val="00E43EB5"/>
    <w:rsid w:val="00E445D5"/>
    <w:rsid w:val="00E47784"/>
    <w:rsid w:val="00E4797C"/>
    <w:rsid w:val="00E47A5A"/>
    <w:rsid w:val="00E502E8"/>
    <w:rsid w:val="00E5106E"/>
    <w:rsid w:val="00E512A0"/>
    <w:rsid w:val="00E512D5"/>
    <w:rsid w:val="00E51711"/>
    <w:rsid w:val="00E524A8"/>
    <w:rsid w:val="00E524FA"/>
    <w:rsid w:val="00E52A6B"/>
    <w:rsid w:val="00E53B7C"/>
    <w:rsid w:val="00E53FF3"/>
    <w:rsid w:val="00E56148"/>
    <w:rsid w:val="00E564FF"/>
    <w:rsid w:val="00E56580"/>
    <w:rsid w:val="00E56973"/>
    <w:rsid w:val="00E56DD9"/>
    <w:rsid w:val="00E612DA"/>
    <w:rsid w:val="00E612E7"/>
    <w:rsid w:val="00E621B3"/>
    <w:rsid w:val="00E627C0"/>
    <w:rsid w:val="00E63501"/>
    <w:rsid w:val="00E63B32"/>
    <w:rsid w:val="00E63C6B"/>
    <w:rsid w:val="00E64FAF"/>
    <w:rsid w:val="00E6628C"/>
    <w:rsid w:val="00E662A8"/>
    <w:rsid w:val="00E666BC"/>
    <w:rsid w:val="00E66B5B"/>
    <w:rsid w:val="00E66DDA"/>
    <w:rsid w:val="00E66E12"/>
    <w:rsid w:val="00E6745D"/>
    <w:rsid w:val="00E67F94"/>
    <w:rsid w:val="00E707D3"/>
    <w:rsid w:val="00E709FF"/>
    <w:rsid w:val="00E70F4A"/>
    <w:rsid w:val="00E71273"/>
    <w:rsid w:val="00E716DA"/>
    <w:rsid w:val="00E7210F"/>
    <w:rsid w:val="00E729B2"/>
    <w:rsid w:val="00E729E3"/>
    <w:rsid w:val="00E741AC"/>
    <w:rsid w:val="00E75444"/>
    <w:rsid w:val="00E7564E"/>
    <w:rsid w:val="00E75C49"/>
    <w:rsid w:val="00E75D8B"/>
    <w:rsid w:val="00E76541"/>
    <w:rsid w:val="00E77C9C"/>
    <w:rsid w:val="00E77EC9"/>
    <w:rsid w:val="00E80574"/>
    <w:rsid w:val="00E825B5"/>
    <w:rsid w:val="00E82CB2"/>
    <w:rsid w:val="00E84B4D"/>
    <w:rsid w:val="00E850EE"/>
    <w:rsid w:val="00E85383"/>
    <w:rsid w:val="00E86438"/>
    <w:rsid w:val="00E8757F"/>
    <w:rsid w:val="00E90940"/>
    <w:rsid w:val="00E90AB1"/>
    <w:rsid w:val="00E92228"/>
    <w:rsid w:val="00E9280D"/>
    <w:rsid w:val="00E935E5"/>
    <w:rsid w:val="00E940BE"/>
    <w:rsid w:val="00E952BB"/>
    <w:rsid w:val="00E9614F"/>
    <w:rsid w:val="00E975F1"/>
    <w:rsid w:val="00E97633"/>
    <w:rsid w:val="00E979FD"/>
    <w:rsid w:val="00EA02B1"/>
    <w:rsid w:val="00EA21BC"/>
    <w:rsid w:val="00EA25DB"/>
    <w:rsid w:val="00EA2CA1"/>
    <w:rsid w:val="00EA4066"/>
    <w:rsid w:val="00EA415D"/>
    <w:rsid w:val="00EA48ED"/>
    <w:rsid w:val="00EA53F0"/>
    <w:rsid w:val="00EA54DB"/>
    <w:rsid w:val="00EA6A32"/>
    <w:rsid w:val="00EA74C8"/>
    <w:rsid w:val="00EA7A61"/>
    <w:rsid w:val="00EB0397"/>
    <w:rsid w:val="00EB08BD"/>
    <w:rsid w:val="00EB0A02"/>
    <w:rsid w:val="00EB1765"/>
    <w:rsid w:val="00EB47E1"/>
    <w:rsid w:val="00EB4A93"/>
    <w:rsid w:val="00EB4BC7"/>
    <w:rsid w:val="00EB53CF"/>
    <w:rsid w:val="00EB64D9"/>
    <w:rsid w:val="00EB6608"/>
    <w:rsid w:val="00EB6B2C"/>
    <w:rsid w:val="00EB79DA"/>
    <w:rsid w:val="00EB7E8D"/>
    <w:rsid w:val="00EC02BB"/>
    <w:rsid w:val="00EC0367"/>
    <w:rsid w:val="00EC192D"/>
    <w:rsid w:val="00EC1E6C"/>
    <w:rsid w:val="00EC1F95"/>
    <w:rsid w:val="00EC29C6"/>
    <w:rsid w:val="00EC2E60"/>
    <w:rsid w:val="00EC3DE3"/>
    <w:rsid w:val="00EC4F9C"/>
    <w:rsid w:val="00EC5300"/>
    <w:rsid w:val="00EC608C"/>
    <w:rsid w:val="00EC6A9A"/>
    <w:rsid w:val="00EC6FDE"/>
    <w:rsid w:val="00EC7B8D"/>
    <w:rsid w:val="00ED0C6B"/>
    <w:rsid w:val="00ED0CE4"/>
    <w:rsid w:val="00ED1F12"/>
    <w:rsid w:val="00ED35B8"/>
    <w:rsid w:val="00ED363E"/>
    <w:rsid w:val="00ED3A31"/>
    <w:rsid w:val="00ED4442"/>
    <w:rsid w:val="00ED4AF7"/>
    <w:rsid w:val="00ED4BDF"/>
    <w:rsid w:val="00ED598C"/>
    <w:rsid w:val="00ED6563"/>
    <w:rsid w:val="00ED6D47"/>
    <w:rsid w:val="00ED7609"/>
    <w:rsid w:val="00ED7BBF"/>
    <w:rsid w:val="00EE1A23"/>
    <w:rsid w:val="00EE1CE3"/>
    <w:rsid w:val="00EE21E7"/>
    <w:rsid w:val="00EE2234"/>
    <w:rsid w:val="00EE30DE"/>
    <w:rsid w:val="00EE3216"/>
    <w:rsid w:val="00EE3412"/>
    <w:rsid w:val="00EE341B"/>
    <w:rsid w:val="00EE34B2"/>
    <w:rsid w:val="00EE379F"/>
    <w:rsid w:val="00EE6337"/>
    <w:rsid w:val="00EE7CD6"/>
    <w:rsid w:val="00EF0554"/>
    <w:rsid w:val="00EF06BD"/>
    <w:rsid w:val="00EF25CF"/>
    <w:rsid w:val="00EF29B1"/>
    <w:rsid w:val="00EF2B21"/>
    <w:rsid w:val="00EF3AA0"/>
    <w:rsid w:val="00EF4773"/>
    <w:rsid w:val="00EF53EE"/>
    <w:rsid w:val="00EF5FE1"/>
    <w:rsid w:val="00EF6CE5"/>
    <w:rsid w:val="00EF73D1"/>
    <w:rsid w:val="00EF7732"/>
    <w:rsid w:val="00EF7A11"/>
    <w:rsid w:val="00F02346"/>
    <w:rsid w:val="00F02CA2"/>
    <w:rsid w:val="00F03524"/>
    <w:rsid w:val="00F03B9D"/>
    <w:rsid w:val="00F0411A"/>
    <w:rsid w:val="00F04135"/>
    <w:rsid w:val="00F049DD"/>
    <w:rsid w:val="00F04CEC"/>
    <w:rsid w:val="00F04EFA"/>
    <w:rsid w:val="00F05D6C"/>
    <w:rsid w:val="00F06487"/>
    <w:rsid w:val="00F078C4"/>
    <w:rsid w:val="00F10131"/>
    <w:rsid w:val="00F1115F"/>
    <w:rsid w:val="00F113B0"/>
    <w:rsid w:val="00F1287D"/>
    <w:rsid w:val="00F13532"/>
    <w:rsid w:val="00F1390A"/>
    <w:rsid w:val="00F13F62"/>
    <w:rsid w:val="00F145AA"/>
    <w:rsid w:val="00F14848"/>
    <w:rsid w:val="00F153D9"/>
    <w:rsid w:val="00F156FF"/>
    <w:rsid w:val="00F219A2"/>
    <w:rsid w:val="00F22565"/>
    <w:rsid w:val="00F2284A"/>
    <w:rsid w:val="00F22BD0"/>
    <w:rsid w:val="00F2312C"/>
    <w:rsid w:val="00F2319A"/>
    <w:rsid w:val="00F23D97"/>
    <w:rsid w:val="00F2450B"/>
    <w:rsid w:val="00F24543"/>
    <w:rsid w:val="00F24561"/>
    <w:rsid w:val="00F25237"/>
    <w:rsid w:val="00F254B1"/>
    <w:rsid w:val="00F25701"/>
    <w:rsid w:val="00F30161"/>
    <w:rsid w:val="00F302E2"/>
    <w:rsid w:val="00F303A1"/>
    <w:rsid w:val="00F304ED"/>
    <w:rsid w:val="00F304F8"/>
    <w:rsid w:val="00F310B0"/>
    <w:rsid w:val="00F31E92"/>
    <w:rsid w:val="00F3233E"/>
    <w:rsid w:val="00F32514"/>
    <w:rsid w:val="00F3290B"/>
    <w:rsid w:val="00F33675"/>
    <w:rsid w:val="00F336ED"/>
    <w:rsid w:val="00F339B8"/>
    <w:rsid w:val="00F33EA8"/>
    <w:rsid w:val="00F34633"/>
    <w:rsid w:val="00F36269"/>
    <w:rsid w:val="00F3737A"/>
    <w:rsid w:val="00F40A66"/>
    <w:rsid w:val="00F40B3C"/>
    <w:rsid w:val="00F40C5B"/>
    <w:rsid w:val="00F41B7F"/>
    <w:rsid w:val="00F420F1"/>
    <w:rsid w:val="00F4410A"/>
    <w:rsid w:val="00F44EB5"/>
    <w:rsid w:val="00F451D8"/>
    <w:rsid w:val="00F46211"/>
    <w:rsid w:val="00F46AC4"/>
    <w:rsid w:val="00F479F3"/>
    <w:rsid w:val="00F512B8"/>
    <w:rsid w:val="00F516B7"/>
    <w:rsid w:val="00F526FC"/>
    <w:rsid w:val="00F54C4F"/>
    <w:rsid w:val="00F5538B"/>
    <w:rsid w:val="00F5679C"/>
    <w:rsid w:val="00F6353F"/>
    <w:rsid w:val="00F63BEE"/>
    <w:rsid w:val="00F63C68"/>
    <w:rsid w:val="00F66877"/>
    <w:rsid w:val="00F66A97"/>
    <w:rsid w:val="00F67D8E"/>
    <w:rsid w:val="00F70017"/>
    <w:rsid w:val="00F7152B"/>
    <w:rsid w:val="00F727C9"/>
    <w:rsid w:val="00F72B6C"/>
    <w:rsid w:val="00F72F6A"/>
    <w:rsid w:val="00F7400D"/>
    <w:rsid w:val="00F741AF"/>
    <w:rsid w:val="00F75B45"/>
    <w:rsid w:val="00F7620A"/>
    <w:rsid w:val="00F77B2F"/>
    <w:rsid w:val="00F77B9B"/>
    <w:rsid w:val="00F80AFB"/>
    <w:rsid w:val="00F80F18"/>
    <w:rsid w:val="00F80FA4"/>
    <w:rsid w:val="00F853BF"/>
    <w:rsid w:val="00F857C5"/>
    <w:rsid w:val="00F8652A"/>
    <w:rsid w:val="00F907E9"/>
    <w:rsid w:val="00F91E11"/>
    <w:rsid w:val="00F933F7"/>
    <w:rsid w:val="00F93A07"/>
    <w:rsid w:val="00F93D9E"/>
    <w:rsid w:val="00F94FE0"/>
    <w:rsid w:val="00F9509C"/>
    <w:rsid w:val="00F950D5"/>
    <w:rsid w:val="00F95A0C"/>
    <w:rsid w:val="00F96F4E"/>
    <w:rsid w:val="00FA08E7"/>
    <w:rsid w:val="00FA093F"/>
    <w:rsid w:val="00FA2ABC"/>
    <w:rsid w:val="00FA2B06"/>
    <w:rsid w:val="00FA33A3"/>
    <w:rsid w:val="00FA3808"/>
    <w:rsid w:val="00FA479B"/>
    <w:rsid w:val="00FA617C"/>
    <w:rsid w:val="00FA67BF"/>
    <w:rsid w:val="00FA78C7"/>
    <w:rsid w:val="00FA7B33"/>
    <w:rsid w:val="00FA7D99"/>
    <w:rsid w:val="00FA7EB3"/>
    <w:rsid w:val="00FA7EC3"/>
    <w:rsid w:val="00FB0954"/>
    <w:rsid w:val="00FB113E"/>
    <w:rsid w:val="00FB20A1"/>
    <w:rsid w:val="00FB2A5C"/>
    <w:rsid w:val="00FB2D9D"/>
    <w:rsid w:val="00FB3569"/>
    <w:rsid w:val="00FB3C1F"/>
    <w:rsid w:val="00FB4029"/>
    <w:rsid w:val="00FB4D52"/>
    <w:rsid w:val="00FB4E51"/>
    <w:rsid w:val="00FB55DD"/>
    <w:rsid w:val="00FB5A3F"/>
    <w:rsid w:val="00FB5ABF"/>
    <w:rsid w:val="00FB5DD5"/>
    <w:rsid w:val="00FB632A"/>
    <w:rsid w:val="00FB6967"/>
    <w:rsid w:val="00FB6D97"/>
    <w:rsid w:val="00FB794A"/>
    <w:rsid w:val="00FC0354"/>
    <w:rsid w:val="00FC1711"/>
    <w:rsid w:val="00FC2118"/>
    <w:rsid w:val="00FC2E94"/>
    <w:rsid w:val="00FC3914"/>
    <w:rsid w:val="00FC401E"/>
    <w:rsid w:val="00FC41B0"/>
    <w:rsid w:val="00FC50FA"/>
    <w:rsid w:val="00FC66A1"/>
    <w:rsid w:val="00FC732D"/>
    <w:rsid w:val="00FC75B9"/>
    <w:rsid w:val="00FD09D5"/>
    <w:rsid w:val="00FD0C1D"/>
    <w:rsid w:val="00FD1EDF"/>
    <w:rsid w:val="00FD2055"/>
    <w:rsid w:val="00FD3FB4"/>
    <w:rsid w:val="00FD4851"/>
    <w:rsid w:val="00FD4DDA"/>
    <w:rsid w:val="00FD57C9"/>
    <w:rsid w:val="00FD5969"/>
    <w:rsid w:val="00FE02AE"/>
    <w:rsid w:val="00FE0FDC"/>
    <w:rsid w:val="00FE251A"/>
    <w:rsid w:val="00FE26D4"/>
    <w:rsid w:val="00FE2A76"/>
    <w:rsid w:val="00FE3237"/>
    <w:rsid w:val="00FE4406"/>
    <w:rsid w:val="00FE46E5"/>
    <w:rsid w:val="00FE4B5C"/>
    <w:rsid w:val="00FE4E70"/>
    <w:rsid w:val="00FE5E4B"/>
    <w:rsid w:val="00FE6EC0"/>
    <w:rsid w:val="00FE6FD6"/>
    <w:rsid w:val="00FE71DE"/>
    <w:rsid w:val="00FE7BF5"/>
    <w:rsid w:val="00FF1B94"/>
    <w:rsid w:val="00FF1F48"/>
    <w:rsid w:val="00FF3671"/>
    <w:rsid w:val="00FF3773"/>
    <w:rsid w:val="00FF4A2D"/>
    <w:rsid w:val="00FF589B"/>
    <w:rsid w:val="00FF6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F053"/>
  <w15:chartTrackingRefBased/>
  <w15:docId w15:val="{BF280283-3BB5-4873-BA56-CBFFC7C3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80"/>
  </w:style>
  <w:style w:type="paragraph" w:styleId="Heading2">
    <w:name w:val="heading 2"/>
    <w:basedOn w:val="Normal"/>
    <w:next w:val="Normal"/>
    <w:link w:val="Heading2Char"/>
    <w:uiPriority w:val="9"/>
    <w:semiHidden/>
    <w:unhideWhenUsed/>
    <w:qFormat/>
    <w:rsid w:val="005B2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BE"/>
    <w:pPr>
      <w:ind w:left="720"/>
      <w:contextualSpacing/>
    </w:pPr>
  </w:style>
  <w:style w:type="character" w:styleId="CommentReference">
    <w:name w:val="annotation reference"/>
    <w:basedOn w:val="DefaultParagraphFont"/>
    <w:uiPriority w:val="99"/>
    <w:semiHidden/>
    <w:unhideWhenUsed/>
    <w:rsid w:val="00440FBE"/>
    <w:rPr>
      <w:sz w:val="16"/>
      <w:szCs w:val="16"/>
    </w:rPr>
  </w:style>
  <w:style w:type="paragraph" w:styleId="CommentText">
    <w:name w:val="annotation text"/>
    <w:basedOn w:val="Normal"/>
    <w:link w:val="CommentTextChar"/>
    <w:uiPriority w:val="99"/>
    <w:unhideWhenUsed/>
    <w:rsid w:val="00440FBE"/>
    <w:pPr>
      <w:spacing w:line="240" w:lineRule="auto"/>
    </w:pPr>
    <w:rPr>
      <w:sz w:val="20"/>
      <w:szCs w:val="20"/>
    </w:rPr>
  </w:style>
  <w:style w:type="character" w:customStyle="1" w:styleId="CommentTextChar">
    <w:name w:val="Comment Text Char"/>
    <w:basedOn w:val="DefaultParagraphFont"/>
    <w:link w:val="CommentText"/>
    <w:uiPriority w:val="99"/>
    <w:rsid w:val="00440FBE"/>
    <w:rPr>
      <w:sz w:val="20"/>
      <w:szCs w:val="20"/>
    </w:rPr>
  </w:style>
  <w:style w:type="paragraph" w:styleId="CommentSubject">
    <w:name w:val="annotation subject"/>
    <w:basedOn w:val="CommentText"/>
    <w:next w:val="CommentText"/>
    <w:link w:val="CommentSubjectChar"/>
    <w:uiPriority w:val="99"/>
    <w:semiHidden/>
    <w:unhideWhenUsed/>
    <w:rsid w:val="00440FBE"/>
    <w:rPr>
      <w:b/>
      <w:bCs/>
    </w:rPr>
  </w:style>
  <w:style w:type="character" w:customStyle="1" w:styleId="CommentSubjectChar">
    <w:name w:val="Comment Subject Char"/>
    <w:basedOn w:val="CommentTextChar"/>
    <w:link w:val="CommentSubject"/>
    <w:uiPriority w:val="99"/>
    <w:semiHidden/>
    <w:rsid w:val="00440FBE"/>
    <w:rPr>
      <w:b/>
      <w:bCs/>
      <w:sz w:val="20"/>
      <w:szCs w:val="20"/>
    </w:rPr>
  </w:style>
  <w:style w:type="paragraph" w:styleId="Header">
    <w:name w:val="header"/>
    <w:basedOn w:val="Normal"/>
    <w:link w:val="HeaderChar"/>
    <w:uiPriority w:val="99"/>
    <w:unhideWhenUsed/>
    <w:rsid w:val="00AA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44"/>
  </w:style>
  <w:style w:type="paragraph" w:styleId="Footer">
    <w:name w:val="footer"/>
    <w:basedOn w:val="Normal"/>
    <w:link w:val="FooterChar"/>
    <w:uiPriority w:val="99"/>
    <w:unhideWhenUsed/>
    <w:rsid w:val="00AA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44"/>
  </w:style>
  <w:style w:type="table" w:styleId="TableGrid">
    <w:name w:val="Table Grid"/>
    <w:basedOn w:val="TableNormal"/>
    <w:uiPriority w:val="39"/>
    <w:rsid w:val="00D8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41C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2E7"/>
    <w:rPr>
      <w:rFonts w:ascii="Times New Roman" w:hAnsi="Times New Roman" w:cs="Times New Roman"/>
      <w:sz w:val="24"/>
      <w:szCs w:val="24"/>
    </w:rPr>
  </w:style>
  <w:style w:type="paragraph" w:styleId="Revision">
    <w:name w:val="Revision"/>
    <w:hidden/>
    <w:uiPriority w:val="99"/>
    <w:semiHidden/>
    <w:rsid w:val="00034DF6"/>
    <w:pPr>
      <w:spacing w:after="0" w:line="240" w:lineRule="auto"/>
    </w:pPr>
  </w:style>
  <w:style w:type="table" w:styleId="PlainTable4">
    <w:name w:val="Plain Table 4"/>
    <w:basedOn w:val="TableNormal"/>
    <w:uiPriority w:val="44"/>
    <w:rsid w:val="002B02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336ED"/>
    <w:rPr>
      <w:color w:val="0563C1" w:themeColor="hyperlink"/>
      <w:u w:val="single"/>
    </w:rPr>
  </w:style>
  <w:style w:type="character" w:styleId="UnresolvedMention">
    <w:name w:val="Unresolved Mention"/>
    <w:basedOn w:val="DefaultParagraphFont"/>
    <w:uiPriority w:val="99"/>
    <w:semiHidden/>
    <w:unhideWhenUsed/>
    <w:rsid w:val="00F336ED"/>
    <w:rPr>
      <w:color w:val="605E5C"/>
      <w:shd w:val="clear" w:color="auto" w:fill="E1DFDD"/>
    </w:rPr>
  </w:style>
  <w:style w:type="character" w:customStyle="1" w:styleId="notion-enable-hover">
    <w:name w:val="notion-enable-hover"/>
    <w:basedOn w:val="DefaultParagraphFont"/>
    <w:rsid w:val="00B64076"/>
  </w:style>
  <w:style w:type="character" w:customStyle="1" w:styleId="Heading2Char">
    <w:name w:val="Heading 2 Char"/>
    <w:basedOn w:val="DefaultParagraphFont"/>
    <w:link w:val="Heading2"/>
    <w:uiPriority w:val="9"/>
    <w:semiHidden/>
    <w:rsid w:val="005B2A00"/>
    <w:rPr>
      <w:rFonts w:asciiTheme="majorHAnsi" w:eastAsiaTheme="majorEastAsia" w:hAnsiTheme="majorHAnsi" w:cstheme="majorBidi"/>
      <w:color w:val="2F5496" w:themeColor="accent1" w:themeShade="BF"/>
      <w:sz w:val="26"/>
      <w:szCs w:val="26"/>
    </w:rPr>
  </w:style>
  <w:style w:type="paragraph" w:customStyle="1" w:styleId="Maria">
    <w:name w:val="Maria"/>
    <w:basedOn w:val="BodyText"/>
    <w:link w:val="MariaChar"/>
    <w:autoRedefine/>
    <w:qFormat/>
    <w:rsid w:val="00EC608C"/>
    <w:pPr>
      <w:numPr>
        <w:numId w:val="4"/>
      </w:numPr>
      <w:shd w:val="clear" w:color="auto" w:fill="FFFFFF"/>
      <w:tabs>
        <w:tab w:val="left" w:pos="426"/>
      </w:tabs>
      <w:spacing w:after="0" w:line="240" w:lineRule="auto"/>
    </w:pPr>
    <w:rPr>
      <w:rFonts w:ascii="Calibri" w:eastAsia="Times New Roman" w:hAnsi="Calibri" w:cs="Segoe UI"/>
      <w:color w:val="212121"/>
      <w:sz w:val="24"/>
      <w:szCs w:val="24"/>
      <w:shd w:val="clear" w:color="auto" w:fill="FFFFFF"/>
      <w:lang w:eastAsia="en-GB"/>
    </w:rPr>
  </w:style>
  <w:style w:type="character" w:customStyle="1" w:styleId="MariaChar">
    <w:name w:val="Maria Char"/>
    <w:basedOn w:val="BodyTextChar"/>
    <w:link w:val="Maria"/>
    <w:rsid w:val="00EC608C"/>
    <w:rPr>
      <w:rFonts w:ascii="Calibri" w:eastAsia="Times New Roman" w:hAnsi="Calibri" w:cs="Segoe UI"/>
      <w:color w:val="212121"/>
      <w:sz w:val="24"/>
      <w:szCs w:val="24"/>
      <w:shd w:val="clear" w:color="auto" w:fill="FFFFFF"/>
      <w:lang w:eastAsia="en-GB"/>
    </w:rPr>
  </w:style>
  <w:style w:type="paragraph" w:styleId="BodyText">
    <w:name w:val="Body Text"/>
    <w:basedOn w:val="Normal"/>
    <w:link w:val="BodyTextChar"/>
    <w:uiPriority w:val="99"/>
    <w:semiHidden/>
    <w:unhideWhenUsed/>
    <w:rsid w:val="00847FF8"/>
    <w:pPr>
      <w:spacing w:after="120"/>
    </w:pPr>
  </w:style>
  <w:style w:type="character" w:customStyle="1" w:styleId="BodyTextChar">
    <w:name w:val="Body Text Char"/>
    <w:basedOn w:val="DefaultParagraphFont"/>
    <w:link w:val="BodyText"/>
    <w:uiPriority w:val="99"/>
    <w:semiHidden/>
    <w:rsid w:val="00847FF8"/>
  </w:style>
  <w:style w:type="character" w:styleId="LineNumber">
    <w:name w:val="line number"/>
    <w:basedOn w:val="DefaultParagraphFont"/>
    <w:uiPriority w:val="99"/>
    <w:semiHidden/>
    <w:unhideWhenUsed/>
    <w:rsid w:val="0076215D"/>
  </w:style>
  <w:style w:type="character" w:styleId="Emphasis">
    <w:name w:val="Emphasis"/>
    <w:basedOn w:val="DefaultParagraphFont"/>
    <w:uiPriority w:val="20"/>
    <w:qFormat/>
    <w:rsid w:val="005D47AF"/>
    <w:rPr>
      <w:i/>
      <w:iCs/>
    </w:rPr>
  </w:style>
  <w:style w:type="character" w:customStyle="1" w:styleId="apple-converted-space">
    <w:name w:val="apple-converted-space"/>
    <w:basedOn w:val="DefaultParagraphFont"/>
    <w:rsid w:val="005D47AF"/>
  </w:style>
  <w:style w:type="character" w:styleId="Strong">
    <w:name w:val="Strong"/>
    <w:basedOn w:val="DefaultParagraphFont"/>
    <w:uiPriority w:val="22"/>
    <w:qFormat/>
    <w:rsid w:val="00372221"/>
    <w:rPr>
      <w:b/>
      <w:bCs/>
    </w:rPr>
  </w:style>
  <w:style w:type="table" w:styleId="GridTable1Light-Accent3">
    <w:name w:val="Grid Table 1 Light Accent 3"/>
    <w:basedOn w:val="TableNormal"/>
    <w:uiPriority w:val="46"/>
    <w:rsid w:val="001838C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862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240A"/>
  </w:style>
  <w:style w:type="character" w:customStyle="1" w:styleId="eop">
    <w:name w:val="eop"/>
    <w:basedOn w:val="DefaultParagraphFont"/>
    <w:rsid w:val="0086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561">
      <w:bodyDiv w:val="1"/>
      <w:marLeft w:val="0"/>
      <w:marRight w:val="0"/>
      <w:marTop w:val="0"/>
      <w:marBottom w:val="0"/>
      <w:divBdr>
        <w:top w:val="none" w:sz="0" w:space="0" w:color="auto"/>
        <w:left w:val="none" w:sz="0" w:space="0" w:color="auto"/>
        <w:bottom w:val="none" w:sz="0" w:space="0" w:color="auto"/>
        <w:right w:val="none" w:sz="0" w:space="0" w:color="auto"/>
      </w:divBdr>
      <w:divsChild>
        <w:div w:id="582181608">
          <w:marLeft w:val="0"/>
          <w:marRight w:val="0"/>
          <w:marTop w:val="0"/>
          <w:marBottom w:val="0"/>
          <w:divBdr>
            <w:top w:val="none" w:sz="0" w:space="0" w:color="auto"/>
            <w:left w:val="none" w:sz="0" w:space="0" w:color="auto"/>
            <w:bottom w:val="none" w:sz="0" w:space="0" w:color="auto"/>
            <w:right w:val="none" w:sz="0" w:space="0" w:color="auto"/>
          </w:divBdr>
        </w:div>
      </w:divsChild>
    </w:div>
    <w:div w:id="71633171">
      <w:bodyDiv w:val="1"/>
      <w:marLeft w:val="0"/>
      <w:marRight w:val="0"/>
      <w:marTop w:val="0"/>
      <w:marBottom w:val="0"/>
      <w:divBdr>
        <w:top w:val="none" w:sz="0" w:space="0" w:color="auto"/>
        <w:left w:val="none" w:sz="0" w:space="0" w:color="auto"/>
        <w:bottom w:val="none" w:sz="0" w:space="0" w:color="auto"/>
        <w:right w:val="none" w:sz="0" w:space="0" w:color="auto"/>
      </w:divBdr>
    </w:div>
    <w:div w:id="91704524">
      <w:bodyDiv w:val="1"/>
      <w:marLeft w:val="0"/>
      <w:marRight w:val="0"/>
      <w:marTop w:val="0"/>
      <w:marBottom w:val="0"/>
      <w:divBdr>
        <w:top w:val="none" w:sz="0" w:space="0" w:color="auto"/>
        <w:left w:val="none" w:sz="0" w:space="0" w:color="auto"/>
        <w:bottom w:val="none" w:sz="0" w:space="0" w:color="auto"/>
        <w:right w:val="none" w:sz="0" w:space="0" w:color="auto"/>
      </w:divBdr>
      <w:divsChild>
        <w:div w:id="1987393560">
          <w:marLeft w:val="0"/>
          <w:marRight w:val="0"/>
          <w:marTop w:val="0"/>
          <w:marBottom w:val="0"/>
          <w:divBdr>
            <w:top w:val="none" w:sz="0" w:space="0" w:color="auto"/>
            <w:left w:val="none" w:sz="0" w:space="0" w:color="auto"/>
            <w:bottom w:val="none" w:sz="0" w:space="0" w:color="auto"/>
            <w:right w:val="none" w:sz="0" w:space="0" w:color="auto"/>
          </w:divBdr>
        </w:div>
      </w:divsChild>
    </w:div>
    <w:div w:id="114563554">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180432323">
      <w:bodyDiv w:val="1"/>
      <w:marLeft w:val="0"/>
      <w:marRight w:val="0"/>
      <w:marTop w:val="0"/>
      <w:marBottom w:val="0"/>
      <w:divBdr>
        <w:top w:val="none" w:sz="0" w:space="0" w:color="auto"/>
        <w:left w:val="none" w:sz="0" w:space="0" w:color="auto"/>
        <w:bottom w:val="none" w:sz="0" w:space="0" w:color="auto"/>
        <w:right w:val="none" w:sz="0" w:space="0" w:color="auto"/>
      </w:divBdr>
    </w:div>
    <w:div w:id="184057273">
      <w:bodyDiv w:val="1"/>
      <w:marLeft w:val="0"/>
      <w:marRight w:val="0"/>
      <w:marTop w:val="0"/>
      <w:marBottom w:val="0"/>
      <w:divBdr>
        <w:top w:val="none" w:sz="0" w:space="0" w:color="auto"/>
        <w:left w:val="none" w:sz="0" w:space="0" w:color="auto"/>
        <w:bottom w:val="none" w:sz="0" w:space="0" w:color="auto"/>
        <w:right w:val="none" w:sz="0" w:space="0" w:color="auto"/>
      </w:divBdr>
    </w:div>
    <w:div w:id="490683247">
      <w:bodyDiv w:val="1"/>
      <w:marLeft w:val="0"/>
      <w:marRight w:val="0"/>
      <w:marTop w:val="0"/>
      <w:marBottom w:val="0"/>
      <w:divBdr>
        <w:top w:val="none" w:sz="0" w:space="0" w:color="auto"/>
        <w:left w:val="none" w:sz="0" w:space="0" w:color="auto"/>
        <w:bottom w:val="none" w:sz="0" w:space="0" w:color="auto"/>
        <w:right w:val="none" w:sz="0" w:space="0" w:color="auto"/>
      </w:divBdr>
    </w:div>
    <w:div w:id="543179284">
      <w:bodyDiv w:val="1"/>
      <w:marLeft w:val="0"/>
      <w:marRight w:val="0"/>
      <w:marTop w:val="0"/>
      <w:marBottom w:val="0"/>
      <w:divBdr>
        <w:top w:val="none" w:sz="0" w:space="0" w:color="auto"/>
        <w:left w:val="none" w:sz="0" w:space="0" w:color="auto"/>
        <w:bottom w:val="none" w:sz="0" w:space="0" w:color="auto"/>
        <w:right w:val="none" w:sz="0" w:space="0" w:color="auto"/>
      </w:divBdr>
    </w:div>
    <w:div w:id="675352736">
      <w:bodyDiv w:val="1"/>
      <w:marLeft w:val="0"/>
      <w:marRight w:val="0"/>
      <w:marTop w:val="0"/>
      <w:marBottom w:val="0"/>
      <w:divBdr>
        <w:top w:val="none" w:sz="0" w:space="0" w:color="auto"/>
        <w:left w:val="none" w:sz="0" w:space="0" w:color="auto"/>
        <w:bottom w:val="none" w:sz="0" w:space="0" w:color="auto"/>
        <w:right w:val="none" w:sz="0" w:space="0" w:color="auto"/>
      </w:divBdr>
    </w:div>
    <w:div w:id="676156579">
      <w:bodyDiv w:val="1"/>
      <w:marLeft w:val="0"/>
      <w:marRight w:val="0"/>
      <w:marTop w:val="0"/>
      <w:marBottom w:val="0"/>
      <w:divBdr>
        <w:top w:val="none" w:sz="0" w:space="0" w:color="auto"/>
        <w:left w:val="none" w:sz="0" w:space="0" w:color="auto"/>
        <w:bottom w:val="none" w:sz="0" w:space="0" w:color="auto"/>
        <w:right w:val="none" w:sz="0" w:space="0" w:color="auto"/>
      </w:divBdr>
    </w:div>
    <w:div w:id="713968193">
      <w:bodyDiv w:val="1"/>
      <w:marLeft w:val="0"/>
      <w:marRight w:val="0"/>
      <w:marTop w:val="0"/>
      <w:marBottom w:val="0"/>
      <w:divBdr>
        <w:top w:val="none" w:sz="0" w:space="0" w:color="auto"/>
        <w:left w:val="none" w:sz="0" w:space="0" w:color="auto"/>
        <w:bottom w:val="none" w:sz="0" w:space="0" w:color="auto"/>
        <w:right w:val="none" w:sz="0" w:space="0" w:color="auto"/>
      </w:divBdr>
    </w:div>
    <w:div w:id="934627634">
      <w:bodyDiv w:val="1"/>
      <w:marLeft w:val="0"/>
      <w:marRight w:val="0"/>
      <w:marTop w:val="0"/>
      <w:marBottom w:val="0"/>
      <w:divBdr>
        <w:top w:val="none" w:sz="0" w:space="0" w:color="auto"/>
        <w:left w:val="none" w:sz="0" w:space="0" w:color="auto"/>
        <w:bottom w:val="none" w:sz="0" w:space="0" w:color="auto"/>
        <w:right w:val="none" w:sz="0" w:space="0" w:color="auto"/>
      </w:divBdr>
      <w:divsChild>
        <w:div w:id="1892309039">
          <w:marLeft w:val="0"/>
          <w:marRight w:val="0"/>
          <w:marTop w:val="0"/>
          <w:marBottom w:val="0"/>
          <w:divBdr>
            <w:top w:val="none" w:sz="0" w:space="0" w:color="auto"/>
            <w:left w:val="none" w:sz="0" w:space="0" w:color="auto"/>
            <w:bottom w:val="none" w:sz="0" w:space="0" w:color="auto"/>
            <w:right w:val="none" w:sz="0" w:space="0" w:color="auto"/>
          </w:divBdr>
        </w:div>
      </w:divsChild>
    </w:div>
    <w:div w:id="969751289">
      <w:bodyDiv w:val="1"/>
      <w:marLeft w:val="0"/>
      <w:marRight w:val="0"/>
      <w:marTop w:val="0"/>
      <w:marBottom w:val="0"/>
      <w:divBdr>
        <w:top w:val="none" w:sz="0" w:space="0" w:color="auto"/>
        <w:left w:val="none" w:sz="0" w:space="0" w:color="auto"/>
        <w:bottom w:val="none" w:sz="0" w:space="0" w:color="auto"/>
        <w:right w:val="none" w:sz="0" w:space="0" w:color="auto"/>
      </w:divBdr>
    </w:div>
    <w:div w:id="1053315165">
      <w:bodyDiv w:val="1"/>
      <w:marLeft w:val="0"/>
      <w:marRight w:val="0"/>
      <w:marTop w:val="0"/>
      <w:marBottom w:val="0"/>
      <w:divBdr>
        <w:top w:val="none" w:sz="0" w:space="0" w:color="auto"/>
        <w:left w:val="none" w:sz="0" w:space="0" w:color="auto"/>
        <w:bottom w:val="none" w:sz="0" w:space="0" w:color="auto"/>
        <w:right w:val="none" w:sz="0" w:space="0" w:color="auto"/>
      </w:divBdr>
    </w:div>
    <w:div w:id="1129471429">
      <w:bodyDiv w:val="1"/>
      <w:marLeft w:val="0"/>
      <w:marRight w:val="0"/>
      <w:marTop w:val="0"/>
      <w:marBottom w:val="0"/>
      <w:divBdr>
        <w:top w:val="none" w:sz="0" w:space="0" w:color="auto"/>
        <w:left w:val="none" w:sz="0" w:space="0" w:color="auto"/>
        <w:bottom w:val="none" w:sz="0" w:space="0" w:color="auto"/>
        <w:right w:val="none" w:sz="0" w:space="0" w:color="auto"/>
      </w:divBdr>
    </w:div>
    <w:div w:id="1161239362">
      <w:bodyDiv w:val="1"/>
      <w:marLeft w:val="0"/>
      <w:marRight w:val="0"/>
      <w:marTop w:val="0"/>
      <w:marBottom w:val="0"/>
      <w:divBdr>
        <w:top w:val="none" w:sz="0" w:space="0" w:color="auto"/>
        <w:left w:val="none" w:sz="0" w:space="0" w:color="auto"/>
        <w:bottom w:val="none" w:sz="0" w:space="0" w:color="auto"/>
        <w:right w:val="none" w:sz="0" w:space="0" w:color="auto"/>
      </w:divBdr>
    </w:div>
    <w:div w:id="1200433652">
      <w:bodyDiv w:val="1"/>
      <w:marLeft w:val="0"/>
      <w:marRight w:val="0"/>
      <w:marTop w:val="0"/>
      <w:marBottom w:val="0"/>
      <w:divBdr>
        <w:top w:val="none" w:sz="0" w:space="0" w:color="auto"/>
        <w:left w:val="none" w:sz="0" w:space="0" w:color="auto"/>
        <w:bottom w:val="none" w:sz="0" w:space="0" w:color="auto"/>
        <w:right w:val="none" w:sz="0" w:space="0" w:color="auto"/>
      </w:divBdr>
    </w:div>
    <w:div w:id="1296066624">
      <w:bodyDiv w:val="1"/>
      <w:marLeft w:val="0"/>
      <w:marRight w:val="0"/>
      <w:marTop w:val="0"/>
      <w:marBottom w:val="0"/>
      <w:divBdr>
        <w:top w:val="none" w:sz="0" w:space="0" w:color="auto"/>
        <w:left w:val="none" w:sz="0" w:space="0" w:color="auto"/>
        <w:bottom w:val="none" w:sz="0" w:space="0" w:color="auto"/>
        <w:right w:val="none" w:sz="0" w:space="0" w:color="auto"/>
      </w:divBdr>
    </w:div>
    <w:div w:id="1345865890">
      <w:bodyDiv w:val="1"/>
      <w:marLeft w:val="0"/>
      <w:marRight w:val="0"/>
      <w:marTop w:val="0"/>
      <w:marBottom w:val="0"/>
      <w:divBdr>
        <w:top w:val="none" w:sz="0" w:space="0" w:color="auto"/>
        <w:left w:val="none" w:sz="0" w:space="0" w:color="auto"/>
        <w:bottom w:val="none" w:sz="0" w:space="0" w:color="auto"/>
        <w:right w:val="none" w:sz="0" w:space="0" w:color="auto"/>
      </w:divBdr>
    </w:div>
    <w:div w:id="1352995247">
      <w:bodyDiv w:val="1"/>
      <w:marLeft w:val="0"/>
      <w:marRight w:val="0"/>
      <w:marTop w:val="0"/>
      <w:marBottom w:val="0"/>
      <w:divBdr>
        <w:top w:val="none" w:sz="0" w:space="0" w:color="auto"/>
        <w:left w:val="none" w:sz="0" w:space="0" w:color="auto"/>
        <w:bottom w:val="none" w:sz="0" w:space="0" w:color="auto"/>
        <w:right w:val="none" w:sz="0" w:space="0" w:color="auto"/>
      </w:divBdr>
    </w:div>
    <w:div w:id="1484391829">
      <w:bodyDiv w:val="1"/>
      <w:marLeft w:val="0"/>
      <w:marRight w:val="0"/>
      <w:marTop w:val="0"/>
      <w:marBottom w:val="0"/>
      <w:divBdr>
        <w:top w:val="none" w:sz="0" w:space="0" w:color="auto"/>
        <w:left w:val="none" w:sz="0" w:space="0" w:color="auto"/>
        <w:bottom w:val="none" w:sz="0" w:space="0" w:color="auto"/>
        <w:right w:val="none" w:sz="0" w:space="0" w:color="auto"/>
      </w:divBdr>
    </w:div>
    <w:div w:id="1488936221">
      <w:bodyDiv w:val="1"/>
      <w:marLeft w:val="0"/>
      <w:marRight w:val="0"/>
      <w:marTop w:val="0"/>
      <w:marBottom w:val="0"/>
      <w:divBdr>
        <w:top w:val="none" w:sz="0" w:space="0" w:color="auto"/>
        <w:left w:val="none" w:sz="0" w:space="0" w:color="auto"/>
        <w:bottom w:val="none" w:sz="0" w:space="0" w:color="auto"/>
        <w:right w:val="none" w:sz="0" w:space="0" w:color="auto"/>
      </w:divBdr>
    </w:div>
    <w:div w:id="1519659802">
      <w:bodyDiv w:val="1"/>
      <w:marLeft w:val="0"/>
      <w:marRight w:val="0"/>
      <w:marTop w:val="0"/>
      <w:marBottom w:val="0"/>
      <w:divBdr>
        <w:top w:val="none" w:sz="0" w:space="0" w:color="auto"/>
        <w:left w:val="none" w:sz="0" w:space="0" w:color="auto"/>
        <w:bottom w:val="none" w:sz="0" w:space="0" w:color="auto"/>
        <w:right w:val="none" w:sz="0" w:space="0" w:color="auto"/>
      </w:divBdr>
    </w:div>
    <w:div w:id="1538619206">
      <w:bodyDiv w:val="1"/>
      <w:marLeft w:val="0"/>
      <w:marRight w:val="0"/>
      <w:marTop w:val="0"/>
      <w:marBottom w:val="0"/>
      <w:divBdr>
        <w:top w:val="none" w:sz="0" w:space="0" w:color="auto"/>
        <w:left w:val="none" w:sz="0" w:space="0" w:color="auto"/>
        <w:bottom w:val="none" w:sz="0" w:space="0" w:color="auto"/>
        <w:right w:val="none" w:sz="0" w:space="0" w:color="auto"/>
      </w:divBdr>
    </w:div>
    <w:div w:id="1573468016">
      <w:bodyDiv w:val="1"/>
      <w:marLeft w:val="0"/>
      <w:marRight w:val="0"/>
      <w:marTop w:val="0"/>
      <w:marBottom w:val="0"/>
      <w:divBdr>
        <w:top w:val="none" w:sz="0" w:space="0" w:color="auto"/>
        <w:left w:val="none" w:sz="0" w:space="0" w:color="auto"/>
        <w:bottom w:val="none" w:sz="0" w:space="0" w:color="auto"/>
        <w:right w:val="none" w:sz="0" w:space="0" w:color="auto"/>
      </w:divBdr>
    </w:div>
    <w:div w:id="1586379963">
      <w:bodyDiv w:val="1"/>
      <w:marLeft w:val="0"/>
      <w:marRight w:val="0"/>
      <w:marTop w:val="0"/>
      <w:marBottom w:val="0"/>
      <w:divBdr>
        <w:top w:val="none" w:sz="0" w:space="0" w:color="auto"/>
        <w:left w:val="none" w:sz="0" w:space="0" w:color="auto"/>
        <w:bottom w:val="none" w:sz="0" w:space="0" w:color="auto"/>
        <w:right w:val="none" w:sz="0" w:space="0" w:color="auto"/>
      </w:divBdr>
    </w:div>
    <w:div w:id="1597132468">
      <w:bodyDiv w:val="1"/>
      <w:marLeft w:val="0"/>
      <w:marRight w:val="0"/>
      <w:marTop w:val="0"/>
      <w:marBottom w:val="0"/>
      <w:divBdr>
        <w:top w:val="none" w:sz="0" w:space="0" w:color="auto"/>
        <w:left w:val="none" w:sz="0" w:space="0" w:color="auto"/>
        <w:bottom w:val="none" w:sz="0" w:space="0" w:color="auto"/>
        <w:right w:val="none" w:sz="0" w:space="0" w:color="auto"/>
      </w:divBdr>
    </w:div>
    <w:div w:id="1622613010">
      <w:bodyDiv w:val="1"/>
      <w:marLeft w:val="0"/>
      <w:marRight w:val="0"/>
      <w:marTop w:val="0"/>
      <w:marBottom w:val="0"/>
      <w:divBdr>
        <w:top w:val="none" w:sz="0" w:space="0" w:color="auto"/>
        <w:left w:val="none" w:sz="0" w:space="0" w:color="auto"/>
        <w:bottom w:val="none" w:sz="0" w:space="0" w:color="auto"/>
        <w:right w:val="none" w:sz="0" w:space="0" w:color="auto"/>
      </w:divBdr>
    </w:div>
    <w:div w:id="1657371352">
      <w:bodyDiv w:val="1"/>
      <w:marLeft w:val="0"/>
      <w:marRight w:val="0"/>
      <w:marTop w:val="0"/>
      <w:marBottom w:val="0"/>
      <w:divBdr>
        <w:top w:val="none" w:sz="0" w:space="0" w:color="auto"/>
        <w:left w:val="none" w:sz="0" w:space="0" w:color="auto"/>
        <w:bottom w:val="none" w:sz="0" w:space="0" w:color="auto"/>
        <w:right w:val="none" w:sz="0" w:space="0" w:color="auto"/>
      </w:divBdr>
    </w:div>
    <w:div w:id="1726828348">
      <w:bodyDiv w:val="1"/>
      <w:marLeft w:val="0"/>
      <w:marRight w:val="0"/>
      <w:marTop w:val="0"/>
      <w:marBottom w:val="0"/>
      <w:divBdr>
        <w:top w:val="none" w:sz="0" w:space="0" w:color="auto"/>
        <w:left w:val="none" w:sz="0" w:space="0" w:color="auto"/>
        <w:bottom w:val="none" w:sz="0" w:space="0" w:color="auto"/>
        <w:right w:val="none" w:sz="0" w:space="0" w:color="auto"/>
      </w:divBdr>
    </w:div>
    <w:div w:id="1735394803">
      <w:bodyDiv w:val="1"/>
      <w:marLeft w:val="0"/>
      <w:marRight w:val="0"/>
      <w:marTop w:val="0"/>
      <w:marBottom w:val="0"/>
      <w:divBdr>
        <w:top w:val="none" w:sz="0" w:space="0" w:color="auto"/>
        <w:left w:val="none" w:sz="0" w:space="0" w:color="auto"/>
        <w:bottom w:val="none" w:sz="0" w:space="0" w:color="auto"/>
        <w:right w:val="none" w:sz="0" w:space="0" w:color="auto"/>
      </w:divBdr>
    </w:div>
    <w:div w:id="1789469452">
      <w:bodyDiv w:val="1"/>
      <w:marLeft w:val="0"/>
      <w:marRight w:val="0"/>
      <w:marTop w:val="0"/>
      <w:marBottom w:val="0"/>
      <w:divBdr>
        <w:top w:val="none" w:sz="0" w:space="0" w:color="auto"/>
        <w:left w:val="none" w:sz="0" w:space="0" w:color="auto"/>
        <w:bottom w:val="none" w:sz="0" w:space="0" w:color="auto"/>
        <w:right w:val="none" w:sz="0" w:space="0" w:color="auto"/>
      </w:divBdr>
    </w:div>
    <w:div w:id="1956518092">
      <w:bodyDiv w:val="1"/>
      <w:marLeft w:val="0"/>
      <w:marRight w:val="0"/>
      <w:marTop w:val="0"/>
      <w:marBottom w:val="0"/>
      <w:divBdr>
        <w:top w:val="none" w:sz="0" w:space="0" w:color="auto"/>
        <w:left w:val="none" w:sz="0" w:space="0" w:color="auto"/>
        <w:bottom w:val="none" w:sz="0" w:space="0" w:color="auto"/>
        <w:right w:val="none" w:sz="0" w:space="0" w:color="auto"/>
      </w:divBdr>
    </w:div>
    <w:div w:id="2023121260">
      <w:bodyDiv w:val="1"/>
      <w:marLeft w:val="0"/>
      <w:marRight w:val="0"/>
      <w:marTop w:val="0"/>
      <w:marBottom w:val="0"/>
      <w:divBdr>
        <w:top w:val="none" w:sz="0" w:space="0" w:color="auto"/>
        <w:left w:val="none" w:sz="0" w:space="0" w:color="auto"/>
        <w:bottom w:val="none" w:sz="0" w:space="0" w:color="auto"/>
        <w:right w:val="none" w:sz="0" w:space="0" w:color="auto"/>
      </w:divBdr>
    </w:div>
    <w:div w:id="2056198272">
      <w:bodyDiv w:val="1"/>
      <w:marLeft w:val="0"/>
      <w:marRight w:val="0"/>
      <w:marTop w:val="0"/>
      <w:marBottom w:val="0"/>
      <w:divBdr>
        <w:top w:val="none" w:sz="0" w:space="0" w:color="auto"/>
        <w:left w:val="none" w:sz="0" w:space="0" w:color="auto"/>
        <w:bottom w:val="none" w:sz="0" w:space="0" w:color="auto"/>
        <w:right w:val="none" w:sz="0" w:space="0" w:color="auto"/>
      </w:divBdr>
    </w:div>
    <w:div w:id="2098207592">
      <w:bodyDiv w:val="1"/>
      <w:marLeft w:val="0"/>
      <w:marRight w:val="0"/>
      <w:marTop w:val="0"/>
      <w:marBottom w:val="0"/>
      <w:divBdr>
        <w:top w:val="none" w:sz="0" w:space="0" w:color="auto"/>
        <w:left w:val="none" w:sz="0" w:space="0" w:color="auto"/>
        <w:bottom w:val="none" w:sz="0" w:space="0" w:color="auto"/>
        <w:right w:val="none" w:sz="0" w:space="0" w:color="auto"/>
      </w:divBdr>
    </w:div>
    <w:div w:id="2105686729">
      <w:bodyDiv w:val="1"/>
      <w:marLeft w:val="0"/>
      <w:marRight w:val="0"/>
      <w:marTop w:val="0"/>
      <w:marBottom w:val="0"/>
      <w:divBdr>
        <w:top w:val="none" w:sz="0" w:space="0" w:color="auto"/>
        <w:left w:val="none" w:sz="0" w:space="0" w:color="auto"/>
        <w:bottom w:val="none" w:sz="0" w:space="0" w:color="auto"/>
        <w:right w:val="none" w:sz="0" w:space="0" w:color="auto"/>
      </w:divBdr>
    </w:div>
    <w:div w:id="2125879511">
      <w:bodyDiv w:val="1"/>
      <w:marLeft w:val="0"/>
      <w:marRight w:val="0"/>
      <w:marTop w:val="0"/>
      <w:marBottom w:val="0"/>
      <w:divBdr>
        <w:top w:val="none" w:sz="0" w:space="0" w:color="auto"/>
        <w:left w:val="none" w:sz="0" w:space="0" w:color="auto"/>
        <w:bottom w:val="none" w:sz="0" w:space="0" w:color="auto"/>
        <w:right w:val="none" w:sz="0" w:space="0" w:color="auto"/>
      </w:divBdr>
    </w:div>
    <w:div w:id="2134397062">
      <w:bodyDiv w:val="1"/>
      <w:marLeft w:val="0"/>
      <w:marRight w:val="0"/>
      <w:marTop w:val="0"/>
      <w:marBottom w:val="0"/>
      <w:divBdr>
        <w:top w:val="none" w:sz="0" w:space="0" w:color="auto"/>
        <w:left w:val="none" w:sz="0" w:space="0" w:color="auto"/>
        <w:bottom w:val="none" w:sz="0" w:space="0" w:color="auto"/>
        <w:right w:val="none" w:sz="0" w:space="0" w:color="auto"/>
      </w:divBdr>
      <w:divsChild>
        <w:div w:id="1558280687">
          <w:marLeft w:val="0"/>
          <w:marRight w:val="0"/>
          <w:marTop w:val="0"/>
          <w:marBottom w:val="0"/>
          <w:divBdr>
            <w:top w:val="none" w:sz="0" w:space="0" w:color="auto"/>
            <w:left w:val="none" w:sz="0" w:space="0" w:color="auto"/>
            <w:bottom w:val="none" w:sz="0" w:space="0" w:color="auto"/>
            <w:right w:val="none" w:sz="0" w:space="0" w:color="auto"/>
          </w:divBdr>
        </w:div>
      </w:divsChild>
    </w:div>
    <w:div w:id="21370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news-room/fact-sheets/detail/asth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linkCAT.eu/contactinformationanddata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linkCAT.eu/wp2-buildingresultsreposi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15B5-8FEC-4F29-AE77-7F67569C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7013</Words>
  <Characters>39977</Characters>
  <Application>Microsoft Office Word</Application>
  <DocSecurity>0</DocSecurity>
  <Lines>333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Divin</dc:creator>
  <cp:keywords/>
  <dc:description/>
  <cp:lastModifiedBy>Loane, Maria</cp:lastModifiedBy>
  <cp:revision>7</cp:revision>
  <cp:lastPrinted>2022-04-04T20:19:00Z</cp:lastPrinted>
  <dcterms:created xsi:type="dcterms:W3CDTF">2023-09-05T10:42:00Z</dcterms:created>
  <dcterms:modified xsi:type="dcterms:W3CDTF">2023-09-11T15:12:00Z</dcterms:modified>
</cp:coreProperties>
</file>