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54AB" w14:textId="77777777" w:rsidR="00654E8F" w:rsidRPr="00407A28" w:rsidRDefault="00654E8F" w:rsidP="0001436A">
      <w:pPr>
        <w:pStyle w:val="SupplementaryMaterial"/>
        <w:rPr>
          <w:b w:val="0"/>
        </w:rPr>
      </w:pPr>
      <w:r w:rsidRPr="00407A28">
        <w:t>Supplementary Material</w:t>
      </w:r>
    </w:p>
    <w:p w14:paraId="57F20323" w14:textId="77777777" w:rsidR="00407A28" w:rsidRPr="00407A28" w:rsidRDefault="00407A28" w:rsidP="00407A28">
      <w:pPr>
        <w:pStyle w:val="Title"/>
      </w:pPr>
      <w:r w:rsidRPr="00407A28">
        <w:t>Delayed acquisition of airway commensals in antibiotic naïve children in rural Ecuador.</w:t>
      </w:r>
    </w:p>
    <w:p w14:paraId="7A6F2968" w14:textId="77777777" w:rsidR="00407A28" w:rsidRPr="00407A28" w:rsidRDefault="00407A28" w:rsidP="00407A28">
      <w:pPr>
        <w:pStyle w:val="AuthorList"/>
        <w:rPr>
          <w:rFonts w:eastAsia="MS Mincho"/>
          <w:vertAlign w:val="superscript"/>
          <w:lang w:eastAsia="es-ES"/>
        </w:rPr>
      </w:pPr>
      <w:r w:rsidRPr="00407A28">
        <w:rPr>
          <w:rFonts w:eastAsia="MS Mincho"/>
          <w:lang w:eastAsia="es-ES"/>
        </w:rPr>
        <w:t>Paul A Cardenas, MD, PhD</w:t>
      </w:r>
      <w:r w:rsidRPr="00407A28">
        <w:rPr>
          <w:rFonts w:eastAsia="MS Mincho"/>
          <w:vertAlign w:val="superscript"/>
          <w:lang w:eastAsia="es-ES"/>
        </w:rPr>
        <w:t>1,2*</w:t>
      </w:r>
      <w:r w:rsidRPr="00407A28">
        <w:rPr>
          <w:rFonts w:eastAsia="MS Mincho"/>
          <w:lang w:eastAsia="es-ES"/>
        </w:rPr>
        <w:t>, Michael J Cox, PhD</w:t>
      </w:r>
      <w:r w:rsidRPr="00407A28">
        <w:rPr>
          <w:rFonts w:eastAsia="MS Mincho"/>
          <w:vertAlign w:val="superscript"/>
          <w:lang w:eastAsia="es-ES"/>
        </w:rPr>
        <w:t>1†</w:t>
      </w:r>
      <w:r w:rsidRPr="00407A28">
        <w:rPr>
          <w:rFonts w:eastAsia="MS Mincho"/>
          <w:lang w:eastAsia="es-ES"/>
        </w:rPr>
        <w:t>, Saffron A Willis-Owen</w:t>
      </w:r>
      <w:r w:rsidRPr="00407A28">
        <w:rPr>
          <w:rFonts w:eastAsia="MS Mincho"/>
          <w:vertAlign w:val="superscript"/>
          <w:lang w:eastAsia="es-ES"/>
        </w:rPr>
        <w:t>1</w:t>
      </w:r>
      <w:r w:rsidRPr="00407A28">
        <w:rPr>
          <w:rFonts w:eastAsia="MS Mincho"/>
          <w:lang w:eastAsia="es-ES"/>
        </w:rPr>
        <w:t>, Miriam F Moffatt, DPhil</w:t>
      </w:r>
      <w:r w:rsidRPr="00407A28">
        <w:rPr>
          <w:rFonts w:eastAsia="MS Mincho"/>
          <w:vertAlign w:val="superscript"/>
          <w:lang w:eastAsia="es-ES"/>
        </w:rPr>
        <w:t>1</w:t>
      </w:r>
      <w:r w:rsidRPr="00407A28">
        <w:rPr>
          <w:rFonts w:eastAsia="MS Mincho"/>
          <w:lang w:eastAsia="es-ES"/>
        </w:rPr>
        <w:t>, William O Cookson, DPhil</w:t>
      </w:r>
      <w:r w:rsidRPr="00407A28">
        <w:rPr>
          <w:rFonts w:eastAsia="MS Mincho"/>
          <w:vertAlign w:val="superscript"/>
          <w:lang w:eastAsia="es-ES"/>
        </w:rPr>
        <w:t>1</w:t>
      </w:r>
      <w:r w:rsidRPr="00407A28">
        <w:rPr>
          <w:rFonts w:eastAsia="MS Mincho"/>
          <w:lang w:eastAsia="es-ES"/>
        </w:rPr>
        <w:t>, Phillip J Cooper, PhD</w:t>
      </w:r>
      <w:r w:rsidRPr="00407A28">
        <w:rPr>
          <w:rFonts w:eastAsia="MS Mincho"/>
          <w:vertAlign w:val="superscript"/>
          <w:lang w:eastAsia="es-ES"/>
        </w:rPr>
        <w:t>3,4</w:t>
      </w:r>
    </w:p>
    <w:p w14:paraId="159476DE" w14:textId="77777777" w:rsidR="00407A28" w:rsidRPr="00407A28" w:rsidRDefault="00407A28" w:rsidP="00407A28">
      <w:pPr>
        <w:rPr>
          <w:b/>
          <w:szCs w:val="24"/>
        </w:rPr>
      </w:pPr>
      <w:r w:rsidRPr="00407A28">
        <w:rPr>
          <w:rFonts w:eastAsia="MS Mincho"/>
          <w:szCs w:val="24"/>
          <w:vertAlign w:val="superscript"/>
          <w:lang w:eastAsia="es-ES"/>
        </w:rPr>
        <w:t>*</w:t>
      </w:r>
      <w:r w:rsidRPr="00407A28">
        <w:rPr>
          <w:b/>
          <w:szCs w:val="24"/>
        </w:rPr>
        <w:t xml:space="preserve">Correspondence: </w:t>
      </w:r>
      <w:r w:rsidRPr="00407A28">
        <w:rPr>
          <w:b/>
          <w:szCs w:val="24"/>
        </w:rPr>
        <w:br/>
      </w:r>
      <w:r w:rsidRPr="00407A28">
        <w:rPr>
          <w:szCs w:val="24"/>
        </w:rPr>
        <w:t>Paul A. Cardenas</w:t>
      </w:r>
      <w:r w:rsidRPr="00407A28">
        <w:rPr>
          <w:szCs w:val="24"/>
        </w:rPr>
        <w:br/>
        <w:t xml:space="preserve">pacardenas@usfq.edu.ec </w:t>
      </w:r>
    </w:p>
    <w:p w14:paraId="29026311" w14:textId="01E11697" w:rsidR="00EA3D3C" w:rsidRPr="00407A28" w:rsidRDefault="00654E8F" w:rsidP="0001436A">
      <w:pPr>
        <w:pStyle w:val="Heading1"/>
      </w:pPr>
      <w:r w:rsidRPr="00407A28">
        <w:t xml:space="preserve">Supplementary </w:t>
      </w:r>
      <w:r w:rsidR="00407A28" w:rsidRPr="00407A28">
        <w:t>methods</w:t>
      </w:r>
    </w:p>
    <w:p w14:paraId="0FEA59E9" w14:textId="77777777" w:rsidR="00407A28" w:rsidRPr="00407A28" w:rsidRDefault="00407A28" w:rsidP="00407A28">
      <w:pPr>
        <w:pStyle w:val="Heading1"/>
        <w:rPr>
          <w:rFonts w:eastAsiaTheme="minorHAnsi"/>
          <w:b w:val="0"/>
        </w:rPr>
      </w:pPr>
      <w:r w:rsidRPr="00407A28">
        <w:rPr>
          <w:rFonts w:eastAsiaTheme="minorHAnsi"/>
          <w:b w:val="0"/>
        </w:rPr>
        <w:t>Bacterial DNA extraction from Throat Swabs:</w:t>
      </w:r>
    </w:p>
    <w:p w14:paraId="2C88004F" w14:textId="39B1B5F2" w:rsidR="00407A28" w:rsidRPr="00407A28" w:rsidRDefault="00407A28" w:rsidP="00407A28">
      <w:pPr>
        <w:pStyle w:val="Heading1"/>
        <w:rPr>
          <w:rFonts w:eastAsiaTheme="minorHAnsi"/>
          <w:b w:val="0"/>
        </w:rPr>
      </w:pPr>
      <w:r w:rsidRPr="00407A28">
        <w:rPr>
          <w:rFonts w:eastAsiaTheme="minorHAnsi"/>
          <w:b w:val="0"/>
        </w:rPr>
        <w:t xml:space="preserve">Bacterial DNA was extracted from the 400 throat swabs using a modified protocol of the commercial </w:t>
      </w:r>
      <w:proofErr w:type="spellStart"/>
      <w:r w:rsidRPr="00407A28">
        <w:rPr>
          <w:rFonts w:eastAsiaTheme="minorHAnsi"/>
          <w:b w:val="0"/>
        </w:rPr>
        <w:t>QIAmp</w:t>
      </w:r>
      <w:proofErr w:type="spellEnd"/>
      <w:r w:rsidRPr="00407A28">
        <w:rPr>
          <w:rFonts w:eastAsiaTheme="minorHAnsi"/>
          <w:b w:val="0"/>
        </w:rPr>
        <w:t xml:space="preserve"> DNA Mini Kit (Qiagen). </w:t>
      </w:r>
    </w:p>
    <w:p w14:paraId="7880A72B" w14:textId="77777777" w:rsidR="00407A28" w:rsidRPr="00407A28" w:rsidRDefault="00407A28" w:rsidP="00407A28">
      <w:pPr>
        <w:pStyle w:val="Heading1"/>
        <w:rPr>
          <w:rFonts w:eastAsiaTheme="minorHAnsi"/>
          <w:b w:val="0"/>
        </w:rPr>
      </w:pPr>
      <w:r w:rsidRPr="00407A28">
        <w:rPr>
          <w:rFonts w:eastAsiaTheme="minorHAnsi"/>
          <w:b w:val="0"/>
        </w:rPr>
        <w:t xml:space="preserve">Each swab head was transferred into a 2 ml microcentrifuge tube, and 432µl TE (Tris EDTA pH 8.0) plus 18µl 4X lysozyme solution was added (4X lysozyme in a concentration of 1000U/µl was prepared from lysozyme stock at 30,000 U/µl Ready-Lyse™ Lysozyme Solution of EPICENTRE, UK). </w:t>
      </w:r>
    </w:p>
    <w:p w14:paraId="7A9A1FF8" w14:textId="5B94D6F4" w:rsidR="00407A28" w:rsidRPr="00407A28" w:rsidRDefault="00407A28" w:rsidP="00407A28">
      <w:pPr>
        <w:pStyle w:val="Heading1"/>
        <w:rPr>
          <w:rFonts w:eastAsiaTheme="minorHAnsi"/>
          <w:b w:val="0"/>
        </w:rPr>
      </w:pPr>
      <w:r w:rsidRPr="00407A28">
        <w:rPr>
          <w:rFonts w:eastAsiaTheme="minorHAnsi"/>
          <w:b w:val="0"/>
        </w:rPr>
        <w:t>Samples were incubated for 1 hour at 37°C to allow improved Gram +</w:t>
      </w:r>
      <w:proofErr w:type="spellStart"/>
      <w:r w:rsidRPr="00407A28">
        <w:rPr>
          <w:rFonts w:eastAsiaTheme="minorHAnsi"/>
          <w:b w:val="0"/>
        </w:rPr>
        <w:t>ve</w:t>
      </w:r>
      <w:proofErr w:type="spellEnd"/>
      <w:r w:rsidRPr="00407A28">
        <w:rPr>
          <w:rFonts w:eastAsiaTheme="minorHAnsi"/>
          <w:b w:val="0"/>
        </w:rPr>
        <w:t xml:space="preserve"> bacterial walls lysis. During this hour, samples were vortexed for 20 seconds at intervals of 15 minutes. Next 30μl of Proteinase K and 450μl of Buffer AL were added to the tube and samples were incubated at 56°C for 30 minutes. To terminate the Proteinase K step, samples were incubated for 5 min at 95°C.</w:t>
      </w:r>
    </w:p>
    <w:p w14:paraId="05C956F9" w14:textId="3CE35B1A" w:rsidR="00407A28" w:rsidRPr="00407A28" w:rsidRDefault="00407A28" w:rsidP="00407A28">
      <w:pPr>
        <w:pStyle w:val="Heading1"/>
        <w:rPr>
          <w:rFonts w:eastAsiaTheme="minorHAnsi"/>
          <w:b w:val="0"/>
        </w:rPr>
      </w:pPr>
      <w:r w:rsidRPr="00407A28">
        <w:rPr>
          <w:rFonts w:eastAsiaTheme="minorHAnsi"/>
          <w:b w:val="0"/>
        </w:rPr>
        <w:t xml:space="preserve">Added 450μl of Ethanol (96–100%) to the sample and vortexed to obtain a homogeneous solution.  This solution was then applied to the </w:t>
      </w:r>
      <w:proofErr w:type="spellStart"/>
      <w:r w:rsidRPr="00407A28">
        <w:rPr>
          <w:rFonts w:eastAsiaTheme="minorHAnsi"/>
          <w:b w:val="0"/>
        </w:rPr>
        <w:t>QIAamp</w:t>
      </w:r>
      <w:proofErr w:type="spellEnd"/>
      <w:r w:rsidRPr="00407A28">
        <w:rPr>
          <w:rFonts w:eastAsiaTheme="minorHAnsi"/>
          <w:b w:val="0"/>
        </w:rPr>
        <w:t xml:space="preserve"> Spin Column as per the manufacturer’s protocol.</w:t>
      </w:r>
    </w:p>
    <w:p w14:paraId="181A34E6" w14:textId="5C69AE10" w:rsidR="00407A28" w:rsidRPr="00407A28" w:rsidRDefault="00407A28" w:rsidP="00407A28">
      <w:pPr>
        <w:pStyle w:val="Heading1"/>
        <w:rPr>
          <w:rFonts w:eastAsiaTheme="minorHAnsi"/>
          <w:b w:val="0"/>
        </w:rPr>
      </w:pPr>
      <w:r w:rsidRPr="00407A28">
        <w:rPr>
          <w:rFonts w:eastAsiaTheme="minorHAnsi"/>
          <w:b w:val="0"/>
        </w:rPr>
        <w:t>In the final step 40μl of nuclease-free water was added instead of the elution buffer supplied by the kit. If the DNA was not being used immediately after extraction, samples were stored at -20°C until required.</w:t>
      </w:r>
    </w:p>
    <w:p w14:paraId="0D94CB8E" w14:textId="6A4D973E" w:rsidR="00407A28" w:rsidRPr="00407A28" w:rsidRDefault="00407A28" w:rsidP="00407A28">
      <w:pPr>
        <w:pStyle w:val="Heading1"/>
        <w:rPr>
          <w:rFonts w:eastAsiaTheme="minorHAnsi"/>
          <w:b w:val="0"/>
        </w:rPr>
      </w:pPr>
      <w:r w:rsidRPr="00407A28">
        <w:rPr>
          <w:rFonts w:eastAsiaTheme="minorHAnsi"/>
          <w:b w:val="0"/>
        </w:rPr>
        <w:t>Pyrosequencing Analysis of the Microbiome</w:t>
      </w:r>
    </w:p>
    <w:p w14:paraId="2051B9FD" w14:textId="51961CB7" w:rsidR="00407A28" w:rsidRPr="00407A28" w:rsidRDefault="00407A28" w:rsidP="00407A28">
      <w:pPr>
        <w:pStyle w:val="Heading1"/>
        <w:rPr>
          <w:rFonts w:eastAsiaTheme="minorHAnsi"/>
          <w:b w:val="0"/>
        </w:rPr>
      </w:pPr>
      <w:r w:rsidRPr="00407A28">
        <w:rPr>
          <w:rFonts w:eastAsiaTheme="minorHAnsi"/>
          <w:b w:val="0"/>
        </w:rPr>
        <w:t>Amplification of the 16S rRNA Gene</w:t>
      </w:r>
    </w:p>
    <w:p w14:paraId="7A58E99C" w14:textId="77777777" w:rsidR="00407A28" w:rsidRPr="00407A28" w:rsidRDefault="00407A28" w:rsidP="00407A28">
      <w:pPr>
        <w:pStyle w:val="Heading1"/>
        <w:rPr>
          <w:rFonts w:eastAsiaTheme="minorHAnsi"/>
          <w:b w:val="0"/>
        </w:rPr>
      </w:pPr>
      <w:r w:rsidRPr="00407A28">
        <w:rPr>
          <w:rFonts w:eastAsiaTheme="minorHAnsi"/>
          <w:b w:val="0"/>
        </w:rPr>
        <w:t>Polymerase chain reaction (PCR) was used to amplify the variable region 3 to 5 of the gene that encodes for 16S rRNA in bacteria. To minimize the PCR nucleotide insertion mistakes, samples were amplified in quadruplicate reactions with 20 cycles each and then pooled.</w:t>
      </w:r>
    </w:p>
    <w:p w14:paraId="4007098C" w14:textId="77777777" w:rsidR="00407A28" w:rsidRPr="00407A28" w:rsidRDefault="00407A28" w:rsidP="00407A28">
      <w:pPr>
        <w:pStyle w:val="Heading1"/>
        <w:rPr>
          <w:rFonts w:eastAsiaTheme="minorHAnsi"/>
          <w:b w:val="0"/>
        </w:rPr>
      </w:pPr>
      <w:r w:rsidRPr="00407A28">
        <w:rPr>
          <w:rFonts w:eastAsiaTheme="minorHAnsi"/>
          <w:b w:val="0"/>
        </w:rPr>
        <w:lastRenderedPageBreak/>
        <w:t>For the PCR, the V3 region of the 16S rRNA gene was amplified using the following conserved primers:</w:t>
      </w:r>
    </w:p>
    <w:p w14:paraId="69060DB5" w14:textId="77777777" w:rsidR="00407A28" w:rsidRPr="00407A28" w:rsidRDefault="00407A28" w:rsidP="00407A28">
      <w:pPr>
        <w:pStyle w:val="Heading1"/>
        <w:rPr>
          <w:rFonts w:eastAsiaTheme="minorHAnsi"/>
          <w:b w:val="0"/>
        </w:rPr>
      </w:pPr>
      <w:r w:rsidRPr="00407A28">
        <w:rPr>
          <w:rFonts w:eastAsiaTheme="minorHAnsi"/>
          <w:b w:val="0"/>
        </w:rPr>
        <w:t>339F (Forward) 5’- CCTACGGGAGGCAGCAG-3'</w:t>
      </w:r>
    </w:p>
    <w:p w14:paraId="2848CE65" w14:textId="77777777" w:rsidR="00407A28" w:rsidRPr="00407A28" w:rsidRDefault="00407A28" w:rsidP="00407A28">
      <w:pPr>
        <w:pStyle w:val="Heading1"/>
        <w:rPr>
          <w:rFonts w:eastAsiaTheme="minorHAnsi"/>
          <w:b w:val="0"/>
        </w:rPr>
      </w:pPr>
      <w:r w:rsidRPr="00407A28">
        <w:rPr>
          <w:rFonts w:eastAsiaTheme="minorHAnsi"/>
          <w:b w:val="0"/>
        </w:rPr>
        <w:t>907R (Reverse) 5'- CCGTCAATTCMTTTRAGT-3’</w:t>
      </w:r>
    </w:p>
    <w:p w14:paraId="0C22B2EA" w14:textId="77777777" w:rsidR="00407A28" w:rsidRPr="00407A28" w:rsidRDefault="00407A28" w:rsidP="004834AC">
      <w:pPr>
        <w:pStyle w:val="Heading1"/>
        <w:numPr>
          <w:ilvl w:val="0"/>
          <w:numId w:val="0"/>
        </w:numPr>
        <w:rPr>
          <w:rFonts w:eastAsiaTheme="minorHAnsi"/>
          <w:b w:val="0"/>
        </w:rPr>
      </w:pPr>
      <w:r w:rsidRPr="00407A28">
        <w:rPr>
          <w:rFonts w:eastAsiaTheme="minorHAnsi"/>
          <w:b w:val="0"/>
        </w:rPr>
        <w:t xml:space="preserve">The Adaptor Sequence in both the reverse and forward primers is 5'- CCATCTCATCCCTGCGTGTCTCCGACTCAG-3’ and is used to link the </w:t>
      </w:r>
      <w:proofErr w:type="spellStart"/>
      <w:r w:rsidRPr="00407A28">
        <w:rPr>
          <w:rFonts w:eastAsiaTheme="minorHAnsi"/>
          <w:b w:val="0"/>
        </w:rPr>
        <w:t>biotynilated</w:t>
      </w:r>
      <w:proofErr w:type="spellEnd"/>
      <w:r w:rsidRPr="00407A28">
        <w:rPr>
          <w:rFonts w:eastAsiaTheme="minorHAnsi"/>
          <w:b w:val="0"/>
        </w:rPr>
        <w:t xml:space="preserve"> 5’ extreme of the amplicon with a single Enzyme bead in the Emulsion PCR further step described below.</w:t>
      </w:r>
    </w:p>
    <w:p w14:paraId="2A3673A8" w14:textId="77777777" w:rsidR="00407A28" w:rsidRPr="00407A28" w:rsidRDefault="00407A28" w:rsidP="00407A28">
      <w:pPr>
        <w:pStyle w:val="Heading1"/>
        <w:rPr>
          <w:rFonts w:eastAsiaTheme="minorHAnsi"/>
          <w:b w:val="0"/>
        </w:rPr>
      </w:pPr>
      <w:r w:rsidRPr="00407A28">
        <w:rPr>
          <w:rFonts w:eastAsiaTheme="minorHAnsi"/>
          <w:b w:val="0"/>
        </w:rPr>
        <w:t>Multiplexing was realized using the MIDs 1-300 according to US Human Microbiome Project barcode sequences (12 nucleotides).</w:t>
      </w:r>
    </w:p>
    <w:p w14:paraId="05FFB3CD" w14:textId="77777777" w:rsidR="00407A28" w:rsidRPr="00407A28" w:rsidRDefault="00407A28" w:rsidP="00407A28">
      <w:pPr>
        <w:pStyle w:val="Heading1"/>
        <w:rPr>
          <w:rFonts w:eastAsiaTheme="minorHAnsi"/>
          <w:b w:val="0"/>
        </w:rPr>
      </w:pPr>
      <w:r w:rsidRPr="00407A28">
        <w:rPr>
          <w:rFonts w:eastAsiaTheme="minorHAnsi"/>
          <w:b w:val="0"/>
        </w:rPr>
        <w:t xml:space="preserve">Reactions with a final volume of 25μl were set up containing: 1μl of template DNA, 2.5μl 10X buffer (Roche Applied Biosystems, UK), 1.3% DMSO, 1 </w:t>
      </w:r>
      <w:proofErr w:type="spellStart"/>
      <w:r w:rsidRPr="00407A28">
        <w:rPr>
          <w:rFonts w:eastAsiaTheme="minorHAnsi"/>
          <w:b w:val="0"/>
        </w:rPr>
        <w:t>μM</w:t>
      </w:r>
      <w:proofErr w:type="spellEnd"/>
      <w:r w:rsidRPr="00407A28">
        <w:rPr>
          <w:rFonts w:eastAsiaTheme="minorHAnsi"/>
          <w:b w:val="0"/>
        </w:rPr>
        <w:t xml:space="preserve"> of each primer (</w:t>
      </w:r>
      <w:proofErr w:type="spellStart"/>
      <w:r w:rsidRPr="00407A28">
        <w:rPr>
          <w:rFonts w:eastAsiaTheme="minorHAnsi"/>
          <w:b w:val="0"/>
        </w:rPr>
        <w:t>μM</w:t>
      </w:r>
      <w:proofErr w:type="spellEnd"/>
      <w:r w:rsidRPr="00407A28">
        <w:rPr>
          <w:rFonts w:eastAsiaTheme="minorHAnsi"/>
          <w:b w:val="0"/>
        </w:rPr>
        <w:t xml:space="preserve">), 0.5μl dNTPs (10 mM each of A, T, C and G) and 1.25 U FastStart </w:t>
      </w:r>
      <w:proofErr w:type="spellStart"/>
      <w:r w:rsidRPr="00407A28">
        <w:rPr>
          <w:rFonts w:eastAsiaTheme="minorHAnsi"/>
          <w:b w:val="0"/>
        </w:rPr>
        <w:t>Hifi</w:t>
      </w:r>
      <w:proofErr w:type="spellEnd"/>
      <w:r w:rsidRPr="00407A28">
        <w:rPr>
          <w:rFonts w:eastAsiaTheme="minorHAnsi"/>
          <w:b w:val="0"/>
        </w:rPr>
        <w:t xml:space="preserve"> Polymerase (Roche Applied Biosystems). The following cycling conditions used were:</w:t>
      </w:r>
    </w:p>
    <w:p w14:paraId="3DA162B0" w14:textId="77777777" w:rsidR="00407A28" w:rsidRPr="00407A28" w:rsidRDefault="00407A28" w:rsidP="00407A28">
      <w:pPr>
        <w:pStyle w:val="Heading1"/>
        <w:rPr>
          <w:rFonts w:eastAsiaTheme="minorHAnsi"/>
          <w:b w:val="0"/>
        </w:rPr>
      </w:pPr>
      <w:r w:rsidRPr="00407A28">
        <w:rPr>
          <w:rFonts w:eastAsiaTheme="minorHAnsi"/>
          <w:b w:val="0"/>
        </w:rPr>
        <w:t xml:space="preserve">Hot start with 92°C for 2 min, </w:t>
      </w:r>
    </w:p>
    <w:p w14:paraId="7353E203" w14:textId="77777777" w:rsidR="00407A28" w:rsidRPr="00407A28" w:rsidRDefault="00407A28" w:rsidP="00407A28">
      <w:pPr>
        <w:pStyle w:val="Heading1"/>
        <w:rPr>
          <w:rFonts w:eastAsiaTheme="minorHAnsi"/>
          <w:b w:val="0"/>
        </w:rPr>
      </w:pPr>
      <w:r w:rsidRPr="00407A28">
        <w:rPr>
          <w:rFonts w:eastAsiaTheme="minorHAnsi"/>
          <w:b w:val="0"/>
        </w:rPr>
        <w:t xml:space="preserve">30 cycles of 94°C for 20s, 50°C for 30s and 72°C for 5min, </w:t>
      </w:r>
    </w:p>
    <w:p w14:paraId="74127264" w14:textId="77777777" w:rsidR="00407A28" w:rsidRPr="00407A28" w:rsidRDefault="00407A28" w:rsidP="00407A28">
      <w:pPr>
        <w:pStyle w:val="Heading1"/>
        <w:rPr>
          <w:rFonts w:eastAsiaTheme="minorHAnsi"/>
          <w:b w:val="0"/>
        </w:rPr>
      </w:pPr>
      <w:r w:rsidRPr="00407A28">
        <w:rPr>
          <w:rFonts w:eastAsiaTheme="minorHAnsi"/>
          <w:b w:val="0"/>
        </w:rPr>
        <w:t>Final hold 4°C.</w:t>
      </w:r>
    </w:p>
    <w:p w14:paraId="02BB565A" w14:textId="77777777" w:rsidR="00407A28" w:rsidRPr="00407A28" w:rsidRDefault="00407A28" w:rsidP="00407A28">
      <w:pPr>
        <w:pStyle w:val="Heading1"/>
        <w:rPr>
          <w:rFonts w:eastAsiaTheme="minorHAnsi"/>
          <w:b w:val="0"/>
        </w:rPr>
      </w:pPr>
      <w:r w:rsidRPr="00407A28">
        <w:rPr>
          <w:rFonts w:eastAsiaTheme="minorHAnsi"/>
          <w:b w:val="0"/>
        </w:rPr>
        <w:t xml:space="preserve">Each sample was amplified by quadruplicated to decrease the PCR nucleotide incorporation errors in the further sequencing. PCR reactions and cycling conditions had previously been optimized within the Molecular Genetics and Genomics Group at the National Heart and Lung Institute. </w:t>
      </w:r>
    </w:p>
    <w:p w14:paraId="67EC5D16" w14:textId="77777777" w:rsidR="00407A28" w:rsidRPr="00407A28" w:rsidRDefault="00407A28" w:rsidP="00407A28">
      <w:pPr>
        <w:pStyle w:val="Heading1"/>
        <w:rPr>
          <w:rFonts w:eastAsiaTheme="minorHAnsi"/>
          <w:b w:val="0"/>
        </w:rPr>
      </w:pPr>
      <w:r w:rsidRPr="00407A28">
        <w:rPr>
          <w:rFonts w:eastAsiaTheme="minorHAnsi"/>
          <w:b w:val="0"/>
        </w:rPr>
        <w:t xml:space="preserve">Amplicon Cleaning </w:t>
      </w:r>
    </w:p>
    <w:p w14:paraId="71BBFD24" w14:textId="1049483D" w:rsidR="00407A28" w:rsidRPr="00407A28" w:rsidRDefault="00407A28" w:rsidP="00407A28">
      <w:pPr>
        <w:pStyle w:val="Heading1"/>
        <w:rPr>
          <w:rFonts w:eastAsiaTheme="minorHAnsi"/>
          <w:b w:val="0"/>
        </w:rPr>
      </w:pPr>
      <w:r w:rsidRPr="00407A28">
        <w:rPr>
          <w:rFonts w:eastAsiaTheme="minorHAnsi"/>
          <w:b w:val="0"/>
        </w:rPr>
        <w:t xml:space="preserve">After the PCR amplifications, amplicons were purified using the </w:t>
      </w:r>
      <w:proofErr w:type="spellStart"/>
      <w:r w:rsidRPr="00407A28">
        <w:rPr>
          <w:rFonts w:eastAsiaTheme="minorHAnsi"/>
          <w:b w:val="0"/>
        </w:rPr>
        <w:t>AMPure</w:t>
      </w:r>
      <w:proofErr w:type="spellEnd"/>
      <w:r w:rsidRPr="00407A28">
        <w:rPr>
          <w:rFonts w:eastAsiaTheme="minorHAnsi"/>
          <w:b w:val="0"/>
        </w:rPr>
        <w:t xml:space="preserve"> XP beads (Roche, UK) to eliminate the primer dimer products and the PCR reaction remnants. For this purpose, I have modified and standardized a protocol of DNA cleaning using 96 wells plates instead of tubes. For this purpose, the Magnetic plate </w:t>
      </w:r>
      <w:proofErr w:type="spellStart"/>
      <w:r w:rsidRPr="00407A28">
        <w:rPr>
          <w:rFonts w:eastAsiaTheme="minorHAnsi"/>
          <w:b w:val="0"/>
        </w:rPr>
        <w:t>Ambion</w:t>
      </w:r>
      <w:proofErr w:type="spellEnd"/>
      <w:r w:rsidRPr="00407A28">
        <w:rPr>
          <w:rFonts w:eastAsiaTheme="minorHAnsi"/>
          <w:b w:val="0"/>
        </w:rPr>
        <w:t>® #AM10027, 96 well round bottom plates Costar® 3367.</w:t>
      </w:r>
    </w:p>
    <w:p w14:paraId="53EB515A" w14:textId="77777777" w:rsidR="00407A28" w:rsidRPr="00407A28" w:rsidRDefault="00407A28" w:rsidP="00407A28">
      <w:pPr>
        <w:pStyle w:val="Heading1"/>
        <w:rPr>
          <w:rFonts w:eastAsiaTheme="minorHAnsi"/>
          <w:b w:val="0"/>
        </w:rPr>
      </w:pPr>
      <w:r w:rsidRPr="00407A28">
        <w:rPr>
          <w:rFonts w:eastAsiaTheme="minorHAnsi"/>
          <w:b w:val="0"/>
        </w:rPr>
        <w:t xml:space="preserve">To purify the desired Amplicon removing smaller PCR products and primers, the ratio 1:1 in relation of </w:t>
      </w:r>
      <w:proofErr w:type="spellStart"/>
      <w:r w:rsidRPr="00407A28">
        <w:rPr>
          <w:rFonts w:eastAsiaTheme="minorHAnsi"/>
          <w:b w:val="0"/>
        </w:rPr>
        <w:t>AMPure</w:t>
      </w:r>
      <w:proofErr w:type="spellEnd"/>
      <w:r w:rsidRPr="00407A28">
        <w:rPr>
          <w:rFonts w:eastAsiaTheme="minorHAnsi"/>
          <w:b w:val="0"/>
        </w:rPr>
        <w:t xml:space="preserve"> beads volume and PCR product was modified for a 0.7:1 ratio. </w:t>
      </w:r>
    </w:p>
    <w:p w14:paraId="059CCC88" w14:textId="5D253E56" w:rsidR="00407A28" w:rsidRPr="00407A28" w:rsidRDefault="00407A28" w:rsidP="00407A28">
      <w:pPr>
        <w:pStyle w:val="Heading1"/>
        <w:rPr>
          <w:rFonts w:eastAsiaTheme="minorHAnsi"/>
          <w:b w:val="0"/>
        </w:rPr>
      </w:pPr>
      <w:r w:rsidRPr="00407A28">
        <w:rPr>
          <w:rFonts w:eastAsiaTheme="minorHAnsi"/>
          <w:b w:val="0"/>
        </w:rPr>
        <w:t xml:space="preserve">At the beginning, the 4 PCR products were pooled and 100 </w:t>
      </w:r>
      <w:proofErr w:type="spellStart"/>
      <w:r w:rsidRPr="00407A28">
        <w:rPr>
          <w:rFonts w:eastAsiaTheme="minorHAnsi"/>
          <w:b w:val="0"/>
        </w:rPr>
        <w:t>μl</w:t>
      </w:r>
      <w:proofErr w:type="spellEnd"/>
      <w:r w:rsidRPr="00407A28">
        <w:rPr>
          <w:rFonts w:eastAsiaTheme="minorHAnsi"/>
          <w:b w:val="0"/>
        </w:rPr>
        <w:t xml:space="preserve"> transferred into the round bottom plate. The </w:t>
      </w:r>
      <w:proofErr w:type="spellStart"/>
      <w:r w:rsidRPr="00407A28">
        <w:rPr>
          <w:rFonts w:eastAsiaTheme="minorHAnsi"/>
          <w:b w:val="0"/>
        </w:rPr>
        <w:t>AMPure</w:t>
      </w:r>
      <w:proofErr w:type="spellEnd"/>
      <w:r w:rsidRPr="00407A28">
        <w:rPr>
          <w:rFonts w:eastAsiaTheme="minorHAnsi"/>
          <w:b w:val="0"/>
        </w:rPr>
        <w:t xml:space="preserve"> bead bottle was vortexed for 20 seconds (or until the beads are entirely resuspended), and 70 </w:t>
      </w:r>
      <w:proofErr w:type="spellStart"/>
      <w:r w:rsidRPr="00407A28">
        <w:rPr>
          <w:rFonts w:eastAsiaTheme="minorHAnsi"/>
          <w:b w:val="0"/>
        </w:rPr>
        <w:t>μl</w:t>
      </w:r>
      <w:proofErr w:type="spellEnd"/>
      <w:r w:rsidRPr="00407A28">
        <w:rPr>
          <w:rFonts w:eastAsiaTheme="minorHAnsi"/>
          <w:b w:val="0"/>
        </w:rPr>
        <w:t xml:space="preserve"> of </w:t>
      </w:r>
      <w:proofErr w:type="spellStart"/>
      <w:r w:rsidRPr="00407A28">
        <w:rPr>
          <w:rFonts w:eastAsiaTheme="minorHAnsi"/>
          <w:b w:val="0"/>
        </w:rPr>
        <w:t>AMPure</w:t>
      </w:r>
      <w:proofErr w:type="spellEnd"/>
      <w:r w:rsidRPr="00407A28">
        <w:rPr>
          <w:rFonts w:eastAsiaTheme="minorHAnsi"/>
          <w:b w:val="0"/>
        </w:rPr>
        <w:t xml:space="preserve"> beads were transferred to each well, mixing thoroughly by pipetting up and down at least 12 times until the mixture was homogeneous.</w:t>
      </w:r>
    </w:p>
    <w:p w14:paraId="6B5F20EC" w14:textId="0FA403CB" w:rsidR="00407A28" w:rsidRPr="00407A28" w:rsidRDefault="00407A28" w:rsidP="00407A28">
      <w:pPr>
        <w:pStyle w:val="Heading1"/>
        <w:rPr>
          <w:rFonts w:eastAsiaTheme="minorHAnsi"/>
          <w:b w:val="0"/>
        </w:rPr>
      </w:pPr>
      <w:r w:rsidRPr="00407A28">
        <w:rPr>
          <w:rFonts w:eastAsiaTheme="minorHAnsi"/>
          <w:b w:val="0"/>
        </w:rPr>
        <w:t xml:space="preserve">Plates were incubated for 10 min at room temperature and then placed on the 96-well magnetic stand for 5 min until the beads were in the bottom and the supernatant removed. The beads were washed twice with 100 </w:t>
      </w:r>
      <w:proofErr w:type="spellStart"/>
      <w:r w:rsidRPr="00407A28">
        <w:rPr>
          <w:rFonts w:eastAsiaTheme="minorHAnsi"/>
          <w:b w:val="0"/>
        </w:rPr>
        <w:t>μl</w:t>
      </w:r>
      <w:proofErr w:type="spellEnd"/>
      <w:r w:rsidRPr="00407A28">
        <w:rPr>
          <w:rFonts w:eastAsiaTheme="minorHAnsi"/>
          <w:b w:val="0"/>
        </w:rPr>
        <w:t xml:space="preserve"> of 70% ethanol on each well. Plates were then incubated at </w:t>
      </w:r>
      <w:r w:rsidRPr="00407A28">
        <w:rPr>
          <w:rFonts w:eastAsiaTheme="minorHAnsi"/>
          <w:b w:val="0"/>
        </w:rPr>
        <w:lastRenderedPageBreak/>
        <w:t xml:space="preserve">room temperature placed in the magnetic stand until all pellets were completely dry (10-20 min). After this time, they were resuspended on 50 </w:t>
      </w:r>
      <w:proofErr w:type="spellStart"/>
      <w:r w:rsidRPr="00407A28">
        <w:rPr>
          <w:rFonts w:eastAsiaTheme="minorHAnsi"/>
          <w:b w:val="0"/>
        </w:rPr>
        <w:t>μl</w:t>
      </w:r>
      <w:proofErr w:type="spellEnd"/>
      <w:r w:rsidRPr="00407A28">
        <w:rPr>
          <w:rFonts w:eastAsiaTheme="minorHAnsi"/>
          <w:b w:val="0"/>
        </w:rPr>
        <w:t xml:space="preserve"> of 1x TE on each well, and the supernatant with the DNA was transferred into a new plate and stored at -15 to -25ºC until the quantitation step.</w:t>
      </w:r>
    </w:p>
    <w:p w14:paraId="3B7EDB52" w14:textId="77777777" w:rsidR="00407A28" w:rsidRPr="00407A28" w:rsidRDefault="00407A28" w:rsidP="00407A28">
      <w:pPr>
        <w:pStyle w:val="Heading1"/>
        <w:rPr>
          <w:rFonts w:eastAsiaTheme="minorHAnsi"/>
          <w:b w:val="0"/>
        </w:rPr>
      </w:pPr>
      <w:r w:rsidRPr="00407A28">
        <w:rPr>
          <w:rFonts w:eastAsiaTheme="minorHAnsi"/>
          <w:b w:val="0"/>
        </w:rPr>
        <w:t>DNA quantification</w:t>
      </w:r>
    </w:p>
    <w:p w14:paraId="0CB0ADB0" w14:textId="2EB2065F" w:rsidR="00407A28" w:rsidRPr="00407A28" w:rsidRDefault="00407A28" w:rsidP="00407A28">
      <w:pPr>
        <w:pStyle w:val="Heading1"/>
        <w:rPr>
          <w:rFonts w:eastAsiaTheme="minorHAnsi"/>
          <w:b w:val="0"/>
        </w:rPr>
      </w:pPr>
      <w:r w:rsidRPr="00407A28">
        <w:rPr>
          <w:rFonts w:eastAsiaTheme="minorHAnsi"/>
          <w:b w:val="0"/>
        </w:rPr>
        <w:t>DNA was quantified twice during the protocol, firstly after the 16SrRNA PCR and cleaning, and after the samples pooling (library creation). On both, it was used the Quant-</w:t>
      </w:r>
      <w:proofErr w:type="spellStart"/>
      <w:r w:rsidRPr="00407A28">
        <w:rPr>
          <w:rFonts w:eastAsiaTheme="minorHAnsi"/>
          <w:b w:val="0"/>
        </w:rPr>
        <w:t>iT</w:t>
      </w:r>
      <w:proofErr w:type="spellEnd"/>
      <w:r w:rsidRPr="00407A28">
        <w:rPr>
          <w:rFonts w:eastAsiaTheme="minorHAnsi"/>
          <w:b w:val="0"/>
        </w:rPr>
        <w:t xml:space="preserve"> </w:t>
      </w:r>
      <w:proofErr w:type="spellStart"/>
      <w:r w:rsidRPr="00407A28">
        <w:rPr>
          <w:rFonts w:eastAsiaTheme="minorHAnsi"/>
          <w:b w:val="0"/>
        </w:rPr>
        <w:t>PicoGreen</w:t>
      </w:r>
      <w:proofErr w:type="spellEnd"/>
      <w:r w:rsidRPr="00407A28">
        <w:rPr>
          <w:rFonts w:eastAsiaTheme="minorHAnsi"/>
          <w:b w:val="0"/>
        </w:rPr>
        <w:t xml:space="preserve"> dsDNA Assay Kit® from Life Technologies™.</w:t>
      </w:r>
    </w:p>
    <w:p w14:paraId="7103E4B1" w14:textId="77777777" w:rsidR="00407A28" w:rsidRPr="00407A28" w:rsidRDefault="00407A28" w:rsidP="00407A28">
      <w:pPr>
        <w:pStyle w:val="Heading1"/>
        <w:rPr>
          <w:rFonts w:eastAsiaTheme="minorHAnsi"/>
          <w:b w:val="0"/>
        </w:rPr>
      </w:pPr>
      <w:r w:rsidRPr="00407A28">
        <w:rPr>
          <w:rFonts w:eastAsiaTheme="minorHAnsi"/>
          <w:b w:val="0"/>
        </w:rPr>
        <w:t xml:space="preserve">At the beginning, using the provided </w:t>
      </w:r>
      <w:proofErr w:type="spellStart"/>
      <w:r w:rsidRPr="00407A28">
        <w:rPr>
          <w:rFonts w:eastAsiaTheme="minorHAnsi"/>
          <w:b w:val="0"/>
        </w:rPr>
        <w:t>PicoGreen</w:t>
      </w:r>
      <w:proofErr w:type="spellEnd"/>
      <w:r w:rsidRPr="00407A28">
        <w:rPr>
          <w:rFonts w:eastAsiaTheme="minorHAnsi"/>
          <w:b w:val="0"/>
        </w:rPr>
        <w:t xml:space="preserve"> reagent (100 ng/</w:t>
      </w:r>
      <w:proofErr w:type="spellStart"/>
      <w:r w:rsidRPr="00407A28">
        <w:rPr>
          <w:rFonts w:eastAsiaTheme="minorHAnsi"/>
          <w:b w:val="0"/>
        </w:rPr>
        <w:t>μl</w:t>
      </w:r>
      <w:proofErr w:type="spellEnd"/>
      <w:r w:rsidRPr="00407A28">
        <w:rPr>
          <w:rFonts w:eastAsiaTheme="minorHAnsi"/>
          <w:b w:val="0"/>
        </w:rPr>
        <w:t>) there were created 8 standard tubes at a decreasing DNA concentration: 100 ng, 50 ng, 25 ng, 12.5 ng, 6.25 ng, 3.13 ng, 1.56 ng and 0.0 ng. Standards were plated by duplicate on the 96-well black fluorometer plates.</w:t>
      </w:r>
    </w:p>
    <w:p w14:paraId="3D695D80" w14:textId="0E59E70C" w:rsidR="00407A28" w:rsidRPr="00407A28" w:rsidRDefault="00407A28" w:rsidP="00407A28">
      <w:pPr>
        <w:pStyle w:val="Heading1"/>
        <w:rPr>
          <w:rFonts w:eastAsiaTheme="minorHAnsi"/>
          <w:b w:val="0"/>
        </w:rPr>
      </w:pPr>
      <w:r w:rsidRPr="00407A28">
        <w:rPr>
          <w:rFonts w:eastAsiaTheme="minorHAnsi"/>
          <w:b w:val="0"/>
        </w:rPr>
        <w:t xml:space="preserve">One microliter of each sample was diluted in 99 µl of TE and pipetted on the 96-well black fluorometer plates. Both on the sample’s wells and standards a solution of 1:200 dilution of </w:t>
      </w:r>
      <w:proofErr w:type="spellStart"/>
      <w:r w:rsidRPr="00407A28">
        <w:rPr>
          <w:rFonts w:eastAsiaTheme="minorHAnsi"/>
          <w:b w:val="0"/>
        </w:rPr>
        <w:t>PicoGreen</w:t>
      </w:r>
      <w:proofErr w:type="spellEnd"/>
      <w:r w:rsidRPr="00407A28">
        <w:rPr>
          <w:rFonts w:eastAsiaTheme="minorHAnsi"/>
          <w:b w:val="0"/>
        </w:rPr>
        <w:t xml:space="preserve"> reagent was added prior measuring. The samples were excited at 480 nm and the fluorescence emission intensity was measured at 520 nm using a spectrofluorometer. </w:t>
      </w:r>
    </w:p>
    <w:p w14:paraId="0E34D371" w14:textId="77777777" w:rsidR="00407A28" w:rsidRPr="00407A28" w:rsidRDefault="00407A28" w:rsidP="00407A28">
      <w:pPr>
        <w:pStyle w:val="Heading1"/>
        <w:rPr>
          <w:rFonts w:eastAsiaTheme="minorHAnsi"/>
          <w:b w:val="0"/>
        </w:rPr>
      </w:pPr>
      <w:r w:rsidRPr="00407A28">
        <w:rPr>
          <w:rFonts w:eastAsiaTheme="minorHAnsi"/>
          <w:b w:val="0"/>
        </w:rPr>
        <w:t>It was verified each time that the R2 value of the standard curve is at least 0.98. To calculate each sample’s DNA concentration, the value of curve equation obtained was used. From each measure when y = ax + b, the fluorometry value of each sample was subtracted from b and divided to a.</w:t>
      </w:r>
    </w:p>
    <w:p w14:paraId="6E76BA1E" w14:textId="06D87ACA" w:rsidR="00407A28" w:rsidRPr="00407A28" w:rsidRDefault="00407A28" w:rsidP="00407A28">
      <w:pPr>
        <w:pStyle w:val="Heading1"/>
        <w:rPr>
          <w:rFonts w:eastAsiaTheme="minorHAnsi"/>
          <w:b w:val="0"/>
        </w:rPr>
      </w:pPr>
      <w:r w:rsidRPr="00407A28">
        <w:rPr>
          <w:rFonts w:eastAsiaTheme="minorHAnsi"/>
          <w:b w:val="0"/>
        </w:rPr>
        <w:t>Pyrosequencing</w:t>
      </w:r>
    </w:p>
    <w:p w14:paraId="5BCF0FFA" w14:textId="77777777" w:rsidR="00407A28" w:rsidRPr="00407A28" w:rsidRDefault="00407A28" w:rsidP="00407A28">
      <w:pPr>
        <w:pStyle w:val="Heading1"/>
        <w:rPr>
          <w:rFonts w:eastAsiaTheme="minorHAnsi"/>
          <w:b w:val="0"/>
        </w:rPr>
      </w:pPr>
      <w:r w:rsidRPr="00407A28">
        <w:rPr>
          <w:rFonts w:eastAsiaTheme="minorHAnsi"/>
          <w:b w:val="0"/>
        </w:rPr>
        <w:t xml:space="preserve">After getting the Amplicon libraries they were quantified using Quant-it </w:t>
      </w:r>
      <w:proofErr w:type="spellStart"/>
      <w:r w:rsidRPr="00407A28">
        <w:rPr>
          <w:rFonts w:eastAsiaTheme="minorHAnsi"/>
          <w:b w:val="0"/>
        </w:rPr>
        <w:t>Picogreen</w:t>
      </w:r>
      <w:proofErr w:type="spellEnd"/>
      <w:r w:rsidRPr="00407A28">
        <w:rPr>
          <w:rFonts w:eastAsiaTheme="minorHAnsi"/>
          <w:b w:val="0"/>
        </w:rPr>
        <w:t xml:space="preserve"> dsDNA Assay Kit according to the manufacturer protocols (www.454.com). The number of molecules per </w:t>
      </w:r>
      <w:proofErr w:type="spellStart"/>
      <w:r w:rsidRPr="00407A28">
        <w:rPr>
          <w:rFonts w:eastAsiaTheme="minorHAnsi"/>
          <w:b w:val="0"/>
        </w:rPr>
        <w:t>μL</w:t>
      </w:r>
      <w:proofErr w:type="spellEnd"/>
      <w:r w:rsidRPr="00407A28">
        <w:rPr>
          <w:rFonts w:eastAsiaTheme="minorHAnsi"/>
          <w:b w:val="0"/>
        </w:rPr>
        <w:t xml:space="preserve"> was calculated using the following formula:</w:t>
      </w:r>
    </w:p>
    <w:p w14:paraId="194EF7EE" w14:textId="46BA1870" w:rsidR="00407A28" w:rsidRPr="00407A28" w:rsidRDefault="00407A28" w:rsidP="00FC5D46">
      <w:pPr>
        <w:pStyle w:val="Heading1"/>
        <w:rPr>
          <w:rFonts w:eastAsiaTheme="minorHAnsi"/>
          <w:b w:val="0"/>
        </w:rPr>
      </w:pPr>
      <w:r w:rsidRPr="00407A28">
        <w:rPr>
          <w:rFonts w:eastAsiaTheme="minorHAnsi"/>
          <w:b w:val="0"/>
        </w:rPr>
        <w:t xml:space="preserve"> Subsequently amplicons were diluted separately to 1x109 molecules/</w:t>
      </w:r>
      <w:proofErr w:type="spellStart"/>
      <w:r w:rsidRPr="00407A28">
        <w:rPr>
          <w:rFonts w:eastAsiaTheme="minorHAnsi"/>
          <w:b w:val="0"/>
        </w:rPr>
        <w:t>μL</w:t>
      </w:r>
      <w:proofErr w:type="spellEnd"/>
      <w:r w:rsidRPr="00407A28">
        <w:rPr>
          <w:rFonts w:eastAsiaTheme="minorHAnsi"/>
          <w:b w:val="0"/>
        </w:rPr>
        <w:t xml:space="preserve"> in 1x TE Buffer. Then, samples were pooled in a work solution with every sample containing the same number of molecules per </w:t>
      </w:r>
      <w:proofErr w:type="spellStart"/>
      <w:r w:rsidRPr="00407A28">
        <w:rPr>
          <w:rFonts w:eastAsiaTheme="minorHAnsi"/>
          <w:b w:val="0"/>
        </w:rPr>
        <w:t>μL</w:t>
      </w:r>
      <w:proofErr w:type="spellEnd"/>
      <w:r w:rsidRPr="00407A28">
        <w:rPr>
          <w:rFonts w:eastAsiaTheme="minorHAnsi"/>
          <w:b w:val="0"/>
        </w:rPr>
        <w:t>. During the Emulsion PCR prior pyrosequencing, it was calculated a maximum of 0.5 molecules of amplicon per bead to avoid over-enrichment using the following formula:</w:t>
      </w:r>
    </w:p>
    <w:p w14:paraId="21161C64" w14:textId="09A49314" w:rsidR="00407A28" w:rsidRPr="00407A28" w:rsidRDefault="00407A28" w:rsidP="00CF4B68">
      <w:pPr>
        <w:pStyle w:val="Heading1"/>
        <w:rPr>
          <w:rFonts w:eastAsiaTheme="minorHAnsi"/>
          <w:b w:val="0"/>
        </w:rPr>
      </w:pPr>
      <w:r w:rsidRPr="00407A28">
        <w:rPr>
          <w:rFonts w:eastAsiaTheme="minorHAnsi"/>
          <w:b w:val="0"/>
        </w:rPr>
        <w:t xml:space="preserve">Emulsion PCR was carried on using the pooled amplicons using the Enzyme beads linked to the adaptor sequences of amplicons. To obtain better results during the emulsion amplification the master mix used was modified from the Roche’s manual: Mol. Bio. Grade Water 397.5 µl, Additive 515 µl, Amp Mix 282.5 µl, Amp Primer 80 µl, Enzyme Mix 70 µl, </w:t>
      </w:r>
      <w:proofErr w:type="spellStart"/>
      <w:r w:rsidRPr="00407A28">
        <w:rPr>
          <w:rFonts w:eastAsiaTheme="minorHAnsi"/>
          <w:b w:val="0"/>
        </w:rPr>
        <w:t>PPiase</w:t>
      </w:r>
      <w:proofErr w:type="spellEnd"/>
      <w:r w:rsidRPr="00407A28">
        <w:rPr>
          <w:rFonts w:eastAsiaTheme="minorHAnsi"/>
          <w:b w:val="0"/>
        </w:rPr>
        <w:t xml:space="preserve"> 2 µl on a total volume of 1347 µl.</w:t>
      </w:r>
    </w:p>
    <w:p w14:paraId="684BF67A" w14:textId="7C3B6690" w:rsidR="00407A28" w:rsidRPr="00407A28" w:rsidRDefault="00407A28" w:rsidP="00407A28">
      <w:pPr>
        <w:pStyle w:val="Heading1"/>
        <w:rPr>
          <w:rFonts w:eastAsiaTheme="minorHAnsi"/>
          <w:b w:val="0"/>
        </w:rPr>
      </w:pPr>
      <w:r w:rsidRPr="00407A28">
        <w:rPr>
          <w:rFonts w:eastAsiaTheme="minorHAnsi"/>
          <w:b w:val="0"/>
        </w:rPr>
        <w:t xml:space="preserve">Beads containing the sample DNA were captured using a vacuum pump and cleaned from the emulsion oil using isopropanol, ethanol, and, finally, the enhancing buffer provided on the kit. Only the beads ligated to an amplicon were revered using magnetic filtering. The success of this step was validated by quantifying the number of beads that had DNA ligated; only if the </w:t>
      </w:r>
      <w:r w:rsidRPr="00407A28">
        <w:rPr>
          <w:rFonts w:eastAsiaTheme="minorHAnsi"/>
          <w:b w:val="0"/>
        </w:rPr>
        <w:lastRenderedPageBreak/>
        <w:t>result was around 500,000 beads (using the beads counter provided by Roche), it proceeded with the next steps.</w:t>
      </w:r>
    </w:p>
    <w:p w14:paraId="03EAA0FE" w14:textId="18C46641" w:rsidR="00407A28" w:rsidRPr="00407A28" w:rsidRDefault="00407A28" w:rsidP="00407A28">
      <w:pPr>
        <w:pStyle w:val="Heading1"/>
      </w:pPr>
      <w:r w:rsidRPr="00407A28">
        <w:rPr>
          <w:rFonts w:eastAsiaTheme="minorHAnsi"/>
          <w:b w:val="0"/>
        </w:rPr>
        <w:t xml:space="preserve">During sequencing, the 454 technology uses Enzyme Beads (containing sulfurylase and luciferase) placed onto a </w:t>
      </w:r>
      <w:proofErr w:type="spellStart"/>
      <w:r w:rsidRPr="00407A28">
        <w:rPr>
          <w:rFonts w:eastAsiaTheme="minorHAnsi"/>
          <w:b w:val="0"/>
        </w:rPr>
        <w:t>PicoTiterPlate</w:t>
      </w:r>
      <w:proofErr w:type="spellEnd"/>
      <w:r w:rsidRPr="00407A28">
        <w:rPr>
          <w:rFonts w:eastAsiaTheme="minorHAnsi"/>
          <w:b w:val="0"/>
        </w:rPr>
        <w:t xml:space="preserve"> device to ensure that the DNA remains positioned in the wells during the sequencing reaction. The DNA ligated to the beads was sequenced using the GS Junior Titanium machine of 454 Roche pyrosequencing technologies.</w:t>
      </w:r>
    </w:p>
    <w:p w14:paraId="35A0E731" w14:textId="77777777" w:rsidR="00407A28" w:rsidRDefault="00654E8F" w:rsidP="00407A28">
      <w:pPr>
        <w:pStyle w:val="Heading1"/>
      </w:pPr>
      <w:r w:rsidRPr="00407A28">
        <w:t>Supplementary Figures and Tables</w:t>
      </w:r>
    </w:p>
    <w:p w14:paraId="64A436F4" w14:textId="1B375ABE" w:rsidR="00407A28" w:rsidRPr="00407A28" w:rsidRDefault="00407A28" w:rsidP="00407A28">
      <w:pPr>
        <w:pStyle w:val="Heading1"/>
        <w:rPr>
          <w:b w:val="0"/>
          <w:bCs/>
        </w:rPr>
      </w:pPr>
      <w:r w:rsidRPr="00407A28">
        <w:rPr>
          <w:rFonts w:ascii="Calibri" w:hAnsi="Calibri" w:cs="Calibri"/>
          <w:b w:val="0"/>
          <w:bCs/>
        </w:rPr>
        <w:t>Statistical packages used</w:t>
      </w:r>
    </w:p>
    <w:p w14:paraId="5FB484A9" w14:textId="316D4F06" w:rsidR="00407A28" w:rsidRPr="00407A28" w:rsidRDefault="00407A28" w:rsidP="00407A28">
      <w:pPr>
        <w:pStyle w:val="Heading1"/>
        <w:rPr>
          <w:b w:val="0"/>
          <w:bCs/>
        </w:rPr>
      </w:pPr>
      <w:r w:rsidRPr="00407A28">
        <w:rPr>
          <w:b w:val="0"/>
          <w:bCs/>
        </w:rPr>
        <w:t>P</w:t>
      </w:r>
      <w:r w:rsidRPr="00407A28">
        <w:rPr>
          <w:b w:val="0"/>
          <w:bCs/>
          <w:i/>
          <w:iCs/>
        </w:rPr>
        <w:t xml:space="preserve">icante (R tools for integrating phylogenies and </w:t>
      </w:r>
      <w:proofErr w:type="spellStart"/>
      <w:r w:rsidRPr="00407A28">
        <w:rPr>
          <w:b w:val="0"/>
          <w:bCs/>
          <w:i/>
          <w:iCs/>
        </w:rPr>
        <w:t>ecologie</w:t>
      </w:r>
      <w:proofErr w:type="spellEnd"/>
      <w:r w:rsidRPr="00407A28">
        <w:rPr>
          <w:b w:val="0"/>
          <w:bCs/>
          <w:i/>
          <w:iCs/>
        </w:rPr>
        <w:t xml:space="preserve">), ggplot2 (graphical tool), </w:t>
      </w:r>
      <w:proofErr w:type="spellStart"/>
      <w:r w:rsidRPr="00407A28">
        <w:rPr>
          <w:b w:val="0"/>
          <w:bCs/>
          <w:i/>
          <w:iCs/>
        </w:rPr>
        <w:t>plyr</w:t>
      </w:r>
      <w:proofErr w:type="spellEnd"/>
      <w:r w:rsidRPr="00407A28">
        <w:rPr>
          <w:b w:val="0"/>
          <w:bCs/>
          <w:i/>
          <w:iCs/>
        </w:rPr>
        <w:t xml:space="preserve"> (tools for splitting, applying and combining data), </w:t>
      </w:r>
      <w:proofErr w:type="spellStart"/>
      <w:r w:rsidRPr="00407A28">
        <w:rPr>
          <w:b w:val="0"/>
          <w:bCs/>
          <w:i/>
          <w:iCs/>
        </w:rPr>
        <w:t>Biostrings</w:t>
      </w:r>
      <w:proofErr w:type="spellEnd"/>
      <w:r w:rsidRPr="00407A28">
        <w:rPr>
          <w:b w:val="0"/>
          <w:bCs/>
          <w:i/>
          <w:iCs/>
        </w:rPr>
        <w:t xml:space="preserve"> (string objects representing biological sequences and matching algorithms) </w:t>
      </w:r>
      <w:r w:rsidRPr="00407A28">
        <w:rPr>
          <w:b w:val="0"/>
          <w:bCs/>
        </w:rPr>
        <w:fldChar w:fldCharType="begin"/>
      </w:r>
      <w:r w:rsidRPr="00407A28">
        <w:rPr>
          <w:b w:val="0"/>
          <w:bCs/>
          <w:i/>
          <w:iCs/>
        </w:rPr>
        <w:instrText xml:space="preserve"> ADDIN EN.CITE &lt;EndNote&gt;&lt;Cite&gt;&lt;Author&gt;Pages&lt;/Author&gt;&lt;RecNum&gt;23&lt;/RecNum&gt;&lt;DisplayText&gt;(24)&lt;/DisplayText&gt;&lt;record&gt;&lt;rec-number&gt;23&lt;/rec-number&gt;&lt;foreign-keys&gt;&lt;key app="EN" db-id="ztzdzs9079tezle50wgxsztipvz0ep5d2epv" timestamp="1517413512"&gt;23&lt;/key&gt;&lt;/foreign-keys&gt;&lt;ref-type name="Electronic Article"&gt;43&lt;/ref-type&gt;&lt;contributors&gt;&lt;authors&gt;&lt;author&gt;Pages, H. &lt;/author&gt;&lt;author&gt;Aboyoun, P. &lt;/author&gt;&lt;author&gt;Gentleman, R. &lt;/author&gt;&lt;author&gt;DebRoy, S. &lt;/author&gt;&lt;/authors&gt;&lt;/contributors&gt;&lt;titles&gt;&lt;title&gt;Biostrings: String objects representing biological sequences, and matching algorithms&lt;/title&gt;&lt;/titles&gt;&lt;dates&gt;&lt;/dates&gt;&lt;publisher&gt;R package version 2.30.1&lt;/publisher&gt;&lt;urls&gt;&lt;/urls&gt;&lt;/record&gt;&lt;/Cite&gt;&lt;/EndNote&gt;</w:instrText>
      </w:r>
      <w:r w:rsidRPr="00407A28">
        <w:rPr>
          <w:b w:val="0"/>
          <w:bCs/>
        </w:rPr>
        <w:fldChar w:fldCharType="separate"/>
      </w:r>
      <w:r w:rsidRPr="00407A28">
        <w:rPr>
          <w:b w:val="0"/>
          <w:bCs/>
          <w:i/>
          <w:iCs/>
        </w:rPr>
        <w:t>(24)</w:t>
      </w:r>
      <w:r w:rsidRPr="00407A28">
        <w:rPr>
          <w:b w:val="0"/>
          <w:bCs/>
        </w:rPr>
        <w:fldChar w:fldCharType="end"/>
      </w:r>
      <w:r w:rsidRPr="00407A28">
        <w:rPr>
          <w:b w:val="0"/>
          <w:bCs/>
          <w:i/>
          <w:iCs/>
        </w:rPr>
        <w:t xml:space="preserve">, vegan (community ecology package) </w:t>
      </w:r>
      <w:r w:rsidRPr="00407A28">
        <w:rPr>
          <w:b w:val="0"/>
          <w:bCs/>
        </w:rPr>
        <w:fldChar w:fldCharType="begin"/>
      </w:r>
      <w:r w:rsidRPr="00407A28">
        <w:rPr>
          <w:b w:val="0"/>
          <w:bCs/>
          <w:i/>
          <w:iCs/>
        </w:rPr>
        <w:instrText xml:space="preserve"> ADDIN EN.CITE &lt;EndNote&gt;&lt;Cite&gt;&lt;Author&gt;Dixon&lt;/Author&gt;&lt;Year&gt;2003&lt;/Year&gt;&lt;RecNum&gt;24&lt;/RecNum&gt;&lt;DisplayText&gt;(25)&lt;/DisplayText&gt;&lt;record&gt;&lt;rec-number&gt;24&lt;/rec-number&gt;&lt;foreign-keys&gt;&lt;key app="EN" db-id="ztzdzs9079tezle50wgxsztipvz0ep5d2epv" timestamp="1517413512"&gt;24&lt;/key&gt;&lt;/foreign-keys&gt;&lt;ref-type name="Journal Article"&gt;17&lt;/ref-type&gt;&lt;contributors&gt;&lt;authors&gt;&lt;author&gt;Dixon, Philip&lt;/author&gt;&lt;/authors&gt;&lt;/contributors&gt;&lt;titles&gt;&lt;title&gt;VEGAN, a package of R functions for community ecology&lt;/title&gt;&lt;secondary-title&gt;Journal of Vegetation Science&lt;/secondary-title&gt;&lt;/titles&gt;&lt;periodical&gt;&lt;full-title&gt;Journal of Vegetation Science&lt;/full-title&gt;&lt;/periodical&gt;&lt;pages&gt;927-930&lt;/pages&gt;&lt;volume&gt;14&lt;/volume&gt;&lt;number&gt;6&lt;/number&gt;&lt;keywords&gt;&lt;keyword&gt;ANOSIM&lt;/keyword&gt;&lt;keyword&gt;Mantel test&lt;/keyword&gt;&lt;keyword&gt;Multidimensional scaling&lt;/keyword&gt;&lt;keyword&gt;Ordination&lt;/keyword&gt;&lt;keyword&gt;Procrustes rotation&lt;/keyword&gt;&lt;/keywords&gt;&lt;dates&gt;&lt;year&gt;2003&lt;/year&gt;&lt;/dates&gt;&lt;publisher&gt;Blackwell Publishing Ltd&lt;/publisher&gt;&lt;isbn&gt;1654-1103&lt;/isbn&gt;&lt;urls&gt;&lt;related-urls&gt;&lt;url&gt;http://dx.doi.org/10.1111/j.1654-1103.2003.tb02228.x&lt;/url&gt;&lt;/related-urls&gt;&lt;/urls&gt;&lt;electronic-resource-num&gt;10.1111/j.1654-1103.2003.tb02228.x&lt;/electronic-resource-num&gt;&lt;/record&gt;&lt;/Cite&gt;&lt;/EndNote&gt;</w:instrText>
      </w:r>
      <w:r w:rsidRPr="00407A28">
        <w:rPr>
          <w:b w:val="0"/>
          <w:bCs/>
        </w:rPr>
        <w:fldChar w:fldCharType="separate"/>
      </w:r>
      <w:r w:rsidRPr="00407A28">
        <w:rPr>
          <w:b w:val="0"/>
          <w:bCs/>
          <w:i/>
          <w:iCs/>
        </w:rPr>
        <w:t>(25)</w:t>
      </w:r>
      <w:r w:rsidRPr="00407A28">
        <w:rPr>
          <w:b w:val="0"/>
          <w:bCs/>
        </w:rPr>
        <w:fldChar w:fldCharType="end"/>
      </w:r>
      <w:r w:rsidRPr="00407A28">
        <w:rPr>
          <w:b w:val="0"/>
          <w:bCs/>
          <w:i/>
          <w:iCs/>
        </w:rPr>
        <w:t xml:space="preserve">, ape (analyses of phylogenetics and evolution) </w:t>
      </w:r>
      <w:r w:rsidRPr="00407A28">
        <w:rPr>
          <w:b w:val="0"/>
          <w:bCs/>
        </w:rPr>
        <w:fldChar w:fldCharType="begin"/>
      </w:r>
      <w:r w:rsidRPr="00407A28">
        <w:rPr>
          <w:b w:val="0"/>
          <w:bCs/>
          <w:i/>
          <w:iCs/>
        </w:rPr>
        <w:instrText xml:space="preserve"> ADDIN EN.CITE &lt;EndNote&gt;&lt;Cite&gt;&lt;Author&gt;Paradis&lt;/Author&gt;&lt;Year&gt;2004&lt;/Year&gt;&lt;RecNum&gt;25&lt;/RecNum&gt;&lt;DisplayText&gt;(26)&lt;/DisplayText&gt;&lt;record&gt;&lt;rec-number&gt;25&lt;/rec-number&gt;&lt;foreign-keys&gt;&lt;key app="EN" db-id="ztzdzs9079tezle50wgxsztipvz0ep5d2epv" timestamp="1517413512"&gt;25&lt;/key&gt;&lt;/foreign-keys&gt;&lt;ref-type name="Journal Article"&gt;17&lt;/ref-type&gt;&lt;contributors&gt;&lt;authors&gt;&lt;author&gt;Paradis, Emmanuel&lt;/author&gt;&lt;author&gt;Claude, Julien&lt;/author&gt;&lt;author&gt;Strimmer, Korbinian&lt;/author&gt;&lt;/authors&gt;&lt;/contributors&gt;&lt;titles&gt;&lt;title&gt;APE: Analyses of Phylogenetics and Evolution in R language&lt;/title&gt;&lt;secondary-title&gt;Bioinformatics&lt;/secondary-title&gt;&lt;/titles&gt;&lt;periodical&gt;&lt;full-title&gt;Bioinformatics&lt;/full-title&gt;&lt;/periodical&gt;&lt;pages&gt;289-290&lt;/pages&gt;&lt;volume&gt;20&lt;/volume&gt;&lt;number&gt;2&lt;/number&gt;&lt;dates&gt;&lt;year&gt;2004&lt;/year&gt;&lt;/dates&gt;&lt;urls&gt;&lt;related-urls&gt;&lt;url&gt;http://bioinformatics.oxfordjournals.org/content/20/2/289.abstract&lt;/url&gt;&lt;/related-urls&gt;&lt;/urls&gt;&lt;/record&gt;&lt;/Cite&gt;&lt;/EndNote&gt;</w:instrText>
      </w:r>
      <w:r w:rsidRPr="00407A28">
        <w:rPr>
          <w:b w:val="0"/>
          <w:bCs/>
        </w:rPr>
        <w:fldChar w:fldCharType="separate"/>
      </w:r>
      <w:r w:rsidRPr="00407A28">
        <w:rPr>
          <w:b w:val="0"/>
          <w:bCs/>
          <w:i/>
          <w:iCs/>
        </w:rPr>
        <w:t>(26)</w:t>
      </w:r>
      <w:r w:rsidRPr="00407A28">
        <w:rPr>
          <w:b w:val="0"/>
          <w:bCs/>
        </w:rPr>
        <w:fldChar w:fldCharType="end"/>
      </w:r>
      <w:r w:rsidRPr="00407A28">
        <w:rPr>
          <w:b w:val="0"/>
          <w:bCs/>
          <w:i/>
          <w:iCs/>
        </w:rPr>
        <w:t xml:space="preserve">, ade4 (analysis of Euclidean data) </w:t>
      </w:r>
      <w:r w:rsidRPr="00407A28">
        <w:rPr>
          <w:b w:val="0"/>
          <w:bCs/>
        </w:rPr>
        <w:fldChar w:fldCharType="begin"/>
      </w:r>
      <w:r w:rsidRPr="00407A28">
        <w:rPr>
          <w:b w:val="0"/>
          <w:bCs/>
          <w:i/>
          <w:iCs/>
        </w:rPr>
        <w:instrText xml:space="preserve"> ADDIN EN.CITE &lt;EndNote&gt;&lt;Cite&gt;&lt;Author&gt;Dray&lt;/Author&gt;&lt;Year&gt;2007&lt;/Year&gt;&lt;RecNum&gt;26&lt;/RecNum&gt;&lt;DisplayText&gt;(27)&lt;/DisplayText&gt;&lt;record&gt;&lt;rec-number&gt;26&lt;/rec-number&gt;&lt;foreign-keys&gt;&lt;key app="EN" db-id="ztzdzs9079tezle50wgxsztipvz0ep5d2epv" timestamp="1517413512"&gt;26&lt;/key&gt;&lt;/foreign-keys&gt;&lt;ref-type name="Journal Article"&gt;17&lt;/ref-type&gt;&lt;contributors&gt;&lt;authors&gt;&lt;author&gt;Dray, Stéphane&lt;/author&gt;&lt;author&gt;Dufour, Anne&lt;/author&gt;&lt;author&gt;Chessel, Daniel&lt;/author&gt;&lt;/authors&gt;&lt;/contributors&gt;&lt;titles&gt;&lt;title&gt;The ade4 Package--{II}: Two-table and ${K}$-table Methods&lt;/title&gt;&lt;secondary-title&gt;R News&lt;/secondary-title&gt;&lt;/titles&gt;&lt;periodical&gt;&lt;full-title&gt;R News&lt;/full-title&gt;&lt;/periodical&gt;&lt;pages&gt;47-52&lt;/pages&gt;&lt;volume&gt;7&lt;/volume&gt;&lt;number&gt;2&lt;/number&gt;&lt;dates&gt;&lt;year&gt;2007&lt;/year&gt;&lt;/dates&gt;&lt;urls&gt;&lt;related-urls&gt;&lt;url&gt;http://CRAN.R-project.org/doc/Rnews/&lt;/url&gt;&lt;/related-urls&gt;&lt;/urls&gt;&lt;electronic-resource-num&gt;citeulike-article-id:9605274&lt;/electronic-resource-num&gt;&lt;/record&gt;&lt;/Cite&gt;&lt;/EndNote&gt;</w:instrText>
      </w:r>
      <w:r w:rsidRPr="00407A28">
        <w:rPr>
          <w:b w:val="0"/>
          <w:bCs/>
        </w:rPr>
        <w:fldChar w:fldCharType="separate"/>
      </w:r>
      <w:r w:rsidRPr="00407A28">
        <w:rPr>
          <w:b w:val="0"/>
          <w:bCs/>
          <w:i/>
          <w:iCs/>
        </w:rPr>
        <w:t>(27)</w:t>
      </w:r>
      <w:r w:rsidRPr="00407A28">
        <w:rPr>
          <w:b w:val="0"/>
          <w:bCs/>
        </w:rPr>
        <w:fldChar w:fldCharType="end"/>
      </w:r>
      <w:r w:rsidRPr="00407A28">
        <w:rPr>
          <w:b w:val="0"/>
          <w:bCs/>
          <w:i/>
          <w:iCs/>
        </w:rPr>
        <w:t>.</w:t>
      </w:r>
    </w:p>
    <w:p w14:paraId="0AC5F5F8" w14:textId="77777777" w:rsidR="00407A28" w:rsidRPr="00407A28" w:rsidRDefault="00407A28" w:rsidP="00407A28">
      <w:pPr>
        <w:pStyle w:val="Heading1"/>
        <w:rPr>
          <w:b w:val="0"/>
          <w:bCs/>
        </w:rPr>
      </w:pPr>
      <w:r w:rsidRPr="00407A28">
        <w:rPr>
          <w:b w:val="0"/>
          <w:bCs/>
          <w:i/>
          <w:iCs/>
        </w:rPr>
        <w:t>Generalized least squares modelling</w:t>
      </w:r>
    </w:p>
    <w:p w14:paraId="5E1FA1FB" w14:textId="34300645" w:rsidR="00407A28" w:rsidRPr="00407A28" w:rsidRDefault="00407A28" w:rsidP="00407A28">
      <w:pPr>
        <w:pStyle w:val="Heading1"/>
        <w:rPr>
          <w:rFonts w:ascii="Calibri" w:hAnsi="Calibri" w:cs="Calibri"/>
          <w:b w:val="0"/>
          <w:bCs/>
        </w:rPr>
      </w:pPr>
      <w:r w:rsidRPr="00407A28">
        <w:rPr>
          <w:b w:val="0"/>
          <w:bCs/>
          <w:i/>
          <w:iCs/>
        </w:rPr>
        <w:t xml:space="preserve">Model one looked at the relationship between species richness and age of infant. Model two incorporated whether they had wheeze or were healthy </w:t>
      </w:r>
    </w:p>
    <w:p w14:paraId="7E95F3F2" w14:textId="77777777" w:rsidR="00407A28" w:rsidRPr="00407A28" w:rsidRDefault="00407A28" w:rsidP="00407A28">
      <w:pPr>
        <w:pStyle w:val="Heading1"/>
        <w:rPr>
          <w:rFonts w:ascii="Calibri" w:hAnsi="Calibri" w:cs="Calibri"/>
          <w:b w:val="0"/>
          <w:bCs/>
        </w:rPr>
      </w:pPr>
      <w:r w:rsidRPr="00407A28">
        <w:rPr>
          <w:rFonts w:ascii="Calibri" w:hAnsi="Calibri" w:cs="Calibri"/>
          <w:b w:val="0"/>
          <w:bCs/>
        </w:rPr>
        <w:t>Generalized least squares fit by REML</w:t>
      </w:r>
    </w:p>
    <w:p w14:paraId="59BC7BFB" w14:textId="77777777" w:rsidR="00407A28" w:rsidRPr="00407A28" w:rsidRDefault="00407A28" w:rsidP="00407A28">
      <w:pPr>
        <w:rPr>
          <w:rFonts w:ascii="Calibri" w:hAnsi="Calibri" w:cs="Calibri"/>
        </w:rPr>
      </w:pPr>
      <w:r w:rsidRPr="00407A28">
        <w:rPr>
          <w:rFonts w:ascii="Calibri" w:hAnsi="Calibri" w:cs="Calibri"/>
        </w:rPr>
        <w:t xml:space="preserve">  Model: Rich ~ </w:t>
      </w:r>
      <w:proofErr w:type="spellStart"/>
      <w:r w:rsidRPr="00407A28">
        <w:rPr>
          <w:rFonts w:ascii="Calibri" w:hAnsi="Calibri" w:cs="Calibri"/>
        </w:rPr>
        <w:t>Age_months_class</w:t>
      </w:r>
      <w:proofErr w:type="spellEnd"/>
      <w:r w:rsidRPr="00407A28">
        <w:rPr>
          <w:rFonts w:ascii="Calibri" w:hAnsi="Calibri" w:cs="Calibri"/>
        </w:rPr>
        <w:t xml:space="preserve"> * Treatment </w:t>
      </w:r>
    </w:p>
    <w:p w14:paraId="2EED29C5" w14:textId="77777777" w:rsidR="00407A28" w:rsidRPr="004834AC" w:rsidRDefault="00407A28" w:rsidP="00407A28">
      <w:pPr>
        <w:rPr>
          <w:rFonts w:ascii="Calibri" w:hAnsi="Calibri" w:cs="Calibri"/>
          <w:lang w:val="it-IT"/>
        </w:rPr>
      </w:pPr>
      <w:r w:rsidRPr="00407A28">
        <w:rPr>
          <w:rFonts w:ascii="Calibri" w:hAnsi="Calibri" w:cs="Calibri"/>
        </w:rPr>
        <w:t xml:space="preserve">  </w:t>
      </w:r>
      <w:r w:rsidRPr="004834AC">
        <w:rPr>
          <w:rFonts w:ascii="Calibri" w:hAnsi="Calibri" w:cs="Calibri"/>
          <w:lang w:val="it-IT"/>
        </w:rPr>
        <w:t xml:space="preserve">Data: </w:t>
      </w:r>
      <w:proofErr w:type="spellStart"/>
      <w:r w:rsidRPr="004834AC">
        <w:rPr>
          <w:rFonts w:ascii="Calibri" w:hAnsi="Calibri" w:cs="Calibri"/>
          <w:lang w:val="it-IT"/>
        </w:rPr>
        <w:t>ec_data</w:t>
      </w:r>
      <w:proofErr w:type="spellEnd"/>
      <w:r w:rsidRPr="004834AC">
        <w:rPr>
          <w:rFonts w:ascii="Calibri" w:hAnsi="Calibri" w:cs="Calibri"/>
          <w:lang w:val="it-IT"/>
        </w:rPr>
        <w:t xml:space="preserve"> </w:t>
      </w:r>
    </w:p>
    <w:p w14:paraId="5B683F62" w14:textId="77777777" w:rsidR="00407A28" w:rsidRPr="004834AC" w:rsidRDefault="00407A28" w:rsidP="00407A28">
      <w:pPr>
        <w:rPr>
          <w:rFonts w:ascii="Calibri" w:hAnsi="Calibri" w:cs="Calibri"/>
          <w:lang w:val="it-IT"/>
        </w:rPr>
      </w:pPr>
      <w:r w:rsidRPr="004834AC">
        <w:rPr>
          <w:rFonts w:ascii="Calibri" w:hAnsi="Calibri" w:cs="Calibri"/>
          <w:lang w:val="it-IT"/>
        </w:rPr>
        <w:t xml:space="preserve">      AIC      BIC    </w:t>
      </w:r>
      <w:proofErr w:type="spellStart"/>
      <w:r w:rsidRPr="004834AC">
        <w:rPr>
          <w:rFonts w:ascii="Calibri" w:hAnsi="Calibri" w:cs="Calibri"/>
          <w:lang w:val="it-IT"/>
        </w:rPr>
        <w:t>logLik</w:t>
      </w:r>
      <w:proofErr w:type="spellEnd"/>
    </w:p>
    <w:p w14:paraId="4954841E" w14:textId="77777777" w:rsidR="00407A28" w:rsidRPr="00407A28" w:rsidRDefault="00407A28" w:rsidP="00407A28">
      <w:pPr>
        <w:rPr>
          <w:rFonts w:ascii="Calibri" w:hAnsi="Calibri" w:cs="Calibri"/>
        </w:rPr>
      </w:pPr>
      <w:r w:rsidRPr="004834AC">
        <w:rPr>
          <w:rFonts w:ascii="Calibri" w:hAnsi="Calibri" w:cs="Calibri"/>
          <w:lang w:val="it-IT"/>
        </w:rPr>
        <w:t xml:space="preserve">  </w:t>
      </w:r>
      <w:r w:rsidRPr="00407A28">
        <w:rPr>
          <w:rFonts w:ascii="Calibri" w:hAnsi="Calibri" w:cs="Calibri"/>
        </w:rPr>
        <w:t>1679.83 1703.553 -832.9149</w:t>
      </w:r>
    </w:p>
    <w:p w14:paraId="7966D40B" w14:textId="77777777" w:rsidR="00407A28" w:rsidRPr="00407A28" w:rsidRDefault="00407A28" w:rsidP="00407A28">
      <w:pPr>
        <w:rPr>
          <w:rFonts w:ascii="Calibri" w:hAnsi="Calibri" w:cs="Calibri"/>
        </w:rPr>
      </w:pPr>
      <w:r w:rsidRPr="00407A28">
        <w:rPr>
          <w:rFonts w:ascii="Calibri" w:hAnsi="Calibri" w:cs="Calibri"/>
        </w:rPr>
        <w:t>Coefficients:</w:t>
      </w:r>
    </w:p>
    <w:p w14:paraId="78E1A1E1" w14:textId="77777777" w:rsidR="00407A28" w:rsidRPr="00407A28" w:rsidRDefault="00407A28" w:rsidP="00407A28">
      <w:pPr>
        <w:ind w:left="4320" w:firstLine="720"/>
        <w:rPr>
          <w:rFonts w:ascii="Calibri" w:hAnsi="Calibri" w:cs="Calibri"/>
        </w:rPr>
      </w:pPr>
      <w:r w:rsidRPr="00407A28">
        <w:rPr>
          <w:rFonts w:ascii="Calibri" w:hAnsi="Calibri" w:cs="Calibri"/>
        </w:rPr>
        <w:t xml:space="preserve">Value </w:t>
      </w:r>
      <w:proofErr w:type="spellStart"/>
      <w:r w:rsidRPr="00407A28">
        <w:rPr>
          <w:rFonts w:ascii="Calibri" w:hAnsi="Calibri" w:cs="Calibri"/>
        </w:rPr>
        <w:t>Std.Error</w:t>
      </w:r>
      <w:proofErr w:type="spellEnd"/>
      <w:r w:rsidRPr="00407A28">
        <w:rPr>
          <w:rFonts w:ascii="Calibri" w:hAnsi="Calibri" w:cs="Calibri"/>
        </w:rPr>
        <w:t xml:space="preserve">   t-value p-value</w:t>
      </w:r>
    </w:p>
    <w:p w14:paraId="030C268F" w14:textId="77777777" w:rsidR="00407A28" w:rsidRPr="00407A28" w:rsidRDefault="00407A28" w:rsidP="00407A28">
      <w:pPr>
        <w:rPr>
          <w:rFonts w:ascii="Calibri" w:hAnsi="Calibri" w:cs="Calibri"/>
        </w:rPr>
      </w:pPr>
      <w:r w:rsidRPr="00407A28">
        <w:rPr>
          <w:rFonts w:ascii="Calibri" w:hAnsi="Calibri" w:cs="Calibri"/>
        </w:rPr>
        <w:t>(Intercept)</w:t>
      </w:r>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t>13.250000  2.583588  5.128527  0.0000</w:t>
      </w:r>
    </w:p>
    <w:p w14:paraId="042FEC22" w14:textId="77777777" w:rsidR="00407A28" w:rsidRPr="00407A28" w:rsidRDefault="00407A28" w:rsidP="00407A28">
      <w:pPr>
        <w:rPr>
          <w:rFonts w:ascii="Calibri" w:hAnsi="Calibri" w:cs="Calibri"/>
        </w:rPr>
      </w:pPr>
      <w:proofErr w:type="spellStart"/>
      <w:r w:rsidRPr="00407A28">
        <w:rPr>
          <w:rFonts w:ascii="Calibri" w:hAnsi="Calibri" w:cs="Calibri"/>
        </w:rPr>
        <w:t>Age_months_classTwelve</w:t>
      </w:r>
      <w:proofErr w:type="spellEnd"/>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t>16.632353  3.133060  5.308660  0.0000</w:t>
      </w:r>
    </w:p>
    <w:p w14:paraId="3D827FF6" w14:textId="77777777" w:rsidR="00407A28" w:rsidRPr="00407A28" w:rsidRDefault="00407A28" w:rsidP="00407A28">
      <w:pPr>
        <w:rPr>
          <w:rFonts w:ascii="Calibri" w:hAnsi="Calibri" w:cs="Calibri"/>
        </w:rPr>
      </w:pPr>
      <w:proofErr w:type="spellStart"/>
      <w:r w:rsidRPr="00407A28">
        <w:rPr>
          <w:rFonts w:ascii="Calibri" w:hAnsi="Calibri" w:cs="Calibri"/>
        </w:rPr>
        <w:t>Age_months_classTwenty_four</w:t>
      </w:r>
      <w:proofErr w:type="spellEnd"/>
      <w:r w:rsidRPr="00407A28">
        <w:rPr>
          <w:rFonts w:ascii="Calibri" w:hAnsi="Calibri" w:cs="Calibri"/>
        </w:rPr>
        <w:tab/>
      </w:r>
      <w:r w:rsidRPr="00407A28">
        <w:rPr>
          <w:rFonts w:ascii="Calibri" w:hAnsi="Calibri" w:cs="Calibri"/>
        </w:rPr>
        <w:tab/>
      </w:r>
      <w:r w:rsidRPr="00407A28">
        <w:rPr>
          <w:rFonts w:ascii="Calibri" w:hAnsi="Calibri" w:cs="Calibri"/>
        </w:rPr>
        <w:tab/>
        <w:t>22.798780  3.046272  7.484157  0.0000</w:t>
      </w:r>
    </w:p>
    <w:p w14:paraId="5273E642" w14:textId="77777777" w:rsidR="00407A28" w:rsidRPr="00407A28" w:rsidRDefault="00407A28" w:rsidP="00407A28">
      <w:pPr>
        <w:rPr>
          <w:rFonts w:ascii="Calibri" w:hAnsi="Calibri" w:cs="Calibri"/>
        </w:rPr>
      </w:pPr>
      <w:proofErr w:type="spellStart"/>
      <w:r w:rsidRPr="00407A28">
        <w:rPr>
          <w:rFonts w:ascii="Calibri" w:hAnsi="Calibri" w:cs="Calibri"/>
        </w:rPr>
        <w:t>TreatmentControls</w:t>
      </w:r>
      <w:proofErr w:type="spellEnd"/>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r>
      <w:r w:rsidRPr="00407A28">
        <w:rPr>
          <w:rFonts w:ascii="Calibri" w:hAnsi="Calibri" w:cs="Calibri"/>
        </w:rPr>
        <w:tab/>
        <w:t>6.4734042.991194  2.164154  0.0315</w:t>
      </w:r>
    </w:p>
    <w:p w14:paraId="43556418" w14:textId="77777777" w:rsidR="00407A28" w:rsidRPr="00407A28" w:rsidRDefault="00407A28" w:rsidP="00407A28">
      <w:pPr>
        <w:rPr>
          <w:rFonts w:ascii="Calibri" w:hAnsi="Calibri" w:cs="Calibri"/>
        </w:rPr>
      </w:pPr>
      <w:proofErr w:type="spellStart"/>
      <w:r w:rsidRPr="00407A28">
        <w:rPr>
          <w:rFonts w:ascii="Calibri" w:hAnsi="Calibri" w:cs="Calibri"/>
        </w:rPr>
        <w:t>Age_months_classTwelve:TreatmentControls</w:t>
      </w:r>
      <w:proofErr w:type="spellEnd"/>
      <w:r w:rsidRPr="00407A28">
        <w:rPr>
          <w:rFonts w:ascii="Calibri" w:hAnsi="Calibri" w:cs="Calibri"/>
        </w:rPr>
        <w:tab/>
        <w:t>-3.099347  3.850560 -0.804908  0.4217</w:t>
      </w:r>
    </w:p>
    <w:p w14:paraId="3DEDB8B2" w14:textId="77777777" w:rsidR="00407A28" w:rsidRPr="00407A28" w:rsidRDefault="00407A28" w:rsidP="00407A28">
      <w:pPr>
        <w:rPr>
          <w:rFonts w:ascii="Calibri" w:hAnsi="Calibri" w:cs="Calibri"/>
        </w:rPr>
      </w:pPr>
      <w:proofErr w:type="spellStart"/>
      <w:r w:rsidRPr="00407A28">
        <w:rPr>
          <w:rFonts w:ascii="Calibri" w:hAnsi="Calibri" w:cs="Calibri"/>
        </w:rPr>
        <w:t>Age_months_classTwenty_four:TreatmentControls</w:t>
      </w:r>
      <w:proofErr w:type="spellEnd"/>
      <w:r w:rsidRPr="00407A28">
        <w:rPr>
          <w:rFonts w:ascii="Calibri" w:hAnsi="Calibri" w:cs="Calibri"/>
        </w:rPr>
        <w:tab/>
        <w:t>1.561149  3.711747  0.420597  0.6745</w:t>
      </w:r>
    </w:p>
    <w:p w14:paraId="63D3658B" w14:textId="77777777" w:rsidR="00407A28" w:rsidRPr="00407A28" w:rsidRDefault="00407A28" w:rsidP="00407A28">
      <w:pPr>
        <w:rPr>
          <w:rFonts w:ascii="Calibri" w:hAnsi="Calibri" w:cs="Calibri"/>
        </w:rPr>
      </w:pPr>
    </w:p>
    <w:p w14:paraId="3FEB8061" w14:textId="77777777" w:rsidR="00407A28" w:rsidRPr="00407A28" w:rsidRDefault="00407A28" w:rsidP="00407A28">
      <w:pPr>
        <w:rPr>
          <w:rFonts w:ascii="Calibri" w:hAnsi="Calibri" w:cs="Calibri"/>
        </w:rPr>
      </w:pPr>
      <w:r w:rsidRPr="00407A28">
        <w:rPr>
          <w:rFonts w:ascii="Calibri" w:hAnsi="Calibri" w:cs="Calibri"/>
        </w:rPr>
        <w:lastRenderedPageBreak/>
        <w:t xml:space="preserve">Model selection based on </w:t>
      </w:r>
      <w:proofErr w:type="spellStart"/>
      <w:r w:rsidRPr="00407A28">
        <w:rPr>
          <w:rFonts w:ascii="Calibri" w:hAnsi="Calibri" w:cs="Calibri"/>
        </w:rPr>
        <w:t>AICc</w:t>
      </w:r>
      <w:proofErr w:type="spellEnd"/>
      <w:r w:rsidRPr="00407A28">
        <w:rPr>
          <w:rFonts w:ascii="Calibri" w:hAnsi="Calibri" w:cs="Calibri"/>
        </w:rPr>
        <w:t>:</w:t>
      </w:r>
    </w:p>
    <w:p w14:paraId="48A8DEE2" w14:textId="77777777" w:rsidR="00407A28" w:rsidRPr="00407A28" w:rsidRDefault="00407A28" w:rsidP="00407A28">
      <w:pPr>
        <w:rPr>
          <w:rFonts w:ascii="Calibri" w:hAnsi="Calibri" w:cs="Calibri"/>
        </w:rPr>
      </w:pPr>
    </w:p>
    <w:tbl>
      <w:tblPr>
        <w:tblStyle w:val="TableGrid"/>
        <w:tblW w:w="0" w:type="auto"/>
        <w:tblLook w:val="04A0" w:firstRow="1" w:lastRow="0" w:firstColumn="1" w:lastColumn="0" w:noHBand="0" w:noVBand="1"/>
      </w:tblPr>
      <w:tblGrid>
        <w:gridCol w:w="1018"/>
        <w:gridCol w:w="947"/>
        <w:gridCol w:w="1033"/>
        <w:gridCol w:w="1074"/>
        <w:gridCol w:w="939"/>
        <w:gridCol w:w="1116"/>
        <w:gridCol w:w="1090"/>
      </w:tblGrid>
      <w:tr w:rsidR="00407A28" w:rsidRPr="00407A28" w14:paraId="297C2F53" w14:textId="77777777" w:rsidTr="00E9255A">
        <w:tc>
          <w:tcPr>
            <w:tcW w:w="1018" w:type="dxa"/>
          </w:tcPr>
          <w:p w14:paraId="117B4F2F" w14:textId="77777777" w:rsidR="00407A28" w:rsidRPr="00407A28" w:rsidRDefault="00407A28" w:rsidP="00E9255A">
            <w:pPr>
              <w:rPr>
                <w:rFonts w:ascii="Calibri" w:hAnsi="Calibri" w:cs="Calibri"/>
              </w:rPr>
            </w:pPr>
          </w:p>
        </w:tc>
        <w:tc>
          <w:tcPr>
            <w:tcW w:w="947" w:type="dxa"/>
          </w:tcPr>
          <w:p w14:paraId="429971B3" w14:textId="77777777" w:rsidR="00407A28" w:rsidRPr="00407A28" w:rsidRDefault="00407A28" w:rsidP="00E9255A">
            <w:pPr>
              <w:rPr>
                <w:rFonts w:ascii="Calibri" w:hAnsi="Calibri" w:cs="Calibri"/>
              </w:rPr>
            </w:pPr>
            <w:r w:rsidRPr="00407A28">
              <w:rPr>
                <w:rFonts w:ascii="Calibri" w:hAnsi="Calibri" w:cs="Calibri"/>
              </w:rPr>
              <w:t>K</w:t>
            </w:r>
          </w:p>
        </w:tc>
        <w:tc>
          <w:tcPr>
            <w:tcW w:w="1033" w:type="dxa"/>
          </w:tcPr>
          <w:p w14:paraId="13ABBFA4" w14:textId="77777777" w:rsidR="00407A28" w:rsidRPr="00407A28" w:rsidRDefault="00407A28" w:rsidP="00E9255A">
            <w:pPr>
              <w:rPr>
                <w:rFonts w:ascii="Calibri" w:hAnsi="Calibri" w:cs="Calibri"/>
              </w:rPr>
            </w:pPr>
            <w:proofErr w:type="spellStart"/>
            <w:r w:rsidRPr="00407A28">
              <w:rPr>
                <w:rFonts w:ascii="Calibri" w:hAnsi="Calibri" w:cs="Calibri"/>
              </w:rPr>
              <w:t>AICc</w:t>
            </w:r>
            <w:proofErr w:type="spellEnd"/>
          </w:p>
        </w:tc>
        <w:tc>
          <w:tcPr>
            <w:tcW w:w="1074" w:type="dxa"/>
          </w:tcPr>
          <w:p w14:paraId="3EE3A15D" w14:textId="77777777" w:rsidR="00407A28" w:rsidRPr="00407A28" w:rsidRDefault="00407A28" w:rsidP="00E9255A">
            <w:pPr>
              <w:rPr>
                <w:rFonts w:ascii="Calibri" w:hAnsi="Calibri" w:cs="Calibri"/>
              </w:rPr>
            </w:pPr>
            <w:proofErr w:type="spellStart"/>
            <w:r w:rsidRPr="00407A28">
              <w:rPr>
                <w:rFonts w:ascii="Calibri" w:hAnsi="Calibri" w:cs="Calibri"/>
              </w:rPr>
              <w:t>ΔAICc</w:t>
            </w:r>
            <w:proofErr w:type="spellEnd"/>
          </w:p>
        </w:tc>
        <w:tc>
          <w:tcPr>
            <w:tcW w:w="910" w:type="dxa"/>
          </w:tcPr>
          <w:p w14:paraId="3DB23BC3" w14:textId="77777777" w:rsidR="00407A28" w:rsidRPr="00407A28" w:rsidRDefault="00407A28" w:rsidP="00E9255A">
            <w:pPr>
              <w:rPr>
                <w:rFonts w:ascii="Calibri" w:hAnsi="Calibri" w:cs="Calibri"/>
              </w:rPr>
            </w:pPr>
            <w:proofErr w:type="spellStart"/>
            <w:r w:rsidRPr="00407A28">
              <w:rPr>
                <w:rFonts w:ascii="Calibri" w:hAnsi="Calibri" w:cs="Calibri"/>
              </w:rPr>
              <w:t>AICcWt</w:t>
            </w:r>
            <w:proofErr w:type="spellEnd"/>
          </w:p>
        </w:tc>
        <w:tc>
          <w:tcPr>
            <w:tcW w:w="1116" w:type="dxa"/>
          </w:tcPr>
          <w:p w14:paraId="79AB6C8C" w14:textId="77777777" w:rsidR="00407A28" w:rsidRPr="00407A28" w:rsidRDefault="00407A28" w:rsidP="00E9255A">
            <w:pPr>
              <w:rPr>
                <w:rFonts w:ascii="Calibri" w:hAnsi="Calibri" w:cs="Calibri"/>
              </w:rPr>
            </w:pPr>
            <w:proofErr w:type="spellStart"/>
            <w:r w:rsidRPr="00407A28">
              <w:rPr>
                <w:rFonts w:ascii="Calibri" w:hAnsi="Calibri" w:cs="Calibri"/>
              </w:rPr>
              <w:t>Cum.Wt</w:t>
            </w:r>
            <w:proofErr w:type="spellEnd"/>
          </w:p>
        </w:tc>
        <w:tc>
          <w:tcPr>
            <w:tcW w:w="1090" w:type="dxa"/>
          </w:tcPr>
          <w:p w14:paraId="4070265A" w14:textId="77777777" w:rsidR="00407A28" w:rsidRPr="00407A28" w:rsidRDefault="00407A28" w:rsidP="00E9255A">
            <w:pPr>
              <w:rPr>
                <w:rFonts w:ascii="Calibri" w:hAnsi="Calibri" w:cs="Calibri"/>
              </w:rPr>
            </w:pPr>
            <w:proofErr w:type="spellStart"/>
            <w:r w:rsidRPr="00407A28">
              <w:rPr>
                <w:rFonts w:ascii="Calibri" w:hAnsi="Calibri" w:cs="Calibri"/>
              </w:rPr>
              <w:t>Res.LL</w:t>
            </w:r>
            <w:proofErr w:type="spellEnd"/>
          </w:p>
        </w:tc>
      </w:tr>
      <w:tr w:rsidR="00407A28" w:rsidRPr="00407A28" w14:paraId="42D39979" w14:textId="77777777" w:rsidTr="00E9255A">
        <w:tc>
          <w:tcPr>
            <w:tcW w:w="1018" w:type="dxa"/>
          </w:tcPr>
          <w:p w14:paraId="1C305AD2" w14:textId="77777777" w:rsidR="00407A28" w:rsidRPr="00407A28" w:rsidRDefault="00407A28" w:rsidP="00E9255A">
            <w:pPr>
              <w:rPr>
                <w:rFonts w:ascii="Calibri" w:hAnsi="Calibri" w:cs="Calibri"/>
              </w:rPr>
            </w:pPr>
            <w:r w:rsidRPr="00407A28">
              <w:rPr>
                <w:rFonts w:ascii="Calibri" w:hAnsi="Calibri" w:cs="Calibri"/>
              </w:rPr>
              <w:t>Mod 2</w:t>
            </w:r>
          </w:p>
        </w:tc>
        <w:tc>
          <w:tcPr>
            <w:tcW w:w="947" w:type="dxa"/>
          </w:tcPr>
          <w:p w14:paraId="0618F1B3" w14:textId="77777777" w:rsidR="00407A28" w:rsidRPr="00407A28" w:rsidRDefault="00407A28" w:rsidP="00E9255A">
            <w:pPr>
              <w:rPr>
                <w:rFonts w:ascii="Calibri" w:hAnsi="Calibri" w:cs="Calibri"/>
              </w:rPr>
            </w:pPr>
            <w:r w:rsidRPr="00407A28">
              <w:rPr>
                <w:rFonts w:ascii="Calibri" w:hAnsi="Calibri" w:cs="Calibri"/>
              </w:rPr>
              <w:t>7</w:t>
            </w:r>
          </w:p>
        </w:tc>
        <w:tc>
          <w:tcPr>
            <w:tcW w:w="1033" w:type="dxa"/>
          </w:tcPr>
          <w:p w14:paraId="05FD177A" w14:textId="77777777" w:rsidR="00407A28" w:rsidRPr="00407A28" w:rsidRDefault="00407A28" w:rsidP="00E9255A">
            <w:pPr>
              <w:rPr>
                <w:rFonts w:ascii="Calibri" w:hAnsi="Calibri" w:cs="Calibri"/>
              </w:rPr>
            </w:pPr>
            <w:r w:rsidRPr="00407A28">
              <w:rPr>
                <w:rFonts w:ascii="Calibri" w:hAnsi="Calibri" w:cs="Calibri"/>
              </w:rPr>
              <w:t>1680.35</w:t>
            </w:r>
          </w:p>
        </w:tc>
        <w:tc>
          <w:tcPr>
            <w:tcW w:w="1074" w:type="dxa"/>
          </w:tcPr>
          <w:p w14:paraId="597A66AE" w14:textId="77777777" w:rsidR="00407A28" w:rsidRPr="00407A28" w:rsidRDefault="00407A28" w:rsidP="00E9255A">
            <w:pPr>
              <w:rPr>
                <w:rFonts w:ascii="Calibri" w:hAnsi="Calibri" w:cs="Calibri"/>
              </w:rPr>
            </w:pPr>
            <w:r w:rsidRPr="00407A28">
              <w:rPr>
                <w:rFonts w:ascii="Calibri" w:hAnsi="Calibri" w:cs="Calibri"/>
              </w:rPr>
              <w:t>0</w:t>
            </w:r>
          </w:p>
        </w:tc>
        <w:tc>
          <w:tcPr>
            <w:tcW w:w="910" w:type="dxa"/>
          </w:tcPr>
          <w:p w14:paraId="47C2065D" w14:textId="77777777" w:rsidR="00407A28" w:rsidRPr="00407A28" w:rsidRDefault="00407A28" w:rsidP="00E9255A">
            <w:pPr>
              <w:rPr>
                <w:rFonts w:ascii="Calibri" w:hAnsi="Calibri" w:cs="Calibri"/>
              </w:rPr>
            </w:pPr>
            <w:r w:rsidRPr="00407A28">
              <w:rPr>
                <w:rFonts w:ascii="Calibri" w:hAnsi="Calibri" w:cs="Calibri"/>
              </w:rPr>
              <w:t>1</w:t>
            </w:r>
          </w:p>
        </w:tc>
        <w:tc>
          <w:tcPr>
            <w:tcW w:w="1116" w:type="dxa"/>
          </w:tcPr>
          <w:p w14:paraId="797AFFDD" w14:textId="77777777" w:rsidR="00407A28" w:rsidRPr="00407A28" w:rsidRDefault="00407A28" w:rsidP="00E9255A">
            <w:pPr>
              <w:rPr>
                <w:rFonts w:ascii="Calibri" w:hAnsi="Calibri" w:cs="Calibri"/>
              </w:rPr>
            </w:pPr>
            <w:r w:rsidRPr="00407A28">
              <w:rPr>
                <w:rFonts w:ascii="Calibri" w:hAnsi="Calibri" w:cs="Calibri"/>
              </w:rPr>
              <w:t>1</w:t>
            </w:r>
          </w:p>
        </w:tc>
        <w:tc>
          <w:tcPr>
            <w:tcW w:w="1090" w:type="dxa"/>
          </w:tcPr>
          <w:p w14:paraId="7EB6B891" w14:textId="77777777" w:rsidR="00407A28" w:rsidRPr="00407A28" w:rsidRDefault="00407A28" w:rsidP="00E9255A">
            <w:pPr>
              <w:rPr>
                <w:rFonts w:ascii="Calibri" w:hAnsi="Calibri" w:cs="Calibri"/>
              </w:rPr>
            </w:pPr>
            <w:r w:rsidRPr="00407A28">
              <w:rPr>
                <w:rFonts w:ascii="Calibri" w:hAnsi="Calibri" w:cs="Calibri"/>
              </w:rPr>
              <w:t>-832.91</w:t>
            </w:r>
          </w:p>
        </w:tc>
      </w:tr>
      <w:tr w:rsidR="00407A28" w:rsidRPr="005425BD" w14:paraId="6188F0D2" w14:textId="77777777" w:rsidTr="00E9255A">
        <w:tc>
          <w:tcPr>
            <w:tcW w:w="1018" w:type="dxa"/>
          </w:tcPr>
          <w:p w14:paraId="4AB3881B" w14:textId="77777777" w:rsidR="00407A28" w:rsidRPr="00407A28" w:rsidRDefault="00407A28" w:rsidP="00E9255A">
            <w:pPr>
              <w:rPr>
                <w:rFonts w:ascii="Calibri" w:hAnsi="Calibri" w:cs="Calibri"/>
              </w:rPr>
            </w:pPr>
            <w:r w:rsidRPr="00407A28">
              <w:rPr>
                <w:rFonts w:ascii="Calibri" w:hAnsi="Calibri" w:cs="Calibri"/>
              </w:rPr>
              <w:t>Mod 1</w:t>
            </w:r>
          </w:p>
        </w:tc>
        <w:tc>
          <w:tcPr>
            <w:tcW w:w="947" w:type="dxa"/>
          </w:tcPr>
          <w:p w14:paraId="647942C8" w14:textId="77777777" w:rsidR="00407A28" w:rsidRPr="00407A28" w:rsidRDefault="00407A28" w:rsidP="00E9255A">
            <w:pPr>
              <w:rPr>
                <w:rFonts w:ascii="Calibri" w:hAnsi="Calibri" w:cs="Calibri"/>
              </w:rPr>
            </w:pPr>
            <w:r w:rsidRPr="00407A28">
              <w:rPr>
                <w:rFonts w:ascii="Calibri" w:hAnsi="Calibri" w:cs="Calibri"/>
              </w:rPr>
              <w:t>4</w:t>
            </w:r>
          </w:p>
        </w:tc>
        <w:tc>
          <w:tcPr>
            <w:tcW w:w="1033" w:type="dxa"/>
          </w:tcPr>
          <w:p w14:paraId="1B03DDBB" w14:textId="77777777" w:rsidR="00407A28" w:rsidRPr="00407A28" w:rsidRDefault="00407A28" w:rsidP="00E9255A">
            <w:pPr>
              <w:rPr>
                <w:rFonts w:ascii="Calibri" w:hAnsi="Calibri" w:cs="Calibri"/>
              </w:rPr>
            </w:pPr>
            <w:r w:rsidRPr="00407A28">
              <w:rPr>
                <w:rFonts w:ascii="Calibri" w:hAnsi="Calibri" w:cs="Calibri"/>
              </w:rPr>
              <w:t>1704.43</w:t>
            </w:r>
          </w:p>
        </w:tc>
        <w:tc>
          <w:tcPr>
            <w:tcW w:w="1074" w:type="dxa"/>
          </w:tcPr>
          <w:p w14:paraId="7E5E180F" w14:textId="77777777" w:rsidR="00407A28" w:rsidRPr="00407A28" w:rsidRDefault="00407A28" w:rsidP="00E9255A">
            <w:pPr>
              <w:rPr>
                <w:rFonts w:ascii="Calibri" w:hAnsi="Calibri" w:cs="Calibri"/>
              </w:rPr>
            </w:pPr>
            <w:r w:rsidRPr="00407A28">
              <w:rPr>
                <w:rFonts w:ascii="Calibri" w:hAnsi="Calibri" w:cs="Calibri"/>
              </w:rPr>
              <w:t>24.08</w:t>
            </w:r>
          </w:p>
        </w:tc>
        <w:tc>
          <w:tcPr>
            <w:tcW w:w="910" w:type="dxa"/>
          </w:tcPr>
          <w:p w14:paraId="7ACE0270" w14:textId="77777777" w:rsidR="00407A28" w:rsidRPr="00407A28" w:rsidRDefault="00407A28" w:rsidP="00E9255A">
            <w:pPr>
              <w:rPr>
                <w:rFonts w:ascii="Calibri" w:hAnsi="Calibri" w:cs="Calibri"/>
              </w:rPr>
            </w:pPr>
            <w:r w:rsidRPr="00407A28">
              <w:rPr>
                <w:rFonts w:ascii="Calibri" w:hAnsi="Calibri" w:cs="Calibri"/>
              </w:rPr>
              <w:t>0</w:t>
            </w:r>
          </w:p>
        </w:tc>
        <w:tc>
          <w:tcPr>
            <w:tcW w:w="1116" w:type="dxa"/>
          </w:tcPr>
          <w:p w14:paraId="4C4080CB" w14:textId="77777777" w:rsidR="00407A28" w:rsidRPr="00407A28" w:rsidRDefault="00407A28" w:rsidP="00E9255A">
            <w:pPr>
              <w:rPr>
                <w:rFonts w:ascii="Calibri" w:hAnsi="Calibri" w:cs="Calibri"/>
              </w:rPr>
            </w:pPr>
            <w:r w:rsidRPr="00407A28">
              <w:rPr>
                <w:rFonts w:ascii="Calibri" w:hAnsi="Calibri" w:cs="Calibri"/>
              </w:rPr>
              <w:t>1</w:t>
            </w:r>
          </w:p>
        </w:tc>
        <w:tc>
          <w:tcPr>
            <w:tcW w:w="1090" w:type="dxa"/>
          </w:tcPr>
          <w:p w14:paraId="6199BA32" w14:textId="77777777" w:rsidR="00407A28" w:rsidRPr="005425BD" w:rsidRDefault="00407A28" w:rsidP="00E9255A">
            <w:pPr>
              <w:rPr>
                <w:rFonts w:ascii="Calibri" w:hAnsi="Calibri" w:cs="Calibri"/>
              </w:rPr>
            </w:pPr>
            <w:r w:rsidRPr="00407A28">
              <w:rPr>
                <w:rFonts w:ascii="Calibri" w:hAnsi="Calibri" w:cs="Calibri"/>
              </w:rPr>
              <w:t>-848.12</w:t>
            </w:r>
          </w:p>
        </w:tc>
      </w:tr>
    </w:tbl>
    <w:p w14:paraId="5D8B8E44" w14:textId="77777777" w:rsidR="00407A28" w:rsidRDefault="00407A28" w:rsidP="00407A28">
      <w:pPr>
        <w:rPr>
          <w:rFonts w:ascii="Calibri" w:hAnsi="Calibri" w:cs="Calibri"/>
        </w:rPr>
      </w:pPr>
    </w:p>
    <w:p w14:paraId="58F1AED1" w14:textId="77777777" w:rsidR="00DE23E8" w:rsidRPr="001549D3" w:rsidRDefault="00DE23E8" w:rsidP="00654E8F">
      <w:pPr>
        <w:spacing w:before="240"/>
      </w:pPr>
    </w:p>
    <w:sectPr w:rsidR="00DE23E8" w:rsidRPr="001549D3" w:rsidSect="004834AC">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973D" w14:textId="77777777" w:rsidR="00C32EB6" w:rsidRDefault="00C32EB6" w:rsidP="00117666">
      <w:pPr>
        <w:spacing w:after="0"/>
      </w:pPr>
      <w:r>
        <w:separator/>
      </w:r>
    </w:p>
  </w:endnote>
  <w:endnote w:type="continuationSeparator" w:id="0">
    <w:p w14:paraId="356D432E" w14:textId="77777777" w:rsidR="00C32EB6" w:rsidRDefault="00C32EB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B28"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F27"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AA43" w14:textId="77777777" w:rsidR="00C32EB6" w:rsidRDefault="00C32EB6" w:rsidP="00117666">
      <w:pPr>
        <w:spacing w:after="0"/>
      </w:pPr>
      <w:r>
        <w:separator/>
      </w:r>
    </w:p>
  </w:footnote>
  <w:footnote w:type="continuationSeparator" w:id="0">
    <w:p w14:paraId="7CB35225" w14:textId="77777777" w:rsidR="00C32EB6" w:rsidRDefault="00C32EB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DBA"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A5B" w14:textId="77777777" w:rsidR="00995F6A" w:rsidRDefault="0093429D" w:rsidP="0093429D">
    <w:r w:rsidRPr="005A1D84">
      <w:rPr>
        <w:b/>
        <w:noProof/>
        <w:color w:val="A6A6A6" w:themeColor="background1" w:themeShade="A6"/>
        <w:lang w:val="en-GB" w:eastAsia="en-GB"/>
      </w:rPr>
      <w:drawing>
        <wp:inline distT="0" distB="0" distL="0" distR="0" wp14:anchorId="7EAE9060" wp14:editId="09E5B96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821115517">
    <w:abstractNumId w:val="0"/>
  </w:num>
  <w:num w:numId="2" w16cid:durableId="1683165481">
    <w:abstractNumId w:val="4"/>
  </w:num>
  <w:num w:numId="3" w16cid:durableId="615480040">
    <w:abstractNumId w:val="1"/>
  </w:num>
  <w:num w:numId="4" w16cid:durableId="1566183234">
    <w:abstractNumId w:val="5"/>
  </w:num>
  <w:num w:numId="5" w16cid:durableId="1807702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223692">
    <w:abstractNumId w:val="3"/>
  </w:num>
  <w:num w:numId="7" w16cid:durableId="1359550598">
    <w:abstractNumId w:val="6"/>
  </w:num>
  <w:num w:numId="8" w16cid:durableId="1559510671">
    <w:abstractNumId w:val="6"/>
  </w:num>
  <w:num w:numId="9" w16cid:durableId="1734543462">
    <w:abstractNumId w:val="6"/>
  </w:num>
  <w:num w:numId="10" w16cid:durableId="708839681">
    <w:abstractNumId w:val="6"/>
  </w:num>
  <w:num w:numId="11" w16cid:durableId="2046978920">
    <w:abstractNumId w:val="6"/>
  </w:num>
  <w:num w:numId="12" w16cid:durableId="2124614653">
    <w:abstractNumId w:val="6"/>
  </w:num>
  <w:num w:numId="13" w16cid:durableId="150105246">
    <w:abstractNumId w:val="3"/>
  </w:num>
  <w:num w:numId="14" w16cid:durableId="515769853">
    <w:abstractNumId w:val="2"/>
  </w:num>
  <w:num w:numId="15" w16cid:durableId="1753046014">
    <w:abstractNumId w:val="2"/>
  </w:num>
  <w:num w:numId="16" w16cid:durableId="665939894">
    <w:abstractNumId w:val="2"/>
  </w:num>
  <w:num w:numId="17" w16cid:durableId="2078749421">
    <w:abstractNumId w:val="2"/>
  </w:num>
  <w:num w:numId="18" w16cid:durableId="825047625">
    <w:abstractNumId w:val="2"/>
  </w:num>
  <w:num w:numId="19" w16cid:durableId="803810417">
    <w:abstractNumId w:val="2"/>
  </w:num>
  <w:num w:numId="20" w16cid:durableId="1900435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24"/>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07A28"/>
    <w:rsid w:val="00447801"/>
    <w:rsid w:val="00452E9C"/>
    <w:rsid w:val="004735C8"/>
    <w:rsid w:val="004834AC"/>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03D24"/>
    <w:rsid w:val="00817DD6"/>
    <w:rsid w:val="00885156"/>
    <w:rsid w:val="009151AA"/>
    <w:rsid w:val="0093429D"/>
    <w:rsid w:val="00943573"/>
    <w:rsid w:val="00970F7D"/>
    <w:rsid w:val="00994A3D"/>
    <w:rsid w:val="009C2B12"/>
    <w:rsid w:val="009C70F3"/>
    <w:rsid w:val="00A174D9"/>
    <w:rsid w:val="00A569CD"/>
    <w:rsid w:val="00AB6715"/>
    <w:rsid w:val="00B1671E"/>
    <w:rsid w:val="00B25EB8"/>
    <w:rsid w:val="00B354E1"/>
    <w:rsid w:val="00B37F4D"/>
    <w:rsid w:val="00C32EB6"/>
    <w:rsid w:val="00C52A7B"/>
    <w:rsid w:val="00C56BAF"/>
    <w:rsid w:val="00C679AA"/>
    <w:rsid w:val="00C75972"/>
    <w:rsid w:val="00CC0A3A"/>
    <w:rsid w:val="00CD066B"/>
    <w:rsid w:val="00CE4FEE"/>
    <w:rsid w:val="00DB59C3"/>
    <w:rsid w:val="00DC259A"/>
    <w:rsid w:val="00DE23E8"/>
    <w:rsid w:val="00E52377"/>
    <w:rsid w:val="00E64E17"/>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803D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4929F-83D0-432F-8F82-6D4423C25F5E}">
  <ds:schemaRefs>
    <ds:schemaRef ds:uri="http://schemas.microsoft.com/sharepoint/v3/contenttype/forms"/>
  </ds:schemaRefs>
</ds:datastoreItem>
</file>

<file path=customXml/itemProps2.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3.xml><?xml version="1.0" encoding="utf-8"?>
<ds:datastoreItem xmlns:ds="http://schemas.openxmlformats.org/officeDocument/2006/customXml" ds:itemID="{2558679B-78FB-42CD-A1EA-A99096AF5568}">
  <ds:schemaRefs>
    <ds:schemaRef ds:uri="http://schemas.microsoft.com/sharepoint/events"/>
  </ds:schemaRefs>
</ds:datastoreItem>
</file>

<file path=customXml/itemProps4.xml><?xml version="1.0" encoding="utf-8"?>
<ds:datastoreItem xmlns:ds="http://schemas.openxmlformats.org/officeDocument/2006/customXml" ds:itemID="{114314AF-3C36-4C2C-B599-40A76C6FFFC1}">
  <ds:schemaRefs>
    <ds:schemaRef ds:uri="http://schemas.openxmlformats.org/officeDocument/2006/bibliography"/>
  </ds:schemaRefs>
</ds:datastoreItem>
</file>

<file path=customXml/itemProps5.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dc:creator>
  <cp:lastModifiedBy>Frontiers</cp:lastModifiedBy>
  <cp:revision>3</cp:revision>
  <cp:lastPrinted>2013-10-03T12:51:00Z</cp:lastPrinted>
  <dcterms:created xsi:type="dcterms:W3CDTF">2023-04-30T20:54:00Z</dcterms:created>
  <dcterms:modified xsi:type="dcterms:W3CDTF">2023-07-18T07:40:00Z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