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24" w:rsidRPr="00492CAF" w:rsidRDefault="002A7324" w:rsidP="007E7F53">
      <w:pPr>
        <w:tabs>
          <w:tab w:val="left" w:pos="1590"/>
        </w:tabs>
        <w:spacing w:after="0" w:line="480" w:lineRule="auto"/>
        <w:rPr>
          <w:rFonts w:asciiTheme="majorBidi" w:eastAsia="Arial Unicode MS" w:hAnsiTheme="majorBidi" w:cstheme="majorBidi"/>
          <w:sz w:val="24"/>
          <w:szCs w:val="24"/>
        </w:rPr>
      </w:pPr>
      <w:r>
        <w:rPr>
          <w:rFonts w:asciiTheme="majorBidi" w:eastAsia="Arial Unicode MS" w:hAnsiTheme="majorBidi" w:cstheme="majorBidi"/>
          <w:b/>
          <w:bCs/>
          <w:sz w:val="24"/>
          <w:szCs w:val="24"/>
        </w:rPr>
        <w:t>S</w:t>
      </w:r>
      <w:r w:rsidR="007E7F53">
        <w:rPr>
          <w:rFonts w:asciiTheme="majorBidi" w:eastAsia="Arial Unicode MS" w:hAnsiTheme="majorBidi" w:cstheme="majorBidi"/>
          <w:b/>
          <w:bCs/>
          <w:sz w:val="24"/>
          <w:szCs w:val="24"/>
        </w:rPr>
        <w:t>6</w:t>
      </w:r>
      <w:bookmarkStart w:id="0" w:name="_GoBack"/>
      <w:bookmarkEnd w:id="0"/>
      <w:r>
        <w:rPr>
          <w:rFonts w:asciiTheme="majorBidi" w:eastAsia="Arial Unicode MS" w:hAnsiTheme="majorBidi" w:cstheme="majorBidi"/>
          <w:b/>
          <w:bCs/>
          <w:sz w:val="24"/>
          <w:szCs w:val="24"/>
        </w:rPr>
        <w:t xml:space="preserve"> Text</w:t>
      </w:r>
      <w:r w:rsidRPr="00492CAF">
        <w:rPr>
          <w:rFonts w:asciiTheme="majorBidi" w:eastAsia="Arial Unicode MS" w:hAnsiTheme="majorBidi" w:cstheme="majorBidi"/>
          <w:b/>
          <w:bCs/>
          <w:sz w:val="24"/>
          <w:szCs w:val="24"/>
        </w:rPr>
        <w:t xml:space="preserve">: </w:t>
      </w:r>
      <w:r w:rsidRPr="00492CAF">
        <w:rPr>
          <w:rFonts w:asciiTheme="majorBidi" w:eastAsia="Arial Unicode MS" w:hAnsiTheme="majorBidi" w:cstheme="majorBidi"/>
          <w:sz w:val="24"/>
          <w:szCs w:val="24"/>
        </w:rPr>
        <w:t>Definition of the primary outcomes</w:t>
      </w:r>
    </w:p>
    <w:p w:rsidR="002A7324" w:rsidRPr="00963D09" w:rsidRDefault="002A7324" w:rsidP="002A7324">
      <w:pPr>
        <w:tabs>
          <w:tab w:val="left" w:pos="1590"/>
        </w:tabs>
        <w:spacing w:after="0" w:line="480" w:lineRule="auto"/>
        <w:rPr>
          <w:rFonts w:asciiTheme="majorBidi" w:hAnsiTheme="majorBidi" w:cstheme="majorBidi"/>
          <w:b/>
          <w:bCs/>
          <w:i/>
          <w:iCs/>
          <w:sz w:val="24"/>
          <w:szCs w:val="24"/>
        </w:rPr>
      </w:pPr>
      <w:r>
        <w:rPr>
          <w:rFonts w:asciiTheme="majorBidi" w:hAnsiTheme="majorBidi" w:cstheme="majorBidi"/>
          <w:b/>
          <w:bCs/>
          <w:i/>
          <w:iCs/>
          <w:sz w:val="24"/>
          <w:szCs w:val="24"/>
        </w:rPr>
        <w:t>6</w:t>
      </w:r>
      <w:r w:rsidRPr="00963D09">
        <w:rPr>
          <w:rFonts w:asciiTheme="majorBidi" w:hAnsiTheme="majorBidi" w:cstheme="majorBidi"/>
          <w:b/>
          <w:bCs/>
          <w:i/>
          <w:iCs/>
          <w:sz w:val="24"/>
          <w:szCs w:val="24"/>
        </w:rPr>
        <w:t xml:space="preserve">A. Composite maternal outcome combining gestational diabetes or pre-eclampsia </w:t>
      </w:r>
    </w:p>
    <w:p w:rsidR="002A7324" w:rsidRPr="00492CAF" w:rsidRDefault="002A7324" w:rsidP="002A7324">
      <w:pPr>
        <w:tabs>
          <w:tab w:val="left" w:pos="1590"/>
        </w:tabs>
        <w:spacing w:after="0" w:line="480" w:lineRule="auto"/>
        <w:rPr>
          <w:rFonts w:asciiTheme="majorBidi" w:eastAsia="Arial Unicode MS" w:hAnsiTheme="majorBidi" w:cstheme="majorBidi"/>
          <w:b/>
          <w:sz w:val="24"/>
          <w:szCs w:val="24"/>
        </w:rPr>
      </w:pPr>
      <w:r w:rsidRPr="00492CAF">
        <w:rPr>
          <w:rFonts w:asciiTheme="majorBidi" w:eastAsia="Arial Unicode MS" w:hAnsiTheme="majorBidi" w:cstheme="majorBidi"/>
          <w:b/>
          <w:iCs/>
          <w:sz w:val="24"/>
          <w:szCs w:val="24"/>
        </w:rPr>
        <w:t>Gestational diabetes</w:t>
      </w:r>
      <w:r w:rsidRPr="00492CAF">
        <w:rPr>
          <w:rFonts w:asciiTheme="majorBidi" w:eastAsia="Arial Unicode MS" w:hAnsiTheme="majorBidi" w:cstheme="majorBidi"/>
          <w:b/>
          <w:sz w:val="24"/>
          <w:szCs w:val="24"/>
        </w:rPr>
        <w:t xml:space="preserve"> </w:t>
      </w: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r w:rsidRPr="00492CAF">
        <w:rPr>
          <w:rFonts w:asciiTheme="majorBidi" w:eastAsia="Arial Unicode MS" w:hAnsiTheme="majorBidi" w:cstheme="majorBidi"/>
          <w:sz w:val="24"/>
          <w:szCs w:val="24"/>
        </w:rPr>
        <w:t>Defined as per the modified International Association of Diabetes and Pregnancy Study Groups (IADPSG) criteria—ie, fasting venous glucose of 5·1 mmol/L or higher or 2 h venous glucose of 8·5 mmol/L or higher, or a combination of these.</w:t>
      </w:r>
    </w:p>
    <w:p w:rsidR="002A7324" w:rsidRDefault="002A7324" w:rsidP="002A7324">
      <w:pPr>
        <w:tabs>
          <w:tab w:val="left" w:pos="1590"/>
        </w:tabs>
        <w:spacing w:after="0" w:line="480" w:lineRule="auto"/>
        <w:rPr>
          <w:rFonts w:asciiTheme="majorBidi" w:eastAsia="Arial Unicode MS" w:hAnsiTheme="majorBidi" w:cstheme="majorBidi"/>
          <w:b/>
          <w:iCs/>
          <w:sz w:val="24"/>
          <w:szCs w:val="24"/>
        </w:rPr>
      </w:pPr>
    </w:p>
    <w:p w:rsidR="002A7324" w:rsidRPr="00492CAF" w:rsidRDefault="002A7324" w:rsidP="002A7324">
      <w:pPr>
        <w:tabs>
          <w:tab w:val="left" w:pos="1590"/>
        </w:tabs>
        <w:spacing w:after="0" w:line="480" w:lineRule="auto"/>
        <w:rPr>
          <w:rFonts w:asciiTheme="majorBidi" w:eastAsia="Arial Unicode MS" w:hAnsiTheme="majorBidi" w:cstheme="majorBidi"/>
          <w:b/>
          <w:iCs/>
          <w:sz w:val="24"/>
          <w:szCs w:val="24"/>
        </w:rPr>
      </w:pPr>
      <w:r w:rsidRPr="00492CAF">
        <w:rPr>
          <w:rFonts w:asciiTheme="majorBidi" w:eastAsia="Arial Unicode MS" w:hAnsiTheme="majorBidi" w:cstheme="majorBidi"/>
          <w:b/>
          <w:iCs/>
          <w:sz w:val="24"/>
          <w:szCs w:val="24"/>
        </w:rPr>
        <w:t>Pre-eclampsia</w:t>
      </w:r>
    </w:p>
    <w:p w:rsidR="002A7324" w:rsidRPr="00492CAF" w:rsidRDefault="002A7324" w:rsidP="002A7324">
      <w:pPr>
        <w:tabs>
          <w:tab w:val="left" w:pos="1590"/>
        </w:tabs>
        <w:spacing w:after="0" w:line="480" w:lineRule="auto"/>
        <w:rPr>
          <w:rFonts w:asciiTheme="majorBidi" w:eastAsia="Arial Unicode MS" w:hAnsiTheme="majorBidi" w:cstheme="majorBidi"/>
          <w:iCs/>
          <w:sz w:val="24"/>
          <w:szCs w:val="24"/>
        </w:rPr>
      </w:pPr>
      <w:r w:rsidRPr="00492CAF">
        <w:rPr>
          <w:rFonts w:asciiTheme="majorBidi" w:eastAsia="Arial Unicode MS" w:hAnsiTheme="majorBidi" w:cstheme="majorBidi"/>
          <w:iCs/>
          <w:sz w:val="24"/>
          <w:szCs w:val="24"/>
        </w:rPr>
        <w:t>Either new onset or superimposed pre-eclampsia</w:t>
      </w:r>
    </w:p>
    <w:p w:rsidR="002A7324" w:rsidRPr="00492CAF" w:rsidRDefault="002A7324" w:rsidP="002A7324">
      <w:pPr>
        <w:tabs>
          <w:tab w:val="left" w:pos="1590"/>
        </w:tabs>
        <w:spacing w:after="0" w:line="480" w:lineRule="auto"/>
        <w:rPr>
          <w:rFonts w:asciiTheme="majorBidi" w:eastAsia="Arial Unicode MS" w:hAnsiTheme="majorBidi" w:cstheme="majorBidi"/>
          <w:i/>
          <w:iCs/>
          <w:sz w:val="24"/>
          <w:szCs w:val="24"/>
        </w:rPr>
      </w:pPr>
      <w:r w:rsidRPr="00492CAF">
        <w:rPr>
          <w:rFonts w:asciiTheme="majorBidi" w:eastAsia="Arial Unicode MS" w:hAnsiTheme="majorBidi" w:cstheme="majorBidi"/>
          <w:i/>
          <w:iCs/>
          <w:sz w:val="24"/>
          <w:szCs w:val="24"/>
        </w:rPr>
        <w:t>New Onset pre-eclampsia:</w:t>
      </w:r>
    </w:p>
    <w:p w:rsidR="002A7324" w:rsidRDefault="002A7324" w:rsidP="002A7324">
      <w:pPr>
        <w:tabs>
          <w:tab w:val="left" w:pos="1590"/>
        </w:tabs>
        <w:spacing w:after="0" w:line="480" w:lineRule="auto"/>
        <w:rPr>
          <w:rFonts w:asciiTheme="majorBidi" w:eastAsia="Arial Unicode MS" w:hAnsiTheme="majorBidi" w:cstheme="majorBidi"/>
          <w:sz w:val="24"/>
          <w:szCs w:val="24"/>
        </w:rPr>
      </w:pPr>
      <w:r w:rsidRPr="00492CAF">
        <w:rPr>
          <w:rFonts w:asciiTheme="majorBidi" w:eastAsia="Arial Unicode MS" w:hAnsiTheme="majorBidi" w:cstheme="majorBidi"/>
          <w:sz w:val="24"/>
          <w:szCs w:val="24"/>
        </w:rPr>
        <w:t>New onset hypertension after 20 weeks gestation defined as systolic BP ≥ 140 mm Hg or diastolic BP ≥ 90 mmHg, in at least two readings, taken 4-6 hours apart plus new onset proteinuria defined as spot urine PCR test greater than 30mg/mmol or &gt;24 hour urine 300mg/24 hours or 2+ or more on standard urinary dipstick tests after 20 weeks gestation</w:t>
      </w:r>
      <w:r>
        <w:rPr>
          <w:rFonts w:asciiTheme="majorBidi" w:eastAsia="Arial Unicode MS" w:hAnsiTheme="majorBidi" w:cstheme="majorBidi"/>
          <w:sz w:val="24"/>
          <w:szCs w:val="24"/>
        </w:rPr>
        <w:t>.</w:t>
      </w: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r w:rsidRPr="00492CAF">
        <w:rPr>
          <w:rFonts w:asciiTheme="majorBidi" w:eastAsia="Arial Unicode MS" w:hAnsiTheme="majorBidi" w:cstheme="majorBidi"/>
          <w:i/>
          <w:iCs/>
          <w:sz w:val="24"/>
          <w:szCs w:val="24"/>
        </w:rPr>
        <w:t>Superimposed pre-eclampsia in women with chronic hypertension or chronic proteinuria</w:t>
      </w:r>
      <w:r w:rsidRPr="00492CAF">
        <w:rPr>
          <w:rFonts w:asciiTheme="majorBidi" w:eastAsia="Arial Unicode MS" w:hAnsiTheme="majorBidi" w:cstheme="majorBidi"/>
          <w:sz w:val="24"/>
          <w:szCs w:val="24"/>
        </w:rPr>
        <w:t>:</w:t>
      </w: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r w:rsidRPr="00492CAF">
        <w:rPr>
          <w:rFonts w:asciiTheme="majorBidi" w:eastAsia="Arial Unicode MS" w:hAnsiTheme="majorBidi" w:cstheme="majorBidi"/>
          <w:sz w:val="24"/>
          <w:szCs w:val="24"/>
        </w:rPr>
        <w:t>In women with chronic hypertension and no proteinuria at baseline, the appearance of new onset proteinuria, (defined above) constitute a ‘superimposed pre-eclampsia</w:t>
      </w:r>
      <w:r>
        <w:rPr>
          <w:rFonts w:asciiTheme="majorBidi" w:eastAsia="Arial Unicode MS" w:hAnsiTheme="majorBidi" w:cstheme="majorBidi"/>
          <w:sz w:val="24"/>
          <w:szCs w:val="24"/>
        </w:rPr>
        <w:t>.’</w:t>
      </w:r>
      <w:r w:rsidRPr="00492CAF">
        <w:rPr>
          <w:rFonts w:asciiTheme="majorBidi" w:eastAsia="Arial Unicode MS" w:hAnsiTheme="majorBidi" w:cstheme="majorBidi"/>
          <w:sz w:val="24"/>
          <w:szCs w:val="24"/>
        </w:rPr>
        <w:t xml:space="preserve"> Chronic hypertension is hypertension that is present at the booking visit or before 20 weeks or if the woman is already taking antihypertensive medication </w:t>
      </w:r>
      <w:r>
        <w:rPr>
          <w:rFonts w:asciiTheme="majorBidi" w:eastAsia="Arial Unicode MS" w:hAnsiTheme="majorBidi" w:cstheme="majorBidi"/>
          <w:sz w:val="24"/>
          <w:szCs w:val="24"/>
        </w:rPr>
        <w:t>at booking</w:t>
      </w:r>
      <w:r w:rsidRPr="00492CAF">
        <w:rPr>
          <w:rFonts w:asciiTheme="majorBidi" w:eastAsia="Arial Unicode MS" w:hAnsiTheme="majorBidi" w:cstheme="majorBidi"/>
          <w:sz w:val="24"/>
          <w:szCs w:val="24"/>
        </w:rPr>
        <w:t>.</w:t>
      </w:r>
      <w:r>
        <w:rPr>
          <w:rFonts w:asciiTheme="majorBidi" w:eastAsia="Arial Unicode MS" w:hAnsiTheme="majorBidi" w:cstheme="majorBidi"/>
          <w:sz w:val="24"/>
          <w:szCs w:val="24"/>
        </w:rPr>
        <w:t xml:space="preserve"> </w:t>
      </w:r>
      <w:r w:rsidRPr="00492CAF">
        <w:rPr>
          <w:rFonts w:asciiTheme="majorBidi" w:eastAsia="Arial Unicode MS" w:hAnsiTheme="majorBidi" w:cstheme="majorBidi"/>
          <w:sz w:val="24"/>
          <w:szCs w:val="24"/>
        </w:rPr>
        <w:t xml:space="preserve">In women who had proteinuria at </w:t>
      </w:r>
      <w:r w:rsidRPr="00963D09">
        <w:rPr>
          <w:rFonts w:asciiTheme="majorBidi" w:eastAsia="Arial Unicode MS" w:hAnsiTheme="majorBidi" w:cstheme="majorBidi"/>
          <w:noProof/>
          <w:sz w:val="24"/>
          <w:szCs w:val="24"/>
        </w:rPr>
        <w:t>base line</w:t>
      </w:r>
      <w:r w:rsidRPr="00492CAF">
        <w:rPr>
          <w:rFonts w:asciiTheme="majorBidi" w:eastAsia="Arial Unicode MS" w:hAnsiTheme="majorBidi" w:cstheme="majorBidi"/>
          <w:sz w:val="24"/>
          <w:szCs w:val="24"/>
        </w:rPr>
        <w:t>, the diagnosis of superimposed preeclampsia requires an elevated serum alanine aminotransferase concentration (&gt;70 U per litre) or worsening hypertension (either two diastolic BP of at least 110 mm Hg four hours apart or one diastolic measurement of at least 110 mm Hg or if the woman had been treated with an antihypertensive drug).</w:t>
      </w: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r w:rsidRPr="00492CAF">
        <w:rPr>
          <w:rFonts w:asciiTheme="majorBidi" w:eastAsia="Arial Unicode MS" w:hAnsiTheme="majorBidi" w:cstheme="majorBidi"/>
          <w:sz w:val="24"/>
          <w:szCs w:val="24"/>
        </w:rPr>
        <w:lastRenderedPageBreak/>
        <w:t>Women with eclamptic seizures with no hypertension or proteinuria are considered to have pre-eclampsia.</w:t>
      </w: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p>
    <w:p w:rsidR="002A7324" w:rsidRPr="00963D09" w:rsidRDefault="002A7324" w:rsidP="002A7324">
      <w:pPr>
        <w:tabs>
          <w:tab w:val="left" w:pos="1590"/>
        </w:tabs>
        <w:spacing w:after="0" w:line="480" w:lineRule="auto"/>
        <w:rPr>
          <w:rFonts w:asciiTheme="majorBidi" w:hAnsiTheme="majorBidi" w:cstheme="majorBidi"/>
          <w:b/>
          <w:bCs/>
          <w:i/>
          <w:iCs/>
          <w:sz w:val="24"/>
          <w:szCs w:val="24"/>
        </w:rPr>
      </w:pPr>
      <w:r>
        <w:rPr>
          <w:rFonts w:asciiTheme="majorBidi" w:hAnsiTheme="majorBidi" w:cstheme="majorBidi"/>
          <w:b/>
          <w:bCs/>
          <w:i/>
          <w:iCs/>
          <w:sz w:val="24"/>
          <w:szCs w:val="24"/>
        </w:rPr>
        <w:t>6</w:t>
      </w:r>
      <w:r w:rsidRPr="00963D09">
        <w:rPr>
          <w:rFonts w:asciiTheme="majorBidi" w:hAnsiTheme="majorBidi" w:cstheme="majorBidi"/>
          <w:b/>
          <w:bCs/>
          <w:i/>
          <w:iCs/>
          <w:sz w:val="24"/>
          <w:szCs w:val="24"/>
        </w:rPr>
        <w:t xml:space="preserve">B. Composite offspring outcome combining stillbirth, small for gestational age (SGA) fetus, or admission to the </w:t>
      </w:r>
      <w:r w:rsidRPr="00963D09">
        <w:rPr>
          <w:rFonts w:asciiTheme="majorBidi" w:hAnsiTheme="majorBidi" w:cstheme="majorBidi"/>
          <w:b/>
          <w:bCs/>
          <w:i/>
          <w:iCs/>
          <w:noProof/>
          <w:sz w:val="24"/>
          <w:szCs w:val="24"/>
        </w:rPr>
        <w:t>neonatal</w:t>
      </w:r>
      <w:r w:rsidRPr="00963D09">
        <w:rPr>
          <w:rFonts w:asciiTheme="majorBidi" w:hAnsiTheme="majorBidi" w:cstheme="majorBidi"/>
          <w:b/>
          <w:bCs/>
          <w:i/>
          <w:iCs/>
          <w:sz w:val="24"/>
          <w:szCs w:val="24"/>
        </w:rPr>
        <w:t xml:space="preserve"> intensive care unit.</w:t>
      </w:r>
    </w:p>
    <w:p w:rsidR="002A7324" w:rsidRPr="00BD4364" w:rsidRDefault="002A7324" w:rsidP="002A7324">
      <w:pPr>
        <w:tabs>
          <w:tab w:val="left" w:pos="1590"/>
        </w:tabs>
        <w:spacing w:after="0" w:line="480" w:lineRule="auto"/>
        <w:rPr>
          <w:rFonts w:asciiTheme="majorBidi" w:eastAsia="Arial Unicode MS" w:hAnsiTheme="majorBidi" w:cstheme="majorBidi"/>
          <w:b/>
          <w:iCs/>
          <w:sz w:val="24"/>
          <w:szCs w:val="24"/>
        </w:rPr>
      </w:pPr>
      <w:r w:rsidRPr="00BD4364">
        <w:rPr>
          <w:rFonts w:asciiTheme="majorBidi" w:eastAsia="Arial Unicode MS" w:hAnsiTheme="majorBidi" w:cstheme="majorBidi"/>
          <w:b/>
          <w:iCs/>
          <w:sz w:val="24"/>
          <w:szCs w:val="24"/>
        </w:rPr>
        <w:t xml:space="preserve">Small for gestational age fetus </w:t>
      </w:r>
    </w:p>
    <w:p w:rsidR="002A7324" w:rsidRDefault="002A7324" w:rsidP="002A7324">
      <w:pPr>
        <w:tabs>
          <w:tab w:val="left" w:pos="1590"/>
        </w:tabs>
        <w:spacing w:after="0" w:line="480" w:lineRule="auto"/>
        <w:rPr>
          <w:rFonts w:asciiTheme="majorBidi" w:eastAsia="Arial Unicode MS" w:hAnsiTheme="majorBidi" w:cstheme="majorBidi"/>
          <w:sz w:val="24"/>
          <w:szCs w:val="24"/>
        </w:rPr>
      </w:pPr>
      <w:r w:rsidRPr="00492CAF">
        <w:rPr>
          <w:rFonts w:asciiTheme="majorBidi" w:eastAsia="Arial Unicode MS" w:hAnsiTheme="majorBidi" w:cstheme="majorBidi"/>
          <w:sz w:val="24"/>
          <w:szCs w:val="24"/>
        </w:rPr>
        <w:t>Defined as birth weight less than 10th centile using</w:t>
      </w:r>
      <w:r>
        <w:rPr>
          <w:rFonts w:asciiTheme="majorBidi" w:eastAsia="Arial Unicode MS" w:hAnsiTheme="majorBidi" w:cstheme="majorBidi"/>
          <w:sz w:val="24"/>
          <w:szCs w:val="24"/>
        </w:rPr>
        <w:t xml:space="preserve"> customised growth charts taking into account gestational age at delivery, maternal height, weight, </w:t>
      </w:r>
      <w:r w:rsidRPr="00963D09">
        <w:rPr>
          <w:rFonts w:asciiTheme="majorBidi" w:eastAsia="Arial Unicode MS" w:hAnsiTheme="majorBidi" w:cstheme="majorBidi"/>
          <w:noProof/>
          <w:sz w:val="24"/>
          <w:szCs w:val="24"/>
        </w:rPr>
        <w:t>parity</w:t>
      </w:r>
      <w:r>
        <w:rPr>
          <w:rFonts w:asciiTheme="majorBidi" w:eastAsia="Arial Unicode MS" w:hAnsiTheme="majorBidi" w:cstheme="majorBidi"/>
          <w:sz w:val="24"/>
          <w:szCs w:val="24"/>
        </w:rPr>
        <w:t xml:space="preserve"> and ethnicity. </w:t>
      </w:r>
    </w:p>
    <w:p w:rsidR="002A7324" w:rsidRDefault="002A7324" w:rsidP="002A7324">
      <w:pPr>
        <w:tabs>
          <w:tab w:val="left" w:pos="1590"/>
        </w:tabs>
        <w:spacing w:after="0" w:line="480" w:lineRule="auto"/>
        <w:rPr>
          <w:rFonts w:asciiTheme="majorBidi" w:eastAsia="Arial Unicode MS" w:hAnsiTheme="majorBidi" w:cstheme="majorBidi"/>
          <w:sz w:val="24"/>
          <w:szCs w:val="24"/>
        </w:rPr>
      </w:pPr>
    </w:p>
    <w:p w:rsidR="002A7324" w:rsidRPr="00BD4364" w:rsidRDefault="002A7324" w:rsidP="002A7324">
      <w:pPr>
        <w:tabs>
          <w:tab w:val="left" w:pos="1590"/>
        </w:tabs>
        <w:spacing w:after="0" w:line="480" w:lineRule="auto"/>
        <w:rPr>
          <w:rFonts w:asciiTheme="majorBidi" w:eastAsia="Arial Unicode MS" w:hAnsiTheme="majorBidi" w:cstheme="majorBidi"/>
          <w:b/>
          <w:iCs/>
          <w:sz w:val="24"/>
          <w:szCs w:val="24"/>
        </w:rPr>
      </w:pPr>
      <w:r w:rsidRPr="00BD4364">
        <w:rPr>
          <w:rFonts w:asciiTheme="majorBidi" w:eastAsia="Arial Unicode MS" w:hAnsiTheme="majorBidi" w:cstheme="majorBidi"/>
          <w:b/>
          <w:iCs/>
          <w:sz w:val="24"/>
          <w:szCs w:val="24"/>
        </w:rPr>
        <w:t xml:space="preserve">Stillbirth </w:t>
      </w:r>
    </w:p>
    <w:p w:rsidR="002A7324" w:rsidRDefault="002A7324" w:rsidP="002A7324">
      <w:pPr>
        <w:tabs>
          <w:tab w:val="left" w:pos="1590"/>
        </w:tabs>
        <w:spacing w:after="0" w:line="480" w:lineRule="auto"/>
        <w:rPr>
          <w:rFonts w:asciiTheme="majorBidi" w:eastAsia="Arial Unicode MS" w:hAnsiTheme="majorBidi" w:cstheme="majorBidi"/>
          <w:sz w:val="24"/>
          <w:szCs w:val="24"/>
        </w:rPr>
      </w:pPr>
      <w:r>
        <w:rPr>
          <w:rFonts w:asciiTheme="majorBidi" w:eastAsia="Arial Unicode MS" w:hAnsiTheme="majorBidi" w:cstheme="majorBidi"/>
          <w:sz w:val="24"/>
          <w:szCs w:val="24"/>
        </w:rPr>
        <w:t>Fetal death antepartum or intrapartum after 24 weeks’ gestation</w:t>
      </w:r>
    </w:p>
    <w:p w:rsidR="002A7324" w:rsidRDefault="002A7324" w:rsidP="002A7324">
      <w:pPr>
        <w:tabs>
          <w:tab w:val="left" w:pos="1590"/>
        </w:tabs>
        <w:spacing w:after="0" w:line="480" w:lineRule="auto"/>
        <w:rPr>
          <w:rFonts w:asciiTheme="majorBidi" w:eastAsia="Arial Unicode MS" w:hAnsiTheme="majorBidi" w:cstheme="majorBidi"/>
          <w:sz w:val="24"/>
          <w:szCs w:val="24"/>
        </w:rPr>
      </w:pPr>
    </w:p>
    <w:p w:rsidR="002A7324" w:rsidRPr="00BD4364" w:rsidRDefault="002A7324" w:rsidP="002A7324">
      <w:pPr>
        <w:tabs>
          <w:tab w:val="left" w:pos="1590"/>
        </w:tabs>
        <w:spacing w:after="0" w:line="480" w:lineRule="auto"/>
        <w:rPr>
          <w:rFonts w:asciiTheme="majorBidi" w:eastAsia="Arial Unicode MS" w:hAnsiTheme="majorBidi" w:cstheme="majorBidi"/>
          <w:b/>
          <w:iCs/>
          <w:sz w:val="24"/>
          <w:szCs w:val="24"/>
        </w:rPr>
      </w:pPr>
      <w:r w:rsidRPr="00BD4364">
        <w:rPr>
          <w:rFonts w:asciiTheme="majorBidi" w:eastAsia="Arial Unicode MS" w:hAnsiTheme="majorBidi" w:cstheme="majorBidi"/>
          <w:b/>
          <w:iCs/>
          <w:sz w:val="24"/>
          <w:szCs w:val="24"/>
        </w:rPr>
        <w:t>Admission to the neonatal intensive care unit</w:t>
      </w:r>
    </w:p>
    <w:p w:rsidR="002A7324" w:rsidRPr="00492CAF" w:rsidRDefault="002A7324" w:rsidP="002A7324">
      <w:pPr>
        <w:tabs>
          <w:tab w:val="left" w:pos="1590"/>
        </w:tabs>
        <w:spacing w:after="0" w:line="480" w:lineRule="auto"/>
        <w:rPr>
          <w:rFonts w:asciiTheme="majorBidi" w:eastAsia="Arial Unicode MS" w:hAnsiTheme="majorBidi" w:cstheme="majorBidi"/>
          <w:sz w:val="24"/>
          <w:szCs w:val="24"/>
        </w:rPr>
      </w:pPr>
      <w:r>
        <w:rPr>
          <w:rFonts w:asciiTheme="majorBidi" w:eastAsia="Arial Unicode MS" w:hAnsiTheme="majorBidi" w:cstheme="majorBidi"/>
          <w:sz w:val="24"/>
          <w:szCs w:val="24"/>
        </w:rPr>
        <w:t>Any condition that needs admission to the neonatal unit for further monitoring and management of the newborn.</w:t>
      </w:r>
    </w:p>
    <w:p w:rsidR="000408E6" w:rsidRDefault="007E7F53"/>
    <w:sectPr w:rsidR="0004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24"/>
    <w:rsid w:val="002A7324"/>
    <w:rsid w:val="00526DF6"/>
    <w:rsid w:val="007E7F53"/>
    <w:rsid w:val="00F72C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2A52"/>
  <w15:chartTrackingRefBased/>
  <w15:docId w15:val="{522FE910-2803-45F5-8A1D-39591082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Wat</dc:creator>
  <cp:keywords/>
  <dc:description/>
  <cp:lastModifiedBy>Bass Wat</cp:lastModifiedBy>
  <cp:revision>2</cp:revision>
  <dcterms:created xsi:type="dcterms:W3CDTF">2019-06-17T08:28:00Z</dcterms:created>
  <dcterms:modified xsi:type="dcterms:W3CDTF">2019-06-17T08:38:00Z</dcterms:modified>
</cp:coreProperties>
</file>