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6" w:rsidRPr="001A6D18" w:rsidRDefault="001205D6" w:rsidP="001205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S1 Table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Analysis of health status and quality of life using the EQ-5D assessment tool for participants in the ESTEEM trial </w:t>
      </w:r>
    </w:p>
    <w:p w:rsidR="001205D6" w:rsidRDefault="001205D6" w:rsidP="001205D6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PlainTable11"/>
        <w:tblW w:w="10774" w:type="dxa"/>
        <w:tblInd w:w="-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417"/>
        <w:gridCol w:w="1418"/>
        <w:gridCol w:w="1701"/>
        <w:gridCol w:w="969"/>
        <w:gridCol w:w="1701"/>
        <w:gridCol w:w="1134"/>
      </w:tblGrid>
      <w:tr w:rsidR="001205D6" w:rsidRPr="00F2493A" w:rsidTr="00CF7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hideMark/>
          </w:tcPr>
          <w:p w:rsidR="001205D6" w:rsidRPr="00F2493A" w:rsidRDefault="001205D6" w:rsidP="00CF7E8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Health State domain (n,</w:t>
            </w:r>
            <w:r w:rsidRPr="00F2493A">
              <w:rPr>
                <w:rFonts w:asciiTheme="majorBidi" w:hAnsiTheme="majorBidi" w:cstheme="majorBidi"/>
                <w:sz w:val="20"/>
                <w:szCs w:val="20"/>
              </w:rPr>
              <w:t>%)</w:t>
            </w:r>
          </w:p>
        </w:tc>
        <w:tc>
          <w:tcPr>
            <w:tcW w:w="1417" w:type="dxa"/>
            <w:hideMark/>
          </w:tcPr>
          <w:p w:rsidR="001205D6" w:rsidRPr="00F2493A" w:rsidRDefault="001205D6" w:rsidP="00CF7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93A">
              <w:rPr>
                <w:rFonts w:asciiTheme="majorBidi" w:hAnsiTheme="majorBidi" w:cstheme="majorBidi"/>
                <w:sz w:val="20"/>
                <w:szCs w:val="20"/>
              </w:rPr>
              <w:t>Intervention (n=553)</w:t>
            </w:r>
          </w:p>
        </w:tc>
        <w:tc>
          <w:tcPr>
            <w:tcW w:w="1418" w:type="dxa"/>
            <w:hideMark/>
          </w:tcPr>
          <w:p w:rsidR="001205D6" w:rsidRPr="00F2493A" w:rsidRDefault="001205D6" w:rsidP="00CF7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93A">
              <w:rPr>
                <w:rFonts w:asciiTheme="majorBidi" w:hAnsiTheme="majorBidi" w:cstheme="majorBidi"/>
                <w:sz w:val="20"/>
                <w:szCs w:val="20"/>
              </w:rPr>
              <w:t>Control (n=585)</w:t>
            </w:r>
          </w:p>
        </w:tc>
        <w:tc>
          <w:tcPr>
            <w:tcW w:w="1701" w:type="dxa"/>
            <w:hideMark/>
          </w:tcPr>
          <w:p w:rsidR="001205D6" w:rsidRPr="00F2493A" w:rsidRDefault="001205D6" w:rsidP="00CF7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93A">
              <w:rPr>
                <w:rFonts w:asciiTheme="majorBidi" w:hAnsiTheme="majorBidi" w:cstheme="majorBidi"/>
                <w:sz w:val="20"/>
                <w:szCs w:val="20"/>
              </w:rPr>
              <w:t>Crude Odds Ratio (95% CI)</w:t>
            </w:r>
          </w:p>
        </w:tc>
        <w:tc>
          <w:tcPr>
            <w:tcW w:w="969" w:type="dxa"/>
            <w:hideMark/>
          </w:tcPr>
          <w:p w:rsidR="001205D6" w:rsidRPr="00F2493A" w:rsidRDefault="001205D6" w:rsidP="00CF7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93A">
              <w:rPr>
                <w:rFonts w:asciiTheme="majorBidi" w:hAnsiTheme="majorBidi" w:cstheme="majorBidi"/>
                <w:sz w:val="20"/>
                <w:szCs w:val="20"/>
              </w:rPr>
              <w:t>Crude P Value</w:t>
            </w:r>
          </w:p>
        </w:tc>
        <w:tc>
          <w:tcPr>
            <w:tcW w:w="1701" w:type="dxa"/>
            <w:hideMark/>
          </w:tcPr>
          <w:p w:rsidR="001205D6" w:rsidRPr="00F2493A" w:rsidRDefault="001205D6" w:rsidP="00CF7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Adjusted</w:t>
            </w:r>
            <w:r w:rsidRPr="00F2493A">
              <w:rPr>
                <w:rFonts w:asciiTheme="majorBidi" w:hAnsiTheme="majorBidi" w:cstheme="majorBidi"/>
                <w:sz w:val="20"/>
                <w:szCs w:val="20"/>
              </w:rPr>
              <w:t xml:space="preserve"> Odds Ratio (95% CI)</w:t>
            </w:r>
          </w:p>
        </w:tc>
        <w:tc>
          <w:tcPr>
            <w:tcW w:w="1134" w:type="dxa"/>
            <w:hideMark/>
          </w:tcPr>
          <w:p w:rsidR="001205D6" w:rsidRPr="00F2493A" w:rsidRDefault="001205D6" w:rsidP="00CF7E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F2493A">
              <w:rPr>
                <w:rFonts w:asciiTheme="majorBidi" w:hAnsiTheme="majorBidi" w:cstheme="majorBidi"/>
                <w:sz w:val="20"/>
                <w:szCs w:val="20"/>
              </w:rPr>
              <w:t>Adjusted P Value</w:t>
            </w:r>
          </w:p>
        </w:tc>
      </w:tr>
      <w:tr w:rsidR="001205D6" w:rsidRPr="001A6D18" w:rsidTr="00CF7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hideMark/>
          </w:tcPr>
          <w:p w:rsidR="001205D6" w:rsidRPr="001A6D18" w:rsidRDefault="001205D6" w:rsidP="00CF7E8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Mobility</w:t>
            </w:r>
          </w:p>
        </w:tc>
        <w:tc>
          <w:tcPr>
            <w:tcW w:w="1417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83 (29.6%)</w:t>
            </w:r>
          </w:p>
        </w:tc>
        <w:tc>
          <w:tcPr>
            <w:tcW w:w="1418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84 (28.1%)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1.08 (0.75, 1.55)</w:t>
            </w:r>
          </w:p>
        </w:tc>
        <w:tc>
          <w:tcPr>
            <w:tcW w:w="969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1.06 (0.68, 1.64)</w:t>
            </w:r>
          </w:p>
        </w:tc>
        <w:tc>
          <w:tcPr>
            <w:tcW w:w="1134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0.80</w:t>
            </w:r>
          </w:p>
        </w:tc>
      </w:tr>
      <w:tr w:rsidR="001205D6" w:rsidRPr="001A6D18" w:rsidTr="00CF7E8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hideMark/>
          </w:tcPr>
          <w:p w:rsidR="001205D6" w:rsidRPr="001A6D18" w:rsidRDefault="001205D6" w:rsidP="00CF7E8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Self-Care</w:t>
            </w:r>
          </w:p>
        </w:tc>
        <w:tc>
          <w:tcPr>
            <w:tcW w:w="1417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25 (9.0%)</w:t>
            </w:r>
          </w:p>
        </w:tc>
        <w:tc>
          <w:tcPr>
            <w:tcW w:w="1418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36 (12.0%)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0.72 (0.42, 1.23)</w:t>
            </w:r>
          </w:p>
        </w:tc>
        <w:tc>
          <w:tcPr>
            <w:tcW w:w="969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0.23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0.73 (0.37, 1.46)</w:t>
            </w:r>
          </w:p>
        </w:tc>
        <w:tc>
          <w:tcPr>
            <w:tcW w:w="1134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</w:tr>
      <w:tr w:rsidR="001205D6" w:rsidRPr="001A6D18" w:rsidTr="00CF7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hideMark/>
          </w:tcPr>
          <w:p w:rsidR="001205D6" w:rsidRPr="001A6D18" w:rsidRDefault="001205D6" w:rsidP="00CF7E8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Usual Activities</w:t>
            </w:r>
          </w:p>
        </w:tc>
        <w:tc>
          <w:tcPr>
            <w:tcW w:w="1417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88 (31.7%)</w:t>
            </w:r>
          </w:p>
        </w:tc>
        <w:tc>
          <w:tcPr>
            <w:tcW w:w="1418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102 (34.0%)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0.90 (0.63, 1.27)</w:t>
            </w:r>
          </w:p>
        </w:tc>
        <w:tc>
          <w:tcPr>
            <w:tcW w:w="969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0.88 (0.57, 1.35)</w:t>
            </w:r>
          </w:p>
        </w:tc>
        <w:tc>
          <w:tcPr>
            <w:tcW w:w="1134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0.55</w:t>
            </w:r>
          </w:p>
        </w:tc>
      </w:tr>
      <w:tr w:rsidR="001205D6" w:rsidRPr="001A6D18" w:rsidTr="00CF7E8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hideMark/>
          </w:tcPr>
          <w:p w:rsidR="001205D6" w:rsidRPr="001A6D18" w:rsidRDefault="001205D6" w:rsidP="00CF7E8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Pain/Discomfort</w:t>
            </w:r>
          </w:p>
        </w:tc>
        <w:tc>
          <w:tcPr>
            <w:tcW w:w="1417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174 (62.4%)</w:t>
            </w:r>
          </w:p>
        </w:tc>
        <w:tc>
          <w:tcPr>
            <w:tcW w:w="1418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189 (63.2%)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0.96 (0.69, 1.35)</w:t>
            </w:r>
          </w:p>
        </w:tc>
        <w:tc>
          <w:tcPr>
            <w:tcW w:w="969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0.83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0.91 (0.60, 1.38)</w:t>
            </w:r>
          </w:p>
        </w:tc>
        <w:tc>
          <w:tcPr>
            <w:tcW w:w="1134" w:type="dxa"/>
            <w:hideMark/>
          </w:tcPr>
          <w:p w:rsidR="001205D6" w:rsidRPr="001A6D18" w:rsidRDefault="001205D6" w:rsidP="00CF7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0.65</w:t>
            </w:r>
          </w:p>
        </w:tc>
      </w:tr>
      <w:tr w:rsidR="001205D6" w:rsidRPr="001A6D18" w:rsidTr="00CF7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hideMark/>
          </w:tcPr>
          <w:p w:rsidR="001205D6" w:rsidRPr="001A6D18" w:rsidRDefault="001205D6" w:rsidP="00CF7E88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Anxiety/Depression</w:t>
            </w:r>
          </w:p>
        </w:tc>
        <w:tc>
          <w:tcPr>
            <w:tcW w:w="1417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53 (19.1%)</w:t>
            </w:r>
          </w:p>
        </w:tc>
        <w:tc>
          <w:tcPr>
            <w:tcW w:w="1418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59 (19.7%)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0.96 (0.63, 1.45)</w:t>
            </w:r>
          </w:p>
        </w:tc>
        <w:tc>
          <w:tcPr>
            <w:tcW w:w="969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0.84</w:t>
            </w:r>
          </w:p>
        </w:tc>
        <w:tc>
          <w:tcPr>
            <w:tcW w:w="1701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1.07 (0.65, 1.78)</w:t>
            </w:r>
          </w:p>
        </w:tc>
        <w:tc>
          <w:tcPr>
            <w:tcW w:w="1134" w:type="dxa"/>
            <w:hideMark/>
          </w:tcPr>
          <w:p w:rsidR="001205D6" w:rsidRPr="001A6D18" w:rsidRDefault="001205D6" w:rsidP="00CF7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A6D18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</w:tr>
    </w:tbl>
    <w:p w:rsidR="001205D6" w:rsidRPr="001A6D18" w:rsidRDefault="001205D6" w:rsidP="001205D6">
      <w:pPr>
        <w:rPr>
          <w:rFonts w:asciiTheme="majorBidi" w:hAnsiTheme="majorBidi" w:cstheme="majorBidi"/>
          <w:sz w:val="24"/>
          <w:szCs w:val="24"/>
        </w:rPr>
      </w:pPr>
      <w:r w:rsidRPr="001A6D18">
        <w:rPr>
          <w:rFonts w:asciiTheme="majorBidi" w:hAnsiTheme="majorBidi" w:cstheme="majorBidi"/>
          <w:sz w:val="24"/>
          <w:szCs w:val="24"/>
        </w:rPr>
        <w:t xml:space="preserve"> </w:t>
      </w:r>
    </w:p>
    <w:p w:rsidR="000408E6" w:rsidRDefault="001205D6"/>
    <w:sectPr w:rsidR="0004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D6"/>
    <w:rsid w:val="001205D6"/>
    <w:rsid w:val="00526DF6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D45E"/>
  <w15:chartTrackingRefBased/>
  <w15:docId w15:val="{3F6B0371-814B-4D32-9146-538C212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99"/>
    <w:rsid w:val="001205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 Wat</dc:creator>
  <cp:keywords/>
  <dc:description/>
  <cp:lastModifiedBy>Bass Wat</cp:lastModifiedBy>
  <cp:revision>1</cp:revision>
  <dcterms:created xsi:type="dcterms:W3CDTF">2019-06-17T08:29:00Z</dcterms:created>
  <dcterms:modified xsi:type="dcterms:W3CDTF">2019-06-17T08:29:00Z</dcterms:modified>
</cp:coreProperties>
</file>