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D654A" w14:textId="737AC90A" w:rsidR="008F6B74" w:rsidRPr="00961E12" w:rsidRDefault="0059012D">
      <w:pPr>
        <w:rPr>
          <w:rFonts w:ascii="Arial" w:hAnsi="Arial" w:cs="Arial"/>
          <w:lang w:val="en-US"/>
        </w:rPr>
      </w:pPr>
      <w:r>
        <w:rPr>
          <w:rFonts w:ascii="Arial" w:hAnsi="Arial" w:cs="Arial"/>
          <w:b/>
          <w:bCs/>
          <w:lang w:val="en-US"/>
        </w:rPr>
        <w:t>T</w:t>
      </w:r>
      <w:r w:rsidR="00C75850" w:rsidRPr="00961E12">
        <w:rPr>
          <w:rFonts w:ascii="Arial" w:hAnsi="Arial" w:cs="Arial"/>
          <w:b/>
          <w:bCs/>
          <w:lang w:val="en-US"/>
        </w:rPr>
        <w:t xml:space="preserve">able </w:t>
      </w:r>
      <w:r>
        <w:rPr>
          <w:rFonts w:ascii="Arial" w:hAnsi="Arial" w:cs="Arial"/>
          <w:b/>
          <w:bCs/>
          <w:lang w:val="en-US"/>
        </w:rPr>
        <w:t>S</w:t>
      </w:r>
      <w:r w:rsidR="00C75850" w:rsidRPr="00961E12">
        <w:rPr>
          <w:rFonts w:ascii="Arial" w:hAnsi="Arial" w:cs="Arial"/>
          <w:b/>
          <w:bCs/>
          <w:lang w:val="en-US"/>
        </w:rPr>
        <w:t>2</w:t>
      </w:r>
      <w:r w:rsidR="00C75850" w:rsidRPr="00961E12">
        <w:rPr>
          <w:rFonts w:ascii="Arial" w:hAnsi="Arial" w:cs="Arial"/>
          <w:lang w:val="en-US"/>
        </w:rPr>
        <w:t xml:space="preserve"> Excluded studies and reason for exclusion</w:t>
      </w:r>
    </w:p>
    <w:p w14:paraId="2CB17420" w14:textId="2EC0C079" w:rsidR="00C75850" w:rsidRPr="00961E12" w:rsidRDefault="00C75850">
      <w:pPr>
        <w:rPr>
          <w:rFonts w:ascii="Arial" w:hAnsi="Arial" w:cs="Arial"/>
          <w:lang w:val="en-US"/>
        </w:rPr>
      </w:pPr>
    </w:p>
    <w:tbl>
      <w:tblPr>
        <w:tblStyle w:val="TableGrid"/>
        <w:tblW w:w="14737" w:type="dxa"/>
        <w:tblLook w:val="04A0" w:firstRow="1" w:lastRow="0" w:firstColumn="1" w:lastColumn="0" w:noHBand="0" w:noVBand="1"/>
      </w:tblPr>
      <w:tblGrid>
        <w:gridCol w:w="1244"/>
        <w:gridCol w:w="750"/>
        <w:gridCol w:w="7562"/>
        <w:gridCol w:w="5181"/>
      </w:tblGrid>
      <w:tr w:rsidR="00C75850" w:rsidRPr="00961E12" w14:paraId="280F5BF5" w14:textId="77777777" w:rsidTr="00961E12">
        <w:trPr>
          <w:trHeight w:val="340"/>
        </w:trPr>
        <w:tc>
          <w:tcPr>
            <w:tcW w:w="1244" w:type="dxa"/>
            <w:noWrap/>
            <w:hideMark/>
          </w:tcPr>
          <w:p w14:paraId="0D2750CE" w14:textId="77777777" w:rsidR="00C75850" w:rsidRPr="00961E12" w:rsidRDefault="00C75850" w:rsidP="00961E12">
            <w:pPr>
              <w:rPr>
                <w:rFonts w:ascii="Arial" w:eastAsia="Times New Roman" w:hAnsi="Arial" w:cs="Arial"/>
                <w:b/>
                <w:bCs/>
                <w:color w:val="000000" w:themeColor="text1"/>
                <w:lang w:eastAsia="it-IT"/>
              </w:rPr>
            </w:pPr>
            <w:r w:rsidRPr="00961E12">
              <w:rPr>
                <w:rFonts w:ascii="Arial" w:eastAsia="Times New Roman" w:hAnsi="Arial" w:cs="Arial"/>
                <w:b/>
                <w:bCs/>
                <w:color w:val="000000" w:themeColor="text1"/>
                <w:lang w:eastAsia="it-IT"/>
              </w:rPr>
              <w:t>Author</w:t>
            </w:r>
          </w:p>
        </w:tc>
        <w:tc>
          <w:tcPr>
            <w:tcW w:w="750" w:type="dxa"/>
            <w:noWrap/>
            <w:hideMark/>
          </w:tcPr>
          <w:p w14:paraId="3853B5CB" w14:textId="77777777" w:rsidR="00C75850" w:rsidRPr="00961E12" w:rsidRDefault="00C75850" w:rsidP="00C75850">
            <w:pPr>
              <w:jc w:val="center"/>
              <w:rPr>
                <w:rFonts w:ascii="Arial" w:eastAsia="Times New Roman" w:hAnsi="Arial" w:cs="Arial"/>
                <w:b/>
                <w:bCs/>
                <w:color w:val="000000" w:themeColor="text1"/>
                <w:lang w:eastAsia="it-IT"/>
              </w:rPr>
            </w:pPr>
            <w:r w:rsidRPr="00961E12">
              <w:rPr>
                <w:rFonts w:ascii="Arial" w:eastAsia="Times New Roman" w:hAnsi="Arial" w:cs="Arial"/>
                <w:b/>
                <w:bCs/>
                <w:color w:val="000000" w:themeColor="text1"/>
                <w:lang w:eastAsia="it-IT"/>
              </w:rPr>
              <w:t>Year</w:t>
            </w:r>
          </w:p>
        </w:tc>
        <w:tc>
          <w:tcPr>
            <w:tcW w:w="7562" w:type="dxa"/>
            <w:hideMark/>
          </w:tcPr>
          <w:p w14:paraId="7E72071B" w14:textId="77777777" w:rsidR="00C75850" w:rsidRPr="00961E12" w:rsidRDefault="00C75850" w:rsidP="00C75850">
            <w:pPr>
              <w:jc w:val="center"/>
              <w:rPr>
                <w:rFonts w:ascii="Arial" w:eastAsia="Times New Roman" w:hAnsi="Arial" w:cs="Arial"/>
                <w:b/>
                <w:bCs/>
                <w:color w:val="000000" w:themeColor="text1"/>
                <w:lang w:eastAsia="it-IT"/>
              </w:rPr>
            </w:pPr>
            <w:r w:rsidRPr="00961E12">
              <w:rPr>
                <w:rFonts w:ascii="Arial" w:eastAsia="Times New Roman" w:hAnsi="Arial" w:cs="Arial"/>
                <w:b/>
                <w:bCs/>
                <w:color w:val="000000" w:themeColor="text1"/>
                <w:lang w:eastAsia="it-IT"/>
              </w:rPr>
              <w:t>Title</w:t>
            </w:r>
          </w:p>
        </w:tc>
        <w:tc>
          <w:tcPr>
            <w:tcW w:w="5181" w:type="dxa"/>
            <w:hideMark/>
          </w:tcPr>
          <w:p w14:paraId="77879941" w14:textId="438616C9" w:rsidR="00C75850" w:rsidRPr="00961E12" w:rsidRDefault="00C75850" w:rsidP="00C75850">
            <w:pPr>
              <w:jc w:val="center"/>
              <w:rPr>
                <w:rFonts w:ascii="Arial" w:eastAsia="Times New Roman" w:hAnsi="Arial" w:cs="Arial"/>
                <w:b/>
                <w:bCs/>
                <w:color w:val="000000" w:themeColor="text1"/>
                <w:lang w:eastAsia="it-IT"/>
              </w:rPr>
            </w:pPr>
            <w:r w:rsidRPr="00961E12">
              <w:rPr>
                <w:rFonts w:ascii="Arial" w:eastAsia="Times New Roman" w:hAnsi="Arial" w:cs="Arial"/>
                <w:b/>
                <w:bCs/>
                <w:color w:val="000000" w:themeColor="text1"/>
                <w:lang w:eastAsia="it-IT"/>
              </w:rPr>
              <w:t>Reason for exclusion</w:t>
            </w:r>
          </w:p>
        </w:tc>
      </w:tr>
      <w:tr w:rsidR="00C75850" w:rsidRPr="00961E12" w14:paraId="16C7D673" w14:textId="77777777" w:rsidTr="00961E12">
        <w:trPr>
          <w:trHeight w:val="680"/>
        </w:trPr>
        <w:tc>
          <w:tcPr>
            <w:tcW w:w="1244" w:type="dxa"/>
            <w:noWrap/>
            <w:hideMark/>
          </w:tcPr>
          <w:p w14:paraId="70479DE4" w14:textId="77777777" w:rsidR="00C75850" w:rsidRPr="00961E12" w:rsidRDefault="00C75850" w:rsidP="00961E12">
            <w:pPr>
              <w:rPr>
                <w:rFonts w:ascii="Arial" w:eastAsia="Times New Roman" w:hAnsi="Arial" w:cs="Arial"/>
                <w:color w:val="000000"/>
                <w:lang w:eastAsia="it-IT"/>
              </w:rPr>
            </w:pPr>
            <w:r w:rsidRPr="00961E12">
              <w:rPr>
                <w:rFonts w:ascii="Arial" w:eastAsia="Times New Roman" w:hAnsi="Arial" w:cs="Arial"/>
                <w:color w:val="000000"/>
                <w:lang w:eastAsia="it-IT"/>
              </w:rPr>
              <w:t>Bamberg</w:t>
            </w:r>
          </w:p>
        </w:tc>
        <w:tc>
          <w:tcPr>
            <w:tcW w:w="750" w:type="dxa"/>
            <w:noWrap/>
            <w:hideMark/>
          </w:tcPr>
          <w:p w14:paraId="06813682" w14:textId="77777777" w:rsidR="00C75850" w:rsidRPr="00961E12" w:rsidRDefault="00C75850" w:rsidP="00C75850">
            <w:pPr>
              <w:jc w:val="center"/>
              <w:rPr>
                <w:rFonts w:ascii="Arial" w:eastAsia="Times New Roman" w:hAnsi="Arial" w:cs="Arial"/>
                <w:color w:val="000000"/>
                <w:lang w:eastAsia="it-IT"/>
              </w:rPr>
            </w:pPr>
            <w:r w:rsidRPr="00961E12">
              <w:rPr>
                <w:rFonts w:ascii="Arial" w:eastAsia="Times New Roman" w:hAnsi="Arial" w:cs="Arial"/>
                <w:color w:val="000000"/>
                <w:lang w:eastAsia="it-IT"/>
              </w:rPr>
              <w:t>2021</w:t>
            </w:r>
          </w:p>
        </w:tc>
        <w:tc>
          <w:tcPr>
            <w:tcW w:w="7562" w:type="dxa"/>
            <w:hideMark/>
          </w:tcPr>
          <w:p w14:paraId="2614C450" w14:textId="77777777" w:rsidR="00C75850" w:rsidRPr="00961E12" w:rsidRDefault="00C75850" w:rsidP="00C75850">
            <w:pPr>
              <w:jc w:val="center"/>
              <w:rPr>
                <w:rFonts w:ascii="Arial" w:eastAsia="Times New Roman" w:hAnsi="Arial" w:cs="Arial"/>
                <w:color w:val="000000"/>
                <w:lang w:val="en-US" w:eastAsia="it-IT"/>
              </w:rPr>
            </w:pPr>
            <w:r w:rsidRPr="00961E12">
              <w:rPr>
                <w:rFonts w:ascii="Arial" w:eastAsia="Times New Roman" w:hAnsi="Arial" w:cs="Arial"/>
                <w:color w:val="000000"/>
                <w:lang w:val="en-US" w:eastAsia="it-IT"/>
              </w:rPr>
              <w:t>Differentiation between TTTS Stages I vs II and III vs IV does not affect probability of double survival after laser therapy</w:t>
            </w:r>
          </w:p>
        </w:tc>
        <w:tc>
          <w:tcPr>
            <w:tcW w:w="5181" w:type="dxa"/>
            <w:hideMark/>
          </w:tcPr>
          <w:p w14:paraId="05BBF58D" w14:textId="77777777" w:rsidR="00C75850" w:rsidRPr="00961E12" w:rsidRDefault="00C75850" w:rsidP="00C75850">
            <w:pPr>
              <w:jc w:val="center"/>
              <w:rPr>
                <w:rFonts w:ascii="Arial" w:eastAsia="Times New Roman" w:hAnsi="Arial" w:cs="Arial"/>
                <w:color w:val="000000"/>
                <w:lang w:val="en-US" w:eastAsia="it-IT"/>
              </w:rPr>
            </w:pPr>
            <w:r w:rsidRPr="00961E12">
              <w:rPr>
                <w:rFonts w:ascii="Arial" w:eastAsia="Times New Roman" w:hAnsi="Arial" w:cs="Arial"/>
                <w:color w:val="000000"/>
                <w:lang w:val="en-US" w:eastAsia="it-IT"/>
              </w:rPr>
              <w:t>No data on the outcomes explored in the present systematic review</w:t>
            </w:r>
          </w:p>
        </w:tc>
      </w:tr>
      <w:tr w:rsidR="00C75850" w:rsidRPr="00961E12" w14:paraId="3BFA9C87" w14:textId="77777777" w:rsidTr="00961E12">
        <w:trPr>
          <w:trHeight w:val="1360"/>
        </w:trPr>
        <w:tc>
          <w:tcPr>
            <w:tcW w:w="1244" w:type="dxa"/>
            <w:noWrap/>
            <w:hideMark/>
          </w:tcPr>
          <w:p w14:paraId="0B7AC469" w14:textId="77777777" w:rsidR="00C75850" w:rsidRPr="00961E12" w:rsidRDefault="00C75850" w:rsidP="00961E12">
            <w:pPr>
              <w:rPr>
                <w:rFonts w:ascii="Arial" w:eastAsia="Times New Roman" w:hAnsi="Arial" w:cs="Arial"/>
                <w:color w:val="000000"/>
                <w:lang w:eastAsia="it-IT"/>
              </w:rPr>
            </w:pPr>
            <w:r w:rsidRPr="00961E12">
              <w:rPr>
                <w:rFonts w:ascii="Arial" w:eastAsia="Times New Roman" w:hAnsi="Arial" w:cs="Arial"/>
                <w:color w:val="000000"/>
                <w:lang w:eastAsia="it-IT"/>
              </w:rPr>
              <w:t>Zhu</w:t>
            </w:r>
          </w:p>
        </w:tc>
        <w:tc>
          <w:tcPr>
            <w:tcW w:w="750" w:type="dxa"/>
            <w:noWrap/>
            <w:hideMark/>
          </w:tcPr>
          <w:p w14:paraId="7FCDA052" w14:textId="77777777" w:rsidR="00C75850" w:rsidRPr="00961E12" w:rsidRDefault="00C75850" w:rsidP="00C75850">
            <w:pPr>
              <w:jc w:val="center"/>
              <w:rPr>
                <w:rFonts w:ascii="Arial" w:eastAsia="Times New Roman" w:hAnsi="Arial" w:cs="Arial"/>
                <w:color w:val="000000"/>
                <w:lang w:eastAsia="it-IT"/>
              </w:rPr>
            </w:pPr>
            <w:r w:rsidRPr="00961E12">
              <w:rPr>
                <w:rFonts w:ascii="Arial" w:eastAsia="Times New Roman" w:hAnsi="Arial" w:cs="Arial"/>
                <w:color w:val="000000"/>
                <w:lang w:eastAsia="it-IT"/>
              </w:rPr>
              <w:t>2021</w:t>
            </w:r>
          </w:p>
        </w:tc>
        <w:tc>
          <w:tcPr>
            <w:tcW w:w="7562" w:type="dxa"/>
            <w:hideMark/>
          </w:tcPr>
          <w:p w14:paraId="0E8C6221" w14:textId="77777777" w:rsidR="00C75850" w:rsidRPr="00961E12" w:rsidRDefault="00C75850" w:rsidP="00C75850">
            <w:pPr>
              <w:jc w:val="center"/>
              <w:rPr>
                <w:rFonts w:ascii="Arial" w:eastAsia="Times New Roman" w:hAnsi="Arial" w:cs="Arial"/>
                <w:color w:val="000000"/>
                <w:lang w:val="en-US" w:eastAsia="it-IT"/>
              </w:rPr>
            </w:pPr>
            <w:r w:rsidRPr="00961E12">
              <w:rPr>
                <w:rFonts w:ascii="Arial" w:eastAsia="Times New Roman" w:hAnsi="Arial" w:cs="Arial"/>
                <w:color w:val="000000"/>
                <w:lang w:val="en-US" w:eastAsia="it-IT"/>
              </w:rPr>
              <w:t>Retrospective validation of 11–13 weeks’ gestation ultrasound characteristics as predictive tools for twin-twin transfusion syndrome and selective intrauterine growth restriction in monochorionic diamniotic twin pregnancies</w:t>
            </w:r>
          </w:p>
        </w:tc>
        <w:tc>
          <w:tcPr>
            <w:tcW w:w="5181" w:type="dxa"/>
            <w:hideMark/>
          </w:tcPr>
          <w:p w14:paraId="3A9D34AD" w14:textId="577BF154" w:rsidR="00C75850" w:rsidRPr="00961E12" w:rsidRDefault="00C75850" w:rsidP="00C75850">
            <w:pPr>
              <w:jc w:val="center"/>
              <w:rPr>
                <w:rFonts w:ascii="Arial" w:eastAsia="Times New Roman" w:hAnsi="Arial" w:cs="Arial"/>
                <w:color w:val="000000"/>
                <w:lang w:eastAsia="it-IT"/>
              </w:rPr>
            </w:pPr>
            <w:r w:rsidRPr="00961E12">
              <w:rPr>
                <w:rFonts w:ascii="Arial" w:eastAsia="Times New Roman" w:hAnsi="Arial" w:cs="Arial"/>
                <w:color w:val="000000"/>
                <w:lang w:val="en-US" w:eastAsia="it-IT"/>
              </w:rPr>
              <w:t xml:space="preserve">Study on the diagnostic </w:t>
            </w:r>
            <w:r w:rsidR="00961E12" w:rsidRPr="00961E12">
              <w:rPr>
                <w:rFonts w:ascii="Arial" w:eastAsia="Times New Roman" w:hAnsi="Arial" w:cs="Arial"/>
                <w:color w:val="000000"/>
                <w:lang w:val="en-US" w:eastAsia="it-IT"/>
              </w:rPr>
              <w:t>performance</w:t>
            </w:r>
            <w:r w:rsidRPr="00961E12">
              <w:rPr>
                <w:rFonts w:ascii="Arial" w:eastAsia="Times New Roman" w:hAnsi="Arial" w:cs="Arial"/>
                <w:color w:val="000000"/>
                <w:lang w:val="en-US" w:eastAsia="it-IT"/>
              </w:rPr>
              <w:t xml:space="preserve"> of first trimester </w:t>
            </w:r>
            <w:r w:rsidR="00961E12" w:rsidRPr="00961E12">
              <w:rPr>
                <w:rFonts w:ascii="Arial" w:eastAsia="Times New Roman" w:hAnsi="Arial" w:cs="Arial"/>
                <w:color w:val="000000"/>
                <w:lang w:val="en-US" w:eastAsia="it-IT"/>
              </w:rPr>
              <w:t>ultrasound</w:t>
            </w:r>
            <w:r w:rsidRPr="00961E12">
              <w:rPr>
                <w:rFonts w:ascii="Arial" w:eastAsia="Times New Roman" w:hAnsi="Arial" w:cs="Arial"/>
                <w:color w:val="000000"/>
                <w:lang w:val="en-US" w:eastAsia="it-IT"/>
              </w:rPr>
              <w:t xml:space="preserve"> in detecting TTTS and sFGR. </w:t>
            </w:r>
            <w:r w:rsidRPr="00961E12">
              <w:rPr>
                <w:rFonts w:ascii="Arial" w:eastAsia="Times New Roman" w:hAnsi="Arial" w:cs="Arial"/>
                <w:color w:val="000000"/>
                <w:lang w:eastAsia="it-IT"/>
              </w:rPr>
              <w:t>No data for the outcomes explored in the present systematic reveiw could be extrapolated from this study.</w:t>
            </w:r>
          </w:p>
        </w:tc>
      </w:tr>
      <w:tr w:rsidR="00C75850" w:rsidRPr="00961E12" w14:paraId="39E5D4A0" w14:textId="77777777" w:rsidTr="00961E12">
        <w:trPr>
          <w:trHeight w:val="1020"/>
        </w:trPr>
        <w:tc>
          <w:tcPr>
            <w:tcW w:w="1244" w:type="dxa"/>
            <w:noWrap/>
            <w:hideMark/>
          </w:tcPr>
          <w:p w14:paraId="1853AC0E" w14:textId="77777777" w:rsidR="00C75850" w:rsidRPr="00961E12" w:rsidRDefault="00C75850" w:rsidP="00961E12">
            <w:pPr>
              <w:rPr>
                <w:rFonts w:ascii="Arial" w:eastAsia="Times New Roman" w:hAnsi="Arial" w:cs="Arial"/>
                <w:color w:val="000000"/>
                <w:lang w:eastAsia="it-IT"/>
              </w:rPr>
            </w:pPr>
            <w:r w:rsidRPr="00961E12">
              <w:rPr>
                <w:rFonts w:ascii="Arial" w:eastAsia="Times New Roman" w:hAnsi="Arial" w:cs="Arial"/>
                <w:color w:val="000000"/>
                <w:lang w:eastAsia="it-IT"/>
              </w:rPr>
              <w:t>Donepudi</w:t>
            </w:r>
          </w:p>
        </w:tc>
        <w:tc>
          <w:tcPr>
            <w:tcW w:w="750" w:type="dxa"/>
            <w:noWrap/>
            <w:hideMark/>
          </w:tcPr>
          <w:p w14:paraId="5CFC53B9" w14:textId="77777777" w:rsidR="00C75850" w:rsidRPr="00961E12" w:rsidRDefault="00C75850" w:rsidP="00C75850">
            <w:pPr>
              <w:jc w:val="center"/>
              <w:rPr>
                <w:rFonts w:ascii="Arial" w:eastAsia="Times New Roman" w:hAnsi="Arial" w:cs="Arial"/>
                <w:color w:val="000000"/>
                <w:lang w:eastAsia="it-IT"/>
              </w:rPr>
            </w:pPr>
            <w:r w:rsidRPr="00961E12">
              <w:rPr>
                <w:rFonts w:ascii="Arial" w:eastAsia="Times New Roman" w:hAnsi="Arial" w:cs="Arial"/>
                <w:color w:val="000000"/>
                <w:lang w:eastAsia="it-IT"/>
              </w:rPr>
              <w:t>2021</w:t>
            </w:r>
          </w:p>
        </w:tc>
        <w:tc>
          <w:tcPr>
            <w:tcW w:w="7562" w:type="dxa"/>
            <w:hideMark/>
          </w:tcPr>
          <w:p w14:paraId="5724DAB7" w14:textId="77777777" w:rsidR="00C75850" w:rsidRPr="00961E12" w:rsidRDefault="00C75850" w:rsidP="00C75850">
            <w:pPr>
              <w:jc w:val="center"/>
              <w:rPr>
                <w:rFonts w:ascii="Arial" w:eastAsia="Times New Roman" w:hAnsi="Arial" w:cs="Arial"/>
                <w:color w:val="000000"/>
                <w:lang w:eastAsia="it-IT"/>
              </w:rPr>
            </w:pPr>
            <w:r w:rsidRPr="00961E12">
              <w:rPr>
                <w:rFonts w:ascii="Arial" w:eastAsia="Times New Roman" w:hAnsi="Arial" w:cs="Arial"/>
                <w:color w:val="000000"/>
                <w:lang w:eastAsia="it-IT"/>
              </w:rPr>
              <w:t>Prediction of post-laser fetal death in selective growth restriction complicating twin–twin transfusion syndrome using standardized deﬁnitions</w:t>
            </w:r>
          </w:p>
        </w:tc>
        <w:tc>
          <w:tcPr>
            <w:tcW w:w="5181" w:type="dxa"/>
            <w:hideMark/>
          </w:tcPr>
          <w:p w14:paraId="3BE777A5" w14:textId="77777777" w:rsidR="00C75850" w:rsidRPr="00961E12" w:rsidRDefault="00C75850" w:rsidP="00C75850">
            <w:pPr>
              <w:jc w:val="center"/>
              <w:rPr>
                <w:rFonts w:ascii="Arial" w:eastAsia="Times New Roman" w:hAnsi="Arial" w:cs="Arial"/>
                <w:color w:val="000000"/>
                <w:lang w:eastAsia="it-IT"/>
              </w:rPr>
            </w:pPr>
            <w:r w:rsidRPr="00961E12">
              <w:rPr>
                <w:rFonts w:ascii="Arial" w:eastAsia="Times New Roman" w:hAnsi="Arial" w:cs="Arial"/>
                <w:color w:val="000000"/>
                <w:lang w:eastAsia="it-IT"/>
              </w:rPr>
              <w:t>Another study from the same research group was incldued in the present systematic reveiw and considered the most representative from this group</w:t>
            </w:r>
          </w:p>
        </w:tc>
      </w:tr>
      <w:tr w:rsidR="00C75850" w:rsidRPr="00961E12" w14:paraId="1E0FA6DE" w14:textId="77777777" w:rsidTr="00961E12">
        <w:trPr>
          <w:trHeight w:val="680"/>
        </w:trPr>
        <w:tc>
          <w:tcPr>
            <w:tcW w:w="1244" w:type="dxa"/>
            <w:noWrap/>
            <w:hideMark/>
          </w:tcPr>
          <w:p w14:paraId="411AD63E" w14:textId="77777777" w:rsidR="00C75850" w:rsidRPr="00961E12" w:rsidRDefault="00C75850" w:rsidP="00961E12">
            <w:pPr>
              <w:rPr>
                <w:rFonts w:ascii="Arial" w:eastAsia="Times New Roman" w:hAnsi="Arial" w:cs="Arial"/>
                <w:color w:val="000000"/>
                <w:lang w:eastAsia="it-IT"/>
              </w:rPr>
            </w:pPr>
            <w:r w:rsidRPr="00961E12">
              <w:rPr>
                <w:rFonts w:ascii="Arial" w:eastAsia="Times New Roman" w:hAnsi="Arial" w:cs="Arial"/>
                <w:color w:val="000000"/>
                <w:lang w:eastAsia="it-IT"/>
              </w:rPr>
              <w:t>Curado</w:t>
            </w:r>
          </w:p>
        </w:tc>
        <w:tc>
          <w:tcPr>
            <w:tcW w:w="750" w:type="dxa"/>
            <w:noWrap/>
            <w:hideMark/>
          </w:tcPr>
          <w:p w14:paraId="3D99D361" w14:textId="77777777" w:rsidR="00C75850" w:rsidRPr="00961E12" w:rsidRDefault="00C75850" w:rsidP="00C75850">
            <w:pPr>
              <w:jc w:val="center"/>
              <w:rPr>
                <w:rFonts w:ascii="Arial" w:eastAsia="Times New Roman" w:hAnsi="Arial" w:cs="Arial"/>
                <w:color w:val="000000"/>
                <w:lang w:eastAsia="it-IT"/>
              </w:rPr>
            </w:pPr>
            <w:r w:rsidRPr="00961E12">
              <w:rPr>
                <w:rFonts w:ascii="Arial" w:eastAsia="Times New Roman" w:hAnsi="Arial" w:cs="Arial"/>
                <w:color w:val="000000"/>
                <w:lang w:eastAsia="it-IT"/>
              </w:rPr>
              <w:t>2020</w:t>
            </w:r>
          </w:p>
        </w:tc>
        <w:tc>
          <w:tcPr>
            <w:tcW w:w="7562" w:type="dxa"/>
            <w:hideMark/>
          </w:tcPr>
          <w:p w14:paraId="514EF552" w14:textId="77777777" w:rsidR="00C75850" w:rsidRPr="00961E12" w:rsidRDefault="00C75850" w:rsidP="00C75850">
            <w:pPr>
              <w:jc w:val="center"/>
              <w:rPr>
                <w:rFonts w:ascii="Arial" w:eastAsia="Times New Roman" w:hAnsi="Arial" w:cs="Arial"/>
                <w:color w:val="000000"/>
                <w:lang w:eastAsia="it-IT"/>
              </w:rPr>
            </w:pPr>
            <w:r w:rsidRPr="00961E12">
              <w:rPr>
                <w:rFonts w:ascii="Arial" w:eastAsia="Times New Roman" w:hAnsi="Arial" w:cs="Arial"/>
                <w:color w:val="000000"/>
                <w:lang w:eastAsia="it-IT"/>
              </w:rPr>
              <w:t>Early- and late-onset selective fetal growth restriction in monochorionic diamniotic twin pregnancy: natural history and diagnostic criteria</w:t>
            </w:r>
          </w:p>
        </w:tc>
        <w:tc>
          <w:tcPr>
            <w:tcW w:w="5181" w:type="dxa"/>
            <w:hideMark/>
          </w:tcPr>
          <w:p w14:paraId="5D2636C2" w14:textId="77777777" w:rsidR="00C75850" w:rsidRPr="00961E12" w:rsidRDefault="00C75850" w:rsidP="00C75850">
            <w:pPr>
              <w:jc w:val="center"/>
              <w:rPr>
                <w:rFonts w:ascii="Arial" w:eastAsia="Times New Roman" w:hAnsi="Arial" w:cs="Arial"/>
                <w:color w:val="000000"/>
                <w:lang w:val="en-US" w:eastAsia="it-IT"/>
              </w:rPr>
            </w:pPr>
            <w:r w:rsidRPr="00961E12">
              <w:rPr>
                <w:rFonts w:ascii="Arial" w:eastAsia="Times New Roman" w:hAnsi="Arial" w:cs="Arial"/>
                <w:color w:val="000000"/>
                <w:lang w:val="en-US" w:eastAsia="it-IT"/>
              </w:rPr>
              <w:t>No data on the outcomes explored in the present systematic review</w:t>
            </w:r>
          </w:p>
        </w:tc>
      </w:tr>
      <w:tr w:rsidR="00C75850" w:rsidRPr="00961E12" w14:paraId="6F921158" w14:textId="77777777" w:rsidTr="00961E12">
        <w:trPr>
          <w:trHeight w:val="1360"/>
        </w:trPr>
        <w:tc>
          <w:tcPr>
            <w:tcW w:w="1244" w:type="dxa"/>
            <w:noWrap/>
            <w:hideMark/>
          </w:tcPr>
          <w:p w14:paraId="598145D3" w14:textId="77777777" w:rsidR="00C75850" w:rsidRPr="00961E12" w:rsidRDefault="00C75850" w:rsidP="00961E12">
            <w:pPr>
              <w:rPr>
                <w:rFonts w:ascii="Arial" w:eastAsia="Times New Roman" w:hAnsi="Arial" w:cs="Arial"/>
                <w:color w:val="000000"/>
                <w:lang w:eastAsia="it-IT"/>
              </w:rPr>
            </w:pPr>
            <w:r w:rsidRPr="00961E12">
              <w:rPr>
                <w:rFonts w:ascii="Arial" w:eastAsia="Times New Roman" w:hAnsi="Arial" w:cs="Arial"/>
                <w:color w:val="000000"/>
                <w:lang w:eastAsia="it-IT"/>
              </w:rPr>
              <w:t>Couck</w:t>
            </w:r>
          </w:p>
        </w:tc>
        <w:tc>
          <w:tcPr>
            <w:tcW w:w="750" w:type="dxa"/>
            <w:noWrap/>
            <w:hideMark/>
          </w:tcPr>
          <w:p w14:paraId="4F608BD0" w14:textId="77777777" w:rsidR="00C75850" w:rsidRPr="00961E12" w:rsidRDefault="00C75850" w:rsidP="00C75850">
            <w:pPr>
              <w:jc w:val="center"/>
              <w:rPr>
                <w:rFonts w:ascii="Arial" w:eastAsia="Times New Roman" w:hAnsi="Arial" w:cs="Arial"/>
                <w:color w:val="000000"/>
                <w:lang w:eastAsia="it-IT"/>
              </w:rPr>
            </w:pPr>
            <w:r w:rsidRPr="00961E12">
              <w:rPr>
                <w:rFonts w:ascii="Arial" w:eastAsia="Times New Roman" w:hAnsi="Arial" w:cs="Arial"/>
                <w:color w:val="000000"/>
                <w:lang w:eastAsia="it-IT"/>
              </w:rPr>
              <w:t>2020</w:t>
            </w:r>
          </w:p>
        </w:tc>
        <w:tc>
          <w:tcPr>
            <w:tcW w:w="7562" w:type="dxa"/>
            <w:hideMark/>
          </w:tcPr>
          <w:p w14:paraId="45E09470" w14:textId="77777777" w:rsidR="00C75850" w:rsidRPr="00961E12" w:rsidRDefault="00C75850" w:rsidP="00C75850">
            <w:pPr>
              <w:jc w:val="center"/>
              <w:rPr>
                <w:rFonts w:ascii="Arial" w:eastAsia="Times New Roman" w:hAnsi="Arial" w:cs="Arial"/>
                <w:color w:val="000000"/>
                <w:lang w:eastAsia="it-IT"/>
              </w:rPr>
            </w:pPr>
            <w:r w:rsidRPr="00961E12">
              <w:rPr>
                <w:rFonts w:ascii="Arial" w:eastAsia="Times New Roman" w:hAnsi="Arial" w:cs="Arial"/>
                <w:color w:val="000000"/>
                <w:lang w:eastAsia="it-IT"/>
              </w:rPr>
              <w:t>Outcome of monochorionic twin pregnancy with selective fetal growth restriction at 16, 20 or 30 weeks according to new Delphi consensus deﬁnition</w:t>
            </w:r>
          </w:p>
        </w:tc>
        <w:tc>
          <w:tcPr>
            <w:tcW w:w="5181" w:type="dxa"/>
            <w:hideMark/>
          </w:tcPr>
          <w:p w14:paraId="53AB596A" w14:textId="458B4F9B" w:rsidR="00C75850" w:rsidRPr="00961E12" w:rsidRDefault="00C75850" w:rsidP="00C75850">
            <w:pPr>
              <w:jc w:val="center"/>
              <w:rPr>
                <w:rFonts w:ascii="Arial" w:eastAsia="Times New Roman" w:hAnsi="Arial" w:cs="Arial"/>
                <w:color w:val="000000"/>
                <w:lang w:eastAsia="it-IT"/>
              </w:rPr>
            </w:pPr>
            <w:r w:rsidRPr="00961E12">
              <w:rPr>
                <w:rFonts w:ascii="Arial" w:eastAsia="Times New Roman" w:hAnsi="Arial" w:cs="Arial"/>
                <w:color w:val="000000"/>
                <w:lang w:eastAsia="it-IT"/>
              </w:rPr>
              <w:t xml:space="preserve">This study included </w:t>
            </w:r>
            <w:r w:rsidR="00961E12">
              <w:rPr>
                <w:rFonts w:ascii="Arial" w:eastAsia="Times New Roman" w:hAnsi="Arial" w:cs="Arial"/>
                <w:color w:val="000000"/>
                <w:lang w:eastAsia="it-IT"/>
              </w:rPr>
              <w:t>monochorionic</w:t>
            </w:r>
            <w:r w:rsidRPr="00961E12">
              <w:rPr>
                <w:rFonts w:ascii="Arial" w:eastAsia="Times New Roman" w:hAnsi="Arial" w:cs="Arial"/>
                <w:color w:val="000000"/>
                <w:lang w:eastAsia="it-IT"/>
              </w:rPr>
              <w:t xml:space="preserve"> pregnancies complicated by sFGR. Sub-group analysis included cases complicated by the further development of TTTS. Therefore, inclusion criteria are different from those of the present systematic review</w:t>
            </w:r>
          </w:p>
        </w:tc>
      </w:tr>
      <w:tr w:rsidR="00C75850" w:rsidRPr="00961E12" w14:paraId="566FC08C" w14:textId="77777777" w:rsidTr="00961E12">
        <w:trPr>
          <w:trHeight w:val="1360"/>
        </w:trPr>
        <w:tc>
          <w:tcPr>
            <w:tcW w:w="1244" w:type="dxa"/>
            <w:noWrap/>
            <w:hideMark/>
          </w:tcPr>
          <w:p w14:paraId="51B05501" w14:textId="77777777" w:rsidR="00C75850" w:rsidRPr="00961E12" w:rsidRDefault="00C75850" w:rsidP="00961E12">
            <w:pPr>
              <w:rPr>
                <w:rFonts w:ascii="Arial" w:eastAsia="Times New Roman" w:hAnsi="Arial" w:cs="Arial"/>
                <w:color w:val="000000"/>
                <w:lang w:eastAsia="it-IT"/>
              </w:rPr>
            </w:pPr>
            <w:r w:rsidRPr="00961E12">
              <w:rPr>
                <w:rFonts w:ascii="Arial" w:eastAsia="Times New Roman" w:hAnsi="Arial" w:cs="Arial"/>
                <w:color w:val="000000"/>
                <w:lang w:eastAsia="it-IT"/>
              </w:rPr>
              <w:t>Chon</w:t>
            </w:r>
          </w:p>
        </w:tc>
        <w:tc>
          <w:tcPr>
            <w:tcW w:w="750" w:type="dxa"/>
            <w:noWrap/>
            <w:hideMark/>
          </w:tcPr>
          <w:p w14:paraId="74B9E0E6" w14:textId="77777777" w:rsidR="00C75850" w:rsidRPr="00961E12" w:rsidRDefault="00C75850" w:rsidP="00C75850">
            <w:pPr>
              <w:jc w:val="center"/>
              <w:rPr>
                <w:rFonts w:ascii="Arial" w:eastAsia="Times New Roman" w:hAnsi="Arial" w:cs="Arial"/>
                <w:color w:val="000000"/>
                <w:lang w:eastAsia="it-IT"/>
              </w:rPr>
            </w:pPr>
            <w:r w:rsidRPr="00961E12">
              <w:rPr>
                <w:rFonts w:ascii="Arial" w:eastAsia="Times New Roman" w:hAnsi="Arial" w:cs="Arial"/>
                <w:color w:val="000000"/>
                <w:lang w:eastAsia="it-IT"/>
              </w:rPr>
              <w:t>2019</w:t>
            </w:r>
          </w:p>
        </w:tc>
        <w:tc>
          <w:tcPr>
            <w:tcW w:w="7562" w:type="dxa"/>
            <w:hideMark/>
          </w:tcPr>
          <w:p w14:paraId="19F5DA15" w14:textId="77777777" w:rsidR="00C75850" w:rsidRPr="00961E12" w:rsidRDefault="00C75850" w:rsidP="00C75850">
            <w:pPr>
              <w:jc w:val="center"/>
              <w:rPr>
                <w:rFonts w:ascii="Arial" w:eastAsia="Times New Roman" w:hAnsi="Arial" w:cs="Arial"/>
                <w:color w:val="000000"/>
                <w:lang w:eastAsia="it-IT"/>
              </w:rPr>
            </w:pPr>
            <w:r w:rsidRPr="00961E12">
              <w:rPr>
                <w:rFonts w:ascii="Arial" w:eastAsia="Times New Roman" w:hAnsi="Arial" w:cs="Arial"/>
                <w:color w:val="000000"/>
                <w:lang w:eastAsia="it-IT"/>
              </w:rPr>
              <w:t>Antenatal course of referred monochorionic diamniotic twins complicated by selective intrauterine growth restriction (SIUGR) type III</w:t>
            </w:r>
          </w:p>
        </w:tc>
        <w:tc>
          <w:tcPr>
            <w:tcW w:w="5181" w:type="dxa"/>
            <w:hideMark/>
          </w:tcPr>
          <w:p w14:paraId="07BC1B4B" w14:textId="77777777" w:rsidR="00C75850" w:rsidRPr="00961E12" w:rsidRDefault="00C75850" w:rsidP="00C75850">
            <w:pPr>
              <w:jc w:val="center"/>
              <w:rPr>
                <w:rFonts w:ascii="Arial" w:eastAsia="Times New Roman" w:hAnsi="Arial" w:cs="Arial"/>
                <w:color w:val="000000"/>
                <w:lang w:eastAsia="it-IT"/>
              </w:rPr>
            </w:pPr>
            <w:r w:rsidRPr="00961E12">
              <w:rPr>
                <w:rFonts w:ascii="Arial" w:eastAsia="Times New Roman" w:hAnsi="Arial" w:cs="Arial"/>
                <w:color w:val="000000"/>
                <w:lang w:eastAsia="it-IT"/>
              </w:rPr>
              <w:t>This study included MC pregnancies complicated by sFGR. Sub-group analysis included cases complicated by the further development of TTTS. Therefore, inclusion criteria are different from those of the present systematic review</w:t>
            </w:r>
          </w:p>
        </w:tc>
      </w:tr>
      <w:tr w:rsidR="00C75850" w:rsidRPr="00961E12" w14:paraId="58BF2F3E" w14:textId="77777777" w:rsidTr="00961E12">
        <w:trPr>
          <w:trHeight w:val="1360"/>
        </w:trPr>
        <w:tc>
          <w:tcPr>
            <w:tcW w:w="1244" w:type="dxa"/>
            <w:noWrap/>
            <w:hideMark/>
          </w:tcPr>
          <w:p w14:paraId="183A8C76" w14:textId="77777777" w:rsidR="00C75850" w:rsidRPr="00961E12" w:rsidRDefault="00C75850" w:rsidP="00961E12">
            <w:pPr>
              <w:rPr>
                <w:rFonts w:ascii="Arial" w:eastAsia="Times New Roman" w:hAnsi="Arial" w:cs="Arial"/>
                <w:color w:val="000000"/>
                <w:lang w:eastAsia="it-IT"/>
              </w:rPr>
            </w:pPr>
            <w:r w:rsidRPr="00961E12">
              <w:rPr>
                <w:rFonts w:ascii="Arial" w:eastAsia="Times New Roman" w:hAnsi="Arial" w:cs="Arial"/>
                <w:color w:val="000000"/>
                <w:lang w:eastAsia="it-IT"/>
              </w:rPr>
              <w:lastRenderedPageBreak/>
              <w:t>Peeva</w:t>
            </w:r>
          </w:p>
        </w:tc>
        <w:tc>
          <w:tcPr>
            <w:tcW w:w="750" w:type="dxa"/>
            <w:noWrap/>
            <w:hideMark/>
          </w:tcPr>
          <w:p w14:paraId="192B36ED" w14:textId="77777777" w:rsidR="00C75850" w:rsidRPr="00961E12" w:rsidRDefault="00C75850" w:rsidP="00C75850">
            <w:pPr>
              <w:jc w:val="center"/>
              <w:rPr>
                <w:rFonts w:ascii="Arial" w:eastAsia="Times New Roman" w:hAnsi="Arial" w:cs="Arial"/>
                <w:color w:val="000000"/>
                <w:lang w:eastAsia="it-IT"/>
              </w:rPr>
            </w:pPr>
            <w:r w:rsidRPr="00961E12">
              <w:rPr>
                <w:rFonts w:ascii="Arial" w:eastAsia="Times New Roman" w:hAnsi="Arial" w:cs="Arial"/>
                <w:color w:val="000000"/>
                <w:lang w:eastAsia="it-IT"/>
              </w:rPr>
              <w:t>2015</w:t>
            </w:r>
          </w:p>
        </w:tc>
        <w:tc>
          <w:tcPr>
            <w:tcW w:w="7562" w:type="dxa"/>
            <w:noWrap/>
            <w:hideMark/>
          </w:tcPr>
          <w:p w14:paraId="29E6F472" w14:textId="77777777" w:rsidR="00C75850" w:rsidRPr="00961E12" w:rsidRDefault="00C75850" w:rsidP="00C75850">
            <w:pPr>
              <w:rPr>
                <w:rFonts w:ascii="Arial" w:eastAsia="Times New Roman" w:hAnsi="Arial" w:cs="Arial"/>
                <w:color w:val="212121"/>
                <w:lang w:val="en-US" w:eastAsia="it-IT"/>
              </w:rPr>
            </w:pPr>
            <w:r w:rsidRPr="00961E12">
              <w:rPr>
                <w:rFonts w:ascii="Arial" w:eastAsia="Times New Roman" w:hAnsi="Arial" w:cs="Arial"/>
                <w:color w:val="212121"/>
                <w:lang w:val="en-US" w:eastAsia="it-IT"/>
              </w:rPr>
              <w:t>Endoscopic Placental Laser Coagulation in Monochorionic Diamniotic Twins with Type II Selective Fetal Growth Restriction</w:t>
            </w:r>
          </w:p>
        </w:tc>
        <w:tc>
          <w:tcPr>
            <w:tcW w:w="5181" w:type="dxa"/>
            <w:hideMark/>
          </w:tcPr>
          <w:p w14:paraId="1C3C84CB" w14:textId="18B3E15B" w:rsidR="00C75850" w:rsidRPr="00961E12" w:rsidRDefault="00C75850" w:rsidP="00C75850">
            <w:pPr>
              <w:jc w:val="center"/>
              <w:rPr>
                <w:rFonts w:ascii="Arial" w:eastAsia="Times New Roman" w:hAnsi="Arial" w:cs="Arial"/>
                <w:color w:val="000000"/>
                <w:lang w:eastAsia="it-IT"/>
              </w:rPr>
            </w:pPr>
            <w:r w:rsidRPr="00961E12">
              <w:rPr>
                <w:rFonts w:ascii="Arial" w:eastAsia="Times New Roman" w:hAnsi="Arial" w:cs="Arial"/>
                <w:color w:val="000000"/>
                <w:lang w:eastAsia="it-IT"/>
              </w:rPr>
              <w:t xml:space="preserve">This study included </w:t>
            </w:r>
            <w:r w:rsidR="007241F3">
              <w:rPr>
                <w:rFonts w:ascii="Arial" w:eastAsia="Times New Roman" w:hAnsi="Arial" w:cs="Arial"/>
                <w:color w:val="000000"/>
                <w:lang w:eastAsia="it-IT"/>
              </w:rPr>
              <w:t>monochorionic</w:t>
            </w:r>
            <w:r w:rsidRPr="00961E12">
              <w:rPr>
                <w:rFonts w:ascii="Arial" w:eastAsia="Times New Roman" w:hAnsi="Arial" w:cs="Arial"/>
                <w:color w:val="000000"/>
                <w:lang w:eastAsia="it-IT"/>
              </w:rPr>
              <w:t xml:space="preserve"> pregnancies complicated by sFGR. Sub-group analysis included cases complicated by the further development of TTTS. Therefore, inclusion criteria are different from those of the present systematic review</w:t>
            </w:r>
          </w:p>
        </w:tc>
      </w:tr>
      <w:tr w:rsidR="00C75850" w:rsidRPr="00961E12" w14:paraId="27825BC9" w14:textId="77777777" w:rsidTr="00961E12">
        <w:trPr>
          <w:trHeight w:val="1020"/>
        </w:trPr>
        <w:tc>
          <w:tcPr>
            <w:tcW w:w="1244" w:type="dxa"/>
            <w:noWrap/>
            <w:hideMark/>
          </w:tcPr>
          <w:p w14:paraId="39845303" w14:textId="77777777" w:rsidR="00C75850" w:rsidRPr="00961E12" w:rsidRDefault="00C75850" w:rsidP="00961E12">
            <w:pPr>
              <w:rPr>
                <w:rFonts w:ascii="Arial" w:eastAsia="Times New Roman" w:hAnsi="Arial" w:cs="Arial"/>
                <w:color w:val="000000"/>
                <w:lang w:eastAsia="it-IT"/>
              </w:rPr>
            </w:pPr>
            <w:r w:rsidRPr="00961E12">
              <w:rPr>
                <w:rFonts w:ascii="Arial" w:eastAsia="Times New Roman" w:hAnsi="Arial" w:cs="Arial"/>
                <w:color w:val="000000"/>
                <w:lang w:eastAsia="it-IT"/>
              </w:rPr>
              <w:t>Memmo</w:t>
            </w:r>
          </w:p>
        </w:tc>
        <w:tc>
          <w:tcPr>
            <w:tcW w:w="750" w:type="dxa"/>
            <w:noWrap/>
            <w:hideMark/>
          </w:tcPr>
          <w:p w14:paraId="24716CBD" w14:textId="77777777" w:rsidR="00C75850" w:rsidRPr="00961E12" w:rsidRDefault="00C75850" w:rsidP="00C75850">
            <w:pPr>
              <w:jc w:val="center"/>
              <w:rPr>
                <w:rFonts w:ascii="Arial" w:eastAsia="Times New Roman" w:hAnsi="Arial" w:cs="Arial"/>
                <w:color w:val="000000"/>
                <w:lang w:eastAsia="it-IT"/>
              </w:rPr>
            </w:pPr>
            <w:r w:rsidRPr="00961E12">
              <w:rPr>
                <w:rFonts w:ascii="Arial" w:eastAsia="Times New Roman" w:hAnsi="Arial" w:cs="Arial"/>
                <w:color w:val="000000"/>
                <w:lang w:eastAsia="it-IT"/>
              </w:rPr>
              <w:t>2012</w:t>
            </w:r>
          </w:p>
        </w:tc>
        <w:tc>
          <w:tcPr>
            <w:tcW w:w="7562" w:type="dxa"/>
            <w:hideMark/>
          </w:tcPr>
          <w:p w14:paraId="2E654F8D" w14:textId="77777777" w:rsidR="00C75850" w:rsidRPr="00961E12" w:rsidRDefault="00C75850" w:rsidP="00C75850">
            <w:pPr>
              <w:jc w:val="center"/>
              <w:rPr>
                <w:rFonts w:ascii="Arial" w:eastAsia="Times New Roman" w:hAnsi="Arial" w:cs="Arial"/>
                <w:color w:val="000000"/>
                <w:lang w:eastAsia="it-IT"/>
              </w:rPr>
            </w:pPr>
            <w:r w:rsidRPr="00961E12">
              <w:rPr>
                <w:rFonts w:ascii="Arial" w:eastAsia="Times New Roman" w:hAnsi="Arial" w:cs="Arial"/>
                <w:color w:val="000000"/>
                <w:lang w:eastAsia="it-IT"/>
              </w:rPr>
              <w:t>Prediction of selective fetal growth restriction and twin-to-twin transfusion syndrome in monochorionic twins</w:t>
            </w:r>
          </w:p>
        </w:tc>
        <w:tc>
          <w:tcPr>
            <w:tcW w:w="5181" w:type="dxa"/>
            <w:hideMark/>
          </w:tcPr>
          <w:p w14:paraId="7FA9933C" w14:textId="77777777" w:rsidR="00C75850" w:rsidRPr="00961E12" w:rsidRDefault="00C75850" w:rsidP="00C75850">
            <w:pPr>
              <w:jc w:val="center"/>
              <w:rPr>
                <w:rFonts w:ascii="Arial" w:eastAsia="Times New Roman" w:hAnsi="Arial" w:cs="Arial"/>
                <w:color w:val="000000"/>
                <w:lang w:eastAsia="it-IT"/>
              </w:rPr>
            </w:pPr>
            <w:r w:rsidRPr="00961E12">
              <w:rPr>
                <w:rFonts w:ascii="Arial" w:eastAsia="Times New Roman" w:hAnsi="Arial" w:cs="Arial"/>
                <w:color w:val="000000"/>
                <w:lang w:eastAsia="it-IT"/>
              </w:rPr>
              <w:t>Study on the diagnostic perfromance of first trimester ultarsound in detecting TTTS and sFGR. No data for the outcomes explored in the present systematic reveiw could be extrapolated from this study.</w:t>
            </w:r>
          </w:p>
        </w:tc>
      </w:tr>
      <w:tr w:rsidR="00C75850" w:rsidRPr="00961E12" w14:paraId="10203063" w14:textId="77777777" w:rsidTr="00961E12">
        <w:trPr>
          <w:trHeight w:val="1020"/>
        </w:trPr>
        <w:tc>
          <w:tcPr>
            <w:tcW w:w="1244" w:type="dxa"/>
            <w:noWrap/>
            <w:hideMark/>
          </w:tcPr>
          <w:p w14:paraId="4F07F294" w14:textId="77777777" w:rsidR="00C75850" w:rsidRPr="00961E12" w:rsidRDefault="00C75850" w:rsidP="00961E12">
            <w:pPr>
              <w:rPr>
                <w:rFonts w:ascii="Arial" w:eastAsia="Times New Roman" w:hAnsi="Arial" w:cs="Arial"/>
                <w:color w:val="000000"/>
                <w:lang w:eastAsia="it-IT"/>
              </w:rPr>
            </w:pPr>
            <w:r w:rsidRPr="00961E12">
              <w:rPr>
                <w:rFonts w:ascii="Arial" w:eastAsia="Times New Roman" w:hAnsi="Arial" w:cs="Arial"/>
                <w:color w:val="000000"/>
                <w:lang w:eastAsia="it-IT"/>
              </w:rPr>
              <w:t>Chalouhi</w:t>
            </w:r>
          </w:p>
        </w:tc>
        <w:tc>
          <w:tcPr>
            <w:tcW w:w="750" w:type="dxa"/>
            <w:noWrap/>
            <w:hideMark/>
          </w:tcPr>
          <w:p w14:paraId="7EF1F952" w14:textId="77777777" w:rsidR="00C75850" w:rsidRPr="00961E12" w:rsidRDefault="00C75850" w:rsidP="00C75850">
            <w:pPr>
              <w:jc w:val="center"/>
              <w:rPr>
                <w:rFonts w:ascii="Arial" w:eastAsia="Times New Roman" w:hAnsi="Arial" w:cs="Arial"/>
                <w:color w:val="000000"/>
                <w:lang w:eastAsia="it-IT"/>
              </w:rPr>
            </w:pPr>
            <w:r w:rsidRPr="00961E12">
              <w:rPr>
                <w:rFonts w:ascii="Arial" w:eastAsia="Times New Roman" w:hAnsi="Arial" w:cs="Arial"/>
                <w:color w:val="000000"/>
                <w:lang w:eastAsia="it-IT"/>
              </w:rPr>
              <w:t>2012</w:t>
            </w:r>
          </w:p>
        </w:tc>
        <w:tc>
          <w:tcPr>
            <w:tcW w:w="7562" w:type="dxa"/>
            <w:hideMark/>
          </w:tcPr>
          <w:p w14:paraId="23F6ABA9" w14:textId="77777777" w:rsidR="00C75850" w:rsidRPr="00961E12" w:rsidRDefault="00C75850" w:rsidP="00C75850">
            <w:pPr>
              <w:jc w:val="center"/>
              <w:rPr>
                <w:rFonts w:ascii="Arial" w:eastAsia="Times New Roman" w:hAnsi="Arial" w:cs="Arial"/>
                <w:color w:val="000000"/>
                <w:lang w:val="en-US" w:eastAsia="it-IT"/>
              </w:rPr>
            </w:pPr>
            <w:r w:rsidRPr="00961E12">
              <w:rPr>
                <w:rFonts w:ascii="Arial" w:eastAsia="Times New Roman" w:hAnsi="Arial" w:cs="Arial"/>
                <w:color w:val="000000"/>
                <w:lang w:val="en-US" w:eastAsia="it-IT"/>
              </w:rPr>
              <w:t>Active management of selective intrauterine growth restriction with abnormal Doppler in monochorionic diamniotic twin pregnancies diagnosed in the second trimester of pregnancy</w:t>
            </w:r>
          </w:p>
        </w:tc>
        <w:tc>
          <w:tcPr>
            <w:tcW w:w="5181" w:type="dxa"/>
            <w:hideMark/>
          </w:tcPr>
          <w:p w14:paraId="49244963" w14:textId="59CEB746" w:rsidR="00C75850" w:rsidRPr="00961E12" w:rsidRDefault="00C75850" w:rsidP="00C75850">
            <w:pPr>
              <w:jc w:val="center"/>
              <w:rPr>
                <w:rFonts w:ascii="Arial" w:eastAsia="Times New Roman" w:hAnsi="Arial" w:cs="Arial"/>
                <w:color w:val="000000"/>
                <w:lang w:eastAsia="it-IT"/>
              </w:rPr>
            </w:pPr>
            <w:r w:rsidRPr="00961E12">
              <w:rPr>
                <w:rFonts w:ascii="Arial" w:eastAsia="Times New Roman" w:hAnsi="Arial" w:cs="Arial"/>
                <w:color w:val="000000"/>
                <w:lang w:eastAsia="it-IT"/>
              </w:rPr>
              <w:t xml:space="preserve">This study included </w:t>
            </w:r>
            <w:r w:rsidR="007241F3">
              <w:rPr>
                <w:rFonts w:ascii="Arial" w:eastAsia="Times New Roman" w:hAnsi="Arial" w:cs="Arial"/>
                <w:color w:val="000000"/>
                <w:lang w:eastAsia="it-IT"/>
              </w:rPr>
              <w:t>monochorionic</w:t>
            </w:r>
            <w:r w:rsidRPr="00961E12">
              <w:rPr>
                <w:rFonts w:ascii="Arial" w:eastAsia="Times New Roman" w:hAnsi="Arial" w:cs="Arial"/>
                <w:color w:val="000000"/>
                <w:lang w:eastAsia="it-IT"/>
              </w:rPr>
              <w:t xml:space="preserve"> pregnancies complicated by sFGR. Therefore, inclusion criteria are different from those of the present systematic review</w:t>
            </w:r>
          </w:p>
        </w:tc>
      </w:tr>
      <w:tr w:rsidR="00C75850" w:rsidRPr="00961E12" w14:paraId="7466B43C" w14:textId="77777777" w:rsidTr="00961E12">
        <w:trPr>
          <w:trHeight w:val="680"/>
        </w:trPr>
        <w:tc>
          <w:tcPr>
            <w:tcW w:w="1244" w:type="dxa"/>
            <w:noWrap/>
            <w:hideMark/>
          </w:tcPr>
          <w:p w14:paraId="3DECFC23" w14:textId="77777777" w:rsidR="00C75850" w:rsidRPr="00961E12" w:rsidRDefault="00C75850" w:rsidP="00961E12">
            <w:pPr>
              <w:rPr>
                <w:rFonts w:ascii="Arial" w:eastAsia="Times New Roman" w:hAnsi="Arial" w:cs="Arial"/>
                <w:color w:val="000000"/>
                <w:lang w:eastAsia="it-IT"/>
              </w:rPr>
            </w:pPr>
            <w:r w:rsidRPr="00961E12">
              <w:rPr>
                <w:rFonts w:ascii="Arial" w:eastAsia="Times New Roman" w:hAnsi="Arial" w:cs="Arial"/>
                <w:color w:val="000000"/>
                <w:lang w:eastAsia="it-IT"/>
              </w:rPr>
              <w:t>Habli</w:t>
            </w:r>
          </w:p>
        </w:tc>
        <w:tc>
          <w:tcPr>
            <w:tcW w:w="750" w:type="dxa"/>
            <w:noWrap/>
            <w:hideMark/>
          </w:tcPr>
          <w:p w14:paraId="4791B111" w14:textId="77777777" w:rsidR="00C75850" w:rsidRPr="00961E12" w:rsidRDefault="00C75850" w:rsidP="00C75850">
            <w:pPr>
              <w:jc w:val="center"/>
              <w:rPr>
                <w:rFonts w:ascii="Arial" w:eastAsia="Times New Roman" w:hAnsi="Arial" w:cs="Arial"/>
                <w:color w:val="000000"/>
                <w:lang w:eastAsia="it-IT"/>
              </w:rPr>
            </w:pPr>
            <w:r w:rsidRPr="00961E12">
              <w:rPr>
                <w:rFonts w:ascii="Arial" w:eastAsia="Times New Roman" w:hAnsi="Arial" w:cs="Arial"/>
                <w:color w:val="000000"/>
                <w:lang w:eastAsia="it-IT"/>
              </w:rPr>
              <w:t>2008</w:t>
            </w:r>
          </w:p>
        </w:tc>
        <w:tc>
          <w:tcPr>
            <w:tcW w:w="7562" w:type="dxa"/>
            <w:hideMark/>
          </w:tcPr>
          <w:p w14:paraId="3B42B7A9" w14:textId="77777777" w:rsidR="00C75850" w:rsidRPr="00961E12" w:rsidRDefault="00C75850" w:rsidP="00C75850">
            <w:pPr>
              <w:jc w:val="center"/>
              <w:rPr>
                <w:rFonts w:ascii="Arial" w:eastAsia="Times New Roman" w:hAnsi="Arial" w:cs="Arial"/>
                <w:color w:val="000000"/>
                <w:lang w:eastAsia="it-IT"/>
              </w:rPr>
            </w:pPr>
            <w:r w:rsidRPr="00961E12">
              <w:rPr>
                <w:rFonts w:ascii="Arial" w:eastAsia="Times New Roman" w:hAnsi="Arial" w:cs="Arial"/>
                <w:color w:val="000000"/>
                <w:lang w:eastAsia="it-IT"/>
              </w:rPr>
              <w:t>The outcome of twin–twin transfusion syndrome complicated with placental insufﬁciency</w:t>
            </w:r>
          </w:p>
        </w:tc>
        <w:tc>
          <w:tcPr>
            <w:tcW w:w="5181" w:type="dxa"/>
            <w:hideMark/>
          </w:tcPr>
          <w:p w14:paraId="098CAA1C" w14:textId="77777777" w:rsidR="00C75850" w:rsidRPr="00961E12" w:rsidRDefault="00C75850" w:rsidP="00C75850">
            <w:pPr>
              <w:jc w:val="center"/>
              <w:rPr>
                <w:rFonts w:ascii="Arial" w:eastAsia="Times New Roman" w:hAnsi="Arial" w:cs="Arial"/>
                <w:color w:val="000000"/>
                <w:lang w:eastAsia="it-IT"/>
              </w:rPr>
            </w:pPr>
            <w:r w:rsidRPr="00961E12">
              <w:rPr>
                <w:rFonts w:ascii="Arial" w:eastAsia="Times New Roman" w:hAnsi="Arial" w:cs="Arial"/>
                <w:color w:val="000000"/>
                <w:lang w:eastAsia="it-IT"/>
              </w:rPr>
              <w:t>No control group included</w:t>
            </w:r>
          </w:p>
        </w:tc>
      </w:tr>
    </w:tbl>
    <w:p w14:paraId="33A4BB6C" w14:textId="77777777" w:rsidR="00C75850" w:rsidRPr="00961E12" w:rsidRDefault="00C75850">
      <w:pPr>
        <w:rPr>
          <w:rFonts w:ascii="Arial" w:hAnsi="Arial" w:cs="Arial"/>
          <w:lang w:val="en-US"/>
        </w:rPr>
      </w:pPr>
    </w:p>
    <w:sectPr w:rsidR="00C75850" w:rsidRPr="00961E12" w:rsidSect="00C75850">
      <w:pgSz w:w="16838" w:h="11906" w:orient="landscape"/>
      <w:pgMar w:top="1134" w:right="1134"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850"/>
    <w:rsid w:val="0059012D"/>
    <w:rsid w:val="007241F3"/>
    <w:rsid w:val="008F6B74"/>
    <w:rsid w:val="00961E12"/>
    <w:rsid w:val="00C75850"/>
    <w:rsid w:val="00D777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3B0BF"/>
  <w15:chartTrackingRefBased/>
  <w15:docId w15:val="{FF73D2C3-D3FE-A04C-82B1-361F0BF55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5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863571">
      <w:bodyDiv w:val="1"/>
      <w:marLeft w:val="0"/>
      <w:marRight w:val="0"/>
      <w:marTop w:val="0"/>
      <w:marBottom w:val="0"/>
      <w:divBdr>
        <w:top w:val="none" w:sz="0" w:space="0" w:color="auto"/>
        <w:left w:val="none" w:sz="0" w:space="0" w:color="auto"/>
        <w:bottom w:val="none" w:sz="0" w:space="0" w:color="auto"/>
        <w:right w:val="none" w:sz="0" w:space="0" w:color="auto"/>
      </w:divBdr>
    </w:div>
    <w:div w:id="86227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D'Antonio</dc:creator>
  <cp:keywords/>
  <dc:description/>
  <cp:lastModifiedBy>Lisa Therkildsen</cp:lastModifiedBy>
  <cp:revision>3</cp:revision>
  <dcterms:created xsi:type="dcterms:W3CDTF">2023-05-11T11:39:00Z</dcterms:created>
  <dcterms:modified xsi:type="dcterms:W3CDTF">2023-07-17T19:33:00Z</dcterms:modified>
</cp:coreProperties>
</file>