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61"/>
        <w:gridCol w:w="15895"/>
        <w:gridCol w:w="277"/>
      </w:tblGrid>
      <w:tr>
        <w:trPr/>
        <w:tc>
          <w:tcPr>
            <w:tcW w:w="161" w:type="dxa"/>
          </w:tcPr>
          <w:p>
            <w:pPr>
              <w:pStyle w:val="EmptyCellLayoutStyle"/>
              <w:spacing w:after="0" w:line="240" w:lineRule="auto"/>
            </w:pPr>
          </w:p>
        </w:tc>
        <w:tc>
          <w:tcPr>
            <w:tcW w:w="15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72"/>
              <w:gridCol w:w="697"/>
              <w:gridCol w:w="12626"/>
            </w:tblGrid>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Anker Stefan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BRAHMS GmbH : Biomarker in HF research</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Abbott : COVID-19 SAB</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Janssen / J&amp;J : HF consultancy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Cordio : HF consultancy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Servier : HF registry steering committee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Boehringer-Ingelheim : HF trial executive committee (EMPEROR, EMPERIAL)</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Vifor International : HF trial executive committees (AFFIRM-HF, DIAMOND-HF)</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Cardiac Dimensions : HF trial steering committee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Bioventrix : HF trial steering committee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V-Wave : HF trial steering committee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 AG : HF trial steering committee (DKD)</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Astra Zeneca : SAB in HF (Germany)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Respicardia : Sleep apnea SAB.</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Vifor International : CHF therapy development, FAIR-HFpEF &amp; Fair-HF2</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Abbott Vascular : CHF therapy development, RESHAPE-HF2</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Any other interest (financial or otherwise) that should be declared in view of holding an ESC position.For yourself</w:t>
                  </w:r>
                  <w:r>
                    <w:rPr>
                      <w:rFonts w:ascii="Arial" w:hAnsi="Arial" w:eastAsia="Arial"/>
                      <w:color w:val="000000"/>
                      <w:sz w:val="20"/>
                    </w:rPr>
                    <w:br/>
                    <w:t xml:space="preserve">     - Fees for SAB-chair work (&lt;10k EUR / yr) from Actimed Therapeutics, which is a research company (topic: cancer cachexia). I also hold founder's shares of Actimed Therapeutics (&lt;20%). </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Benetos Athanase</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Novartis : Dementia </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Boriani Giuseppe</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Bayer : Anticoagulants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Boston Scientific : Pacemaker, cardioverter defibrillators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Medtronic : Pacemaker, cardioverter defibrillators</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Bunch T Jared</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Boehringer-Ingelheim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Boston Scientific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Altathera : Atrial Fibrillation</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Membership or affiliation in political, advocacy or patients organisations working in the field of cardiology.For yourself</w:t>
                  </w:r>
                  <w:r>
                    <w:rPr>
                      <w:rFonts w:ascii="Arial" w:hAnsi="Arial" w:eastAsia="Arial"/>
                      <w:color w:val="000000"/>
                      <w:sz w:val="20"/>
                    </w:rPr>
                    <w:br/>
                    <w:t xml:space="preserve">     - Heart Rhythm Society, American College of Cardiology, American Heart Association</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Dagres Nikolaos</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Dubner Sergio Jose</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Boehringer-Ingelheim : NOACs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Payment from healthcare industry to your department or institution or any other body for your personal services: speaker fees, honoraria, consultancy, advisory board fees, investigator, committee member, etc.For yourself </w:t>
                  </w:r>
                  <w:r>
                    <w:rPr>
                      <w:rFonts w:ascii="Arial" w:hAnsi="Arial" w:eastAsia="Arial"/>
                      <w:color w:val="000000"/>
                      <w:sz w:val="20"/>
                    </w:rPr>
                    <w:br/>
                    <w:t xml:space="preserve">     - Johnson &amp; Johnson : Fellow grant</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Fauchier Laurent</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Bayer : Healthcare </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Boehringer-Ingelheim : Healthcare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Medtronic : Healthcare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Novartis : Healthcare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BMS/Pfizer : Healthcare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XO : Healthcare</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Ferrucci Luigi</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Fumagalli Stefano</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Bruno Farmaceutici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 : Atrial Fibrillation and DOACs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Boehringer-Ingelheim : Atrial Fibrillation and DOACs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Pfizer : Atrial Fibrillation and DOACs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Bristol Myers Squibb : Atrial Fibrillation and DOACs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Atrial Fibrillation, DOACs and Frailty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Travel and meeting support from healthcare industry, independent of the above activities.For yourself</w:t>
                  </w:r>
                  <w:r>
                    <w:rPr>
                      <w:rFonts w:ascii="Arial" w:hAnsi="Arial" w:eastAsia="Arial"/>
                      <w:color w:val="000000"/>
                      <w:sz w:val="20"/>
                    </w:rPr>
                    <w:br/>
                    <w:t xml:space="preserve">     - Daiichi Sankyo : Geriatric Cardiology</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Israel Carsten W</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Berlin Chemie AG : Antiarrhythmic drugs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BMS-Pfizer : Apixaban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Astra Zeneca : Brillique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Impulse Dynamics : Cardiac Contractility Management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Boehringer-Ingelheim : Dabigatran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Sanofi Aventis : Dronedarone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Edoxaban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Servier : Ivabradin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Zoll Medical : Life Vest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Boston Scientific : Pacemakers, ICDs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Biotronik : Pacemakers, ICDs, CRT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Microport : Pacemakers, ICDs, CRT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Medtronic : Pacemakers, ICDs, CRT, ILR</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Abbott : Pacemakers, ICDs, CRT, Occluder</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 Healthcare : Rivaroxaban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Payment from healthcare industry to your department or institution or any other body for your personal services: speaker fees, honoraria, consultancy, advisory board fees, investigator, committee member, etc.For yourself </w:t>
                  </w:r>
                  <w:r>
                    <w:rPr>
                      <w:rFonts w:ascii="Arial" w:hAnsi="Arial" w:eastAsia="Arial"/>
                      <w:color w:val="000000"/>
                      <w:sz w:val="20"/>
                    </w:rPr>
                    <w:br/>
                    <w:t xml:space="preserve">     - Astra Zeneca : Brillique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Zoll Medical : Life Vest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Medtronic : Pacemakers, ICDs, CRT, ILR</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Travel and meeting support from healthcare industry, independent of the above activities.For yourself</w:t>
                  </w:r>
                  <w:r>
                    <w:rPr>
                      <w:rFonts w:ascii="Arial" w:hAnsi="Arial" w:eastAsia="Arial"/>
                      <w:color w:val="000000"/>
                      <w:sz w:val="20"/>
                    </w:rPr>
                    <w:br/>
                    <w:t xml:space="preserve">     - Sanofi Aventis : Antiarrhythmics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Berlin Chemie AG : Antiarrhythmics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Boehringer-Ingelheim : oral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oral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Pfizer : oral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 Healthcare : oral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Bristol Myers Squibb : oral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Abbott : Pacemaker, ICD, CRT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Boston Scientific : Pacemaker, ICD, CRT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Medtronic : Pacemaker, ICD, CRT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Biotronik : Pacemaker, ICD, CRT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Microport : Pacemaker, ICD, CRT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Zoll Medical : sudden cardiac death</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Abbott Vascular : LAA occluders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Microport : Pacemaker, ICD, CRT</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Membership or affiliation in political, advocacy or patients organisations working in the field of cardiology.For yourself</w:t>
                  </w:r>
                  <w:r>
                    <w:rPr>
                      <w:rFonts w:ascii="Arial" w:hAnsi="Arial" w:eastAsia="Arial"/>
                      <w:color w:val="000000"/>
                      <w:sz w:val="20"/>
                    </w:rPr>
                    <w:br/>
                    <w:t xml:space="preserve">     - Deutsche Herzstiftung</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Any other interest (financial or otherwise) that should be declared in view of holding an ESC position.For yourself</w:t>
                  </w:r>
                  <w:r>
                    <w:rPr>
                      <w:rFonts w:ascii="Arial" w:hAnsi="Arial" w:eastAsia="Arial"/>
                      <w:color w:val="000000"/>
                      <w:sz w:val="20"/>
                    </w:rPr>
                    <w:br/>
                    <w:t xml:space="preserve">     - Member of the Board of the World Society of Arrhythmias Editor of "Herzschrittmachertherapie und Elektrophysiologie"</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Kamel Hooman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Any other interest (financial or otherwise) that should be declared in view of holding an ESC position.For yourself</w:t>
                  </w:r>
                  <w:r>
                    <w:rPr>
                      <w:rFonts w:ascii="Arial" w:hAnsi="Arial" w:eastAsia="Arial"/>
                      <w:color w:val="000000"/>
                      <w:sz w:val="20"/>
                    </w:rPr>
                    <w:br/>
                    <w:t xml:space="preserve">     - Dr. Kamel serves as a PI for the NIH-funded ARCADIA trial (NINDS U01NS095869) which receives in-kind study drug from the BMS-Pfizer Alliance for Eliquis® and ancillary study support from Roche Diagnostics, serves as Deputy Editor for JAMA Neurology, serves as a steering committee member of Medtronic’s Stroke AF trial (uncompensated), and serves on an endpoint adjudication committee for a trial of empagliflozin for Boehringer-Ingelheim. </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Kenny Rose Anne</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Medtronic : Syncope</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Lane Deirdre</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Boehringer-Ingelheim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Pfizer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 Healthcare : Atrial fibrillation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Bristol Myers Squibb : Atrial fibrillation and stroke prevention</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Lip Gregory Yh</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Payment from healthcare industry to your department or institution or any other body for your personal services: speaker fees, honoraria, consultancy, advisory board fees, investigator, committee member, etc.For yourself </w:t>
                  </w:r>
                  <w:r>
                    <w:rPr>
                      <w:rFonts w:ascii="Arial" w:hAnsi="Arial" w:eastAsia="Arial"/>
                      <w:color w:val="000000"/>
                      <w:sz w:val="20"/>
                    </w:rPr>
                    <w:br/>
                    <w:t xml:space="preserve">     - Daiichi-Sankyo :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Bayer/Janssen :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Boehringer Ingelheim : Anticoagulation; Registries; Steering Committees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Pfizer : Anticoagulation; Registries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BMS : Antithrombotic therapy</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Boehringer-Ingelheim : AF registries [unrestricted educational grant]</w:t>
                  </w:r>
                </w:p>
              </w:tc>
            </w:tr>
            <w:tr>
              <w:trPr>
                <w:trHeight w:val="262"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Other Positions of Influence</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Any other interest (financial or otherwise) that should be declared in view of holding an ESC position.For yourself</w:t>
                  </w:r>
                  <w:r>
                    <w:rPr>
                      <w:rFonts w:ascii="Arial" w:hAnsi="Arial" w:eastAsia="Arial"/>
                      <w:color w:val="000000"/>
                      <w:sz w:val="20"/>
                    </w:rPr>
                    <w:br/>
                    <w:t xml:space="preserve">     - Shares in private limited company (a legal separate entity in UK), but no salary/dividends/income/personal renumeration received.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Marchionni Niccolo'</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Bayer : Direct Anticoagulants </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Direct Anticoagulants </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Bristol Myers Squibb : Direct Anticoagulants </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Research funding from healthcare industry under your direct/personal responsibility (to department or institution).For yourself</w:t>
                  </w:r>
                  <w:r>
                    <w:rPr>
                      <w:rFonts w:ascii="Arial" w:hAnsi="Arial" w:eastAsia="Arial"/>
                      <w:color w:val="000000"/>
                      <w:sz w:val="20"/>
                    </w:rPr>
                    <w:br/>
                    <w:t xml:space="preserve">     - Bristol Myers Squibb : Direct Anticoagulants </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Obel Isreal Wp</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Okumura Ken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Boehringer-Ingelheim : anticoagulants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Daiichi Sankyo : anticoagulants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Bristol Myers Squibb : anticoagulants</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Medtronic : catheter ablation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Johnson &amp; Johnson : catheter ablation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Boston Scientific : SICD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Olshansky Brian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Lundbeck : Orthostatic hypotension</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Potpara Tatjana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Payment from healthcare industry to your department or institution or any other body for your personal services: speaker fees, honoraria, consultancy, advisory board fees, investigator, committee member, etc.For yourself </w:t>
                  </w:r>
                  <w:r>
                    <w:rPr>
                      <w:rFonts w:ascii="Arial" w:hAnsi="Arial" w:eastAsia="Arial"/>
                      <w:color w:val="000000"/>
                      <w:sz w:val="20"/>
                    </w:rPr>
                    <w:br/>
                    <w:t xml:space="preserve">     - Bayer : Oral anticoagulation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Pfizer : Oral anticoagulation</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Savelieva Irina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Financial Declaration</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r>
                  <w:r>
                    <w:rPr>
                      <w:rFonts w:ascii="Arial" w:hAnsi="Arial" w:eastAsia="Arial"/>
                      <w:color w:val="000000"/>
                      <w:sz w:val="20"/>
                    </w:rPr>
                    <w:br/>
                    <w:t xml:space="preserve">Direct personal payment from healthcare industry: speaker fees, honoraria, consultancy, advisory board fees, investigator, committee member, etc.For yourself</w:t>
                  </w:r>
                  <w:r>
                    <w:rPr>
                      <w:rFonts w:ascii="Arial" w:hAnsi="Arial" w:eastAsia="Arial"/>
                      <w:color w:val="000000"/>
                      <w:sz w:val="20"/>
                    </w:rPr>
                    <w:br/>
                    <w:t xml:space="preserve">     - Menarini : Antianginal agent, potentially antiarrhythmic agent </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Gilead : Antianginal agent, potentially antiarrhythmic agent </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Pfizer : Oral anticoagulant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Bayer AG : Oral anticoagulant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Bristol Myers Squibb : Oral anticoagulant, potentially antiarrhythmic agent</w:t>
                  </w: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     - Richmond Pharmacology : Potentially antiarrhythmic agent (past)</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Stiles Martin</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Tamargo Juan Luis</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rHeight w:val="262" w:hRule="atLeast"/>
              </w:trPr>
              <w:tc>
                <w:tcPr>
                  <w:tcW w:w="2572" w:type="dxa"/>
                  <w:vMerge w:val="restart"/>
                  <w:tcBorders>
                    <w:top w:val="single"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Ungar Andrea</w:t>
                  </w:r>
                </w:p>
              </w:tc>
              <w:tc>
                <w:tcPr>
                  <w:tcW w:w="697" w:type="dxa"/>
                  <w:vMerge w:val="restart"/>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2020</w:t>
                  </w:r>
                </w:p>
              </w:tc>
              <w:tc>
                <w:tcPr>
                  <w:tcW w:w="12626"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p>
              </w:tc>
            </w:tr>
            <w:tr>
              <w:trPr>
                <w:trHeight w:val="247" w:hRule="atLeast"/>
              </w:trPr>
              <w:tc>
                <w:tcPr>
                  <w:tcW w:w="2572" w:type="dxa"/>
                  <w:vMerge w:val="continue"/>
                  <w:tcBorders>
                    <w:top w:val="nil" w:color="000000" w:sz="7"/>
                    <w:left w:val="single" w:color="000000" w:sz="7"/>
                    <w:bottom w:val="nil" w:color="000000" w:sz="7"/>
                    <w:right w:val="single" w:color="000000" w:sz="3"/>
                  </w:tcBorders>
                  <w:tcMar>
                    <w:top w:w="39" w:type="dxa"/>
                    <w:left w:w="39" w:type="dxa"/>
                    <w:bottom w:w="39" w:type="dxa"/>
                    <w:right w:w="39" w:type="dxa"/>
                  </w:tcMar>
                </w:tcPr>
                <w:p>
                  <w:pPr>
                    <w:spacing w:after="0" w:line="240" w:lineRule="auto"/>
                  </w:pPr>
                </w:p>
              </w:tc>
              <w:tc>
                <w:tcPr>
                  <w:tcW w:w="697" w:type="dxa"/>
                  <w:vMerge w:val="continue"/>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12626" w:type="dxa"/>
                  <w:tcBorders>
                    <w:top w:val="nil" w:color="000000" w:sz="7"/>
                    <w:left w:val="nil" w:color="000000" w:sz="7"/>
                    <w:bottom w:val="nil"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Nothing to be declared</w:t>
                  </w:r>
                </w:p>
              </w:tc>
            </w:tr>
            <w:tr>
              <w:trPr/>
              <w:tc>
                <w:tcPr>
                  <w:tcW w:w="2572" w:type="dxa"/>
                  <w:tcBorders>
                    <w:top w:val="nil" w:color="000000" w:sz="7"/>
                    <w:left w:val="single" w:color="000000" w:sz="7"/>
                    <w:bottom w:val="single" w:color="000000" w:sz="7"/>
                    <w:right w:val="single" w:color="000000" w:sz="3"/>
                  </w:tcBorders>
                  <w:tcMar>
                    <w:top w:w="39" w:type="dxa"/>
                    <w:left w:w="39" w:type="dxa"/>
                    <w:bottom w:w="39" w:type="dxa"/>
                    <w:right w:w="39" w:type="dxa"/>
                  </w:tcMar>
                </w:tcPr>
                <w:tbl>
                  <w:tblPr>
                    <w:tblCellMar>
                      <w:top w:w="0" w:type="dxa"/>
                      <w:left w:w="0" w:type="dxa"/>
                      <w:bottom w:w="0" w:type="dxa"/>
                      <w:right w:w="0" w:type="dxa"/>
                    </w:tblCellMar>
                  </w:tblPr>
                  <w:tblGrid>
                    <w:gridCol w:w="2492"/>
                  </w:tblGrid>
                  <w:tr>
                    <w:trPr/>
                    <w:tc>
                      <w:tcPr>
                        <w:tcW w:w="2492" w:type="dxa"/>
                        <w:tcMar>
                          <w:top w:w="0" w:type="dxa"/>
                          <w:left w:w="0" w:type="dxa"/>
                          <w:bottom w:w="0" w:type="dxa"/>
                          <w:right w:w="0" w:type="dxa"/>
                        </w:tcMar>
                      </w:tcPr>
                      <w:p>
                        <w:pPr>
                          <w:spacing w:after="0" w:line="240" w:lineRule="auto"/>
                          <w:rPr>
                            <w:sz w:val="0"/>
                          </w:rPr>
                        </w:pPr>
                      </w:p>
                    </w:tc>
                  </w:tr>
                </w:tbl>
                <w:p>
                  <w:pPr>
                    <w:spacing w:after="0" w:line="240" w:lineRule="auto"/>
                  </w:pPr>
                </w:p>
              </w:tc>
              <w:tc>
                <w:tcPr>
                  <w:tcW w:w="697" w:type="dxa"/>
                  <w:tcBorders>
                    <w:top w:val="nil" w:color="000000" w:sz="7"/>
                    <w:left w:val="nil" w:color="000000" w:sz="7"/>
                    <w:bottom w:val="single"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17"/>
                  </w:tblGrid>
                  <w:tr>
                    <w:trPr/>
                    <w:tc>
                      <w:tcPr>
                        <w:tcW w:w="617" w:type="dxa"/>
                        <w:tcMar>
                          <w:top w:w="0" w:type="dxa"/>
                          <w:left w:w="0" w:type="dxa"/>
                          <w:bottom w:w="0" w:type="dxa"/>
                          <w:right w:w="0" w:type="dxa"/>
                        </w:tcMar>
                      </w:tcPr>
                      <w:p>
                        <w:pPr>
                          <w:spacing w:after="0" w:line="240" w:lineRule="auto"/>
                          <w:rPr>
                            <w:sz w:val="0"/>
                          </w:rPr>
                        </w:pPr>
                      </w:p>
                    </w:tc>
                  </w:tr>
                </w:tbl>
                <w:p>
                  <w:pPr>
                    <w:spacing w:after="0" w:line="240" w:lineRule="auto"/>
                  </w:pPr>
                </w:p>
              </w:tc>
              <w:tc>
                <w:tcPr>
                  <w:tcW w:w="12626" w:type="dxa"/>
                  <w:tcBorders>
                    <w:top w:val="nil" w:color="000000" w:sz="7"/>
                    <w:left w:val="nil" w:color="000000" w:sz="7"/>
                    <w:bottom w:val="single" w:color="000000" w:sz="7"/>
                    <w:right w:val="single" w:color="000000" w:sz="7"/>
                  </w:tcBorders>
                  <w:tcMar>
                    <w:top w:w="39" w:type="dxa"/>
                    <w:left w:w="39" w:type="dxa"/>
                    <w:bottom w:w="39" w:type="dxa"/>
                    <w:right w:w="39" w:type="dxa"/>
                  </w:tcMar>
                </w:tcPr>
                <w:tbl>
                  <w:tblPr>
                    <w:tblCellMar>
                      <w:top w:w="0" w:type="dxa"/>
                      <w:left w:w="0" w:type="dxa"/>
                      <w:bottom w:w="0" w:type="dxa"/>
                      <w:right w:w="0" w:type="dxa"/>
                    </w:tblCellMar>
                  </w:tblPr>
                  <w:tblGrid>
                    <w:gridCol w:w="12546"/>
                  </w:tblGrid>
                  <w:tr>
                    <w:trPr/>
                    <w:tc>
                      <w:tcPr>
                        <w:tcW w:w="12546" w:type="dxa"/>
                        <w:tcMar>
                          <w:top w:w="0" w:type="dxa"/>
                          <w:left w:w="0" w:type="dxa"/>
                          <w:bottom w:w="0" w:type="dxa"/>
                          <w:right w:w="0" w:type="dxa"/>
                        </w:tcMar>
                      </w:tcPr>
                      <w:p>
                        <w:pPr>
                          <w:spacing w:after="0" w:line="240" w:lineRule="auto"/>
                          <w:rPr>
                            <w:sz w:val="0"/>
                          </w:rPr>
                        </w:pPr>
                      </w:p>
                    </w:tc>
                  </w:tr>
                </w:tbl>
                <w:p>
                  <w:pPr>
                    <w:spacing w:after="0" w:line="240" w:lineRule="auto"/>
                  </w:pPr>
                </w:p>
              </w:tc>
            </w:tr>
          </w:tbl>
          <w:p>
            <w:pPr>
              <w:spacing w:after="0" w:line="240" w:lineRule="auto"/>
            </w:pPr>
          </w:p>
        </w:tc>
        <w:tc>
          <w:tcPr>
            <w:tcW w:w="277"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6837" w:h="11905" w:orient="landscape"/>
      <w:pgMar w:top="2908" w:right="170" w:bottom="1003" w:left="170" w:header="283" w:footer="28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45"/>
      <w:gridCol w:w="4529"/>
      <w:gridCol w:w="9460"/>
      <w:gridCol w:w="1921"/>
      <w:gridCol w:w="277"/>
    </w:tblGrid>
    <w:tr>
      <w:trPr/>
      <w:tc>
        <w:tcPr>
          <w:tcW w:w="145" w:type="dxa"/>
        </w:tcPr>
        <w:p>
          <w:pPr>
            <w:pStyle w:val="EmptyCellLayoutStyle"/>
            <w:spacing w:after="0" w:line="240" w:lineRule="auto"/>
          </w:pPr>
        </w:p>
      </w:tc>
      <w:tc>
        <w:tcPr>
          <w:tcW w:w="4529" w:type="dxa"/>
        </w:tcPr>
        <w:p>
          <w:pPr>
            <w:pStyle w:val="EmptyCellLayoutStyle"/>
            <w:spacing w:after="0" w:line="240" w:lineRule="auto"/>
          </w:pPr>
        </w:p>
      </w:tc>
      <w:tc>
        <w:tcPr>
          <w:tcW w:w="9460" w:type="dxa"/>
        </w:tcPr>
        <w:p>
          <w:pPr>
            <w:pStyle w:val="EmptyCellLayoutStyle"/>
            <w:spacing w:after="0" w:line="240" w:lineRule="auto"/>
          </w:pPr>
        </w:p>
      </w:tc>
      <w:tc>
        <w:tcPr>
          <w:tcW w:w="1921" w:type="dxa"/>
        </w:tcPr>
        <w:p>
          <w:pPr>
            <w:pStyle w:val="EmptyCellLayoutStyle"/>
            <w:spacing w:after="0" w:line="240" w:lineRule="auto"/>
          </w:pPr>
        </w:p>
      </w:tc>
      <w:tc>
        <w:tcPr>
          <w:tcW w:w="277" w:type="dxa"/>
        </w:tcPr>
        <w:p>
          <w:pPr>
            <w:pStyle w:val="EmptyCellLayoutStyle"/>
            <w:spacing w:after="0" w:line="240" w:lineRule="auto"/>
          </w:pPr>
        </w:p>
      </w:tc>
    </w:tr>
    <w:tr>
      <w:trPr/>
      <w:tc>
        <w:tcPr>
          <w:tcW w:w="145" w:type="dxa"/>
        </w:tcPr>
        <w:p>
          <w:pPr>
            <w:pStyle w:val="EmptyCellLayoutStyle"/>
            <w:spacing w:after="0" w:line="240" w:lineRule="auto"/>
          </w:pPr>
        </w:p>
      </w:tc>
      <w:tc>
        <w:tcPr>
          <w:tcW w:w="4529" w:type="dxa"/>
        </w:tcPr>
        <w:tbl>
          <w:tblPr>
            <w:tblCellMar>
              <w:top w:w="0" w:type="dxa"/>
              <w:left w:w="0" w:type="dxa"/>
              <w:bottom w:w="0" w:type="dxa"/>
              <w:right w:w="0" w:type="dxa"/>
            </w:tblCellMar>
          </w:tblPr>
          <w:tblGrid>
            <w:gridCol w:w="4529"/>
          </w:tblGrid>
          <w:tr>
            <w:trPr>
              <w:trHeight w:val="262" w:hRule="atLeast"/>
            </w:trPr>
            <w:tc>
              <w:tcPr>
                <w:tcW w:w="452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01/06/2022</w:t>
                </w:r>
              </w:p>
            </w:tc>
          </w:tr>
        </w:tbl>
        <w:p>
          <w:pPr>
            <w:spacing w:after="0" w:line="240" w:lineRule="auto"/>
          </w:pPr>
        </w:p>
      </w:tc>
      <w:tc>
        <w:tcPr>
          <w:tcW w:w="9460" w:type="dxa"/>
        </w:tcPr>
        <w:p>
          <w:pPr>
            <w:pStyle w:val="EmptyCellLayoutStyle"/>
            <w:spacing w:after="0" w:line="240" w:lineRule="auto"/>
          </w:pPr>
        </w:p>
      </w:tc>
      <w:tc>
        <w:tcPr>
          <w:tcW w:w="1921" w:type="dxa"/>
        </w:tcPr>
        <w:tbl>
          <w:tblPr>
            <w:tblCellMar>
              <w:top w:w="0" w:type="dxa"/>
              <w:left w:w="0" w:type="dxa"/>
              <w:bottom w:w="0" w:type="dxa"/>
              <w:right w:w="0" w:type="dxa"/>
            </w:tblCellMar>
          </w:tblPr>
          <w:tblGrid>
            <w:gridCol w:w="1921"/>
          </w:tblGrid>
          <w:tr>
            <w:trPr>
              <w:trHeight w:val="262" w:hRule="atLeast"/>
            </w:trPr>
            <w:tc>
              <w:tcPr>
                <w:tcW w:w="192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i/>
                    <w:color w:val="000000"/>
                    <w:sz w:val="20"/>
                  </w:rPr>
                  <w:fldChar w:fldCharType="begin" w:fldLock="0" w:dirty="0"/>
                </w:r>
                <w:r>
                  <w:rPr>
                    <w:rFonts w:ascii="Arial" w:hAnsi="Arial" w:eastAsia="Arial"/>
                    <w:i/>
                    <w:noProof/>
                    <w:color w:val="000000"/>
                    <w:sz w:val="20"/>
                  </w:rPr>
                  <w:instrText xml:space="preserve"> PAGE </w:instrText>
                </w:r>
                <w:r>
                  <w:rPr>
                    <w:rFonts w:ascii="Arial" w:hAnsi="Arial" w:eastAsia="Arial"/>
                    <w:i/>
                    <w:color w:val="000000"/>
                    <w:sz w:val="20"/>
                  </w:rPr>
                  <w:fldChar w:fldCharType="separate" w:fldLock="0" w:dirty="0"/>
                </w:r>
                <w:r>
                  <w:rPr>
                    <w:rFonts w:ascii="Arial" w:hAnsi="Arial" w:eastAsia="Arial"/>
                    <w:i/>
                    <w:color w:val="000000"/>
                    <w:sz w:val="20"/>
                  </w:rPr>
                  <w:t xml:space="preserve">1</w:t>
                </w:r>
                <w:r>
                  <w:rPr>
                    <w:rFonts w:ascii="Arial" w:hAnsi="Arial" w:eastAsia="Arial"/>
                    <w:i/>
                    <w:color w:val="000000"/>
                    <w:sz w:val="20"/>
                  </w:rPr>
                  <w:fldChar w:fldCharType="end" w:fldLock="0" w:dirty="0"/>
                </w:r>
                <w:r>
                  <w:rPr>
                    <w:rFonts w:ascii="Arial" w:hAnsi="Arial" w:eastAsia="Arial"/>
                    <w:i/>
                    <w:color w:val="000000"/>
                    <w:sz w:val="20"/>
                  </w:rPr>
                  <w:t xml:space="preserve">/</w:t>
                </w:r>
                <w:r>
                  <w:rPr>
                    <w:rFonts w:ascii="Arial" w:hAnsi="Arial" w:eastAsia="Arial"/>
                    <w:i/>
                    <w:color w:val="000000"/>
                    <w:sz w:val="20"/>
                  </w:rPr>
                  <w:fldChar w:fldCharType="begin" w:fldLock="0" w:dirty="0"/>
                </w:r>
                <w:r>
                  <w:rPr>
                    <w:rFonts w:ascii="Arial" w:hAnsi="Arial" w:eastAsia="Arial"/>
                    <w:i/>
                    <w:noProof/>
                    <w:color w:val="000000"/>
                    <w:sz w:val="20"/>
                  </w:rPr>
                  <w:instrText xml:space="preserve"> NUMPAGES </w:instrText>
                </w:r>
                <w:r>
                  <w:rPr>
                    <w:rFonts w:ascii="Arial" w:hAnsi="Arial" w:eastAsia="Arial"/>
                    <w:i/>
                    <w:color w:val="000000"/>
                    <w:sz w:val="20"/>
                  </w:rPr>
                  <w:fldChar w:fldCharType="separate" w:fldLock="0" w:dirty="0"/>
                </w:r>
                <w:r>
                  <w:rPr>
                    <w:rFonts w:ascii="Arial" w:hAnsi="Arial" w:eastAsia="Arial"/>
                    <w:i/>
                    <w:color w:val="000000"/>
                    <w:sz w:val="20"/>
                  </w:rPr>
                  <w:t xml:space="preserve">1</w:t>
                </w:r>
                <w:r>
                  <w:rPr>
                    <w:rFonts w:ascii="Arial" w:hAnsi="Arial" w:eastAsia="Arial"/>
                    <w:i/>
                    <w:color w:val="000000"/>
                    <w:sz w:val="20"/>
                  </w:rPr>
                  <w:fldChar w:fldCharType="end" w:fldLock="0" w:dirty="0"/>
                </w:r>
              </w:p>
            </w:tc>
          </w:tr>
        </w:tbl>
        <w:p>
          <w:pPr>
            <w:spacing w:after="0" w:line="240" w:lineRule="auto"/>
          </w:pPr>
        </w:p>
      </w:tc>
      <w:tc>
        <w:tcPr>
          <w:tcW w:w="277" w:type="dxa"/>
        </w:tcPr>
        <w:p>
          <w:pPr>
            <w:pStyle w:val="EmptyCellLayoutStyle"/>
            <w:spacing w:after="0" w:line="240" w:lineRule="auto"/>
          </w:pPr>
        </w:p>
      </w:tc>
    </w:tr>
    <w:tr>
      <w:trPr/>
      <w:tc>
        <w:tcPr>
          <w:tcW w:w="145" w:type="dxa"/>
        </w:tcPr>
        <w:p>
          <w:pPr>
            <w:pStyle w:val="EmptyCellLayoutStyle"/>
            <w:spacing w:after="0" w:line="240" w:lineRule="auto"/>
          </w:pPr>
        </w:p>
      </w:tc>
      <w:tc>
        <w:tcPr>
          <w:tcW w:w="4529" w:type="dxa"/>
        </w:tcPr>
        <w:p>
          <w:pPr>
            <w:pStyle w:val="EmptyCellLayoutStyle"/>
            <w:spacing w:after="0" w:line="240" w:lineRule="auto"/>
          </w:pPr>
        </w:p>
      </w:tc>
      <w:tc>
        <w:tcPr>
          <w:tcW w:w="9460" w:type="dxa"/>
        </w:tcPr>
        <w:p>
          <w:pPr>
            <w:pStyle w:val="EmptyCellLayoutStyle"/>
            <w:spacing w:after="0" w:line="240" w:lineRule="auto"/>
          </w:pPr>
        </w:p>
      </w:tc>
      <w:tc>
        <w:tcPr>
          <w:tcW w:w="1921" w:type="dxa"/>
        </w:tcPr>
        <w:p>
          <w:pPr>
            <w:pStyle w:val="EmptyCellLayoutStyle"/>
            <w:spacing w:after="0" w:line="240" w:lineRule="auto"/>
          </w:pPr>
        </w:p>
      </w:tc>
      <w:tc>
        <w:tcPr>
          <w:tcW w:w="277"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61"/>
      <w:gridCol w:w="18"/>
      <w:gridCol w:w="2550"/>
      <w:gridCol w:w="448"/>
      <w:gridCol w:w="12874"/>
      <w:gridCol w:w="277"/>
    </w:tblGrid>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619250" cy="7620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619250" cy="762000"/>
                        </a:xfrm>
                        <a:prstGeom prst="rect">
                          <a:avLst/>
                        </a:prstGeom>
                      </pic:spPr>
                    </pic:pic>
                  </a:graphicData>
                </a:graphic>
              </wp:inline>
            </w:drawing>
          </w:r>
        </w:p>
      </w:tc>
      <w:tc>
        <w:tcPr>
          <w:tcW w:w="448" w:type="dxa"/>
        </w:tcPr>
        <w:p>
          <w:pPr>
            <w:pStyle w:val="EmptyCellLayoutStyle"/>
            <w:spacing w:after="0" w:line="240" w:lineRule="auto"/>
          </w:pPr>
        </w:p>
      </w:tc>
      <w:tc>
        <w:tcPr>
          <w:tcW w:w="12874" w:type="dxa"/>
        </w:tcPr>
        <w:tbl>
          <w:tblPr>
            <w:tblCellMar>
              <w:top w:w="0" w:type="dxa"/>
              <w:left w:w="0" w:type="dxa"/>
              <w:bottom w:w="0" w:type="dxa"/>
              <w:right w:w="0" w:type="dxa"/>
            </w:tblCellMar>
          </w:tblPr>
          <w:tblGrid>
            <w:gridCol w:w="12874"/>
          </w:tblGrid>
          <w:tr>
            <w:trPr>
              <w:trHeight w:val="292" w:hRule="atLeast"/>
            </w:trPr>
            <w:tc>
              <w:tcPr>
                <w:tcW w:w="12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EHRA: Mgt of arrhythmias in elderly and frailty syndrome- Writers 2021 </w:t>
                </w:r>
              </w:p>
            </w:tc>
          </w:tr>
        </w:tbl>
        <w:p>
          <w:pPr>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continue"/>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vMerge w:val="continue"/>
        </w:tcPr>
        <w:p>
          <w:pPr>
            <w:pStyle w:val="EmptyCellLayoutStyle"/>
            <w:spacing w:after="0" w:line="240" w:lineRule="auto"/>
          </w:pPr>
        </w:p>
      </w:tc>
      <w:tc>
        <w:tcPr>
          <w:tcW w:w="448" w:type="dxa"/>
        </w:tcPr>
        <w:p>
          <w:pPr>
            <w:pStyle w:val="EmptyCellLayoutStyle"/>
            <w:spacing w:after="0" w:line="240" w:lineRule="auto"/>
          </w:pPr>
        </w:p>
      </w:tc>
      <w:tc>
        <w:tcPr>
          <w:tcW w:w="12874" w:type="dxa"/>
          <w:vMerge w:val="restart"/>
        </w:tcPr>
        <w:tbl>
          <w:tblPr>
            <w:tblCellMar>
              <w:top w:w="0" w:type="dxa"/>
              <w:left w:w="0" w:type="dxa"/>
              <w:bottom w:w="0" w:type="dxa"/>
              <w:right w:w="0" w:type="dxa"/>
            </w:tblCellMar>
          </w:tblPr>
          <w:tblGrid>
            <w:gridCol w:w="12874"/>
          </w:tblGrid>
          <w:tr>
            <w:trPr>
              <w:trHeight w:val="985" w:hRule="atLeast"/>
            </w:trPr>
            <w:tc>
              <w:tcPr>
                <w:tcW w:w="12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For ESC Guidelines: The report below lists declarations of interest as reported to the ESC by the experts during the yearly call for declaration conducted every January covering the previous calendar year. The calls for declaration are conducted during the period of development of these guidelines up to and including 2020.</w:t>
                </w:r>
              </w:p>
            </w:tc>
          </w:tr>
        </w:tbl>
        <w:p>
          <w:pPr>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vMerge w:val="continue"/>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hMerge w:val="restart"/>
        </w:tcPr>
        <w:tbl>
          <w:tblPr>
            <w:tblCellMar>
              <w:top w:w="0" w:type="dxa"/>
              <w:left w:w="0" w:type="dxa"/>
              <w:bottom w:w="0" w:type="dxa"/>
              <w:right w:w="0" w:type="dxa"/>
            </w:tblCellMar>
          </w:tblPr>
          <w:tblGrid>
            <w:gridCol w:w="2572"/>
          </w:tblGrid>
          <w:tr>
            <w:trPr>
              <w:trHeight w:val="517" w:hRule="atLeast"/>
            </w:trPr>
            <w:tc>
              <w:tcPr>
                <w:tcW w:w="257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Expert</w:t>
                </w:r>
              </w:p>
            </w:tc>
          </w:tr>
        </w:tbl>
        <w:p>
          <w:pPr>
            <w:spacing w:after="0" w:line="240" w:lineRule="auto"/>
          </w:pPr>
        </w:p>
      </w:tc>
      <w:tc>
        <w:tcPr>
          <w:tcW w:w="2550" w:type="dxa"/>
          <w:hMerge w:val="continue"/>
        </w:tcPr>
        <w:p>
          <w:pPr>
            <w:pStyle w:val="EmptyCellLayoutStyle"/>
            <w:spacing w:after="0" w:line="240" w:lineRule="auto"/>
          </w:pPr>
        </w:p>
      </w:tc>
      <w:tc>
        <w:tcPr>
          <w:tcW w:w="448" w:type="dxa"/>
          <w:hMerge w:val="restart"/>
        </w:tcPr>
        <w:tbl>
          <w:tblPr>
            <w:tblCellMar>
              <w:top w:w="0" w:type="dxa"/>
              <w:left w:w="0" w:type="dxa"/>
              <w:bottom w:w="0" w:type="dxa"/>
              <w:right w:w="0" w:type="dxa"/>
            </w:tblCellMar>
          </w:tblPr>
          <w:tblGrid>
            <w:gridCol w:w="13323"/>
          </w:tblGrid>
          <w:tr>
            <w:trPr>
              <w:trHeight w:val="517" w:hRule="atLeast"/>
            </w:trPr>
            <w:tc>
              <w:tcPr>
                <w:tcW w:w="133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Type of Relationship with Industry</w:t>
                </w:r>
              </w:p>
            </w:tc>
          </w:tr>
        </w:tbl>
        <w:p>
          <w:pPr>
            <w:spacing w:after="0" w:line="240" w:lineRule="auto"/>
          </w:pPr>
        </w:p>
      </w:tc>
      <w:tc>
        <w:tcPr>
          <w:tcW w:w="12874" w:type="dxa"/>
          <w:hMerge w:val="continue"/>
        </w:tcPr>
        <w:p>
          <w:pPr>
            <w:pStyle w:val="EmptyCellLayoutStyle"/>
            <w:spacing w:after="0" w:line="240" w:lineRule="auto"/>
          </w:pPr>
        </w:p>
      </w:tc>
      <w:tc>
        <w:tcPr>
          <w:tcW w:w="277" w:type="dxa"/>
        </w:tcPr>
        <w:p>
          <w:pPr>
            <w:pStyle w:val="EmptyCellLayoutStyle"/>
            <w:spacing w:after="0" w:line="240" w:lineRule="auto"/>
          </w:pPr>
        </w:p>
      </w:tc>
    </w:tr>
    <w:tr>
      <w:trPr/>
      <w:tc>
        <w:tcPr>
          <w:tcW w:w="161" w:type="dxa"/>
        </w:tcPr>
        <w:p>
          <w:pPr>
            <w:pStyle w:val="EmptyCellLayoutStyle"/>
            <w:spacing w:after="0" w:line="240" w:lineRule="auto"/>
          </w:pPr>
        </w:p>
      </w:tc>
      <w:tc>
        <w:tcPr>
          <w:tcW w:w="18" w:type="dxa"/>
        </w:tcPr>
        <w:p>
          <w:pPr>
            <w:pStyle w:val="EmptyCellLayoutStyle"/>
            <w:spacing w:after="0" w:line="240" w:lineRule="auto"/>
          </w:pPr>
        </w:p>
      </w:tc>
      <w:tc>
        <w:tcPr>
          <w:tcW w:w="2550" w:type="dxa"/>
        </w:tcPr>
        <w:p>
          <w:pPr>
            <w:pStyle w:val="EmptyCellLayoutStyle"/>
            <w:spacing w:after="0" w:line="240" w:lineRule="auto"/>
          </w:pPr>
        </w:p>
      </w:tc>
      <w:tc>
        <w:tcPr>
          <w:tcW w:w="448" w:type="dxa"/>
        </w:tcPr>
        <w:p>
          <w:pPr>
            <w:pStyle w:val="EmptyCellLayoutStyle"/>
            <w:spacing w:after="0" w:line="240" w:lineRule="auto"/>
          </w:pPr>
        </w:p>
      </w:tc>
      <w:tc>
        <w:tcPr>
          <w:tcW w:w="12874" w:type="dxa"/>
        </w:tcPr>
        <w:p>
          <w:pPr>
            <w:pStyle w:val="EmptyCellLayoutStyle"/>
            <w:spacing w:after="0" w:line="240" w:lineRule="auto"/>
          </w:pPr>
        </w:p>
      </w:tc>
      <w:tc>
        <w:tcPr>
          <w:tcW w:w="277"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DOI_ReviewedDoiSummary</dc:title>
</cp:coreProperties>
</file>