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29F1" w14:textId="77777777" w:rsidR="001109C8" w:rsidRPr="001109C8" w:rsidRDefault="001109C8" w:rsidP="00917BE1">
      <w:pPr>
        <w:spacing w:line="276" w:lineRule="auto"/>
        <w:rPr>
          <w:b/>
          <w:bCs/>
          <w:u w:val="single"/>
        </w:rPr>
      </w:pPr>
      <w:r w:rsidRPr="001109C8">
        <w:rPr>
          <w:b/>
          <w:bCs/>
          <w:u w:val="single"/>
        </w:rPr>
        <w:t>AUTHOR CORRECTION</w:t>
      </w:r>
    </w:p>
    <w:p w14:paraId="77B3F036" w14:textId="7B776060" w:rsidR="00774DCC" w:rsidRDefault="001109C8" w:rsidP="00917BE1">
      <w:pPr>
        <w:spacing w:line="276" w:lineRule="auto"/>
      </w:pPr>
      <w:r>
        <w:t xml:space="preserve">Volume 7, no. 2, </w:t>
      </w:r>
      <w:r w:rsidRPr="001109C8">
        <w:t>e00135-22</w:t>
      </w:r>
      <w:r>
        <w:t xml:space="preserve">, 2022, </w:t>
      </w:r>
      <w:r w:rsidRPr="001109C8">
        <w:t>https://doi.org/10.1128/msystems.00135-22</w:t>
      </w:r>
      <w:r>
        <w:t xml:space="preserve">. Following discussions with colleagues and peer-reviewers on </w:t>
      </w:r>
      <w:r w:rsidRPr="001109C8">
        <w:t xml:space="preserve">further work extending the model introduced in this manuscript, we have identified </w:t>
      </w:r>
      <w:r w:rsidR="00813135">
        <w:t xml:space="preserve">a technical </w:t>
      </w:r>
      <w:r w:rsidR="0021715C">
        <w:t>issue</w:t>
      </w:r>
      <w:r w:rsidR="00813135">
        <w:t xml:space="preserve"> in the way we mathematically phrased the</w:t>
      </w:r>
      <w:r w:rsidRPr="001109C8">
        <w:t xml:space="preserve"> phage-bacteria interaction.</w:t>
      </w:r>
      <w:r>
        <w:t xml:space="preserve"> </w:t>
      </w:r>
      <w:r w:rsidR="00F910D0">
        <w:t>This has been corrected with an</w:t>
      </w:r>
      <w:r w:rsidR="00774DCC">
        <w:t xml:space="preserve"> improved equation </w:t>
      </w:r>
      <w:r w:rsidR="00F910D0">
        <w:t xml:space="preserve">which </w:t>
      </w:r>
      <w:r w:rsidR="00774DCC">
        <w:t>restricts the maximum rate of phage predation at higher phage concentrations,</w:t>
      </w:r>
      <w:r w:rsidR="00D8022B">
        <w:t xml:space="preserve"> exactly</w:t>
      </w:r>
      <w:r w:rsidR="00774DCC">
        <w:t xml:space="preserve"> as our original frequency-dependent approach did</w:t>
      </w:r>
      <w:r w:rsidR="00361170">
        <w:t>, but with greater biological and mathematical clarity</w:t>
      </w:r>
      <w:r w:rsidR="00774DCC">
        <w:t xml:space="preserve">. </w:t>
      </w:r>
      <w:r w:rsidR="00844F11">
        <w:t>Refitting the model with</w:t>
      </w:r>
      <w:r w:rsidR="00774DCC">
        <w:t xml:space="preserve"> this improved “saturated phage predation” </w:t>
      </w:r>
      <w:r w:rsidR="00813135">
        <w:t>term</w:t>
      </w:r>
      <w:r w:rsidR="00774DCC">
        <w:t xml:space="preserve"> does not </w:t>
      </w:r>
      <w:r w:rsidR="00813135">
        <w:t xml:space="preserve">substantially </w:t>
      </w:r>
      <w:r w:rsidR="00774DCC">
        <w:t>change</w:t>
      </w:r>
      <w:r w:rsidR="00844F11">
        <w:t xml:space="preserve"> our parameter values,</w:t>
      </w:r>
      <w:r w:rsidR="00774DCC">
        <w:t xml:space="preserve"> </w:t>
      </w:r>
      <w:r w:rsidR="00D8022B">
        <w:t xml:space="preserve">figures, </w:t>
      </w:r>
      <w:r w:rsidR="00774DCC">
        <w:t>results</w:t>
      </w:r>
      <w:r w:rsidR="00D8022B">
        <w:t>,</w:t>
      </w:r>
      <w:r w:rsidR="00774DCC">
        <w:t xml:space="preserve"> and conclusions. </w:t>
      </w:r>
    </w:p>
    <w:p w14:paraId="2F02374E" w14:textId="068F1CB6" w:rsidR="001D2ED2" w:rsidRDefault="001109C8" w:rsidP="00917BE1">
      <w:pPr>
        <w:spacing w:line="276" w:lineRule="auto"/>
      </w:pPr>
      <w:r>
        <w:t>A summary of the changes can be found below.</w:t>
      </w:r>
    </w:p>
    <w:p w14:paraId="34A4B92F" w14:textId="051DE871" w:rsidR="001109C8" w:rsidRDefault="001109C8" w:rsidP="00917BE1">
      <w:pPr>
        <w:pStyle w:val="ListParagraph"/>
        <w:numPr>
          <w:ilvl w:val="0"/>
          <w:numId w:val="1"/>
        </w:numPr>
        <w:spacing w:line="276" w:lineRule="auto"/>
      </w:pPr>
      <w:r>
        <w:t xml:space="preserve">All mentions of “frequency-dependent” phage predation </w:t>
      </w:r>
      <w:r w:rsidR="00D546C6">
        <w:t>should be replaced by</w:t>
      </w:r>
      <w:r>
        <w:t xml:space="preserve"> “saturated” phage predation</w:t>
      </w:r>
      <w:r w:rsidR="007B4C1E">
        <w:t>, and all mentions of “density-dependent” phage predation should be replaced by “linear” phage predation.</w:t>
      </w:r>
    </w:p>
    <w:p w14:paraId="7188F453" w14:textId="166ADA7E" w:rsidR="00A00D2C" w:rsidRDefault="00A00D2C" w:rsidP="00A00D2C">
      <w:pPr>
        <w:pStyle w:val="ListParagraph"/>
        <w:numPr>
          <w:ilvl w:val="0"/>
          <w:numId w:val="1"/>
        </w:numPr>
        <w:spacing w:line="276" w:lineRule="auto"/>
      </w:pPr>
      <w:r>
        <w:t>Page 6: the two equations used for the frequency-dependent interaction (Equations 2 and 3) should be replaced by this single improved equation for saturated predation:</w:t>
      </w:r>
    </w:p>
    <w:p w14:paraId="2E1218DA" w14:textId="77777777" w:rsidR="00A00D2C" w:rsidRPr="00917BE1" w:rsidRDefault="00A00D2C" w:rsidP="00A00D2C">
      <w:pPr>
        <w:pStyle w:val="ListParagraph"/>
        <w:spacing w:line="276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="Cambria Math" w:hAnsi="Cambria Math"/>
            </w:rPr>
            <m:t xml:space="preserve">B*P*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β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</w:rPr>
                        <m:t>P50</m:t>
                      </m:r>
                    </m:den>
                  </m:f>
                </m:e>
              </m:d>
            </m:den>
          </m:f>
        </m:oMath>
      </m:oMathPara>
    </w:p>
    <w:p w14:paraId="086BAA6D" w14:textId="14591BA4" w:rsidR="00F35201" w:rsidRDefault="00A00D2C" w:rsidP="005D2C77">
      <w:pPr>
        <w:pStyle w:val="ListParagraph"/>
        <w:spacing w:line="276" w:lineRule="auto"/>
      </w:pPr>
      <w:r>
        <w:t>With P50 corresponding to the phage concentration at half saturation, where the adsorption rate is equal to half the maximum.</w:t>
      </w:r>
    </w:p>
    <w:p w14:paraId="7F566F85" w14:textId="19E474F1" w:rsidR="00207BE0" w:rsidRDefault="005D2C77" w:rsidP="005D2C77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ABD70C" wp14:editId="103BC674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5972175" cy="4777740"/>
            <wp:effectExtent l="0" t="0" r="9525" b="3810"/>
            <wp:wrapSquare wrapText="bothSides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E0">
        <w:t xml:space="preserve">Page </w:t>
      </w:r>
      <w:r w:rsidR="005A1C66">
        <w:t>11</w:t>
      </w:r>
      <w:r w:rsidR="00207BE0">
        <w:t xml:space="preserve">: Figure </w:t>
      </w:r>
      <w:r w:rsidR="00AE19F6">
        <w:t>5</w:t>
      </w:r>
      <w:r w:rsidR="00207BE0">
        <w:t xml:space="preserve"> should appear as shown below</w:t>
      </w:r>
      <w:r w:rsidR="000A47AB">
        <w:t xml:space="preserve">, </w:t>
      </w:r>
      <w:r w:rsidR="00AE19F6">
        <w:t xml:space="preserve">with the results from fitting the model with the improved “saturated phage predation” </w:t>
      </w:r>
      <w:proofErr w:type="gramStart"/>
      <w:r w:rsidR="00AE19F6">
        <w:t>term</w:t>
      </w:r>
      <w:proofErr w:type="gramEnd"/>
    </w:p>
    <w:p w14:paraId="2070D87A" w14:textId="3FFFB4EC" w:rsidR="00F35201" w:rsidRDefault="00207BE0" w:rsidP="005D2C77">
      <w:pPr>
        <w:spacing w:line="276" w:lineRule="auto"/>
        <w:rPr>
          <w:b/>
        </w:rPr>
      </w:pPr>
      <w:r w:rsidRPr="005D2C77">
        <w:rPr>
          <w:b/>
        </w:rPr>
        <w:t xml:space="preserve">Figure </w:t>
      </w:r>
      <w:r w:rsidR="005D2C77" w:rsidRPr="005D2C77">
        <w:rPr>
          <w:b/>
        </w:rPr>
        <w:t>5</w:t>
      </w:r>
      <w:r w:rsidRPr="005D2C77">
        <w:rPr>
          <w:b/>
        </w:rPr>
        <w:t xml:space="preserve">: </w:t>
      </w:r>
      <w:r w:rsidR="00FA7197">
        <w:rPr>
          <w:b/>
        </w:rPr>
        <w:t xml:space="preserve">Accuracy of the best-fitted models to reproduce </w:t>
      </w:r>
      <w:r w:rsidR="00FA7197">
        <w:rPr>
          <w:b/>
          <w:i/>
        </w:rPr>
        <w:t>in vitro</w:t>
      </w:r>
      <w:r w:rsidR="00FA7197">
        <w:rPr>
          <w:b/>
        </w:rPr>
        <w:t xml:space="preserve"> phage-bacteria dynamics.</w:t>
      </w:r>
    </w:p>
    <w:p w14:paraId="4427431B" w14:textId="77777777" w:rsidR="00AE19F6" w:rsidRPr="005D2C77" w:rsidRDefault="00AE19F6" w:rsidP="005D2C77">
      <w:pPr>
        <w:spacing w:line="276" w:lineRule="auto"/>
      </w:pPr>
    </w:p>
    <w:p w14:paraId="70725DD4" w14:textId="28CDB05F" w:rsidR="00491F52" w:rsidRDefault="003C73A0" w:rsidP="00917BE1">
      <w:pPr>
        <w:pStyle w:val="ListParagraph"/>
        <w:numPr>
          <w:ilvl w:val="0"/>
          <w:numId w:val="1"/>
        </w:numPr>
        <w:spacing w:line="276" w:lineRule="auto"/>
      </w:pPr>
      <w:r>
        <w:t xml:space="preserve">Page </w:t>
      </w:r>
      <w:r w:rsidR="0025599F">
        <w:t>12</w:t>
      </w:r>
      <w:r>
        <w:t xml:space="preserve">: </w:t>
      </w:r>
      <w:r w:rsidR="00491F52">
        <w:t xml:space="preserve">Table 1 </w:t>
      </w:r>
      <w:r w:rsidR="00CF3993">
        <w:t>should read:</w:t>
      </w:r>
    </w:p>
    <w:tbl>
      <w:tblPr>
        <w:tblW w:w="10632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993"/>
        <w:gridCol w:w="850"/>
        <w:gridCol w:w="1276"/>
        <w:gridCol w:w="851"/>
        <w:gridCol w:w="2126"/>
        <w:gridCol w:w="1276"/>
        <w:gridCol w:w="1559"/>
        <w:gridCol w:w="709"/>
      </w:tblGrid>
      <w:tr w:rsidR="00CF3993" w:rsidRPr="00CF3993" w14:paraId="1CAF890C" w14:textId="77777777" w:rsidTr="00CF3993">
        <w:tc>
          <w:tcPr>
            <w:tcW w:w="992" w:type="dxa"/>
            <w:shd w:val="clear" w:color="auto" w:fill="EFEFEF"/>
          </w:tcPr>
          <w:p w14:paraId="1D933C6A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Interaction type</w:t>
            </w:r>
          </w:p>
        </w:tc>
        <w:tc>
          <w:tcPr>
            <w:tcW w:w="993" w:type="dxa"/>
            <w:shd w:val="clear" w:color="auto" w:fill="EFEFEF"/>
          </w:tcPr>
          <w:p w14:paraId="34817C22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Adsorption rate linked to growth</w:t>
            </w:r>
          </w:p>
        </w:tc>
        <w:tc>
          <w:tcPr>
            <w:tcW w:w="850" w:type="dxa"/>
            <w:shd w:val="clear" w:color="auto" w:fill="EFEFEF"/>
          </w:tcPr>
          <w:p w14:paraId="66840515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Burst size linked to growth</w:t>
            </w:r>
          </w:p>
        </w:tc>
        <w:tc>
          <w:tcPr>
            <w:tcW w:w="1276" w:type="dxa"/>
            <w:shd w:val="clear" w:color="auto" w:fill="EFEFEF"/>
          </w:tcPr>
          <w:p w14:paraId="71C3E392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 xml:space="preserve">Adsorption rate </w:t>
            </w:r>
            <w:r w:rsidRPr="00CF3993">
              <w:rPr>
                <w:rFonts w:ascii="Symbol" w:hAnsi="Symbol"/>
                <w:b/>
                <w:sz w:val="14"/>
                <w:szCs w:val="14"/>
              </w:rPr>
              <w:t></w:t>
            </w:r>
            <w:r w:rsidRPr="00CF3993">
              <w:rPr>
                <w:b/>
                <w:sz w:val="14"/>
                <w:szCs w:val="14"/>
              </w:rPr>
              <w:t xml:space="preserve"> (phage</w:t>
            </w:r>
            <w:r w:rsidRPr="00CF3993">
              <w:rPr>
                <w:b/>
                <w:sz w:val="14"/>
                <w:szCs w:val="14"/>
                <w:vertAlign w:val="superscript"/>
              </w:rPr>
              <w:t>-1</w:t>
            </w:r>
            <w:r w:rsidRPr="00CF3993">
              <w:rPr>
                <w:b/>
                <w:sz w:val="14"/>
                <w:szCs w:val="14"/>
              </w:rPr>
              <w:t xml:space="preserve"> bacteria</w:t>
            </w:r>
            <w:r w:rsidRPr="00CF3993">
              <w:rPr>
                <w:b/>
                <w:sz w:val="14"/>
                <w:szCs w:val="14"/>
                <w:vertAlign w:val="superscript"/>
              </w:rPr>
              <w:t>-1</w:t>
            </w:r>
            <w:r w:rsidRPr="00CF3993">
              <w:rPr>
                <w:b/>
                <w:sz w:val="14"/>
                <w:szCs w:val="14"/>
              </w:rPr>
              <w:t xml:space="preserve"> hour</w:t>
            </w:r>
            <w:r w:rsidRPr="00CF3993">
              <w:rPr>
                <w:b/>
                <w:sz w:val="14"/>
                <w:szCs w:val="14"/>
                <w:vertAlign w:val="superscript"/>
              </w:rPr>
              <w:t>-1</w:t>
            </w:r>
            <w:r w:rsidRPr="00CF399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EFEFEF"/>
          </w:tcPr>
          <w:p w14:paraId="02FE5C4B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 xml:space="preserve">Burst size </w:t>
            </w:r>
            <w:r w:rsidRPr="00CF3993">
              <w:rPr>
                <w:rFonts w:ascii="Symbol" w:hAnsi="Symbol"/>
                <w:b/>
                <w:sz w:val="14"/>
                <w:szCs w:val="14"/>
              </w:rPr>
              <w:t></w:t>
            </w:r>
            <w:r w:rsidRPr="00CF3993">
              <w:rPr>
                <w:b/>
                <w:sz w:val="14"/>
                <w:szCs w:val="14"/>
              </w:rPr>
              <w:t xml:space="preserve"> (phage)</w:t>
            </w:r>
          </w:p>
        </w:tc>
        <w:tc>
          <w:tcPr>
            <w:tcW w:w="2126" w:type="dxa"/>
            <w:shd w:val="clear" w:color="auto" w:fill="EFEFEF"/>
          </w:tcPr>
          <w:p w14:paraId="73274D49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 xml:space="preserve">Transducing phage proportion </w:t>
            </w:r>
            <w:r w:rsidRPr="00CF3993">
              <w:rPr>
                <w:rFonts w:ascii="Symbol" w:hAnsi="Symbol"/>
                <w:b/>
                <w:sz w:val="14"/>
                <w:szCs w:val="14"/>
              </w:rPr>
              <w:t></w:t>
            </w:r>
            <w:r w:rsidRPr="00CF3993">
              <w:rPr>
                <w:rFonts w:ascii="Symbol" w:hAnsi="Symbol"/>
                <w:b/>
                <w:sz w:val="14"/>
                <w:szCs w:val="14"/>
              </w:rPr>
              <w:t></w:t>
            </w:r>
            <w:r w:rsidRPr="00CF3993">
              <w:rPr>
                <w:b/>
                <w:sz w:val="14"/>
                <w:szCs w:val="14"/>
              </w:rPr>
              <w:t>(proportion of burst size)</w:t>
            </w:r>
          </w:p>
        </w:tc>
        <w:tc>
          <w:tcPr>
            <w:tcW w:w="1276" w:type="dxa"/>
            <w:shd w:val="clear" w:color="auto" w:fill="EFEFEF"/>
          </w:tcPr>
          <w:p w14:paraId="45CCD186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 xml:space="preserve">Phage latent period </w:t>
            </w:r>
            <w:r w:rsidRPr="00CF3993">
              <w:rPr>
                <w:rFonts w:ascii="Symbol" w:hAnsi="Symbol"/>
                <w:b/>
                <w:sz w:val="14"/>
                <w:szCs w:val="14"/>
              </w:rPr>
              <w:t></w:t>
            </w:r>
            <w:r w:rsidRPr="00CF3993">
              <w:rPr>
                <w:b/>
                <w:sz w:val="14"/>
                <w:szCs w:val="14"/>
              </w:rPr>
              <w:t xml:space="preserve"> (hour)</w:t>
            </w:r>
          </w:p>
        </w:tc>
        <w:tc>
          <w:tcPr>
            <w:tcW w:w="1559" w:type="dxa"/>
            <w:shd w:val="clear" w:color="auto" w:fill="EFEFEF"/>
          </w:tcPr>
          <w:p w14:paraId="5D8ED0BA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 xml:space="preserve">Phage concentration at half-saturation </w:t>
            </w:r>
            <w:r w:rsidRPr="00CF3993">
              <w:rPr>
                <w:b/>
                <w:i/>
                <w:iCs/>
                <w:sz w:val="14"/>
                <w:szCs w:val="14"/>
              </w:rPr>
              <w:t>P50</w:t>
            </w:r>
            <w:r w:rsidRPr="00CF3993">
              <w:rPr>
                <w:b/>
                <w:sz w:val="14"/>
                <w:szCs w:val="14"/>
              </w:rPr>
              <w:t xml:space="preserve"> (phage)</w:t>
            </w:r>
          </w:p>
        </w:tc>
        <w:tc>
          <w:tcPr>
            <w:tcW w:w="709" w:type="dxa"/>
            <w:shd w:val="clear" w:color="auto" w:fill="EFEFEF"/>
          </w:tcPr>
          <w:p w14:paraId="4AEA619C" w14:textId="77777777" w:rsidR="00CF3993" w:rsidRPr="00CF3993" w:rsidRDefault="00CF3993" w:rsidP="00D34739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DIC</w:t>
            </w:r>
          </w:p>
        </w:tc>
      </w:tr>
      <w:tr w:rsidR="00CF3993" w:rsidRPr="00CF3993" w14:paraId="1839D485" w14:textId="77777777" w:rsidTr="00CF3993">
        <w:tc>
          <w:tcPr>
            <w:tcW w:w="992" w:type="dxa"/>
            <w:vMerge w:val="restart"/>
          </w:tcPr>
          <w:p w14:paraId="15295001" w14:textId="6F2F870D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Linear</w:t>
            </w:r>
          </w:p>
        </w:tc>
        <w:tc>
          <w:tcPr>
            <w:tcW w:w="993" w:type="dxa"/>
          </w:tcPr>
          <w:p w14:paraId="6CEEE424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850" w:type="dxa"/>
          </w:tcPr>
          <w:p w14:paraId="23B3389C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7225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4.5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 xml:space="preserve"> (4.1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5.0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B521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12 (</w:t>
            </w:r>
            <w:proofErr w:type="gramStart"/>
            <w:r w:rsidRPr="00CF3993">
              <w:rPr>
                <w:sz w:val="14"/>
                <w:szCs w:val="14"/>
              </w:rPr>
              <w:t>10 ;</w:t>
            </w:r>
            <w:proofErr w:type="gramEnd"/>
            <w:r w:rsidRPr="00CF3993">
              <w:rPr>
                <w:sz w:val="14"/>
                <w:szCs w:val="14"/>
              </w:rPr>
              <w:t xml:space="preserve"> 14)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9BF6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3.1 x 10</w:t>
            </w:r>
            <w:r w:rsidRPr="00CF3993">
              <w:rPr>
                <w:sz w:val="14"/>
                <w:szCs w:val="14"/>
                <w:vertAlign w:val="superscript"/>
              </w:rPr>
              <w:t>-8</w:t>
            </w:r>
            <w:r w:rsidRPr="00CF3993">
              <w:rPr>
                <w:sz w:val="14"/>
                <w:szCs w:val="14"/>
              </w:rPr>
              <w:t xml:space="preserve"> (1.5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8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5.8 x 10</w:t>
            </w:r>
            <w:r w:rsidRPr="00CF3993">
              <w:rPr>
                <w:sz w:val="14"/>
                <w:szCs w:val="14"/>
                <w:vertAlign w:val="superscript"/>
              </w:rPr>
              <w:t>-8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18A4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0.64 (</w:t>
            </w:r>
            <w:proofErr w:type="gramStart"/>
            <w:r w:rsidRPr="00CF3993">
              <w:rPr>
                <w:sz w:val="14"/>
                <w:szCs w:val="14"/>
              </w:rPr>
              <w:t>0.55 ;</w:t>
            </w:r>
            <w:proofErr w:type="gramEnd"/>
            <w:r w:rsidRPr="00CF3993">
              <w:rPr>
                <w:sz w:val="14"/>
                <w:szCs w:val="14"/>
              </w:rPr>
              <w:t xml:space="preserve"> 0.73)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5111D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N/A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4E98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610</w:t>
            </w:r>
          </w:p>
        </w:tc>
      </w:tr>
      <w:tr w:rsidR="00CF3993" w:rsidRPr="00CF3993" w14:paraId="352A1B0C" w14:textId="77777777" w:rsidTr="00CF3993">
        <w:tc>
          <w:tcPr>
            <w:tcW w:w="992" w:type="dxa"/>
            <w:vMerge/>
          </w:tcPr>
          <w:p w14:paraId="7D9AA7BD" w14:textId="77777777" w:rsidR="00CF3993" w:rsidRPr="00CF3993" w:rsidRDefault="00CF3993" w:rsidP="00D34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FEFEF"/>
          </w:tcPr>
          <w:p w14:paraId="3121EB0F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850" w:type="dxa"/>
            <w:shd w:val="clear" w:color="auto" w:fill="EFEFEF"/>
          </w:tcPr>
          <w:p w14:paraId="7D43596A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35D7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1.6 x 10</w:t>
            </w:r>
            <w:r w:rsidRPr="00CF3993">
              <w:rPr>
                <w:sz w:val="14"/>
                <w:szCs w:val="14"/>
                <w:vertAlign w:val="superscript"/>
              </w:rPr>
              <w:t>-10</w:t>
            </w:r>
            <w:r w:rsidRPr="00CF3993">
              <w:rPr>
                <w:sz w:val="14"/>
                <w:szCs w:val="14"/>
              </w:rPr>
              <w:t xml:space="preserve"> (1.5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10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1.7 x 10</w:t>
            </w:r>
            <w:r w:rsidRPr="00CF3993">
              <w:rPr>
                <w:sz w:val="14"/>
                <w:szCs w:val="14"/>
                <w:vertAlign w:val="superscript"/>
              </w:rPr>
              <w:t>-10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362C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79 (</w:t>
            </w:r>
            <w:proofErr w:type="gramStart"/>
            <w:r w:rsidRPr="00CF3993">
              <w:rPr>
                <w:sz w:val="14"/>
                <w:szCs w:val="14"/>
              </w:rPr>
              <w:t>72 ;</w:t>
            </w:r>
            <w:proofErr w:type="gramEnd"/>
            <w:r w:rsidRPr="00CF3993">
              <w:rPr>
                <w:sz w:val="14"/>
                <w:szCs w:val="14"/>
              </w:rPr>
              <w:t xml:space="preserve"> 86)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13F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1.4 x 10</w:t>
            </w:r>
            <w:r w:rsidRPr="00CF3993">
              <w:rPr>
                <w:sz w:val="14"/>
                <w:szCs w:val="14"/>
                <w:vertAlign w:val="superscript"/>
              </w:rPr>
              <w:t>-8</w:t>
            </w:r>
            <w:r w:rsidRPr="00CF3993">
              <w:rPr>
                <w:sz w:val="14"/>
                <w:szCs w:val="14"/>
              </w:rPr>
              <w:t xml:space="preserve"> (1.1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8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1.7 x 10</w:t>
            </w:r>
            <w:r w:rsidRPr="00CF3993">
              <w:rPr>
                <w:sz w:val="14"/>
                <w:szCs w:val="14"/>
                <w:vertAlign w:val="superscript"/>
              </w:rPr>
              <w:t>-8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80DE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0.65 (</w:t>
            </w:r>
            <w:proofErr w:type="gramStart"/>
            <w:r w:rsidRPr="00CF3993">
              <w:rPr>
                <w:sz w:val="14"/>
                <w:szCs w:val="14"/>
              </w:rPr>
              <w:t>0.62 ;</w:t>
            </w:r>
            <w:proofErr w:type="gramEnd"/>
            <w:r w:rsidRPr="00CF3993">
              <w:rPr>
                <w:sz w:val="14"/>
                <w:szCs w:val="14"/>
              </w:rPr>
              <w:t xml:space="preserve"> 0.69)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F799C76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N/A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5693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63</w:t>
            </w:r>
          </w:p>
        </w:tc>
      </w:tr>
      <w:tr w:rsidR="00CF3993" w:rsidRPr="00CF3993" w14:paraId="72267D12" w14:textId="77777777" w:rsidTr="00CF3993">
        <w:tc>
          <w:tcPr>
            <w:tcW w:w="992" w:type="dxa"/>
            <w:vMerge/>
          </w:tcPr>
          <w:p w14:paraId="2B5C6670" w14:textId="77777777" w:rsidR="00CF3993" w:rsidRPr="00CF3993" w:rsidRDefault="00CF3993" w:rsidP="00D34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2D2B0AE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850" w:type="dxa"/>
          </w:tcPr>
          <w:p w14:paraId="37D0BC75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A5A6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4.3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 xml:space="preserve"> (3.9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4.6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C6A5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43 (</w:t>
            </w:r>
            <w:proofErr w:type="gramStart"/>
            <w:r w:rsidRPr="00CF3993">
              <w:rPr>
                <w:sz w:val="14"/>
                <w:szCs w:val="14"/>
              </w:rPr>
              <w:t>37 ;</w:t>
            </w:r>
            <w:proofErr w:type="gramEnd"/>
            <w:r w:rsidRPr="00CF3993">
              <w:rPr>
                <w:sz w:val="14"/>
                <w:szCs w:val="14"/>
              </w:rPr>
              <w:t xml:space="preserve"> 49)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6CA6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1.2 x 10</w:t>
            </w:r>
            <w:r w:rsidRPr="00CF3993">
              <w:rPr>
                <w:sz w:val="14"/>
                <w:szCs w:val="14"/>
                <w:vertAlign w:val="superscript"/>
              </w:rPr>
              <w:t>-8</w:t>
            </w:r>
            <w:r w:rsidRPr="00CF3993">
              <w:rPr>
                <w:sz w:val="14"/>
                <w:szCs w:val="14"/>
              </w:rPr>
              <w:t xml:space="preserve"> (6.4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2.3 x 10</w:t>
            </w:r>
            <w:r w:rsidRPr="00CF3993">
              <w:rPr>
                <w:sz w:val="14"/>
                <w:szCs w:val="14"/>
                <w:vertAlign w:val="superscript"/>
              </w:rPr>
              <w:t>-8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BCC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0.93 (</w:t>
            </w:r>
            <w:proofErr w:type="gramStart"/>
            <w:r w:rsidRPr="00CF3993">
              <w:rPr>
                <w:sz w:val="14"/>
                <w:szCs w:val="14"/>
              </w:rPr>
              <w:t>0.86 ;</w:t>
            </w:r>
            <w:proofErr w:type="gramEnd"/>
            <w:r w:rsidRPr="00CF3993">
              <w:rPr>
                <w:sz w:val="14"/>
                <w:szCs w:val="14"/>
              </w:rPr>
              <w:t xml:space="preserve"> 0.99)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75BC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N/A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AB53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298</w:t>
            </w:r>
          </w:p>
        </w:tc>
      </w:tr>
      <w:tr w:rsidR="00CF3993" w:rsidRPr="00CF3993" w14:paraId="0BA6F065" w14:textId="77777777" w:rsidTr="00CF3993">
        <w:tc>
          <w:tcPr>
            <w:tcW w:w="992" w:type="dxa"/>
            <w:vMerge w:val="restart"/>
            <w:shd w:val="clear" w:color="auto" w:fill="EFEFEF"/>
          </w:tcPr>
          <w:p w14:paraId="49990749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Saturated</w:t>
            </w:r>
          </w:p>
        </w:tc>
        <w:tc>
          <w:tcPr>
            <w:tcW w:w="993" w:type="dxa"/>
            <w:shd w:val="clear" w:color="auto" w:fill="EFEFEF"/>
          </w:tcPr>
          <w:p w14:paraId="0EB95D28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850" w:type="dxa"/>
            <w:shd w:val="clear" w:color="auto" w:fill="EFEFEF"/>
          </w:tcPr>
          <w:p w14:paraId="78376EA4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82BE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3.3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 xml:space="preserve"> (1.8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5.6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5B8F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14 (</w:t>
            </w:r>
            <w:proofErr w:type="gramStart"/>
            <w:r w:rsidRPr="00CF3993">
              <w:rPr>
                <w:sz w:val="14"/>
                <w:szCs w:val="14"/>
              </w:rPr>
              <w:t>11 ;</w:t>
            </w:r>
            <w:proofErr w:type="gramEnd"/>
            <w:r w:rsidRPr="00CF3993">
              <w:rPr>
                <w:sz w:val="14"/>
                <w:szCs w:val="14"/>
              </w:rPr>
              <w:t xml:space="preserve"> 21)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610E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2.5 x 10</w:t>
            </w:r>
            <w:r w:rsidRPr="00CF3993">
              <w:rPr>
                <w:sz w:val="14"/>
                <w:szCs w:val="14"/>
                <w:vertAlign w:val="superscript"/>
              </w:rPr>
              <w:t>-7</w:t>
            </w:r>
            <w:r w:rsidRPr="00CF3993">
              <w:rPr>
                <w:sz w:val="14"/>
                <w:szCs w:val="14"/>
              </w:rPr>
              <w:t xml:space="preserve"> (1.2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7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5.5 x 10</w:t>
            </w:r>
            <w:r w:rsidRPr="00CF3993">
              <w:rPr>
                <w:sz w:val="14"/>
                <w:szCs w:val="14"/>
                <w:vertAlign w:val="superscript"/>
              </w:rPr>
              <w:t>-7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2EE0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0.67 (</w:t>
            </w:r>
            <w:proofErr w:type="gramStart"/>
            <w:r w:rsidRPr="00CF3993">
              <w:rPr>
                <w:sz w:val="14"/>
                <w:szCs w:val="14"/>
              </w:rPr>
              <w:t>0.60 ;</w:t>
            </w:r>
            <w:proofErr w:type="gramEnd"/>
            <w:r w:rsidRPr="00CF3993">
              <w:rPr>
                <w:sz w:val="14"/>
                <w:szCs w:val="14"/>
              </w:rPr>
              <w:t xml:space="preserve"> 0.78)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F882A94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5.1 x 10</w:t>
            </w:r>
            <w:r w:rsidRPr="00CF3993">
              <w:rPr>
                <w:sz w:val="14"/>
                <w:szCs w:val="14"/>
                <w:vertAlign w:val="superscript"/>
              </w:rPr>
              <w:t>10</w:t>
            </w:r>
            <w:r w:rsidRPr="00CF3993">
              <w:rPr>
                <w:sz w:val="14"/>
                <w:szCs w:val="14"/>
              </w:rPr>
              <w:t xml:space="preserve"> (2.8 x </w:t>
            </w:r>
            <w:proofErr w:type="gramStart"/>
            <w:r w:rsidRPr="00CF3993">
              <w:rPr>
                <w:sz w:val="14"/>
                <w:szCs w:val="14"/>
              </w:rPr>
              <w:t>10</w:t>
            </w:r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9.7 x 10</w:t>
            </w:r>
            <w:r w:rsidRPr="00CF3993">
              <w:rPr>
                <w:sz w:val="14"/>
                <w:szCs w:val="14"/>
                <w:vertAlign w:val="superscript"/>
              </w:rPr>
              <w:t>10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5C7E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631</w:t>
            </w:r>
          </w:p>
        </w:tc>
      </w:tr>
      <w:tr w:rsidR="00CF3993" w:rsidRPr="00CF3993" w14:paraId="2277BDBF" w14:textId="77777777" w:rsidTr="00CF3993">
        <w:tc>
          <w:tcPr>
            <w:tcW w:w="992" w:type="dxa"/>
            <w:vMerge/>
            <w:shd w:val="clear" w:color="auto" w:fill="EFEFEF"/>
          </w:tcPr>
          <w:p w14:paraId="1E610306" w14:textId="77777777" w:rsidR="00CF3993" w:rsidRPr="00CF3993" w:rsidRDefault="00CF3993" w:rsidP="00D34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ABDB6BA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2B17C43B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C9EC" w14:textId="77777777" w:rsidR="00CF3993" w:rsidRPr="0025599F" w:rsidRDefault="00CF3993" w:rsidP="00D34739">
            <w:pPr>
              <w:spacing w:after="0" w:line="276" w:lineRule="auto"/>
              <w:jc w:val="both"/>
              <w:rPr>
                <w:bCs/>
                <w:sz w:val="14"/>
                <w:szCs w:val="14"/>
                <w:vertAlign w:val="superscript"/>
              </w:rPr>
            </w:pPr>
            <w:r w:rsidRPr="0025599F">
              <w:rPr>
                <w:bCs/>
                <w:sz w:val="14"/>
                <w:szCs w:val="14"/>
              </w:rPr>
              <w:t>2.3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-10</w:t>
            </w:r>
            <w:r w:rsidRPr="0025599F">
              <w:rPr>
                <w:bCs/>
                <w:sz w:val="14"/>
                <w:szCs w:val="14"/>
              </w:rPr>
              <w:t xml:space="preserve"> (2.1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-</w:t>
            </w:r>
            <w:proofErr w:type="gramStart"/>
            <w:r w:rsidRPr="0025599F">
              <w:rPr>
                <w:bCs/>
                <w:sz w:val="14"/>
                <w:szCs w:val="14"/>
                <w:vertAlign w:val="superscript"/>
              </w:rPr>
              <w:t>10</w:t>
            </w:r>
            <w:r w:rsidRPr="0025599F">
              <w:rPr>
                <w:bCs/>
                <w:sz w:val="14"/>
                <w:szCs w:val="14"/>
              </w:rPr>
              <w:t xml:space="preserve"> ;</w:t>
            </w:r>
            <w:proofErr w:type="gramEnd"/>
            <w:r w:rsidRPr="0025599F">
              <w:rPr>
                <w:bCs/>
                <w:sz w:val="14"/>
                <w:szCs w:val="14"/>
              </w:rPr>
              <w:t xml:space="preserve"> 2.7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-10</w:t>
            </w:r>
            <w:r w:rsidRPr="0025599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4F4E" w14:textId="77777777" w:rsidR="00CF3993" w:rsidRPr="0025599F" w:rsidRDefault="00CF3993" w:rsidP="00D34739">
            <w:pPr>
              <w:spacing w:after="0" w:line="276" w:lineRule="auto"/>
              <w:jc w:val="both"/>
              <w:rPr>
                <w:bCs/>
                <w:sz w:val="14"/>
                <w:szCs w:val="14"/>
              </w:rPr>
            </w:pPr>
            <w:r w:rsidRPr="0025599F">
              <w:rPr>
                <w:bCs/>
                <w:sz w:val="14"/>
                <w:szCs w:val="14"/>
              </w:rPr>
              <w:t>50 (</w:t>
            </w:r>
            <w:proofErr w:type="gramStart"/>
            <w:r w:rsidRPr="0025599F">
              <w:rPr>
                <w:bCs/>
                <w:sz w:val="14"/>
                <w:szCs w:val="14"/>
              </w:rPr>
              <w:t>43 ;</w:t>
            </w:r>
            <w:proofErr w:type="gramEnd"/>
            <w:r w:rsidRPr="0025599F">
              <w:rPr>
                <w:bCs/>
                <w:sz w:val="14"/>
                <w:szCs w:val="14"/>
              </w:rPr>
              <w:t xml:space="preserve"> 54)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44BD" w14:textId="77777777" w:rsidR="00CF3993" w:rsidRPr="0025599F" w:rsidRDefault="00CF3993" w:rsidP="00D34739">
            <w:pPr>
              <w:spacing w:after="0" w:line="276" w:lineRule="auto"/>
              <w:jc w:val="both"/>
              <w:rPr>
                <w:bCs/>
                <w:sz w:val="14"/>
                <w:szCs w:val="14"/>
                <w:vertAlign w:val="superscript"/>
              </w:rPr>
            </w:pPr>
            <w:r w:rsidRPr="0025599F">
              <w:rPr>
                <w:bCs/>
                <w:sz w:val="14"/>
                <w:szCs w:val="14"/>
              </w:rPr>
              <w:t>1.2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-8</w:t>
            </w:r>
            <w:r w:rsidRPr="0025599F">
              <w:rPr>
                <w:bCs/>
                <w:sz w:val="14"/>
                <w:szCs w:val="14"/>
              </w:rPr>
              <w:t xml:space="preserve"> (1.1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-</w:t>
            </w:r>
            <w:proofErr w:type="gramStart"/>
            <w:r w:rsidRPr="0025599F">
              <w:rPr>
                <w:bCs/>
                <w:sz w:val="14"/>
                <w:szCs w:val="14"/>
                <w:vertAlign w:val="superscript"/>
              </w:rPr>
              <w:t>9</w:t>
            </w:r>
            <w:r w:rsidRPr="0025599F">
              <w:rPr>
                <w:bCs/>
                <w:sz w:val="14"/>
                <w:szCs w:val="14"/>
              </w:rPr>
              <w:t xml:space="preserve"> ;</w:t>
            </w:r>
            <w:proofErr w:type="gramEnd"/>
            <w:r w:rsidRPr="0025599F">
              <w:rPr>
                <w:bCs/>
                <w:sz w:val="14"/>
                <w:szCs w:val="14"/>
              </w:rPr>
              <w:t xml:space="preserve"> 1.3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-8</w:t>
            </w:r>
            <w:r w:rsidRPr="0025599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0BF5" w14:textId="77777777" w:rsidR="00CF3993" w:rsidRPr="0025599F" w:rsidRDefault="00CF3993" w:rsidP="00D34739">
            <w:pPr>
              <w:spacing w:after="0" w:line="276" w:lineRule="auto"/>
              <w:jc w:val="both"/>
              <w:rPr>
                <w:bCs/>
                <w:sz w:val="14"/>
                <w:szCs w:val="14"/>
              </w:rPr>
            </w:pPr>
            <w:r w:rsidRPr="0025599F">
              <w:rPr>
                <w:bCs/>
                <w:sz w:val="14"/>
                <w:szCs w:val="14"/>
              </w:rPr>
              <w:t>0.60 (</w:t>
            </w:r>
            <w:proofErr w:type="gramStart"/>
            <w:r w:rsidRPr="0025599F">
              <w:rPr>
                <w:bCs/>
                <w:sz w:val="14"/>
                <w:szCs w:val="14"/>
              </w:rPr>
              <w:t>0.60 ;</w:t>
            </w:r>
            <w:proofErr w:type="gramEnd"/>
            <w:r w:rsidRPr="0025599F">
              <w:rPr>
                <w:bCs/>
                <w:sz w:val="14"/>
                <w:szCs w:val="14"/>
              </w:rPr>
              <w:t xml:space="preserve"> 0.61)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953C" w14:textId="77777777" w:rsidR="00CF3993" w:rsidRPr="0025599F" w:rsidRDefault="00CF3993" w:rsidP="00D34739">
            <w:pPr>
              <w:spacing w:after="0" w:line="276" w:lineRule="auto"/>
              <w:jc w:val="both"/>
              <w:rPr>
                <w:bCs/>
                <w:sz w:val="14"/>
                <w:szCs w:val="14"/>
              </w:rPr>
            </w:pPr>
            <w:r w:rsidRPr="0025599F">
              <w:rPr>
                <w:bCs/>
                <w:sz w:val="14"/>
                <w:szCs w:val="14"/>
              </w:rPr>
              <w:t>1.2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10</w:t>
            </w:r>
            <w:r w:rsidRPr="0025599F">
              <w:rPr>
                <w:bCs/>
                <w:sz w:val="14"/>
                <w:szCs w:val="14"/>
              </w:rPr>
              <w:t xml:space="preserve"> (1.0 x </w:t>
            </w:r>
            <w:proofErr w:type="gramStart"/>
            <w:r w:rsidRPr="0025599F">
              <w:rPr>
                <w:bCs/>
                <w:sz w:val="14"/>
                <w:szCs w:val="14"/>
              </w:rPr>
              <w:t>10</w:t>
            </w:r>
            <w:r w:rsidRPr="0025599F">
              <w:rPr>
                <w:bCs/>
                <w:sz w:val="14"/>
                <w:szCs w:val="14"/>
                <w:vertAlign w:val="superscript"/>
              </w:rPr>
              <w:t>10</w:t>
            </w:r>
            <w:r w:rsidRPr="0025599F">
              <w:rPr>
                <w:bCs/>
                <w:sz w:val="14"/>
                <w:szCs w:val="14"/>
              </w:rPr>
              <w:t xml:space="preserve"> ;</w:t>
            </w:r>
            <w:proofErr w:type="gramEnd"/>
            <w:r w:rsidRPr="0025599F">
              <w:rPr>
                <w:bCs/>
                <w:sz w:val="14"/>
                <w:szCs w:val="14"/>
              </w:rPr>
              <w:t xml:space="preserve"> 1.3 x 10</w:t>
            </w:r>
            <w:r w:rsidRPr="0025599F">
              <w:rPr>
                <w:bCs/>
                <w:sz w:val="14"/>
                <w:szCs w:val="14"/>
                <w:vertAlign w:val="superscript"/>
              </w:rPr>
              <w:t>10</w:t>
            </w:r>
            <w:r w:rsidRPr="0025599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19D4" w14:textId="77777777" w:rsidR="00CF3993" w:rsidRPr="0025599F" w:rsidRDefault="00CF3993" w:rsidP="00D34739">
            <w:pPr>
              <w:spacing w:after="0" w:line="276" w:lineRule="auto"/>
              <w:jc w:val="both"/>
              <w:rPr>
                <w:bCs/>
                <w:sz w:val="14"/>
                <w:szCs w:val="14"/>
              </w:rPr>
            </w:pPr>
            <w:r w:rsidRPr="0025599F">
              <w:rPr>
                <w:bCs/>
                <w:sz w:val="14"/>
                <w:szCs w:val="14"/>
              </w:rPr>
              <w:t>0</w:t>
            </w:r>
          </w:p>
        </w:tc>
      </w:tr>
      <w:tr w:rsidR="00CF3993" w:rsidRPr="00CF3993" w14:paraId="2CF6D579" w14:textId="77777777" w:rsidTr="00CF3993">
        <w:tc>
          <w:tcPr>
            <w:tcW w:w="992" w:type="dxa"/>
            <w:vMerge/>
            <w:shd w:val="clear" w:color="auto" w:fill="EFEFEF"/>
          </w:tcPr>
          <w:p w14:paraId="66B71928" w14:textId="77777777" w:rsidR="00CF3993" w:rsidRPr="00CF3993" w:rsidRDefault="00CF3993" w:rsidP="00D34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FEFEF"/>
          </w:tcPr>
          <w:p w14:paraId="194D0C65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850" w:type="dxa"/>
            <w:shd w:val="clear" w:color="auto" w:fill="EFEFEF"/>
          </w:tcPr>
          <w:p w14:paraId="3BE131A5" w14:textId="77777777" w:rsidR="00CF3993" w:rsidRPr="00CF3993" w:rsidRDefault="00CF3993" w:rsidP="00D34739">
            <w:pPr>
              <w:spacing w:after="0" w:line="276" w:lineRule="auto"/>
              <w:jc w:val="both"/>
              <w:rPr>
                <w:b/>
                <w:sz w:val="14"/>
                <w:szCs w:val="14"/>
              </w:rPr>
            </w:pPr>
            <w:r w:rsidRPr="00CF3993">
              <w:rPr>
                <w:b/>
                <w:sz w:val="14"/>
                <w:szCs w:val="14"/>
              </w:rPr>
              <w:t>Yes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4E33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2.6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 xml:space="preserve"> (1.9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3.4 x 10</w:t>
            </w:r>
            <w:r w:rsidRPr="00CF3993">
              <w:rPr>
                <w:sz w:val="14"/>
                <w:szCs w:val="14"/>
                <w:vertAlign w:val="superscript"/>
              </w:rPr>
              <w:t>-9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CA66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36 (</w:t>
            </w:r>
            <w:proofErr w:type="gramStart"/>
            <w:r w:rsidRPr="00CF3993">
              <w:rPr>
                <w:sz w:val="14"/>
                <w:szCs w:val="14"/>
              </w:rPr>
              <w:t>28 ;</w:t>
            </w:r>
            <w:proofErr w:type="gramEnd"/>
            <w:r w:rsidRPr="00CF3993">
              <w:rPr>
                <w:sz w:val="14"/>
                <w:szCs w:val="14"/>
              </w:rPr>
              <w:t xml:space="preserve"> 43)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9D06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  <w:vertAlign w:val="superscript"/>
              </w:rPr>
            </w:pPr>
            <w:r w:rsidRPr="00CF3993">
              <w:rPr>
                <w:sz w:val="14"/>
                <w:szCs w:val="14"/>
              </w:rPr>
              <w:t>1.4 x 10</w:t>
            </w:r>
            <w:r w:rsidRPr="00CF3993">
              <w:rPr>
                <w:sz w:val="14"/>
                <w:szCs w:val="14"/>
                <w:vertAlign w:val="superscript"/>
              </w:rPr>
              <w:t>-7</w:t>
            </w:r>
            <w:r w:rsidRPr="00CF3993">
              <w:rPr>
                <w:sz w:val="14"/>
                <w:szCs w:val="14"/>
              </w:rPr>
              <w:t xml:space="preserve"> (9.21 x 10</w:t>
            </w:r>
            <w:r w:rsidRPr="00CF3993">
              <w:rPr>
                <w:sz w:val="14"/>
                <w:szCs w:val="14"/>
                <w:vertAlign w:val="superscript"/>
              </w:rPr>
              <w:t>-</w:t>
            </w:r>
            <w:proofErr w:type="gramStart"/>
            <w:r w:rsidRPr="00CF3993">
              <w:rPr>
                <w:sz w:val="14"/>
                <w:szCs w:val="14"/>
                <w:vertAlign w:val="superscript"/>
              </w:rPr>
              <w:t>8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2.2 x 10</w:t>
            </w:r>
            <w:r w:rsidRPr="00CF3993">
              <w:rPr>
                <w:sz w:val="14"/>
                <w:szCs w:val="14"/>
                <w:vertAlign w:val="superscript"/>
              </w:rPr>
              <w:t>-7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AD38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0.75 (</w:t>
            </w:r>
            <w:proofErr w:type="gramStart"/>
            <w:r w:rsidRPr="00CF3993">
              <w:rPr>
                <w:sz w:val="14"/>
                <w:szCs w:val="14"/>
              </w:rPr>
              <w:t>0.63 ;</w:t>
            </w:r>
            <w:proofErr w:type="gramEnd"/>
            <w:r w:rsidRPr="00CF3993">
              <w:rPr>
                <w:sz w:val="14"/>
                <w:szCs w:val="14"/>
              </w:rPr>
              <w:t xml:space="preserve"> 0.80)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71D2678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5.1 x 10</w:t>
            </w:r>
            <w:r w:rsidRPr="00CF3993">
              <w:rPr>
                <w:sz w:val="14"/>
                <w:szCs w:val="14"/>
                <w:vertAlign w:val="superscript"/>
              </w:rPr>
              <w:t>10</w:t>
            </w:r>
            <w:r w:rsidRPr="00CF3993">
              <w:rPr>
                <w:sz w:val="14"/>
                <w:szCs w:val="14"/>
              </w:rPr>
              <w:t xml:space="preserve"> (3.6 x </w:t>
            </w:r>
            <w:proofErr w:type="gramStart"/>
            <w:r w:rsidRPr="00CF3993">
              <w:rPr>
                <w:sz w:val="14"/>
                <w:szCs w:val="14"/>
              </w:rPr>
              <w:t>10</w:t>
            </w:r>
            <w:r w:rsidRPr="00CF3993">
              <w:rPr>
                <w:sz w:val="14"/>
                <w:szCs w:val="14"/>
                <w:vertAlign w:val="superscript"/>
              </w:rPr>
              <w:t>9</w:t>
            </w:r>
            <w:r w:rsidRPr="00CF3993">
              <w:rPr>
                <w:sz w:val="14"/>
                <w:szCs w:val="14"/>
              </w:rPr>
              <w:t xml:space="preserve"> ;</w:t>
            </w:r>
            <w:proofErr w:type="gramEnd"/>
            <w:r w:rsidRPr="00CF3993">
              <w:rPr>
                <w:sz w:val="14"/>
                <w:szCs w:val="14"/>
              </w:rPr>
              <w:t xml:space="preserve"> 9.8 x 10</w:t>
            </w:r>
            <w:r w:rsidRPr="00CF3993">
              <w:rPr>
                <w:sz w:val="14"/>
                <w:szCs w:val="14"/>
                <w:vertAlign w:val="superscript"/>
              </w:rPr>
              <w:t>10</w:t>
            </w:r>
            <w:r w:rsidRPr="00CF3993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9D5C" w14:textId="77777777" w:rsidR="00CF3993" w:rsidRPr="00CF3993" w:rsidRDefault="00CF3993" w:rsidP="00D34739">
            <w:pPr>
              <w:spacing w:after="0" w:line="276" w:lineRule="auto"/>
              <w:jc w:val="both"/>
              <w:rPr>
                <w:sz w:val="14"/>
                <w:szCs w:val="14"/>
              </w:rPr>
            </w:pPr>
            <w:r w:rsidRPr="00CF3993">
              <w:rPr>
                <w:sz w:val="14"/>
                <w:szCs w:val="14"/>
              </w:rPr>
              <w:t>385</w:t>
            </w:r>
          </w:p>
        </w:tc>
      </w:tr>
    </w:tbl>
    <w:p w14:paraId="7FFA9B37" w14:textId="2F5615D0" w:rsidR="00634238" w:rsidRDefault="00634238" w:rsidP="00917BE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Page </w:t>
      </w:r>
      <w:r w:rsidR="0025599F">
        <w:t>18</w:t>
      </w:r>
      <w:r>
        <w:t xml:space="preserve">: Equations </w:t>
      </w:r>
      <w:r w:rsidR="0025599F">
        <w:t>34</w:t>
      </w:r>
      <w:r>
        <w:t>-</w:t>
      </w:r>
      <w:r w:rsidR="0025599F">
        <w:t>39</w:t>
      </w:r>
      <w:r>
        <w:t xml:space="preserve"> should read:</w:t>
      </w:r>
    </w:p>
    <w:p w14:paraId="2D56A38F" w14:textId="584AC951" w:rsidR="00634238" w:rsidRPr="00B837C2" w:rsidRDefault="00D03D55" w:rsidP="00A95E08">
      <w:pPr>
        <w:spacing w:line="240" w:lineRule="auto"/>
        <w:jc w:val="center"/>
        <w:rPr>
          <w:rFonts w:cs="Cambria Math"/>
        </w:rPr>
      </w:pPr>
      <m:oMathPara>
        <m:oMath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d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μ</m:t>
              </m:r>
            </m:e>
            <m:sub>
              <m:r>
                <w:rPr>
                  <w:rFonts w:ascii="Cambria Math" w:hAnsi="Cambria Math" w:cs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B</m:t>
              </m:r>
            </m:e>
            <m:sub>
              <m:r>
                <w:rPr>
                  <w:rFonts w:ascii="Cambria Math" w:hAnsi="Cambria Math" w:cs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)-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3732D7D3" w14:textId="369286E1" w:rsidR="00634238" w:rsidRPr="00B837C2" w:rsidRDefault="00D03D55" w:rsidP="00A95E08">
      <w:pPr>
        <w:spacing w:line="240" w:lineRule="auto"/>
        <w:rPr>
          <w:rFonts w:cs="Cambria Math"/>
        </w:rPr>
      </w:pPr>
      <m:oMathPara>
        <m:oMath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d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 w:cs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μ</m:t>
              </m:r>
            </m:e>
            <m:sub>
              <m:r>
                <w:rPr>
                  <w:rFonts w:ascii="Cambria Math" w:hAnsi="Cambria Math" w:cs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B</m:t>
              </m:r>
            </m:e>
            <m:sub>
              <m:r>
                <w:rPr>
                  <w:rFonts w:ascii="Cambria Math" w:hAnsi="Cambria Math" w:cs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)-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5E0A8B71" w14:textId="5FB6B51D" w:rsidR="00634238" w:rsidRPr="00B837C2" w:rsidRDefault="00D03D55" w:rsidP="00A95E08">
      <w:pPr>
        <w:spacing w:line="240" w:lineRule="auto"/>
        <w:rPr>
          <w:rFonts w:cs="Cambria Math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d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ET</m:t>
                  </m:r>
                </m:sub>
              </m:sSub>
            </m:num>
            <m:den>
              <m:r>
                <w:rPr>
                  <w:rFonts w:ascii="Cambria Math" w:hAnsi="Cambria Math" w:cs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μ</m:t>
              </m:r>
            </m:e>
            <m:sub>
              <m:r>
                <w:rPr>
                  <w:rFonts w:ascii="Cambria Math" w:hAnsi="Cambria Math" w:cs="Cambria Math"/>
                </w:rPr>
                <m:t>ET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B</m:t>
              </m:r>
            </m:e>
            <m:sub>
              <m:r>
                <w:rPr>
                  <w:rFonts w:ascii="Cambria Math" w:hAnsi="Cambria Math" w:cs="Cambria Math"/>
                </w:rPr>
                <m:t>ET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ET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641DF40F" w14:textId="77777777" w:rsidR="005D724F" w:rsidRDefault="00D03D55" w:rsidP="00A95E08">
      <w:pPr>
        <w:pStyle w:val="ListParagraph"/>
        <w:spacing w:line="240" w:lineRule="auto"/>
        <w:jc w:val="center"/>
        <w:rPr>
          <w:rFonts w:ascii="Cambria Math" w:eastAsia="Cambria Math" w:hAnsi="Cambria Math" w:cs="Cambria Math"/>
        </w:rPr>
      </w:pP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d</m:t>
            </m:r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L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</w:rPr>
              <m:t>dt</m:t>
            </m:r>
          </m:den>
        </m:f>
        <m:r>
          <w:rPr>
            <w:rFonts w:ascii="Cambria Math" w:eastAsia="Cambria Math" w:hAnsi="Cambria Math" w:cs="Cambria Math"/>
          </w:rPr>
          <m:t>=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>*</m:t>
            </m:r>
            <m:r>
              <w:rPr>
                <w:rFonts w:ascii="Cambria Math" w:eastAsia="Cambria Math" w:hAnsi="Cambria Math"/>
              </w:rPr>
              <m:t>F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eastAsia="Cambria Math" w:hAnsi="Cambria Math" w:cs="Cambria Math"/>
          </w:rPr>
          <m:t>(</m:t>
        </m:r>
        <m:r>
          <w:rPr>
            <w:rFonts w:ascii="Cambria Math" w:eastAsia="Cambria Math" w:hAnsi="Cambria Math" w:cs="Cambria Math"/>
          </w:rPr>
          <m:t>t</m:t>
        </m:r>
        <m:r>
          <w:rPr>
            <w:rFonts w:ascii="Cambria Math" w:eastAsia="Cambria Math" w:hAnsi="Cambria Math" w:cs="Cambria Math"/>
          </w:rPr>
          <m:t>-</m:t>
        </m:r>
        <m:r>
          <m:rPr>
            <m:sty m:val="p"/>
          </m:rPr>
          <w:rPr>
            <w:rFonts w:ascii="Cambria Math" w:eastAsia="Cambria Math" w:hAnsi="Cambria Math" w:cs="Cambria Math"/>
          </w:rPr>
          <m:t>τ</m:t>
        </m:r>
        <m:r>
          <w:rPr>
            <w:rFonts w:ascii="Cambria Math" w:eastAsia="Cambria Math" w:hAnsi="Cambria Math" w:cs="Cambria Math"/>
          </w:rPr>
          <m:t>)*</m:t>
        </m:r>
        <m:r>
          <w:rPr>
            <w:rFonts w:ascii="Cambria Math" w:eastAsia="Cambria Math" w:hAnsi="Cambria Math" w:cs="Cambria Math"/>
          </w:rPr>
          <m:t>δ</m:t>
        </m:r>
        <m:r>
          <w:rPr>
            <w:rFonts w:ascii="Cambria Math" w:eastAsia="Cambria Math" w:hAnsi="Cambria Math" w:cs="Cambria Math"/>
          </w:rPr>
          <m:t>*</m:t>
        </m:r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1-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α</m:t>
            </m:r>
          </m:e>
        </m:d>
        <m:r>
          <w:rPr>
            <w:rFonts w:ascii="Cambria Math" w:eastAsia="Cambria Math" w:hAnsi="Cambria Math"/>
          </w:rPr>
          <m:t>+[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B</m:t>
            </m:r>
          </m:e>
          <m:sub>
            <m:r>
              <w:rPr>
                <w:rFonts w:ascii="Cambria Math" w:eastAsia="Cambria Math" w:hAnsi="Cambria Math"/>
              </w:rPr>
              <m:t>ET</m:t>
            </m:r>
          </m:sub>
        </m:sSub>
        <m:r>
          <w:rPr>
            <w:rFonts w:ascii="Cambria Math" w:eastAsia="Cambria Math" w:hAnsi="Cambria Math"/>
          </w:rPr>
          <m:t>*</m:t>
        </m:r>
        <m:r>
          <w:rPr>
            <w:rFonts w:ascii="Cambria Math" w:eastAsia="Cambria Math" w:hAnsi="Cambria Math"/>
          </w:rPr>
          <m:t>F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P</m:t>
                </m:r>
              </m:e>
              <m:sub>
                <m:r>
                  <w:rPr>
                    <w:rFonts w:ascii="Cambria Math" w:eastAsia="Cambria Math" w:hAnsi="Cambria Math"/>
                  </w:rPr>
                  <m:t>L</m:t>
                </m:r>
              </m:sub>
            </m:sSub>
          </m:e>
        </m:d>
        <m:r>
          <w:rPr>
            <w:rFonts w:ascii="Cambria Math" w:eastAsia="Cambria Math" w:hAnsi="Cambria Math"/>
          </w:rPr>
          <m:t>]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t</m:t>
            </m:r>
            <m:r>
              <w:rPr>
                <w:rFonts w:ascii="Cambria Math" w:eastAsia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τ</m:t>
            </m:r>
          </m:e>
        </m:d>
        <m:r>
          <w:rPr>
            <w:rFonts w:ascii="Cambria Math" w:eastAsia="Cambria Math" w:hAnsi="Cambria Math"/>
          </w:rPr>
          <m:t>*</m:t>
        </m:r>
        <m:r>
          <w:rPr>
            <w:rFonts w:ascii="Cambria Math" w:eastAsia="Cambria Math" w:hAnsi="Cambria Math"/>
          </w:rPr>
          <m:t>δ</m:t>
        </m:r>
        <m:r>
          <w:rPr>
            <w:rFonts w:ascii="Cambria Math" w:eastAsia="Cambria Math" w:hAnsi="Cambria Math"/>
          </w:rPr>
          <m:t>*</m:t>
        </m:r>
        <m:d>
          <m:dPr>
            <m:ctrlPr>
              <w:rPr>
                <w:rFonts w:ascii="Cambria Math" w:eastAsia="Cambria Math" w:hAnsi="Cambria Math"/>
              </w:rPr>
            </m:ctrlPr>
          </m:dPr>
          <m:e>
            <m:r>
              <w:rPr>
                <w:rFonts w:ascii="Cambria Math" w:eastAsia="Cambria Math" w:hAnsi="Cambria Math"/>
              </w:rPr>
              <m:t>1-2*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α</m:t>
            </m:r>
          </m:e>
        </m:d>
        <m:r>
          <w:rPr>
            <w:rFonts w:ascii="Cambria Math" w:eastAsia="Cambria Math" w:hAnsi="Cambria Math" w:cs="Cambria Math"/>
          </w:rPr>
          <m:t>-</m:t>
        </m:r>
        <m:r>
          <w:rPr>
            <w:rFonts w:ascii="Cambria Math" w:eastAsia="Cambria Math" w:hAnsi="Cambria Math"/>
          </w:rPr>
          <m:t>N</m:t>
        </m:r>
        <m:r>
          <w:rPr>
            <w:rFonts w:ascii="Cambria Math" w:eastAsia="Cambria Math" w:hAnsi="Cambria Math"/>
          </w:rPr>
          <m:t>*</m:t>
        </m:r>
        <m:r>
          <w:rPr>
            <w:rFonts w:ascii="Cambria Math" w:eastAsia="Cambria Math" w:hAnsi="Cambria Math"/>
          </w:rPr>
          <m:t>F</m:t>
        </m:r>
        <m:r>
          <w:rPr>
            <w:rFonts w:ascii="Cambria Math" w:eastAsia="Cambria Math" w:hAnsi="Cambria Math"/>
          </w:rPr>
          <m:t>(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P</m:t>
            </m:r>
          </m:e>
          <m:sub>
            <m:r>
              <w:rPr>
                <w:rFonts w:ascii="Cambria Math" w:eastAsia="Cambria Math" w:hAnsi="Cambria Math"/>
              </w:rPr>
              <m:t>L</m:t>
            </m:r>
          </m:sub>
        </m:sSub>
        <m:r>
          <w:rPr>
            <w:rFonts w:ascii="Cambria Math" w:eastAsia="Cambria Math" w:hAnsi="Cambria Math"/>
          </w:rPr>
          <m:t>)</m:t>
        </m:r>
      </m:oMath>
      <w:r w:rsidR="00634238" w:rsidRPr="00634238">
        <w:rPr>
          <w:rFonts w:ascii="Cambria Math" w:eastAsia="Cambria Math" w:hAnsi="Cambria Math" w:cs="Cambria Math"/>
        </w:rPr>
        <w:tab/>
      </w:r>
    </w:p>
    <w:p w14:paraId="45A559CD" w14:textId="7BFE4159" w:rsidR="00634238" w:rsidRPr="00634238" w:rsidRDefault="00D03D55" w:rsidP="00A95E08">
      <w:pPr>
        <w:pStyle w:val="ListParagraph"/>
        <w:spacing w:line="240" w:lineRule="auto"/>
        <w:jc w:val="center"/>
        <w:rPr>
          <w:rFonts w:cs="Cambria Math"/>
        </w:rPr>
      </w:pPr>
      <m:oMathPara>
        <m:oMath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d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[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ET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]</m:t>
          </m:r>
          <m:r>
            <m:rPr>
              <m:sty m:val="p"/>
            </m:rPr>
            <w:rPr>
              <w:rFonts w:ascii="Cambria Math" w:hAnsi="Cambria Math" w:cs="Cambria Math"/>
            </w:rPr>
            <m:t>(</m:t>
          </m:r>
          <m:r>
            <w:rPr>
              <w:rFonts w:ascii="Cambria Math" w:hAnsi="Cambria Math" w:cs="Cambria Math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</w:rPr>
            <m:t>-</m:t>
          </m:r>
          <m:r>
            <m:rPr>
              <m:sty m:val="p"/>
            </m:rPr>
            <w:rPr>
              <w:rFonts w:ascii="Cambria Math" w:hAnsi="Cambria Math" w:cs="Cambria Math"/>
            </w:rPr>
            <m:t>τ)*</m:t>
          </m:r>
          <m:r>
            <w:rPr>
              <w:rFonts w:ascii="Cambria Math" w:hAnsi="Cambria Math" w:cs="Cambria Math"/>
            </w:rPr>
            <m:t>δ</m:t>
          </m:r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r>
            <m:rPr>
              <m:sty m:val="p"/>
            </m:rPr>
            <w:rPr>
              <w:rFonts w:ascii="Cambria Math" w:hAnsi="Cambria Math" w:cs="Cambria Math"/>
            </w:rPr>
            <m:t>α-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645A79C8" w14:textId="71AD412C" w:rsidR="00634238" w:rsidRPr="00634238" w:rsidRDefault="00D03D55" w:rsidP="00A95E08">
      <w:pPr>
        <w:spacing w:line="240" w:lineRule="auto"/>
        <w:jc w:val="center"/>
        <w:rPr>
          <w:rFonts w:cs="Cambria Math"/>
        </w:rPr>
      </w:pPr>
      <m:oMathPara>
        <m:oMath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d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 w:cs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[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ET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]</m:t>
          </m:r>
          <m:r>
            <m:rPr>
              <m:sty m:val="p"/>
            </m:rPr>
            <w:rPr>
              <w:rFonts w:ascii="Cambria Math" w:hAnsi="Cambria Math" w:cs="Cambria Math"/>
            </w:rPr>
            <m:t>(</m:t>
          </m:r>
          <m:r>
            <w:rPr>
              <w:rFonts w:ascii="Cambria Math" w:hAnsi="Cambria Math" w:cs="Cambria Math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</w:rPr>
            <m:t>-</m:t>
          </m:r>
          <m:r>
            <m:rPr>
              <m:sty m:val="p"/>
            </m:rPr>
            <w:rPr>
              <w:rFonts w:ascii="Cambria Math" w:hAnsi="Cambria Math" w:cs="Cambria Math"/>
            </w:rPr>
            <m:t>τ)*</m:t>
          </m:r>
          <m:r>
            <w:rPr>
              <w:rFonts w:ascii="Cambria Math" w:hAnsi="Cambria Math" w:cs="Cambria Math"/>
            </w:rPr>
            <m:t>δ</m:t>
          </m:r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r>
            <m:rPr>
              <m:sty m:val="p"/>
            </m:rPr>
            <w:rPr>
              <w:rFonts w:ascii="Cambria Math" w:hAnsi="Cambria Math" w:cs="Cambria Math"/>
            </w:rPr>
            <m:t>α-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0F8FA0AB" w14:textId="5B983443" w:rsidR="009949C0" w:rsidRDefault="009949C0" w:rsidP="00917BE1">
      <w:pPr>
        <w:pStyle w:val="ListParagraph"/>
        <w:numPr>
          <w:ilvl w:val="0"/>
          <w:numId w:val="1"/>
        </w:numPr>
        <w:spacing w:line="276" w:lineRule="auto"/>
      </w:pPr>
      <w:r>
        <w:t xml:space="preserve">Page </w:t>
      </w:r>
      <w:r w:rsidR="0025599F">
        <w:t>19</w:t>
      </w:r>
      <w:r>
        <w:t xml:space="preserve">: the two equations used for the density-dependent interaction </w:t>
      </w:r>
      <w:r w:rsidR="00207BE0">
        <w:t xml:space="preserve">(Equations 40 and 41) </w:t>
      </w:r>
      <w:r>
        <w:t>should be replaced by this single equation, to be consistent with the model equations</w:t>
      </w:r>
      <w:r w:rsidR="0025599F">
        <w:t xml:space="preserve"> above</w:t>
      </w:r>
      <w:r>
        <w:t>:</w:t>
      </w:r>
    </w:p>
    <w:p w14:paraId="069869DB" w14:textId="44A2318A" w:rsidR="009949C0" w:rsidRPr="009949C0" w:rsidRDefault="009949C0" w:rsidP="009949C0">
      <w:pPr>
        <w:pStyle w:val="ListParagraph"/>
        <w:spacing w:line="480" w:lineRule="auto"/>
        <w:jc w:val="center"/>
        <w:rPr>
          <w:rFonts w:ascii="Cambria Math" w:eastAsia="Cambria Math" w:hAnsi="Cambria Math" w:cs="Cambria Math"/>
        </w:rPr>
      </w:pPr>
      <m:oMathPara>
        <m:oMath>
          <m:r>
            <w:rPr>
              <w:rFonts w:ascii="Cambria Math" w:eastAsia="Cambria Math" w:hAnsi="Cambria Math"/>
            </w:rPr>
            <m:t>F</m:t>
          </m:r>
          <m:d>
            <m:dPr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θ</m:t>
                  </m:r>
                </m:sub>
              </m:sSub>
            </m:e>
          </m:d>
          <m:r>
            <w:rPr>
              <w:rFonts w:ascii="Cambria Math" w:eastAsia="Cambria Math" w:hAnsi="Cambria Math"/>
            </w:rPr>
            <m:t xml:space="preserve">= 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</w:rPr>
                <m:t>θ</m:t>
              </m:r>
            </m:sub>
          </m:sSub>
          <m:r>
            <w:rPr>
              <w:rFonts w:ascii="Cambria Math" w:eastAsia="Cambria Math" w:hAnsi="Cambria Math"/>
            </w:rPr>
            <m:t>*β</m:t>
          </m:r>
        </m:oMath>
      </m:oMathPara>
    </w:p>
    <w:p w14:paraId="01F7B7E3" w14:textId="3DEF5D86" w:rsidR="00A95E08" w:rsidRDefault="00A95E08" w:rsidP="00917BE1">
      <w:pPr>
        <w:pStyle w:val="ListParagraph"/>
        <w:numPr>
          <w:ilvl w:val="0"/>
          <w:numId w:val="1"/>
        </w:numPr>
        <w:spacing w:line="276" w:lineRule="auto"/>
      </w:pPr>
      <w:r>
        <w:t xml:space="preserve">Page </w:t>
      </w:r>
      <w:r w:rsidR="0025599F">
        <w:t>19</w:t>
      </w:r>
      <w:r>
        <w:t xml:space="preserve">: the two equations used for the frequency-dependent interaction (Equations </w:t>
      </w:r>
      <w:r w:rsidR="00207BE0">
        <w:t>4</w:t>
      </w:r>
      <w:r>
        <w:t xml:space="preserve">2 and </w:t>
      </w:r>
      <w:r w:rsidR="00207BE0">
        <w:t>4</w:t>
      </w:r>
      <w:r>
        <w:t>3) should be replaced by this single improved equation for saturated predation:</w:t>
      </w:r>
    </w:p>
    <w:p w14:paraId="3A31EA21" w14:textId="048FA965" w:rsidR="00A95E08" w:rsidRDefault="00A95E08" w:rsidP="00A95E08">
      <w:pPr>
        <w:pStyle w:val="ListParagraph"/>
        <w:spacing w:line="480" w:lineRule="auto"/>
        <w:jc w:val="center"/>
      </w:pPr>
      <m:oMath>
        <m:r>
          <w:rPr>
            <w:rFonts w:ascii="Cambria Math" w:eastAsia="Cambria Math" w:hAnsi="Cambria Math"/>
          </w:rPr>
          <m:t>F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P</m:t>
                </m:r>
              </m:e>
              <m:sub>
                <m:r>
                  <w:rPr>
                    <w:rFonts w:ascii="Cambria Math" w:eastAsia="Cambria Math" w:hAnsi="Cambria Math"/>
                  </w:rPr>
                  <m:t>θ</m:t>
                </m:r>
              </m:sub>
            </m:sSub>
          </m:e>
        </m:d>
        <m: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P</m:t>
            </m:r>
          </m:e>
          <m:sub>
            <m:r>
              <w:rPr>
                <w:rFonts w:ascii="Cambria Math" w:eastAsia="Cambria Math" w:hAnsi="Cambria Math"/>
              </w:rPr>
              <m:t>θ</m:t>
            </m:r>
          </m:sub>
        </m:sSub>
        <m:r>
          <w:rPr>
            <w:rFonts w:ascii="Cambria Math" w:eastAsia="Cambria Math" w:hAnsi="Cambria Math"/>
          </w:rPr>
          <m:t xml:space="preserve">* 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w:rPr>
                <w:rFonts w:ascii="Cambria Math" w:eastAsia="Cambria Math" w:hAnsi="Cambria Math"/>
              </w:rPr>
              <m:t>β</m:t>
            </m:r>
          </m:num>
          <m:den>
            <m:r>
              <w:rPr>
                <w:rFonts w:ascii="Cambria Math" w:eastAsia="Cambria Math" w:hAnsi="Cambria Math"/>
              </w:rPr>
              <m:t>(1+</m:t>
            </m:r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θ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P50</m:t>
                </m:r>
              </m:den>
            </m:f>
            <m:r>
              <w:rPr>
                <w:rFonts w:ascii="Cambria Math" w:eastAsia="Cambria Math" w:hAnsi="Cambria Math"/>
              </w:rPr>
              <m:t>)</m:t>
            </m:r>
          </m:den>
        </m:f>
      </m:oMath>
      <w:r w:rsidRPr="00A95E08">
        <w:rPr>
          <w:rFonts w:ascii="Cambria Math" w:eastAsia="Cambria Math" w:hAnsi="Cambria Math" w:cs="Cambria Math"/>
        </w:rPr>
        <w:tab/>
      </w:r>
    </w:p>
    <w:p w14:paraId="317ACFAC" w14:textId="38BF8ACE" w:rsidR="004A429A" w:rsidRDefault="00634238" w:rsidP="00917BE1">
      <w:pPr>
        <w:pStyle w:val="ListParagraph"/>
        <w:numPr>
          <w:ilvl w:val="0"/>
          <w:numId w:val="1"/>
        </w:numPr>
        <w:spacing w:line="276" w:lineRule="auto"/>
      </w:pPr>
      <w:r>
        <w:t xml:space="preserve">Page </w:t>
      </w:r>
      <w:r w:rsidR="0025599F">
        <w:t>22</w:t>
      </w:r>
      <w:r>
        <w:t xml:space="preserve">: </w:t>
      </w:r>
      <w:r w:rsidR="004A429A">
        <w:t xml:space="preserve">Reference 36 </w:t>
      </w:r>
      <w:r w:rsidR="00D546C6">
        <w:t>should state</w:t>
      </w:r>
      <w:r w:rsidR="004A429A">
        <w:t xml:space="preserve">: </w:t>
      </w:r>
      <w:r w:rsidR="004A429A" w:rsidRPr="007265AA">
        <w:t>Roach</w:t>
      </w:r>
      <w:r w:rsidR="004A429A">
        <w:t>,</w:t>
      </w:r>
      <w:r w:rsidR="004A429A" w:rsidRPr="007265AA">
        <w:t xml:space="preserve"> D</w:t>
      </w:r>
      <w:r w:rsidR="004A429A">
        <w:t xml:space="preserve">. </w:t>
      </w:r>
      <w:r w:rsidR="004A429A" w:rsidRPr="007265AA">
        <w:t>R</w:t>
      </w:r>
      <w:r w:rsidR="004A429A">
        <w:t>.</w:t>
      </w:r>
      <w:r w:rsidR="004A429A" w:rsidRPr="007265AA">
        <w:t>, Leung</w:t>
      </w:r>
      <w:r w:rsidR="004A429A">
        <w:t>,</w:t>
      </w:r>
      <w:r w:rsidR="004A429A" w:rsidRPr="007265AA">
        <w:t xml:space="preserve"> C</w:t>
      </w:r>
      <w:r w:rsidR="004A429A">
        <w:t xml:space="preserve">. </w:t>
      </w:r>
      <w:r w:rsidR="004A429A" w:rsidRPr="007265AA">
        <w:t>Y</w:t>
      </w:r>
      <w:r w:rsidR="004A429A">
        <w:t>.</w:t>
      </w:r>
      <w:r w:rsidR="004A429A" w:rsidRPr="007265AA">
        <w:t>, Henry</w:t>
      </w:r>
      <w:r w:rsidR="004A429A">
        <w:t>,</w:t>
      </w:r>
      <w:r w:rsidR="004A429A" w:rsidRPr="007265AA">
        <w:t xml:space="preserve"> M</w:t>
      </w:r>
      <w:r w:rsidR="004A429A">
        <w:t>.</w:t>
      </w:r>
      <w:r w:rsidR="004A429A" w:rsidRPr="007265AA">
        <w:t>, Morello</w:t>
      </w:r>
      <w:r w:rsidR="004A429A">
        <w:t>,</w:t>
      </w:r>
      <w:r w:rsidR="004A429A" w:rsidRPr="007265AA">
        <w:t xml:space="preserve"> E</w:t>
      </w:r>
      <w:r w:rsidR="004A429A">
        <w:t>.</w:t>
      </w:r>
      <w:r w:rsidR="004A429A" w:rsidRPr="007265AA">
        <w:t>, Singh</w:t>
      </w:r>
      <w:r w:rsidR="004A429A">
        <w:t>,</w:t>
      </w:r>
      <w:r w:rsidR="004A429A" w:rsidRPr="007265AA">
        <w:t xml:space="preserve"> D</w:t>
      </w:r>
      <w:r w:rsidR="004A429A">
        <w:t>.</w:t>
      </w:r>
      <w:r w:rsidR="004A429A" w:rsidRPr="007265AA">
        <w:t>, Di Santo</w:t>
      </w:r>
      <w:r w:rsidR="004A429A">
        <w:t>,</w:t>
      </w:r>
      <w:r w:rsidR="004A429A" w:rsidRPr="007265AA">
        <w:t xml:space="preserve"> J</w:t>
      </w:r>
      <w:r w:rsidR="004A429A">
        <w:t xml:space="preserve">. </w:t>
      </w:r>
      <w:r w:rsidR="004A429A" w:rsidRPr="007265AA">
        <w:t>P</w:t>
      </w:r>
      <w:r w:rsidR="004A429A">
        <w:t>.</w:t>
      </w:r>
      <w:r w:rsidR="004A429A" w:rsidRPr="007265AA">
        <w:t>, Weitz</w:t>
      </w:r>
      <w:r w:rsidR="004A429A">
        <w:t>,</w:t>
      </w:r>
      <w:r w:rsidR="004A429A" w:rsidRPr="007265AA">
        <w:t xml:space="preserve"> J</w:t>
      </w:r>
      <w:r w:rsidR="004A429A">
        <w:t xml:space="preserve">. </w:t>
      </w:r>
      <w:r w:rsidR="004A429A" w:rsidRPr="007265AA">
        <w:t>S</w:t>
      </w:r>
      <w:r w:rsidR="004A429A">
        <w:t>. &amp;</w:t>
      </w:r>
      <w:r w:rsidR="004A429A" w:rsidRPr="007265AA">
        <w:t xml:space="preserve"> </w:t>
      </w:r>
      <w:proofErr w:type="spellStart"/>
      <w:r w:rsidR="004A429A" w:rsidRPr="007265AA">
        <w:t>Debarbieux</w:t>
      </w:r>
      <w:proofErr w:type="spellEnd"/>
      <w:r w:rsidR="004A429A">
        <w:t>,</w:t>
      </w:r>
      <w:r w:rsidR="004A429A" w:rsidRPr="007265AA">
        <w:t xml:space="preserve"> </w:t>
      </w:r>
      <w:proofErr w:type="gramStart"/>
      <w:r w:rsidR="004A429A" w:rsidRPr="007265AA">
        <w:t>L</w:t>
      </w:r>
      <w:r w:rsidR="004A429A">
        <w:t>.</w:t>
      </w:r>
      <w:r w:rsidR="004A429A" w:rsidRPr="007265AA">
        <w:t>.</w:t>
      </w:r>
      <w:proofErr w:type="gramEnd"/>
      <w:r w:rsidR="004A429A" w:rsidRPr="007265AA">
        <w:t xml:space="preserve"> Synergy between the host immune system and bacteriophage is essential for successful phage therapy against an acute respiratory pathogen. </w:t>
      </w:r>
      <w:r w:rsidR="004A429A" w:rsidRPr="007265AA">
        <w:rPr>
          <w:i/>
          <w:iCs/>
        </w:rPr>
        <w:t>Cell host &amp; microbe</w:t>
      </w:r>
      <w:r w:rsidR="004A429A">
        <w:t xml:space="preserve"> </w:t>
      </w:r>
      <w:r w:rsidR="004A429A" w:rsidRPr="00417BC1">
        <w:rPr>
          <w:b/>
          <w:bCs/>
        </w:rPr>
        <w:t>22</w:t>
      </w:r>
      <w:r w:rsidR="004A429A">
        <w:t xml:space="preserve">, </w:t>
      </w:r>
      <w:r w:rsidR="004A429A" w:rsidRPr="007265AA">
        <w:t>38</w:t>
      </w:r>
      <w:r w:rsidR="004A429A">
        <w:t>–</w:t>
      </w:r>
      <w:r w:rsidR="004A429A" w:rsidRPr="007265AA">
        <w:t>47</w:t>
      </w:r>
      <w:r w:rsidR="004A429A">
        <w:t xml:space="preserve"> (2017).</w:t>
      </w:r>
    </w:p>
    <w:sectPr w:rsidR="004A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3F6A"/>
    <w:multiLevelType w:val="hybridMultilevel"/>
    <w:tmpl w:val="AA7CEB40"/>
    <w:lvl w:ilvl="0" w:tplc="65B89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C8"/>
    <w:rsid w:val="000262F2"/>
    <w:rsid w:val="000A47AB"/>
    <w:rsid w:val="001109C8"/>
    <w:rsid w:val="00113DC8"/>
    <w:rsid w:val="001D2ED2"/>
    <w:rsid w:val="00207BE0"/>
    <w:rsid w:val="0021715C"/>
    <w:rsid w:val="0025599F"/>
    <w:rsid w:val="00261C2C"/>
    <w:rsid w:val="00361170"/>
    <w:rsid w:val="003C73A0"/>
    <w:rsid w:val="00431AEB"/>
    <w:rsid w:val="00491F52"/>
    <w:rsid w:val="004A429A"/>
    <w:rsid w:val="00516BD6"/>
    <w:rsid w:val="005A1C66"/>
    <w:rsid w:val="005D2C77"/>
    <w:rsid w:val="005D724F"/>
    <w:rsid w:val="005E447D"/>
    <w:rsid w:val="00634238"/>
    <w:rsid w:val="00774DCC"/>
    <w:rsid w:val="007B4C1E"/>
    <w:rsid w:val="00813135"/>
    <w:rsid w:val="00844F11"/>
    <w:rsid w:val="008962EE"/>
    <w:rsid w:val="00917BE1"/>
    <w:rsid w:val="009949C0"/>
    <w:rsid w:val="00A00D2C"/>
    <w:rsid w:val="00A73E40"/>
    <w:rsid w:val="00A95E08"/>
    <w:rsid w:val="00AE19F6"/>
    <w:rsid w:val="00B837C2"/>
    <w:rsid w:val="00BE1997"/>
    <w:rsid w:val="00CF3993"/>
    <w:rsid w:val="00D03D55"/>
    <w:rsid w:val="00D546C6"/>
    <w:rsid w:val="00D8022B"/>
    <w:rsid w:val="00DE6D5C"/>
    <w:rsid w:val="00E268EF"/>
    <w:rsid w:val="00EA558C"/>
    <w:rsid w:val="00F320DF"/>
    <w:rsid w:val="00F35201"/>
    <w:rsid w:val="00F910D0"/>
    <w:rsid w:val="00FA719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9545"/>
  <w15:chartTrackingRefBased/>
  <w15:docId w15:val="{D898345C-0FC7-4D25-BDD5-902A7128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Leclerc</dc:creator>
  <cp:keywords/>
  <dc:description/>
  <cp:lastModifiedBy>Jodi Lindsay</cp:lastModifiedBy>
  <cp:revision>2</cp:revision>
  <dcterms:created xsi:type="dcterms:W3CDTF">2023-05-08T07:49:00Z</dcterms:created>
  <dcterms:modified xsi:type="dcterms:W3CDTF">2023-05-08T07:49:00Z</dcterms:modified>
</cp:coreProperties>
</file>