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C95F" w14:textId="2A08B3D8" w:rsidR="00AD6E24" w:rsidRDefault="00AD6E24" w:rsidP="00F43F94">
      <w:pPr>
        <w:spacing w:after="0" w:line="480" w:lineRule="auto"/>
        <w:rPr>
          <w:b/>
        </w:rPr>
      </w:pPr>
      <w:r>
        <w:rPr>
          <w:b/>
        </w:rPr>
        <w:t>Original article</w:t>
      </w:r>
    </w:p>
    <w:p w14:paraId="37B71391" w14:textId="77777777" w:rsidR="00AD6E24" w:rsidRDefault="00AD6E24" w:rsidP="00F43F94">
      <w:pPr>
        <w:spacing w:after="0" w:line="480" w:lineRule="auto"/>
        <w:rPr>
          <w:b/>
        </w:rPr>
      </w:pPr>
    </w:p>
    <w:p w14:paraId="4D29F104" w14:textId="055C0EF9" w:rsidR="006C5B8F" w:rsidRPr="00E62B31" w:rsidRDefault="006C5B8F" w:rsidP="00F43F94">
      <w:pPr>
        <w:spacing w:after="0" w:line="480" w:lineRule="auto"/>
        <w:rPr>
          <w:b/>
        </w:rPr>
      </w:pPr>
      <w:r w:rsidRPr="00E62B31">
        <w:rPr>
          <w:b/>
        </w:rPr>
        <w:t xml:space="preserve">Markers of epidemiological success </w:t>
      </w:r>
      <w:r w:rsidR="003665F6">
        <w:rPr>
          <w:b/>
        </w:rPr>
        <w:t xml:space="preserve">of </w:t>
      </w:r>
      <w:r w:rsidR="000B4B43">
        <w:rPr>
          <w:b/>
        </w:rPr>
        <w:t xml:space="preserve">methicillin-resistant </w:t>
      </w:r>
      <w:r w:rsidR="000B4B43" w:rsidRPr="00E60C91">
        <w:rPr>
          <w:b/>
          <w:i/>
          <w:iCs/>
        </w:rPr>
        <w:t>Staphylococcus aureus</w:t>
      </w:r>
      <w:r w:rsidR="000B4B43">
        <w:rPr>
          <w:b/>
        </w:rPr>
        <w:t xml:space="preserve"> (MRSA) isolates </w:t>
      </w:r>
      <w:r w:rsidRPr="00E62B31">
        <w:rPr>
          <w:b/>
        </w:rPr>
        <w:t xml:space="preserve">in </w:t>
      </w:r>
      <w:r>
        <w:rPr>
          <w:b/>
        </w:rPr>
        <w:t>European</w:t>
      </w:r>
      <w:r w:rsidR="000B4B43">
        <w:rPr>
          <w:b/>
        </w:rPr>
        <w:t xml:space="preserve"> p</w:t>
      </w:r>
      <w:r w:rsidRPr="00E62B31">
        <w:rPr>
          <w:b/>
        </w:rPr>
        <w:t>opulations</w:t>
      </w:r>
    </w:p>
    <w:p w14:paraId="5D0FF2CE" w14:textId="77777777" w:rsidR="006C5B8F" w:rsidRPr="00E62B31" w:rsidRDefault="006C5B8F" w:rsidP="00F43F94">
      <w:pPr>
        <w:spacing w:after="0" w:line="480" w:lineRule="auto"/>
      </w:pPr>
    </w:p>
    <w:p w14:paraId="47E2A632" w14:textId="77777777" w:rsidR="006C5B8F" w:rsidRPr="00E62B31" w:rsidRDefault="006C5B8F" w:rsidP="00F43F94">
      <w:pPr>
        <w:spacing w:after="0" w:line="480" w:lineRule="auto"/>
      </w:pPr>
      <w:r w:rsidRPr="00E62B31">
        <w:t>Valérie O. Baede</w:t>
      </w:r>
      <w:r w:rsidR="007421E6">
        <w:t>*</w:t>
      </w:r>
      <w:r w:rsidRPr="00763D2B">
        <w:rPr>
          <w:vertAlign w:val="superscript"/>
        </w:rPr>
        <w:t>1</w:t>
      </w:r>
      <w:r w:rsidRPr="00E62B31">
        <w:t xml:space="preserve">, </w:t>
      </w:r>
      <w:r w:rsidR="007421E6" w:rsidRPr="00E62B31">
        <w:t>Arya Gupta</w:t>
      </w:r>
      <w:r w:rsidR="000D1C9E">
        <w:t>*</w:t>
      </w:r>
      <w:r w:rsidR="00F47780">
        <w:rPr>
          <w:vertAlign w:val="superscript"/>
        </w:rPr>
        <w:t>$</w:t>
      </w:r>
      <w:r w:rsidR="00A31AA9" w:rsidRPr="00763D2B">
        <w:rPr>
          <w:vertAlign w:val="superscript"/>
        </w:rPr>
        <w:t>2</w:t>
      </w:r>
      <w:r w:rsidR="007421E6">
        <w:t xml:space="preserve">, </w:t>
      </w:r>
      <w:proofErr w:type="spellStart"/>
      <w:r w:rsidR="007421E6" w:rsidRPr="00E62B31">
        <w:t>Gwenan</w:t>
      </w:r>
      <w:proofErr w:type="spellEnd"/>
      <w:r w:rsidR="007421E6" w:rsidRPr="00E62B31">
        <w:t xml:space="preserve"> M. Knight</w:t>
      </w:r>
      <w:r w:rsidR="000D1C9E">
        <w:t>*</w:t>
      </w:r>
      <w:r w:rsidR="009B2944" w:rsidRPr="00763D2B">
        <w:rPr>
          <w:vertAlign w:val="superscript"/>
        </w:rPr>
        <w:t>3</w:t>
      </w:r>
      <w:r w:rsidR="007421E6">
        <w:t xml:space="preserve">, </w:t>
      </w:r>
      <w:r w:rsidR="00ED626C" w:rsidRPr="00E62B31">
        <w:t xml:space="preserve">Leo </w:t>
      </w:r>
      <w:r w:rsidR="00ED626C">
        <w:t xml:space="preserve">M. </w:t>
      </w:r>
      <w:r w:rsidR="00ED626C" w:rsidRPr="00E62B31">
        <w:t>Schouls</w:t>
      </w:r>
      <w:r w:rsidR="009B2944" w:rsidRPr="00763D2B">
        <w:rPr>
          <w:vertAlign w:val="superscript"/>
        </w:rPr>
        <w:t>4</w:t>
      </w:r>
      <w:r w:rsidR="00ED626C">
        <w:t xml:space="preserve">, </w:t>
      </w:r>
      <w:r w:rsidR="007A0941">
        <w:t>Ken Laing</w:t>
      </w:r>
      <w:r w:rsidR="00A31AA9" w:rsidRPr="00763D2B">
        <w:rPr>
          <w:vertAlign w:val="superscript"/>
        </w:rPr>
        <w:t>2</w:t>
      </w:r>
      <w:r w:rsidR="007A0941">
        <w:t xml:space="preserve">, </w:t>
      </w:r>
      <w:r w:rsidR="007A0941" w:rsidRPr="00E62B31">
        <w:t>Mehri Tavakol</w:t>
      </w:r>
      <w:r w:rsidR="007A0941" w:rsidRPr="00763D2B">
        <w:rPr>
          <w:vertAlign w:val="superscript"/>
        </w:rPr>
        <w:t>1</w:t>
      </w:r>
      <w:r w:rsidR="007A0941" w:rsidRPr="00E62B31">
        <w:t xml:space="preserve">, </w:t>
      </w:r>
      <w:r w:rsidRPr="00E62B31">
        <w:t>Ana</w:t>
      </w:r>
      <w:bookmarkStart w:id="0" w:name="_Hlk134193143"/>
      <w:bookmarkStart w:id="1" w:name="_GoBack"/>
      <w:r w:rsidRPr="00E62B31">
        <w:t>ï</w:t>
      </w:r>
      <w:bookmarkEnd w:id="0"/>
      <w:bookmarkEnd w:id="1"/>
      <w:r w:rsidRPr="00E62B31">
        <w:t>s Barray</w:t>
      </w:r>
      <w:r w:rsidR="00812429" w:rsidRPr="00763D2B">
        <w:rPr>
          <w:vertAlign w:val="superscript"/>
        </w:rPr>
        <w:t>5</w:t>
      </w:r>
      <w:r w:rsidRPr="00763D2B">
        <w:rPr>
          <w:vertAlign w:val="superscript"/>
        </w:rPr>
        <w:t>,</w:t>
      </w:r>
      <w:r w:rsidR="00812429" w:rsidRPr="00763D2B">
        <w:rPr>
          <w:vertAlign w:val="superscript"/>
        </w:rPr>
        <w:t>6</w:t>
      </w:r>
      <w:r w:rsidRPr="00E62B31">
        <w:t>, Sake J. de Vlas</w:t>
      </w:r>
      <w:r w:rsidR="005E4B53" w:rsidRPr="00763D2B">
        <w:rPr>
          <w:vertAlign w:val="superscript"/>
        </w:rPr>
        <w:t>7</w:t>
      </w:r>
      <w:r w:rsidRPr="00E62B31">
        <w:t>, Anneke S. de Vos</w:t>
      </w:r>
      <w:r w:rsidR="005E4B53" w:rsidRPr="00763D2B">
        <w:rPr>
          <w:vertAlign w:val="superscript"/>
        </w:rPr>
        <w:t>7</w:t>
      </w:r>
      <w:r w:rsidRPr="00E62B31">
        <w:t>, Antoni P. A. Hendrickx</w:t>
      </w:r>
      <w:r w:rsidR="0006796A" w:rsidRPr="00763D2B">
        <w:rPr>
          <w:vertAlign w:val="superscript"/>
        </w:rPr>
        <w:t>4</w:t>
      </w:r>
      <w:r w:rsidRPr="00E62B31">
        <w:t xml:space="preserve">, </w:t>
      </w:r>
      <w:r>
        <w:t>Madeeha Khan</w:t>
      </w:r>
      <w:r w:rsidR="00A31AA9" w:rsidRPr="00763D2B">
        <w:rPr>
          <w:vertAlign w:val="superscript"/>
        </w:rPr>
        <w:t>2</w:t>
      </w:r>
      <w:r w:rsidRPr="00E62B31">
        <w:t xml:space="preserve">, </w:t>
      </w:r>
      <w:proofErr w:type="spellStart"/>
      <w:r w:rsidRPr="00E62B31">
        <w:t>Mirjam</w:t>
      </w:r>
      <w:proofErr w:type="spellEnd"/>
      <w:r w:rsidRPr="00E62B31">
        <w:t xml:space="preserve"> E. Kretzschmar</w:t>
      </w:r>
      <w:r w:rsidRPr="00763D2B">
        <w:rPr>
          <w:vertAlign w:val="superscript"/>
        </w:rPr>
        <w:t>8</w:t>
      </w:r>
      <w:r w:rsidRPr="00E62B31">
        <w:t>, Willem J. B. van Wamel</w:t>
      </w:r>
      <w:r w:rsidRPr="00763D2B">
        <w:rPr>
          <w:vertAlign w:val="superscript"/>
        </w:rPr>
        <w:t>1</w:t>
      </w:r>
      <w:r w:rsidRPr="00E62B31">
        <w:t xml:space="preserve">, </w:t>
      </w:r>
      <w:r w:rsidR="00A805CF" w:rsidRPr="00E62B31">
        <w:t>Gérard Lina</w:t>
      </w:r>
      <w:r w:rsidR="00B932B8" w:rsidRPr="00763D2B">
        <w:rPr>
          <w:vertAlign w:val="superscript"/>
        </w:rPr>
        <w:t>5</w:t>
      </w:r>
      <w:r w:rsidR="00A805CF" w:rsidRPr="00763D2B">
        <w:rPr>
          <w:vertAlign w:val="superscript"/>
        </w:rPr>
        <w:t>,</w:t>
      </w:r>
      <w:r w:rsidR="00B932B8" w:rsidRPr="00763D2B">
        <w:rPr>
          <w:vertAlign w:val="superscript"/>
        </w:rPr>
        <w:t>6</w:t>
      </w:r>
      <w:r w:rsidR="00A805CF" w:rsidRPr="00E62B31">
        <w:t xml:space="preserve">, </w:t>
      </w:r>
      <w:r w:rsidRPr="00E62B31">
        <w:t>Francois Vandenesch</w:t>
      </w:r>
      <w:r w:rsidR="00B932B8" w:rsidRPr="00763D2B">
        <w:rPr>
          <w:vertAlign w:val="superscript"/>
        </w:rPr>
        <w:t>5</w:t>
      </w:r>
      <w:r w:rsidRPr="00763D2B">
        <w:rPr>
          <w:vertAlign w:val="superscript"/>
        </w:rPr>
        <w:t>,</w:t>
      </w:r>
      <w:r w:rsidR="00B932B8" w:rsidRPr="00763D2B">
        <w:rPr>
          <w:vertAlign w:val="superscript"/>
        </w:rPr>
        <w:t>6</w:t>
      </w:r>
      <w:r w:rsidRPr="00E62B31">
        <w:t>, Margreet C. Vos</w:t>
      </w:r>
      <w:r w:rsidRPr="00763D2B">
        <w:rPr>
          <w:vertAlign w:val="superscript"/>
        </w:rPr>
        <w:t>1</w:t>
      </w:r>
      <w:r w:rsidRPr="00E62B31">
        <w:t>, Adam A. Witney</w:t>
      </w:r>
      <w:r w:rsidR="00120A3C">
        <w:t>**</w:t>
      </w:r>
      <w:r w:rsidR="00A31AA9" w:rsidRPr="00763D2B">
        <w:rPr>
          <w:vertAlign w:val="superscript"/>
        </w:rPr>
        <w:t>2</w:t>
      </w:r>
      <w:r w:rsidR="007615FB">
        <w:t xml:space="preserve">, </w:t>
      </w:r>
      <w:r w:rsidR="007615FB" w:rsidRPr="00E62B31">
        <w:t>Jean-Philippe Rasigade</w:t>
      </w:r>
      <w:r w:rsidR="00120A3C">
        <w:t>**</w:t>
      </w:r>
      <w:r w:rsidR="00B932B8" w:rsidRPr="00763D2B">
        <w:rPr>
          <w:vertAlign w:val="superscript"/>
        </w:rPr>
        <w:t>5</w:t>
      </w:r>
      <w:r w:rsidR="007615FB" w:rsidRPr="00763D2B">
        <w:rPr>
          <w:vertAlign w:val="superscript"/>
        </w:rPr>
        <w:t>,</w:t>
      </w:r>
      <w:r w:rsidR="00B932B8" w:rsidRPr="00763D2B">
        <w:rPr>
          <w:vertAlign w:val="superscript"/>
        </w:rPr>
        <w:t>6</w:t>
      </w:r>
      <w:r w:rsidR="007615FB" w:rsidRPr="00E62B31">
        <w:t>,</w:t>
      </w:r>
      <w:r w:rsidR="007615FB">
        <w:t xml:space="preserve"> </w:t>
      </w:r>
      <w:r w:rsidR="000D1C9E">
        <w:t xml:space="preserve">and </w:t>
      </w:r>
      <w:r w:rsidR="007615FB" w:rsidRPr="00E62B31">
        <w:t>Jodi A. Lindsay</w:t>
      </w:r>
      <w:r w:rsidR="00120A3C">
        <w:t>**</w:t>
      </w:r>
      <w:r w:rsidR="009F5ECE" w:rsidRPr="00763D2B">
        <w:rPr>
          <w:vertAlign w:val="superscript"/>
        </w:rPr>
        <w:t>#</w:t>
      </w:r>
      <w:r w:rsidR="00A31AA9" w:rsidRPr="00763D2B">
        <w:rPr>
          <w:vertAlign w:val="superscript"/>
        </w:rPr>
        <w:t>2</w:t>
      </w:r>
    </w:p>
    <w:p w14:paraId="5D0EB271" w14:textId="77777777" w:rsidR="006C5B8F" w:rsidRPr="00E62B31" w:rsidRDefault="006C5B8F" w:rsidP="00F43F94">
      <w:pPr>
        <w:spacing w:after="0" w:line="480" w:lineRule="auto"/>
      </w:pPr>
    </w:p>
    <w:p w14:paraId="17E07092" w14:textId="77777777" w:rsidR="006C5B8F" w:rsidRPr="00E62B31" w:rsidRDefault="006C5B8F" w:rsidP="00F43F94">
      <w:pPr>
        <w:spacing w:after="0" w:line="480" w:lineRule="auto"/>
      </w:pPr>
      <w:r w:rsidRPr="00E62B31">
        <w:t>Affiliations</w:t>
      </w:r>
    </w:p>
    <w:p w14:paraId="184B4A83" w14:textId="77777777" w:rsidR="006C5B8F" w:rsidRDefault="009B2944" w:rsidP="00F43F94">
      <w:pPr>
        <w:pStyle w:val="ListParagraph"/>
        <w:spacing w:after="0" w:line="480" w:lineRule="auto"/>
        <w:ind w:left="0"/>
      </w:pPr>
      <w:r>
        <w:t xml:space="preserve">1. </w:t>
      </w:r>
      <w:r w:rsidR="006C5B8F" w:rsidRPr="00E62B31">
        <w:t xml:space="preserve">Department of Medical Microbiology and Infectious Diseases, Erasmus MC University Medical </w:t>
      </w:r>
      <w:proofErr w:type="spellStart"/>
      <w:r w:rsidR="006C5B8F" w:rsidRPr="00E62B31">
        <w:t>Center</w:t>
      </w:r>
      <w:proofErr w:type="spellEnd"/>
      <w:r w:rsidR="006C5B8F" w:rsidRPr="00E62B31">
        <w:t xml:space="preserve"> Rotterdam, Rotterdam, the Netherlands</w:t>
      </w:r>
    </w:p>
    <w:p w14:paraId="1B764348" w14:textId="77777777" w:rsidR="008165C2" w:rsidRDefault="008165C2" w:rsidP="00F43F94">
      <w:pPr>
        <w:spacing w:after="0" w:line="480" w:lineRule="auto"/>
      </w:pPr>
      <w:r>
        <w:t xml:space="preserve">2. </w:t>
      </w:r>
      <w:r w:rsidRPr="00E62B31">
        <w:t>Institute for Infection and Immunity, St George's, University of London, London, United Kingdom</w:t>
      </w:r>
    </w:p>
    <w:p w14:paraId="22FFE3C5" w14:textId="77777777" w:rsidR="009B2944" w:rsidRPr="00E62B31" w:rsidRDefault="009B2944" w:rsidP="00F43F94">
      <w:pPr>
        <w:pStyle w:val="ListParagraph"/>
        <w:spacing w:after="0" w:line="480" w:lineRule="auto"/>
        <w:ind w:left="0"/>
      </w:pPr>
      <w:r>
        <w:t xml:space="preserve">3. </w:t>
      </w:r>
      <w:r w:rsidR="00581F5D">
        <w:t xml:space="preserve">AMR Centre, </w:t>
      </w:r>
      <w:r w:rsidRPr="00E62B31">
        <w:t>Centre for Mathematical Modelling of Infectious Diseases, Infectious Disease Epidemiology, London School of Hygiene and Tropical Medicine, London, United Kingdom</w:t>
      </w:r>
    </w:p>
    <w:p w14:paraId="4DD1C266" w14:textId="77777777" w:rsidR="009B2944" w:rsidRPr="00E62B31" w:rsidRDefault="009B2944" w:rsidP="00F43F94">
      <w:pPr>
        <w:pStyle w:val="ListParagraph"/>
        <w:spacing w:after="0" w:line="480" w:lineRule="auto"/>
        <w:ind w:left="0"/>
      </w:pPr>
      <w:r>
        <w:t xml:space="preserve">4. </w:t>
      </w:r>
      <w:r w:rsidR="00932CA3" w:rsidRPr="00E62B31">
        <w:t>Cent</w:t>
      </w:r>
      <w:r w:rsidR="00932CA3">
        <w:t>re</w:t>
      </w:r>
      <w:r w:rsidR="00932CA3" w:rsidRPr="00E62B31">
        <w:t xml:space="preserve"> </w:t>
      </w:r>
      <w:r w:rsidRPr="00E62B31">
        <w:t xml:space="preserve">for Infectious Disease Control, National Institute for Public Health and the Environment (RIVM), </w:t>
      </w:r>
      <w:proofErr w:type="spellStart"/>
      <w:r w:rsidRPr="00E62B31">
        <w:t>Bilthoven</w:t>
      </w:r>
      <w:proofErr w:type="spellEnd"/>
      <w:r w:rsidRPr="00E62B31">
        <w:t xml:space="preserve">, The Netherlands </w:t>
      </w:r>
    </w:p>
    <w:p w14:paraId="031BA7FD" w14:textId="77777777" w:rsidR="006C5B8F" w:rsidRPr="00E62B31" w:rsidRDefault="00B932B8" w:rsidP="00F43F94">
      <w:pPr>
        <w:pStyle w:val="ListParagraph"/>
        <w:spacing w:after="0" w:line="480" w:lineRule="auto"/>
        <w:ind w:left="0"/>
        <w:rPr>
          <w:lang w:val="nl-NL"/>
        </w:rPr>
      </w:pPr>
      <w:r>
        <w:rPr>
          <w:lang w:val="nl-NL"/>
        </w:rPr>
        <w:t xml:space="preserve">5. </w:t>
      </w:r>
      <w:r w:rsidR="006C5B8F" w:rsidRPr="00E62B31">
        <w:rPr>
          <w:lang w:val="nl-NL"/>
        </w:rPr>
        <w:t>CIRI, Centre International de Recherche en Infectiologie, Inserm U1111, Université Lyon 1, Ecole Normale Supérieure de Lyon, Lyon, France</w:t>
      </w:r>
    </w:p>
    <w:p w14:paraId="57083BB9" w14:textId="77777777" w:rsidR="006C5B8F" w:rsidRPr="00E60C91" w:rsidRDefault="00B932B8" w:rsidP="00F43F94">
      <w:pPr>
        <w:pStyle w:val="ListParagraph"/>
        <w:spacing w:after="0" w:line="480" w:lineRule="auto"/>
        <w:ind w:left="0"/>
        <w:rPr>
          <w:lang w:val="fr-FR"/>
        </w:rPr>
      </w:pPr>
      <w:r w:rsidRPr="00E60C91">
        <w:rPr>
          <w:lang w:val="fr-FR"/>
        </w:rPr>
        <w:t xml:space="preserve">6. </w:t>
      </w:r>
      <w:r w:rsidR="006C5B8F" w:rsidRPr="00E60C91">
        <w:rPr>
          <w:lang w:val="fr-FR"/>
        </w:rPr>
        <w:t>Centre National de Référence des Staphylocoques, Institut des Agent infectieux, Hôpital de la Croix Rousse, Hospices Civils de Lyon, Lyon, France</w:t>
      </w:r>
    </w:p>
    <w:p w14:paraId="71E8057E" w14:textId="77777777" w:rsidR="006C5B8F" w:rsidRPr="00E62B31" w:rsidRDefault="005E4B53" w:rsidP="00F43F94">
      <w:pPr>
        <w:spacing w:after="0" w:line="480" w:lineRule="auto"/>
      </w:pPr>
      <w:r>
        <w:t xml:space="preserve">7. </w:t>
      </w:r>
      <w:r w:rsidR="006C5B8F" w:rsidRPr="00E62B31">
        <w:t>Department of Public Health, Erasmus MC</w:t>
      </w:r>
      <w:r w:rsidR="00052037">
        <w:t>,</w:t>
      </w:r>
      <w:r w:rsidR="006C5B8F" w:rsidRPr="00E62B31">
        <w:t xml:space="preserve"> University Medical </w:t>
      </w:r>
      <w:proofErr w:type="spellStart"/>
      <w:r w:rsidR="006C5B8F" w:rsidRPr="00E62B31">
        <w:t>Center</w:t>
      </w:r>
      <w:proofErr w:type="spellEnd"/>
      <w:r w:rsidR="006C5B8F" w:rsidRPr="00E62B31">
        <w:t xml:space="preserve"> Rotterdam, Rotterdam, the Netherlands</w:t>
      </w:r>
    </w:p>
    <w:p w14:paraId="6D27A915" w14:textId="77777777" w:rsidR="006C5B8F" w:rsidRDefault="005E4B53" w:rsidP="00F43F94">
      <w:pPr>
        <w:pStyle w:val="ListParagraph"/>
        <w:spacing w:after="0" w:line="480" w:lineRule="auto"/>
        <w:ind w:left="0"/>
      </w:pPr>
      <w:r>
        <w:t xml:space="preserve">8. </w:t>
      </w:r>
      <w:r w:rsidR="006C5B8F" w:rsidRPr="00E62B31">
        <w:t xml:space="preserve">Julius </w:t>
      </w:r>
      <w:proofErr w:type="spellStart"/>
      <w:r w:rsidR="006C5B8F" w:rsidRPr="00E62B31">
        <w:t>Center</w:t>
      </w:r>
      <w:proofErr w:type="spellEnd"/>
      <w:r w:rsidR="006C5B8F" w:rsidRPr="00E62B31">
        <w:t xml:space="preserve"> for Health Sciences and Primary Care, University Medical </w:t>
      </w:r>
      <w:proofErr w:type="spellStart"/>
      <w:r w:rsidR="006C5B8F" w:rsidRPr="00E62B31">
        <w:t>Center</w:t>
      </w:r>
      <w:proofErr w:type="spellEnd"/>
      <w:r w:rsidR="006C5B8F" w:rsidRPr="00E62B31">
        <w:t xml:space="preserve"> Utrecht, Utrecht University, Utrecht, The Netherlands</w:t>
      </w:r>
    </w:p>
    <w:p w14:paraId="258E83A4" w14:textId="3E341A7A" w:rsidR="00763D2B" w:rsidRDefault="00763D2B" w:rsidP="00F43F94">
      <w:pPr>
        <w:pStyle w:val="ListParagraph"/>
        <w:spacing w:after="0" w:line="480" w:lineRule="auto"/>
        <w:ind w:left="0"/>
      </w:pPr>
    </w:p>
    <w:p w14:paraId="6FE884DF" w14:textId="77777777" w:rsidR="001E56D2" w:rsidRDefault="001E56D2" w:rsidP="00F43F94">
      <w:pPr>
        <w:pStyle w:val="ListParagraph"/>
        <w:spacing w:after="0" w:line="480" w:lineRule="auto"/>
        <w:ind w:left="0"/>
      </w:pPr>
    </w:p>
    <w:p w14:paraId="675CEB8A" w14:textId="77777777" w:rsidR="000D1C9E" w:rsidRDefault="000D1C9E" w:rsidP="00F43F94">
      <w:pPr>
        <w:spacing w:after="0" w:line="480" w:lineRule="auto"/>
      </w:pPr>
      <w:r>
        <w:t>*Joint first authors</w:t>
      </w:r>
    </w:p>
    <w:p w14:paraId="72C4F97A" w14:textId="77777777" w:rsidR="000D1C9E" w:rsidRDefault="000D1C9E" w:rsidP="00F43F94">
      <w:pPr>
        <w:spacing w:after="0" w:line="480" w:lineRule="auto"/>
      </w:pPr>
      <w:r>
        <w:t xml:space="preserve">**Joint </w:t>
      </w:r>
      <w:r w:rsidR="00EB124F">
        <w:t>final authors</w:t>
      </w:r>
    </w:p>
    <w:p w14:paraId="09A3B030" w14:textId="53D4B57A" w:rsidR="00EB124F" w:rsidRDefault="009F5ECE" w:rsidP="00F43F94">
      <w:pPr>
        <w:spacing w:after="0" w:line="480" w:lineRule="auto"/>
      </w:pPr>
      <w:r w:rsidRPr="00A13D4C">
        <w:t>#</w:t>
      </w:r>
      <w:r>
        <w:t xml:space="preserve"> </w:t>
      </w:r>
      <w:r w:rsidR="00EB124F">
        <w:t>Co</w:t>
      </w:r>
      <w:r w:rsidR="00120A3C">
        <w:t>rresponding</w:t>
      </w:r>
      <w:r w:rsidR="004A20EE">
        <w:t xml:space="preserve"> </w:t>
      </w:r>
      <w:r w:rsidR="00120A3C">
        <w:t>author</w:t>
      </w:r>
      <w:r w:rsidR="009E2AEB">
        <w:t xml:space="preserve">, </w:t>
      </w:r>
      <w:hyperlink r:id="rId11" w:history="1">
        <w:r w:rsidR="00D350CA" w:rsidRPr="00A420F2">
          <w:rPr>
            <w:rStyle w:val="Hyperlink"/>
          </w:rPr>
          <w:t>jlindsay@sgul.ac.uk</w:t>
        </w:r>
      </w:hyperlink>
      <w:r w:rsidR="00D350CA">
        <w:t>, telephone +44 725 0445</w:t>
      </w:r>
    </w:p>
    <w:p w14:paraId="67AAE672" w14:textId="77777777" w:rsidR="006C5B8F" w:rsidRPr="00E62B31" w:rsidRDefault="006C5B8F" w:rsidP="00F43F94">
      <w:pPr>
        <w:pStyle w:val="ListParagraph"/>
        <w:spacing w:after="0" w:line="480" w:lineRule="auto"/>
      </w:pPr>
    </w:p>
    <w:p w14:paraId="13194505" w14:textId="77777777" w:rsidR="006C5B8F" w:rsidRPr="00E62B31" w:rsidRDefault="006C5B8F" w:rsidP="00F43F94">
      <w:pPr>
        <w:spacing w:after="0" w:line="480" w:lineRule="auto"/>
      </w:pPr>
      <w:r w:rsidRPr="00E62B31">
        <w:br w:type="page"/>
      </w:r>
    </w:p>
    <w:p w14:paraId="4B79839E" w14:textId="77777777" w:rsidR="006C5B8F" w:rsidRPr="00E62B31" w:rsidRDefault="006C5B8F" w:rsidP="00F43F94">
      <w:pPr>
        <w:spacing w:after="0" w:line="480" w:lineRule="auto"/>
        <w:rPr>
          <w:b/>
        </w:rPr>
      </w:pPr>
      <w:r w:rsidRPr="00E62B31">
        <w:rPr>
          <w:b/>
        </w:rPr>
        <w:lastRenderedPageBreak/>
        <w:t>ABSTRACT</w:t>
      </w:r>
    </w:p>
    <w:p w14:paraId="0FBB2416" w14:textId="77777777" w:rsidR="006C5B8F" w:rsidRPr="00E62B31" w:rsidRDefault="006C5B8F" w:rsidP="00F43F94">
      <w:pPr>
        <w:spacing w:after="0" w:line="480" w:lineRule="auto"/>
      </w:pPr>
    </w:p>
    <w:p w14:paraId="196411BF" w14:textId="77777777" w:rsidR="006C5B8F" w:rsidRDefault="00212E8C" w:rsidP="00F43F94">
      <w:pPr>
        <w:spacing w:after="0" w:line="480" w:lineRule="auto"/>
      </w:pPr>
      <w:r>
        <w:t>OBJECTIVES</w:t>
      </w:r>
      <w:r w:rsidR="006C5B8F">
        <w:t xml:space="preserve"> – </w:t>
      </w:r>
      <w:r w:rsidR="006C5B8F" w:rsidRPr="00E62B31">
        <w:t>Methicillin</w:t>
      </w:r>
      <w:r w:rsidR="006C5B8F">
        <w:t>-</w:t>
      </w:r>
      <w:r w:rsidR="006C5B8F" w:rsidRPr="00E62B31">
        <w:t xml:space="preserve">resistant </w:t>
      </w:r>
      <w:r w:rsidR="006C5B8F" w:rsidRPr="00E62B31">
        <w:rPr>
          <w:i/>
          <w:iCs/>
        </w:rPr>
        <w:t>Staphylococcus aureus</w:t>
      </w:r>
      <w:r w:rsidR="006C5B8F" w:rsidRPr="00E62B31">
        <w:t xml:space="preserve"> (MRSA) infections impose a considerable burden on health systems</w:t>
      </w:r>
      <w:r w:rsidR="006C5B8F">
        <w:t>, y</w:t>
      </w:r>
      <w:r w:rsidR="006C5B8F" w:rsidRPr="00E62B31">
        <w:t xml:space="preserve">et there is remarkable variation in the </w:t>
      </w:r>
      <w:r w:rsidR="006C5B8F">
        <w:t>global</w:t>
      </w:r>
      <w:r w:rsidR="006C5B8F" w:rsidRPr="00E62B31">
        <w:t xml:space="preserve"> incidence and epidemiology of MRSA. </w:t>
      </w:r>
      <w:r w:rsidR="006C5B8F">
        <w:t xml:space="preserve">The MACOTRA consortium aimed to identify bacterial markers of epidemic success of MRSA isolates in Europe using a representative </w:t>
      </w:r>
      <w:r w:rsidR="00332D37">
        <w:t xml:space="preserve">MRSA </w:t>
      </w:r>
      <w:r w:rsidR="006C5B8F">
        <w:t xml:space="preserve">collection originating from France, the Netherlands and the United Kingdom. </w:t>
      </w:r>
    </w:p>
    <w:p w14:paraId="2F09973E" w14:textId="36607E87" w:rsidR="006C5B8F" w:rsidRPr="00035547" w:rsidRDefault="006C5B8F" w:rsidP="00F43F94">
      <w:pPr>
        <w:spacing w:after="0" w:line="480" w:lineRule="auto"/>
      </w:pPr>
      <w:r>
        <w:t xml:space="preserve">METHODS – Operational definitions of success were defined in consortium meetings to compose a balanced strain collection of successful and sporadic MRSA isolates. </w:t>
      </w:r>
      <w:r w:rsidR="00A05B32">
        <w:t>I</w:t>
      </w:r>
      <w:r>
        <w:t>solates were subjected to antimicrobial susceptibility testing and whole genome sequencing</w:t>
      </w:r>
      <w:r w:rsidR="00B606E0">
        <w:t>,</w:t>
      </w:r>
      <w:r>
        <w:t xml:space="preserve"> genes were identified and phylogenetic trees constructed. </w:t>
      </w:r>
      <w:r w:rsidR="00A05B32">
        <w:t>M</w:t>
      </w:r>
      <w:r w:rsidR="0010279F">
        <w:t xml:space="preserve">arkers </w:t>
      </w:r>
      <w:r w:rsidR="00A05B32">
        <w:t xml:space="preserve">of epidemiological success </w:t>
      </w:r>
      <w:r w:rsidR="0010279F">
        <w:t xml:space="preserve">were identified </w:t>
      </w:r>
      <w:r w:rsidR="00A05B32">
        <w:t xml:space="preserve">using genome-based </w:t>
      </w:r>
      <w:r w:rsidR="0010279F">
        <w:t>t</w:t>
      </w:r>
      <w:r>
        <w:t>ime-scaled haplo</w:t>
      </w:r>
      <w:r w:rsidR="00A05B32">
        <w:t xml:space="preserve">typic </w:t>
      </w:r>
      <w:r>
        <w:t xml:space="preserve">density (THD) analysis and linear </w:t>
      </w:r>
      <w:r w:rsidRPr="00035547">
        <w:t>regression.</w:t>
      </w:r>
      <w:r>
        <w:t xml:space="preserve"> Antimicrobial usage data from ESAC-Net </w:t>
      </w:r>
      <w:r w:rsidR="0010279F">
        <w:t xml:space="preserve">was </w:t>
      </w:r>
      <w:r>
        <w:t>compared to</w:t>
      </w:r>
      <w:r w:rsidR="00370316">
        <w:t xml:space="preserve"> national</w:t>
      </w:r>
      <w:r>
        <w:t xml:space="preserve"> MRSA incidence data.</w:t>
      </w:r>
    </w:p>
    <w:p w14:paraId="1DFBEA9C" w14:textId="7864B1D3" w:rsidR="006C5B8F" w:rsidRPr="00035547" w:rsidRDefault="006C5B8F" w:rsidP="00F43F94">
      <w:pPr>
        <w:spacing w:after="0" w:line="480" w:lineRule="auto"/>
      </w:pPr>
      <w:r w:rsidRPr="00ED05FD">
        <w:t>RESULTS - Heterogeneity</w:t>
      </w:r>
      <w:r w:rsidRPr="00035547">
        <w:t xml:space="preserve"> of MRSA isolate collections </w:t>
      </w:r>
      <w:r w:rsidR="00A05B32">
        <w:t xml:space="preserve">across countries </w:t>
      </w:r>
      <w:r w:rsidRPr="00035547">
        <w:t>hampered the use of a unified operational definition of success</w:t>
      </w:r>
      <w:r w:rsidR="0010279F">
        <w:t>,</w:t>
      </w:r>
      <w:r w:rsidRPr="00035547">
        <w:t xml:space="preserve"> </w:t>
      </w:r>
      <w:r w:rsidR="0010279F">
        <w:t>so</w:t>
      </w:r>
      <w:r w:rsidR="0010279F" w:rsidRPr="00035547">
        <w:t xml:space="preserve"> </w:t>
      </w:r>
      <w:r w:rsidRPr="00035547">
        <w:t>country-specific approaches were used to establish the MACOTRA strain collection. Phenotypic antimicrobial resistance varied within related MRSA populations</w:t>
      </w:r>
      <w:r>
        <w:t xml:space="preserve"> and across countries</w:t>
      </w:r>
      <w:r w:rsidRPr="00035547">
        <w:t xml:space="preserve">. </w:t>
      </w:r>
      <w:r w:rsidR="00A05B32">
        <w:t>In THD analysis, f</w:t>
      </w:r>
      <w:r w:rsidRPr="00035547">
        <w:t>luoroquinolone</w:t>
      </w:r>
      <w:r w:rsidR="003F102E">
        <w:t>,</w:t>
      </w:r>
      <w:r w:rsidRPr="00035547">
        <w:t xml:space="preserve"> </w:t>
      </w:r>
      <w:r w:rsidR="00F03585">
        <w:t>macrolide</w:t>
      </w:r>
      <w:r w:rsidR="003F102E" w:rsidRPr="00035547">
        <w:t xml:space="preserve"> </w:t>
      </w:r>
      <w:r w:rsidR="002010CC">
        <w:t xml:space="preserve">and mupirocin </w:t>
      </w:r>
      <w:r w:rsidRPr="00035547">
        <w:t>resistance w</w:t>
      </w:r>
      <w:r w:rsidR="00581F5D">
        <w:t>ere</w:t>
      </w:r>
      <w:r w:rsidRPr="00035547">
        <w:t xml:space="preserve"> associated with MRSA success, while </w:t>
      </w:r>
      <w:r w:rsidR="001A5DAD">
        <w:t xml:space="preserve">gentamicin, </w:t>
      </w:r>
      <w:r w:rsidR="00245F48">
        <w:t xml:space="preserve">rifampicin </w:t>
      </w:r>
      <w:r w:rsidR="00703E72">
        <w:t xml:space="preserve">and </w:t>
      </w:r>
      <w:r w:rsidR="003F102E">
        <w:t>t</w:t>
      </w:r>
      <w:r w:rsidR="001A5DAD">
        <w:t>rimethoprim</w:t>
      </w:r>
      <w:r w:rsidR="003F102E" w:rsidRPr="00035547">
        <w:t xml:space="preserve"> </w:t>
      </w:r>
      <w:r w:rsidRPr="00035547">
        <w:t xml:space="preserve">resistance </w:t>
      </w:r>
      <w:r w:rsidR="0010279F" w:rsidRPr="00035547">
        <w:t>w</w:t>
      </w:r>
      <w:r w:rsidR="00581F5D">
        <w:t>ere</w:t>
      </w:r>
      <w:r w:rsidRPr="00035547">
        <w:t xml:space="preserve"> associated with sporadicity. Usage of </w:t>
      </w:r>
      <w:r w:rsidR="00932297">
        <w:t xml:space="preserve">antimicrobials across 29 European countries </w:t>
      </w:r>
      <w:r w:rsidR="00473AC2">
        <w:t xml:space="preserve">varied substantially, and </w:t>
      </w:r>
      <w:r w:rsidR="00E60C91">
        <w:t>beta-lactam,</w:t>
      </w:r>
      <w:r>
        <w:t xml:space="preserve"> fluoroquinolone</w:t>
      </w:r>
      <w:r w:rsidR="00473AC2">
        <w:t>,</w:t>
      </w:r>
      <w:r>
        <w:t xml:space="preserve"> macrolide </w:t>
      </w:r>
      <w:r w:rsidR="00473AC2">
        <w:t>and aminoglycoside use</w:t>
      </w:r>
      <w:r w:rsidRPr="00035547">
        <w:t xml:space="preserve"> correlated with MRSA incidence.</w:t>
      </w:r>
    </w:p>
    <w:p w14:paraId="06C224E5" w14:textId="1A24A9AF" w:rsidR="0040543E" w:rsidRPr="00DF4755" w:rsidRDefault="006C5B8F" w:rsidP="00F43F94">
      <w:pPr>
        <w:spacing w:after="0" w:line="480" w:lineRule="auto"/>
      </w:pPr>
      <w:r w:rsidRPr="00035547">
        <w:t>CONCLUSION</w:t>
      </w:r>
      <w:r w:rsidR="00B715B2">
        <w:t>S</w:t>
      </w:r>
      <w:r w:rsidRPr="00035547">
        <w:t xml:space="preserve"> </w:t>
      </w:r>
      <w:r w:rsidR="00332D37">
        <w:t xml:space="preserve">- </w:t>
      </w:r>
      <w:r w:rsidRPr="00035547">
        <w:t xml:space="preserve">Our results are the strongest yet to associate </w:t>
      </w:r>
      <w:r w:rsidR="00C238E9">
        <w:t xml:space="preserve">MRSA </w:t>
      </w:r>
      <w:r w:rsidR="00581F5D">
        <w:t xml:space="preserve">antibiotic </w:t>
      </w:r>
      <w:r w:rsidRPr="00035547">
        <w:t xml:space="preserve">resistance </w:t>
      </w:r>
      <w:r w:rsidR="00DF7CA3">
        <w:t xml:space="preserve">profiles </w:t>
      </w:r>
      <w:r w:rsidR="00470EDF">
        <w:t xml:space="preserve">and antibiotic usage </w:t>
      </w:r>
      <w:r w:rsidRPr="00035547">
        <w:t>to incidence of infection and successful clonal spread, which varie</w:t>
      </w:r>
      <w:r>
        <w:t>d</w:t>
      </w:r>
      <w:r w:rsidRPr="00035547">
        <w:t xml:space="preserve"> by country. Harmonized isolate collection, typing, </w:t>
      </w:r>
      <w:r w:rsidR="00581F5D">
        <w:t>resistance</w:t>
      </w:r>
      <w:r w:rsidR="00581F5D" w:rsidRPr="00035547">
        <w:t xml:space="preserve"> </w:t>
      </w:r>
      <w:r w:rsidR="006D228D">
        <w:t>profilin</w:t>
      </w:r>
      <w:r w:rsidR="00D33D90">
        <w:t>g</w:t>
      </w:r>
      <w:r w:rsidRPr="00035547">
        <w:t xml:space="preserve"> and </w:t>
      </w:r>
      <w:r w:rsidR="00EB2EF0">
        <w:t>align</w:t>
      </w:r>
      <w:r w:rsidR="00D33D90">
        <w:t>ment</w:t>
      </w:r>
      <w:r w:rsidR="00EB2EF0">
        <w:t xml:space="preserve"> with</w:t>
      </w:r>
      <w:r w:rsidRPr="00035547">
        <w:t xml:space="preserve"> </w:t>
      </w:r>
      <w:r>
        <w:t xml:space="preserve">antimicrobial usage over time </w:t>
      </w:r>
      <w:r w:rsidRPr="00035547">
        <w:t>will aid comparisons and further support country-specific interventions to reduce MRSA burden.</w:t>
      </w:r>
      <w:r>
        <w:t xml:space="preserve">  </w:t>
      </w:r>
      <w:r w:rsidRPr="00E62B31">
        <w:rPr>
          <w:b/>
        </w:rPr>
        <w:br w:type="page"/>
      </w:r>
    </w:p>
    <w:p w14:paraId="610E076F" w14:textId="77777777" w:rsidR="00F01230" w:rsidRPr="00ED05FD" w:rsidRDefault="00F01230" w:rsidP="00F43F94">
      <w:pPr>
        <w:spacing w:after="0" w:line="480" w:lineRule="auto"/>
        <w:rPr>
          <w:b/>
        </w:rPr>
      </w:pPr>
      <w:r w:rsidRPr="00E62B31">
        <w:rPr>
          <w:b/>
        </w:rPr>
        <w:lastRenderedPageBreak/>
        <w:t>INTRODUCTION</w:t>
      </w:r>
    </w:p>
    <w:p w14:paraId="72400789" w14:textId="19C6A635" w:rsidR="00F01230" w:rsidRPr="00E62B31" w:rsidRDefault="00F01230" w:rsidP="00F43F94">
      <w:pPr>
        <w:spacing w:after="0" w:line="480" w:lineRule="auto"/>
      </w:pPr>
      <w:r w:rsidRPr="00E62B31">
        <w:t>Antimicrobial resistance</w:t>
      </w:r>
      <w:r w:rsidR="00C10F71">
        <w:t xml:space="preserve"> (AMR)</w:t>
      </w:r>
      <w:r w:rsidRPr="00E62B31">
        <w:t xml:space="preserve"> is considered to be the greatest threat to the future of modern medicine, and</w:t>
      </w:r>
      <w:r w:rsidR="003E7034">
        <w:t xml:space="preserve"> </w:t>
      </w:r>
      <w:r w:rsidRPr="00E62B31">
        <w:t xml:space="preserve">MRSA is </w:t>
      </w:r>
      <w:r w:rsidR="007B5387">
        <w:t xml:space="preserve">estimated to be </w:t>
      </w:r>
      <w:r>
        <w:t>the most common cause of AMR</w:t>
      </w:r>
      <w:r w:rsidR="0056286C">
        <w:t xml:space="preserve"> associated</w:t>
      </w:r>
      <w:r>
        <w:t xml:space="preserve"> death</w:t>
      </w:r>
      <w:r w:rsidR="007B5387">
        <w:t>s</w:t>
      </w:r>
      <w:r>
        <w:t xml:space="preserve"> globally and second in Europe </w:t>
      </w:r>
      <w:r w:rsidR="0010279F" w:rsidRPr="0010279F">
        <w:rPr>
          <w:noProof/>
        </w:rPr>
        <w:t>[1,2]</w:t>
      </w:r>
      <w:r w:rsidRPr="00E62B31">
        <w:t xml:space="preserve">. </w:t>
      </w:r>
      <w:r w:rsidR="00932CA3" w:rsidRPr="00E60C91">
        <w:t>MRSA</w:t>
      </w:r>
      <w:r w:rsidRPr="00E62B31">
        <w:t xml:space="preserve"> </w:t>
      </w:r>
      <w:r>
        <w:t>c</w:t>
      </w:r>
      <w:r w:rsidRPr="00E62B31">
        <w:t xml:space="preserve">arriage is a risk factor for subsequent infection </w:t>
      </w:r>
      <w:r w:rsidR="0010279F" w:rsidRPr="00B07BBF">
        <w:rPr>
          <w:noProof/>
        </w:rPr>
        <w:t>[3–5]</w:t>
      </w:r>
      <w:r w:rsidRPr="00B07BBF">
        <w:t xml:space="preserve">. </w:t>
      </w:r>
      <w:r w:rsidRPr="00E62B31">
        <w:t xml:space="preserve">MRSA </w:t>
      </w:r>
      <w:r w:rsidR="00371F8F">
        <w:t>are</w:t>
      </w:r>
      <w:r w:rsidR="00932CA3" w:rsidRPr="00E62B31">
        <w:t xml:space="preserve"> </w:t>
      </w:r>
      <w:r w:rsidRPr="00E62B31">
        <w:t>resistan</w:t>
      </w:r>
      <w:r w:rsidR="007F282C">
        <w:t>t</w:t>
      </w:r>
      <w:r w:rsidRPr="00E62B31">
        <w:t xml:space="preserve"> to virtually the full spectrum of </w:t>
      </w:r>
      <w:r w:rsidR="005712AE">
        <w:t>beta</w:t>
      </w:r>
      <w:r w:rsidRPr="00E62B31">
        <w:t>-lactam antimicrobials</w:t>
      </w:r>
      <w:r>
        <w:t xml:space="preserve"> due to t</w:t>
      </w:r>
      <w:r w:rsidRPr="00E62B31">
        <w:t xml:space="preserve">he </w:t>
      </w:r>
      <w:proofErr w:type="spellStart"/>
      <w:r w:rsidRPr="00E62B31">
        <w:rPr>
          <w:i/>
        </w:rPr>
        <w:t>mecA</w:t>
      </w:r>
      <w:proofErr w:type="spellEnd"/>
      <w:r w:rsidRPr="00E62B31">
        <w:t xml:space="preserve"> carrying </w:t>
      </w:r>
      <w:proofErr w:type="spellStart"/>
      <w:r w:rsidRPr="00E62B31">
        <w:t>SCC</w:t>
      </w:r>
      <w:r w:rsidRPr="00A13D4C">
        <w:rPr>
          <w:i/>
          <w:iCs/>
        </w:rPr>
        <w:t>mec</w:t>
      </w:r>
      <w:proofErr w:type="spellEnd"/>
      <w:r w:rsidRPr="00E62B31">
        <w:t xml:space="preserve"> mobile element</w:t>
      </w:r>
      <w:r>
        <w:t xml:space="preserve"> acquired</w:t>
      </w:r>
      <w:r w:rsidRPr="00E62B31">
        <w:t xml:space="preserve"> on multiple occasions into different </w:t>
      </w:r>
      <w:r w:rsidRPr="00E62B31">
        <w:rPr>
          <w:i/>
          <w:iCs/>
        </w:rPr>
        <w:t>S. aureus</w:t>
      </w:r>
      <w:r w:rsidRPr="00E62B31">
        <w:t xml:space="preserve"> genetic lineages, resulting in a range of different MRSA clones. Approximately a dozen clones</w:t>
      </w:r>
      <w:r w:rsidR="000E2FE1">
        <w:t>,</w:t>
      </w:r>
      <w:r w:rsidR="00C873A0">
        <w:t xml:space="preserve"> often</w:t>
      </w:r>
      <w:r w:rsidR="000E2FE1">
        <w:t xml:space="preserve"> discriminated by their</w:t>
      </w:r>
      <w:r w:rsidRPr="00E62B31">
        <w:t xml:space="preserve"> </w:t>
      </w:r>
      <w:r w:rsidR="00C873A0">
        <w:t xml:space="preserve">different </w:t>
      </w:r>
      <w:r w:rsidRPr="00E62B31">
        <w:t>lineage (</w:t>
      </w:r>
      <w:r w:rsidR="00A0703E">
        <w:t>also called</w:t>
      </w:r>
      <w:r w:rsidRPr="00E62B31">
        <w:t xml:space="preserve"> clonal cluster (CC)) dominate the MRSA population globally</w:t>
      </w:r>
      <w:r w:rsidR="00A0703E">
        <w:t>.</w:t>
      </w:r>
      <w:r w:rsidRPr="00E62B31">
        <w:t xml:space="preserve"> </w:t>
      </w:r>
      <w:r w:rsidR="00A0703E">
        <w:t>T</w:t>
      </w:r>
      <w:r w:rsidRPr="00E62B31">
        <w:t xml:space="preserve">he dominant clone </w:t>
      </w:r>
      <w:r>
        <w:t>may</w:t>
      </w:r>
      <w:r w:rsidRPr="00E62B31">
        <w:t xml:space="preserve"> differ</w:t>
      </w:r>
      <w:r w:rsidR="00A0703E" w:rsidRPr="00A0703E">
        <w:t xml:space="preserve"> </w:t>
      </w:r>
      <w:r w:rsidR="00A0703E" w:rsidRPr="00E62B31">
        <w:t>in different geographic settings</w:t>
      </w:r>
      <w:r w:rsidRPr="00E62B31">
        <w:t xml:space="preserve">, and may even change over time </w:t>
      </w:r>
      <w:r w:rsidR="0056286C" w:rsidRPr="00B07BBF">
        <w:rPr>
          <w:noProof/>
        </w:rPr>
        <w:t>[4,6,7]</w:t>
      </w:r>
      <w:r w:rsidRPr="00B07BBF">
        <w:t xml:space="preserve">. </w:t>
      </w:r>
      <w:r w:rsidR="00A95C41">
        <w:t xml:space="preserve">Resistance to almost all </w:t>
      </w:r>
      <w:r w:rsidR="00D37575">
        <w:t xml:space="preserve">classes of antimicrobials can be found in MRSA, although fully drug-resistant isolates are rare. </w:t>
      </w:r>
      <w:r w:rsidRPr="00E62B31">
        <w:t xml:space="preserve">Furthermore, the incidence of </w:t>
      </w:r>
      <w:r w:rsidR="00CA40E1">
        <w:t xml:space="preserve">MRSA </w:t>
      </w:r>
      <w:r w:rsidRPr="00E62B31">
        <w:t>infection can vary widely between countries</w:t>
      </w:r>
      <w:r w:rsidR="00932CA3">
        <w:t>, but t</w:t>
      </w:r>
      <w:r w:rsidRPr="00E62B31">
        <w:t xml:space="preserve">he reasons for these geographical differences are </w:t>
      </w:r>
      <w:r w:rsidR="00CC66FA">
        <w:t>poorly understood</w:t>
      </w:r>
      <w:r w:rsidRPr="00E62B31">
        <w:t xml:space="preserve">. </w:t>
      </w:r>
    </w:p>
    <w:p w14:paraId="1D6E0749" w14:textId="77777777" w:rsidR="00F01230" w:rsidRDefault="00F01230" w:rsidP="00F43F94">
      <w:pPr>
        <w:spacing w:after="0" w:line="480" w:lineRule="auto"/>
      </w:pPr>
      <w:r w:rsidRPr="00035547">
        <w:t>Each country has developed distinct strategies for collecting, testing, typing and reporting of MRSA isolates</w:t>
      </w:r>
      <w:r w:rsidR="0056286C">
        <w:t xml:space="preserve"> </w:t>
      </w:r>
      <w:r w:rsidR="0056286C" w:rsidRPr="0056286C">
        <w:rPr>
          <w:noProof/>
        </w:rPr>
        <w:t>[8]</w:t>
      </w:r>
      <w:r w:rsidRPr="00035547">
        <w:t xml:space="preserve">. </w:t>
      </w:r>
      <w:r w:rsidR="00CC66FA" w:rsidRPr="00035547">
        <w:t>Th</w:t>
      </w:r>
      <w:r w:rsidR="00CC66FA">
        <w:t>is</w:t>
      </w:r>
      <w:r w:rsidR="00CC66FA" w:rsidRPr="00035547">
        <w:t xml:space="preserve"> </w:t>
      </w:r>
      <w:r w:rsidRPr="00035547">
        <w:t xml:space="preserve">variation in approaches obstructs </w:t>
      </w:r>
      <w:r w:rsidR="002C073D">
        <w:t xml:space="preserve">comparisons and </w:t>
      </w:r>
      <w:r w:rsidR="00FD5E1B">
        <w:t xml:space="preserve">proper </w:t>
      </w:r>
      <w:r w:rsidR="002C073D">
        <w:t>aggregation of data and therefore</w:t>
      </w:r>
      <w:r w:rsidR="002C073D" w:rsidRPr="00035547">
        <w:t xml:space="preserve"> </w:t>
      </w:r>
      <w:r w:rsidRPr="00035547">
        <w:t xml:space="preserve">thorough epidemiological analysis on an international level and could potentially hide </w:t>
      </w:r>
      <w:r w:rsidR="00DD7E17">
        <w:t>or over</w:t>
      </w:r>
      <w:r w:rsidR="00DD7E17" w:rsidRPr="00B07BBF">
        <w:t>-</w:t>
      </w:r>
      <w:r w:rsidR="00DD7E17">
        <w:t xml:space="preserve">estimate </w:t>
      </w:r>
      <w:r w:rsidRPr="00035547">
        <w:t xml:space="preserve">common markers of successful clones across geographic settings. The implementation of whole genome sequencing </w:t>
      </w:r>
      <w:r w:rsidR="00A1244A">
        <w:t>analysis</w:t>
      </w:r>
      <w:r w:rsidRPr="00035547">
        <w:t xml:space="preserve"> can aid international data comparison and can be used to search for genotypic markers of successful isolates.</w:t>
      </w:r>
    </w:p>
    <w:p w14:paraId="211A4061" w14:textId="36D203D7" w:rsidR="00F01230" w:rsidRPr="00E62B31" w:rsidRDefault="00F01230" w:rsidP="00F43F94">
      <w:pPr>
        <w:spacing w:after="0" w:line="480" w:lineRule="auto"/>
      </w:pPr>
      <w:r>
        <w:t>France</w:t>
      </w:r>
      <w:r w:rsidR="0006178A">
        <w:t>, the UK</w:t>
      </w:r>
      <w:r>
        <w:t xml:space="preserve"> and </w:t>
      </w:r>
      <w:r w:rsidR="00A0703E">
        <w:t xml:space="preserve">the </w:t>
      </w:r>
      <w:r>
        <w:t>Netherlands represent countries with very differing incidences of MRSA infection</w:t>
      </w:r>
      <w:r w:rsidR="00CA751E">
        <w:t xml:space="preserve">, </w:t>
      </w:r>
      <w:r w:rsidR="0006178A">
        <w:t xml:space="preserve">recently </w:t>
      </w:r>
      <w:r w:rsidR="000B5BA6" w:rsidRPr="00E62B31">
        <w:rPr>
          <w:rFonts w:asciiTheme="minorHAnsi" w:hAnsiTheme="minorHAnsi"/>
        </w:rPr>
        <w:t xml:space="preserve">estimated </w:t>
      </w:r>
      <w:r w:rsidR="0006178A">
        <w:rPr>
          <w:rFonts w:asciiTheme="minorHAnsi" w:hAnsiTheme="minorHAnsi"/>
        </w:rPr>
        <w:t xml:space="preserve">at 48.13, 10.65 and 1.47 </w:t>
      </w:r>
      <w:r w:rsidR="00CA751E">
        <w:rPr>
          <w:rFonts w:asciiTheme="minorHAnsi" w:hAnsiTheme="minorHAnsi"/>
        </w:rPr>
        <w:t xml:space="preserve">per 100 000 population, </w:t>
      </w:r>
      <w:r w:rsidR="0006178A">
        <w:rPr>
          <w:rFonts w:asciiTheme="minorHAnsi" w:hAnsiTheme="minorHAnsi"/>
        </w:rPr>
        <w:t>respectively [2].</w:t>
      </w:r>
      <w:r w:rsidR="000B5BA6" w:rsidRPr="00E62B31">
        <w:rPr>
          <w:rFonts w:asciiTheme="minorHAnsi" w:hAnsiTheme="minorHAnsi"/>
        </w:rPr>
        <w:t xml:space="preserve"> </w:t>
      </w:r>
      <w:r w:rsidR="006A11B6">
        <w:rPr>
          <w:rFonts w:asciiTheme="minorHAnsi" w:hAnsiTheme="minorHAnsi"/>
        </w:rPr>
        <w:t xml:space="preserve">Each country is </w:t>
      </w:r>
      <w:r>
        <w:t>dominated by different clones</w:t>
      </w:r>
      <w:r w:rsidR="0056286C">
        <w:t xml:space="preserve"> </w:t>
      </w:r>
      <w:r w:rsidR="0056286C" w:rsidRPr="00B07BBF">
        <w:rPr>
          <w:noProof/>
        </w:rPr>
        <w:t>[9–11]</w:t>
      </w:r>
      <w:r w:rsidR="00EF7EB4">
        <w:rPr>
          <w:noProof/>
        </w:rPr>
        <w:t xml:space="preserve">, </w:t>
      </w:r>
      <w:r w:rsidR="008F149B">
        <w:rPr>
          <w:noProof/>
        </w:rPr>
        <w:t>with community isolates rare in the UK, and livestock isolates more prevalent in the Netherlands</w:t>
      </w:r>
      <w:r w:rsidR="00932CA3">
        <w:t xml:space="preserve">. </w:t>
      </w:r>
      <w:r>
        <w:t xml:space="preserve">Here we used two approaches to identify epidemiologically successful isolates in each country and searched for genetic and AMR biomarkers of success. Further analysis of resistance markers revealed associations between the usage of </w:t>
      </w:r>
      <w:r w:rsidR="00A0703E">
        <w:t xml:space="preserve">specific </w:t>
      </w:r>
      <w:r>
        <w:t xml:space="preserve">antimicrobial classes and MRSA incidence across </w:t>
      </w:r>
      <w:r w:rsidR="000F596F">
        <w:t xml:space="preserve">29 </w:t>
      </w:r>
      <w:r>
        <w:t xml:space="preserve">European countries, identifying potential targets for stewardship interventions. </w:t>
      </w:r>
    </w:p>
    <w:p w14:paraId="0724A04F" w14:textId="77777777" w:rsidR="00636D06" w:rsidRDefault="00636D06" w:rsidP="00F43F94">
      <w:pPr>
        <w:spacing w:after="0" w:line="480" w:lineRule="auto"/>
        <w:rPr>
          <w:b/>
        </w:rPr>
      </w:pPr>
      <w:r w:rsidRPr="008365D5">
        <w:rPr>
          <w:b/>
        </w:rPr>
        <w:lastRenderedPageBreak/>
        <w:t xml:space="preserve">METHODS </w:t>
      </w:r>
    </w:p>
    <w:p w14:paraId="2326ACB9" w14:textId="77777777" w:rsidR="009936CE" w:rsidRPr="009936CE" w:rsidRDefault="009936CE" w:rsidP="00F43F94">
      <w:pPr>
        <w:spacing w:after="0" w:line="480" w:lineRule="auto"/>
        <w:rPr>
          <w:bCs/>
        </w:rPr>
      </w:pPr>
      <w:r w:rsidRPr="009936CE">
        <w:rPr>
          <w:bCs/>
        </w:rPr>
        <w:t xml:space="preserve">Full </w:t>
      </w:r>
      <w:r>
        <w:rPr>
          <w:bCs/>
        </w:rPr>
        <w:t xml:space="preserve">details are in the Supplementary </w:t>
      </w:r>
      <w:r w:rsidR="00AD023A">
        <w:rPr>
          <w:bCs/>
        </w:rPr>
        <w:t xml:space="preserve">Methods </w:t>
      </w:r>
      <w:r>
        <w:rPr>
          <w:bCs/>
        </w:rPr>
        <w:t>section.</w:t>
      </w:r>
    </w:p>
    <w:p w14:paraId="1DBD0DA0" w14:textId="77777777" w:rsidR="00636D06" w:rsidRPr="008365D5" w:rsidRDefault="00636D06" w:rsidP="00F43F94">
      <w:pPr>
        <w:spacing w:after="0" w:line="480" w:lineRule="auto"/>
        <w:rPr>
          <w:b/>
          <w:i/>
        </w:rPr>
      </w:pPr>
      <w:r w:rsidRPr="008365D5">
        <w:rPr>
          <w:b/>
          <w:i/>
        </w:rPr>
        <w:t xml:space="preserve">Operational definition and collection of </w:t>
      </w:r>
      <w:r>
        <w:rPr>
          <w:b/>
          <w:i/>
        </w:rPr>
        <w:t xml:space="preserve">successful </w:t>
      </w:r>
      <w:r w:rsidRPr="008365D5">
        <w:rPr>
          <w:b/>
          <w:i/>
        </w:rPr>
        <w:t>and sporadic (unsuccessful) isolates</w:t>
      </w:r>
    </w:p>
    <w:p w14:paraId="78C0737C" w14:textId="31EA24AD" w:rsidR="00636D06" w:rsidRPr="009936CE" w:rsidRDefault="00636D06" w:rsidP="00F43F94">
      <w:pPr>
        <w:spacing w:after="0" w:line="480" w:lineRule="auto"/>
      </w:pPr>
      <w:r w:rsidRPr="008365D5">
        <w:t xml:space="preserve">Collaborators from each country, </w:t>
      </w:r>
      <w:r>
        <w:t xml:space="preserve">France, the Netherlands and the </w:t>
      </w:r>
      <w:r w:rsidRPr="008365D5">
        <w:t>UK</w:t>
      </w:r>
      <w:r w:rsidR="0040242F">
        <w:t xml:space="preserve"> in the MACOTRA consortium (</w:t>
      </w:r>
      <w:r w:rsidR="0040242F" w:rsidRPr="00D52CD6">
        <w:rPr>
          <w:rFonts w:cs="Calibri"/>
        </w:rPr>
        <w:t>Combating MRSA; increasing our understanding of transmission success will lead to better control of MRSA)</w:t>
      </w:r>
      <w:r w:rsidRPr="008365D5">
        <w:t xml:space="preserve">, </w:t>
      </w:r>
      <w:r>
        <w:t>identif</w:t>
      </w:r>
      <w:r w:rsidR="003C4164">
        <w:t>ied</w:t>
      </w:r>
      <w:r w:rsidRPr="008365D5">
        <w:t xml:space="preserve"> their country</w:t>
      </w:r>
      <w:r>
        <w:t>-</w:t>
      </w:r>
      <w:r w:rsidRPr="008365D5">
        <w:t xml:space="preserve">specific epidemiological characteristics of </w:t>
      </w:r>
      <w:r w:rsidR="000F596F">
        <w:t xml:space="preserve">MRSA </w:t>
      </w:r>
      <w:r w:rsidRPr="008365D5">
        <w:t xml:space="preserve">success over time, which included incidence of infection </w:t>
      </w:r>
      <w:r w:rsidR="00FC691B">
        <w:t xml:space="preserve">and </w:t>
      </w:r>
      <w:r w:rsidRPr="008365D5">
        <w:t xml:space="preserve">local typing methods. Where common criteria across countries could be identified this was used. </w:t>
      </w:r>
      <w:r w:rsidR="0040242F">
        <w:t xml:space="preserve"> The success selection criteria </w:t>
      </w:r>
      <w:r w:rsidR="00E1460C">
        <w:t>were</w:t>
      </w:r>
      <w:r w:rsidR="0040242F">
        <w:t xml:space="preserve"> </w:t>
      </w:r>
      <w:r w:rsidR="002D42D3">
        <w:t xml:space="preserve">designed to </w:t>
      </w:r>
      <w:r w:rsidR="0040242F">
        <w:t>not</w:t>
      </w:r>
      <w:r w:rsidR="002D42D3">
        <w:t xml:space="preserve"> be</w:t>
      </w:r>
      <w:r w:rsidR="0040242F">
        <w:t xml:space="preserve"> biased by lineage, antimicrobial resistance profile or any other </w:t>
      </w:r>
      <w:r w:rsidR="002B0681">
        <w:t>bio</w:t>
      </w:r>
      <w:r w:rsidR="0040242F">
        <w:t>marker.</w:t>
      </w:r>
    </w:p>
    <w:p w14:paraId="0A1B5D60" w14:textId="77777777" w:rsidR="00636D06" w:rsidRPr="008365D5" w:rsidRDefault="00636D06" w:rsidP="00F43F94">
      <w:pPr>
        <w:spacing w:after="0" w:line="480" w:lineRule="auto"/>
        <w:rPr>
          <w:b/>
          <w:i/>
        </w:rPr>
      </w:pPr>
      <w:r w:rsidRPr="008365D5">
        <w:rPr>
          <w:b/>
          <w:i/>
        </w:rPr>
        <w:t>Whole genome sequencing and epidemiological clustering</w:t>
      </w:r>
    </w:p>
    <w:p w14:paraId="56D9F321" w14:textId="7E8DC4F4" w:rsidR="00636D06" w:rsidRPr="00686A7A" w:rsidRDefault="00636D06" w:rsidP="00F43F94">
      <w:pPr>
        <w:spacing w:after="0" w:line="480" w:lineRule="auto"/>
      </w:pPr>
      <w:r w:rsidRPr="008365D5">
        <w:rPr>
          <w:rStyle w:val="normaltextrun"/>
          <w:color w:val="000000"/>
        </w:rPr>
        <w:t>Whole genome sequencing us</w:t>
      </w:r>
      <w:r w:rsidR="00EE090A">
        <w:rPr>
          <w:rStyle w:val="normaltextrun"/>
          <w:color w:val="000000"/>
        </w:rPr>
        <w:t>ed</w:t>
      </w:r>
      <w:r w:rsidRPr="008365D5">
        <w:rPr>
          <w:rStyle w:val="normaltextrun"/>
          <w:color w:val="000000"/>
        </w:rPr>
        <w:t xml:space="preserve"> the Illumina </w:t>
      </w:r>
      <w:proofErr w:type="spellStart"/>
      <w:r w:rsidRPr="008365D5">
        <w:rPr>
          <w:rStyle w:val="normaltextrun"/>
          <w:color w:val="000000"/>
        </w:rPr>
        <w:t>MiSeq</w:t>
      </w:r>
      <w:proofErr w:type="spellEnd"/>
      <w:r w:rsidRPr="008365D5">
        <w:rPr>
          <w:rStyle w:val="normaltextrun"/>
          <w:color w:val="000000"/>
        </w:rPr>
        <w:t xml:space="preserve"> platform. Sequence reads were aligned to reference genomes (</w:t>
      </w:r>
      <w:proofErr w:type="spellStart"/>
      <w:r w:rsidRPr="008365D5">
        <w:rPr>
          <w:rStyle w:val="normaltextrun"/>
          <w:color w:val="000000"/>
        </w:rPr>
        <w:t>RefSeq</w:t>
      </w:r>
      <w:proofErr w:type="spellEnd"/>
      <w:r w:rsidRPr="008365D5">
        <w:rPr>
          <w:rStyle w:val="normaltextrun"/>
          <w:color w:val="000000"/>
        </w:rPr>
        <w:t xml:space="preserve"> NC_002952</w:t>
      </w:r>
      <w:r w:rsidR="0099650D">
        <w:rPr>
          <w:rStyle w:val="normaltextrun"/>
          <w:color w:val="000000"/>
        </w:rPr>
        <w:t xml:space="preserve"> (CC30)</w:t>
      </w:r>
      <w:r w:rsidRPr="008365D5">
        <w:rPr>
          <w:rStyle w:val="normaltextrun"/>
          <w:color w:val="000000"/>
        </w:rPr>
        <w:t>, NC_017763</w:t>
      </w:r>
      <w:r w:rsidR="0099650D">
        <w:rPr>
          <w:rStyle w:val="normaltextrun"/>
          <w:color w:val="000000"/>
        </w:rPr>
        <w:t xml:space="preserve"> (CC22)</w:t>
      </w:r>
      <w:r w:rsidRPr="008365D5">
        <w:rPr>
          <w:rStyle w:val="normaltextrun"/>
          <w:color w:val="000000"/>
        </w:rPr>
        <w:t>, NC_002745</w:t>
      </w:r>
      <w:r w:rsidR="0099650D">
        <w:rPr>
          <w:rStyle w:val="normaltextrun"/>
          <w:color w:val="000000"/>
        </w:rPr>
        <w:t xml:space="preserve"> (CC5)</w:t>
      </w:r>
      <w:r w:rsidRPr="008365D5">
        <w:rPr>
          <w:rStyle w:val="normaltextrun"/>
          <w:color w:val="000000"/>
        </w:rPr>
        <w:t>)</w:t>
      </w:r>
      <w:r w:rsidRPr="008365D5">
        <w:rPr>
          <w:rFonts w:eastAsia="Arial"/>
        </w:rPr>
        <w:t xml:space="preserve">. Phylogenetic reconstruction was performed using </w:t>
      </w:r>
      <w:r w:rsidR="000416CC">
        <w:rPr>
          <w:rFonts w:eastAsia="Arial"/>
        </w:rPr>
        <w:t>IQ-Tree</w:t>
      </w:r>
      <w:r w:rsidR="000416CC" w:rsidRPr="008365D5">
        <w:rPr>
          <w:rFonts w:eastAsia="Arial"/>
        </w:rPr>
        <w:t xml:space="preserve"> </w:t>
      </w:r>
      <w:r w:rsidRPr="008365D5">
        <w:rPr>
          <w:rFonts w:eastAsia="Arial"/>
        </w:rPr>
        <w:t>v</w:t>
      </w:r>
      <w:r w:rsidR="00200C5E">
        <w:rPr>
          <w:rFonts w:eastAsia="Arial"/>
        </w:rPr>
        <w:t>2.0.3</w:t>
      </w:r>
      <w:r w:rsidR="005B0311">
        <w:rPr>
          <w:rFonts w:eastAsia="Arial"/>
        </w:rPr>
        <w:t>.</w:t>
      </w:r>
      <w:r w:rsidRPr="008365D5">
        <w:rPr>
          <w:rFonts w:eastAsia="Arial"/>
        </w:rPr>
        <w:t xml:space="preserve"> Genomes were also assembled using </w:t>
      </w:r>
      <w:proofErr w:type="spellStart"/>
      <w:r w:rsidRPr="008365D5">
        <w:rPr>
          <w:rFonts w:eastAsia="Arial"/>
        </w:rPr>
        <w:t>Shovill</w:t>
      </w:r>
      <w:proofErr w:type="spellEnd"/>
      <w:r w:rsidRPr="008365D5">
        <w:rPr>
          <w:rFonts w:eastAsia="Arial"/>
        </w:rPr>
        <w:t xml:space="preserve"> v1.0.9 and resistance genes identified using </w:t>
      </w:r>
      <w:proofErr w:type="spellStart"/>
      <w:r w:rsidRPr="008365D5">
        <w:rPr>
          <w:rFonts w:eastAsia="Arial"/>
        </w:rPr>
        <w:t>Abricate</w:t>
      </w:r>
      <w:proofErr w:type="spellEnd"/>
      <w:r w:rsidRPr="008365D5">
        <w:rPr>
          <w:rFonts w:eastAsia="Arial"/>
        </w:rPr>
        <w:t xml:space="preserve"> and the </w:t>
      </w:r>
      <w:r w:rsidR="004E478A">
        <w:rPr>
          <w:rFonts w:eastAsia="Arial"/>
        </w:rPr>
        <w:t>Comprehensive Antibiotic Resistance Database (</w:t>
      </w:r>
      <w:r w:rsidRPr="008365D5">
        <w:rPr>
          <w:rFonts w:eastAsia="Arial"/>
        </w:rPr>
        <w:t>CARD</w:t>
      </w:r>
      <w:r w:rsidR="004E478A">
        <w:rPr>
          <w:rFonts w:eastAsia="Arial"/>
        </w:rPr>
        <w:t>)</w:t>
      </w:r>
      <w:r w:rsidRPr="008365D5">
        <w:rPr>
          <w:rFonts w:eastAsia="Arial"/>
        </w:rPr>
        <w:t xml:space="preserve"> database</w:t>
      </w:r>
      <w:r>
        <w:rPr>
          <w:rFonts w:eastAsia="Arial"/>
        </w:rPr>
        <w:t xml:space="preserve">, virulence genes identified using the </w:t>
      </w:r>
      <w:r w:rsidR="004E478A">
        <w:rPr>
          <w:rFonts w:eastAsia="Arial"/>
        </w:rPr>
        <w:t>Virulence Factor Database (</w:t>
      </w:r>
      <w:r>
        <w:rPr>
          <w:rFonts w:eastAsia="Arial"/>
        </w:rPr>
        <w:t>VFDB</w:t>
      </w:r>
      <w:r w:rsidR="004E478A">
        <w:rPr>
          <w:rFonts w:eastAsia="Arial"/>
        </w:rPr>
        <w:t>)</w:t>
      </w:r>
      <w:r>
        <w:rPr>
          <w:rFonts w:eastAsia="Arial"/>
        </w:rPr>
        <w:t xml:space="preserve"> database</w:t>
      </w:r>
      <w:r w:rsidRPr="008365D5">
        <w:rPr>
          <w:rFonts w:eastAsia="Arial"/>
        </w:rPr>
        <w:t xml:space="preserve"> </w:t>
      </w:r>
      <w:r w:rsidR="002022B8" w:rsidRPr="002022B8">
        <w:rPr>
          <w:rFonts w:eastAsia="Arial"/>
          <w:noProof/>
        </w:rPr>
        <w:t>[12,13]</w:t>
      </w:r>
      <w:r w:rsidRPr="008365D5">
        <w:rPr>
          <w:rFonts w:eastAsia="Arial"/>
        </w:rPr>
        <w:t>.</w:t>
      </w:r>
      <w:r w:rsidRPr="008365D5">
        <w:rPr>
          <w:rStyle w:val="normaltextrun"/>
          <w:color w:val="000000"/>
        </w:rPr>
        <w:t xml:space="preserve"> </w:t>
      </w:r>
      <w:r w:rsidR="00B943C4">
        <w:rPr>
          <w:rStyle w:val="normaltextrun"/>
          <w:color w:val="000000"/>
        </w:rPr>
        <w:t>Genes associated with operational success</w:t>
      </w:r>
      <w:r w:rsidR="00554AB9">
        <w:rPr>
          <w:rStyle w:val="normaltextrun"/>
          <w:color w:val="000000"/>
        </w:rPr>
        <w:t xml:space="preserve"> were </w:t>
      </w:r>
      <w:r w:rsidR="00E5538E">
        <w:rPr>
          <w:rStyle w:val="normaltextrun"/>
          <w:color w:val="000000"/>
        </w:rPr>
        <w:t>compared using Chi</w:t>
      </w:r>
      <w:r w:rsidR="00382A24">
        <w:rPr>
          <w:rStyle w:val="normaltextrun"/>
          <w:color w:val="000000"/>
        </w:rPr>
        <w:t>-squared tests</w:t>
      </w:r>
      <w:r w:rsidR="006448B2">
        <w:rPr>
          <w:rStyle w:val="normaltextrun"/>
          <w:color w:val="000000"/>
        </w:rPr>
        <w:t xml:space="preserve"> a</w:t>
      </w:r>
      <w:r w:rsidR="00EA2521">
        <w:rPr>
          <w:rStyle w:val="normaltextrun"/>
          <w:color w:val="000000"/>
        </w:rPr>
        <w:t>t</w:t>
      </w:r>
      <w:r w:rsidR="006448B2">
        <w:rPr>
          <w:rStyle w:val="normaltextrun"/>
          <w:color w:val="000000"/>
        </w:rPr>
        <w:t xml:space="preserve"> 5% significance threshold.</w:t>
      </w:r>
    </w:p>
    <w:p w14:paraId="02512F3B" w14:textId="77777777" w:rsidR="00636D06" w:rsidRPr="008365D5" w:rsidRDefault="00636D06" w:rsidP="00F43F94">
      <w:pPr>
        <w:spacing w:after="0" w:line="480" w:lineRule="auto"/>
        <w:rPr>
          <w:b/>
          <w:i/>
        </w:rPr>
      </w:pPr>
      <w:r w:rsidRPr="008365D5">
        <w:rPr>
          <w:b/>
          <w:i/>
        </w:rPr>
        <w:t xml:space="preserve">Antimicrobial </w:t>
      </w:r>
      <w:r>
        <w:rPr>
          <w:b/>
          <w:i/>
        </w:rPr>
        <w:t>susceptibility</w:t>
      </w:r>
      <w:r w:rsidRPr="008365D5">
        <w:rPr>
          <w:b/>
          <w:i/>
        </w:rPr>
        <w:t xml:space="preserve"> testing</w:t>
      </w:r>
    </w:p>
    <w:p w14:paraId="7F8D8FAB" w14:textId="77777777" w:rsidR="00636D06" w:rsidRPr="005B0311" w:rsidRDefault="00636D06" w:rsidP="00F43F94">
      <w:pPr>
        <w:spacing w:after="0" w:line="480" w:lineRule="auto"/>
      </w:pPr>
      <w:r w:rsidRPr="008365D5">
        <w:t>EUCAST disk diffusion methodology</w:t>
      </w:r>
      <w:r w:rsidR="002022B8">
        <w:t xml:space="preserve"> </w:t>
      </w:r>
      <w:r w:rsidR="00F124CF" w:rsidRPr="00F124CF">
        <w:rPr>
          <w:noProof/>
        </w:rPr>
        <w:t>[14]</w:t>
      </w:r>
      <w:r w:rsidRPr="008365D5">
        <w:t xml:space="preserve"> was used to test for sensitivity to 14 antibiotic</w:t>
      </w:r>
      <w:r w:rsidR="00A0703E">
        <w:t>s using Oxoid disks</w:t>
      </w:r>
      <w:r>
        <w:t xml:space="preserve"> (Basingstoke, UK)</w:t>
      </w:r>
      <w:r w:rsidR="00686A7A">
        <w:t xml:space="preserve">. </w:t>
      </w:r>
      <w:r w:rsidR="00A729ED">
        <w:t>The</w:t>
      </w:r>
      <w:r w:rsidR="00686A7A">
        <w:t xml:space="preserve"> </w:t>
      </w:r>
      <w:r w:rsidR="00A729ED">
        <w:t>d</w:t>
      </w:r>
      <w:r w:rsidRPr="00686A7A">
        <w:t>istribution of phenotypic resistance and successful isolates in each country was compared using Chi-squared tests</w:t>
      </w:r>
      <w:r w:rsidR="00A0703E">
        <w:t xml:space="preserve"> at 5% significance threshold</w:t>
      </w:r>
      <w:r w:rsidRPr="00686A7A">
        <w:t>.</w:t>
      </w:r>
    </w:p>
    <w:p w14:paraId="74CD9DE3" w14:textId="024ADBCF" w:rsidR="00636D06" w:rsidRPr="00E60C91" w:rsidRDefault="00636D06" w:rsidP="00F43F94">
      <w:pPr>
        <w:spacing w:after="0" w:line="480" w:lineRule="auto"/>
        <w:rPr>
          <w:b/>
          <w:bCs/>
          <w:i/>
          <w:iCs/>
        </w:rPr>
      </w:pPr>
      <w:r w:rsidRPr="00E60C91">
        <w:rPr>
          <w:b/>
          <w:bCs/>
          <w:i/>
          <w:iCs/>
        </w:rPr>
        <w:t xml:space="preserve">Time-scaled </w:t>
      </w:r>
      <w:r w:rsidRPr="00EC3068">
        <w:rPr>
          <w:b/>
          <w:bCs/>
          <w:i/>
          <w:iCs/>
        </w:rPr>
        <w:t>haplo</w:t>
      </w:r>
      <w:r w:rsidR="00E347C5" w:rsidRPr="00EC3068">
        <w:rPr>
          <w:b/>
          <w:bCs/>
          <w:i/>
          <w:iCs/>
        </w:rPr>
        <w:t xml:space="preserve">typic </w:t>
      </w:r>
      <w:r w:rsidRPr="00EC3068">
        <w:rPr>
          <w:b/>
          <w:bCs/>
          <w:i/>
          <w:iCs/>
        </w:rPr>
        <w:t xml:space="preserve">density </w:t>
      </w:r>
      <w:r w:rsidRPr="00E60C91">
        <w:rPr>
          <w:b/>
          <w:bCs/>
          <w:i/>
          <w:iCs/>
        </w:rPr>
        <w:t>(THD) analysis</w:t>
      </w:r>
    </w:p>
    <w:p w14:paraId="21AF091F" w14:textId="30ECAF61" w:rsidR="00DC7CF4" w:rsidRPr="003431C7" w:rsidRDefault="00636D06" w:rsidP="001617E9">
      <w:pPr>
        <w:spacing w:after="0" w:line="480" w:lineRule="auto"/>
      </w:pPr>
      <w:bookmarkStart w:id="2" w:name="_Hlk133941513"/>
      <w:r w:rsidRPr="008365D5">
        <w:t xml:space="preserve">We used the time-scaled haplotypic density </w:t>
      </w:r>
      <w:r w:rsidR="00A0703E">
        <w:t xml:space="preserve">(THD) </w:t>
      </w:r>
      <w:r w:rsidRPr="008365D5">
        <w:t xml:space="preserve">method to examine the factors predicting epidemic success of </w:t>
      </w:r>
      <w:r w:rsidRPr="003431C7">
        <w:t>MRSA</w:t>
      </w:r>
      <w:r w:rsidR="00E347C5" w:rsidRPr="003431C7">
        <w:t xml:space="preserve"> based on genome sequences</w:t>
      </w:r>
      <w:r w:rsidR="00A51903" w:rsidRPr="003431C7">
        <w:t xml:space="preserve"> </w:t>
      </w:r>
      <w:r w:rsidR="00F124CF" w:rsidRPr="00B07BBF">
        <w:rPr>
          <w:noProof/>
        </w:rPr>
        <w:t>[15–17]</w:t>
      </w:r>
      <w:r w:rsidRPr="00B07BBF">
        <w:t xml:space="preserve">. </w:t>
      </w:r>
      <w:bookmarkEnd w:id="2"/>
      <w:r w:rsidRPr="00D52CD6">
        <w:rPr>
          <w:rFonts w:cs="Calibri"/>
          <w:color w:val="000000"/>
          <w:lang w:eastAsia="ja-JP"/>
        </w:rPr>
        <w:t>THD assign</w:t>
      </w:r>
      <w:r w:rsidR="0083125E" w:rsidRPr="00D52CD6">
        <w:rPr>
          <w:rFonts w:cs="Calibri"/>
          <w:color w:val="000000"/>
          <w:lang w:eastAsia="ja-JP"/>
        </w:rPr>
        <w:t>ed</w:t>
      </w:r>
      <w:r w:rsidRPr="00D52CD6">
        <w:rPr>
          <w:rFonts w:cs="Calibri"/>
          <w:color w:val="000000"/>
          <w:lang w:eastAsia="ja-JP"/>
        </w:rPr>
        <w:t xml:space="preserve"> relative indices of epidemic success, over a defined time period</w:t>
      </w:r>
      <w:r w:rsidR="0083125E" w:rsidRPr="00D52CD6">
        <w:rPr>
          <w:rFonts w:cs="Calibri"/>
          <w:color w:val="000000"/>
          <w:lang w:eastAsia="ja-JP"/>
        </w:rPr>
        <w:t xml:space="preserve"> of 5 years</w:t>
      </w:r>
      <w:r w:rsidRPr="00D52CD6">
        <w:rPr>
          <w:rFonts w:cs="Calibri"/>
          <w:color w:val="000000"/>
          <w:lang w:eastAsia="ja-JP"/>
        </w:rPr>
        <w:t xml:space="preserve">, to each isolate in the dataset, on the basis of the branching density and distribution of genetic distances separating it from other isolates. </w:t>
      </w:r>
      <w:r w:rsidRPr="008365D5">
        <w:lastRenderedPageBreak/>
        <w:t xml:space="preserve">Potential predictors of success, such as </w:t>
      </w:r>
      <w:r>
        <w:t xml:space="preserve">antimicrobial </w:t>
      </w:r>
      <w:r w:rsidRPr="008365D5">
        <w:t xml:space="preserve">drug resistance patterns, were identified using </w:t>
      </w:r>
      <w:r w:rsidRPr="003431C7">
        <w:t xml:space="preserve">linear regression models with THD indices as the response variable. </w:t>
      </w:r>
    </w:p>
    <w:p w14:paraId="0F2F0DAC" w14:textId="373C7043" w:rsidR="00636D06" w:rsidRPr="00C200A6" w:rsidRDefault="00DC7CF4" w:rsidP="00C200A6">
      <w:pPr>
        <w:pStyle w:val="PlainText"/>
        <w:spacing w:line="480" w:lineRule="auto"/>
        <w:rPr>
          <w:color w:val="FF0000"/>
        </w:rPr>
      </w:pPr>
      <w:r w:rsidRPr="003431C7">
        <w:t xml:space="preserve">Genome wide association studies (GWAS) were performed using </w:t>
      </w:r>
      <w:proofErr w:type="spellStart"/>
      <w:r w:rsidRPr="003431C7">
        <w:t>pyseer</w:t>
      </w:r>
      <w:proofErr w:type="spellEnd"/>
      <w:r w:rsidRPr="003431C7">
        <w:t xml:space="preserve"> [18], using </w:t>
      </w:r>
      <w:proofErr w:type="spellStart"/>
      <w:r w:rsidRPr="003431C7">
        <w:t>kmer</w:t>
      </w:r>
      <w:proofErr w:type="spellEnd"/>
      <w:r w:rsidRPr="003431C7">
        <w:t xml:space="preserve"> and </w:t>
      </w:r>
      <w:proofErr w:type="spellStart"/>
      <w:r w:rsidRPr="003431C7">
        <w:t>unitig</w:t>
      </w:r>
      <w:proofErr w:type="spellEnd"/>
      <w:r w:rsidRPr="003431C7">
        <w:t xml:space="preserve"> approaches utilising the </w:t>
      </w:r>
      <w:proofErr w:type="spellStart"/>
      <w:r w:rsidRPr="003431C7">
        <w:t>shovill</w:t>
      </w:r>
      <w:proofErr w:type="spellEnd"/>
      <w:r w:rsidRPr="003431C7">
        <w:t xml:space="preserve"> derived </w:t>
      </w:r>
      <w:proofErr w:type="spellStart"/>
      <w:r w:rsidRPr="003431C7">
        <w:t>denovo</w:t>
      </w:r>
      <w:proofErr w:type="spellEnd"/>
      <w:r w:rsidRPr="003431C7">
        <w:t xml:space="preserve"> assembled genome sequences.</w:t>
      </w:r>
      <w:r w:rsidR="001617E9" w:rsidRPr="003431C7">
        <w:t xml:space="preserve"> </w:t>
      </w:r>
      <w:r w:rsidR="00E749B5" w:rsidRPr="003431C7">
        <w:rPr>
          <w:bCs/>
          <w:iCs/>
        </w:rPr>
        <w:t xml:space="preserve">Genes associated with THD success and resistance phenotypes were </w:t>
      </w:r>
      <w:r w:rsidR="00E90C28" w:rsidRPr="003431C7">
        <w:rPr>
          <w:bCs/>
          <w:iCs/>
        </w:rPr>
        <w:t xml:space="preserve">also </w:t>
      </w:r>
      <w:r w:rsidR="00E749B5" w:rsidRPr="003431C7">
        <w:rPr>
          <w:bCs/>
          <w:iCs/>
        </w:rPr>
        <w:t xml:space="preserve">determined </w:t>
      </w:r>
      <w:r w:rsidR="00E749B5">
        <w:rPr>
          <w:bCs/>
          <w:iCs/>
        </w:rPr>
        <w:t xml:space="preserve">using </w:t>
      </w:r>
      <w:proofErr w:type="spellStart"/>
      <w:r w:rsidR="00E749B5">
        <w:rPr>
          <w:bCs/>
          <w:iCs/>
        </w:rPr>
        <w:t>pyseer</w:t>
      </w:r>
      <w:proofErr w:type="spellEnd"/>
      <w:r w:rsidR="00E749B5">
        <w:rPr>
          <w:bCs/>
          <w:iCs/>
        </w:rPr>
        <w:t xml:space="preserve"> following </w:t>
      </w:r>
      <w:proofErr w:type="spellStart"/>
      <w:r w:rsidR="00E749B5">
        <w:rPr>
          <w:bCs/>
          <w:iCs/>
        </w:rPr>
        <w:t>kmer</w:t>
      </w:r>
      <w:proofErr w:type="spellEnd"/>
      <w:r w:rsidR="00E749B5">
        <w:rPr>
          <w:bCs/>
          <w:iCs/>
        </w:rPr>
        <w:t xml:space="preserve"> and </w:t>
      </w:r>
      <w:proofErr w:type="spellStart"/>
      <w:r w:rsidR="00E749B5">
        <w:rPr>
          <w:bCs/>
          <w:iCs/>
        </w:rPr>
        <w:t>unitig</w:t>
      </w:r>
      <w:proofErr w:type="spellEnd"/>
      <w:r w:rsidR="00E749B5">
        <w:rPr>
          <w:bCs/>
          <w:iCs/>
        </w:rPr>
        <w:t xml:space="preserve"> based approaches </w:t>
      </w:r>
      <w:r w:rsidR="00F124CF" w:rsidRPr="00F124CF">
        <w:rPr>
          <w:bCs/>
          <w:iCs/>
          <w:noProof/>
        </w:rPr>
        <w:t>[18]</w:t>
      </w:r>
      <w:r w:rsidR="00E749B5">
        <w:rPr>
          <w:bCs/>
          <w:iCs/>
        </w:rPr>
        <w:t>.</w:t>
      </w:r>
    </w:p>
    <w:p w14:paraId="1B2C2ADF" w14:textId="164C624C" w:rsidR="00636D06" w:rsidRPr="008365D5" w:rsidRDefault="00636D06" w:rsidP="001617E9">
      <w:pPr>
        <w:spacing w:after="0" w:line="480" w:lineRule="auto"/>
        <w:rPr>
          <w:b/>
          <w:i/>
        </w:rPr>
      </w:pPr>
      <w:r w:rsidRPr="008365D5">
        <w:rPr>
          <w:b/>
          <w:i/>
        </w:rPr>
        <w:t>AMR and antimicrobial usage</w:t>
      </w:r>
      <w:r w:rsidR="009354C1">
        <w:rPr>
          <w:b/>
          <w:i/>
        </w:rPr>
        <w:t xml:space="preserve"> across Europe</w:t>
      </w:r>
    </w:p>
    <w:p w14:paraId="08756703" w14:textId="36AC0239" w:rsidR="00341404" w:rsidRDefault="00636D06" w:rsidP="00F43F94">
      <w:pPr>
        <w:spacing w:after="0" w:line="480" w:lineRule="auto"/>
        <w:rPr>
          <w:rFonts w:cs="Calibri"/>
        </w:rPr>
      </w:pPr>
      <w:r>
        <w:t>The sum of</w:t>
      </w:r>
      <w:r w:rsidR="00FC31AD">
        <w:t xml:space="preserve"> estimated</w:t>
      </w:r>
      <w:r>
        <w:t xml:space="preserve"> incidence of all infection types caused by MRSA was used to give an </w:t>
      </w:r>
      <w:r w:rsidR="00532F51">
        <w:t xml:space="preserve">overall </w:t>
      </w:r>
      <w:r>
        <w:t>MRSA annual incidence per 100 000 population data across 29 European countries</w:t>
      </w:r>
      <w:r w:rsidR="002022B8">
        <w:t xml:space="preserve"> </w:t>
      </w:r>
      <w:r w:rsidR="002022B8" w:rsidRPr="002022B8">
        <w:rPr>
          <w:noProof/>
        </w:rPr>
        <w:t>[2]</w:t>
      </w:r>
      <w:r>
        <w:t xml:space="preserve">. This </w:t>
      </w:r>
      <w:r w:rsidR="00532F51">
        <w:t xml:space="preserve">was </w:t>
      </w:r>
      <w:r>
        <w:t>based on EARS-Net data adjusted for coverage and usage of diagnostics for the year 2015</w:t>
      </w:r>
      <w:r w:rsidR="008D695A">
        <w:t xml:space="preserve"> </w:t>
      </w:r>
      <w:r w:rsidR="00F124CF" w:rsidRPr="00F124CF">
        <w:rPr>
          <w:noProof/>
        </w:rPr>
        <w:t>[2]</w:t>
      </w:r>
      <w:r>
        <w:t xml:space="preserve">.  Antimicrobial consumption data </w:t>
      </w:r>
      <w:r w:rsidR="00FC31AD">
        <w:t xml:space="preserve">for 2015 </w:t>
      </w:r>
      <w:r>
        <w:t>was from ESAC-Net (ecdc.europa.eu) and expressed a</w:t>
      </w:r>
      <w:r w:rsidR="008D695A">
        <w:t>s defined daily dose (</w:t>
      </w:r>
      <w:r>
        <w:t>DDD</w:t>
      </w:r>
      <w:r w:rsidR="008D695A">
        <w:t>)</w:t>
      </w:r>
      <w:r>
        <w:t xml:space="preserve"> per 1000 inhabitants per day. The data for some countries </w:t>
      </w:r>
      <w:r w:rsidR="00532F51">
        <w:t xml:space="preserve">was </w:t>
      </w:r>
      <w:r>
        <w:t xml:space="preserve">split into community and healthcare </w:t>
      </w:r>
      <w:r w:rsidR="007C0544">
        <w:t>usage and</w:t>
      </w:r>
      <w:r>
        <w:t xml:space="preserve"> sourced from national sales and reimbursement data. </w:t>
      </w:r>
      <w:r w:rsidR="00341404">
        <w:t xml:space="preserve">We tested both linear (shown here) and exponential trend associations (in Supplementary </w:t>
      </w:r>
      <w:r w:rsidR="00FC31AD">
        <w:t>Methods</w:t>
      </w:r>
      <w:r w:rsidR="00341404">
        <w:t>), with an F test for significance: a</w:t>
      </w:r>
      <w:r w:rsidR="00341404">
        <w:rPr>
          <w:rFonts w:cs="Calibri"/>
        </w:rPr>
        <w:t xml:space="preserve">ll data </w:t>
      </w:r>
      <w:r w:rsidR="00532F51">
        <w:rPr>
          <w:rFonts w:cs="Calibri"/>
        </w:rPr>
        <w:t xml:space="preserve">management </w:t>
      </w:r>
      <w:r w:rsidR="00341404">
        <w:rPr>
          <w:rFonts w:cs="Calibri"/>
        </w:rPr>
        <w:t xml:space="preserve">and analysis is provided </w:t>
      </w:r>
      <w:r w:rsidR="00532F51">
        <w:rPr>
          <w:rFonts w:cs="Calibri"/>
        </w:rPr>
        <w:t xml:space="preserve">in the </w:t>
      </w:r>
      <w:r w:rsidR="00341404">
        <w:rPr>
          <w:rFonts w:cs="Calibri"/>
        </w:rPr>
        <w:t xml:space="preserve">Supplementary </w:t>
      </w:r>
      <w:r w:rsidR="0013401C">
        <w:rPr>
          <w:rFonts w:cs="Calibri"/>
        </w:rPr>
        <w:t>2</w:t>
      </w:r>
      <w:r w:rsidR="00341404">
        <w:rPr>
          <w:rFonts w:cs="Calibri"/>
        </w:rPr>
        <w:t xml:space="preserve"> and as code </w:t>
      </w:r>
      <w:r w:rsidR="00532F51">
        <w:rPr>
          <w:rFonts w:cs="Calibri"/>
        </w:rPr>
        <w:t xml:space="preserve">in a </w:t>
      </w:r>
      <w:proofErr w:type="spellStart"/>
      <w:r w:rsidR="00341404">
        <w:rPr>
          <w:rFonts w:cs="Calibri"/>
        </w:rPr>
        <w:t>Github</w:t>
      </w:r>
      <w:proofErr w:type="spellEnd"/>
      <w:r w:rsidR="00341404">
        <w:rPr>
          <w:rFonts w:cs="Calibri"/>
        </w:rPr>
        <w:t xml:space="preserve"> repository: </w:t>
      </w:r>
      <w:hyperlink r:id="rId12" w:history="1">
        <w:r w:rsidR="00341404">
          <w:rPr>
            <w:rStyle w:val="Hyperlink"/>
            <w:rFonts w:cs="Calibri"/>
          </w:rPr>
          <w:t>https://github.com/gwenknight/mrsa_inf_abx</w:t>
        </w:r>
      </w:hyperlink>
      <w:r w:rsidR="00341404">
        <w:rPr>
          <w:rFonts w:cs="Calibri"/>
        </w:rPr>
        <w:t xml:space="preserve">. </w:t>
      </w:r>
    </w:p>
    <w:p w14:paraId="1AFD81D5" w14:textId="77777777" w:rsidR="0040543E" w:rsidRDefault="0040543E" w:rsidP="00F43F94">
      <w:pPr>
        <w:spacing w:after="0" w:line="480" w:lineRule="auto"/>
      </w:pPr>
    </w:p>
    <w:p w14:paraId="0A6A9482" w14:textId="77777777" w:rsidR="0040543E" w:rsidRPr="00ED05FD" w:rsidRDefault="0040543E" w:rsidP="00F43F94">
      <w:pPr>
        <w:spacing w:after="0" w:line="480" w:lineRule="auto"/>
        <w:rPr>
          <w:b/>
          <w:bCs/>
        </w:rPr>
      </w:pPr>
      <w:r w:rsidRPr="00ED05FD">
        <w:rPr>
          <w:b/>
          <w:bCs/>
        </w:rPr>
        <w:t>R</w:t>
      </w:r>
      <w:r w:rsidR="00ED05FD">
        <w:rPr>
          <w:b/>
          <w:bCs/>
        </w:rPr>
        <w:t>ESULTS</w:t>
      </w:r>
      <w:r w:rsidRPr="00ED05FD">
        <w:rPr>
          <w:b/>
          <w:bCs/>
        </w:rPr>
        <w:t xml:space="preserve"> </w:t>
      </w:r>
    </w:p>
    <w:p w14:paraId="35D007AF" w14:textId="77777777" w:rsidR="0040543E" w:rsidRPr="00E60C91" w:rsidRDefault="00EB2E0A" w:rsidP="00F43F94">
      <w:pPr>
        <w:spacing w:after="0" w:line="480" w:lineRule="auto"/>
        <w:rPr>
          <w:b/>
          <w:bCs/>
          <w:i/>
          <w:iCs/>
        </w:rPr>
      </w:pPr>
      <w:r w:rsidRPr="00E60C91">
        <w:rPr>
          <w:b/>
          <w:bCs/>
          <w:i/>
          <w:iCs/>
        </w:rPr>
        <w:t xml:space="preserve">Operational definition of </w:t>
      </w:r>
      <w:r w:rsidR="00C7276D" w:rsidRPr="00E60C91">
        <w:rPr>
          <w:b/>
          <w:bCs/>
          <w:i/>
          <w:iCs/>
        </w:rPr>
        <w:t>epidemiologically success</w:t>
      </w:r>
      <w:r w:rsidR="00136865" w:rsidRPr="00E60C91">
        <w:rPr>
          <w:b/>
          <w:bCs/>
          <w:i/>
          <w:iCs/>
        </w:rPr>
        <w:t>ful</w:t>
      </w:r>
      <w:r w:rsidR="00C7276D" w:rsidRPr="00E60C91">
        <w:rPr>
          <w:b/>
          <w:bCs/>
          <w:i/>
          <w:iCs/>
        </w:rPr>
        <w:t xml:space="preserve"> and sporadic isolates</w:t>
      </w:r>
    </w:p>
    <w:p w14:paraId="08C390DB" w14:textId="77777777" w:rsidR="0040543E" w:rsidRDefault="002B6F91" w:rsidP="00F43F94">
      <w:pPr>
        <w:spacing w:after="0" w:line="480" w:lineRule="auto"/>
      </w:pPr>
      <w:r>
        <w:t xml:space="preserve">National strategies for collecting, typing and reporting MRSA isolates in each country were found to be </w:t>
      </w:r>
      <w:r w:rsidR="004220AC">
        <w:t>markedly different</w:t>
      </w:r>
      <w:r w:rsidR="00B10996">
        <w:t xml:space="preserve"> </w:t>
      </w:r>
      <w:r w:rsidR="00B10996" w:rsidRPr="00B10996">
        <w:rPr>
          <w:noProof/>
        </w:rPr>
        <w:t>[8]</w:t>
      </w:r>
      <w:r w:rsidR="0023221F">
        <w:t xml:space="preserve">, necessitating </w:t>
      </w:r>
      <w:r w:rsidR="008214B0">
        <w:t xml:space="preserve">some variation in </w:t>
      </w:r>
      <w:r w:rsidR="00F34E1F">
        <w:t>inclusion criteria between countries</w:t>
      </w:r>
      <w:r w:rsidR="008214B0">
        <w:t xml:space="preserve"> (Supplementary</w:t>
      </w:r>
      <w:r w:rsidR="007C0544">
        <w:t xml:space="preserve"> 1</w:t>
      </w:r>
      <w:r w:rsidR="008214B0">
        <w:t>)</w:t>
      </w:r>
      <w:r w:rsidR="00F34E1F">
        <w:t>.</w:t>
      </w:r>
      <w:r w:rsidR="008214B0">
        <w:t xml:space="preserve"> </w:t>
      </w:r>
      <w:r w:rsidR="00B5427B">
        <w:t>AMR resistance profiles</w:t>
      </w:r>
      <w:r w:rsidR="00D01D2D">
        <w:t xml:space="preserve"> </w:t>
      </w:r>
      <w:r w:rsidR="00B5427B">
        <w:t>w</w:t>
      </w:r>
      <w:r w:rsidR="0049334E">
        <w:t>ere</w:t>
      </w:r>
      <w:r w:rsidR="00B5427B">
        <w:t xml:space="preserve"> not used </w:t>
      </w:r>
      <w:r w:rsidR="0049334E">
        <w:t>as</w:t>
      </w:r>
      <w:r w:rsidR="00B5427B">
        <w:t xml:space="preserve"> selection</w:t>
      </w:r>
      <w:r w:rsidR="0049334E">
        <w:t xml:space="preserve"> criteria</w:t>
      </w:r>
      <w:r w:rsidR="00B5427B">
        <w:t>.</w:t>
      </w:r>
      <w:r w:rsidR="006E10FE">
        <w:t xml:space="preserve"> </w:t>
      </w:r>
    </w:p>
    <w:p w14:paraId="5198D196" w14:textId="77777777" w:rsidR="003025C4" w:rsidRDefault="003025C4" w:rsidP="00F43F94">
      <w:pPr>
        <w:spacing w:after="0" w:line="480" w:lineRule="auto"/>
      </w:pPr>
      <w:r>
        <w:t>Representative isolates from France were selected from the collection of the French National Reference Centre for Staphylococcus (NRC), Lyon, France</w:t>
      </w:r>
      <w:r w:rsidR="00111841">
        <w:t xml:space="preserve"> and previously typed using DNA array hybridization</w:t>
      </w:r>
      <w:r w:rsidR="00481EA3">
        <w:t xml:space="preserve"> </w:t>
      </w:r>
      <w:r w:rsidR="00481EA3" w:rsidRPr="00481EA3">
        <w:rPr>
          <w:noProof/>
        </w:rPr>
        <w:t>[19,20]</w:t>
      </w:r>
      <w:r w:rsidR="00111841">
        <w:t xml:space="preserve">. </w:t>
      </w:r>
      <w:r w:rsidR="00446E8E">
        <w:t xml:space="preserve">Eight </w:t>
      </w:r>
      <w:r w:rsidR="00834BCB">
        <w:t>representative</w:t>
      </w:r>
      <w:r w:rsidR="00446E8E">
        <w:t xml:space="preserve"> clonal complexes (CC) were chosen and </w:t>
      </w:r>
      <w:r w:rsidR="00834BCB">
        <w:t xml:space="preserve">CC </w:t>
      </w:r>
      <w:r w:rsidR="00446E8E">
        <w:t>subtype</w:t>
      </w:r>
      <w:r w:rsidR="00165619">
        <w:t xml:space="preserve"> </w:t>
      </w:r>
      <w:r w:rsidR="00165619">
        <w:lastRenderedPageBreak/>
        <w:t xml:space="preserve">clusters totalling &gt;25% of the CC size labelled </w:t>
      </w:r>
      <w:r w:rsidR="000000B6">
        <w:t>‘</w:t>
      </w:r>
      <w:r w:rsidR="00165619">
        <w:t>successful</w:t>
      </w:r>
      <w:r w:rsidR="000000B6">
        <w:t>’</w:t>
      </w:r>
      <w:r w:rsidR="00415E81">
        <w:t xml:space="preserve">, while </w:t>
      </w:r>
      <w:r w:rsidR="0004491B">
        <w:t xml:space="preserve">examples totalling &lt;25% were labelled </w:t>
      </w:r>
      <w:r w:rsidR="000000B6">
        <w:t>‘</w:t>
      </w:r>
      <w:r w:rsidR="0004491B">
        <w:t>sporadic</w:t>
      </w:r>
      <w:r w:rsidR="000000B6">
        <w:t>’</w:t>
      </w:r>
      <w:r w:rsidR="0004491B">
        <w:t xml:space="preserve">. </w:t>
      </w:r>
    </w:p>
    <w:p w14:paraId="6EAD51E3" w14:textId="117F232A" w:rsidR="00D47171" w:rsidRDefault="00745886" w:rsidP="00F43F94">
      <w:pPr>
        <w:spacing w:after="0" w:line="480" w:lineRule="auto"/>
      </w:pPr>
      <w:r>
        <w:t>In the Netherlands, m</w:t>
      </w:r>
      <w:r w:rsidR="00F04061">
        <w:t>andatory surveillance of all clinical and colonisation MRSA isolates</w:t>
      </w:r>
      <w:r w:rsidR="00DB17D7">
        <w:t xml:space="preserve"> </w:t>
      </w:r>
      <w:r w:rsidR="000148E8">
        <w:t xml:space="preserve">is combined with epidemiological data </w:t>
      </w:r>
      <w:r w:rsidR="0045778B">
        <w:t xml:space="preserve">and typing by </w:t>
      </w:r>
      <w:r w:rsidR="00C10F71">
        <w:t>multiple locus variable number-tandem repeat analysis (</w:t>
      </w:r>
      <w:r w:rsidR="00FF4448">
        <w:t>MLVA</w:t>
      </w:r>
      <w:r w:rsidR="00C10F71">
        <w:t>)</w:t>
      </w:r>
      <w:r w:rsidR="00FF4448">
        <w:t xml:space="preserve"> at </w:t>
      </w:r>
      <w:r w:rsidR="003941E3">
        <w:t xml:space="preserve">the Dutch </w:t>
      </w:r>
      <w:r w:rsidR="00403E83">
        <w:t>National Institute for Public Health and the Environment (RIVM).</w:t>
      </w:r>
      <w:r w:rsidR="002227B8">
        <w:t xml:space="preserve"> Seven </w:t>
      </w:r>
      <w:r w:rsidR="00292990">
        <w:t xml:space="preserve">representative clonal types </w:t>
      </w:r>
      <w:r w:rsidR="00F40AFB">
        <w:t>aligned with CCs were chosen</w:t>
      </w:r>
      <w:r w:rsidR="003B0932">
        <w:t>, and ra</w:t>
      </w:r>
      <w:r w:rsidR="007C5489">
        <w:t>ndom isolates from the most prevalent and least prevalent MLVA types with each clone were chosen</w:t>
      </w:r>
      <w:r w:rsidR="000C7967">
        <w:t xml:space="preserve"> as successful and sporadic isolates respectively</w:t>
      </w:r>
      <w:r w:rsidR="00111152">
        <w:t xml:space="preserve">. In addition, some isolates </w:t>
      </w:r>
      <w:r w:rsidR="00622BD6">
        <w:t>from population</w:t>
      </w:r>
      <w:r w:rsidR="005C4894">
        <w:t>s</w:t>
      </w:r>
      <w:r w:rsidR="00622BD6">
        <w:t xml:space="preserve"> involved in</w:t>
      </w:r>
      <w:r w:rsidR="00D741EE">
        <w:t xml:space="preserve"> known outbreaks</w:t>
      </w:r>
      <w:r w:rsidR="00E5311A">
        <w:t xml:space="preserve"> but </w:t>
      </w:r>
      <w:r w:rsidR="005C4894">
        <w:t>from a differen</w:t>
      </w:r>
      <w:r w:rsidR="006E191B">
        <w:t>t</w:t>
      </w:r>
      <w:r w:rsidR="005C4894">
        <w:t xml:space="preserve"> </w:t>
      </w:r>
      <w:r w:rsidR="006E191B">
        <w:t xml:space="preserve">type </w:t>
      </w:r>
      <w:r w:rsidR="005C4894">
        <w:t xml:space="preserve">as </w:t>
      </w:r>
      <w:r w:rsidR="006E191B">
        <w:t>causing the outbreak</w:t>
      </w:r>
      <w:r w:rsidR="00D741EE">
        <w:t xml:space="preserve"> were included a</w:t>
      </w:r>
      <w:r w:rsidR="00B0739F">
        <w:t>s</w:t>
      </w:r>
      <w:r w:rsidR="000000B6">
        <w:t xml:space="preserve"> </w:t>
      </w:r>
      <w:r w:rsidR="00B2011C">
        <w:t xml:space="preserve">sporadic </w:t>
      </w:r>
      <w:r w:rsidR="005C4894">
        <w:t>isolates</w:t>
      </w:r>
      <w:r w:rsidR="00775B76">
        <w:t>.</w:t>
      </w:r>
    </w:p>
    <w:p w14:paraId="0A2B6EF9" w14:textId="77777777" w:rsidR="00DC0EB7" w:rsidRDefault="000518AF" w:rsidP="00F43F94">
      <w:pPr>
        <w:spacing w:after="0" w:line="480" w:lineRule="auto"/>
      </w:pPr>
      <w:r>
        <w:t xml:space="preserve">In the UK, an isolate collection from </w:t>
      </w:r>
      <w:r w:rsidR="005B0231">
        <w:t>St George’</w:t>
      </w:r>
      <w:r w:rsidR="00F72D4E">
        <w:t>s</w:t>
      </w:r>
      <w:r w:rsidR="00E7214D">
        <w:t xml:space="preserve"> University </w:t>
      </w:r>
      <w:r w:rsidR="00F72D4E">
        <w:t>Hospital</w:t>
      </w:r>
      <w:r w:rsidR="00B15123">
        <w:t xml:space="preserve"> </w:t>
      </w:r>
      <w:r w:rsidR="00E7214D">
        <w:t>Trust</w:t>
      </w:r>
      <w:r w:rsidR="005B0231">
        <w:t>, London</w:t>
      </w:r>
      <w:r w:rsidR="005B0231" w:rsidDel="005B0231">
        <w:t xml:space="preserve"> </w:t>
      </w:r>
      <w:r>
        <w:t>that documented a shift in the dominant clones over time was utilised</w:t>
      </w:r>
      <w:r w:rsidR="00481EA3">
        <w:t xml:space="preserve"> </w:t>
      </w:r>
      <w:r w:rsidR="00481EA3" w:rsidRPr="00481EA3">
        <w:rPr>
          <w:noProof/>
        </w:rPr>
        <w:t>[9]</w:t>
      </w:r>
      <w:r w:rsidR="00505BD0">
        <w:t>.</w:t>
      </w:r>
      <w:r w:rsidR="009D3C68">
        <w:t xml:space="preserve"> CC30 and CC22 account for most UK isolates and </w:t>
      </w:r>
      <w:r w:rsidR="00972FB5">
        <w:t xml:space="preserve">whole genome </w:t>
      </w:r>
      <w:r w:rsidR="00C10F71">
        <w:t>multi</w:t>
      </w:r>
      <w:r w:rsidR="000A7084">
        <w:t>-</w:t>
      </w:r>
      <w:r w:rsidR="00C10F71">
        <w:t>locus sequence typing (</w:t>
      </w:r>
      <w:proofErr w:type="spellStart"/>
      <w:r w:rsidR="00C10F71">
        <w:t>wgMLST</w:t>
      </w:r>
      <w:proofErr w:type="spellEnd"/>
      <w:r w:rsidR="00C10F71">
        <w:t xml:space="preserve">) </w:t>
      </w:r>
      <w:r w:rsidR="00F468E7">
        <w:t xml:space="preserve">phylogenetic trees </w:t>
      </w:r>
      <w:r w:rsidR="008E7600">
        <w:t xml:space="preserve">were constructed </w:t>
      </w:r>
      <w:r w:rsidR="00696FF6">
        <w:t xml:space="preserve">and clusters with </w:t>
      </w:r>
      <w:r w:rsidR="007725D8">
        <w:t>&lt;15</w:t>
      </w:r>
      <w:r w:rsidR="00C10F71">
        <w:t xml:space="preserve"> </w:t>
      </w:r>
      <w:proofErr w:type="spellStart"/>
      <w:r w:rsidR="00C10F71">
        <w:t>wgMLST</w:t>
      </w:r>
      <w:proofErr w:type="spellEnd"/>
      <w:r w:rsidR="00C10F71">
        <w:t xml:space="preserve"> allelic </w:t>
      </w:r>
      <w:r w:rsidR="00323161">
        <w:t xml:space="preserve">differences were </w:t>
      </w:r>
      <w:r w:rsidR="00EA1550">
        <w:t xml:space="preserve">defined as successful. </w:t>
      </w:r>
      <w:r w:rsidR="007D627D">
        <w:t xml:space="preserve">Examples of those that did not cluster were defined as sporadic, along with examples from </w:t>
      </w:r>
      <w:r w:rsidR="00E64C9F">
        <w:t>another six CCs.</w:t>
      </w:r>
    </w:p>
    <w:p w14:paraId="3F4D0386" w14:textId="77777777" w:rsidR="0040543E" w:rsidRPr="00E60C91" w:rsidRDefault="006E055E" w:rsidP="00F43F94">
      <w:pPr>
        <w:spacing w:after="0" w:line="480" w:lineRule="auto"/>
        <w:rPr>
          <w:b/>
          <w:bCs/>
          <w:i/>
          <w:iCs/>
        </w:rPr>
      </w:pPr>
      <w:r w:rsidRPr="00E60C91">
        <w:rPr>
          <w:b/>
          <w:bCs/>
          <w:i/>
          <w:iCs/>
        </w:rPr>
        <w:t xml:space="preserve">Phylogenetically </w:t>
      </w:r>
      <w:r w:rsidR="001E63FC" w:rsidRPr="00E60C91">
        <w:rPr>
          <w:b/>
          <w:bCs/>
          <w:i/>
          <w:iCs/>
        </w:rPr>
        <w:t>r</w:t>
      </w:r>
      <w:r w:rsidR="004217F6" w:rsidRPr="00E60C91">
        <w:rPr>
          <w:b/>
          <w:bCs/>
          <w:i/>
          <w:iCs/>
        </w:rPr>
        <w:t xml:space="preserve">elated isolates </w:t>
      </w:r>
      <w:r w:rsidR="000A7084" w:rsidRPr="00E60C91">
        <w:rPr>
          <w:b/>
          <w:bCs/>
          <w:i/>
          <w:iCs/>
        </w:rPr>
        <w:t xml:space="preserve">were </w:t>
      </w:r>
      <w:r w:rsidR="00AA2E28" w:rsidRPr="00E60C91">
        <w:rPr>
          <w:b/>
          <w:bCs/>
          <w:i/>
          <w:iCs/>
        </w:rPr>
        <w:t xml:space="preserve">identified across </w:t>
      </w:r>
      <w:r w:rsidR="00026A77" w:rsidRPr="00E60C91">
        <w:rPr>
          <w:b/>
          <w:bCs/>
          <w:i/>
          <w:iCs/>
        </w:rPr>
        <w:t>the three countries but differ</w:t>
      </w:r>
      <w:r w:rsidR="000A7084" w:rsidRPr="00E60C91">
        <w:rPr>
          <w:b/>
          <w:bCs/>
          <w:i/>
          <w:iCs/>
        </w:rPr>
        <w:t>ed</w:t>
      </w:r>
      <w:r w:rsidR="00026A77" w:rsidRPr="00E60C91">
        <w:rPr>
          <w:b/>
          <w:bCs/>
          <w:i/>
          <w:iCs/>
        </w:rPr>
        <w:t xml:space="preserve"> in dominance and success</w:t>
      </w:r>
    </w:p>
    <w:p w14:paraId="088D06F2" w14:textId="1849B70A" w:rsidR="005A5660" w:rsidRPr="00447926" w:rsidRDefault="00112076" w:rsidP="00F43F94">
      <w:pPr>
        <w:spacing w:after="0" w:line="480" w:lineRule="auto"/>
        <w:rPr>
          <w:b/>
          <w:bCs/>
        </w:rPr>
      </w:pPr>
      <w:r>
        <w:rPr>
          <w:rFonts w:cs="Calibri"/>
          <w:color w:val="333333"/>
          <w:shd w:val="clear" w:color="auto" w:fill="FFFFFF"/>
        </w:rPr>
        <w:t xml:space="preserve">Sequence data </w:t>
      </w:r>
      <w:r w:rsidR="000A7084">
        <w:rPr>
          <w:rFonts w:cs="Calibri"/>
          <w:color w:val="333333"/>
          <w:shd w:val="clear" w:color="auto" w:fill="FFFFFF"/>
        </w:rPr>
        <w:t>were</w:t>
      </w:r>
      <w:r>
        <w:rPr>
          <w:rFonts w:cs="Calibri"/>
          <w:color w:val="333333"/>
          <w:shd w:val="clear" w:color="auto" w:fill="FFFFFF"/>
        </w:rPr>
        <w:t xml:space="preserve"> submitted to the </w:t>
      </w:r>
      <w:r w:rsidR="00DB1215">
        <w:rPr>
          <w:rFonts w:cs="Calibri"/>
          <w:color w:val="333333"/>
          <w:shd w:val="clear" w:color="auto" w:fill="FFFFFF"/>
        </w:rPr>
        <w:t>European N</w:t>
      </w:r>
      <w:r w:rsidR="00586BA2">
        <w:rPr>
          <w:rFonts w:cs="Calibri"/>
          <w:color w:val="333333"/>
          <w:shd w:val="clear" w:color="auto" w:fill="FFFFFF"/>
        </w:rPr>
        <w:t>ucleotide Archive (</w:t>
      </w:r>
      <w:r>
        <w:rPr>
          <w:rFonts w:cs="Calibri"/>
          <w:color w:val="333333"/>
          <w:shd w:val="clear" w:color="auto" w:fill="FFFFFF"/>
        </w:rPr>
        <w:t>EBI ENA</w:t>
      </w:r>
      <w:r w:rsidR="00586BA2">
        <w:rPr>
          <w:rFonts w:cs="Calibri"/>
          <w:color w:val="333333"/>
          <w:shd w:val="clear" w:color="auto" w:fill="FFFFFF"/>
        </w:rPr>
        <w:t>)</w:t>
      </w:r>
      <w:r>
        <w:rPr>
          <w:rFonts w:cs="Calibri"/>
          <w:color w:val="333333"/>
          <w:shd w:val="clear" w:color="auto" w:fill="FFFFFF"/>
        </w:rPr>
        <w:t xml:space="preserve"> database with accession number </w:t>
      </w:r>
      <w:r>
        <w:rPr>
          <w:rFonts w:cs="Calibri"/>
        </w:rPr>
        <w:t xml:space="preserve">PRJEB47238. </w:t>
      </w:r>
      <w:r w:rsidR="003D4F64">
        <w:t xml:space="preserve">Phylogenetic trees of </w:t>
      </w:r>
      <w:r w:rsidR="005F64D7">
        <w:t>157 successful and 221 sporadic MRSA</w:t>
      </w:r>
      <w:r w:rsidR="00AE46C9">
        <w:t xml:space="preserve"> </w:t>
      </w:r>
      <w:r w:rsidR="002477EF">
        <w:t>clearly identif</w:t>
      </w:r>
      <w:r w:rsidR="00E749B5">
        <w:t>ied</w:t>
      </w:r>
      <w:r w:rsidR="002477EF">
        <w:t xml:space="preserve"> the different CCs</w:t>
      </w:r>
      <w:r w:rsidR="005A5660">
        <w:t xml:space="preserve"> (</w:t>
      </w:r>
      <w:r w:rsidR="00E60C91">
        <w:t>Figure</w:t>
      </w:r>
      <w:r w:rsidR="005A5660">
        <w:t xml:space="preserve"> 1).</w:t>
      </w:r>
      <w:r w:rsidR="00AE1D07">
        <w:t xml:space="preserve">  Each</w:t>
      </w:r>
      <w:r w:rsidR="000A7084">
        <w:t xml:space="preserve"> of the three</w:t>
      </w:r>
      <w:r w:rsidR="00AE1D07">
        <w:t xml:space="preserve"> countr</w:t>
      </w:r>
      <w:r w:rsidR="000A7084">
        <w:t>ies</w:t>
      </w:r>
      <w:r w:rsidR="00AE1D07">
        <w:t xml:space="preserve"> </w:t>
      </w:r>
      <w:r w:rsidR="00E749B5">
        <w:t>wa</w:t>
      </w:r>
      <w:r w:rsidR="001E63FC">
        <w:t>s</w:t>
      </w:r>
      <w:r w:rsidR="00AE1D07">
        <w:t xml:space="preserve"> dominated by isolates from different </w:t>
      </w:r>
      <w:r w:rsidR="00496DCB">
        <w:t>CCs.</w:t>
      </w:r>
      <w:r w:rsidR="00EA171E">
        <w:t xml:space="preserve"> </w:t>
      </w:r>
      <w:r w:rsidR="005827AD">
        <w:t>Clusters within sub-branches</w:t>
      </w:r>
      <w:r w:rsidR="00CA2F27">
        <w:t xml:space="preserve"> of each lineage were isolated </w:t>
      </w:r>
      <w:r w:rsidR="00A7375C">
        <w:t xml:space="preserve">suggesting dissemination </w:t>
      </w:r>
      <w:r w:rsidR="001E63FC">
        <w:t xml:space="preserve">into other countries </w:t>
      </w:r>
      <w:r w:rsidR="00367BC4">
        <w:t>(</w:t>
      </w:r>
      <w:r w:rsidR="00E60C91">
        <w:t>Figure</w:t>
      </w:r>
      <w:r w:rsidR="00367BC4">
        <w:t xml:space="preserve"> 1</w:t>
      </w:r>
      <w:r w:rsidR="00BF04F9">
        <w:t>, S3</w:t>
      </w:r>
      <w:r w:rsidR="00367BC4">
        <w:t>)</w:t>
      </w:r>
      <w:r w:rsidR="005A5660">
        <w:t>.</w:t>
      </w:r>
      <w:r w:rsidR="000D247B">
        <w:t xml:space="preserve"> </w:t>
      </w:r>
      <w:r w:rsidR="005E1842">
        <w:t>Further analysis of CC22 and CC30, the most prevalent CCs</w:t>
      </w:r>
      <w:r w:rsidR="00E9460E">
        <w:t xml:space="preserve">, </w:t>
      </w:r>
      <w:r w:rsidR="00211E51">
        <w:t>demonstrated that tra</w:t>
      </w:r>
      <w:r w:rsidR="00536456">
        <w:t xml:space="preserve">nsmission of an isolate to another country </w:t>
      </w:r>
      <w:r w:rsidR="00E42156">
        <w:t>did not generally lead to successful localised clusters</w:t>
      </w:r>
      <w:r w:rsidR="000D247B">
        <w:t xml:space="preserve"> (Supplementary</w:t>
      </w:r>
      <w:r w:rsidR="00A27701">
        <w:t xml:space="preserve"> Figures S</w:t>
      </w:r>
      <w:r w:rsidR="005E5A9F">
        <w:t>1</w:t>
      </w:r>
      <w:r w:rsidR="00A27701">
        <w:t>, S</w:t>
      </w:r>
      <w:r w:rsidR="005E5A9F">
        <w:t>2</w:t>
      </w:r>
      <w:r w:rsidR="000D247B">
        <w:t>)</w:t>
      </w:r>
      <w:r w:rsidR="00E42156">
        <w:t>.</w:t>
      </w:r>
    </w:p>
    <w:p w14:paraId="25502E88" w14:textId="77777777" w:rsidR="000D247B" w:rsidRPr="00E60C91" w:rsidRDefault="009C42FD" w:rsidP="00F43F94">
      <w:pPr>
        <w:spacing w:after="0" w:line="480" w:lineRule="auto"/>
        <w:rPr>
          <w:b/>
          <w:bCs/>
          <w:i/>
          <w:iCs/>
        </w:rPr>
      </w:pPr>
      <w:r w:rsidRPr="00E60C91">
        <w:rPr>
          <w:b/>
          <w:bCs/>
          <w:i/>
          <w:iCs/>
        </w:rPr>
        <w:t>AMR</w:t>
      </w:r>
      <w:r w:rsidR="00A971EE" w:rsidRPr="00E60C91">
        <w:rPr>
          <w:b/>
          <w:bCs/>
          <w:i/>
          <w:iCs/>
        </w:rPr>
        <w:t xml:space="preserve"> profiles</w:t>
      </w:r>
      <w:r w:rsidRPr="00E60C91">
        <w:rPr>
          <w:b/>
          <w:bCs/>
          <w:i/>
          <w:iCs/>
        </w:rPr>
        <w:t xml:space="preserve"> </w:t>
      </w:r>
      <w:r w:rsidR="000A7084" w:rsidRPr="00E60C91">
        <w:rPr>
          <w:b/>
          <w:bCs/>
          <w:i/>
          <w:iCs/>
        </w:rPr>
        <w:t xml:space="preserve">were </w:t>
      </w:r>
      <w:r w:rsidRPr="00E60C91">
        <w:rPr>
          <w:b/>
          <w:bCs/>
          <w:i/>
          <w:iCs/>
        </w:rPr>
        <w:t>highly variable</w:t>
      </w:r>
      <w:r w:rsidR="00AD2D1A" w:rsidRPr="00E60C91">
        <w:rPr>
          <w:b/>
          <w:bCs/>
          <w:i/>
          <w:iCs/>
        </w:rPr>
        <w:t xml:space="preserve"> and associated with country</w:t>
      </w:r>
    </w:p>
    <w:p w14:paraId="1015EF3A" w14:textId="3DE14C84" w:rsidR="00B5427B" w:rsidRDefault="009E5A49" w:rsidP="00F43F94">
      <w:pPr>
        <w:spacing w:after="0" w:line="480" w:lineRule="auto"/>
      </w:pPr>
      <w:r>
        <w:t xml:space="preserve">AMR phenotypes and genotypes </w:t>
      </w:r>
      <w:r w:rsidR="00A903B4">
        <w:t xml:space="preserve">varied </w:t>
      </w:r>
      <w:r w:rsidR="00026E91">
        <w:t xml:space="preserve">substantially </w:t>
      </w:r>
      <w:r w:rsidR="00A971EE">
        <w:t>within CCs</w:t>
      </w:r>
      <w:r w:rsidR="00746061">
        <w:t xml:space="preserve"> and</w:t>
      </w:r>
      <w:r w:rsidR="00192957">
        <w:t xml:space="preserve"> across </w:t>
      </w:r>
      <w:r w:rsidR="00F8521D">
        <w:t>CCs</w:t>
      </w:r>
      <w:r w:rsidR="00746061">
        <w:t xml:space="preserve"> (</w:t>
      </w:r>
      <w:r w:rsidR="00E60C91">
        <w:t>Figure</w:t>
      </w:r>
      <w:r w:rsidR="00C10F71">
        <w:t xml:space="preserve"> </w:t>
      </w:r>
      <w:r w:rsidR="00746061">
        <w:t>1)</w:t>
      </w:r>
      <w:r w:rsidR="00FC1EFA">
        <w:t>, as well as between countries and operational definitions of success (</w:t>
      </w:r>
      <w:r w:rsidR="00E60C91">
        <w:t>Figure</w:t>
      </w:r>
      <w:r w:rsidR="00FC1EFA">
        <w:t xml:space="preserve"> </w:t>
      </w:r>
      <w:r w:rsidR="007F2B07">
        <w:t>2</w:t>
      </w:r>
      <w:r w:rsidR="00FC1EFA">
        <w:t>)</w:t>
      </w:r>
      <w:r w:rsidR="00656A1D">
        <w:t xml:space="preserve">. </w:t>
      </w:r>
      <w:r w:rsidR="00CB3138">
        <w:t xml:space="preserve">France had a </w:t>
      </w:r>
      <w:r w:rsidR="00A55D5F">
        <w:t xml:space="preserve">higher proportion </w:t>
      </w:r>
      <w:r w:rsidR="00A55D5F">
        <w:lastRenderedPageBreak/>
        <w:t xml:space="preserve">of </w:t>
      </w:r>
      <w:proofErr w:type="spellStart"/>
      <w:r w:rsidR="00A55D5F">
        <w:t>fusidic</w:t>
      </w:r>
      <w:proofErr w:type="spellEnd"/>
      <w:r w:rsidR="00A55D5F">
        <w:t xml:space="preserve"> acid</w:t>
      </w:r>
      <w:r w:rsidR="003E7D78">
        <w:t xml:space="preserve"> resistance and a lower </w:t>
      </w:r>
      <w:r w:rsidR="00534DF1">
        <w:t xml:space="preserve">proportion of </w:t>
      </w:r>
      <w:r w:rsidR="000C7967">
        <w:t xml:space="preserve">gentamicin, mupirocin and </w:t>
      </w:r>
      <w:r w:rsidR="00A92EDC">
        <w:t>trimethoprim resistance</w:t>
      </w:r>
      <w:r w:rsidR="00FC1EFA">
        <w:t xml:space="preserve">. </w:t>
      </w:r>
      <w:r w:rsidR="00C675A9">
        <w:t xml:space="preserve">The Netherlands </w:t>
      </w:r>
      <w:r w:rsidR="00FC1EFA">
        <w:t xml:space="preserve">had </w:t>
      </w:r>
      <w:r w:rsidR="00C675A9">
        <w:t>a higher proportion of tetracycline resistance</w:t>
      </w:r>
      <w:r w:rsidR="008F0A4B">
        <w:t xml:space="preserve"> and a lower proportion of tobramycin resistance. T</w:t>
      </w:r>
      <w:r w:rsidR="00C675A9">
        <w:t xml:space="preserve">he UK </w:t>
      </w:r>
      <w:r w:rsidR="00FC1EFA">
        <w:t xml:space="preserve">had </w:t>
      </w:r>
      <w:r w:rsidR="00C675A9">
        <w:t>a higher proportion of fluoroquinolone, erythromycin</w:t>
      </w:r>
      <w:r w:rsidR="008F0A4B">
        <w:t>, gentamicin, mupirocin, tobramycin</w:t>
      </w:r>
      <w:r w:rsidR="00C675A9">
        <w:t xml:space="preserve"> and </w:t>
      </w:r>
      <w:r w:rsidR="00471D6B">
        <w:t>trimethoprim resistance and a lower proportion of tetracycline resistance</w:t>
      </w:r>
      <w:r w:rsidR="002041F4">
        <w:t xml:space="preserve"> (Supplementary</w:t>
      </w:r>
      <w:r w:rsidR="00C16DD7">
        <w:t xml:space="preserve"> Figure</w:t>
      </w:r>
      <w:r w:rsidR="00827512">
        <w:t xml:space="preserve"> S4</w:t>
      </w:r>
      <w:r w:rsidR="002041F4">
        <w:t>)</w:t>
      </w:r>
      <w:r w:rsidR="00471D6B">
        <w:t>.</w:t>
      </w:r>
    </w:p>
    <w:p w14:paraId="3487330D" w14:textId="6F6FDD7F" w:rsidR="00471D6B" w:rsidRPr="007845A8" w:rsidRDefault="00B327BD" w:rsidP="00F43F94">
      <w:pPr>
        <w:spacing w:after="0" w:line="480" w:lineRule="auto"/>
        <w:rPr>
          <w:b/>
          <w:bCs/>
        </w:rPr>
      </w:pPr>
      <w:r>
        <w:t xml:space="preserve">Within countries, </w:t>
      </w:r>
      <w:r w:rsidR="00D97041">
        <w:t xml:space="preserve">success in France was associated with tobramycin resistance and sporadic </w:t>
      </w:r>
      <w:r w:rsidR="00892E1B">
        <w:t xml:space="preserve">isolates </w:t>
      </w:r>
      <w:r w:rsidR="00D97041">
        <w:t xml:space="preserve">with clindamycin and tetracycline resistance. Success in the UK was associated with </w:t>
      </w:r>
      <w:r w:rsidR="005C6D43">
        <w:t>ciprofloxacin</w:t>
      </w:r>
      <w:r w:rsidR="00AD486A">
        <w:t>,</w:t>
      </w:r>
      <w:r w:rsidR="00D97041">
        <w:t xml:space="preserve"> gentamicin</w:t>
      </w:r>
      <w:r w:rsidR="00AD486A">
        <w:t>, rifampicin and tobramycin</w:t>
      </w:r>
      <w:r w:rsidR="00D97041">
        <w:t xml:space="preserve"> resistance</w:t>
      </w:r>
      <w:r w:rsidR="00AD486A">
        <w:t xml:space="preserve"> and sporadic </w:t>
      </w:r>
      <w:r w:rsidR="00892E1B">
        <w:t xml:space="preserve">isolates </w:t>
      </w:r>
      <w:r w:rsidR="00AD486A">
        <w:t>with tetracycline resistance (</w:t>
      </w:r>
      <w:r w:rsidR="00E60C91">
        <w:t>Figure</w:t>
      </w:r>
      <w:r w:rsidR="00CA0C15">
        <w:t xml:space="preserve"> </w:t>
      </w:r>
      <w:r w:rsidR="00AD486A">
        <w:t>2)</w:t>
      </w:r>
      <w:r w:rsidR="00D97041">
        <w:t>.</w:t>
      </w:r>
      <w:r w:rsidR="00AD486A">
        <w:t xml:space="preserve"> Across the collection, successful isolates were associated with tobramycin resistance (Supplementary</w:t>
      </w:r>
      <w:r w:rsidR="004C6638">
        <w:t xml:space="preserve"> Table </w:t>
      </w:r>
      <w:r w:rsidR="00C8454F">
        <w:t>S</w:t>
      </w:r>
      <w:r w:rsidR="004C6638">
        <w:t>3</w:t>
      </w:r>
      <w:r w:rsidR="00AD486A">
        <w:t xml:space="preserve">).  </w:t>
      </w:r>
    </w:p>
    <w:p w14:paraId="41BE4F4A" w14:textId="77777777" w:rsidR="00447926" w:rsidRPr="00E60C91" w:rsidRDefault="00004E60" w:rsidP="00F43F94">
      <w:pPr>
        <w:spacing w:after="0" w:line="480" w:lineRule="auto"/>
        <w:rPr>
          <w:b/>
          <w:bCs/>
          <w:i/>
          <w:iCs/>
        </w:rPr>
      </w:pPr>
      <w:r w:rsidRPr="00E60C91">
        <w:rPr>
          <w:b/>
          <w:bCs/>
          <w:i/>
          <w:iCs/>
        </w:rPr>
        <w:t>Time-scaled haplotypic density (THD) analysis</w:t>
      </w:r>
    </w:p>
    <w:p w14:paraId="3CF4B45B" w14:textId="6173E94A" w:rsidR="00250712" w:rsidRDefault="00A80507" w:rsidP="00F43F94">
      <w:pPr>
        <w:spacing w:after="0" w:line="480" w:lineRule="auto"/>
      </w:pPr>
      <w:r>
        <w:t xml:space="preserve">THD </w:t>
      </w:r>
      <w:r w:rsidR="007B73A3">
        <w:t>indices were assigned</w:t>
      </w:r>
      <w:r w:rsidR="00451842">
        <w:t xml:space="preserve"> by genetic distance</w:t>
      </w:r>
      <w:r w:rsidR="00F06644">
        <w:t xml:space="preserve"> to other isolates in the collection </w:t>
      </w:r>
      <w:r w:rsidR="00446404">
        <w:t xml:space="preserve">(Supplementary Table </w:t>
      </w:r>
      <w:r w:rsidR="00447017">
        <w:t>S</w:t>
      </w:r>
      <w:r w:rsidR="00446404">
        <w:t xml:space="preserve">1) </w:t>
      </w:r>
      <w:r w:rsidR="00F06644">
        <w:t>reflecting the rate of transmission and selection over time</w:t>
      </w:r>
      <w:r w:rsidR="00481EA3">
        <w:t xml:space="preserve"> </w:t>
      </w:r>
      <w:r w:rsidR="00F124CF" w:rsidRPr="00F124CF">
        <w:rPr>
          <w:noProof/>
        </w:rPr>
        <w:t>[15–17]</w:t>
      </w:r>
      <w:r w:rsidR="008457D0">
        <w:t>.</w:t>
      </w:r>
      <w:r w:rsidR="00A14110">
        <w:t xml:space="preserve">  </w:t>
      </w:r>
      <w:r w:rsidR="00250712">
        <w:t xml:space="preserve">THD indices were higher in the UK, suggesting </w:t>
      </w:r>
      <w:r w:rsidR="00151827">
        <w:t xml:space="preserve">that </w:t>
      </w:r>
      <w:r w:rsidR="00250712">
        <w:t xml:space="preserve">successful isolates </w:t>
      </w:r>
      <w:r w:rsidR="00446404">
        <w:t xml:space="preserve">were </w:t>
      </w:r>
      <w:r w:rsidR="00250712">
        <w:t>closely related</w:t>
      </w:r>
      <w:r w:rsidR="00446404">
        <w:t xml:space="preserve"> in this country</w:t>
      </w:r>
      <w:r w:rsidR="00250712">
        <w:t xml:space="preserve"> (</w:t>
      </w:r>
      <w:r w:rsidR="00E60C91">
        <w:t>Figure</w:t>
      </w:r>
      <w:r w:rsidR="00CA0C15">
        <w:t xml:space="preserve"> </w:t>
      </w:r>
      <w:r w:rsidR="00CF534D">
        <w:t xml:space="preserve">1, </w:t>
      </w:r>
      <w:r w:rsidR="001967A6">
        <w:t xml:space="preserve">Supplementary </w:t>
      </w:r>
      <w:r w:rsidR="00CF534D">
        <w:t>Table S1</w:t>
      </w:r>
      <w:r w:rsidR="00250712">
        <w:t>).  C</w:t>
      </w:r>
      <w:r w:rsidR="005560AA">
        <w:t>C</w:t>
      </w:r>
      <w:r w:rsidR="00250712">
        <w:t>22 was the most successful clone</w:t>
      </w:r>
      <w:r w:rsidR="00446404">
        <w:t xml:space="preserve"> overall</w:t>
      </w:r>
      <w:r w:rsidR="00313523">
        <w:t xml:space="preserve"> (</w:t>
      </w:r>
      <w:r w:rsidR="00E60C91">
        <w:t>Figure</w:t>
      </w:r>
      <w:r w:rsidR="00313523">
        <w:t xml:space="preserve"> 3</w:t>
      </w:r>
      <w:r w:rsidR="003949B9">
        <w:t>b</w:t>
      </w:r>
      <w:r w:rsidR="00313523">
        <w:t>)</w:t>
      </w:r>
      <w:r w:rsidR="00446404">
        <w:t xml:space="preserve"> and the dominant clone</w:t>
      </w:r>
      <w:r w:rsidR="00250712">
        <w:t xml:space="preserve"> in the UK (</w:t>
      </w:r>
      <w:r w:rsidR="00E60C91">
        <w:t>Figure</w:t>
      </w:r>
      <w:r w:rsidR="00CA0C15">
        <w:t xml:space="preserve"> </w:t>
      </w:r>
      <w:r w:rsidR="003949B9">
        <w:t>1,3a</w:t>
      </w:r>
      <w:r w:rsidR="00250712">
        <w:t>).</w:t>
      </w:r>
    </w:p>
    <w:p w14:paraId="12B7E52C" w14:textId="77777777" w:rsidR="00A14110" w:rsidRDefault="00A14110" w:rsidP="00F43F94">
      <w:pPr>
        <w:spacing w:after="0" w:line="480" w:lineRule="auto"/>
      </w:pPr>
      <w:r>
        <w:t xml:space="preserve">The THD and operational definitions of success </w:t>
      </w:r>
      <w:r w:rsidR="002A029C">
        <w:t>did not differ signif</w:t>
      </w:r>
      <w:r w:rsidR="0023325C">
        <w:t>ic</w:t>
      </w:r>
      <w:r w:rsidR="002A029C">
        <w:t>antly between successful and sporadic isolates (</w:t>
      </w:r>
      <w:r w:rsidR="00F3381D">
        <w:t>2-side</w:t>
      </w:r>
      <w:r w:rsidR="00446404">
        <w:t>d</w:t>
      </w:r>
      <w:r w:rsidR="00F3381D">
        <w:t xml:space="preserve"> Mann Whitney test, p =</w:t>
      </w:r>
      <w:r w:rsidR="00151827">
        <w:t xml:space="preserve"> </w:t>
      </w:r>
      <w:r w:rsidR="00F3381D">
        <w:t>0.42).</w:t>
      </w:r>
      <w:r w:rsidR="00FD03A9">
        <w:t xml:space="preserve"> However, afte</w:t>
      </w:r>
      <w:r w:rsidR="00F100EC">
        <w:t xml:space="preserve">r taking into account the country and CC of each strain </w:t>
      </w:r>
      <w:r w:rsidR="002F5555">
        <w:t>as random effects in a mixed-effect linear regression, operational success predicted slightly higher THD values (17.5% increase</w:t>
      </w:r>
      <w:r w:rsidR="00F204FC">
        <w:t>, 95% CI, 6.7 to 29.4%, p</w:t>
      </w:r>
      <w:r w:rsidR="00151827">
        <w:t xml:space="preserve"> </w:t>
      </w:r>
      <w:r w:rsidR="00F204FC">
        <w:t>=</w:t>
      </w:r>
      <w:r w:rsidR="00C51C1C">
        <w:t xml:space="preserve"> </w:t>
      </w:r>
      <w:r w:rsidR="00F204FC">
        <w:t>0.001)</w:t>
      </w:r>
      <w:r w:rsidR="00B255D6">
        <w:t xml:space="preserve">. These findings indicate </w:t>
      </w:r>
      <w:r w:rsidR="00151827">
        <w:t xml:space="preserve">that </w:t>
      </w:r>
      <w:r w:rsidR="00B255D6">
        <w:t xml:space="preserve">the operational definitions of success failed to capture the epidemic success of a given isolate among the global MRSA population, </w:t>
      </w:r>
      <w:r w:rsidR="00446404">
        <w:t>most likely due to the country-specific definitions; however, operational definitions c</w:t>
      </w:r>
      <w:r w:rsidR="00B255D6">
        <w:t>orrectly predicted epidemic success within the same lineage and country.</w:t>
      </w:r>
    </w:p>
    <w:p w14:paraId="33DF81DB" w14:textId="77777777" w:rsidR="00004E60" w:rsidRDefault="00E900C4" w:rsidP="00F43F94">
      <w:pPr>
        <w:spacing w:after="0" w:line="480" w:lineRule="auto"/>
      </w:pPr>
      <w:r>
        <w:t xml:space="preserve">Then, we leveraged THD indices to examine AMR with epidemic success. We constructed </w:t>
      </w:r>
      <w:r w:rsidR="0007277A">
        <w:t xml:space="preserve">univariate and multivariable models of the THD success index as a function of the inhibition zone diameters for </w:t>
      </w:r>
      <w:r w:rsidR="0007277A">
        <w:lastRenderedPageBreak/>
        <w:t xml:space="preserve">7 antimicrobial </w:t>
      </w:r>
      <w:r w:rsidR="00C568CF">
        <w:t>drugs. All models were adjusted for variations across countries and CC</w:t>
      </w:r>
      <w:r w:rsidR="00446404">
        <w:t>s</w:t>
      </w:r>
      <w:r w:rsidR="00C568CF">
        <w:t xml:space="preserve"> using random intercepts. </w:t>
      </w:r>
      <w:r w:rsidR="0048562B">
        <w:t xml:space="preserve">In multi-variable analysis, the THD success index correlated positively with </w:t>
      </w:r>
      <w:r w:rsidR="001C0F8A">
        <w:t>ciprofloxacin</w:t>
      </w:r>
      <w:r w:rsidR="009719A4">
        <w:t>,</w:t>
      </w:r>
      <w:r w:rsidR="001C0F8A">
        <w:t xml:space="preserve"> erythromycin</w:t>
      </w:r>
      <w:r w:rsidR="009719A4">
        <w:t xml:space="preserve"> and mupirocin,</w:t>
      </w:r>
      <w:r w:rsidR="001C0F8A">
        <w:t xml:space="preserve"> and negatively with gentamicin, rifampicin and trimethoprim (</w:t>
      </w:r>
      <w:r w:rsidR="00E60C91">
        <w:t>Figure</w:t>
      </w:r>
      <w:r w:rsidR="001C0F8A">
        <w:t xml:space="preserve"> </w:t>
      </w:r>
      <w:r w:rsidR="00F17C6B">
        <w:t>3</w:t>
      </w:r>
      <w:r w:rsidR="001C0F8A">
        <w:t>c).</w:t>
      </w:r>
    </w:p>
    <w:p w14:paraId="2085833B" w14:textId="7B126032" w:rsidR="00E749B5" w:rsidRDefault="00E749B5" w:rsidP="00F43F94">
      <w:pPr>
        <w:spacing w:after="0" w:line="480" w:lineRule="auto"/>
      </w:pPr>
      <w:r>
        <w:t xml:space="preserve">Genome-wide association study (GWAS) using </w:t>
      </w:r>
      <w:proofErr w:type="spellStart"/>
      <w:r>
        <w:t>pyseer</w:t>
      </w:r>
      <w:proofErr w:type="spellEnd"/>
      <w:r>
        <w:t xml:space="preserve"> to identify mutations and account for lineage variation did not reveal any markers of success. </w:t>
      </w:r>
      <w:proofErr w:type="spellStart"/>
      <w:r>
        <w:t>Pyseer</w:t>
      </w:r>
      <w:proofErr w:type="spellEnd"/>
      <w:r>
        <w:t xml:space="preserve"> correctly identified the most common mutations associated with phenotypic resistance (Supplementary</w:t>
      </w:r>
      <w:r w:rsidR="00AE4594">
        <w:t xml:space="preserve"> Figure S</w:t>
      </w:r>
      <w:r w:rsidR="00577A12">
        <w:t>5</w:t>
      </w:r>
      <w:r>
        <w:t xml:space="preserve">). A search for known virulence genes using VFDB identified </w:t>
      </w:r>
      <w:proofErr w:type="spellStart"/>
      <w:r w:rsidRPr="00851F62">
        <w:rPr>
          <w:i/>
          <w:iCs/>
        </w:rPr>
        <w:t>tst</w:t>
      </w:r>
      <w:proofErr w:type="spellEnd"/>
      <w:r>
        <w:t xml:space="preserve"> (toxic shock syndrome toxin) although </w:t>
      </w:r>
      <w:r w:rsidR="00446404">
        <w:t>prevalence</w:t>
      </w:r>
      <w:r>
        <w:t xml:space="preserve"> was low (Supplementary Table </w:t>
      </w:r>
      <w:r w:rsidR="00447017">
        <w:t>S</w:t>
      </w:r>
      <w:r>
        <w:t>1</w:t>
      </w:r>
      <w:r w:rsidR="00BE6684">
        <w:t>, Supplementary data</w:t>
      </w:r>
      <w:r>
        <w:t>).</w:t>
      </w:r>
    </w:p>
    <w:p w14:paraId="3D082BA7" w14:textId="4DE82955" w:rsidR="0040543E" w:rsidRPr="00E62B31" w:rsidRDefault="009E2C68" w:rsidP="00F43F94">
      <w:pPr>
        <w:spacing w:after="0" w:line="480" w:lineRule="auto"/>
        <w:rPr>
          <w:b/>
          <w:i/>
        </w:rPr>
      </w:pPr>
      <w:r>
        <w:rPr>
          <w:b/>
          <w:i/>
        </w:rPr>
        <w:t>AMR</w:t>
      </w:r>
      <w:r w:rsidR="0040543E" w:rsidRPr="00E62B31">
        <w:rPr>
          <w:b/>
          <w:i/>
        </w:rPr>
        <w:t xml:space="preserve"> </w:t>
      </w:r>
      <w:r w:rsidR="0040543E">
        <w:rPr>
          <w:b/>
          <w:i/>
        </w:rPr>
        <w:t xml:space="preserve">incidence </w:t>
      </w:r>
      <w:r w:rsidR="0040543E" w:rsidRPr="00E62B31">
        <w:rPr>
          <w:b/>
          <w:i/>
        </w:rPr>
        <w:t>and antimicrobial usage</w:t>
      </w:r>
      <w:r w:rsidR="00A71099">
        <w:rPr>
          <w:b/>
          <w:i/>
        </w:rPr>
        <w:t xml:space="preserve"> across Europe</w:t>
      </w:r>
    </w:p>
    <w:p w14:paraId="7D7F6880" w14:textId="7280FDD6" w:rsidR="0040543E" w:rsidRDefault="0040543E" w:rsidP="00F43F94">
      <w:pPr>
        <w:spacing w:after="0" w:line="480" w:lineRule="auto"/>
      </w:pPr>
      <w:r>
        <w:t xml:space="preserve">MRSA incidence of infection </w:t>
      </w:r>
      <w:r w:rsidR="00446404">
        <w:t>varie</w:t>
      </w:r>
      <w:r w:rsidR="00057897">
        <w:t>d</w:t>
      </w:r>
      <w:r w:rsidR="00446404">
        <w:t xml:space="preserve"> widely </w:t>
      </w:r>
      <w:r>
        <w:t xml:space="preserve">between </w:t>
      </w:r>
      <w:r w:rsidR="009354C1">
        <w:t xml:space="preserve">29 </w:t>
      </w:r>
      <w:r>
        <w:t xml:space="preserve">countries across Europe, ranging from an estimated 1.47 cases in the Netherlands to </w:t>
      </w:r>
      <w:r w:rsidR="00057897">
        <w:t>102</w:t>
      </w:r>
      <w:r>
        <w:t xml:space="preserve"> cases in Portugal per 100</w:t>
      </w:r>
      <w:r w:rsidR="00C51C1C">
        <w:t>,</w:t>
      </w:r>
      <w:r>
        <w:t xml:space="preserve">000 </w:t>
      </w:r>
      <w:r w:rsidR="00C51C1C">
        <w:t xml:space="preserve">persons </w:t>
      </w:r>
      <w:r>
        <w:t>per year (</w:t>
      </w:r>
      <w:r w:rsidR="00E60C91">
        <w:t>Figure</w:t>
      </w:r>
      <w:r>
        <w:t xml:space="preserve"> </w:t>
      </w:r>
      <w:r w:rsidR="00F17C6B">
        <w:t>4</w:t>
      </w:r>
      <w:r>
        <w:t>, Supplementary</w:t>
      </w:r>
      <w:r w:rsidR="00D4339D">
        <w:t xml:space="preserve"> </w:t>
      </w:r>
      <w:r w:rsidR="00175DFB">
        <w:t>Figure</w:t>
      </w:r>
      <w:r w:rsidR="004E4EA6">
        <w:t>s</w:t>
      </w:r>
      <w:r w:rsidR="00175DFB">
        <w:t xml:space="preserve"> </w:t>
      </w:r>
      <w:r w:rsidR="004E4EA6">
        <w:t>S7, S8</w:t>
      </w:r>
      <w:r>
        <w:t>).</w:t>
      </w:r>
      <w:r w:rsidR="00AD7CDD">
        <w:t xml:space="preserve"> </w:t>
      </w:r>
      <w:r w:rsidR="00446404">
        <w:t>Similarly, antimicrobial usage is markedly different across countries</w:t>
      </w:r>
      <w:r w:rsidR="00AE633E">
        <w:t xml:space="preserve"> (Supplementary Figures S9-S12)</w:t>
      </w:r>
      <w:r w:rsidR="00446404">
        <w:t>. W</w:t>
      </w:r>
      <w:r w:rsidR="00E34689">
        <w:t xml:space="preserve">e </w:t>
      </w:r>
      <w:r w:rsidR="004C58C8">
        <w:t>compared</w:t>
      </w:r>
      <w:r w:rsidR="00AD7CDD">
        <w:t xml:space="preserve"> antimicrobial usage </w:t>
      </w:r>
      <w:r w:rsidR="00446404">
        <w:t>with MRSA incidence across</w:t>
      </w:r>
      <w:r w:rsidR="00F066D9">
        <w:t xml:space="preserve"> </w:t>
      </w:r>
      <w:r w:rsidR="00AD7CDD">
        <w:t>European countries</w:t>
      </w:r>
      <w:r w:rsidR="00E34689">
        <w:t xml:space="preserve"> to further explore </w:t>
      </w:r>
      <w:r w:rsidR="00446404">
        <w:t xml:space="preserve">MRSA </w:t>
      </w:r>
      <w:r w:rsidR="00E34689">
        <w:t>selection</w:t>
      </w:r>
      <w:r w:rsidR="00446404">
        <w:t xml:space="preserve"> by antibiotics</w:t>
      </w:r>
      <w:r w:rsidR="00E34689">
        <w:t>.</w:t>
      </w:r>
    </w:p>
    <w:p w14:paraId="1BD8F79B" w14:textId="2EE1131B" w:rsidR="0018156D" w:rsidRDefault="0040543E" w:rsidP="00F43F94">
      <w:pPr>
        <w:spacing w:after="0" w:line="480" w:lineRule="auto"/>
      </w:pPr>
      <w:r>
        <w:t>MRSA incidence correlated with</w:t>
      </w:r>
      <w:r w:rsidR="006027D8">
        <w:t xml:space="preserve"> total</w:t>
      </w:r>
      <w:r>
        <w:t xml:space="preserve"> </w:t>
      </w:r>
      <w:r w:rsidR="005712AE" w:rsidRPr="00D52CD6">
        <w:rPr>
          <w:rFonts w:cs="Calibri"/>
        </w:rPr>
        <w:t>beta</w:t>
      </w:r>
      <w:r>
        <w:t xml:space="preserve">-lactam usage in </w:t>
      </w:r>
      <w:r w:rsidR="006027D8">
        <w:t>29</w:t>
      </w:r>
      <w:r>
        <w:t xml:space="preserve"> countries (</w:t>
      </w:r>
      <w:r w:rsidR="00E60C91">
        <w:t>Figure</w:t>
      </w:r>
      <w:r>
        <w:t xml:space="preserve"> 5</w:t>
      </w:r>
      <w:r w:rsidR="0000607A">
        <w:t>a</w:t>
      </w:r>
      <w:r>
        <w:t>, Supplementary</w:t>
      </w:r>
      <w:r w:rsidR="008715B1">
        <w:t xml:space="preserve"> </w:t>
      </w:r>
      <w:r w:rsidR="00EA2D3C">
        <w:t>Figures S16-S19</w:t>
      </w:r>
      <w:r>
        <w:t xml:space="preserve">). Specific associations </w:t>
      </w:r>
      <w:r w:rsidR="007D56C0">
        <w:t xml:space="preserve">were found </w:t>
      </w:r>
      <w:r>
        <w:t>between</w:t>
      </w:r>
      <w:r w:rsidR="000E5314">
        <w:t xml:space="preserve"> combinations of </w:t>
      </w:r>
      <w:proofErr w:type="spellStart"/>
      <w:r w:rsidR="000E5314">
        <w:t>penicillins</w:t>
      </w:r>
      <w:proofErr w:type="spellEnd"/>
      <w:r w:rsidR="000E5314">
        <w:t>, including</w:t>
      </w:r>
      <w:r>
        <w:t xml:space="preserve"> </w:t>
      </w:r>
      <w:r w:rsidR="005712AE" w:rsidRPr="00D52CD6">
        <w:rPr>
          <w:rFonts w:cs="Calibri"/>
        </w:rPr>
        <w:t>beta</w:t>
      </w:r>
      <w:r>
        <w:t>-lactam</w:t>
      </w:r>
      <w:r w:rsidR="00FA4855">
        <w:t>ase inhibitors</w:t>
      </w:r>
      <w:r>
        <w:t xml:space="preserve"> in the community and hospita</w:t>
      </w:r>
      <w:r w:rsidR="00D328BB">
        <w:t>ls</w:t>
      </w:r>
      <w:r w:rsidR="00FA4855">
        <w:t>,</w:t>
      </w:r>
      <w:r w:rsidR="00BF4DEC">
        <w:t xml:space="preserve"> and</w:t>
      </w:r>
      <w:r w:rsidR="00D328BB">
        <w:t xml:space="preserve"> </w:t>
      </w:r>
      <w:r>
        <w:t>3</w:t>
      </w:r>
      <w:r w:rsidRPr="0040543E">
        <w:rPr>
          <w:vertAlign w:val="superscript"/>
        </w:rPr>
        <w:t>rd</w:t>
      </w:r>
      <w:r>
        <w:t xml:space="preserve"> generation cephalosporins in the community.  Countries with higher use of </w:t>
      </w:r>
      <w:r w:rsidR="00D82DD5" w:rsidRPr="00D52CD6">
        <w:rPr>
          <w:rFonts w:cs="Calibri"/>
        </w:rPr>
        <w:t>beta</w:t>
      </w:r>
      <w:r>
        <w:t xml:space="preserve">-lactamase sensitive </w:t>
      </w:r>
      <w:proofErr w:type="spellStart"/>
      <w:r w:rsidR="009074F8" w:rsidRPr="00D52CD6">
        <w:rPr>
          <w:rFonts w:cs="Calibri"/>
        </w:rPr>
        <w:t>penicillin</w:t>
      </w:r>
      <w:r>
        <w:t>s</w:t>
      </w:r>
      <w:proofErr w:type="spellEnd"/>
      <w:r>
        <w:t xml:space="preserve"> </w:t>
      </w:r>
      <w:r w:rsidR="00BF4DEC">
        <w:t xml:space="preserve">in the community </w:t>
      </w:r>
      <w:r>
        <w:t xml:space="preserve">had lower MRSA incidence. </w:t>
      </w:r>
    </w:p>
    <w:p w14:paraId="6D9FA795" w14:textId="2AA5DED8" w:rsidR="0040543E" w:rsidRDefault="0018156D" w:rsidP="00F43F94">
      <w:pPr>
        <w:spacing w:after="0" w:line="480" w:lineRule="auto"/>
      </w:pPr>
      <w:r>
        <w:t xml:space="preserve">We also identified a correlation between MRSA incidence and </w:t>
      </w:r>
      <w:r w:rsidR="009E63B5">
        <w:t>fluoroquinolone usage</w:t>
      </w:r>
      <w:r w:rsidR="0000607A">
        <w:t xml:space="preserve"> (</w:t>
      </w:r>
      <w:r w:rsidR="00E60C91">
        <w:t>Figure</w:t>
      </w:r>
      <w:r w:rsidR="0000607A">
        <w:t xml:space="preserve"> 5b</w:t>
      </w:r>
      <w:r w:rsidR="004A5148">
        <w:t>, Supplementary Figures S20-S23</w:t>
      </w:r>
      <w:r w:rsidR="0000607A">
        <w:t>)</w:t>
      </w:r>
      <w:r w:rsidR="009E63B5">
        <w:t xml:space="preserve">. </w:t>
      </w:r>
      <w:r w:rsidR="00B54576">
        <w:t>We note that Portugal is an outlier in our data with very high MRSA incidence</w:t>
      </w:r>
      <w:r w:rsidR="00221C6D">
        <w:t>. When excluding Portugal from analysis, additional correlations were found</w:t>
      </w:r>
      <w:r w:rsidR="00B54576">
        <w:t xml:space="preserve"> </w:t>
      </w:r>
      <w:r w:rsidR="00253DAE">
        <w:t xml:space="preserve">between MRSA incidence </w:t>
      </w:r>
      <w:r w:rsidR="00B54576">
        <w:t>with macrolide</w:t>
      </w:r>
      <w:r w:rsidR="00F80329">
        <w:t xml:space="preserve"> use in the community</w:t>
      </w:r>
      <w:r w:rsidR="00B54576">
        <w:t xml:space="preserve"> </w:t>
      </w:r>
      <w:r w:rsidR="009A1558">
        <w:t xml:space="preserve">and aminoglycoside </w:t>
      </w:r>
      <w:r w:rsidR="00B54576">
        <w:t>use</w:t>
      </w:r>
      <w:r w:rsidR="0000607A">
        <w:t xml:space="preserve"> </w:t>
      </w:r>
      <w:r w:rsidR="00F80329">
        <w:t xml:space="preserve">in hospitals </w:t>
      </w:r>
      <w:r w:rsidR="0000607A">
        <w:t>(</w:t>
      </w:r>
      <w:r w:rsidR="00E60C91">
        <w:t>Figure</w:t>
      </w:r>
      <w:r w:rsidR="0000607A">
        <w:t xml:space="preserve"> 5b</w:t>
      </w:r>
      <w:r w:rsidR="00E5550B">
        <w:t xml:space="preserve">, Supplementary Figures </w:t>
      </w:r>
      <w:r w:rsidR="002D7BDC">
        <w:t xml:space="preserve">S24-S27, </w:t>
      </w:r>
      <w:r w:rsidR="00A72915">
        <w:t>S31-S32</w:t>
      </w:r>
      <w:r w:rsidR="0000607A">
        <w:t>)</w:t>
      </w:r>
      <w:r w:rsidR="00B54576">
        <w:t>.</w:t>
      </w:r>
      <w:r w:rsidR="0000607A">
        <w:t xml:space="preserve"> Correlation</w:t>
      </w:r>
      <w:r w:rsidR="00221C6D">
        <w:t>s</w:t>
      </w:r>
      <w:r w:rsidR="0000607A">
        <w:t xml:space="preserve"> between MRSA incidence and other classes of antimicrobial</w:t>
      </w:r>
      <w:r w:rsidR="0011413F">
        <w:t>s</w:t>
      </w:r>
      <w:r w:rsidR="0000607A">
        <w:t xml:space="preserve"> were not significant</w:t>
      </w:r>
      <w:r w:rsidR="00083E2A">
        <w:t xml:space="preserve"> (Supplementary Data</w:t>
      </w:r>
      <w:r w:rsidR="007F394B">
        <w:t xml:space="preserve"> page</w:t>
      </w:r>
      <w:r w:rsidR="00292EA6">
        <w:t>s 14-55)</w:t>
      </w:r>
    </w:p>
    <w:p w14:paraId="20ECFAC3" w14:textId="77777777" w:rsidR="00B40CEB" w:rsidRPr="008F51B4" w:rsidRDefault="008F51B4" w:rsidP="00F43F94">
      <w:pPr>
        <w:spacing w:after="0" w:line="480" w:lineRule="auto"/>
        <w:rPr>
          <w:b/>
          <w:bCs/>
        </w:rPr>
      </w:pPr>
      <w:r w:rsidRPr="008F51B4">
        <w:rPr>
          <w:b/>
          <w:bCs/>
        </w:rPr>
        <w:lastRenderedPageBreak/>
        <w:t>D</w:t>
      </w:r>
      <w:r w:rsidR="00ED05FD">
        <w:rPr>
          <w:b/>
          <w:bCs/>
        </w:rPr>
        <w:t>ISCUSSION</w:t>
      </w:r>
    </w:p>
    <w:p w14:paraId="3E5CD997" w14:textId="0EB0387A" w:rsidR="00200183" w:rsidRPr="003431C7" w:rsidRDefault="00200183" w:rsidP="00F43F94">
      <w:pPr>
        <w:spacing w:after="0" w:line="480" w:lineRule="auto"/>
      </w:pPr>
      <w:r>
        <w:t xml:space="preserve">In this project we brought together isolates from three European countries with varying MRSA incidence. Surprisingly, we found that harmonizing a definition and unifying data analysis for epidemic success was extremely challenging. We explored the internationally differing MRSA surveillance programs, strain collections, typing methods and uses of data </w:t>
      </w:r>
      <w:r w:rsidRPr="0022046A">
        <w:rPr>
          <w:noProof/>
        </w:rPr>
        <w:t>[8]</w:t>
      </w:r>
      <w:r>
        <w:t xml:space="preserve">. THD analysis confirmed that our operational definitions of success </w:t>
      </w:r>
      <w:r w:rsidR="004660ED">
        <w:t xml:space="preserve">in each country </w:t>
      </w:r>
      <w:r>
        <w:t xml:space="preserve">did not completely </w:t>
      </w:r>
      <w:r w:rsidR="00D757FE">
        <w:t xml:space="preserve">match or </w:t>
      </w:r>
      <w:r>
        <w:t>capture</w:t>
      </w:r>
      <w:r w:rsidR="00C62281">
        <w:t xml:space="preserve"> </w:t>
      </w:r>
      <w:r>
        <w:t>epidemic success. A unified framework for MRSA sampling is needed to establish cohesive sample and data collections</w:t>
      </w:r>
      <w:r w:rsidR="002D2C7C">
        <w:t>, such as common reasons for collecting isolates</w:t>
      </w:r>
      <w:r w:rsidR="00EC3068">
        <w:t xml:space="preserve"> and sources of isolates</w:t>
      </w:r>
      <w:r w:rsidR="002D2C7C">
        <w:t xml:space="preserve">, </w:t>
      </w:r>
      <w:r w:rsidR="00AF2822" w:rsidRPr="003431C7">
        <w:t xml:space="preserve">harmonised typing and </w:t>
      </w:r>
      <w:r w:rsidR="000F60D7" w:rsidRPr="003431C7">
        <w:t xml:space="preserve">accessible strains, which we discuss </w:t>
      </w:r>
      <w:r w:rsidR="00C76E35" w:rsidRPr="003431C7">
        <w:t>further in an accompanying paper</w:t>
      </w:r>
      <w:r w:rsidR="007F0870" w:rsidRPr="003431C7">
        <w:t xml:space="preserve"> </w:t>
      </w:r>
      <w:r w:rsidR="00F124CF" w:rsidRPr="003431C7">
        <w:rPr>
          <w:noProof/>
        </w:rPr>
        <w:t>[8]</w:t>
      </w:r>
      <w:r w:rsidRPr="003431C7">
        <w:t>.</w:t>
      </w:r>
      <w:r w:rsidR="006916CF" w:rsidRPr="003431C7">
        <w:t xml:space="preserve"> This would allow a direct comparison between clonal types of differing incidence and success in different locations.</w:t>
      </w:r>
      <w:r w:rsidRPr="003431C7">
        <w:t xml:space="preserve"> </w:t>
      </w:r>
    </w:p>
    <w:p w14:paraId="0B144C07" w14:textId="197358F8" w:rsidR="008F51B4" w:rsidRDefault="00504261" w:rsidP="00F43F94">
      <w:pPr>
        <w:spacing w:after="0" w:line="480" w:lineRule="auto"/>
      </w:pPr>
      <w:r>
        <w:t xml:space="preserve">The high variation in MRSA incidence </w:t>
      </w:r>
      <w:r w:rsidR="006F08FC">
        <w:t xml:space="preserve">and in </w:t>
      </w:r>
      <w:r w:rsidR="003F7BBD">
        <w:t xml:space="preserve">CC </w:t>
      </w:r>
      <w:r w:rsidR="006F08FC">
        <w:t xml:space="preserve">types </w:t>
      </w:r>
      <w:r>
        <w:t xml:space="preserve">in European countries indicates </w:t>
      </w:r>
      <w:r w:rsidR="00F1154E">
        <w:t xml:space="preserve">differing selection pressures </w:t>
      </w:r>
      <w:r w:rsidR="004109AF">
        <w:t>based on geograph</w:t>
      </w:r>
      <w:r w:rsidR="00532C85">
        <w:t>ic</w:t>
      </w:r>
      <w:r w:rsidR="000D314D">
        <w:t>al factors</w:t>
      </w:r>
      <w:r w:rsidR="004109AF">
        <w:t xml:space="preserve">. </w:t>
      </w:r>
      <w:r w:rsidR="003F7BBD">
        <w:t>Identifying m</w:t>
      </w:r>
      <w:r w:rsidR="004109AF">
        <w:t xml:space="preserve">arkers of selection </w:t>
      </w:r>
      <w:r w:rsidR="00B9088E">
        <w:t xml:space="preserve">in successful isolates in different countries </w:t>
      </w:r>
      <w:r w:rsidR="00CE52D7">
        <w:t xml:space="preserve">will be </w:t>
      </w:r>
      <w:r w:rsidR="00B9088E">
        <w:t>key to designing effective interventions to reduce selection.</w:t>
      </w:r>
      <w:r w:rsidR="00744EB7">
        <w:t xml:space="preserve">  </w:t>
      </w:r>
    </w:p>
    <w:p w14:paraId="24B557AD" w14:textId="77777777" w:rsidR="00DA106E" w:rsidRDefault="00333148" w:rsidP="00F43F94">
      <w:pPr>
        <w:spacing w:after="0" w:line="480" w:lineRule="auto"/>
      </w:pPr>
      <w:r>
        <w:t xml:space="preserve">Comprehensive phylogenetic analysis by GWAS did not identify mutations associated with success.  </w:t>
      </w:r>
      <w:r w:rsidR="002379B4">
        <w:t xml:space="preserve">Despite using </w:t>
      </w:r>
      <w:proofErr w:type="spellStart"/>
      <w:r w:rsidR="002379B4">
        <w:t>pyseer</w:t>
      </w:r>
      <w:proofErr w:type="spellEnd"/>
      <w:r w:rsidR="002379B4">
        <w:t xml:space="preserve">, the </w:t>
      </w:r>
      <w:r w:rsidR="00786FC0">
        <w:t xml:space="preserve">complex lineage structure of MRSA may have confounded the analysis.  This method does not include most </w:t>
      </w:r>
      <w:r w:rsidR="00C13371">
        <w:t xml:space="preserve">of the antibiotic </w:t>
      </w:r>
      <w:r w:rsidR="00786FC0">
        <w:t>resistances which in MRSA are due</w:t>
      </w:r>
      <w:r w:rsidR="002F05C0">
        <w:t xml:space="preserve"> to resistance genes carried on mobile genetic elements. </w:t>
      </w:r>
      <w:r w:rsidR="00BF606F">
        <w:t>A THD analysis was more nuanced assigning indices for success</w:t>
      </w:r>
      <w:r w:rsidR="005F6A34">
        <w:t>. This approach allowed CC22</w:t>
      </w:r>
      <w:r w:rsidR="00995799">
        <w:t xml:space="preserve"> to clearly be identified as the most successful clone</w:t>
      </w:r>
      <w:r w:rsidR="00E70E81">
        <w:t xml:space="preserve">, despite </w:t>
      </w:r>
      <w:r w:rsidR="009B26D0">
        <w:t>samples being chosen across a range of CCs.</w:t>
      </w:r>
      <w:r w:rsidR="00DC260F">
        <w:t xml:space="preserve"> </w:t>
      </w:r>
    </w:p>
    <w:p w14:paraId="5BF144FD" w14:textId="77777777" w:rsidR="00740E66" w:rsidRDefault="003E693D" w:rsidP="00F43F94">
      <w:pPr>
        <w:spacing w:after="0" w:line="480" w:lineRule="auto"/>
      </w:pPr>
      <w:r>
        <w:t>Across the collection,</w:t>
      </w:r>
      <w:r w:rsidR="00C13371">
        <w:t xml:space="preserve"> a</w:t>
      </w:r>
      <w:r w:rsidR="00E73E57">
        <w:t>n antibiotic</w:t>
      </w:r>
      <w:r w:rsidR="00C13371">
        <w:t xml:space="preserve"> </w:t>
      </w:r>
      <w:r w:rsidR="001C068F">
        <w:t xml:space="preserve">resistance </w:t>
      </w:r>
      <w:r w:rsidR="00057A82">
        <w:t xml:space="preserve">phenotype was associated with THD success for </w:t>
      </w:r>
      <w:r w:rsidR="004A3262">
        <w:t>ciprofloxacin, macrolides and mupirocin</w:t>
      </w:r>
      <w:r w:rsidR="00D05D71">
        <w:t xml:space="preserve"> (Figure 3)</w:t>
      </w:r>
      <w:r w:rsidR="004A3262">
        <w:t>.</w:t>
      </w:r>
      <w:r w:rsidR="001C068F">
        <w:t xml:space="preserve"> Success was not associated with </w:t>
      </w:r>
      <w:r>
        <w:t>gentamicin, rifampicin and trimethoprim resistance.</w:t>
      </w:r>
      <w:r w:rsidR="008305F3">
        <w:t xml:space="preserve"> This pattern does not simply align with CC22 AMR profiles</w:t>
      </w:r>
      <w:r w:rsidR="003C57A6">
        <w:t xml:space="preserve">, </w:t>
      </w:r>
      <w:r w:rsidR="004605DC">
        <w:t xml:space="preserve">or with resistance profiles in the UK MRSA, </w:t>
      </w:r>
      <w:r w:rsidR="003C57A6">
        <w:t xml:space="preserve">and demonstrates that </w:t>
      </w:r>
      <w:r w:rsidR="00D23D71">
        <w:t xml:space="preserve">CCs </w:t>
      </w:r>
      <w:r w:rsidR="003C57A6">
        <w:t>across the strain collection</w:t>
      </w:r>
      <w:r w:rsidR="00D23D71">
        <w:t xml:space="preserve"> and all </w:t>
      </w:r>
      <w:r w:rsidR="004605DC">
        <w:t xml:space="preserve">three </w:t>
      </w:r>
      <w:r w:rsidR="00D23D71">
        <w:t xml:space="preserve">countries </w:t>
      </w:r>
      <w:r w:rsidR="00DF0C17">
        <w:t xml:space="preserve">contributed to this </w:t>
      </w:r>
      <w:r w:rsidR="00A85DB7">
        <w:t>finding</w:t>
      </w:r>
      <w:r w:rsidR="00DF0C17">
        <w:t xml:space="preserve">.  </w:t>
      </w:r>
    </w:p>
    <w:p w14:paraId="51F08024" w14:textId="47B0D26B" w:rsidR="00DA106E" w:rsidRPr="00A92A20" w:rsidRDefault="002468A7" w:rsidP="00F43F94">
      <w:pPr>
        <w:spacing w:after="0" w:line="480" w:lineRule="auto"/>
      </w:pPr>
      <w:r>
        <w:lastRenderedPageBreak/>
        <w:t xml:space="preserve">If certain antimicrobial resistances were particularly associated with success, we might expect the antimicrobials to be used at higher frequency in areas where these resistances </w:t>
      </w:r>
      <w:r w:rsidR="00F5307E">
        <w:t>have become</w:t>
      </w:r>
      <w:r>
        <w:t xml:space="preserve"> prevalent. We used standardised data and estimates across </w:t>
      </w:r>
      <w:r w:rsidR="00704F1A">
        <w:t xml:space="preserve">29 countries of </w:t>
      </w:r>
      <w:r>
        <w:t xml:space="preserve">Europe to answer this question. </w:t>
      </w:r>
      <w:r w:rsidR="00565A53">
        <w:t xml:space="preserve">Firstly, we demonstrated that </w:t>
      </w:r>
      <w:r w:rsidR="00994F7C">
        <w:rPr>
          <w:rFonts w:cs="Calibri"/>
        </w:rPr>
        <w:t>beta</w:t>
      </w:r>
      <w:r w:rsidR="009E2C68">
        <w:t>-</w:t>
      </w:r>
      <w:r w:rsidR="00565A53">
        <w:t>lactam use was correlated with MRSA incidence</w:t>
      </w:r>
      <w:r w:rsidR="00543ACA">
        <w:t xml:space="preserve"> and</w:t>
      </w:r>
      <w:r w:rsidR="00565A53">
        <w:t xml:space="preserve"> </w:t>
      </w:r>
      <w:r w:rsidR="00543ACA">
        <w:t>s</w:t>
      </w:r>
      <w:r w:rsidR="00565A53">
        <w:t xml:space="preserve">pecifically, this could be </w:t>
      </w:r>
      <w:r w:rsidR="00565A53" w:rsidRPr="00A92A20">
        <w:t xml:space="preserve">narrowed down to </w:t>
      </w:r>
      <w:proofErr w:type="spellStart"/>
      <w:r w:rsidR="009460BF" w:rsidRPr="000D23C6">
        <w:t>penicillins</w:t>
      </w:r>
      <w:proofErr w:type="spellEnd"/>
      <w:r w:rsidR="009460BF" w:rsidRPr="000D23C6">
        <w:t xml:space="preserve"> combined with </w:t>
      </w:r>
      <w:r w:rsidR="00994F7C">
        <w:rPr>
          <w:rFonts w:cs="Calibri"/>
        </w:rPr>
        <w:t>beta</w:t>
      </w:r>
      <w:r w:rsidR="009E2C68">
        <w:t>-</w:t>
      </w:r>
      <w:r w:rsidR="009460BF" w:rsidRPr="000D23C6">
        <w:t>lactam inhibitors</w:t>
      </w:r>
      <w:r w:rsidR="00C13371">
        <w:t xml:space="preserve"> </w:t>
      </w:r>
      <w:r w:rsidR="00D0691E">
        <w:t>in both hospitals and the community.  Additionally, there was correlation</w:t>
      </w:r>
      <w:r w:rsidR="009211FD">
        <w:t xml:space="preserve"> with </w:t>
      </w:r>
      <w:r w:rsidR="00B03D6E" w:rsidRPr="000D23C6">
        <w:t>3</w:t>
      </w:r>
      <w:r w:rsidR="00B03D6E" w:rsidRPr="000D23C6">
        <w:rPr>
          <w:vertAlign w:val="superscript"/>
        </w:rPr>
        <w:t>rd</w:t>
      </w:r>
      <w:r w:rsidR="00B03D6E" w:rsidRPr="000D23C6">
        <w:t xml:space="preserve"> generation cephalosporin</w:t>
      </w:r>
      <w:r w:rsidR="009211FD">
        <w:t xml:space="preserve"> use </w:t>
      </w:r>
      <w:r w:rsidR="00B03D6E" w:rsidRPr="000D23C6">
        <w:t>in the community</w:t>
      </w:r>
      <w:r w:rsidR="00D6489A" w:rsidRPr="000D23C6">
        <w:t xml:space="preserve">. Importantly, higher usage of </w:t>
      </w:r>
      <w:r w:rsidR="00994F7C">
        <w:rPr>
          <w:rFonts w:cs="Calibri"/>
        </w:rPr>
        <w:t>beta</w:t>
      </w:r>
      <w:r w:rsidR="009E2C68">
        <w:t>-</w:t>
      </w:r>
      <w:r w:rsidR="00D6489A" w:rsidRPr="000D23C6">
        <w:t xml:space="preserve">lactamase sensitive </w:t>
      </w:r>
      <w:proofErr w:type="spellStart"/>
      <w:r w:rsidR="00D6489A" w:rsidRPr="000D23C6">
        <w:t>penicillins</w:t>
      </w:r>
      <w:proofErr w:type="spellEnd"/>
      <w:r w:rsidR="00D6489A" w:rsidRPr="000D23C6">
        <w:t xml:space="preserve"> </w:t>
      </w:r>
      <w:r w:rsidR="00BF4DEC" w:rsidRPr="000D23C6">
        <w:t xml:space="preserve">in the community </w:t>
      </w:r>
      <w:r w:rsidR="00F30E2B" w:rsidRPr="000D23C6">
        <w:t xml:space="preserve">was correlated with a </w:t>
      </w:r>
      <w:r w:rsidR="00D6489A" w:rsidRPr="000D23C6">
        <w:t>lower MRSA incidence</w:t>
      </w:r>
      <w:r w:rsidR="00096E12">
        <w:t xml:space="preserve">, likely due </w:t>
      </w:r>
      <w:r w:rsidR="00BB5EE5">
        <w:t>to their effectiveness when MRSA incidence is low</w:t>
      </w:r>
      <w:r w:rsidR="00F30E2B" w:rsidRPr="000D23C6">
        <w:t xml:space="preserve">. </w:t>
      </w:r>
      <w:r w:rsidR="00543ACA" w:rsidRPr="000D23C6">
        <w:t xml:space="preserve"> These results may provide suggestions as to which </w:t>
      </w:r>
      <w:r w:rsidR="00994F7C">
        <w:rPr>
          <w:rFonts w:cs="Calibri"/>
        </w:rPr>
        <w:t>beta</w:t>
      </w:r>
      <w:r w:rsidR="00543ACA" w:rsidRPr="000D23C6">
        <w:t xml:space="preserve">-lactams </w:t>
      </w:r>
      <w:r w:rsidR="007F5909" w:rsidRPr="000D23C6">
        <w:t>could be targeted by stewardship interventions</w:t>
      </w:r>
      <w:r w:rsidR="00BF4DEC" w:rsidRPr="000D23C6">
        <w:t xml:space="preserve"> and </w:t>
      </w:r>
      <w:r w:rsidR="00A92A20">
        <w:t>in which locations</w:t>
      </w:r>
      <w:r w:rsidR="007F5909" w:rsidRPr="000D23C6">
        <w:t>.</w:t>
      </w:r>
    </w:p>
    <w:p w14:paraId="1270C3F1" w14:textId="62160C91" w:rsidR="00392B2E" w:rsidRDefault="00392B2E" w:rsidP="00F43F94">
      <w:pPr>
        <w:spacing w:after="0" w:line="480" w:lineRule="auto"/>
      </w:pPr>
      <w:r>
        <w:t xml:space="preserve">Beyond </w:t>
      </w:r>
      <w:r w:rsidR="00994F7C">
        <w:rPr>
          <w:rFonts w:cs="Calibri"/>
        </w:rPr>
        <w:t>beta</w:t>
      </w:r>
      <w:r w:rsidR="009E2C68">
        <w:t>-</w:t>
      </w:r>
      <w:r>
        <w:t>lactams, fluoroquinolone use</w:t>
      </w:r>
      <w:r w:rsidR="00D12DCB">
        <w:t xml:space="preserve"> (including</w:t>
      </w:r>
      <w:r w:rsidR="00C839A1">
        <w:t xml:space="preserve"> ciprofloxacin</w:t>
      </w:r>
      <w:r w:rsidR="00D12DCB">
        <w:t>)</w:t>
      </w:r>
      <w:r>
        <w:t xml:space="preserve"> correlated with MRSA</w:t>
      </w:r>
      <w:r w:rsidR="00541DE9">
        <w:t xml:space="preserve"> </w:t>
      </w:r>
      <w:r w:rsidR="00B3586A">
        <w:t xml:space="preserve">incidence </w:t>
      </w:r>
      <w:r w:rsidR="00541DE9">
        <w:t>across Europe</w:t>
      </w:r>
      <w:r>
        <w:t xml:space="preserve">. Resistance to </w:t>
      </w:r>
      <w:r w:rsidR="00541DE9">
        <w:t xml:space="preserve">fluoroquinolones </w:t>
      </w:r>
      <w:r w:rsidR="00C905B5">
        <w:t xml:space="preserve">due to stable point mutations </w:t>
      </w:r>
      <w:r>
        <w:t xml:space="preserve">is </w:t>
      </w:r>
      <w:r w:rsidR="005714D0">
        <w:t>common</w:t>
      </w:r>
      <w:r>
        <w:t xml:space="preserve"> in successful clones, and </w:t>
      </w:r>
      <w:r w:rsidR="008C0C69">
        <w:t>reduction</w:t>
      </w:r>
      <w:r w:rsidR="00213972">
        <w:t xml:space="preserve"> </w:t>
      </w:r>
      <w:r w:rsidR="002D5611">
        <w:t xml:space="preserve">of </w:t>
      </w:r>
      <w:r w:rsidR="00C905B5">
        <w:t>ciprofloxacin</w:t>
      </w:r>
      <w:r w:rsidR="002D5611">
        <w:t xml:space="preserve"> </w:t>
      </w:r>
      <w:r w:rsidR="008C0C69">
        <w:t xml:space="preserve">usage </w:t>
      </w:r>
      <w:r w:rsidR="00213972">
        <w:t xml:space="preserve">has previously </w:t>
      </w:r>
      <w:r w:rsidR="00E14855">
        <w:t xml:space="preserve">been </w:t>
      </w:r>
      <w:r w:rsidR="004E7D6A">
        <w:t>implicated in MRSA</w:t>
      </w:r>
      <w:r w:rsidR="002D5611">
        <w:t xml:space="preserve"> </w:t>
      </w:r>
      <w:r w:rsidR="008C0C69">
        <w:t>incidence</w:t>
      </w:r>
      <w:r w:rsidR="005870B1">
        <w:t xml:space="preserve"> decline</w:t>
      </w:r>
      <w:r w:rsidR="002D5611">
        <w:t xml:space="preserve"> </w:t>
      </w:r>
      <w:r w:rsidR="00213972">
        <w:t>in UK</w:t>
      </w:r>
      <w:r w:rsidR="009917B4">
        <w:t xml:space="preserve"> hospitals </w:t>
      </w:r>
      <w:r w:rsidR="00155259" w:rsidRPr="00155259">
        <w:rPr>
          <w:noProof/>
        </w:rPr>
        <w:t>[9]</w:t>
      </w:r>
      <w:r w:rsidR="005870B1">
        <w:t>, while</w:t>
      </w:r>
      <w:r w:rsidR="009917B4">
        <w:t xml:space="preserve"> </w:t>
      </w:r>
      <w:r w:rsidR="00406B3E">
        <w:t xml:space="preserve">resistance </w:t>
      </w:r>
      <w:r w:rsidR="005870B1">
        <w:t xml:space="preserve">was </w:t>
      </w:r>
      <w:r w:rsidR="00406B3E">
        <w:t xml:space="preserve">identified as a </w:t>
      </w:r>
      <w:r w:rsidR="00F7610E">
        <w:t xml:space="preserve">key </w:t>
      </w:r>
      <w:r w:rsidR="00456062">
        <w:t xml:space="preserve">selected epidemiological </w:t>
      </w:r>
      <w:r w:rsidR="00406B3E">
        <w:t xml:space="preserve">marker </w:t>
      </w:r>
      <w:r w:rsidR="009917B4">
        <w:t>using phylogenetic methods</w:t>
      </w:r>
      <w:r w:rsidR="00155259">
        <w:t xml:space="preserve"> </w:t>
      </w:r>
      <w:r w:rsidR="00155259" w:rsidRPr="00155259">
        <w:rPr>
          <w:noProof/>
        </w:rPr>
        <w:t>[</w:t>
      </w:r>
      <w:r w:rsidR="008C6148">
        <w:rPr>
          <w:noProof/>
        </w:rPr>
        <w:t>1</w:t>
      </w:r>
      <w:r w:rsidR="00344E54">
        <w:rPr>
          <w:noProof/>
        </w:rPr>
        <w:t>7</w:t>
      </w:r>
      <w:r w:rsidR="008C6148">
        <w:rPr>
          <w:noProof/>
        </w:rPr>
        <w:t xml:space="preserve">, </w:t>
      </w:r>
      <w:r w:rsidR="00155259" w:rsidRPr="00155259">
        <w:rPr>
          <w:noProof/>
        </w:rPr>
        <w:t>21]</w:t>
      </w:r>
      <w:r w:rsidR="00AA5022">
        <w:t>.</w:t>
      </w:r>
      <w:r w:rsidR="004E7D6A">
        <w:t xml:space="preserve"> </w:t>
      </w:r>
      <w:r w:rsidR="00817E65">
        <w:t>Fluoroquinolone antimicrobials are particularly secreted onto the skin and mucous membranes</w:t>
      </w:r>
      <w:r w:rsidR="00C13371">
        <w:t xml:space="preserve"> </w:t>
      </w:r>
      <w:r w:rsidR="002D51AA" w:rsidRPr="002D51AA">
        <w:rPr>
          <w:noProof/>
        </w:rPr>
        <w:t>[22]</w:t>
      </w:r>
      <w:r w:rsidR="00456062">
        <w:t>,</w:t>
      </w:r>
      <w:r w:rsidR="00B52A92">
        <w:t xml:space="preserve"> </w:t>
      </w:r>
      <w:r w:rsidR="00D604C8">
        <w:t xml:space="preserve">influencing </w:t>
      </w:r>
      <w:r w:rsidR="00B52A92">
        <w:t>the colonising microbiome</w:t>
      </w:r>
      <w:r w:rsidR="00794926">
        <w:t xml:space="preserve">, </w:t>
      </w:r>
      <w:r w:rsidR="00D604C8">
        <w:t xml:space="preserve">and </w:t>
      </w:r>
      <w:r w:rsidR="00CF5C0D">
        <w:t xml:space="preserve">presumably </w:t>
      </w:r>
      <w:r w:rsidR="00D604C8">
        <w:t>selecting</w:t>
      </w:r>
      <w:r w:rsidR="00794926">
        <w:t xml:space="preserve"> a host reservoir of </w:t>
      </w:r>
      <w:r w:rsidR="00D604C8">
        <w:t>MRSA.</w:t>
      </w:r>
    </w:p>
    <w:p w14:paraId="0B19A662" w14:textId="48B55F8F" w:rsidR="00A4173A" w:rsidRDefault="0020587D" w:rsidP="00F43F94">
      <w:pPr>
        <w:spacing w:after="0" w:line="480" w:lineRule="auto"/>
      </w:pPr>
      <w:r>
        <w:t>Macrolide resistance was also implicated as having association with successful MRSA, despite the instability of the resistance gene in MRSA populations</w:t>
      </w:r>
      <w:r w:rsidR="00367D88">
        <w:t xml:space="preserve"> </w:t>
      </w:r>
      <w:r w:rsidR="002D51AA" w:rsidRPr="002D51AA">
        <w:rPr>
          <w:noProof/>
        </w:rPr>
        <w:t>[9,21,23]</w:t>
      </w:r>
      <w:r>
        <w:t xml:space="preserve">. </w:t>
      </w:r>
      <w:r w:rsidR="00163D66">
        <w:t xml:space="preserve">Genes are typically carried on plasmids and transposons with high incidence of gain and loss in </w:t>
      </w:r>
      <w:r w:rsidR="005B1877">
        <w:t>experimental and phylogenetic studies</w:t>
      </w:r>
      <w:r w:rsidR="0022046A">
        <w:t xml:space="preserve"> </w:t>
      </w:r>
      <w:r w:rsidR="002D51AA" w:rsidRPr="002D51AA">
        <w:rPr>
          <w:noProof/>
        </w:rPr>
        <w:t>[23]</w:t>
      </w:r>
      <w:r w:rsidR="005B1877">
        <w:t>.</w:t>
      </w:r>
      <w:r w:rsidR="00C905B5">
        <w:t xml:space="preserve"> High frequency</w:t>
      </w:r>
      <w:r w:rsidR="0046176B">
        <w:t xml:space="preserve"> of resistance in MRSA</w:t>
      </w:r>
      <w:r w:rsidR="00C905B5">
        <w:t xml:space="preserve"> suggests </w:t>
      </w:r>
      <w:r w:rsidR="0046176B">
        <w:t xml:space="preserve">active selection. </w:t>
      </w:r>
      <w:r w:rsidR="005A6E96">
        <w:t xml:space="preserve">Usage of macrolides </w:t>
      </w:r>
      <w:r w:rsidR="00C13371">
        <w:t xml:space="preserve">in the community </w:t>
      </w:r>
      <w:r w:rsidR="005A6E96">
        <w:t xml:space="preserve">correlated with MRSA incidence in Europe and further studies </w:t>
      </w:r>
      <w:r w:rsidR="006663B7">
        <w:t>sh</w:t>
      </w:r>
      <w:r w:rsidR="005A6E96">
        <w:t>ould focus on the proportion of resistant MRSA which may vary across countries.</w:t>
      </w:r>
    </w:p>
    <w:p w14:paraId="7210A90F" w14:textId="7928E1DB" w:rsidR="004605DC" w:rsidRDefault="00AB4F24" w:rsidP="00F43F94">
      <w:pPr>
        <w:spacing w:after="0" w:line="480" w:lineRule="auto"/>
      </w:pPr>
      <w:r>
        <w:t xml:space="preserve">While mupirocin resistance was identified as a marker of success, </w:t>
      </w:r>
      <w:r w:rsidR="005B5D19">
        <w:t xml:space="preserve">the </w:t>
      </w:r>
      <w:r>
        <w:t>incidence is</w:t>
      </w:r>
      <w:r w:rsidR="00367D88">
        <w:t xml:space="preserve"> relatively</w:t>
      </w:r>
      <w:r>
        <w:t xml:space="preserve"> low</w:t>
      </w:r>
      <w:r w:rsidR="000C015B">
        <w:t xml:space="preserve">, and there is limited previous evidence for </w:t>
      </w:r>
      <w:r w:rsidR="00483537">
        <w:t>mupirocin resistance contributing to epidemiological success.</w:t>
      </w:r>
      <w:r>
        <w:t xml:space="preserve"> </w:t>
      </w:r>
      <w:r w:rsidR="00A17933">
        <w:t>Similarly</w:t>
      </w:r>
      <w:r w:rsidR="00155259">
        <w:t>,</w:t>
      </w:r>
      <w:r w:rsidR="00A17933">
        <w:t xml:space="preserve"> </w:t>
      </w:r>
      <w:proofErr w:type="spellStart"/>
      <w:r w:rsidR="00A17933" w:rsidRPr="00A92A20">
        <w:rPr>
          <w:i/>
          <w:iCs/>
        </w:rPr>
        <w:t>tst</w:t>
      </w:r>
      <w:proofErr w:type="spellEnd"/>
      <w:r w:rsidR="00A17933">
        <w:t xml:space="preserve"> gene </w:t>
      </w:r>
      <w:r w:rsidR="00AE54A4">
        <w:t>(encoding for the Toxic shock syndrome toxin</w:t>
      </w:r>
      <w:r w:rsidR="00E952FE">
        <w:t xml:space="preserve"> (TSSST)</w:t>
      </w:r>
      <w:r w:rsidR="00AE54A4">
        <w:t xml:space="preserve">) </w:t>
      </w:r>
      <w:r w:rsidR="00A17933">
        <w:t>carriage</w:t>
      </w:r>
      <w:r w:rsidR="00C13371">
        <w:t xml:space="preserve"> </w:t>
      </w:r>
      <w:r w:rsidR="00A17933">
        <w:t>was implicated</w:t>
      </w:r>
      <w:r w:rsidR="0053203F">
        <w:t xml:space="preserve"> in </w:t>
      </w:r>
      <w:r w:rsidR="0053203F">
        <w:lastRenderedPageBreak/>
        <w:t>success</w:t>
      </w:r>
      <w:r w:rsidR="00A17933">
        <w:t xml:space="preserve">, but incidence </w:t>
      </w:r>
      <w:r w:rsidR="00EA7423">
        <w:t>wa</w:t>
      </w:r>
      <w:r w:rsidR="00A17933">
        <w:t>s</w:t>
      </w:r>
      <w:r w:rsidR="00367D88">
        <w:t xml:space="preserve"> also</w:t>
      </w:r>
      <w:r w:rsidR="00A17933">
        <w:t xml:space="preserve"> low</w:t>
      </w:r>
      <w:r w:rsidR="00F533FF">
        <w:t xml:space="preserve"> </w:t>
      </w:r>
      <w:r w:rsidR="00545B9B" w:rsidRPr="00545B9B">
        <w:rPr>
          <w:noProof/>
        </w:rPr>
        <w:t>[24]</w:t>
      </w:r>
      <w:r w:rsidR="00A17933">
        <w:t>.</w:t>
      </w:r>
      <w:r w:rsidR="00AE54A4">
        <w:t xml:space="preserve"> </w:t>
      </w:r>
      <w:r w:rsidR="00C13371">
        <w:t>A</w:t>
      </w:r>
      <w:r w:rsidR="0032671E">
        <w:t>minoglycoside</w:t>
      </w:r>
      <w:r w:rsidR="00C13371">
        <w:t xml:space="preserve"> resistance</w:t>
      </w:r>
      <w:r w:rsidR="0032671E">
        <w:t xml:space="preserve"> w</w:t>
      </w:r>
      <w:r w:rsidR="00C13371">
        <w:t>as</w:t>
      </w:r>
      <w:r w:rsidR="0032671E">
        <w:t xml:space="preserve"> less prevalent in successful MRSA, </w:t>
      </w:r>
      <w:r w:rsidR="00C13371">
        <w:t>though use in hospital</w:t>
      </w:r>
      <w:r w:rsidR="00367D88">
        <w:t>s</w:t>
      </w:r>
      <w:r w:rsidR="00C13371">
        <w:t xml:space="preserve"> was associated with MRSA incidence, </w:t>
      </w:r>
      <w:r w:rsidR="0032671E">
        <w:t>and we can speculate the large plasmids carrying such resistances may be a burden to colonising strains.</w:t>
      </w:r>
      <w:r w:rsidR="0053203F">
        <w:t xml:space="preserve"> Rifampicin resistance mutations are also rare</w:t>
      </w:r>
      <w:r w:rsidR="00806950">
        <w:t xml:space="preserve">, </w:t>
      </w:r>
      <w:r w:rsidR="00E9210D">
        <w:t>possibly due to</w:t>
      </w:r>
      <w:r w:rsidR="00806950">
        <w:t xml:space="preserve"> fitness cost</w:t>
      </w:r>
      <w:r w:rsidR="0076212B">
        <w:t xml:space="preserve"> </w:t>
      </w:r>
      <w:r w:rsidR="00545B9B" w:rsidRPr="00545B9B">
        <w:rPr>
          <w:noProof/>
        </w:rPr>
        <w:t>[25]</w:t>
      </w:r>
      <w:r w:rsidR="00806950">
        <w:t>.</w:t>
      </w:r>
    </w:p>
    <w:p w14:paraId="04328BC8" w14:textId="77777777" w:rsidR="002E5465" w:rsidRDefault="00FE2EEF" w:rsidP="00F43F94">
      <w:pPr>
        <w:spacing w:after="0" w:line="480" w:lineRule="auto"/>
      </w:pPr>
      <w:r>
        <w:t xml:space="preserve">MRSA isolates showed evidence of recent spread from one country to others, but </w:t>
      </w:r>
      <w:r w:rsidR="00856A2E">
        <w:t xml:space="preserve">limited spread in the new location. However, the study was hampered by under-sampling to </w:t>
      </w:r>
      <w:r w:rsidR="003A0075">
        <w:t xml:space="preserve">evidence this. </w:t>
      </w:r>
      <w:r w:rsidR="00C13371">
        <w:t>Our r</w:t>
      </w:r>
      <w:r w:rsidR="003A0075">
        <w:t xml:space="preserve">ecent mathematical modelling has suggested that dominant local clones have a </w:t>
      </w:r>
      <w:r w:rsidR="00BA3AA1">
        <w:t>particular advantage in outcompeting introduced clones, particularly when antimicrobial resistance genes are unstable</w:t>
      </w:r>
      <w:r w:rsidR="0022046A">
        <w:t xml:space="preserve"> </w:t>
      </w:r>
      <w:r w:rsidR="0022046A" w:rsidRPr="0022046A">
        <w:rPr>
          <w:noProof/>
        </w:rPr>
        <w:t>[10]</w:t>
      </w:r>
      <w:r w:rsidR="00BA3AA1">
        <w:t>.</w:t>
      </w:r>
    </w:p>
    <w:p w14:paraId="2229175A" w14:textId="32BE7264" w:rsidR="0043688E" w:rsidRDefault="0043688E" w:rsidP="00F43F94">
      <w:pPr>
        <w:spacing w:after="0" w:line="480" w:lineRule="auto"/>
      </w:pPr>
      <w:r>
        <w:t>All epidemiological studies are limited</w:t>
      </w:r>
      <w:r w:rsidR="00193F46">
        <w:t xml:space="preserve"> and biased</w:t>
      </w:r>
      <w:r>
        <w:t xml:space="preserve"> by the isolates chosen to study. Here we attempted to power our study by selecting successful versus unsuccessful/sporadic isolates, which </w:t>
      </w:r>
      <w:r w:rsidR="0033349A">
        <w:t xml:space="preserve">was hampered by </w:t>
      </w:r>
      <w:r w:rsidR="002647A6">
        <w:t>un-harmonized collections</w:t>
      </w:r>
      <w:r>
        <w:t xml:space="preserve">. </w:t>
      </w:r>
      <w:r w:rsidR="00655F65">
        <w:t xml:space="preserve">However, the </w:t>
      </w:r>
      <w:r w:rsidR="00817558">
        <w:t xml:space="preserve">very different strain collections from </w:t>
      </w:r>
      <w:r w:rsidR="00785A98">
        <w:t xml:space="preserve">three </w:t>
      </w:r>
      <w:r w:rsidR="00817558">
        <w:t>different countries hampered our analysis</w:t>
      </w:r>
      <w:r w:rsidR="003B182B">
        <w:t xml:space="preserve"> </w:t>
      </w:r>
      <w:r w:rsidR="00907F27">
        <w:t>[8]</w:t>
      </w:r>
      <w:r w:rsidR="00817558">
        <w:t xml:space="preserve">.  </w:t>
      </w:r>
      <w:r>
        <w:t xml:space="preserve">The choice of isolates may have skewed our THD analysis. THD is a method that </w:t>
      </w:r>
      <w:r w:rsidR="00FD5809">
        <w:t xml:space="preserve">benefits from </w:t>
      </w:r>
      <w:r>
        <w:t xml:space="preserve">large strain collections, and </w:t>
      </w:r>
      <w:r w:rsidR="00FD5809">
        <w:t>future studies</w:t>
      </w:r>
      <w:r>
        <w:t xml:space="preserve"> could </w:t>
      </w:r>
      <w:r w:rsidR="009325C9">
        <w:t xml:space="preserve">investigate global populations </w:t>
      </w:r>
      <w:r w:rsidR="005E68E1">
        <w:t>assign</w:t>
      </w:r>
      <w:r w:rsidR="00742AFB">
        <w:t>ing</w:t>
      </w:r>
      <w:r w:rsidR="005E68E1">
        <w:t xml:space="preserve"> success </w:t>
      </w:r>
      <w:r w:rsidR="00742AFB">
        <w:t>and</w:t>
      </w:r>
      <w:r w:rsidR="005E68E1">
        <w:t xml:space="preserve"> </w:t>
      </w:r>
      <w:r w:rsidR="00742AFB">
        <w:t xml:space="preserve">utilising </w:t>
      </w:r>
      <w:r w:rsidR="005E68E1">
        <w:t>compari</w:t>
      </w:r>
      <w:r w:rsidR="00742AFB">
        <w:t>sons with</w:t>
      </w:r>
      <w:r>
        <w:t xml:space="preserve"> </w:t>
      </w:r>
      <w:r w:rsidR="00AD51DE">
        <w:t>genotypic AMR.</w:t>
      </w:r>
      <w:r w:rsidR="0062021F">
        <w:t xml:space="preserve">  </w:t>
      </w:r>
    </w:p>
    <w:p w14:paraId="1D71AB2B" w14:textId="17129873" w:rsidR="008F51B4" w:rsidRDefault="00806950" w:rsidP="00F43F94">
      <w:pPr>
        <w:spacing w:after="0" w:line="480" w:lineRule="auto"/>
      </w:pPr>
      <w:r>
        <w:t xml:space="preserve">This study </w:t>
      </w:r>
      <w:r w:rsidR="00B810F2">
        <w:t xml:space="preserve">highlights the wide variation in antimicrobial </w:t>
      </w:r>
      <w:r w:rsidR="00A1081A">
        <w:t xml:space="preserve">resistance incidence </w:t>
      </w:r>
      <w:r w:rsidR="00D878F6">
        <w:t>in MRSA populations</w:t>
      </w:r>
      <w:r w:rsidR="005C03A6">
        <w:t xml:space="preserve"> in the France, UK and the Netherlands</w:t>
      </w:r>
      <w:r w:rsidR="00D878F6">
        <w:t xml:space="preserve">, as well as in </w:t>
      </w:r>
      <w:r w:rsidR="00B810F2">
        <w:t>usage</w:t>
      </w:r>
      <w:r w:rsidR="00D878F6">
        <w:t xml:space="preserve"> of antimicrobials.</w:t>
      </w:r>
      <w:r w:rsidR="00B810F2">
        <w:t xml:space="preserve"> </w:t>
      </w:r>
      <w:r w:rsidR="00BD060E">
        <w:t>Furthermore, t</w:t>
      </w:r>
      <w:r w:rsidR="00D878F6">
        <w:t>here are a</w:t>
      </w:r>
      <w:r w:rsidR="009C3F21">
        <w:t>lign</w:t>
      </w:r>
      <w:r w:rsidR="00D878F6">
        <w:t>ments with</w:t>
      </w:r>
      <w:r w:rsidR="00265C37">
        <w:t xml:space="preserve"> the use of particular antimicrobial classes </w:t>
      </w:r>
      <w:r w:rsidR="008C0C69">
        <w:t>and</w:t>
      </w:r>
      <w:r w:rsidR="00265C37">
        <w:t xml:space="preserve"> </w:t>
      </w:r>
      <w:r w:rsidR="00C13371">
        <w:t>MRSA infection incidence</w:t>
      </w:r>
      <w:r w:rsidR="009E6324">
        <w:t xml:space="preserve"> across Europe</w:t>
      </w:r>
      <w:r w:rsidR="00C25B91">
        <w:t xml:space="preserve">.  Stewardship programmes </w:t>
      </w:r>
      <w:r w:rsidR="00291828">
        <w:t xml:space="preserve">to reduce infection incidence </w:t>
      </w:r>
      <w:r w:rsidR="00C25B91">
        <w:t>can be hampered</w:t>
      </w:r>
      <w:r w:rsidR="00AE5EFE">
        <w:t xml:space="preserve"> if</w:t>
      </w:r>
      <w:r w:rsidR="00C25B91">
        <w:t xml:space="preserve"> </w:t>
      </w:r>
      <w:r w:rsidR="00AE5EFE">
        <w:t xml:space="preserve">they focus on </w:t>
      </w:r>
      <w:r w:rsidR="00C25B91">
        <w:t>restricting</w:t>
      </w:r>
      <w:r w:rsidR="00AE5EFE">
        <w:t xml:space="preserve"> antimicrobial usage th</w:t>
      </w:r>
      <w:r w:rsidR="003B7297">
        <w:t xml:space="preserve">at is not selective. The data presented here may allow </w:t>
      </w:r>
      <w:r w:rsidR="002E021A">
        <w:t xml:space="preserve">targeted </w:t>
      </w:r>
      <w:r w:rsidR="003B7297">
        <w:t>intervention</w:t>
      </w:r>
      <w:r w:rsidR="00D91E0B">
        <w:t>s</w:t>
      </w:r>
      <w:r w:rsidR="002E021A">
        <w:t xml:space="preserve">, particular in locations where MRSA is prevalent. Further studies to investigate the </w:t>
      </w:r>
      <w:r w:rsidR="00B26964">
        <w:t>antibiotic resi</w:t>
      </w:r>
      <w:r w:rsidR="00D91E0B">
        <w:t>s</w:t>
      </w:r>
      <w:r w:rsidR="00B26964">
        <w:t>tance</w:t>
      </w:r>
      <w:r w:rsidR="002E021A">
        <w:t xml:space="preserve"> profiles </w:t>
      </w:r>
      <w:r w:rsidR="00BB75FA">
        <w:t xml:space="preserve">of MRSA in a wider range of locations, </w:t>
      </w:r>
      <w:r w:rsidR="007172D6">
        <w:t>combined with</w:t>
      </w:r>
      <w:r w:rsidR="00BB75FA">
        <w:t xml:space="preserve"> the impact of changing antimicrobial usage over time</w:t>
      </w:r>
      <w:r w:rsidR="006F032E">
        <w:t>,</w:t>
      </w:r>
      <w:r w:rsidR="00BB75FA">
        <w:t xml:space="preserve"> </w:t>
      </w:r>
      <w:r w:rsidR="00982F76">
        <w:t xml:space="preserve">will support </w:t>
      </w:r>
      <w:r w:rsidR="00B810F2">
        <w:t xml:space="preserve">the design of </w:t>
      </w:r>
      <w:r w:rsidR="007172D6">
        <w:t xml:space="preserve">enhanced </w:t>
      </w:r>
      <w:r w:rsidR="00982F76">
        <w:t>stewardship interventions</w:t>
      </w:r>
      <w:r w:rsidR="00232E5A">
        <w:t>.</w:t>
      </w:r>
      <w:r w:rsidR="003B7297">
        <w:t xml:space="preserve"> </w:t>
      </w:r>
      <w:r w:rsidR="00AE5EFE">
        <w:t xml:space="preserve"> </w:t>
      </w:r>
      <w:r w:rsidR="00C25B91">
        <w:t xml:space="preserve"> </w:t>
      </w:r>
    </w:p>
    <w:p w14:paraId="2CC05170" w14:textId="77777777" w:rsidR="008F51B4" w:rsidRDefault="008F51B4" w:rsidP="00F43F94">
      <w:pPr>
        <w:spacing w:after="0" w:line="480" w:lineRule="auto"/>
      </w:pPr>
    </w:p>
    <w:p w14:paraId="6900EDBB" w14:textId="77777777" w:rsidR="008F51B4" w:rsidRDefault="008F51B4" w:rsidP="00F43F94">
      <w:pPr>
        <w:spacing w:after="0" w:line="480" w:lineRule="auto"/>
      </w:pPr>
    </w:p>
    <w:p w14:paraId="63AD1A0A" w14:textId="77777777" w:rsidR="00B40CEB" w:rsidRDefault="00B40CEB" w:rsidP="00F43F94">
      <w:pPr>
        <w:spacing w:after="0" w:line="480" w:lineRule="auto"/>
      </w:pPr>
    </w:p>
    <w:p w14:paraId="02CCDC2F" w14:textId="77777777" w:rsidR="00B40CEB" w:rsidRPr="008F51B4" w:rsidRDefault="00B40CEB" w:rsidP="00F43F94">
      <w:pPr>
        <w:spacing w:after="0" w:line="480" w:lineRule="auto"/>
        <w:rPr>
          <w:b/>
          <w:bCs/>
        </w:rPr>
      </w:pPr>
      <w:r w:rsidRPr="008F51B4">
        <w:rPr>
          <w:b/>
          <w:bCs/>
        </w:rPr>
        <w:lastRenderedPageBreak/>
        <w:t>Figure Legends</w:t>
      </w:r>
    </w:p>
    <w:p w14:paraId="0827B5CB" w14:textId="0252BAEA" w:rsidR="002A5A1D" w:rsidRDefault="00B40CEB" w:rsidP="00F43F94">
      <w:pPr>
        <w:spacing w:after="0" w:line="480" w:lineRule="auto"/>
      </w:pPr>
      <w:r>
        <w:t xml:space="preserve">Figure 1. </w:t>
      </w:r>
      <w:r w:rsidR="00C1017A">
        <w:t>Phylogenetic tree of the collection showing CCs, country</w:t>
      </w:r>
      <w:r w:rsidR="00C806C1">
        <w:t xml:space="preserve"> and</w:t>
      </w:r>
      <w:r w:rsidR="00C1017A">
        <w:t xml:space="preserve"> operational success</w:t>
      </w:r>
      <w:r w:rsidR="00C806C1">
        <w:t>.</w:t>
      </w:r>
      <w:r w:rsidR="00C1017A">
        <w:t xml:space="preserve"> </w:t>
      </w:r>
      <w:r w:rsidR="00AF7B4E">
        <w:t xml:space="preserve">Two panels aligned to the tree show the </w:t>
      </w:r>
      <w:r w:rsidR="00C748A5">
        <w:t xml:space="preserve">Resistant </w:t>
      </w:r>
      <w:r w:rsidR="00C806C1">
        <w:t>(</w:t>
      </w:r>
      <w:r w:rsidR="00C748A5">
        <w:t xml:space="preserve">R), Susceptible (S), </w:t>
      </w:r>
      <w:r w:rsidR="00C806C1">
        <w:t>I</w:t>
      </w:r>
      <w:r w:rsidR="00C748A5">
        <w:t>ntermediate (I) and Unknown (U) status of each drug for each isolate</w:t>
      </w:r>
      <w:r w:rsidR="00C806C1">
        <w:t>,</w:t>
      </w:r>
      <w:r w:rsidR="00D91E0B">
        <w:t xml:space="preserve"> </w:t>
      </w:r>
      <w:r w:rsidR="00C748A5">
        <w:t>and the Presence (</w:t>
      </w:r>
      <w:r w:rsidR="004E478A">
        <w:t xml:space="preserve">P) and </w:t>
      </w:r>
      <w:r w:rsidR="00C806C1">
        <w:t>A</w:t>
      </w:r>
      <w:r w:rsidR="004E478A">
        <w:t xml:space="preserve">bsence (A) </w:t>
      </w:r>
      <w:r w:rsidR="00C806C1">
        <w:t>of</w:t>
      </w:r>
      <w:r w:rsidR="004E478A">
        <w:t xml:space="preserve"> know</w:t>
      </w:r>
      <w:r w:rsidR="00C806C1">
        <w:t>n</w:t>
      </w:r>
      <w:r w:rsidR="004E478A">
        <w:t xml:space="preserve"> resistance genes from the CARD database</w:t>
      </w:r>
      <w:r w:rsidR="00C806C1">
        <w:t xml:space="preserve">. </w:t>
      </w:r>
      <w:r w:rsidR="00C1017A">
        <w:t xml:space="preserve">Further details of the isolates are in Supplementary Table </w:t>
      </w:r>
      <w:r w:rsidR="00447017">
        <w:t>S</w:t>
      </w:r>
      <w:r w:rsidR="00C1017A">
        <w:t>1.</w:t>
      </w:r>
    </w:p>
    <w:p w14:paraId="7675E17F" w14:textId="77777777" w:rsidR="002A5A1D" w:rsidRDefault="002A5A1D" w:rsidP="00F43F94">
      <w:pPr>
        <w:spacing w:after="0" w:line="480" w:lineRule="auto"/>
      </w:pPr>
      <w:r>
        <w:t>Figure 2.</w:t>
      </w:r>
      <w:r w:rsidR="00D97B1E">
        <w:t xml:space="preserve"> AMR </w:t>
      </w:r>
      <w:r w:rsidR="00AD214A">
        <w:t xml:space="preserve">resistance </w:t>
      </w:r>
      <w:r w:rsidR="00D97B1E">
        <w:t>varied b</w:t>
      </w:r>
      <w:r w:rsidR="00AD214A">
        <w:t>etween</w:t>
      </w:r>
      <w:r w:rsidR="00D97B1E">
        <w:t xml:space="preserve"> success</w:t>
      </w:r>
      <w:r w:rsidR="00AD214A">
        <w:t>ful and sporadic isolates</w:t>
      </w:r>
      <w:r w:rsidR="00D97B1E">
        <w:t xml:space="preserve"> within countries. </w:t>
      </w:r>
      <w:r w:rsidR="00482E18">
        <w:t>AMR association</w:t>
      </w:r>
      <w:r w:rsidR="000430A3">
        <w:t xml:space="preserve"> is marked</w:t>
      </w:r>
      <w:r w:rsidR="00D97B1E">
        <w:t xml:space="preserve"> </w:t>
      </w:r>
      <w:r w:rsidR="000430A3">
        <w:t xml:space="preserve">as </w:t>
      </w:r>
      <w:r w:rsidR="00D97B1E">
        <w:t>*</w:t>
      </w:r>
      <w:r w:rsidR="00870D8A">
        <w:rPr>
          <w:rFonts w:cs="Calibri"/>
        </w:rPr>
        <w:t xml:space="preserve">: p=&lt; </w:t>
      </w:r>
      <w:proofErr w:type="gramStart"/>
      <w:r w:rsidR="00870D8A">
        <w:rPr>
          <w:rFonts w:cs="Calibri"/>
        </w:rPr>
        <w:t>0</w:t>
      </w:r>
      <w:r w:rsidR="00193F46">
        <w:rPr>
          <w:rFonts w:cs="Calibri"/>
        </w:rPr>
        <w:t>.</w:t>
      </w:r>
      <w:r w:rsidR="00870D8A">
        <w:rPr>
          <w:rFonts w:cs="Calibri"/>
        </w:rPr>
        <w:t>05 ;</w:t>
      </w:r>
      <w:proofErr w:type="gramEnd"/>
      <w:r w:rsidR="00870D8A">
        <w:rPr>
          <w:rFonts w:cs="Calibri"/>
        </w:rPr>
        <w:t xml:space="preserve"> **: p=&lt; 0</w:t>
      </w:r>
      <w:r w:rsidR="00193F46">
        <w:rPr>
          <w:rFonts w:cs="Calibri"/>
        </w:rPr>
        <w:t>.</w:t>
      </w:r>
      <w:r w:rsidR="00870D8A">
        <w:rPr>
          <w:rFonts w:cs="Calibri"/>
        </w:rPr>
        <w:t>01 ; *</w:t>
      </w:r>
      <w:r w:rsidR="00894E3D">
        <w:rPr>
          <w:rFonts w:cs="Calibri"/>
        </w:rPr>
        <w:t>**</w:t>
      </w:r>
      <w:r w:rsidR="00870D8A">
        <w:rPr>
          <w:rFonts w:cs="Calibri"/>
        </w:rPr>
        <w:t>: p=&lt; 0</w:t>
      </w:r>
      <w:r w:rsidR="00193F46">
        <w:rPr>
          <w:rFonts w:cs="Calibri"/>
        </w:rPr>
        <w:t>.</w:t>
      </w:r>
      <w:r w:rsidR="00870D8A">
        <w:rPr>
          <w:rFonts w:cs="Calibri"/>
        </w:rPr>
        <w:t>001</w:t>
      </w:r>
      <w:r w:rsidR="00894E3D">
        <w:rPr>
          <w:rFonts w:cs="Calibri"/>
        </w:rPr>
        <w:t xml:space="preserve"> by Chi</w:t>
      </w:r>
      <w:r w:rsidR="00894E3D" w:rsidRPr="00E60C91">
        <w:rPr>
          <w:rFonts w:cs="Calibri"/>
          <w:vertAlign w:val="superscript"/>
        </w:rPr>
        <w:t>2</w:t>
      </w:r>
      <w:r w:rsidR="00894E3D">
        <w:rPr>
          <w:rFonts w:cs="Calibri"/>
        </w:rPr>
        <w:t xml:space="preserve"> test.</w:t>
      </w:r>
    </w:p>
    <w:p w14:paraId="2358B12D" w14:textId="77777777" w:rsidR="002A5A1D" w:rsidRDefault="002A5A1D" w:rsidP="00F43F94">
      <w:pPr>
        <w:spacing w:after="0" w:line="480" w:lineRule="auto"/>
      </w:pPr>
      <w:r>
        <w:t xml:space="preserve">Figure 3. </w:t>
      </w:r>
      <w:r w:rsidR="00022F5A">
        <w:t>Genome-based analysis of markers of epidemiological success. Shown are the distributions of THD success indices across countries (A) and clonal complexes (B). Panel C shows pointwise estimates (dots) and 95% confidence intervals (bars) of the coefficients of regression models predicting THD indices with antimicrobial resistance, expressed as units of 2-fold reduction of inhibition zone diameters. Models were either unadjusted (blue bars) or adjusted (multi-variable, red bars).</w:t>
      </w:r>
      <w:r w:rsidR="002D5960">
        <w:t xml:space="preserve"> In multivariable regression, THD success indices were predicted by</w:t>
      </w:r>
      <w:r w:rsidR="001168E8">
        <w:t xml:space="preserve"> </w:t>
      </w:r>
      <w:r w:rsidR="002D5960">
        <w:t xml:space="preserve">higher </w:t>
      </w:r>
      <w:r w:rsidR="001168E8">
        <w:t xml:space="preserve">ciprofloxacin, erythromycin and mupirocin resistance, and </w:t>
      </w:r>
      <w:r w:rsidR="002D5960">
        <w:t>by susceptibility to</w:t>
      </w:r>
      <w:r w:rsidR="00B8667F">
        <w:t xml:space="preserve"> gentamicin, rifampicin </w:t>
      </w:r>
      <w:r w:rsidR="002D5960">
        <w:t>and</w:t>
      </w:r>
      <w:r w:rsidR="00B8667F">
        <w:t xml:space="preserve"> trimethoprim.</w:t>
      </w:r>
    </w:p>
    <w:p w14:paraId="1C91D335" w14:textId="4D2E8A52" w:rsidR="002A5A1D" w:rsidRPr="00797548" w:rsidRDefault="002A5A1D" w:rsidP="00F43F94">
      <w:pPr>
        <w:spacing w:after="0" w:line="480" w:lineRule="auto"/>
      </w:pPr>
      <w:r>
        <w:t>Figure 4.</w:t>
      </w:r>
      <w:r w:rsidR="009F6B6E">
        <w:t xml:space="preserve"> </w:t>
      </w:r>
      <w:r w:rsidR="009F6B6E">
        <w:rPr>
          <w:rFonts w:eastAsia="Times New Roman"/>
        </w:rPr>
        <w:t xml:space="preserve">Median infection incidence </w:t>
      </w:r>
      <w:r w:rsidR="00C10CED">
        <w:rPr>
          <w:rFonts w:eastAsia="Times New Roman"/>
        </w:rPr>
        <w:t xml:space="preserve">in </w:t>
      </w:r>
      <w:r w:rsidR="00A9737C">
        <w:rPr>
          <w:rFonts w:eastAsia="Times New Roman"/>
        </w:rPr>
        <w:t>29</w:t>
      </w:r>
      <w:r w:rsidR="00C10CED">
        <w:rPr>
          <w:rFonts w:eastAsia="Times New Roman"/>
        </w:rPr>
        <w:t xml:space="preserve"> European countries </w:t>
      </w:r>
      <w:r w:rsidR="009F6B6E">
        <w:rPr>
          <w:rFonts w:eastAsia="Times New Roman"/>
        </w:rPr>
        <w:t xml:space="preserve">due to MRSA in 2015 as estimated by Cassini </w:t>
      </w:r>
      <w:r w:rsidR="009F6B6E" w:rsidRPr="00E60C91">
        <w:rPr>
          <w:rFonts w:eastAsia="Times New Roman"/>
          <w:i/>
          <w:iCs/>
        </w:rPr>
        <w:t>et al.</w:t>
      </w:r>
      <w:r w:rsidR="009F6B6E">
        <w:rPr>
          <w:rFonts w:eastAsia="Times New Roman"/>
        </w:rPr>
        <w:t xml:space="preserve"> </w:t>
      </w:r>
      <w:r w:rsidR="00070D99">
        <w:rPr>
          <w:rFonts w:eastAsia="Times New Roman"/>
        </w:rPr>
        <w:t xml:space="preserve">[25] </w:t>
      </w:r>
      <w:r w:rsidR="009F6B6E">
        <w:rPr>
          <w:rFonts w:eastAsia="Times New Roman"/>
        </w:rPr>
        <w:t xml:space="preserve">for five infection types (colours) and total (point) with 97.5-102.5% confidence ranges. The five infection types are: bloodstream infections (BSI), </w:t>
      </w:r>
      <w:r w:rsidR="009F6B6E">
        <w:rPr>
          <w:rFonts w:eastAsia="Times New Roman"/>
          <w:lang w:eastAsia="fr-FR"/>
        </w:rPr>
        <w:t xml:space="preserve">urinary tract infections (UTI), respiratory </w:t>
      </w:r>
      <w:r w:rsidR="009F6B6E" w:rsidRPr="00797548">
        <w:rPr>
          <w:rFonts w:eastAsia="Times New Roman"/>
          <w:lang w:eastAsia="fr-FR"/>
        </w:rPr>
        <w:t>tract infections (RESP), surgical site infections (SSI), and other infections</w:t>
      </w:r>
      <w:r w:rsidR="009F6B6E" w:rsidRPr="00797548">
        <w:rPr>
          <w:rFonts w:eastAsia="Times New Roman"/>
        </w:rPr>
        <w:t xml:space="preserve"> (OTH).</w:t>
      </w:r>
    </w:p>
    <w:p w14:paraId="21605326" w14:textId="018D90CC" w:rsidR="00220E5E" w:rsidRPr="000D23C6" w:rsidRDefault="002A5A1D" w:rsidP="00F43F94">
      <w:pPr>
        <w:pStyle w:val="Caption"/>
        <w:spacing w:after="0" w:line="480" w:lineRule="auto"/>
        <w:rPr>
          <w:i w:val="0"/>
          <w:iCs w:val="0"/>
          <w:color w:val="auto"/>
          <w:sz w:val="22"/>
          <w:szCs w:val="22"/>
        </w:rPr>
      </w:pPr>
      <w:r w:rsidRPr="000D23C6">
        <w:rPr>
          <w:i w:val="0"/>
          <w:iCs w:val="0"/>
          <w:color w:val="auto"/>
          <w:sz w:val="22"/>
          <w:szCs w:val="22"/>
        </w:rPr>
        <w:t>Figure 5</w:t>
      </w:r>
      <w:r w:rsidRPr="000D23C6">
        <w:rPr>
          <w:color w:val="auto"/>
          <w:sz w:val="22"/>
          <w:szCs w:val="22"/>
        </w:rPr>
        <w:t xml:space="preserve">. </w:t>
      </w:r>
      <w:r w:rsidR="00220E5E" w:rsidRPr="000D23C6">
        <w:rPr>
          <w:i w:val="0"/>
          <w:iCs w:val="0"/>
          <w:color w:val="auto"/>
          <w:sz w:val="22"/>
          <w:szCs w:val="22"/>
        </w:rPr>
        <w:t xml:space="preserve">Antimicrobial usage in 29 European countries is associated with MRSA infection incidence.  A. </w:t>
      </w:r>
      <w:r w:rsidR="005712AE" w:rsidRPr="00D52CD6">
        <w:rPr>
          <w:rFonts w:cs="Calibri"/>
          <w:i w:val="0"/>
          <w:iCs w:val="0"/>
          <w:color w:val="auto"/>
          <w:sz w:val="22"/>
          <w:szCs w:val="22"/>
        </w:rPr>
        <w:t>Beta</w:t>
      </w:r>
      <w:r w:rsidR="00220E5E" w:rsidRPr="000D23C6">
        <w:rPr>
          <w:i w:val="0"/>
          <w:iCs w:val="0"/>
          <w:color w:val="auto"/>
          <w:sz w:val="22"/>
          <w:szCs w:val="22"/>
        </w:rPr>
        <w:t xml:space="preserve">-lactam (ATC code classes: “J01C” and “J01D”) usage in the community, hospitals or combined. B. For other antibiotics, associations were seen with fluoroquinolones (“J01MA”), Macrolides </w:t>
      </w:r>
      <w:r w:rsidR="005827F4">
        <w:rPr>
          <w:i w:val="0"/>
          <w:iCs w:val="0"/>
          <w:color w:val="auto"/>
          <w:sz w:val="22"/>
          <w:szCs w:val="22"/>
        </w:rPr>
        <w:t>(</w:t>
      </w:r>
      <w:r w:rsidR="00220E5E" w:rsidRPr="000D23C6">
        <w:rPr>
          <w:i w:val="0"/>
          <w:iCs w:val="0"/>
          <w:color w:val="auto"/>
          <w:sz w:val="22"/>
          <w:szCs w:val="22"/>
        </w:rPr>
        <w:t>“J01FA”</w:t>
      </w:r>
      <w:r w:rsidR="005827F4">
        <w:rPr>
          <w:i w:val="0"/>
          <w:iCs w:val="0"/>
          <w:color w:val="auto"/>
          <w:sz w:val="22"/>
          <w:szCs w:val="22"/>
        </w:rPr>
        <w:t>)</w:t>
      </w:r>
      <w:r w:rsidR="00220E5E" w:rsidRPr="000D23C6">
        <w:rPr>
          <w:i w:val="0"/>
          <w:iCs w:val="0"/>
          <w:color w:val="auto"/>
          <w:sz w:val="22"/>
          <w:szCs w:val="22"/>
        </w:rPr>
        <w:t xml:space="preserve"> </w:t>
      </w:r>
      <w:r w:rsidR="005827F4">
        <w:rPr>
          <w:i w:val="0"/>
          <w:iCs w:val="0"/>
          <w:color w:val="auto"/>
          <w:sz w:val="22"/>
          <w:szCs w:val="22"/>
        </w:rPr>
        <w:t xml:space="preserve">and aminoglycosides (“J01G”) </w:t>
      </w:r>
      <w:r w:rsidR="00220E5E" w:rsidRPr="000D23C6">
        <w:rPr>
          <w:i w:val="0"/>
          <w:iCs w:val="0"/>
          <w:color w:val="auto"/>
          <w:sz w:val="22"/>
          <w:szCs w:val="22"/>
        </w:rPr>
        <w:t>(here the outlier of Portugal was excluded). See supplementary</w:t>
      </w:r>
      <w:r w:rsidR="00E361C4">
        <w:rPr>
          <w:i w:val="0"/>
          <w:iCs w:val="0"/>
          <w:color w:val="auto"/>
          <w:sz w:val="22"/>
          <w:szCs w:val="22"/>
        </w:rPr>
        <w:t xml:space="preserve"> 2</w:t>
      </w:r>
      <w:r w:rsidR="00220E5E" w:rsidRPr="000D23C6">
        <w:rPr>
          <w:i w:val="0"/>
          <w:iCs w:val="0"/>
          <w:color w:val="auto"/>
          <w:sz w:val="22"/>
          <w:szCs w:val="22"/>
        </w:rPr>
        <w:t xml:space="preserve"> for all antibiotics. Significant trends are highlighted with a red R^2 and p-value (p&lt;0.05). Shaded cells indicate summary classes of antibiotics – those that are sums of other </w:t>
      </w:r>
      <w:r w:rsidR="00220E5E" w:rsidRPr="000D23C6">
        <w:rPr>
          <w:i w:val="0"/>
          <w:iCs w:val="0"/>
          <w:color w:val="auto"/>
          <w:sz w:val="22"/>
          <w:szCs w:val="22"/>
        </w:rPr>
        <w:lastRenderedPageBreak/>
        <w:t xml:space="preserve">columns (Supplementary Table </w:t>
      </w:r>
      <w:r w:rsidR="00447017">
        <w:rPr>
          <w:i w:val="0"/>
          <w:iCs w:val="0"/>
          <w:color w:val="auto"/>
          <w:sz w:val="22"/>
          <w:szCs w:val="22"/>
        </w:rPr>
        <w:t>S</w:t>
      </w:r>
      <w:r w:rsidR="00220E5E" w:rsidRPr="000D23C6">
        <w:rPr>
          <w:i w:val="0"/>
          <w:iCs w:val="0"/>
          <w:color w:val="auto"/>
          <w:sz w:val="22"/>
          <w:szCs w:val="22"/>
        </w:rPr>
        <w:t xml:space="preserve">1). Shaded areas around the blue trend line are the 95% confidence level interval for predictions from </w:t>
      </w:r>
      <w:r w:rsidR="005827F4">
        <w:rPr>
          <w:i w:val="0"/>
          <w:iCs w:val="0"/>
          <w:color w:val="auto"/>
          <w:sz w:val="22"/>
          <w:szCs w:val="22"/>
        </w:rPr>
        <w:t>a</w:t>
      </w:r>
      <w:r w:rsidR="005827F4" w:rsidRPr="000D23C6">
        <w:rPr>
          <w:i w:val="0"/>
          <w:iCs w:val="0"/>
          <w:color w:val="auto"/>
          <w:sz w:val="22"/>
          <w:szCs w:val="22"/>
        </w:rPr>
        <w:t xml:space="preserve"> </w:t>
      </w:r>
      <w:r w:rsidR="00220E5E" w:rsidRPr="000D23C6">
        <w:rPr>
          <w:i w:val="0"/>
          <w:iCs w:val="0"/>
          <w:color w:val="auto"/>
          <w:sz w:val="22"/>
          <w:szCs w:val="22"/>
        </w:rPr>
        <w:t>linear model.</w:t>
      </w:r>
    </w:p>
    <w:p w14:paraId="0762A9CE" w14:textId="77777777" w:rsidR="00B40CEB" w:rsidRDefault="00B40CEB" w:rsidP="00F43F94">
      <w:pPr>
        <w:spacing w:after="0" w:line="480" w:lineRule="auto"/>
      </w:pPr>
    </w:p>
    <w:p w14:paraId="6F1904DF" w14:textId="77777777" w:rsidR="001B36E6" w:rsidRPr="001B36E6" w:rsidRDefault="001B36E6" w:rsidP="00F43F94">
      <w:pPr>
        <w:spacing w:after="0" w:line="480" w:lineRule="auto"/>
        <w:rPr>
          <w:b/>
          <w:bCs/>
        </w:rPr>
      </w:pPr>
      <w:r w:rsidRPr="001B36E6">
        <w:rPr>
          <w:b/>
          <w:bCs/>
        </w:rPr>
        <w:t>Statement of contribution</w:t>
      </w:r>
    </w:p>
    <w:p w14:paraId="2DDCD254" w14:textId="0BDD0389" w:rsidR="007421E6" w:rsidRDefault="002F5935" w:rsidP="00F43F94">
      <w:pPr>
        <w:spacing w:after="0" w:line="480" w:lineRule="auto"/>
      </w:pPr>
      <w:r>
        <w:t>Conceptualisation</w:t>
      </w:r>
      <w:r w:rsidR="007B5FD4">
        <w:t xml:space="preserve"> </w:t>
      </w:r>
      <w:r w:rsidR="00E472DC">
        <w:t>and supervision</w:t>
      </w:r>
      <w:r w:rsidR="008B536F">
        <w:t xml:space="preserve">: </w:t>
      </w:r>
      <w:r w:rsidR="00E52E35">
        <w:t xml:space="preserve">MCV, </w:t>
      </w:r>
      <w:r w:rsidR="008B536F">
        <w:t>GMK, AAW, JPR, JAL</w:t>
      </w:r>
      <w:r w:rsidR="00E472DC">
        <w:t xml:space="preserve">. </w:t>
      </w:r>
      <w:r w:rsidR="008B536F">
        <w:t xml:space="preserve">Funding: MCV, </w:t>
      </w:r>
      <w:r w:rsidR="00441FC0">
        <w:t>GL</w:t>
      </w:r>
      <w:r w:rsidR="00F270CF">
        <w:t>, JAL</w:t>
      </w:r>
      <w:r w:rsidR="00E52E35">
        <w:t>.</w:t>
      </w:r>
      <w:r w:rsidR="001538D1">
        <w:t xml:space="preserve"> </w:t>
      </w:r>
      <w:r w:rsidR="0047370C">
        <w:t>Data generation and analysis</w:t>
      </w:r>
      <w:r w:rsidR="00441FC0">
        <w:t xml:space="preserve">: </w:t>
      </w:r>
      <w:r w:rsidR="00A5299C">
        <w:t xml:space="preserve">VOB, AG, GMK, </w:t>
      </w:r>
      <w:r w:rsidR="001538D1">
        <w:t xml:space="preserve">LMS, KL, MT, </w:t>
      </w:r>
      <w:r w:rsidR="00CC0F14">
        <w:t xml:space="preserve">APAH, MK, </w:t>
      </w:r>
      <w:r w:rsidR="00B84852">
        <w:t xml:space="preserve">MCV, AAW, JPR, JAL. </w:t>
      </w:r>
      <w:r w:rsidR="005C48C1">
        <w:t>Methodology of strain collection: VOB, AG, GM</w:t>
      </w:r>
      <w:r w:rsidR="00CC7948">
        <w:t>K</w:t>
      </w:r>
      <w:r w:rsidR="005C48C1">
        <w:t xml:space="preserve">, </w:t>
      </w:r>
      <w:r w:rsidR="00450F3C">
        <w:t>LMS,</w:t>
      </w:r>
      <w:r w:rsidR="00D3677D">
        <w:t xml:space="preserve"> AB, </w:t>
      </w:r>
      <w:proofErr w:type="spellStart"/>
      <w:r w:rsidR="004B559C">
        <w:t>WJBvW</w:t>
      </w:r>
      <w:proofErr w:type="spellEnd"/>
      <w:r w:rsidR="004B559C">
        <w:t>, GL, FV, MCV, AAW, JPR, JAL.</w:t>
      </w:r>
      <w:r w:rsidR="00F270CF">
        <w:t xml:space="preserve">  </w:t>
      </w:r>
      <w:r w:rsidR="00CC7948">
        <w:t>Strain collection: VOB, AG, LMS, APAH, MT, JPR, JAL</w:t>
      </w:r>
      <w:r w:rsidR="005426F9">
        <w:t>.</w:t>
      </w:r>
      <w:r w:rsidR="00F270CF">
        <w:t xml:space="preserve"> </w:t>
      </w:r>
      <w:r w:rsidR="005426F9">
        <w:t xml:space="preserve">Sequencing and </w:t>
      </w:r>
      <w:r w:rsidR="00932D66">
        <w:t>b</w:t>
      </w:r>
      <w:r w:rsidR="005426F9">
        <w:t>ioinformatics: AAW, KL, AG, JPR</w:t>
      </w:r>
      <w:r w:rsidR="00F270CF">
        <w:t>. Phenotypic antimicrobial resistance analysis: AG</w:t>
      </w:r>
      <w:r w:rsidR="00B07BBF">
        <w:t>.</w:t>
      </w:r>
      <w:r w:rsidR="00193F46">
        <w:t xml:space="preserve"> </w:t>
      </w:r>
      <w:r w:rsidR="00B249B3">
        <w:t xml:space="preserve">THD: JPR. </w:t>
      </w:r>
      <w:r w:rsidR="005426F9">
        <w:t xml:space="preserve">Antibiotic usage analysis: GMK, </w:t>
      </w:r>
      <w:r w:rsidR="00476E20">
        <w:t>AG,</w:t>
      </w:r>
      <w:r w:rsidR="00B249B3">
        <w:t xml:space="preserve"> JAL.</w:t>
      </w:r>
      <w:r w:rsidR="00415ABC">
        <w:t xml:space="preserve"> </w:t>
      </w:r>
      <w:r w:rsidR="00B84852">
        <w:t xml:space="preserve">MACOTRA consortium member intellectual input: </w:t>
      </w:r>
      <w:r w:rsidR="00415ABC">
        <w:t xml:space="preserve">VB, AG, GMK, LMS, AB, </w:t>
      </w:r>
      <w:proofErr w:type="spellStart"/>
      <w:r w:rsidR="00415ABC">
        <w:t>SJ</w:t>
      </w:r>
      <w:r w:rsidR="00932D66">
        <w:t>d</w:t>
      </w:r>
      <w:r w:rsidR="00415ABC">
        <w:t>V</w:t>
      </w:r>
      <w:proofErr w:type="spellEnd"/>
      <w:r w:rsidR="00415ABC">
        <w:t xml:space="preserve">, </w:t>
      </w:r>
      <w:proofErr w:type="spellStart"/>
      <w:r w:rsidR="00415ABC">
        <w:t>ASdV</w:t>
      </w:r>
      <w:proofErr w:type="spellEnd"/>
      <w:r w:rsidR="00415ABC">
        <w:t xml:space="preserve">, APAH, MEK, </w:t>
      </w:r>
      <w:proofErr w:type="spellStart"/>
      <w:r w:rsidR="00415ABC">
        <w:t>WJBvW</w:t>
      </w:r>
      <w:proofErr w:type="spellEnd"/>
      <w:r w:rsidR="00415ABC">
        <w:t>, GL, FV, MCV, AAW, JPR, JAL. Writing: VOB, AG, GMK, LMS</w:t>
      </w:r>
      <w:r w:rsidR="00B07BBF">
        <w:t>,</w:t>
      </w:r>
      <w:r w:rsidR="00415ABC">
        <w:t xml:space="preserve"> MCV, AAW, JPR, JAL. </w:t>
      </w:r>
      <w:r w:rsidR="00634D4B">
        <w:t>Review and agreement with the final version of the manuscript: all authors</w:t>
      </w:r>
    </w:p>
    <w:p w14:paraId="0B7DA8FA" w14:textId="77777777" w:rsidR="00224D55" w:rsidRPr="00415ABC" w:rsidRDefault="002C6EC6" w:rsidP="00F43F94">
      <w:pPr>
        <w:spacing w:after="0" w:line="480" w:lineRule="auto"/>
        <w:rPr>
          <w:b/>
          <w:bCs/>
        </w:rPr>
      </w:pPr>
      <w:r w:rsidRPr="00415ABC">
        <w:rPr>
          <w:b/>
          <w:bCs/>
        </w:rPr>
        <w:t>Conflict of Interest</w:t>
      </w:r>
    </w:p>
    <w:p w14:paraId="6EC824BB" w14:textId="77777777" w:rsidR="00224D55" w:rsidRDefault="002C6EC6" w:rsidP="00F43F94">
      <w:pPr>
        <w:spacing w:after="0" w:line="480" w:lineRule="auto"/>
      </w:pPr>
      <w:r>
        <w:t>Nothing to declare</w:t>
      </w:r>
      <w:r w:rsidR="00193F46">
        <w:t>.</w:t>
      </w:r>
    </w:p>
    <w:p w14:paraId="0F3616B1" w14:textId="77777777" w:rsidR="002C6EC6" w:rsidRPr="00415ABC" w:rsidRDefault="006979A4" w:rsidP="00F43F94">
      <w:pPr>
        <w:spacing w:after="0" w:line="480" w:lineRule="auto"/>
        <w:rPr>
          <w:b/>
          <w:bCs/>
        </w:rPr>
      </w:pPr>
      <w:r w:rsidRPr="00415ABC">
        <w:rPr>
          <w:b/>
          <w:bCs/>
        </w:rPr>
        <w:t>Funding</w:t>
      </w:r>
    </w:p>
    <w:p w14:paraId="2911486A" w14:textId="77777777" w:rsidR="006979A4" w:rsidRPr="00D52CD6" w:rsidRDefault="00136617" w:rsidP="00F43F94">
      <w:pPr>
        <w:pStyle w:val="Heading1"/>
        <w:spacing w:after="0" w:afterAutospacing="0" w:line="480" w:lineRule="auto"/>
        <w:rPr>
          <w:rFonts w:ascii="Calibri" w:hAnsi="Calibri" w:cs="Calibri"/>
          <w:b w:val="0"/>
          <w:bCs w:val="0"/>
          <w:sz w:val="22"/>
          <w:szCs w:val="22"/>
        </w:rPr>
      </w:pPr>
      <w:r w:rsidRPr="00D52CD6">
        <w:rPr>
          <w:rFonts w:ascii="Calibri" w:hAnsi="Calibri" w:cs="Calibri"/>
          <w:b w:val="0"/>
          <w:bCs w:val="0"/>
          <w:sz w:val="22"/>
          <w:szCs w:val="22"/>
        </w:rPr>
        <w:t>Th</w:t>
      </w:r>
      <w:r w:rsidR="00557716" w:rsidRPr="00D52CD6">
        <w:rPr>
          <w:rFonts w:ascii="Calibri" w:hAnsi="Calibri" w:cs="Calibri"/>
          <w:b w:val="0"/>
          <w:bCs w:val="0"/>
          <w:sz w:val="22"/>
          <w:szCs w:val="22"/>
        </w:rPr>
        <w:t>e</w:t>
      </w:r>
      <w:r w:rsidRPr="00D52CD6">
        <w:rPr>
          <w:rFonts w:ascii="Calibri" w:hAnsi="Calibri" w:cs="Calibri"/>
          <w:b w:val="0"/>
          <w:bCs w:val="0"/>
          <w:sz w:val="22"/>
          <w:szCs w:val="22"/>
        </w:rPr>
        <w:t xml:space="preserve"> </w:t>
      </w:r>
      <w:r w:rsidR="00196AA0" w:rsidRPr="00D52CD6">
        <w:rPr>
          <w:rFonts w:ascii="Calibri" w:hAnsi="Calibri" w:cs="Calibri"/>
          <w:b w:val="0"/>
          <w:bCs w:val="0"/>
          <w:sz w:val="22"/>
          <w:szCs w:val="22"/>
        </w:rPr>
        <w:t xml:space="preserve">MACOTRA </w:t>
      </w:r>
      <w:r w:rsidR="00557716" w:rsidRPr="00D52CD6">
        <w:rPr>
          <w:rFonts w:ascii="Calibri" w:hAnsi="Calibri" w:cs="Calibri"/>
          <w:b w:val="0"/>
          <w:bCs w:val="0"/>
          <w:sz w:val="22"/>
          <w:szCs w:val="22"/>
        </w:rPr>
        <w:t>(</w:t>
      </w:r>
      <w:r w:rsidR="00714AB2" w:rsidRPr="00D52CD6">
        <w:rPr>
          <w:rFonts w:ascii="Calibri" w:hAnsi="Calibri" w:cs="Calibri"/>
          <w:b w:val="0"/>
          <w:bCs w:val="0"/>
          <w:sz w:val="22"/>
          <w:szCs w:val="22"/>
        </w:rPr>
        <w:t>C</w:t>
      </w:r>
      <w:r w:rsidR="00557716" w:rsidRPr="00D52CD6">
        <w:rPr>
          <w:rFonts w:ascii="Calibri" w:hAnsi="Calibri" w:cs="Calibri"/>
          <w:b w:val="0"/>
          <w:bCs w:val="0"/>
          <w:sz w:val="22"/>
          <w:szCs w:val="22"/>
        </w:rPr>
        <w:t>ombating MRSA; increasing our understanding of transmission success will lead to better control of MRSA</w:t>
      </w:r>
      <w:r w:rsidR="00714AB2" w:rsidRPr="00D52CD6">
        <w:rPr>
          <w:rFonts w:ascii="Calibri" w:hAnsi="Calibri" w:cs="Calibri"/>
          <w:b w:val="0"/>
          <w:bCs w:val="0"/>
          <w:sz w:val="22"/>
          <w:szCs w:val="22"/>
        </w:rPr>
        <w:t xml:space="preserve">) study </w:t>
      </w:r>
      <w:r w:rsidRPr="00D52CD6">
        <w:rPr>
          <w:rFonts w:ascii="Calibri" w:hAnsi="Calibri" w:cs="Calibri"/>
          <w:b w:val="0"/>
          <w:bCs w:val="0"/>
          <w:sz w:val="22"/>
          <w:szCs w:val="22"/>
        </w:rPr>
        <w:t>was supported by JPIAMR 3</w:t>
      </w:r>
      <w:r w:rsidRPr="00D52CD6">
        <w:rPr>
          <w:rFonts w:ascii="Calibri" w:hAnsi="Calibri" w:cs="Calibri"/>
          <w:b w:val="0"/>
          <w:bCs w:val="0"/>
          <w:sz w:val="22"/>
          <w:szCs w:val="22"/>
          <w:vertAlign w:val="superscript"/>
        </w:rPr>
        <w:t>rd</w:t>
      </w:r>
      <w:r w:rsidRPr="00D52CD6">
        <w:rPr>
          <w:rFonts w:ascii="Calibri" w:hAnsi="Calibri" w:cs="Calibri"/>
          <w:b w:val="0"/>
          <w:bCs w:val="0"/>
          <w:sz w:val="22"/>
          <w:szCs w:val="22"/>
        </w:rPr>
        <w:t xml:space="preserve"> call, </w:t>
      </w:r>
      <w:r w:rsidRPr="00D52CD6">
        <w:rPr>
          <w:rStyle w:val="Emphasis"/>
          <w:rFonts w:ascii="Calibri" w:hAnsi="Calibri" w:cs="Calibri"/>
          <w:b w:val="0"/>
          <w:bCs w:val="0"/>
          <w:sz w:val="22"/>
          <w:szCs w:val="22"/>
        </w:rPr>
        <w:t>AMR Transmission dynamics,</w:t>
      </w:r>
      <w:r w:rsidRPr="00D52CD6">
        <w:rPr>
          <w:rFonts w:ascii="Calibri" w:hAnsi="Calibri" w:cs="Calibri"/>
          <w:b w:val="0"/>
          <w:bCs w:val="0"/>
          <w:sz w:val="22"/>
          <w:szCs w:val="22"/>
        </w:rPr>
        <w:t xml:space="preserve"> </w:t>
      </w:r>
      <w:r w:rsidR="00E7727F" w:rsidRPr="00D52CD6">
        <w:rPr>
          <w:rFonts w:ascii="Calibri" w:hAnsi="Calibri" w:cs="Calibri"/>
          <w:b w:val="0"/>
          <w:bCs w:val="0"/>
          <w:sz w:val="22"/>
          <w:szCs w:val="22"/>
        </w:rPr>
        <w:t xml:space="preserve">UK Medical Research Council grant MR/P028322/1, </w:t>
      </w:r>
      <w:r w:rsidR="0029605F" w:rsidRPr="00D52CD6">
        <w:rPr>
          <w:rFonts w:ascii="Calibri" w:hAnsi="Calibri" w:cs="Calibri"/>
          <w:b w:val="0"/>
          <w:bCs w:val="0"/>
          <w:sz w:val="22"/>
          <w:szCs w:val="22"/>
        </w:rPr>
        <w:t xml:space="preserve">French </w:t>
      </w:r>
      <w:r w:rsidR="0044035E" w:rsidRPr="00D52CD6">
        <w:rPr>
          <w:rFonts w:ascii="Calibri" w:hAnsi="Calibri" w:cs="Calibri"/>
          <w:b w:val="0"/>
          <w:bCs w:val="0"/>
          <w:sz w:val="22"/>
          <w:szCs w:val="22"/>
        </w:rPr>
        <w:t xml:space="preserve">ANR Grant 16-JPEC-000, </w:t>
      </w:r>
      <w:r w:rsidRPr="00D52CD6">
        <w:rPr>
          <w:rFonts w:ascii="Calibri" w:hAnsi="Calibri" w:cs="Calibri"/>
          <w:b w:val="0"/>
          <w:bCs w:val="0"/>
          <w:sz w:val="22"/>
          <w:szCs w:val="22"/>
        </w:rPr>
        <w:t xml:space="preserve">and Dutch </w:t>
      </w:r>
      <w:proofErr w:type="spellStart"/>
      <w:r w:rsidRPr="00D52CD6">
        <w:rPr>
          <w:rFonts w:ascii="Calibri" w:hAnsi="Calibri" w:cs="Calibri"/>
          <w:b w:val="0"/>
          <w:bCs w:val="0"/>
          <w:sz w:val="22"/>
          <w:szCs w:val="22"/>
        </w:rPr>
        <w:t>ZonMw</w:t>
      </w:r>
      <w:proofErr w:type="spellEnd"/>
      <w:r w:rsidRPr="00D52CD6">
        <w:rPr>
          <w:rFonts w:ascii="Calibri" w:hAnsi="Calibri" w:cs="Calibri"/>
          <w:b w:val="0"/>
          <w:bCs w:val="0"/>
          <w:sz w:val="22"/>
          <w:szCs w:val="22"/>
        </w:rPr>
        <w:t xml:space="preserve"> grant 547001006.</w:t>
      </w:r>
    </w:p>
    <w:p w14:paraId="1713C242" w14:textId="77777777" w:rsidR="006979A4" w:rsidRPr="00D52CD6" w:rsidRDefault="006979A4" w:rsidP="00F43F94">
      <w:pPr>
        <w:spacing w:after="0" w:line="480" w:lineRule="auto"/>
        <w:rPr>
          <w:rFonts w:cs="Calibri"/>
        </w:rPr>
      </w:pPr>
    </w:p>
    <w:p w14:paraId="6C1016D8" w14:textId="77777777" w:rsidR="002C6EC6" w:rsidRPr="00ED05FD" w:rsidRDefault="002C6EC6" w:rsidP="00F43F94">
      <w:pPr>
        <w:spacing w:after="0" w:line="480" w:lineRule="auto"/>
      </w:pPr>
    </w:p>
    <w:p w14:paraId="40495780" w14:textId="77777777" w:rsidR="00B40CEB" w:rsidRPr="002F66ED" w:rsidRDefault="0022046A" w:rsidP="00F43F94">
      <w:pPr>
        <w:spacing w:after="0" w:line="480" w:lineRule="auto"/>
        <w:rPr>
          <w:b/>
          <w:bCs/>
        </w:rPr>
      </w:pPr>
      <w:r w:rsidRPr="002F66ED">
        <w:rPr>
          <w:b/>
          <w:bCs/>
        </w:rPr>
        <w:t>REFERENCES</w:t>
      </w:r>
    </w:p>
    <w:p w14:paraId="58AEAD3A" w14:textId="77777777" w:rsidR="00545B9B" w:rsidRPr="00C200A6" w:rsidRDefault="00545B9B" w:rsidP="00F43F94">
      <w:pPr>
        <w:widowControl w:val="0"/>
        <w:autoSpaceDE w:val="0"/>
        <w:autoSpaceDN w:val="0"/>
        <w:adjustRightInd w:val="0"/>
        <w:spacing w:after="0" w:line="480" w:lineRule="auto"/>
        <w:ind w:left="640" w:hanging="640"/>
        <w:rPr>
          <w:rFonts w:cs="Calibri"/>
          <w:noProof/>
          <w:szCs w:val="24"/>
          <w:lang w:val="fr-FR"/>
        </w:rPr>
      </w:pPr>
      <w:r w:rsidRPr="00545B9B">
        <w:rPr>
          <w:rFonts w:cs="Calibri"/>
          <w:noProof/>
          <w:szCs w:val="24"/>
        </w:rPr>
        <w:t>[1]</w:t>
      </w:r>
      <w:r w:rsidRPr="00545B9B">
        <w:rPr>
          <w:rFonts w:cs="Calibri"/>
          <w:noProof/>
          <w:szCs w:val="24"/>
        </w:rPr>
        <w:tab/>
        <w:t xml:space="preserve">Murray CJ, Ikuta KS, Sharara F, Swetschinski L, Robles Aguilar G, Gray A, et al. Global burden of bacterial antimicrobial resistance in 2019: a systematic analysis. </w:t>
      </w:r>
      <w:r w:rsidRPr="00C200A6">
        <w:rPr>
          <w:rFonts w:cs="Calibri"/>
          <w:noProof/>
          <w:szCs w:val="24"/>
          <w:lang w:val="fr-FR"/>
        </w:rPr>
        <w:t>Lancet 2022;399:629–55. https://doi.org/10.1016/S0140-6736(21)02724-0.</w:t>
      </w:r>
    </w:p>
    <w:p w14:paraId="40388135" w14:textId="77777777" w:rsidR="00545B9B" w:rsidRPr="00B07BBF" w:rsidRDefault="00545B9B" w:rsidP="00F43F94">
      <w:pPr>
        <w:widowControl w:val="0"/>
        <w:autoSpaceDE w:val="0"/>
        <w:autoSpaceDN w:val="0"/>
        <w:adjustRightInd w:val="0"/>
        <w:spacing w:after="0" w:line="480" w:lineRule="auto"/>
        <w:ind w:left="640" w:hanging="640"/>
        <w:rPr>
          <w:rFonts w:cs="Calibri"/>
          <w:noProof/>
          <w:szCs w:val="24"/>
        </w:rPr>
      </w:pPr>
      <w:r w:rsidRPr="00C200A6">
        <w:rPr>
          <w:rFonts w:cs="Calibri"/>
          <w:noProof/>
          <w:szCs w:val="24"/>
          <w:lang w:val="fr-FR"/>
        </w:rPr>
        <w:lastRenderedPageBreak/>
        <w:t>[2]</w:t>
      </w:r>
      <w:r w:rsidRPr="00C200A6">
        <w:rPr>
          <w:rFonts w:cs="Calibri"/>
          <w:noProof/>
          <w:szCs w:val="24"/>
          <w:lang w:val="fr-FR"/>
        </w:rPr>
        <w:tab/>
        <w:t xml:space="preserve">Cassini A, Högberg LD, Plachouras D, Quattrocchi A, Hoxha A, Simonsen GS, et al. </w:t>
      </w:r>
      <w:r w:rsidRPr="00545B9B">
        <w:rPr>
          <w:rFonts w:cs="Calibri"/>
          <w:noProof/>
          <w:szCs w:val="24"/>
        </w:rPr>
        <w:t xml:space="preserve">Attributable deaths and disability-adjusted life-years caused by infections with antibiotic-resistant bacteria in the EU and the European Economic Area in 2015: a population-level modelling analysis. </w:t>
      </w:r>
      <w:r w:rsidRPr="00B07BBF">
        <w:rPr>
          <w:rFonts w:cs="Calibri"/>
          <w:noProof/>
          <w:szCs w:val="24"/>
        </w:rPr>
        <w:t>Lancet Infect Dis 2019;19:56–66. https://doi.org/10.1016/S1473-3099(18)30605-4.</w:t>
      </w:r>
    </w:p>
    <w:p w14:paraId="52C1A0C0"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B07BBF">
        <w:rPr>
          <w:rFonts w:cs="Calibri"/>
          <w:noProof/>
          <w:szCs w:val="24"/>
        </w:rPr>
        <w:t>[3]</w:t>
      </w:r>
      <w:r w:rsidRPr="00B07BBF">
        <w:rPr>
          <w:rFonts w:cs="Calibri"/>
          <w:noProof/>
          <w:szCs w:val="24"/>
        </w:rPr>
        <w:tab/>
        <w:t xml:space="preserve">Bode LGM, Kluytmans JAJW, Wertheim HFL, Bogaers D, Vandenbroucke-Grauls CMJE, Roosendaal R, et al. </w:t>
      </w:r>
      <w:r w:rsidRPr="00545B9B">
        <w:rPr>
          <w:rFonts w:cs="Calibri"/>
          <w:noProof/>
          <w:szCs w:val="24"/>
        </w:rPr>
        <w:t xml:space="preserve">Preventing Surgical-Site Infections in Nasal Carriers of </w:t>
      </w:r>
      <w:r w:rsidRPr="00B07BBF">
        <w:rPr>
          <w:rFonts w:cs="Calibri"/>
          <w:i/>
          <w:iCs/>
          <w:noProof/>
          <w:szCs w:val="24"/>
        </w:rPr>
        <w:t>Staphylococcus aureus</w:t>
      </w:r>
      <w:r w:rsidRPr="00545B9B">
        <w:rPr>
          <w:rFonts w:cs="Calibri"/>
          <w:noProof/>
          <w:szCs w:val="24"/>
        </w:rPr>
        <w:t>. N Engl J Med 2010;362:9–17. https://doi.org/10.1056/NEJMoa0808939.</w:t>
      </w:r>
    </w:p>
    <w:p w14:paraId="6940BF10" w14:textId="77777777" w:rsidR="00545B9B" w:rsidRPr="00C200A6" w:rsidRDefault="00545B9B" w:rsidP="00F43F94">
      <w:pPr>
        <w:widowControl w:val="0"/>
        <w:autoSpaceDE w:val="0"/>
        <w:autoSpaceDN w:val="0"/>
        <w:adjustRightInd w:val="0"/>
        <w:spacing w:after="0" w:line="480" w:lineRule="auto"/>
        <w:ind w:left="640" w:hanging="640"/>
        <w:rPr>
          <w:rFonts w:cs="Calibri"/>
          <w:noProof/>
          <w:szCs w:val="24"/>
          <w:lang w:val="fr-FR"/>
        </w:rPr>
      </w:pPr>
      <w:r w:rsidRPr="00545B9B">
        <w:rPr>
          <w:rFonts w:cs="Calibri"/>
          <w:noProof/>
          <w:szCs w:val="24"/>
        </w:rPr>
        <w:t>[4]</w:t>
      </w:r>
      <w:r w:rsidRPr="00545B9B">
        <w:rPr>
          <w:rFonts w:cs="Calibri"/>
          <w:noProof/>
          <w:szCs w:val="24"/>
        </w:rPr>
        <w:tab/>
        <w:t xml:space="preserve">DeLeo FR, Otto M, Kreiswirth BN, Chambers HF. Community-associated meticillin-resistant </w:t>
      </w:r>
      <w:r w:rsidRPr="00B07BBF">
        <w:rPr>
          <w:rFonts w:cs="Calibri"/>
          <w:i/>
          <w:iCs/>
          <w:noProof/>
          <w:szCs w:val="24"/>
        </w:rPr>
        <w:t>Staphylococcus aureus</w:t>
      </w:r>
      <w:r w:rsidRPr="00545B9B">
        <w:rPr>
          <w:rFonts w:cs="Calibri"/>
          <w:noProof/>
          <w:szCs w:val="24"/>
        </w:rPr>
        <w:t xml:space="preserve">. </w:t>
      </w:r>
      <w:r w:rsidRPr="00C200A6">
        <w:rPr>
          <w:rFonts w:cs="Calibri"/>
          <w:noProof/>
          <w:szCs w:val="24"/>
          <w:lang w:val="fr-FR"/>
        </w:rPr>
        <w:t>Lancet 2010;375:1557–68. https://doi.org/10.1016/S0140-6736(09)61999-1.</w:t>
      </w:r>
    </w:p>
    <w:p w14:paraId="73EEB66E"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C200A6">
        <w:rPr>
          <w:rFonts w:cs="Calibri"/>
          <w:noProof/>
          <w:szCs w:val="24"/>
          <w:lang w:val="fr-FR"/>
        </w:rPr>
        <w:t>[5]</w:t>
      </w:r>
      <w:r w:rsidRPr="00C200A6">
        <w:rPr>
          <w:rFonts w:cs="Calibri"/>
          <w:noProof/>
          <w:szCs w:val="24"/>
          <w:lang w:val="fr-FR"/>
        </w:rPr>
        <w:tab/>
        <w:t xml:space="preserve">Wertheim HF, Melles DC, Vos MC, van Leeuwen W, van Belkum A, Verbrugh HA, et al. </w:t>
      </w:r>
      <w:r w:rsidRPr="00545B9B">
        <w:rPr>
          <w:rFonts w:cs="Calibri"/>
          <w:noProof/>
          <w:szCs w:val="24"/>
        </w:rPr>
        <w:t xml:space="preserve">The role of nasal carriage in </w:t>
      </w:r>
      <w:r w:rsidRPr="00B07BBF">
        <w:rPr>
          <w:rFonts w:cs="Calibri"/>
          <w:i/>
          <w:iCs/>
          <w:noProof/>
          <w:szCs w:val="24"/>
        </w:rPr>
        <w:t>Staphylococcus aureus</w:t>
      </w:r>
      <w:r w:rsidRPr="00545B9B">
        <w:rPr>
          <w:rFonts w:cs="Calibri"/>
          <w:noProof/>
          <w:szCs w:val="24"/>
        </w:rPr>
        <w:t xml:space="preserve"> infections. Lancet Infect Dis 2005;5:751–62. https://doi.org/10.1016/S1473-3099(05)70295-4.</w:t>
      </w:r>
    </w:p>
    <w:p w14:paraId="27D99033"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[6]</w:t>
      </w:r>
      <w:r w:rsidRPr="00545B9B">
        <w:rPr>
          <w:rFonts w:cs="Calibri"/>
          <w:noProof/>
          <w:szCs w:val="24"/>
        </w:rPr>
        <w:tab/>
        <w:t xml:space="preserve">Enright MC, Robinson DA, Randle G, Feil EJ, Grundmann H, Spratt BG. The evolutionary history of methicillin-resistant </w:t>
      </w:r>
      <w:r w:rsidRPr="00B07BBF">
        <w:rPr>
          <w:rFonts w:cs="Calibri"/>
          <w:i/>
          <w:iCs/>
          <w:noProof/>
          <w:szCs w:val="24"/>
        </w:rPr>
        <w:t>Staphylococcus aureus</w:t>
      </w:r>
      <w:r w:rsidRPr="00545B9B">
        <w:rPr>
          <w:rFonts w:cs="Calibri"/>
          <w:noProof/>
          <w:szCs w:val="24"/>
        </w:rPr>
        <w:t xml:space="preserve"> (MRSA). Proc Natl Acad Sci 2002;99:7687–92. https://doi.org/10.1073/pnas.122108599.</w:t>
      </w:r>
    </w:p>
    <w:p w14:paraId="607DC047"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[7]</w:t>
      </w:r>
      <w:r w:rsidRPr="00545B9B">
        <w:rPr>
          <w:rFonts w:cs="Calibri"/>
          <w:noProof/>
          <w:szCs w:val="24"/>
        </w:rPr>
        <w:tab/>
        <w:t xml:space="preserve">Stefani S, Chung DR, Lindsay JA, Friedrich AW, Kearns AM, Westh H, et al. Meticillin-resistant </w:t>
      </w:r>
      <w:r w:rsidRPr="00B07BBF">
        <w:rPr>
          <w:rFonts w:cs="Calibri"/>
          <w:i/>
          <w:iCs/>
          <w:noProof/>
          <w:szCs w:val="24"/>
        </w:rPr>
        <w:t>Staphylococcus aureus</w:t>
      </w:r>
      <w:r w:rsidRPr="00545B9B">
        <w:rPr>
          <w:rFonts w:cs="Calibri"/>
          <w:noProof/>
          <w:szCs w:val="24"/>
        </w:rPr>
        <w:t xml:space="preserve"> (MRSA): global epidemiology and harmonisation of typing methods. Int J Antimicrob Agents 2012;39:273–82. https://doi.org/10.1016/j.ijantimicag.2011.09.030.</w:t>
      </w:r>
    </w:p>
    <w:p w14:paraId="53465622"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[8]</w:t>
      </w:r>
      <w:r w:rsidRPr="00545B9B">
        <w:rPr>
          <w:rFonts w:cs="Calibri"/>
          <w:noProof/>
          <w:szCs w:val="24"/>
        </w:rPr>
        <w:tab/>
        <w:t>Baede VO, David MZ, Andrasevic AT, Blanc DS, Borg M, Brennan G, et al. MRSA surveillance programmes worldwide: moving towards a harmonised international approach. Int J Antimicrob Agents 2022;59:106538. https://doi.org/10.1016/j.ijantimicag.2022.106538.</w:t>
      </w:r>
    </w:p>
    <w:p w14:paraId="4C63373C" w14:textId="77777777" w:rsidR="00545B9B" w:rsidRPr="00B07BBF"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[9]</w:t>
      </w:r>
      <w:r w:rsidRPr="00545B9B">
        <w:rPr>
          <w:rFonts w:cs="Calibri"/>
          <w:noProof/>
          <w:szCs w:val="24"/>
        </w:rPr>
        <w:tab/>
        <w:t xml:space="preserve">Knight GM, Budd EL, Whitney L, Thornley A, Al-Ghusein H, Planche T, et al. Shift in dominant hospital-associated methicillin-resistant </w:t>
      </w:r>
      <w:r w:rsidRPr="00B07BBF">
        <w:rPr>
          <w:rFonts w:cs="Calibri"/>
          <w:i/>
          <w:iCs/>
          <w:noProof/>
          <w:szCs w:val="24"/>
        </w:rPr>
        <w:t>Staphylococcus aureus</w:t>
      </w:r>
      <w:r w:rsidRPr="00545B9B">
        <w:rPr>
          <w:rFonts w:cs="Calibri"/>
          <w:noProof/>
          <w:szCs w:val="24"/>
        </w:rPr>
        <w:t xml:space="preserve"> (HA-MRSA) clones over time. </w:t>
      </w:r>
      <w:r w:rsidRPr="00B07BBF">
        <w:rPr>
          <w:rFonts w:cs="Calibri"/>
          <w:noProof/>
          <w:szCs w:val="24"/>
        </w:rPr>
        <w:t>J Antimicrob Chemother 2012;67:2514–22. https://doi.org/10.1093/jac/dks245.</w:t>
      </w:r>
    </w:p>
    <w:p w14:paraId="154ACD52"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B07BBF">
        <w:rPr>
          <w:rFonts w:cs="Calibri"/>
          <w:noProof/>
          <w:szCs w:val="24"/>
        </w:rPr>
        <w:t>[10]</w:t>
      </w:r>
      <w:r w:rsidRPr="00B07BBF">
        <w:rPr>
          <w:rFonts w:cs="Calibri"/>
          <w:noProof/>
          <w:szCs w:val="24"/>
        </w:rPr>
        <w:tab/>
        <w:t xml:space="preserve">de Vos AS, de Vlas SJ, Lindsay JA, Kretzschmar MEE, Knight GM. </w:t>
      </w:r>
      <w:r w:rsidRPr="00545B9B">
        <w:rPr>
          <w:rFonts w:cs="Calibri"/>
          <w:noProof/>
          <w:szCs w:val="24"/>
        </w:rPr>
        <w:t xml:space="preserve">Understanding MRSA clonal </w:t>
      </w:r>
      <w:r w:rsidRPr="00545B9B">
        <w:rPr>
          <w:rFonts w:cs="Calibri"/>
          <w:noProof/>
          <w:szCs w:val="24"/>
        </w:rPr>
        <w:lastRenderedPageBreak/>
        <w:t>competition within a UK hospital; the possible importance of density dependence. Epidemics 2021;37:100511. https://doi.org/10.1016/j.epidem.2021.100511.</w:t>
      </w:r>
    </w:p>
    <w:p w14:paraId="71B37211"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[11]</w:t>
      </w:r>
      <w:r w:rsidRPr="00545B9B">
        <w:rPr>
          <w:rFonts w:cs="Calibri"/>
          <w:noProof/>
          <w:szCs w:val="24"/>
        </w:rPr>
        <w:tab/>
        <w:t xml:space="preserve">Gustave C-A, Tristan A, Martins-Simões P, Stegger M, Benito Y, Andersen PS, et al. Demographic fluctuation of community-acquired antibiotic-resistant </w:t>
      </w:r>
      <w:r w:rsidRPr="00B07BBF">
        <w:rPr>
          <w:rFonts w:cs="Calibri"/>
          <w:i/>
          <w:iCs/>
          <w:noProof/>
          <w:szCs w:val="24"/>
        </w:rPr>
        <w:t>Staphylococcus aureus</w:t>
      </w:r>
      <w:r w:rsidRPr="00545B9B">
        <w:rPr>
          <w:rFonts w:cs="Calibri"/>
          <w:noProof/>
          <w:szCs w:val="24"/>
        </w:rPr>
        <w:t xml:space="preserve"> lineages: potential role of flimsy antibiotic exposure. ISME J 2018;12:1879–94. https://doi.org/10.1038/s41396-018-0110-4.</w:t>
      </w:r>
    </w:p>
    <w:p w14:paraId="0C2BE79F" w14:textId="08B7BCB5"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[12]</w:t>
      </w:r>
      <w:r w:rsidRPr="00545B9B">
        <w:rPr>
          <w:rFonts w:cs="Calibri"/>
          <w:noProof/>
          <w:szCs w:val="24"/>
        </w:rPr>
        <w:tab/>
        <w:t>Seemann T. Shovill v1.0.9 2020. https://github.com/tseemann/shovill.</w:t>
      </w:r>
    </w:p>
    <w:p w14:paraId="0B61728A"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[13]</w:t>
      </w:r>
      <w:r w:rsidRPr="00545B9B">
        <w:rPr>
          <w:rFonts w:cs="Calibri"/>
          <w:noProof/>
          <w:szCs w:val="24"/>
        </w:rPr>
        <w:tab/>
        <w:t>Seemann T. Abricate 2020. https://github.com/tseemann/abricate.</w:t>
      </w:r>
    </w:p>
    <w:p w14:paraId="3473DF51"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[14]</w:t>
      </w:r>
      <w:r w:rsidRPr="00545B9B">
        <w:rPr>
          <w:rFonts w:cs="Calibri"/>
          <w:noProof/>
          <w:szCs w:val="24"/>
        </w:rPr>
        <w:tab/>
        <w:t>The European Committee on Antimicrobial Susceptibility Testing (EUCAST). Antimicrobial susceptibility testing EUCAST disk diffusion method Version 7.0. 2019. https://www.eucast.org/ast_of_bacteria/previous_versions_of_documents.</w:t>
      </w:r>
    </w:p>
    <w:p w14:paraId="5C4AEF54"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[15]</w:t>
      </w:r>
      <w:r w:rsidRPr="00545B9B">
        <w:rPr>
          <w:rFonts w:cs="Calibri"/>
          <w:noProof/>
          <w:szCs w:val="24"/>
        </w:rPr>
        <w:tab/>
        <w:t>Rasigade J-P, Barbier M, Dumitrescu O, Pichat C, Carret G, Ronnaux-Baron A-S, et al. Strain-specific estimation of epidemic success provides insights into the transmission dynamics of tuberculosis. Sci Rep 2017;7:45326. https://doi.org/10.1038/srep45326.</w:t>
      </w:r>
    </w:p>
    <w:p w14:paraId="41CC5F9A"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[16]</w:t>
      </w:r>
      <w:r w:rsidRPr="00545B9B">
        <w:rPr>
          <w:rFonts w:cs="Calibri"/>
          <w:noProof/>
          <w:szCs w:val="24"/>
        </w:rPr>
        <w:tab/>
        <w:t xml:space="preserve">Wirth T, Bergot M, Rasigade J-P, Pichon B, Barbier M, Martins-Simoes P, et al. Niche specialization and spread of </w:t>
      </w:r>
      <w:r w:rsidRPr="00B07BBF">
        <w:rPr>
          <w:rFonts w:cs="Calibri"/>
          <w:i/>
          <w:iCs/>
          <w:noProof/>
          <w:szCs w:val="24"/>
        </w:rPr>
        <w:t>Staphylococcus capitis</w:t>
      </w:r>
      <w:r w:rsidRPr="00545B9B">
        <w:rPr>
          <w:rFonts w:cs="Calibri"/>
          <w:noProof/>
          <w:szCs w:val="24"/>
        </w:rPr>
        <w:t xml:space="preserve"> involved in neonatal sepsis. Nat Microbiol 2020;5:735–45. https://doi.org/10.1038/s41564-020-0676-2.</w:t>
      </w:r>
    </w:p>
    <w:p w14:paraId="587C7AF9"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[17]</w:t>
      </w:r>
      <w:r w:rsidRPr="00545B9B">
        <w:rPr>
          <w:rFonts w:cs="Calibri"/>
          <w:noProof/>
          <w:szCs w:val="24"/>
        </w:rPr>
        <w:tab/>
        <w:t>Wirth T, Wong V, Vandenesch F, Rasigade J. Applied phyloepidemiology: Detecting drivers of pathogen transmission from genomic signatures using density measures. Evol Appl 2020;13:1513–25. https://doi.org/10.1111/eva.12991.</w:t>
      </w:r>
    </w:p>
    <w:p w14:paraId="3A868F1B"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[18]</w:t>
      </w:r>
      <w:r w:rsidRPr="00545B9B">
        <w:rPr>
          <w:rFonts w:cs="Calibri"/>
          <w:noProof/>
          <w:szCs w:val="24"/>
        </w:rPr>
        <w:tab/>
        <w:t>Lees JA, Galardini M, Bentley SD, Weiser JN, Corander J. pyseer: a comprehensive tool for microbial pangenome-wide association studies. Bioinformatics 2018;34:4310–2. https://doi.org/10.1093/bioinformatics/bty539.</w:t>
      </w:r>
    </w:p>
    <w:p w14:paraId="572CC0D2"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[19]</w:t>
      </w:r>
      <w:r w:rsidRPr="00545B9B">
        <w:rPr>
          <w:rFonts w:cs="Calibri"/>
          <w:noProof/>
          <w:szCs w:val="24"/>
        </w:rPr>
        <w:tab/>
        <w:t xml:space="preserve">Monecke S, Slickers P, Ehricht R. Assignment of </w:t>
      </w:r>
      <w:r w:rsidRPr="00B07BBF">
        <w:rPr>
          <w:rFonts w:cs="Calibri"/>
          <w:i/>
          <w:iCs/>
          <w:noProof/>
          <w:szCs w:val="24"/>
        </w:rPr>
        <w:t>Staphylococcus aureus</w:t>
      </w:r>
      <w:r w:rsidRPr="00545B9B">
        <w:rPr>
          <w:rFonts w:cs="Calibri"/>
          <w:noProof/>
          <w:szCs w:val="24"/>
        </w:rPr>
        <w:t xml:space="preserve"> isolates to clonal complexes based on microarray analysis and pattern recognition. FEMS Immunol Med Microbiol 2008;53:237–51. https://doi.org/10.1111/j.1574-695X.2008.00426.x.</w:t>
      </w:r>
    </w:p>
    <w:p w14:paraId="6AEE131A" w14:textId="77777777" w:rsidR="00545B9B" w:rsidRPr="00C200A6" w:rsidRDefault="00545B9B" w:rsidP="00F43F94">
      <w:pPr>
        <w:widowControl w:val="0"/>
        <w:autoSpaceDE w:val="0"/>
        <w:autoSpaceDN w:val="0"/>
        <w:adjustRightInd w:val="0"/>
        <w:spacing w:after="0" w:line="480" w:lineRule="auto"/>
        <w:ind w:left="640" w:hanging="640"/>
        <w:rPr>
          <w:rFonts w:cs="Calibri"/>
          <w:noProof/>
          <w:szCs w:val="24"/>
          <w:lang w:val="fr-FR"/>
        </w:rPr>
      </w:pPr>
      <w:r w:rsidRPr="00C200A6">
        <w:rPr>
          <w:rFonts w:cs="Calibri"/>
          <w:noProof/>
          <w:szCs w:val="24"/>
          <w:lang w:val="fr-FR"/>
        </w:rPr>
        <w:lastRenderedPageBreak/>
        <w:t>[20]</w:t>
      </w:r>
      <w:r w:rsidRPr="00C200A6">
        <w:rPr>
          <w:rFonts w:cs="Calibri"/>
          <w:noProof/>
          <w:szCs w:val="24"/>
          <w:lang w:val="fr-FR"/>
        </w:rPr>
        <w:tab/>
        <w:t xml:space="preserve">Rasigade J-P, Leclère A, Alla F, Tessier A, Bes M, Lechiche C, et al. </w:t>
      </w:r>
      <w:r w:rsidRPr="00B07BBF">
        <w:rPr>
          <w:rFonts w:cs="Calibri"/>
          <w:i/>
          <w:iCs/>
          <w:noProof/>
          <w:szCs w:val="24"/>
        </w:rPr>
        <w:t>Staphylococcus aureus</w:t>
      </w:r>
      <w:r w:rsidRPr="00545B9B">
        <w:rPr>
          <w:rFonts w:cs="Calibri"/>
          <w:noProof/>
          <w:szCs w:val="24"/>
        </w:rPr>
        <w:t xml:space="preserve"> CC30 Lineage and Absence of </w:t>
      </w:r>
      <w:r w:rsidRPr="00B07BBF">
        <w:rPr>
          <w:rFonts w:cs="Calibri"/>
          <w:i/>
          <w:iCs/>
          <w:noProof/>
          <w:szCs w:val="24"/>
        </w:rPr>
        <w:t>sed,j,r</w:t>
      </w:r>
      <w:r w:rsidRPr="00545B9B">
        <w:rPr>
          <w:rFonts w:cs="Calibri"/>
          <w:noProof/>
          <w:szCs w:val="24"/>
        </w:rPr>
        <w:t xml:space="preserve">-Harboring Plasmid Predict Embolism in Infective Endocarditis. </w:t>
      </w:r>
      <w:r w:rsidRPr="00C200A6">
        <w:rPr>
          <w:rFonts w:cs="Calibri"/>
          <w:noProof/>
          <w:szCs w:val="24"/>
          <w:lang w:val="fr-FR"/>
        </w:rPr>
        <w:t>Front Cell Infect Microbiol 2018;8:187. https://doi.org/10.3389/fcimb.2018.00187.</w:t>
      </w:r>
    </w:p>
    <w:p w14:paraId="4A5FABFB" w14:textId="77777777" w:rsidR="00545B9B" w:rsidRPr="00B07BBF" w:rsidRDefault="00545B9B" w:rsidP="00F43F94">
      <w:pPr>
        <w:widowControl w:val="0"/>
        <w:autoSpaceDE w:val="0"/>
        <w:autoSpaceDN w:val="0"/>
        <w:adjustRightInd w:val="0"/>
        <w:spacing w:after="0" w:line="480" w:lineRule="auto"/>
        <w:ind w:left="640" w:hanging="640"/>
        <w:rPr>
          <w:rFonts w:cs="Calibri"/>
          <w:noProof/>
          <w:szCs w:val="24"/>
        </w:rPr>
      </w:pPr>
      <w:r w:rsidRPr="00C200A6">
        <w:rPr>
          <w:rFonts w:cs="Calibri"/>
          <w:noProof/>
          <w:szCs w:val="24"/>
          <w:lang w:val="fr-FR"/>
        </w:rPr>
        <w:t>[21]</w:t>
      </w:r>
      <w:r w:rsidRPr="00C200A6">
        <w:rPr>
          <w:rFonts w:cs="Calibri"/>
          <w:noProof/>
          <w:szCs w:val="24"/>
          <w:lang w:val="fr-FR"/>
        </w:rPr>
        <w:tab/>
        <w:t xml:space="preserve">Holden MTG, Hsu L-Y, Kurt K, Weinert LA, Mather AE, Harris SR, et al. </w:t>
      </w:r>
      <w:r w:rsidRPr="00545B9B">
        <w:rPr>
          <w:rFonts w:cs="Calibri"/>
          <w:noProof/>
          <w:szCs w:val="24"/>
        </w:rPr>
        <w:t xml:space="preserve">A genomic portrait of the emergence, evolution, and global spread of a methicillin-resistant </w:t>
      </w:r>
      <w:r w:rsidRPr="00B07BBF">
        <w:rPr>
          <w:rFonts w:cs="Calibri"/>
          <w:i/>
          <w:iCs/>
          <w:noProof/>
          <w:szCs w:val="24"/>
        </w:rPr>
        <w:t>Staphylococcus aureus</w:t>
      </w:r>
      <w:r w:rsidRPr="00545B9B">
        <w:rPr>
          <w:rFonts w:cs="Calibri"/>
          <w:noProof/>
          <w:szCs w:val="24"/>
        </w:rPr>
        <w:t xml:space="preserve"> pandemic. </w:t>
      </w:r>
      <w:r w:rsidRPr="00B07BBF">
        <w:rPr>
          <w:rFonts w:cs="Calibri"/>
          <w:noProof/>
          <w:szCs w:val="24"/>
        </w:rPr>
        <w:t>Genome Res 2013;23:653–64. https://doi.org/10.1101/gr.147710.112.</w:t>
      </w:r>
    </w:p>
    <w:p w14:paraId="53558670"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B07BBF">
        <w:rPr>
          <w:rFonts w:cs="Calibri"/>
          <w:noProof/>
          <w:szCs w:val="24"/>
        </w:rPr>
        <w:t>[22]</w:t>
      </w:r>
      <w:r w:rsidRPr="00B07BBF">
        <w:rPr>
          <w:rFonts w:cs="Calibri"/>
          <w:noProof/>
          <w:szCs w:val="24"/>
        </w:rPr>
        <w:tab/>
        <w:t xml:space="preserve">Høiby N, Jarløv JO, Kemp M, Tvede M, Bangsborg JM, Kjerulf A, et al. </w:t>
      </w:r>
      <w:r w:rsidRPr="00545B9B">
        <w:rPr>
          <w:rFonts w:cs="Calibri"/>
          <w:noProof/>
          <w:szCs w:val="24"/>
        </w:rPr>
        <w:t xml:space="preserve">Excretion of ciprofloxacin in sweat and multiresistant </w:t>
      </w:r>
      <w:r w:rsidRPr="00B07BBF">
        <w:rPr>
          <w:rFonts w:cs="Calibri"/>
          <w:i/>
          <w:iCs/>
          <w:noProof/>
          <w:szCs w:val="24"/>
        </w:rPr>
        <w:t>Staphylococcus epidermidis</w:t>
      </w:r>
      <w:r w:rsidRPr="00545B9B">
        <w:rPr>
          <w:rFonts w:cs="Calibri"/>
          <w:noProof/>
          <w:szCs w:val="24"/>
        </w:rPr>
        <w:t>. Lancet 1997;349:167–9. https://doi.org/10.1016/S0140-6736(96)09229-X.</w:t>
      </w:r>
    </w:p>
    <w:p w14:paraId="131350C1"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[23]</w:t>
      </w:r>
      <w:r w:rsidRPr="00545B9B">
        <w:rPr>
          <w:rFonts w:cs="Calibri"/>
          <w:noProof/>
          <w:szCs w:val="24"/>
        </w:rPr>
        <w:tab/>
        <w:t xml:space="preserve">McCarthy AJ, Loeffler A, Witney AA, Gould KA, Lloyd DH, Lindsay JA. Extensive Horizontal Gene Transfer during </w:t>
      </w:r>
      <w:r w:rsidRPr="00B07BBF">
        <w:rPr>
          <w:rFonts w:cs="Calibri"/>
          <w:i/>
          <w:iCs/>
          <w:noProof/>
          <w:szCs w:val="24"/>
        </w:rPr>
        <w:t>Staphylococcus aureus</w:t>
      </w:r>
      <w:r w:rsidRPr="00545B9B">
        <w:rPr>
          <w:rFonts w:cs="Calibri"/>
          <w:noProof/>
          <w:szCs w:val="24"/>
        </w:rPr>
        <w:t xml:space="preserve"> Co-colonization In Vivo. Genome Biol Evol 2014;6:2697–708. https://doi.org/10.1093/gbe/evu214.</w:t>
      </w:r>
    </w:p>
    <w:p w14:paraId="670DBC53" w14:textId="77777777" w:rsidR="00545B9B" w:rsidRPr="00545B9B" w:rsidRDefault="00545B9B" w:rsidP="00F43F94">
      <w:pPr>
        <w:widowControl w:val="0"/>
        <w:autoSpaceDE w:val="0"/>
        <w:autoSpaceDN w:val="0"/>
        <w:adjustRightInd w:val="0"/>
        <w:spacing w:after="0" w:line="480" w:lineRule="auto"/>
        <w:ind w:left="640" w:hanging="640"/>
        <w:rPr>
          <w:rFonts w:cs="Calibri"/>
          <w:noProof/>
          <w:szCs w:val="24"/>
        </w:rPr>
      </w:pPr>
      <w:r w:rsidRPr="00545B9B">
        <w:rPr>
          <w:rFonts w:cs="Calibri"/>
          <w:noProof/>
          <w:szCs w:val="24"/>
        </w:rPr>
        <w:t>[24]</w:t>
      </w:r>
      <w:r w:rsidRPr="00545B9B">
        <w:rPr>
          <w:rFonts w:cs="Calibri"/>
          <w:noProof/>
          <w:szCs w:val="24"/>
        </w:rPr>
        <w:tab/>
        <w:t xml:space="preserve">Durand G, Bes M, Meugnier H, Enright MC, Forey F, Liassine N, et al. Detection of new methicillin-resistant </w:t>
      </w:r>
      <w:r w:rsidRPr="00B07BBF">
        <w:rPr>
          <w:rFonts w:cs="Calibri"/>
          <w:i/>
          <w:iCs/>
          <w:noProof/>
          <w:szCs w:val="24"/>
        </w:rPr>
        <w:t>Staphylococcus aureus</w:t>
      </w:r>
      <w:r w:rsidRPr="00545B9B">
        <w:rPr>
          <w:rFonts w:cs="Calibri"/>
          <w:noProof/>
          <w:szCs w:val="24"/>
        </w:rPr>
        <w:t xml:space="preserve"> clones containing the toxic shock syndrome toxin 1 gene responsible for hospital- and community-acquired infections in France. J Clin Microbiol 2006;44:847–53. https://doi.org/10.1128/JCM.44.3.847-853.2006.</w:t>
      </w:r>
    </w:p>
    <w:p w14:paraId="14FEAF8B" w14:textId="77777777" w:rsidR="00545B9B" w:rsidRPr="00545B9B" w:rsidRDefault="00545B9B" w:rsidP="00F43F94">
      <w:pPr>
        <w:widowControl w:val="0"/>
        <w:autoSpaceDE w:val="0"/>
        <w:autoSpaceDN w:val="0"/>
        <w:adjustRightInd w:val="0"/>
        <w:spacing w:after="0" w:line="480" w:lineRule="auto"/>
        <w:ind w:left="640" w:hanging="640"/>
        <w:rPr>
          <w:rFonts w:cs="Calibri"/>
          <w:noProof/>
        </w:rPr>
      </w:pPr>
      <w:r w:rsidRPr="00545B9B">
        <w:rPr>
          <w:rFonts w:cs="Calibri"/>
          <w:noProof/>
          <w:szCs w:val="24"/>
        </w:rPr>
        <w:t>[25]</w:t>
      </w:r>
      <w:r w:rsidRPr="00545B9B">
        <w:rPr>
          <w:rFonts w:cs="Calibri"/>
          <w:noProof/>
          <w:szCs w:val="24"/>
        </w:rPr>
        <w:tab/>
        <w:t xml:space="preserve">O’Neill AJ, Huovinen T, Fishwick CWG, Chopra I. Molecular genetic and structural modeling studies of </w:t>
      </w:r>
      <w:r w:rsidRPr="00B07BBF">
        <w:rPr>
          <w:rFonts w:cs="Calibri"/>
          <w:i/>
          <w:iCs/>
          <w:noProof/>
          <w:szCs w:val="24"/>
        </w:rPr>
        <w:t>Staphylococcus aureus</w:t>
      </w:r>
      <w:r w:rsidRPr="00545B9B">
        <w:rPr>
          <w:rFonts w:cs="Calibri"/>
          <w:noProof/>
          <w:szCs w:val="24"/>
        </w:rPr>
        <w:t xml:space="preserve"> RNA polymerase and the fitness of rifampin resistance genotypes in relation to clinical prevalence. Antimicrob Agents Chemother 2006;50:298–309. https://doi.org/10.1128/AAC.50.1.298-309.2006.</w:t>
      </w:r>
    </w:p>
    <w:p w14:paraId="1584D5E5" w14:textId="77777777" w:rsidR="00B40CEB" w:rsidRPr="00D52CD6" w:rsidRDefault="00B40CEB" w:rsidP="00F43F94">
      <w:pPr>
        <w:spacing w:after="0" w:line="480" w:lineRule="auto"/>
        <w:rPr>
          <w:rFonts w:cs="Calibri"/>
        </w:rPr>
      </w:pPr>
    </w:p>
    <w:p w14:paraId="240E7840" w14:textId="77777777" w:rsidR="00B40CEB" w:rsidRPr="00ED05FD" w:rsidRDefault="00B40CEB" w:rsidP="00F43F94">
      <w:pPr>
        <w:spacing w:after="0" w:line="480" w:lineRule="auto"/>
      </w:pPr>
    </w:p>
    <w:sectPr w:rsidR="00B40CEB" w:rsidRPr="00ED05FD" w:rsidSect="008E5FBA">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EBAA" w14:textId="77777777" w:rsidR="00624DF4" w:rsidRDefault="00624DF4" w:rsidP="00AE1D79">
      <w:pPr>
        <w:spacing w:after="0" w:line="240" w:lineRule="auto"/>
      </w:pPr>
      <w:r>
        <w:separator/>
      </w:r>
    </w:p>
  </w:endnote>
  <w:endnote w:type="continuationSeparator" w:id="0">
    <w:p w14:paraId="43C0A975" w14:textId="77777777" w:rsidR="00624DF4" w:rsidRDefault="00624DF4" w:rsidP="00AE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17065"/>
      <w:docPartObj>
        <w:docPartGallery w:val="Page Numbers (Bottom of Page)"/>
        <w:docPartUnique/>
      </w:docPartObj>
    </w:sdtPr>
    <w:sdtEndPr>
      <w:rPr>
        <w:noProof/>
      </w:rPr>
    </w:sdtEndPr>
    <w:sdtContent>
      <w:p w14:paraId="2DC8BB4B" w14:textId="5E9A344E" w:rsidR="00AE1D79" w:rsidRDefault="00AE1D79">
        <w:pPr>
          <w:pStyle w:val="Footer"/>
        </w:pPr>
        <w:r>
          <w:fldChar w:fldCharType="begin"/>
        </w:r>
        <w:r>
          <w:instrText xml:space="preserve"> PAGE   \* MERGEFORMAT </w:instrText>
        </w:r>
        <w:r>
          <w:fldChar w:fldCharType="separate"/>
        </w:r>
        <w:r>
          <w:rPr>
            <w:noProof/>
          </w:rPr>
          <w:t>2</w:t>
        </w:r>
        <w:r>
          <w:rPr>
            <w:noProof/>
          </w:rPr>
          <w:fldChar w:fldCharType="end"/>
        </w:r>
      </w:p>
    </w:sdtContent>
  </w:sdt>
  <w:p w14:paraId="7085728C" w14:textId="77777777" w:rsidR="00AE1D79" w:rsidRDefault="00AE1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A73E" w14:textId="77777777" w:rsidR="00624DF4" w:rsidRDefault="00624DF4" w:rsidP="00AE1D79">
      <w:pPr>
        <w:spacing w:after="0" w:line="240" w:lineRule="auto"/>
      </w:pPr>
      <w:r>
        <w:separator/>
      </w:r>
    </w:p>
  </w:footnote>
  <w:footnote w:type="continuationSeparator" w:id="0">
    <w:p w14:paraId="70AA2320" w14:textId="77777777" w:rsidR="00624DF4" w:rsidRDefault="00624DF4" w:rsidP="00AE1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A59"/>
    <w:multiLevelType w:val="multilevel"/>
    <w:tmpl w:val="6B8A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F5A5F"/>
    <w:multiLevelType w:val="multilevel"/>
    <w:tmpl w:val="5BE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429FA"/>
    <w:multiLevelType w:val="hybridMultilevel"/>
    <w:tmpl w:val="34E8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C38DB"/>
    <w:multiLevelType w:val="multilevel"/>
    <w:tmpl w:val="DAF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730DE"/>
    <w:multiLevelType w:val="hybridMultilevel"/>
    <w:tmpl w:val="6736EC5A"/>
    <w:lvl w:ilvl="0" w:tplc="45D2EA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34BBB"/>
    <w:multiLevelType w:val="hybridMultilevel"/>
    <w:tmpl w:val="C84CB6B6"/>
    <w:lvl w:ilvl="0" w:tplc="30045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3E"/>
    <w:rsid w:val="000000B6"/>
    <w:rsid w:val="000030AD"/>
    <w:rsid w:val="0000347C"/>
    <w:rsid w:val="00004E60"/>
    <w:rsid w:val="0000607A"/>
    <w:rsid w:val="00007DE8"/>
    <w:rsid w:val="000110DB"/>
    <w:rsid w:val="000148E8"/>
    <w:rsid w:val="00016553"/>
    <w:rsid w:val="00016EA4"/>
    <w:rsid w:val="00022F5A"/>
    <w:rsid w:val="00026A77"/>
    <w:rsid w:val="00026E91"/>
    <w:rsid w:val="00036BFD"/>
    <w:rsid w:val="000416CC"/>
    <w:rsid w:val="000430A3"/>
    <w:rsid w:val="0004491B"/>
    <w:rsid w:val="00051578"/>
    <w:rsid w:val="000518AF"/>
    <w:rsid w:val="00052037"/>
    <w:rsid w:val="0005492F"/>
    <w:rsid w:val="00055CFF"/>
    <w:rsid w:val="00057897"/>
    <w:rsid w:val="00057A82"/>
    <w:rsid w:val="0006178A"/>
    <w:rsid w:val="0006796A"/>
    <w:rsid w:val="00070D99"/>
    <w:rsid w:val="0007277A"/>
    <w:rsid w:val="00083E2A"/>
    <w:rsid w:val="00096E12"/>
    <w:rsid w:val="000A7084"/>
    <w:rsid w:val="000B1360"/>
    <w:rsid w:val="000B4B43"/>
    <w:rsid w:val="000B5BA6"/>
    <w:rsid w:val="000C015B"/>
    <w:rsid w:val="000C5EE9"/>
    <w:rsid w:val="000C7967"/>
    <w:rsid w:val="000D1C9E"/>
    <w:rsid w:val="000D23C6"/>
    <w:rsid w:val="000D247B"/>
    <w:rsid w:val="000D314D"/>
    <w:rsid w:val="000E1E64"/>
    <w:rsid w:val="000E24CB"/>
    <w:rsid w:val="000E2862"/>
    <w:rsid w:val="000E2FE1"/>
    <w:rsid w:val="000E5314"/>
    <w:rsid w:val="000F596F"/>
    <w:rsid w:val="000F60D7"/>
    <w:rsid w:val="00100FF2"/>
    <w:rsid w:val="0010279F"/>
    <w:rsid w:val="00103005"/>
    <w:rsid w:val="00111152"/>
    <w:rsid w:val="00111841"/>
    <w:rsid w:val="00112076"/>
    <w:rsid w:val="00113035"/>
    <w:rsid w:val="0011413F"/>
    <w:rsid w:val="00115E6B"/>
    <w:rsid w:val="001166F0"/>
    <w:rsid w:val="001168E8"/>
    <w:rsid w:val="00120A3C"/>
    <w:rsid w:val="00120E2B"/>
    <w:rsid w:val="00121038"/>
    <w:rsid w:val="00121F06"/>
    <w:rsid w:val="00125B1C"/>
    <w:rsid w:val="0013401C"/>
    <w:rsid w:val="00136617"/>
    <w:rsid w:val="00136865"/>
    <w:rsid w:val="00140B35"/>
    <w:rsid w:val="00151827"/>
    <w:rsid w:val="00152062"/>
    <w:rsid w:val="001538D1"/>
    <w:rsid w:val="00155259"/>
    <w:rsid w:val="001617E9"/>
    <w:rsid w:val="00163088"/>
    <w:rsid w:val="00163D66"/>
    <w:rsid w:val="00165619"/>
    <w:rsid w:val="00175DFB"/>
    <w:rsid w:val="001807C1"/>
    <w:rsid w:val="0018156D"/>
    <w:rsid w:val="00181B91"/>
    <w:rsid w:val="00187251"/>
    <w:rsid w:val="00191FB8"/>
    <w:rsid w:val="00192957"/>
    <w:rsid w:val="001939A1"/>
    <w:rsid w:val="00193F46"/>
    <w:rsid w:val="001967A6"/>
    <w:rsid w:val="00196AA0"/>
    <w:rsid w:val="001A3B30"/>
    <w:rsid w:val="001A5DAD"/>
    <w:rsid w:val="001A69BF"/>
    <w:rsid w:val="001B1306"/>
    <w:rsid w:val="001B36E6"/>
    <w:rsid w:val="001B46D3"/>
    <w:rsid w:val="001C068F"/>
    <w:rsid w:val="001C0F8A"/>
    <w:rsid w:val="001C7608"/>
    <w:rsid w:val="001D0C02"/>
    <w:rsid w:val="001D20F5"/>
    <w:rsid w:val="001E444F"/>
    <w:rsid w:val="001E56D2"/>
    <w:rsid w:val="001E63FC"/>
    <w:rsid w:val="001F1D54"/>
    <w:rsid w:val="00200183"/>
    <w:rsid w:val="00200C5E"/>
    <w:rsid w:val="002010CC"/>
    <w:rsid w:val="002022B8"/>
    <w:rsid w:val="00203157"/>
    <w:rsid w:val="002041F4"/>
    <w:rsid w:val="0020587D"/>
    <w:rsid w:val="00211E51"/>
    <w:rsid w:val="00212E8C"/>
    <w:rsid w:val="00213972"/>
    <w:rsid w:val="0022046A"/>
    <w:rsid w:val="00220E5E"/>
    <w:rsid w:val="00221C6D"/>
    <w:rsid w:val="002227B8"/>
    <w:rsid w:val="00224D55"/>
    <w:rsid w:val="00231AE7"/>
    <w:rsid w:val="0023221F"/>
    <w:rsid w:val="00232E5A"/>
    <w:rsid w:val="0023325C"/>
    <w:rsid w:val="002379B4"/>
    <w:rsid w:val="00240D4C"/>
    <w:rsid w:val="00244A96"/>
    <w:rsid w:val="00245F48"/>
    <w:rsid w:val="00245F82"/>
    <w:rsid w:val="002468A7"/>
    <w:rsid w:val="002477EF"/>
    <w:rsid w:val="00250712"/>
    <w:rsid w:val="0025071A"/>
    <w:rsid w:val="00253DAE"/>
    <w:rsid w:val="00262924"/>
    <w:rsid w:val="002647A6"/>
    <w:rsid w:val="00265C37"/>
    <w:rsid w:val="002851AC"/>
    <w:rsid w:val="00291828"/>
    <w:rsid w:val="00292990"/>
    <w:rsid w:val="00292EA6"/>
    <w:rsid w:val="00295433"/>
    <w:rsid w:val="0029605F"/>
    <w:rsid w:val="002970CF"/>
    <w:rsid w:val="002A029C"/>
    <w:rsid w:val="002A5A1D"/>
    <w:rsid w:val="002B0681"/>
    <w:rsid w:val="002B6F91"/>
    <w:rsid w:val="002C073D"/>
    <w:rsid w:val="002C544C"/>
    <w:rsid w:val="002C6EC6"/>
    <w:rsid w:val="002D2C7C"/>
    <w:rsid w:val="002D42D3"/>
    <w:rsid w:val="002D51AA"/>
    <w:rsid w:val="002D5611"/>
    <w:rsid w:val="002D5960"/>
    <w:rsid w:val="002D7BDC"/>
    <w:rsid w:val="002E021A"/>
    <w:rsid w:val="002E1379"/>
    <w:rsid w:val="002E2641"/>
    <w:rsid w:val="002E5465"/>
    <w:rsid w:val="002F05C0"/>
    <w:rsid w:val="002F5555"/>
    <w:rsid w:val="002F5935"/>
    <w:rsid w:val="002F66ED"/>
    <w:rsid w:val="003025C4"/>
    <w:rsid w:val="00310702"/>
    <w:rsid w:val="00310EC1"/>
    <w:rsid w:val="00313523"/>
    <w:rsid w:val="00321A11"/>
    <w:rsid w:val="00323161"/>
    <w:rsid w:val="0032671E"/>
    <w:rsid w:val="0032758C"/>
    <w:rsid w:val="00327D7C"/>
    <w:rsid w:val="00332D37"/>
    <w:rsid w:val="00333148"/>
    <w:rsid w:val="0033349A"/>
    <w:rsid w:val="00334078"/>
    <w:rsid w:val="00341404"/>
    <w:rsid w:val="003431C7"/>
    <w:rsid w:val="00344E54"/>
    <w:rsid w:val="003577FD"/>
    <w:rsid w:val="003602B8"/>
    <w:rsid w:val="003665F6"/>
    <w:rsid w:val="00367BC4"/>
    <w:rsid w:val="00367D88"/>
    <w:rsid w:val="00370316"/>
    <w:rsid w:val="00371F8F"/>
    <w:rsid w:val="00382A24"/>
    <w:rsid w:val="00382F07"/>
    <w:rsid w:val="00392B2E"/>
    <w:rsid w:val="00393291"/>
    <w:rsid w:val="003941E3"/>
    <w:rsid w:val="003949B9"/>
    <w:rsid w:val="003A0075"/>
    <w:rsid w:val="003B0932"/>
    <w:rsid w:val="003B182B"/>
    <w:rsid w:val="003B2757"/>
    <w:rsid w:val="003B4C3F"/>
    <w:rsid w:val="003B7297"/>
    <w:rsid w:val="003C4164"/>
    <w:rsid w:val="003C57A6"/>
    <w:rsid w:val="003D4620"/>
    <w:rsid w:val="003D4F64"/>
    <w:rsid w:val="003E2978"/>
    <w:rsid w:val="003E374C"/>
    <w:rsid w:val="003E4E40"/>
    <w:rsid w:val="003E693D"/>
    <w:rsid w:val="003E7034"/>
    <w:rsid w:val="003E7D78"/>
    <w:rsid w:val="003F102E"/>
    <w:rsid w:val="003F4675"/>
    <w:rsid w:val="003F7BBD"/>
    <w:rsid w:val="0040242F"/>
    <w:rsid w:val="00403E83"/>
    <w:rsid w:val="00404D11"/>
    <w:rsid w:val="0040543E"/>
    <w:rsid w:val="00406B3E"/>
    <w:rsid w:val="004109AF"/>
    <w:rsid w:val="00412B81"/>
    <w:rsid w:val="00415ABC"/>
    <w:rsid w:val="00415E81"/>
    <w:rsid w:val="004217F6"/>
    <w:rsid w:val="004220AC"/>
    <w:rsid w:val="00431675"/>
    <w:rsid w:val="00432719"/>
    <w:rsid w:val="0043688E"/>
    <w:rsid w:val="004378F0"/>
    <w:rsid w:val="0044035E"/>
    <w:rsid w:val="00441FC0"/>
    <w:rsid w:val="00442127"/>
    <w:rsid w:val="00444FEB"/>
    <w:rsid w:val="00446404"/>
    <w:rsid w:val="00446E29"/>
    <w:rsid w:val="00446E8E"/>
    <w:rsid w:val="00447017"/>
    <w:rsid w:val="00447926"/>
    <w:rsid w:val="00450991"/>
    <w:rsid w:val="00450F3C"/>
    <w:rsid w:val="00451242"/>
    <w:rsid w:val="00451842"/>
    <w:rsid w:val="0045520A"/>
    <w:rsid w:val="00456062"/>
    <w:rsid w:val="004563D0"/>
    <w:rsid w:val="0045778B"/>
    <w:rsid w:val="00457932"/>
    <w:rsid w:val="004605DC"/>
    <w:rsid w:val="0046176B"/>
    <w:rsid w:val="004660ED"/>
    <w:rsid w:val="00470EDF"/>
    <w:rsid w:val="00471D6B"/>
    <w:rsid w:val="0047370C"/>
    <w:rsid w:val="00473AC2"/>
    <w:rsid w:val="00474142"/>
    <w:rsid w:val="00476E20"/>
    <w:rsid w:val="00481EA3"/>
    <w:rsid w:val="00482E18"/>
    <w:rsid w:val="00483537"/>
    <w:rsid w:val="0048562B"/>
    <w:rsid w:val="00492B36"/>
    <w:rsid w:val="0049334E"/>
    <w:rsid w:val="00496DCB"/>
    <w:rsid w:val="004A20EE"/>
    <w:rsid w:val="004A3262"/>
    <w:rsid w:val="004A5148"/>
    <w:rsid w:val="004B392B"/>
    <w:rsid w:val="004B5544"/>
    <w:rsid w:val="004B559C"/>
    <w:rsid w:val="004B661D"/>
    <w:rsid w:val="004C58C8"/>
    <w:rsid w:val="004C5F29"/>
    <w:rsid w:val="004C6638"/>
    <w:rsid w:val="004D269F"/>
    <w:rsid w:val="004E478A"/>
    <w:rsid w:val="004E4EA6"/>
    <w:rsid w:val="004E7D6A"/>
    <w:rsid w:val="004F26CA"/>
    <w:rsid w:val="00504261"/>
    <w:rsid w:val="00505BD0"/>
    <w:rsid w:val="00510399"/>
    <w:rsid w:val="00515B75"/>
    <w:rsid w:val="0053203F"/>
    <w:rsid w:val="00532C85"/>
    <w:rsid w:val="00532F51"/>
    <w:rsid w:val="00534DF1"/>
    <w:rsid w:val="00536456"/>
    <w:rsid w:val="00541DE9"/>
    <w:rsid w:val="00542446"/>
    <w:rsid w:val="005426F9"/>
    <w:rsid w:val="00543ACA"/>
    <w:rsid w:val="00545B9B"/>
    <w:rsid w:val="00547A76"/>
    <w:rsid w:val="00551AC3"/>
    <w:rsid w:val="00553405"/>
    <w:rsid w:val="00554AB9"/>
    <w:rsid w:val="005560AA"/>
    <w:rsid w:val="00557716"/>
    <w:rsid w:val="0056286C"/>
    <w:rsid w:val="00565A53"/>
    <w:rsid w:val="005712AE"/>
    <w:rsid w:val="005714D0"/>
    <w:rsid w:val="00577A12"/>
    <w:rsid w:val="00581F5D"/>
    <w:rsid w:val="005827AD"/>
    <w:rsid w:val="005827F4"/>
    <w:rsid w:val="00586BA2"/>
    <w:rsid w:val="005870B1"/>
    <w:rsid w:val="005903AB"/>
    <w:rsid w:val="00590BC5"/>
    <w:rsid w:val="005A5660"/>
    <w:rsid w:val="005A6E96"/>
    <w:rsid w:val="005B0231"/>
    <w:rsid w:val="005B0311"/>
    <w:rsid w:val="005B1877"/>
    <w:rsid w:val="005B28C9"/>
    <w:rsid w:val="005B5D19"/>
    <w:rsid w:val="005C03A6"/>
    <w:rsid w:val="005C4894"/>
    <w:rsid w:val="005C48C1"/>
    <w:rsid w:val="005C6D43"/>
    <w:rsid w:val="005D14AE"/>
    <w:rsid w:val="005D6048"/>
    <w:rsid w:val="005E1842"/>
    <w:rsid w:val="005E21B6"/>
    <w:rsid w:val="005E4B53"/>
    <w:rsid w:val="005E5A9F"/>
    <w:rsid w:val="005E5ABF"/>
    <w:rsid w:val="005E68E1"/>
    <w:rsid w:val="005F64D7"/>
    <w:rsid w:val="005F6A34"/>
    <w:rsid w:val="006027D8"/>
    <w:rsid w:val="0060560F"/>
    <w:rsid w:val="00607354"/>
    <w:rsid w:val="006136B2"/>
    <w:rsid w:val="0062021F"/>
    <w:rsid w:val="00622BD6"/>
    <w:rsid w:val="00623533"/>
    <w:rsid w:val="00624DF4"/>
    <w:rsid w:val="00634D4B"/>
    <w:rsid w:val="00636D06"/>
    <w:rsid w:val="00641327"/>
    <w:rsid w:val="006448B2"/>
    <w:rsid w:val="00655F65"/>
    <w:rsid w:val="00656A1D"/>
    <w:rsid w:val="006574A4"/>
    <w:rsid w:val="006663B7"/>
    <w:rsid w:val="00670E7F"/>
    <w:rsid w:val="00686A7A"/>
    <w:rsid w:val="006916CF"/>
    <w:rsid w:val="006960F4"/>
    <w:rsid w:val="00696FF6"/>
    <w:rsid w:val="006979A4"/>
    <w:rsid w:val="00697E20"/>
    <w:rsid w:val="006A11B6"/>
    <w:rsid w:val="006A69FA"/>
    <w:rsid w:val="006B0713"/>
    <w:rsid w:val="006C5B8F"/>
    <w:rsid w:val="006C6CF2"/>
    <w:rsid w:val="006D228D"/>
    <w:rsid w:val="006D5153"/>
    <w:rsid w:val="006E055E"/>
    <w:rsid w:val="006E10FE"/>
    <w:rsid w:val="006E191B"/>
    <w:rsid w:val="006F032E"/>
    <w:rsid w:val="006F08FC"/>
    <w:rsid w:val="006F147F"/>
    <w:rsid w:val="006F238F"/>
    <w:rsid w:val="00703E72"/>
    <w:rsid w:val="00704F1A"/>
    <w:rsid w:val="00714AB2"/>
    <w:rsid w:val="007172D6"/>
    <w:rsid w:val="00717E9C"/>
    <w:rsid w:val="00724DE5"/>
    <w:rsid w:val="00735FB5"/>
    <w:rsid w:val="00740E66"/>
    <w:rsid w:val="007421E6"/>
    <w:rsid w:val="00742AFB"/>
    <w:rsid w:val="00744EB7"/>
    <w:rsid w:val="00745886"/>
    <w:rsid w:val="00746061"/>
    <w:rsid w:val="007538E5"/>
    <w:rsid w:val="00753BE4"/>
    <w:rsid w:val="00754D2C"/>
    <w:rsid w:val="00756859"/>
    <w:rsid w:val="00760240"/>
    <w:rsid w:val="00760EF8"/>
    <w:rsid w:val="007615FB"/>
    <w:rsid w:val="0076212B"/>
    <w:rsid w:val="00763D2B"/>
    <w:rsid w:val="00764520"/>
    <w:rsid w:val="007725D8"/>
    <w:rsid w:val="00775A05"/>
    <w:rsid w:val="00775B76"/>
    <w:rsid w:val="00776187"/>
    <w:rsid w:val="00783854"/>
    <w:rsid w:val="007845A8"/>
    <w:rsid w:val="007847B0"/>
    <w:rsid w:val="00785A98"/>
    <w:rsid w:val="00786FC0"/>
    <w:rsid w:val="0079152C"/>
    <w:rsid w:val="00794926"/>
    <w:rsid w:val="00797138"/>
    <w:rsid w:val="0079748C"/>
    <w:rsid w:val="00797548"/>
    <w:rsid w:val="007A0941"/>
    <w:rsid w:val="007A0E2B"/>
    <w:rsid w:val="007B5387"/>
    <w:rsid w:val="007B5FD4"/>
    <w:rsid w:val="007B73A3"/>
    <w:rsid w:val="007C0544"/>
    <w:rsid w:val="007C5489"/>
    <w:rsid w:val="007D2068"/>
    <w:rsid w:val="007D56C0"/>
    <w:rsid w:val="007D627D"/>
    <w:rsid w:val="007E6D1C"/>
    <w:rsid w:val="007F0582"/>
    <w:rsid w:val="007F0870"/>
    <w:rsid w:val="007F282C"/>
    <w:rsid w:val="007F2B07"/>
    <w:rsid w:val="007F394B"/>
    <w:rsid w:val="007F5909"/>
    <w:rsid w:val="00806950"/>
    <w:rsid w:val="008118E4"/>
    <w:rsid w:val="00812053"/>
    <w:rsid w:val="00812429"/>
    <w:rsid w:val="008165C2"/>
    <w:rsid w:val="00817549"/>
    <w:rsid w:val="00817558"/>
    <w:rsid w:val="00817E65"/>
    <w:rsid w:val="008214B0"/>
    <w:rsid w:val="008231EB"/>
    <w:rsid w:val="00827209"/>
    <w:rsid w:val="00827512"/>
    <w:rsid w:val="008305F3"/>
    <w:rsid w:val="0083125E"/>
    <w:rsid w:val="00834BCB"/>
    <w:rsid w:val="008457D0"/>
    <w:rsid w:val="00847BD7"/>
    <w:rsid w:val="00851F62"/>
    <w:rsid w:val="00852291"/>
    <w:rsid w:val="00855C35"/>
    <w:rsid w:val="00856A2E"/>
    <w:rsid w:val="00861CAF"/>
    <w:rsid w:val="008659CD"/>
    <w:rsid w:val="008665DB"/>
    <w:rsid w:val="00870D8A"/>
    <w:rsid w:val="008715B1"/>
    <w:rsid w:val="00876CF0"/>
    <w:rsid w:val="00887805"/>
    <w:rsid w:val="0089001A"/>
    <w:rsid w:val="00892E1B"/>
    <w:rsid w:val="00894E3D"/>
    <w:rsid w:val="008A558E"/>
    <w:rsid w:val="008B536F"/>
    <w:rsid w:val="008C0C69"/>
    <w:rsid w:val="008C6148"/>
    <w:rsid w:val="008D695A"/>
    <w:rsid w:val="008E5FBA"/>
    <w:rsid w:val="008E7600"/>
    <w:rsid w:val="008E7EE0"/>
    <w:rsid w:val="008F0A4B"/>
    <w:rsid w:val="008F149B"/>
    <w:rsid w:val="008F4793"/>
    <w:rsid w:val="008F4F6B"/>
    <w:rsid w:val="008F51B4"/>
    <w:rsid w:val="008F6314"/>
    <w:rsid w:val="008F7B3C"/>
    <w:rsid w:val="009019DD"/>
    <w:rsid w:val="00903548"/>
    <w:rsid w:val="009074F8"/>
    <w:rsid w:val="00907F27"/>
    <w:rsid w:val="00910B24"/>
    <w:rsid w:val="00913313"/>
    <w:rsid w:val="009159F9"/>
    <w:rsid w:val="009211FD"/>
    <w:rsid w:val="0092402F"/>
    <w:rsid w:val="009313AA"/>
    <w:rsid w:val="00932297"/>
    <w:rsid w:val="009325C9"/>
    <w:rsid w:val="00932CA3"/>
    <w:rsid w:val="00932D66"/>
    <w:rsid w:val="009354C1"/>
    <w:rsid w:val="009460BF"/>
    <w:rsid w:val="009719A4"/>
    <w:rsid w:val="00972FB5"/>
    <w:rsid w:val="00974ECF"/>
    <w:rsid w:val="0097773B"/>
    <w:rsid w:val="00982F76"/>
    <w:rsid w:val="009917B4"/>
    <w:rsid w:val="009936CE"/>
    <w:rsid w:val="00994F7C"/>
    <w:rsid w:val="00995799"/>
    <w:rsid w:val="0099650D"/>
    <w:rsid w:val="00997523"/>
    <w:rsid w:val="009A1558"/>
    <w:rsid w:val="009B26D0"/>
    <w:rsid w:val="009B2944"/>
    <w:rsid w:val="009B3350"/>
    <w:rsid w:val="009C169E"/>
    <w:rsid w:val="009C27EB"/>
    <w:rsid w:val="009C3F21"/>
    <w:rsid w:val="009C42FD"/>
    <w:rsid w:val="009D3C68"/>
    <w:rsid w:val="009E2AEB"/>
    <w:rsid w:val="009E2C68"/>
    <w:rsid w:val="009E5A49"/>
    <w:rsid w:val="009E6324"/>
    <w:rsid w:val="009E63B5"/>
    <w:rsid w:val="009F334D"/>
    <w:rsid w:val="009F38AB"/>
    <w:rsid w:val="009F5ECE"/>
    <w:rsid w:val="009F62EA"/>
    <w:rsid w:val="009F6B6E"/>
    <w:rsid w:val="00A05B32"/>
    <w:rsid w:val="00A0703E"/>
    <w:rsid w:val="00A1081A"/>
    <w:rsid w:val="00A1244A"/>
    <w:rsid w:val="00A13F98"/>
    <w:rsid w:val="00A14110"/>
    <w:rsid w:val="00A15A75"/>
    <w:rsid w:val="00A17933"/>
    <w:rsid w:val="00A17D30"/>
    <w:rsid w:val="00A27701"/>
    <w:rsid w:val="00A3164A"/>
    <w:rsid w:val="00A31AA9"/>
    <w:rsid w:val="00A341C5"/>
    <w:rsid w:val="00A4031E"/>
    <w:rsid w:val="00A4173A"/>
    <w:rsid w:val="00A43DB8"/>
    <w:rsid w:val="00A51903"/>
    <w:rsid w:val="00A5299C"/>
    <w:rsid w:val="00A55966"/>
    <w:rsid w:val="00A55D5F"/>
    <w:rsid w:val="00A6671F"/>
    <w:rsid w:val="00A70435"/>
    <w:rsid w:val="00A71099"/>
    <w:rsid w:val="00A72915"/>
    <w:rsid w:val="00A729ED"/>
    <w:rsid w:val="00A7375C"/>
    <w:rsid w:val="00A80507"/>
    <w:rsid w:val="00A805CF"/>
    <w:rsid w:val="00A81FDF"/>
    <w:rsid w:val="00A85DB7"/>
    <w:rsid w:val="00A8648B"/>
    <w:rsid w:val="00A903B4"/>
    <w:rsid w:val="00A92A20"/>
    <w:rsid w:val="00A92EDC"/>
    <w:rsid w:val="00A938C1"/>
    <w:rsid w:val="00A95C41"/>
    <w:rsid w:val="00A971EE"/>
    <w:rsid w:val="00A9737C"/>
    <w:rsid w:val="00AA1928"/>
    <w:rsid w:val="00AA2E28"/>
    <w:rsid w:val="00AA5022"/>
    <w:rsid w:val="00AA533F"/>
    <w:rsid w:val="00AB431F"/>
    <w:rsid w:val="00AB4F24"/>
    <w:rsid w:val="00AC0E6D"/>
    <w:rsid w:val="00AC53D9"/>
    <w:rsid w:val="00AC6D83"/>
    <w:rsid w:val="00AD023A"/>
    <w:rsid w:val="00AD214A"/>
    <w:rsid w:val="00AD2D1A"/>
    <w:rsid w:val="00AD3109"/>
    <w:rsid w:val="00AD486A"/>
    <w:rsid w:val="00AD51DE"/>
    <w:rsid w:val="00AD66E4"/>
    <w:rsid w:val="00AD6E24"/>
    <w:rsid w:val="00AD7CDD"/>
    <w:rsid w:val="00AE1D07"/>
    <w:rsid w:val="00AE1D79"/>
    <w:rsid w:val="00AE4594"/>
    <w:rsid w:val="00AE46C9"/>
    <w:rsid w:val="00AE4A83"/>
    <w:rsid w:val="00AE54A4"/>
    <w:rsid w:val="00AE5EFE"/>
    <w:rsid w:val="00AE633E"/>
    <w:rsid w:val="00AF2822"/>
    <w:rsid w:val="00AF498F"/>
    <w:rsid w:val="00AF7B4E"/>
    <w:rsid w:val="00B010D1"/>
    <w:rsid w:val="00B03040"/>
    <w:rsid w:val="00B03D6E"/>
    <w:rsid w:val="00B0739F"/>
    <w:rsid w:val="00B07BBF"/>
    <w:rsid w:val="00B10996"/>
    <w:rsid w:val="00B15123"/>
    <w:rsid w:val="00B17BA4"/>
    <w:rsid w:val="00B2008D"/>
    <w:rsid w:val="00B2011C"/>
    <w:rsid w:val="00B249B3"/>
    <w:rsid w:val="00B25306"/>
    <w:rsid w:val="00B255D6"/>
    <w:rsid w:val="00B26964"/>
    <w:rsid w:val="00B327BD"/>
    <w:rsid w:val="00B353A2"/>
    <w:rsid w:val="00B3586A"/>
    <w:rsid w:val="00B40CEB"/>
    <w:rsid w:val="00B52A92"/>
    <w:rsid w:val="00B52E6A"/>
    <w:rsid w:val="00B5427B"/>
    <w:rsid w:val="00B54576"/>
    <w:rsid w:val="00B561CF"/>
    <w:rsid w:val="00B606E0"/>
    <w:rsid w:val="00B715B2"/>
    <w:rsid w:val="00B810F2"/>
    <w:rsid w:val="00B841AC"/>
    <w:rsid w:val="00B8479E"/>
    <w:rsid w:val="00B84852"/>
    <w:rsid w:val="00B8667F"/>
    <w:rsid w:val="00B9088E"/>
    <w:rsid w:val="00B932B8"/>
    <w:rsid w:val="00B943C4"/>
    <w:rsid w:val="00BA3AA1"/>
    <w:rsid w:val="00BB3034"/>
    <w:rsid w:val="00BB4A90"/>
    <w:rsid w:val="00BB5AA5"/>
    <w:rsid w:val="00BB5EE5"/>
    <w:rsid w:val="00BB75FA"/>
    <w:rsid w:val="00BC0ECD"/>
    <w:rsid w:val="00BC5E7D"/>
    <w:rsid w:val="00BD060E"/>
    <w:rsid w:val="00BE6684"/>
    <w:rsid w:val="00BF04F9"/>
    <w:rsid w:val="00BF4DEC"/>
    <w:rsid w:val="00BF606F"/>
    <w:rsid w:val="00BF7C1D"/>
    <w:rsid w:val="00C1017A"/>
    <w:rsid w:val="00C10CED"/>
    <w:rsid w:val="00C10F71"/>
    <w:rsid w:val="00C13371"/>
    <w:rsid w:val="00C16DD7"/>
    <w:rsid w:val="00C200A6"/>
    <w:rsid w:val="00C22E62"/>
    <w:rsid w:val="00C238E9"/>
    <w:rsid w:val="00C24874"/>
    <w:rsid w:val="00C25B91"/>
    <w:rsid w:val="00C33727"/>
    <w:rsid w:val="00C376B8"/>
    <w:rsid w:val="00C51C1C"/>
    <w:rsid w:val="00C53541"/>
    <w:rsid w:val="00C568CF"/>
    <w:rsid w:val="00C62281"/>
    <w:rsid w:val="00C62A0D"/>
    <w:rsid w:val="00C675A9"/>
    <w:rsid w:val="00C7276D"/>
    <w:rsid w:val="00C748A5"/>
    <w:rsid w:val="00C76E35"/>
    <w:rsid w:val="00C806C1"/>
    <w:rsid w:val="00C839A1"/>
    <w:rsid w:val="00C8454F"/>
    <w:rsid w:val="00C864F0"/>
    <w:rsid w:val="00C873A0"/>
    <w:rsid w:val="00C905B5"/>
    <w:rsid w:val="00C94AD5"/>
    <w:rsid w:val="00CA0C15"/>
    <w:rsid w:val="00CA1FC0"/>
    <w:rsid w:val="00CA2F27"/>
    <w:rsid w:val="00CA40E1"/>
    <w:rsid w:val="00CA5DD8"/>
    <w:rsid w:val="00CA751E"/>
    <w:rsid w:val="00CB3138"/>
    <w:rsid w:val="00CB4C2E"/>
    <w:rsid w:val="00CC0F14"/>
    <w:rsid w:val="00CC66FA"/>
    <w:rsid w:val="00CC7948"/>
    <w:rsid w:val="00CD031A"/>
    <w:rsid w:val="00CD231D"/>
    <w:rsid w:val="00CD23FB"/>
    <w:rsid w:val="00CD3241"/>
    <w:rsid w:val="00CE52D7"/>
    <w:rsid w:val="00CE6EC2"/>
    <w:rsid w:val="00CE72CF"/>
    <w:rsid w:val="00CF51D2"/>
    <w:rsid w:val="00CF534D"/>
    <w:rsid w:val="00CF5C0D"/>
    <w:rsid w:val="00D01D2D"/>
    <w:rsid w:val="00D045C9"/>
    <w:rsid w:val="00D05D71"/>
    <w:rsid w:val="00D06505"/>
    <w:rsid w:val="00D0691E"/>
    <w:rsid w:val="00D11844"/>
    <w:rsid w:val="00D12DCB"/>
    <w:rsid w:val="00D13216"/>
    <w:rsid w:val="00D23D71"/>
    <w:rsid w:val="00D328BB"/>
    <w:rsid w:val="00D32E1D"/>
    <w:rsid w:val="00D33D90"/>
    <w:rsid w:val="00D33E91"/>
    <w:rsid w:val="00D350CA"/>
    <w:rsid w:val="00D3677D"/>
    <w:rsid w:val="00D370FB"/>
    <w:rsid w:val="00D37575"/>
    <w:rsid w:val="00D37EDE"/>
    <w:rsid w:val="00D4339D"/>
    <w:rsid w:val="00D47171"/>
    <w:rsid w:val="00D527B9"/>
    <w:rsid w:val="00D52CD6"/>
    <w:rsid w:val="00D54673"/>
    <w:rsid w:val="00D57DED"/>
    <w:rsid w:val="00D604C8"/>
    <w:rsid w:val="00D6489A"/>
    <w:rsid w:val="00D741EE"/>
    <w:rsid w:val="00D74887"/>
    <w:rsid w:val="00D757FE"/>
    <w:rsid w:val="00D76357"/>
    <w:rsid w:val="00D8230D"/>
    <w:rsid w:val="00D82DD5"/>
    <w:rsid w:val="00D878F6"/>
    <w:rsid w:val="00D91E0B"/>
    <w:rsid w:val="00D97041"/>
    <w:rsid w:val="00D97B1E"/>
    <w:rsid w:val="00DA106E"/>
    <w:rsid w:val="00DA2B80"/>
    <w:rsid w:val="00DB1215"/>
    <w:rsid w:val="00DB17D7"/>
    <w:rsid w:val="00DB244A"/>
    <w:rsid w:val="00DB3685"/>
    <w:rsid w:val="00DC0EB7"/>
    <w:rsid w:val="00DC1427"/>
    <w:rsid w:val="00DC260F"/>
    <w:rsid w:val="00DC5FAE"/>
    <w:rsid w:val="00DC7CF4"/>
    <w:rsid w:val="00DD5F6B"/>
    <w:rsid w:val="00DD7E17"/>
    <w:rsid w:val="00DE1B79"/>
    <w:rsid w:val="00DE230D"/>
    <w:rsid w:val="00DE70C0"/>
    <w:rsid w:val="00DF0C17"/>
    <w:rsid w:val="00DF4755"/>
    <w:rsid w:val="00DF5A1D"/>
    <w:rsid w:val="00DF7CA3"/>
    <w:rsid w:val="00E1016F"/>
    <w:rsid w:val="00E1460C"/>
    <w:rsid w:val="00E1483E"/>
    <w:rsid w:val="00E14855"/>
    <w:rsid w:val="00E22135"/>
    <w:rsid w:val="00E254F3"/>
    <w:rsid w:val="00E3187F"/>
    <w:rsid w:val="00E34689"/>
    <w:rsid w:val="00E347C5"/>
    <w:rsid w:val="00E361C4"/>
    <w:rsid w:val="00E42156"/>
    <w:rsid w:val="00E44E3F"/>
    <w:rsid w:val="00E472DC"/>
    <w:rsid w:val="00E52E35"/>
    <w:rsid w:val="00E5311A"/>
    <w:rsid w:val="00E5538E"/>
    <w:rsid w:val="00E5550B"/>
    <w:rsid w:val="00E6060D"/>
    <w:rsid w:val="00E60C91"/>
    <w:rsid w:val="00E62A74"/>
    <w:rsid w:val="00E64C9F"/>
    <w:rsid w:val="00E70E81"/>
    <w:rsid w:val="00E7214D"/>
    <w:rsid w:val="00E73E57"/>
    <w:rsid w:val="00E749B5"/>
    <w:rsid w:val="00E7727F"/>
    <w:rsid w:val="00E775A8"/>
    <w:rsid w:val="00E80C8C"/>
    <w:rsid w:val="00E8162B"/>
    <w:rsid w:val="00E8549C"/>
    <w:rsid w:val="00E85537"/>
    <w:rsid w:val="00E900C4"/>
    <w:rsid w:val="00E90C28"/>
    <w:rsid w:val="00E9210D"/>
    <w:rsid w:val="00E9460E"/>
    <w:rsid w:val="00E952FE"/>
    <w:rsid w:val="00EA1550"/>
    <w:rsid w:val="00EA171E"/>
    <w:rsid w:val="00EA2521"/>
    <w:rsid w:val="00EA2D3C"/>
    <w:rsid w:val="00EA5C01"/>
    <w:rsid w:val="00EA7423"/>
    <w:rsid w:val="00EB124F"/>
    <w:rsid w:val="00EB2E0A"/>
    <w:rsid w:val="00EB2EF0"/>
    <w:rsid w:val="00EB46FD"/>
    <w:rsid w:val="00EC0FAA"/>
    <w:rsid w:val="00EC231B"/>
    <w:rsid w:val="00EC3068"/>
    <w:rsid w:val="00ED05FD"/>
    <w:rsid w:val="00ED626C"/>
    <w:rsid w:val="00EE090A"/>
    <w:rsid w:val="00EE489A"/>
    <w:rsid w:val="00EE7378"/>
    <w:rsid w:val="00EF7EB4"/>
    <w:rsid w:val="00F01230"/>
    <w:rsid w:val="00F03585"/>
    <w:rsid w:val="00F04061"/>
    <w:rsid w:val="00F06644"/>
    <w:rsid w:val="00F066D9"/>
    <w:rsid w:val="00F06C15"/>
    <w:rsid w:val="00F100EC"/>
    <w:rsid w:val="00F1154E"/>
    <w:rsid w:val="00F124CF"/>
    <w:rsid w:val="00F136AC"/>
    <w:rsid w:val="00F17C6B"/>
    <w:rsid w:val="00F17EDD"/>
    <w:rsid w:val="00F204FC"/>
    <w:rsid w:val="00F22FF6"/>
    <w:rsid w:val="00F259F5"/>
    <w:rsid w:val="00F270CF"/>
    <w:rsid w:val="00F30E2B"/>
    <w:rsid w:val="00F3381D"/>
    <w:rsid w:val="00F34E1F"/>
    <w:rsid w:val="00F364EE"/>
    <w:rsid w:val="00F40AFB"/>
    <w:rsid w:val="00F43F94"/>
    <w:rsid w:val="00F4685C"/>
    <w:rsid w:val="00F468E7"/>
    <w:rsid w:val="00F47780"/>
    <w:rsid w:val="00F5307E"/>
    <w:rsid w:val="00F53258"/>
    <w:rsid w:val="00F533FF"/>
    <w:rsid w:val="00F65C3D"/>
    <w:rsid w:val="00F72D4E"/>
    <w:rsid w:val="00F7610E"/>
    <w:rsid w:val="00F80329"/>
    <w:rsid w:val="00F820CF"/>
    <w:rsid w:val="00F83FFA"/>
    <w:rsid w:val="00F84C5F"/>
    <w:rsid w:val="00F8521D"/>
    <w:rsid w:val="00FA4855"/>
    <w:rsid w:val="00FC08AC"/>
    <w:rsid w:val="00FC1EFA"/>
    <w:rsid w:val="00FC31AD"/>
    <w:rsid w:val="00FC691B"/>
    <w:rsid w:val="00FC71A2"/>
    <w:rsid w:val="00FD03A9"/>
    <w:rsid w:val="00FD3D05"/>
    <w:rsid w:val="00FD4283"/>
    <w:rsid w:val="00FD5809"/>
    <w:rsid w:val="00FD5E1B"/>
    <w:rsid w:val="00FD666A"/>
    <w:rsid w:val="00FE2EEF"/>
    <w:rsid w:val="00FE4C4B"/>
    <w:rsid w:val="00FE6F7B"/>
    <w:rsid w:val="00FF4448"/>
    <w:rsid w:val="00FF7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9E43"/>
  <w15:chartTrackingRefBased/>
  <w15:docId w15:val="{D1A82457-8FB2-479C-8500-2FB040D6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link w:val="Heading1Char"/>
    <w:uiPriority w:val="9"/>
    <w:qFormat/>
    <w:rsid w:val="00557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76"/>
    <w:pPr>
      <w:ind w:left="720"/>
      <w:contextualSpacing/>
    </w:pPr>
  </w:style>
  <w:style w:type="character" w:styleId="CommentReference">
    <w:name w:val="annotation reference"/>
    <w:uiPriority w:val="99"/>
    <w:semiHidden/>
    <w:unhideWhenUsed/>
    <w:rsid w:val="000E2862"/>
    <w:rPr>
      <w:sz w:val="16"/>
      <w:szCs w:val="16"/>
    </w:rPr>
  </w:style>
  <w:style w:type="paragraph" w:styleId="CommentText">
    <w:name w:val="annotation text"/>
    <w:basedOn w:val="Normal"/>
    <w:link w:val="CommentTextChar"/>
    <w:uiPriority w:val="99"/>
    <w:unhideWhenUsed/>
    <w:rsid w:val="000E2862"/>
    <w:pPr>
      <w:spacing w:line="240" w:lineRule="auto"/>
    </w:pPr>
    <w:rPr>
      <w:sz w:val="20"/>
      <w:szCs w:val="20"/>
    </w:rPr>
  </w:style>
  <w:style w:type="character" w:customStyle="1" w:styleId="CommentTextChar">
    <w:name w:val="Comment Text Char"/>
    <w:link w:val="CommentText"/>
    <w:uiPriority w:val="99"/>
    <w:rsid w:val="000E2862"/>
    <w:rPr>
      <w:sz w:val="20"/>
      <w:szCs w:val="20"/>
    </w:rPr>
  </w:style>
  <w:style w:type="paragraph" w:styleId="CommentSubject">
    <w:name w:val="annotation subject"/>
    <w:basedOn w:val="CommentText"/>
    <w:next w:val="CommentText"/>
    <w:link w:val="CommentSubjectChar"/>
    <w:uiPriority w:val="99"/>
    <w:semiHidden/>
    <w:unhideWhenUsed/>
    <w:rsid w:val="000E2862"/>
    <w:rPr>
      <w:b/>
      <w:bCs/>
    </w:rPr>
  </w:style>
  <w:style w:type="character" w:customStyle="1" w:styleId="CommentSubjectChar">
    <w:name w:val="Comment Subject Char"/>
    <w:link w:val="CommentSubject"/>
    <w:uiPriority w:val="99"/>
    <w:semiHidden/>
    <w:rsid w:val="000E2862"/>
    <w:rPr>
      <w:b/>
      <w:bCs/>
      <w:sz w:val="20"/>
      <w:szCs w:val="20"/>
    </w:rPr>
  </w:style>
  <w:style w:type="character" w:customStyle="1" w:styleId="normaltextrun">
    <w:name w:val="normaltextrun"/>
    <w:basedOn w:val="DefaultParagraphFont"/>
    <w:rsid w:val="00636D06"/>
  </w:style>
  <w:style w:type="character" w:styleId="Hyperlink">
    <w:name w:val="Hyperlink"/>
    <w:uiPriority w:val="99"/>
    <w:unhideWhenUsed/>
    <w:rsid w:val="00636D06"/>
    <w:rPr>
      <w:color w:val="0563C1"/>
      <w:u w:val="single"/>
    </w:rPr>
  </w:style>
  <w:style w:type="paragraph" w:customStyle="1" w:styleId="paragraph">
    <w:name w:val="paragraph"/>
    <w:basedOn w:val="Normal"/>
    <w:rsid w:val="00224D55"/>
    <w:pPr>
      <w:spacing w:before="100" w:beforeAutospacing="1" w:after="100" w:afterAutospacing="1" w:line="240" w:lineRule="auto"/>
    </w:pPr>
    <w:rPr>
      <w:rFonts w:ascii="Times" w:eastAsia="MS Mincho" w:hAnsi="Times" w:cs="Times New Roman"/>
      <w:sz w:val="20"/>
      <w:szCs w:val="20"/>
    </w:rPr>
  </w:style>
  <w:style w:type="character" w:styleId="Emphasis">
    <w:name w:val="Emphasis"/>
    <w:uiPriority w:val="20"/>
    <w:qFormat/>
    <w:rsid w:val="00224D55"/>
    <w:rPr>
      <w:i/>
      <w:iCs/>
    </w:rPr>
  </w:style>
  <w:style w:type="character" w:customStyle="1" w:styleId="personname">
    <w:name w:val="person_name"/>
    <w:basedOn w:val="DefaultParagraphFont"/>
    <w:rsid w:val="00224D55"/>
  </w:style>
  <w:style w:type="paragraph" w:styleId="Revision">
    <w:name w:val="Revision"/>
    <w:hidden/>
    <w:uiPriority w:val="99"/>
    <w:semiHidden/>
    <w:rsid w:val="00431675"/>
    <w:rPr>
      <w:sz w:val="22"/>
      <w:szCs w:val="22"/>
      <w:lang w:val="en-GB" w:eastAsia="en-US"/>
    </w:rPr>
  </w:style>
  <w:style w:type="character" w:styleId="UnresolvedMention">
    <w:name w:val="Unresolved Mention"/>
    <w:uiPriority w:val="99"/>
    <w:semiHidden/>
    <w:unhideWhenUsed/>
    <w:rsid w:val="0010279F"/>
    <w:rPr>
      <w:color w:val="605E5C"/>
      <w:shd w:val="clear" w:color="auto" w:fill="E1DFDD"/>
    </w:rPr>
  </w:style>
  <w:style w:type="character" w:styleId="FollowedHyperlink">
    <w:name w:val="FollowedHyperlink"/>
    <w:uiPriority w:val="99"/>
    <w:semiHidden/>
    <w:unhideWhenUsed/>
    <w:rsid w:val="002022B8"/>
    <w:rPr>
      <w:color w:val="954F72"/>
      <w:u w:val="single"/>
    </w:rPr>
  </w:style>
  <w:style w:type="paragraph" w:styleId="Caption">
    <w:name w:val="caption"/>
    <w:basedOn w:val="Normal"/>
    <w:next w:val="Normal"/>
    <w:uiPriority w:val="35"/>
    <w:semiHidden/>
    <w:unhideWhenUsed/>
    <w:qFormat/>
    <w:rsid w:val="00220E5E"/>
    <w:pPr>
      <w:spacing w:after="200" w:line="240" w:lineRule="auto"/>
    </w:pPr>
    <w:rPr>
      <w:rFonts w:eastAsia="Yu Mincho"/>
      <w:i/>
      <w:iCs/>
      <w:color w:val="44546A"/>
      <w:sz w:val="18"/>
      <w:szCs w:val="18"/>
    </w:rPr>
  </w:style>
  <w:style w:type="character" w:styleId="Strong">
    <w:name w:val="Strong"/>
    <w:uiPriority w:val="22"/>
    <w:qFormat/>
    <w:rsid w:val="009B3350"/>
    <w:rPr>
      <w:b/>
      <w:bCs/>
    </w:rPr>
  </w:style>
  <w:style w:type="character" w:customStyle="1" w:styleId="docsum-pmid">
    <w:name w:val="docsum-pmid"/>
    <w:basedOn w:val="DefaultParagraphFont"/>
    <w:rsid w:val="00AE54A4"/>
  </w:style>
  <w:style w:type="character" w:customStyle="1" w:styleId="Heading1Char">
    <w:name w:val="Heading 1 Char"/>
    <w:link w:val="Heading1"/>
    <w:uiPriority w:val="9"/>
    <w:rsid w:val="00557716"/>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B52E6A"/>
  </w:style>
  <w:style w:type="character" w:customStyle="1" w:styleId="cit">
    <w:name w:val="cit"/>
    <w:basedOn w:val="DefaultParagraphFont"/>
    <w:rsid w:val="00B52E6A"/>
  </w:style>
  <w:style w:type="character" w:customStyle="1" w:styleId="citation-doi">
    <w:name w:val="citation-doi"/>
    <w:basedOn w:val="DefaultParagraphFont"/>
    <w:rsid w:val="00B52E6A"/>
  </w:style>
  <w:style w:type="character" w:customStyle="1" w:styleId="authors-list-item">
    <w:name w:val="authors-list-item"/>
    <w:basedOn w:val="DefaultParagraphFont"/>
    <w:rsid w:val="00BC5E7D"/>
  </w:style>
  <w:style w:type="character" w:customStyle="1" w:styleId="author-sup-separator">
    <w:name w:val="author-sup-separator"/>
    <w:basedOn w:val="DefaultParagraphFont"/>
    <w:rsid w:val="00BC5E7D"/>
  </w:style>
  <w:style w:type="character" w:customStyle="1" w:styleId="comma">
    <w:name w:val="comma"/>
    <w:basedOn w:val="DefaultParagraphFont"/>
    <w:rsid w:val="00BC5E7D"/>
  </w:style>
  <w:style w:type="character" w:customStyle="1" w:styleId="authors">
    <w:name w:val="authors"/>
    <w:basedOn w:val="DefaultParagraphFont"/>
    <w:rsid w:val="00510399"/>
  </w:style>
  <w:style w:type="paragraph" w:styleId="Header">
    <w:name w:val="header"/>
    <w:basedOn w:val="Normal"/>
    <w:link w:val="HeaderChar"/>
    <w:uiPriority w:val="99"/>
    <w:unhideWhenUsed/>
    <w:rsid w:val="00AE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D79"/>
    <w:rPr>
      <w:sz w:val="22"/>
      <w:szCs w:val="22"/>
      <w:lang w:val="en-GB" w:eastAsia="en-US"/>
    </w:rPr>
  </w:style>
  <w:style w:type="paragraph" w:styleId="Footer">
    <w:name w:val="footer"/>
    <w:basedOn w:val="Normal"/>
    <w:link w:val="FooterChar"/>
    <w:uiPriority w:val="99"/>
    <w:unhideWhenUsed/>
    <w:rsid w:val="00AE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D79"/>
    <w:rPr>
      <w:sz w:val="22"/>
      <w:szCs w:val="22"/>
      <w:lang w:val="en-GB" w:eastAsia="en-US"/>
    </w:rPr>
  </w:style>
  <w:style w:type="character" w:styleId="LineNumber">
    <w:name w:val="line number"/>
    <w:basedOn w:val="DefaultParagraphFont"/>
    <w:uiPriority w:val="99"/>
    <w:semiHidden/>
    <w:unhideWhenUsed/>
    <w:rsid w:val="008E5FBA"/>
  </w:style>
  <w:style w:type="paragraph" w:styleId="PlainText">
    <w:name w:val="Plain Text"/>
    <w:basedOn w:val="Normal"/>
    <w:link w:val="PlainTextChar"/>
    <w:uiPriority w:val="99"/>
    <w:unhideWhenUsed/>
    <w:rsid w:val="00DC7CF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DC7CF4"/>
    <w:rPr>
      <w:rFonts w:eastAsia="Times New Roman" w:cs="Times New Roman"/>
      <w:sz w:val="22"/>
      <w:szCs w:val="21"/>
      <w:lang w:val="en-GB" w:eastAsia="en-US"/>
    </w:rPr>
  </w:style>
  <w:style w:type="paragraph" w:styleId="BalloonText">
    <w:name w:val="Balloon Text"/>
    <w:basedOn w:val="Normal"/>
    <w:link w:val="BalloonTextChar"/>
    <w:uiPriority w:val="99"/>
    <w:semiHidden/>
    <w:unhideWhenUsed/>
    <w:rsid w:val="00EC3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6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192">
      <w:bodyDiv w:val="1"/>
      <w:marLeft w:val="0"/>
      <w:marRight w:val="0"/>
      <w:marTop w:val="0"/>
      <w:marBottom w:val="0"/>
      <w:divBdr>
        <w:top w:val="none" w:sz="0" w:space="0" w:color="auto"/>
        <w:left w:val="none" w:sz="0" w:space="0" w:color="auto"/>
        <w:bottom w:val="none" w:sz="0" w:space="0" w:color="auto"/>
        <w:right w:val="none" w:sz="0" w:space="0" w:color="auto"/>
      </w:divBdr>
    </w:div>
    <w:div w:id="228619712">
      <w:bodyDiv w:val="1"/>
      <w:marLeft w:val="0"/>
      <w:marRight w:val="0"/>
      <w:marTop w:val="0"/>
      <w:marBottom w:val="0"/>
      <w:divBdr>
        <w:top w:val="none" w:sz="0" w:space="0" w:color="auto"/>
        <w:left w:val="none" w:sz="0" w:space="0" w:color="auto"/>
        <w:bottom w:val="none" w:sz="0" w:space="0" w:color="auto"/>
        <w:right w:val="none" w:sz="0" w:space="0" w:color="auto"/>
      </w:divBdr>
      <w:divsChild>
        <w:div w:id="36131105">
          <w:marLeft w:val="0"/>
          <w:marRight w:val="0"/>
          <w:marTop w:val="0"/>
          <w:marBottom w:val="0"/>
          <w:divBdr>
            <w:top w:val="none" w:sz="0" w:space="0" w:color="auto"/>
            <w:left w:val="none" w:sz="0" w:space="0" w:color="auto"/>
            <w:bottom w:val="none" w:sz="0" w:space="0" w:color="auto"/>
            <w:right w:val="none" w:sz="0" w:space="0" w:color="auto"/>
          </w:divBdr>
          <w:divsChild>
            <w:div w:id="1254897604">
              <w:marLeft w:val="0"/>
              <w:marRight w:val="0"/>
              <w:marTop w:val="0"/>
              <w:marBottom w:val="0"/>
              <w:divBdr>
                <w:top w:val="none" w:sz="0" w:space="0" w:color="auto"/>
                <w:left w:val="none" w:sz="0" w:space="0" w:color="auto"/>
                <w:bottom w:val="none" w:sz="0" w:space="0" w:color="auto"/>
                <w:right w:val="none" w:sz="0" w:space="0" w:color="auto"/>
              </w:divBdr>
              <w:divsChild>
                <w:div w:id="73288508">
                  <w:marLeft w:val="0"/>
                  <w:marRight w:val="0"/>
                  <w:marTop w:val="0"/>
                  <w:marBottom w:val="0"/>
                  <w:divBdr>
                    <w:top w:val="none" w:sz="0" w:space="0" w:color="auto"/>
                    <w:left w:val="none" w:sz="0" w:space="0" w:color="auto"/>
                    <w:bottom w:val="none" w:sz="0" w:space="0" w:color="auto"/>
                    <w:right w:val="none" w:sz="0" w:space="0" w:color="auto"/>
                  </w:divBdr>
                  <w:divsChild>
                    <w:div w:id="2022388096">
                      <w:marLeft w:val="0"/>
                      <w:marRight w:val="0"/>
                      <w:marTop w:val="0"/>
                      <w:marBottom w:val="0"/>
                      <w:divBdr>
                        <w:top w:val="none" w:sz="0" w:space="0" w:color="auto"/>
                        <w:left w:val="none" w:sz="0" w:space="0" w:color="auto"/>
                        <w:bottom w:val="none" w:sz="0" w:space="0" w:color="auto"/>
                        <w:right w:val="none" w:sz="0" w:space="0" w:color="auto"/>
                      </w:divBdr>
                      <w:divsChild>
                        <w:div w:id="9293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553417">
      <w:bodyDiv w:val="1"/>
      <w:marLeft w:val="0"/>
      <w:marRight w:val="0"/>
      <w:marTop w:val="0"/>
      <w:marBottom w:val="0"/>
      <w:divBdr>
        <w:top w:val="none" w:sz="0" w:space="0" w:color="auto"/>
        <w:left w:val="none" w:sz="0" w:space="0" w:color="auto"/>
        <w:bottom w:val="none" w:sz="0" w:space="0" w:color="auto"/>
        <w:right w:val="none" w:sz="0" w:space="0" w:color="auto"/>
      </w:divBdr>
      <w:divsChild>
        <w:div w:id="420178201">
          <w:marLeft w:val="0"/>
          <w:marRight w:val="0"/>
          <w:marTop w:val="0"/>
          <w:marBottom w:val="0"/>
          <w:divBdr>
            <w:top w:val="none" w:sz="0" w:space="0" w:color="auto"/>
            <w:left w:val="none" w:sz="0" w:space="0" w:color="auto"/>
            <w:bottom w:val="none" w:sz="0" w:space="0" w:color="auto"/>
            <w:right w:val="none" w:sz="0" w:space="0" w:color="auto"/>
          </w:divBdr>
          <w:divsChild>
            <w:div w:id="1085616462">
              <w:marLeft w:val="0"/>
              <w:marRight w:val="0"/>
              <w:marTop w:val="0"/>
              <w:marBottom w:val="0"/>
              <w:divBdr>
                <w:top w:val="none" w:sz="0" w:space="0" w:color="auto"/>
                <w:left w:val="none" w:sz="0" w:space="0" w:color="auto"/>
                <w:bottom w:val="none" w:sz="0" w:space="0" w:color="auto"/>
                <w:right w:val="none" w:sz="0" w:space="0" w:color="auto"/>
              </w:divBdr>
              <w:divsChild>
                <w:div w:id="17747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0612">
      <w:bodyDiv w:val="1"/>
      <w:marLeft w:val="0"/>
      <w:marRight w:val="0"/>
      <w:marTop w:val="0"/>
      <w:marBottom w:val="0"/>
      <w:divBdr>
        <w:top w:val="none" w:sz="0" w:space="0" w:color="auto"/>
        <w:left w:val="none" w:sz="0" w:space="0" w:color="auto"/>
        <w:bottom w:val="none" w:sz="0" w:space="0" w:color="auto"/>
        <w:right w:val="none" w:sz="0" w:space="0" w:color="auto"/>
      </w:divBdr>
    </w:div>
    <w:div w:id="379089048">
      <w:bodyDiv w:val="1"/>
      <w:marLeft w:val="0"/>
      <w:marRight w:val="0"/>
      <w:marTop w:val="0"/>
      <w:marBottom w:val="0"/>
      <w:divBdr>
        <w:top w:val="none" w:sz="0" w:space="0" w:color="auto"/>
        <w:left w:val="none" w:sz="0" w:space="0" w:color="auto"/>
        <w:bottom w:val="none" w:sz="0" w:space="0" w:color="auto"/>
        <w:right w:val="none" w:sz="0" w:space="0" w:color="auto"/>
      </w:divBdr>
    </w:div>
    <w:div w:id="509031845">
      <w:bodyDiv w:val="1"/>
      <w:marLeft w:val="0"/>
      <w:marRight w:val="0"/>
      <w:marTop w:val="0"/>
      <w:marBottom w:val="0"/>
      <w:divBdr>
        <w:top w:val="none" w:sz="0" w:space="0" w:color="auto"/>
        <w:left w:val="none" w:sz="0" w:space="0" w:color="auto"/>
        <w:bottom w:val="none" w:sz="0" w:space="0" w:color="auto"/>
        <w:right w:val="none" w:sz="0" w:space="0" w:color="auto"/>
      </w:divBdr>
    </w:div>
    <w:div w:id="871764708">
      <w:bodyDiv w:val="1"/>
      <w:marLeft w:val="0"/>
      <w:marRight w:val="0"/>
      <w:marTop w:val="0"/>
      <w:marBottom w:val="0"/>
      <w:divBdr>
        <w:top w:val="none" w:sz="0" w:space="0" w:color="auto"/>
        <w:left w:val="none" w:sz="0" w:space="0" w:color="auto"/>
        <w:bottom w:val="none" w:sz="0" w:space="0" w:color="auto"/>
        <w:right w:val="none" w:sz="0" w:space="0" w:color="auto"/>
      </w:divBdr>
      <w:divsChild>
        <w:div w:id="518199709">
          <w:marLeft w:val="0"/>
          <w:marRight w:val="0"/>
          <w:marTop w:val="0"/>
          <w:marBottom w:val="0"/>
          <w:divBdr>
            <w:top w:val="none" w:sz="0" w:space="0" w:color="auto"/>
            <w:left w:val="none" w:sz="0" w:space="0" w:color="auto"/>
            <w:bottom w:val="none" w:sz="0" w:space="0" w:color="auto"/>
            <w:right w:val="none" w:sz="0" w:space="0" w:color="auto"/>
          </w:divBdr>
          <w:divsChild>
            <w:div w:id="223370020">
              <w:marLeft w:val="0"/>
              <w:marRight w:val="0"/>
              <w:marTop w:val="0"/>
              <w:marBottom w:val="0"/>
              <w:divBdr>
                <w:top w:val="none" w:sz="0" w:space="0" w:color="auto"/>
                <w:left w:val="none" w:sz="0" w:space="0" w:color="auto"/>
                <w:bottom w:val="none" w:sz="0" w:space="0" w:color="auto"/>
                <w:right w:val="none" w:sz="0" w:space="0" w:color="auto"/>
              </w:divBdr>
              <w:divsChild>
                <w:div w:id="1901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044">
      <w:bodyDiv w:val="1"/>
      <w:marLeft w:val="0"/>
      <w:marRight w:val="0"/>
      <w:marTop w:val="0"/>
      <w:marBottom w:val="0"/>
      <w:divBdr>
        <w:top w:val="none" w:sz="0" w:space="0" w:color="auto"/>
        <w:left w:val="none" w:sz="0" w:space="0" w:color="auto"/>
        <w:bottom w:val="none" w:sz="0" w:space="0" w:color="auto"/>
        <w:right w:val="none" w:sz="0" w:space="0" w:color="auto"/>
      </w:divBdr>
      <w:divsChild>
        <w:div w:id="1872647512">
          <w:marLeft w:val="0"/>
          <w:marRight w:val="0"/>
          <w:marTop w:val="0"/>
          <w:marBottom w:val="0"/>
          <w:divBdr>
            <w:top w:val="none" w:sz="0" w:space="0" w:color="auto"/>
            <w:left w:val="none" w:sz="0" w:space="0" w:color="auto"/>
            <w:bottom w:val="none" w:sz="0" w:space="0" w:color="auto"/>
            <w:right w:val="none" w:sz="0" w:space="0" w:color="auto"/>
          </w:divBdr>
        </w:div>
        <w:div w:id="1998680358">
          <w:marLeft w:val="0"/>
          <w:marRight w:val="0"/>
          <w:marTop w:val="0"/>
          <w:marBottom w:val="0"/>
          <w:divBdr>
            <w:top w:val="none" w:sz="0" w:space="0" w:color="auto"/>
            <w:left w:val="none" w:sz="0" w:space="0" w:color="auto"/>
            <w:bottom w:val="none" w:sz="0" w:space="0" w:color="auto"/>
            <w:right w:val="none" w:sz="0" w:space="0" w:color="auto"/>
          </w:divBdr>
          <w:divsChild>
            <w:div w:id="300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3883">
      <w:bodyDiv w:val="1"/>
      <w:marLeft w:val="0"/>
      <w:marRight w:val="0"/>
      <w:marTop w:val="0"/>
      <w:marBottom w:val="0"/>
      <w:divBdr>
        <w:top w:val="none" w:sz="0" w:space="0" w:color="auto"/>
        <w:left w:val="none" w:sz="0" w:space="0" w:color="auto"/>
        <w:bottom w:val="none" w:sz="0" w:space="0" w:color="auto"/>
        <w:right w:val="none" w:sz="0" w:space="0" w:color="auto"/>
      </w:divBdr>
    </w:div>
    <w:div w:id="1633944727">
      <w:bodyDiv w:val="1"/>
      <w:marLeft w:val="0"/>
      <w:marRight w:val="0"/>
      <w:marTop w:val="0"/>
      <w:marBottom w:val="0"/>
      <w:divBdr>
        <w:top w:val="none" w:sz="0" w:space="0" w:color="auto"/>
        <w:left w:val="none" w:sz="0" w:space="0" w:color="auto"/>
        <w:bottom w:val="none" w:sz="0" w:space="0" w:color="auto"/>
        <w:right w:val="none" w:sz="0" w:space="0" w:color="auto"/>
      </w:divBdr>
    </w:div>
    <w:div w:id="17352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gwenknight/mrsa_inf_ab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indsay@sgu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15" ma:contentTypeDescription="Create a new document." ma:contentTypeScope="" ma:versionID="2c01ce5d9006c3ea9bfd813b5733ac9a">
  <xsd:schema xmlns:xsd="http://www.w3.org/2001/XMLSchema" xmlns:xs="http://www.w3.org/2001/XMLSchema" xmlns:p="http://schemas.microsoft.com/office/2006/metadata/properties" xmlns:ns3="bf7fb748-46f6-433c-b77e-30cb26cf2287" xmlns:ns4="de77539d-0db0-45f6-8419-5c7b7de557b6" targetNamespace="http://schemas.microsoft.com/office/2006/metadata/properties" ma:root="true" ma:fieldsID="7cc9feb5188415a9e7774cc1ff2286c4" ns3:_="" ns4:_="">
    <xsd:import namespace="bf7fb748-46f6-433c-b77e-30cb26cf2287"/>
    <xsd:import namespace="de77539d-0db0-45f6-8419-5c7b7de557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77539d-0db0-45f6-8419-5c7b7de557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f7fb748-46f6-433c-b77e-30cb26cf22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37B0-C097-470A-B05B-8A2337CB0B87}">
  <ds:schemaRefs>
    <ds:schemaRef ds:uri="http://schemas.microsoft.com/sharepoint/v3/contenttype/forms"/>
  </ds:schemaRefs>
</ds:datastoreItem>
</file>

<file path=customXml/itemProps2.xml><?xml version="1.0" encoding="utf-8"?>
<ds:datastoreItem xmlns:ds="http://schemas.openxmlformats.org/officeDocument/2006/customXml" ds:itemID="{06253609-9AD5-480D-8B05-D98A088F4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fb748-46f6-433c-b77e-30cb26cf2287"/>
    <ds:schemaRef ds:uri="de77539d-0db0-45f6-8419-5c7b7de5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B6906-903C-4B97-97C6-D5B347D2AD5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e77539d-0db0-45f6-8419-5c7b7de557b6"/>
    <ds:schemaRef ds:uri="http://purl.org/dc/elements/1.1/"/>
    <ds:schemaRef ds:uri="http://schemas.microsoft.com/office/2006/metadata/properties"/>
    <ds:schemaRef ds:uri="bf7fb748-46f6-433c-b77e-30cb26cf2287"/>
    <ds:schemaRef ds:uri="http://www.w3.org/XML/1998/namespace"/>
    <ds:schemaRef ds:uri="http://purl.org/dc/dcmitype/"/>
  </ds:schemaRefs>
</ds:datastoreItem>
</file>

<file path=customXml/itemProps4.xml><?xml version="1.0" encoding="utf-8"?>
<ds:datastoreItem xmlns:ds="http://schemas.openxmlformats.org/officeDocument/2006/customXml" ds:itemID="{994B115A-19B4-4C33-B14D-8A030075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4969</Words>
  <Characters>28329</Characters>
  <Application>Microsoft Office Word</Application>
  <DocSecurity>0</DocSecurity>
  <Lines>236</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St Georges, University of London</Company>
  <LinksUpToDate>false</LinksUpToDate>
  <CharactersWithSpaces>33232</CharactersWithSpaces>
  <SharedDoc>false</SharedDoc>
  <HLinks>
    <vt:vector size="96" baseType="variant">
      <vt:variant>
        <vt:i4>6357102</vt:i4>
      </vt:variant>
      <vt:variant>
        <vt:i4>45</vt:i4>
      </vt:variant>
      <vt:variant>
        <vt:i4>0</vt:i4>
      </vt:variant>
      <vt:variant>
        <vt:i4>5</vt:i4>
      </vt:variant>
      <vt:variant>
        <vt:lpwstr>https://journals.asm.org/doi/10.1128/AAC.50.1.298-309.2006</vt:lpwstr>
      </vt:variant>
      <vt:variant>
        <vt:lpwstr>con4</vt:lpwstr>
      </vt:variant>
      <vt:variant>
        <vt:i4>6684782</vt:i4>
      </vt:variant>
      <vt:variant>
        <vt:i4>42</vt:i4>
      </vt:variant>
      <vt:variant>
        <vt:i4>0</vt:i4>
      </vt:variant>
      <vt:variant>
        <vt:i4>5</vt:i4>
      </vt:variant>
      <vt:variant>
        <vt:lpwstr>https://journals.asm.org/doi/10.1128/AAC.50.1.298-309.2006</vt:lpwstr>
      </vt:variant>
      <vt:variant>
        <vt:lpwstr>con3</vt:lpwstr>
      </vt:variant>
      <vt:variant>
        <vt:i4>6750318</vt:i4>
      </vt:variant>
      <vt:variant>
        <vt:i4>39</vt:i4>
      </vt:variant>
      <vt:variant>
        <vt:i4>0</vt:i4>
      </vt:variant>
      <vt:variant>
        <vt:i4>5</vt:i4>
      </vt:variant>
      <vt:variant>
        <vt:lpwstr>https://journals.asm.org/doi/10.1128/AAC.50.1.298-309.2006</vt:lpwstr>
      </vt:variant>
      <vt:variant>
        <vt:lpwstr>con2</vt:lpwstr>
      </vt:variant>
      <vt:variant>
        <vt:i4>6553710</vt:i4>
      </vt:variant>
      <vt:variant>
        <vt:i4>36</vt:i4>
      </vt:variant>
      <vt:variant>
        <vt:i4>0</vt:i4>
      </vt:variant>
      <vt:variant>
        <vt:i4>5</vt:i4>
      </vt:variant>
      <vt:variant>
        <vt:lpwstr>https://journals.asm.org/doi/10.1128/AAC.50.1.298-309.2006</vt:lpwstr>
      </vt:variant>
      <vt:variant>
        <vt:lpwstr>con1</vt:lpwstr>
      </vt:variant>
      <vt:variant>
        <vt:i4>4128791</vt:i4>
      </vt:variant>
      <vt:variant>
        <vt:i4>33</vt:i4>
      </vt:variant>
      <vt:variant>
        <vt:i4>0</vt:i4>
      </vt:variant>
      <vt:variant>
        <vt:i4>5</vt:i4>
      </vt:variant>
      <vt:variant>
        <vt:lpwstr>https://pubmed.ncbi.nlm.nih.gov/?sort=date&amp;term=Etienne+J&amp;cauthor_id=16517865</vt:lpwstr>
      </vt:variant>
      <vt:variant>
        <vt:lpwstr/>
      </vt:variant>
      <vt:variant>
        <vt:i4>5046319</vt:i4>
      </vt:variant>
      <vt:variant>
        <vt:i4>30</vt:i4>
      </vt:variant>
      <vt:variant>
        <vt:i4>0</vt:i4>
      </vt:variant>
      <vt:variant>
        <vt:i4>5</vt:i4>
      </vt:variant>
      <vt:variant>
        <vt:lpwstr>https://pubmed.ncbi.nlm.nih.gov/?sort=date&amp;term=Vandenesch+F&amp;cauthor_id=16517865</vt:lpwstr>
      </vt:variant>
      <vt:variant>
        <vt:lpwstr/>
      </vt:variant>
      <vt:variant>
        <vt:i4>3407958</vt:i4>
      </vt:variant>
      <vt:variant>
        <vt:i4>27</vt:i4>
      </vt:variant>
      <vt:variant>
        <vt:i4>0</vt:i4>
      </vt:variant>
      <vt:variant>
        <vt:i4>5</vt:i4>
      </vt:variant>
      <vt:variant>
        <vt:lpwstr>https://pubmed.ncbi.nlm.nih.gov/?sort=date&amp;term=Lina+G&amp;cauthor_id=16517865</vt:lpwstr>
      </vt:variant>
      <vt:variant>
        <vt:lpwstr/>
      </vt:variant>
      <vt:variant>
        <vt:i4>3407899</vt:i4>
      </vt:variant>
      <vt:variant>
        <vt:i4>24</vt:i4>
      </vt:variant>
      <vt:variant>
        <vt:i4>0</vt:i4>
      </vt:variant>
      <vt:variant>
        <vt:i4>5</vt:i4>
      </vt:variant>
      <vt:variant>
        <vt:lpwstr>https://pubmed.ncbi.nlm.nih.gov/?sort=date&amp;term=Kikuchi+K&amp;cauthor_id=16517865</vt:lpwstr>
      </vt:variant>
      <vt:variant>
        <vt:lpwstr/>
      </vt:variant>
      <vt:variant>
        <vt:i4>4849704</vt:i4>
      </vt:variant>
      <vt:variant>
        <vt:i4>21</vt:i4>
      </vt:variant>
      <vt:variant>
        <vt:i4>0</vt:i4>
      </vt:variant>
      <vt:variant>
        <vt:i4>5</vt:i4>
      </vt:variant>
      <vt:variant>
        <vt:lpwstr>https://pubmed.ncbi.nlm.nih.gov/?sort=date&amp;term=Wenger+A&amp;cauthor_id=16517865</vt:lpwstr>
      </vt:variant>
      <vt:variant>
        <vt:lpwstr/>
      </vt:variant>
      <vt:variant>
        <vt:i4>2293828</vt:i4>
      </vt:variant>
      <vt:variant>
        <vt:i4>18</vt:i4>
      </vt:variant>
      <vt:variant>
        <vt:i4>0</vt:i4>
      </vt:variant>
      <vt:variant>
        <vt:i4>5</vt:i4>
      </vt:variant>
      <vt:variant>
        <vt:lpwstr>https://pubmed.ncbi.nlm.nih.gov/?sort=date&amp;term=Liassine+N&amp;cauthor_id=16517865</vt:lpwstr>
      </vt:variant>
      <vt:variant>
        <vt:lpwstr/>
      </vt:variant>
      <vt:variant>
        <vt:i4>4849777</vt:i4>
      </vt:variant>
      <vt:variant>
        <vt:i4>15</vt:i4>
      </vt:variant>
      <vt:variant>
        <vt:i4>0</vt:i4>
      </vt:variant>
      <vt:variant>
        <vt:i4>5</vt:i4>
      </vt:variant>
      <vt:variant>
        <vt:lpwstr>https://pubmed.ncbi.nlm.nih.gov/?sort=date&amp;term=Forey+F&amp;cauthor_id=16517865</vt:lpwstr>
      </vt:variant>
      <vt:variant>
        <vt:lpwstr/>
      </vt:variant>
      <vt:variant>
        <vt:i4>8126486</vt:i4>
      </vt:variant>
      <vt:variant>
        <vt:i4>12</vt:i4>
      </vt:variant>
      <vt:variant>
        <vt:i4>0</vt:i4>
      </vt:variant>
      <vt:variant>
        <vt:i4>5</vt:i4>
      </vt:variant>
      <vt:variant>
        <vt:lpwstr>https://pubmed.ncbi.nlm.nih.gov/?sort=date&amp;term=Enright+MC&amp;cauthor_id=16517865</vt:lpwstr>
      </vt:variant>
      <vt:variant>
        <vt:lpwstr/>
      </vt:variant>
      <vt:variant>
        <vt:i4>2752583</vt:i4>
      </vt:variant>
      <vt:variant>
        <vt:i4>9</vt:i4>
      </vt:variant>
      <vt:variant>
        <vt:i4>0</vt:i4>
      </vt:variant>
      <vt:variant>
        <vt:i4>5</vt:i4>
      </vt:variant>
      <vt:variant>
        <vt:lpwstr>https://pubmed.ncbi.nlm.nih.gov/?sort=date&amp;term=Meugnier+H&amp;cauthor_id=16517865</vt:lpwstr>
      </vt:variant>
      <vt:variant>
        <vt:lpwstr/>
      </vt:variant>
      <vt:variant>
        <vt:i4>2424838</vt:i4>
      </vt:variant>
      <vt:variant>
        <vt:i4>6</vt:i4>
      </vt:variant>
      <vt:variant>
        <vt:i4>0</vt:i4>
      </vt:variant>
      <vt:variant>
        <vt:i4>5</vt:i4>
      </vt:variant>
      <vt:variant>
        <vt:lpwstr>https://pubmed.ncbi.nlm.nih.gov/?sort=date&amp;term=Bes+M&amp;cauthor_id=16517865</vt:lpwstr>
      </vt:variant>
      <vt:variant>
        <vt:lpwstr/>
      </vt:variant>
      <vt:variant>
        <vt:i4>786446</vt:i4>
      </vt:variant>
      <vt:variant>
        <vt:i4>3</vt:i4>
      </vt:variant>
      <vt:variant>
        <vt:i4>0</vt:i4>
      </vt:variant>
      <vt:variant>
        <vt:i4>5</vt:i4>
      </vt:variant>
      <vt:variant>
        <vt:lpwstr>https://doi.org/10.1016/S0140-6736(96)09229-X</vt:lpwstr>
      </vt:variant>
      <vt:variant>
        <vt:lpwstr/>
      </vt:variant>
      <vt:variant>
        <vt:i4>4063294</vt:i4>
      </vt:variant>
      <vt:variant>
        <vt:i4>0</vt:i4>
      </vt:variant>
      <vt:variant>
        <vt:i4>0</vt:i4>
      </vt:variant>
      <vt:variant>
        <vt:i4>5</vt:i4>
      </vt:variant>
      <vt:variant>
        <vt:lpwstr>https://github.com/gwenknight/mrsa_inf_abx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Lindsay</dc:creator>
  <cp:keywords/>
  <dc:description/>
  <cp:lastModifiedBy>Jodi Lindsay</cp:lastModifiedBy>
  <cp:revision>4</cp:revision>
  <dcterms:created xsi:type="dcterms:W3CDTF">2023-05-05T14:00:00Z</dcterms:created>
  <dcterms:modified xsi:type="dcterms:W3CDTF">2023-05-05T15:08:00Z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http://www.zotero.org/styles/clinical-microbiology-and-infection</vt:lpwstr>
  </property>
  <property fmtid="{D5CDD505-2E9C-101B-9397-08002B2CF9AE}" pid="9" name="Mendeley Recent Style Name 3_1">
    <vt:lpwstr>Clinical Microbiology and Infection</vt:lpwstr>
  </property>
  <property fmtid="{D5CDD505-2E9C-101B-9397-08002B2CF9AE}" pid="10" name="Mendeley Recent Style Id 4_1">
    <vt:lpwstr>http://www.zotero.org/styles/epidemiology-and-infection</vt:lpwstr>
  </property>
  <property fmtid="{D5CDD505-2E9C-101B-9397-08002B2CF9AE}" pid="11" name="Mendeley Recent Style Name 4_1">
    <vt:lpwstr>Epidemiology &amp; Infection</vt:lpwstr>
  </property>
  <property fmtid="{D5CDD505-2E9C-101B-9397-08002B2CF9AE}" pid="12" name="Mendeley Recent Style Id 5_1">
    <vt:lpwstr>http://www.zotero.org/styles/international-journal-of-antimicrobial-agents</vt:lpwstr>
  </property>
  <property fmtid="{D5CDD505-2E9C-101B-9397-08002B2CF9AE}" pid="13" name="Mendeley Recent Style Name 5_1">
    <vt:lpwstr>International Journal of Antimicrobial Agents</vt:lpwstr>
  </property>
  <property fmtid="{D5CDD505-2E9C-101B-9397-08002B2CF9AE}" pid="14" name="Mendeley Recent Style Id 6_1">
    <vt:lpwstr>http://www.zotero.org/styles/journal-of-dermatological-science</vt:lpwstr>
  </property>
  <property fmtid="{D5CDD505-2E9C-101B-9397-08002B2CF9AE}" pid="15" name="Mendeley Recent Style Name 6_1">
    <vt:lpwstr>Journal of Dermatological Science</vt:lpwstr>
  </property>
  <property fmtid="{D5CDD505-2E9C-101B-9397-08002B2CF9AE}" pid="16" name="Mendeley Recent Style Id 7_1">
    <vt:lpwstr>http://www.zotero.org/styles/journal-of-investigative-dermatology</vt:lpwstr>
  </property>
  <property fmtid="{D5CDD505-2E9C-101B-9397-08002B2CF9AE}" pid="17" name="Mendeley Recent Style Name 7_1">
    <vt:lpwstr>Journal of Investigative Dermatology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0x010100546BAA9560F43249AE06819FE4E736E5</vt:lpwstr>
  </property>
</Properties>
</file>