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11A1" w14:textId="77777777" w:rsidR="00CF40A7" w:rsidRPr="00981C11" w:rsidRDefault="00CF40A7" w:rsidP="00CF40A7">
      <w:pPr>
        <w:spacing w:after="0" w:line="240" w:lineRule="auto"/>
        <w:rPr>
          <w:rFonts w:cstheme="minorHAnsi"/>
          <w:sz w:val="24"/>
          <w:szCs w:val="24"/>
        </w:rPr>
      </w:pPr>
      <w:r w:rsidRPr="00981C11">
        <w:rPr>
          <w:rFonts w:cstheme="minorHAnsi"/>
          <w:sz w:val="24"/>
          <w:szCs w:val="24"/>
        </w:rPr>
        <w:t>Table</w:t>
      </w:r>
      <w:r w:rsidR="000F256E" w:rsidRPr="00981C11">
        <w:rPr>
          <w:rFonts w:cstheme="minorHAnsi"/>
          <w:sz w:val="24"/>
          <w:szCs w:val="24"/>
        </w:rPr>
        <w:t xml:space="preserve"> </w:t>
      </w:r>
      <w:r w:rsidR="007772B2" w:rsidRPr="00981C11">
        <w:rPr>
          <w:rFonts w:cstheme="minorHAnsi"/>
          <w:sz w:val="24"/>
          <w:szCs w:val="24"/>
        </w:rPr>
        <w:t>S</w:t>
      </w:r>
      <w:r w:rsidR="008C6211" w:rsidRPr="00981C11">
        <w:rPr>
          <w:rFonts w:cstheme="minorHAnsi"/>
          <w:sz w:val="24"/>
          <w:szCs w:val="24"/>
        </w:rPr>
        <w:t>7</w:t>
      </w:r>
      <w:r w:rsidR="005B578D" w:rsidRPr="00981C11">
        <w:rPr>
          <w:rFonts w:cstheme="minorHAnsi"/>
          <w:sz w:val="24"/>
          <w:szCs w:val="24"/>
        </w:rPr>
        <w:t xml:space="preserve">: </w:t>
      </w:r>
      <w:r w:rsidRPr="00981C11">
        <w:rPr>
          <w:rFonts w:cstheme="minorHAnsi"/>
          <w:sz w:val="24"/>
          <w:szCs w:val="24"/>
        </w:rPr>
        <w:t>Secondary Outcomes</w:t>
      </w:r>
      <w:r w:rsidR="0026264C" w:rsidRPr="00981C11">
        <w:rPr>
          <w:rFonts w:cstheme="minorHAnsi"/>
          <w:sz w:val="24"/>
          <w:szCs w:val="24"/>
        </w:rPr>
        <w:t>, Not Reported Elsewhere</w:t>
      </w:r>
    </w:p>
    <w:p w14:paraId="01A8411B" w14:textId="77777777" w:rsidR="00CF40A7" w:rsidRPr="00981C11" w:rsidRDefault="00CF40A7" w:rsidP="00CF40A7">
      <w:pPr>
        <w:spacing w:after="0" w:line="240" w:lineRule="auto"/>
        <w:rPr>
          <w:rFonts w:cstheme="minorHAnsi"/>
          <w:b/>
          <w:sz w:val="24"/>
          <w:szCs w:val="24"/>
        </w:rPr>
      </w:pPr>
    </w:p>
    <w:tbl>
      <w:tblPr>
        <w:tblStyle w:val="TableGrid"/>
        <w:tblW w:w="6678" w:type="dxa"/>
        <w:tblLayout w:type="fixed"/>
        <w:tblLook w:val="04A0" w:firstRow="1" w:lastRow="0" w:firstColumn="1" w:lastColumn="0" w:noHBand="0" w:noVBand="1"/>
      </w:tblPr>
      <w:tblGrid>
        <w:gridCol w:w="1998"/>
        <w:gridCol w:w="1170"/>
        <w:gridCol w:w="1260"/>
        <w:gridCol w:w="2250"/>
      </w:tblGrid>
      <w:tr w:rsidR="00926F3C" w:rsidRPr="00981C11" w14:paraId="5D5C80BE" w14:textId="77777777" w:rsidTr="00485AF9">
        <w:tc>
          <w:tcPr>
            <w:tcW w:w="1998" w:type="dxa"/>
            <w:tcBorders>
              <w:bottom w:val="single" w:sz="4" w:space="0" w:color="auto"/>
            </w:tcBorders>
          </w:tcPr>
          <w:p w14:paraId="2ED666B3" w14:textId="77777777" w:rsidR="00926F3C" w:rsidRPr="00981C11" w:rsidRDefault="00926F3C" w:rsidP="008775C4">
            <w:pPr>
              <w:rPr>
                <w:rFonts w:cstheme="minorHAnsi"/>
              </w:rPr>
            </w:pPr>
            <w:r w:rsidRPr="00981C11">
              <w:rPr>
                <w:rFonts w:cstheme="minorHAnsi"/>
              </w:rPr>
              <w:t>Outcome</w:t>
            </w:r>
          </w:p>
        </w:tc>
        <w:tc>
          <w:tcPr>
            <w:tcW w:w="1170" w:type="dxa"/>
            <w:tcBorders>
              <w:bottom w:val="single" w:sz="4" w:space="0" w:color="auto"/>
            </w:tcBorders>
          </w:tcPr>
          <w:p w14:paraId="05F7717F" w14:textId="1FE9EB62" w:rsidR="00926F3C" w:rsidRPr="00981C11" w:rsidRDefault="00485AF9" w:rsidP="00485AF9">
            <w:pPr>
              <w:jc w:val="center"/>
              <w:rPr>
                <w:rFonts w:cstheme="minorHAnsi"/>
              </w:rPr>
            </w:pPr>
            <w:r>
              <w:rPr>
                <w:rFonts w:cstheme="minorHAnsi"/>
              </w:rPr>
              <w:t>Treated (</w:t>
            </w:r>
            <w:r w:rsidR="00926F3C" w:rsidRPr="00981C11">
              <w:rPr>
                <w:rFonts w:cstheme="minorHAnsi"/>
              </w:rPr>
              <w:t>n</w:t>
            </w:r>
            <w:r>
              <w:rPr>
                <w:rFonts w:cstheme="minorHAnsi"/>
              </w:rPr>
              <w:t>)</w:t>
            </w:r>
          </w:p>
        </w:tc>
        <w:tc>
          <w:tcPr>
            <w:tcW w:w="1260" w:type="dxa"/>
            <w:tcBorders>
              <w:bottom w:val="single" w:sz="4" w:space="0" w:color="auto"/>
            </w:tcBorders>
          </w:tcPr>
          <w:p w14:paraId="5AA5E3BD" w14:textId="7C292FD6" w:rsidR="00926F3C" w:rsidRPr="00981C11" w:rsidRDefault="00485AF9" w:rsidP="00485AF9">
            <w:pPr>
              <w:jc w:val="center"/>
              <w:rPr>
                <w:rFonts w:cstheme="minorHAnsi"/>
              </w:rPr>
            </w:pPr>
            <w:r>
              <w:rPr>
                <w:rFonts w:cstheme="minorHAnsi"/>
              </w:rPr>
              <w:t>Controls (</w:t>
            </w:r>
            <w:r w:rsidR="00926F3C" w:rsidRPr="00981C11">
              <w:rPr>
                <w:rFonts w:cstheme="minorHAnsi"/>
              </w:rPr>
              <w:t>n</w:t>
            </w:r>
            <w:r>
              <w:rPr>
                <w:rFonts w:cstheme="minorHAnsi"/>
              </w:rPr>
              <w:t>)</w:t>
            </w:r>
          </w:p>
        </w:tc>
        <w:tc>
          <w:tcPr>
            <w:tcW w:w="2250" w:type="dxa"/>
            <w:tcBorders>
              <w:bottom w:val="single" w:sz="4" w:space="0" w:color="auto"/>
            </w:tcBorders>
          </w:tcPr>
          <w:p w14:paraId="291EA0A8" w14:textId="77777777" w:rsidR="00926F3C" w:rsidRPr="00981C11" w:rsidRDefault="00926F3C" w:rsidP="00CB6A03">
            <w:pPr>
              <w:jc w:val="center"/>
              <w:rPr>
                <w:rFonts w:cstheme="minorHAnsi"/>
              </w:rPr>
            </w:pPr>
            <w:r w:rsidRPr="00981C11">
              <w:rPr>
                <w:rFonts w:cstheme="minorHAnsi"/>
              </w:rPr>
              <w:t>Estimate of treatment effect*</w:t>
            </w:r>
          </w:p>
        </w:tc>
      </w:tr>
      <w:tr w:rsidR="00926F3C" w:rsidRPr="00981C11" w14:paraId="568D272D" w14:textId="77777777" w:rsidTr="00485AF9">
        <w:tc>
          <w:tcPr>
            <w:tcW w:w="1998" w:type="dxa"/>
            <w:tcBorders>
              <w:bottom w:val="nil"/>
            </w:tcBorders>
          </w:tcPr>
          <w:p w14:paraId="40C3CEAB" w14:textId="77777777" w:rsidR="00926F3C" w:rsidRPr="00981C11" w:rsidRDefault="00926F3C" w:rsidP="000F256E">
            <w:pPr>
              <w:rPr>
                <w:rFonts w:cstheme="minorHAnsi"/>
              </w:rPr>
            </w:pPr>
            <w:r w:rsidRPr="00981C11">
              <w:rPr>
                <w:rFonts w:cstheme="minorHAnsi"/>
              </w:rPr>
              <w:t>Stillbirth or miscarriage</w:t>
            </w:r>
          </w:p>
        </w:tc>
        <w:tc>
          <w:tcPr>
            <w:tcW w:w="1170" w:type="dxa"/>
            <w:tcBorders>
              <w:bottom w:val="nil"/>
            </w:tcBorders>
          </w:tcPr>
          <w:p w14:paraId="32DC4133" w14:textId="77777777" w:rsidR="00926F3C" w:rsidRPr="00981C11" w:rsidRDefault="00926F3C" w:rsidP="00295221">
            <w:pPr>
              <w:jc w:val="center"/>
              <w:rPr>
                <w:rFonts w:cstheme="minorHAnsi"/>
              </w:rPr>
            </w:pPr>
          </w:p>
        </w:tc>
        <w:tc>
          <w:tcPr>
            <w:tcW w:w="1260" w:type="dxa"/>
            <w:tcBorders>
              <w:bottom w:val="nil"/>
            </w:tcBorders>
          </w:tcPr>
          <w:p w14:paraId="46BE1B84" w14:textId="77777777" w:rsidR="00926F3C" w:rsidRPr="00981C11" w:rsidRDefault="00926F3C" w:rsidP="00295221">
            <w:pPr>
              <w:jc w:val="center"/>
              <w:rPr>
                <w:rFonts w:cstheme="minorHAnsi"/>
              </w:rPr>
            </w:pPr>
          </w:p>
        </w:tc>
        <w:tc>
          <w:tcPr>
            <w:tcW w:w="2250" w:type="dxa"/>
            <w:tcBorders>
              <w:bottom w:val="nil"/>
            </w:tcBorders>
          </w:tcPr>
          <w:p w14:paraId="06327691" w14:textId="77777777" w:rsidR="00926F3C" w:rsidRPr="00981C11" w:rsidRDefault="00926F3C" w:rsidP="00295221">
            <w:pPr>
              <w:jc w:val="center"/>
              <w:rPr>
                <w:rFonts w:cstheme="minorHAnsi"/>
              </w:rPr>
            </w:pPr>
            <w:r w:rsidRPr="00981C11">
              <w:rPr>
                <w:rFonts w:cstheme="minorHAnsi"/>
              </w:rPr>
              <w:t>Odds ratio</w:t>
            </w:r>
          </w:p>
          <w:p w14:paraId="58FB4375" w14:textId="77777777" w:rsidR="00926F3C" w:rsidRPr="00981C11" w:rsidRDefault="00926F3C" w:rsidP="00295221">
            <w:pPr>
              <w:jc w:val="center"/>
              <w:rPr>
                <w:rFonts w:cstheme="minorHAnsi"/>
              </w:rPr>
            </w:pPr>
            <w:r w:rsidRPr="00981C11">
              <w:rPr>
                <w:rFonts w:cstheme="minorHAnsi"/>
              </w:rPr>
              <w:t>(95% CI)</w:t>
            </w:r>
          </w:p>
        </w:tc>
      </w:tr>
      <w:tr w:rsidR="00926F3C" w:rsidRPr="00981C11" w14:paraId="219A2B81" w14:textId="77777777" w:rsidTr="00485AF9">
        <w:tc>
          <w:tcPr>
            <w:tcW w:w="1998" w:type="dxa"/>
            <w:tcBorders>
              <w:top w:val="nil"/>
              <w:bottom w:val="nil"/>
            </w:tcBorders>
          </w:tcPr>
          <w:p w14:paraId="0024D8D8" w14:textId="77777777" w:rsidR="00926F3C" w:rsidRPr="00981C11" w:rsidRDefault="00926F3C" w:rsidP="00485AF9">
            <w:pPr>
              <w:rPr>
                <w:rFonts w:cstheme="minorHAnsi"/>
              </w:rPr>
            </w:pPr>
            <w:r w:rsidRPr="00981C11">
              <w:rPr>
                <w:rFonts w:cstheme="minorHAnsi"/>
              </w:rPr>
              <w:t>Twins included</w:t>
            </w:r>
          </w:p>
        </w:tc>
        <w:tc>
          <w:tcPr>
            <w:tcW w:w="1170" w:type="dxa"/>
            <w:tcBorders>
              <w:top w:val="nil"/>
              <w:bottom w:val="nil"/>
            </w:tcBorders>
          </w:tcPr>
          <w:p w14:paraId="209F94BD" w14:textId="77777777" w:rsidR="00926F3C" w:rsidRPr="00981C11" w:rsidRDefault="00926F3C" w:rsidP="00295221">
            <w:pPr>
              <w:spacing w:after="200" w:line="276" w:lineRule="auto"/>
              <w:jc w:val="center"/>
              <w:rPr>
                <w:rFonts w:cstheme="minorHAnsi"/>
              </w:rPr>
            </w:pPr>
            <w:r w:rsidRPr="00981C11">
              <w:rPr>
                <w:rFonts w:eastAsia="Times New Roman" w:cstheme="minorHAnsi"/>
              </w:rPr>
              <w:t>3033</w:t>
            </w:r>
          </w:p>
        </w:tc>
        <w:tc>
          <w:tcPr>
            <w:tcW w:w="1260" w:type="dxa"/>
            <w:tcBorders>
              <w:top w:val="nil"/>
              <w:bottom w:val="nil"/>
            </w:tcBorders>
          </w:tcPr>
          <w:p w14:paraId="2519C7F7" w14:textId="77777777" w:rsidR="00926F3C" w:rsidRPr="00981C11" w:rsidRDefault="00926F3C" w:rsidP="00295221">
            <w:pPr>
              <w:jc w:val="center"/>
              <w:rPr>
                <w:rFonts w:eastAsia="Times New Roman" w:cstheme="minorHAnsi"/>
              </w:rPr>
            </w:pPr>
            <w:r w:rsidRPr="00981C11">
              <w:rPr>
                <w:rFonts w:eastAsia="Times New Roman" w:cstheme="minorHAnsi"/>
              </w:rPr>
              <w:t>2955</w:t>
            </w:r>
          </w:p>
        </w:tc>
        <w:tc>
          <w:tcPr>
            <w:tcW w:w="2250" w:type="dxa"/>
            <w:tcBorders>
              <w:top w:val="nil"/>
              <w:bottom w:val="nil"/>
            </w:tcBorders>
          </w:tcPr>
          <w:p w14:paraId="69192485" w14:textId="77777777" w:rsidR="00926F3C" w:rsidRPr="00981C11" w:rsidRDefault="00926F3C" w:rsidP="00295221">
            <w:pPr>
              <w:jc w:val="center"/>
              <w:rPr>
                <w:rFonts w:eastAsia="Times New Roman" w:cstheme="minorHAnsi"/>
              </w:rPr>
            </w:pPr>
            <w:r w:rsidRPr="00981C11">
              <w:rPr>
                <w:rFonts w:eastAsia="Times New Roman" w:cstheme="minorHAnsi"/>
              </w:rPr>
              <w:t>0.81</w:t>
            </w:r>
          </w:p>
          <w:p w14:paraId="049B01B3" w14:textId="77777777" w:rsidR="00926F3C" w:rsidRPr="00981C11" w:rsidRDefault="00926F3C" w:rsidP="00295221">
            <w:pPr>
              <w:jc w:val="center"/>
              <w:rPr>
                <w:rFonts w:eastAsia="Times New Roman" w:cstheme="minorHAnsi"/>
              </w:rPr>
            </w:pPr>
            <w:r w:rsidRPr="00981C11">
              <w:rPr>
                <w:rFonts w:eastAsia="Times New Roman" w:cstheme="minorHAnsi"/>
              </w:rPr>
              <w:t>(0.55, 1.19)</w:t>
            </w:r>
          </w:p>
        </w:tc>
      </w:tr>
      <w:tr w:rsidR="00926F3C" w:rsidRPr="00981C11" w14:paraId="47C3BAD2" w14:textId="77777777" w:rsidTr="00485AF9">
        <w:tc>
          <w:tcPr>
            <w:tcW w:w="1998" w:type="dxa"/>
            <w:tcBorders>
              <w:top w:val="nil"/>
              <w:bottom w:val="nil"/>
            </w:tcBorders>
          </w:tcPr>
          <w:p w14:paraId="3283BDF8" w14:textId="2159135C" w:rsidR="00926F3C" w:rsidRPr="00981C11" w:rsidRDefault="00485AF9" w:rsidP="00485AF9">
            <w:pPr>
              <w:rPr>
                <w:rFonts w:cstheme="minorHAnsi"/>
              </w:rPr>
            </w:pPr>
            <w:r>
              <w:rPr>
                <w:rFonts w:cstheme="minorHAnsi"/>
              </w:rPr>
              <w:t>Singletons only</w:t>
            </w:r>
          </w:p>
        </w:tc>
        <w:tc>
          <w:tcPr>
            <w:tcW w:w="1170" w:type="dxa"/>
            <w:tcBorders>
              <w:top w:val="nil"/>
              <w:bottom w:val="nil"/>
            </w:tcBorders>
          </w:tcPr>
          <w:p w14:paraId="031B9F3A" w14:textId="77777777" w:rsidR="00926F3C" w:rsidRPr="00981C11" w:rsidRDefault="00926F3C" w:rsidP="00295221">
            <w:pPr>
              <w:jc w:val="center"/>
              <w:rPr>
                <w:rFonts w:eastAsia="Times New Roman" w:cstheme="minorHAnsi"/>
              </w:rPr>
            </w:pPr>
            <w:r w:rsidRPr="00981C11">
              <w:rPr>
                <w:rFonts w:eastAsia="Times New Roman" w:cstheme="minorHAnsi"/>
              </w:rPr>
              <w:t>3015</w:t>
            </w:r>
          </w:p>
        </w:tc>
        <w:tc>
          <w:tcPr>
            <w:tcW w:w="1260" w:type="dxa"/>
            <w:tcBorders>
              <w:top w:val="nil"/>
              <w:bottom w:val="nil"/>
            </w:tcBorders>
          </w:tcPr>
          <w:p w14:paraId="55B81629" w14:textId="77777777" w:rsidR="00926F3C" w:rsidRPr="00981C11" w:rsidRDefault="00926F3C" w:rsidP="00295221">
            <w:pPr>
              <w:spacing w:after="200" w:line="276" w:lineRule="auto"/>
              <w:jc w:val="center"/>
              <w:rPr>
                <w:rFonts w:cstheme="minorHAnsi"/>
              </w:rPr>
            </w:pPr>
            <w:r w:rsidRPr="00981C11">
              <w:rPr>
                <w:rFonts w:eastAsia="Times New Roman" w:cstheme="minorHAnsi"/>
              </w:rPr>
              <w:t>2930</w:t>
            </w:r>
          </w:p>
        </w:tc>
        <w:tc>
          <w:tcPr>
            <w:tcW w:w="2250" w:type="dxa"/>
            <w:tcBorders>
              <w:top w:val="nil"/>
              <w:bottom w:val="nil"/>
            </w:tcBorders>
          </w:tcPr>
          <w:p w14:paraId="1237158A" w14:textId="77777777" w:rsidR="00926F3C" w:rsidRPr="00981C11" w:rsidRDefault="00926F3C" w:rsidP="00295221">
            <w:pPr>
              <w:jc w:val="center"/>
              <w:rPr>
                <w:rFonts w:eastAsia="Times New Roman" w:cstheme="minorHAnsi"/>
              </w:rPr>
            </w:pPr>
            <w:r w:rsidRPr="00981C11">
              <w:rPr>
                <w:rFonts w:eastAsia="Times New Roman" w:cstheme="minorHAnsi"/>
              </w:rPr>
              <w:t>0.82</w:t>
            </w:r>
          </w:p>
          <w:p w14:paraId="6642162A" w14:textId="77777777" w:rsidR="00926F3C" w:rsidRPr="00981C11" w:rsidRDefault="00926F3C" w:rsidP="00295221">
            <w:pPr>
              <w:jc w:val="center"/>
              <w:rPr>
                <w:rFonts w:eastAsia="Times New Roman" w:cstheme="minorHAnsi"/>
              </w:rPr>
            </w:pPr>
            <w:r w:rsidRPr="00981C11">
              <w:rPr>
                <w:rFonts w:eastAsia="Times New Roman" w:cstheme="minorHAnsi"/>
              </w:rPr>
              <w:t>(0.56, 1.22)</w:t>
            </w:r>
          </w:p>
        </w:tc>
      </w:tr>
      <w:tr w:rsidR="00926F3C" w:rsidRPr="00981C11" w14:paraId="12B451D8" w14:textId="77777777" w:rsidTr="00485AF9">
        <w:tc>
          <w:tcPr>
            <w:tcW w:w="1998" w:type="dxa"/>
            <w:tcBorders>
              <w:top w:val="nil"/>
            </w:tcBorders>
          </w:tcPr>
          <w:p w14:paraId="3AE2ED92" w14:textId="77777777" w:rsidR="00926F3C" w:rsidRPr="00981C11" w:rsidRDefault="00926F3C" w:rsidP="00485AF9">
            <w:pPr>
              <w:rPr>
                <w:rFonts w:eastAsia="Times New Roman" w:cstheme="minorHAnsi"/>
                <w:bCs/>
              </w:rPr>
            </w:pPr>
          </w:p>
        </w:tc>
        <w:tc>
          <w:tcPr>
            <w:tcW w:w="1170" w:type="dxa"/>
            <w:tcBorders>
              <w:top w:val="nil"/>
            </w:tcBorders>
          </w:tcPr>
          <w:p w14:paraId="2EC0C75E" w14:textId="77777777" w:rsidR="00926F3C" w:rsidRPr="00981C11" w:rsidRDefault="00926F3C" w:rsidP="00295221">
            <w:pPr>
              <w:jc w:val="center"/>
              <w:rPr>
                <w:rFonts w:eastAsia="Times New Roman" w:cstheme="minorHAnsi"/>
              </w:rPr>
            </w:pPr>
          </w:p>
        </w:tc>
        <w:tc>
          <w:tcPr>
            <w:tcW w:w="1260" w:type="dxa"/>
            <w:tcBorders>
              <w:top w:val="nil"/>
            </w:tcBorders>
          </w:tcPr>
          <w:p w14:paraId="34AD2602" w14:textId="77777777" w:rsidR="00926F3C" w:rsidRPr="00981C11" w:rsidRDefault="00926F3C" w:rsidP="00295221">
            <w:pPr>
              <w:jc w:val="center"/>
              <w:rPr>
                <w:rFonts w:eastAsia="Times New Roman" w:cstheme="minorHAnsi"/>
              </w:rPr>
            </w:pPr>
          </w:p>
        </w:tc>
        <w:tc>
          <w:tcPr>
            <w:tcW w:w="2250" w:type="dxa"/>
            <w:tcBorders>
              <w:top w:val="nil"/>
            </w:tcBorders>
          </w:tcPr>
          <w:p w14:paraId="7197F1CA" w14:textId="77777777" w:rsidR="00926F3C" w:rsidRPr="00981C11" w:rsidRDefault="00926F3C" w:rsidP="00295221">
            <w:pPr>
              <w:jc w:val="center"/>
              <w:rPr>
                <w:rFonts w:eastAsia="Times New Roman" w:cstheme="minorHAnsi"/>
                <w:iCs/>
              </w:rPr>
            </w:pPr>
          </w:p>
        </w:tc>
      </w:tr>
      <w:tr w:rsidR="00926F3C" w:rsidRPr="00981C11" w14:paraId="312E072B" w14:textId="77777777" w:rsidTr="00485AF9">
        <w:tc>
          <w:tcPr>
            <w:tcW w:w="1998" w:type="dxa"/>
            <w:tcBorders>
              <w:bottom w:val="nil"/>
            </w:tcBorders>
          </w:tcPr>
          <w:p w14:paraId="2AB492E1" w14:textId="77777777" w:rsidR="00926F3C" w:rsidRPr="00981C11" w:rsidRDefault="00926F3C" w:rsidP="00485AF9">
            <w:pPr>
              <w:rPr>
                <w:rFonts w:cstheme="minorHAnsi"/>
              </w:rPr>
            </w:pPr>
            <w:r w:rsidRPr="00981C11">
              <w:rPr>
                <w:rFonts w:cstheme="minorHAnsi"/>
              </w:rPr>
              <w:t>Stillbirth, miscarriage, or neonatal death</w:t>
            </w:r>
          </w:p>
        </w:tc>
        <w:tc>
          <w:tcPr>
            <w:tcW w:w="1170" w:type="dxa"/>
            <w:tcBorders>
              <w:bottom w:val="nil"/>
            </w:tcBorders>
          </w:tcPr>
          <w:p w14:paraId="6C73792F" w14:textId="77777777" w:rsidR="00926F3C" w:rsidRPr="00981C11" w:rsidRDefault="00926F3C" w:rsidP="00295221">
            <w:pPr>
              <w:jc w:val="center"/>
              <w:rPr>
                <w:rFonts w:cstheme="minorHAnsi"/>
              </w:rPr>
            </w:pPr>
          </w:p>
        </w:tc>
        <w:tc>
          <w:tcPr>
            <w:tcW w:w="1260" w:type="dxa"/>
            <w:tcBorders>
              <w:bottom w:val="nil"/>
            </w:tcBorders>
          </w:tcPr>
          <w:p w14:paraId="24FCE9CD" w14:textId="77777777" w:rsidR="00926F3C" w:rsidRPr="00981C11" w:rsidRDefault="00926F3C" w:rsidP="00295221">
            <w:pPr>
              <w:jc w:val="center"/>
              <w:rPr>
                <w:rFonts w:cstheme="minorHAnsi"/>
              </w:rPr>
            </w:pPr>
          </w:p>
        </w:tc>
        <w:tc>
          <w:tcPr>
            <w:tcW w:w="2250" w:type="dxa"/>
            <w:tcBorders>
              <w:bottom w:val="nil"/>
            </w:tcBorders>
          </w:tcPr>
          <w:p w14:paraId="15A21C57" w14:textId="77777777" w:rsidR="00926F3C" w:rsidRPr="00981C11" w:rsidRDefault="00926F3C" w:rsidP="00295221">
            <w:pPr>
              <w:jc w:val="center"/>
              <w:rPr>
                <w:rFonts w:cstheme="minorHAnsi"/>
              </w:rPr>
            </w:pPr>
            <w:r w:rsidRPr="00981C11">
              <w:rPr>
                <w:rFonts w:cstheme="minorHAnsi"/>
              </w:rPr>
              <w:t>Odds ratio</w:t>
            </w:r>
          </w:p>
          <w:p w14:paraId="0725F84C" w14:textId="77777777" w:rsidR="00926F3C" w:rsidRPr="00981C11" w:rsidRDefault="00926F3C" w:rsidP="00295221">
            <w:pPr>
              <w:jc w:val="center"/>
              <w:rPr>
                <w:rFonts w:cstheme="minorHAnsi"/>
              </w:rPr>
            </w:pPr>
            <w:r w:rsidRPr="00981C11">
              <w:rPr>
                <w:rFonts w:cstheme="minorHAnsi"/>
              </w:rPr>
              <w:t>(95% CI)</w:t>
            </w:r>
          </w:p>
        </w:tc>
      </w:tr>
      <w:tr w:rsidR="00926F3C" w:rsidRPr="00981C11" w14:paraId="1DF7C071" w14:textId="77777777" w:rsidTr="00485AF9">
        <w:tc>
          <w:tcPr>
            <w:tcW w:w="1998" w:type="dxa"/>
            <w:tcBorders>
              <w:top w:val="nil"/>
              <w:bottom w:val="nil"/>
            </w:tcBorders>
          </w:tcPr>
          <w:p w14:paraId="4DD5CA2C" w14:textId="77777777" w:rsidR="00926F3C" w:rsidRPr="00981C11" w:rsidRDefault="00926F3C" w:rsidP="00485AF9">
            <w:pPr>
              <w:rPr>
                <w:rFonts w:cstheme="minorHAnsi"/>
              </w:rPr>
            </w:pPr>
            <w:r w:rsidRPr="00981C11">
              <w:rPr>
                <w:rFonts w:cstheme="minorHAnsi"/>
              </w:rPr>
              <w:t>Twins included</w:t>
            </w:r>
          </w:p>
        </w:tc>
        <w:tc>
          <w:tcPr>
            <w:tcW w:w="1170" w:type="dxa"/>
            <w:tcBorders>
              <w:top w:val="nil"/>
              <w:bottom w:val="nil"/>
            </w:tcBorders>
          </w:tcPr>
          <w:p w14:paraId="1DB9D3C0" w14:textId="77777777" w:rsidR="00926F3C" w:rsidRPr="00981C11" w:rsidRDefault="00926F3C" w:rsidP="00CB6A03">
            <w:pPr>
              <w:spacing w:after="200" w:line="276" w:lineRule="auto"/>
              <w:jc w:val="center"/>
              <w:rPr>
                <w:rFonts w:cstheme="minorHAnsi"/>
              </w:rPr>
            </w:pPr>
            <w:r w:rsidRPr="00981C11">
              <w:rPr>
                <w:rFonts w:eastAsia="Times New Roman" w:cstheme="minorHAnsi"/>
              </w:rPr>
              <w:t>1914†</w:t>
            </w:r>
          </w:p>
        </w:tc>
        <w:tc>
          <w:tcPr>
            <w:tcW w:w="1260" w:type="dxa"/>
            <w:tcBorders>
              <w:top w:val="nil"/>
              <w:bottom w:val="nil"/>
            </w:tcBorders>
          </w:tcPr>
          <w:p w14:paraId="7CFD3773" w14:textId="77777777" w:rsidR="00926F3C" w:rsidRPr="00981C11" w:rsidRDefault="00926F3C" w:rsidP="00295221">
            <w:pPr>
              <w:jc w:val="center"/>
              <w:rPr>
                <w:rFonts w:eastAsia="Times New Roman" w:cstheme="minorHAnsi"/>
              </w:rPr>
            </w:pPr>
            <w:r w:rsidRPr="00981C11">
              <w:rPr>
                <w:rFonts w:eastAsia="Times New Roman" w:cstheme="minorHAnsi"/>
              </w:rPr>
              <w:t>1844</w:t>
            </w:r>
          </w:p>
        </w:tc>
        <w:tc>
          <w:tcPr>
            <w:tcW w:w="2250" w:type="dxa"/>
            <w:tcBorders>
              <w:top w:val="nil"/>
              <w:bottom w:val="nil"/>
            </w:tcBorders>
          </w:tcPr>
          <w:p w14:paraId="19453AA7" w14:textId="77777777" w:rsidR="00926F3C" w:rsidRPr="00981C11" w:rsidRDefault="00926F3C" w:rsidP="00295221">
            <w:pPr>
              <w:jc w:val="center"/>
              <w:rPr>
                <w:rFonts w:eastAsia="Times New Roman" w:cstheme="minorHAnsi"/>
              </w:rPr>
            </w:pPr>
            <w:r w:rsidRPr="00981C11">
              <w:rPr>
                <w:rFonts w:eastAsia="Times New Roman" w:cstheme="minorHAnsi"/>
              </w:rPr>
              <w:t>0.95</w:t>
            </w:r>
          </w:p>
          <w:p w14:paraId="0FE7E686" w14:textId="77777777" w:rsidR="00926F3C" w:rsidRPr="00981C11" w:rsidRDefault="00926F3C" w:rsidP="00295221">
            <w:pPr>
              <w:jc w:val="center"/>
              <w:rPr>
                <w:rFonts w:eastAsia="Times New Roman" w:cstheme="minorHAnsi"/>
              </w:rPr>
            </w:pPr>
            <w:r w:rsidRPr="00981C11">
              <w:rPr>
                <w:rFonts w:eastAsia="Times New Roman" w:cstheme="minorHAnsi"/>
              </w:rPr>
              <w:t>(063, 1.44)</w:t>
            </w:r>
          </w:p>
        </w:tc>
      </w:tr>
      <w:tr w:rsidR="00926F3C" w:rsidRPr="00981C11" w14:paraId="00132217" w14:textId="77777777" w:rsidTr="00485AF9">
        <w:tc>
          <w:tcPr>
            <w:tcW w:w="1998" w:type="dxa"/>
            <w:tcBorders>
              <w:top w:val="nil"/>
            </w:tcBorders>
          </w:tcPr>
          <w:p w14:paraId="449E67B2" w14:textId="2BD62183" w:rsidR="00926F3C" w:rsidRPr="00981C11" w:rsidRDefault="00485AF9" w:rsidP="00485AF9">
            <w:pPr>
              <w:rPr>
                <w:rFonts w:cstheme="minorHAnsi"/>
              </w:rPr>
            </w:pPr>
            <w:r>
              <w:rPr>
                <w:rFonts w:cstheme="minorHAnsi"/>
              </w:rPr>
              <w:t>Singletons only</w:t>
            </w:r>
          </w:p>
        </w:tc>
        <w:tc>
          <w:tcPr>
            <w:tcW w:w="1170" w:type="dxa"/>
            <w:tcBorders>
              <w:top w:val="nil"/>
            </w:tcBorders>
          </w:tcPr>
          <w:p w14:paraId="0BFCFDCB" w14:textId="77777777" w:rsidR="00926F3C" w:rsidRPr="00981C11" w:rsidRDefault="00926F3C" w:rsidP="00295221">
            <w:pPr>
              <w:jc w:val="center"/>
              <w:rPr>
                <w:rFonts w:eastAsia="Times New Roman" w:cstheme="minorHAnsi"/>
              </w:rPr>
            </w:pPr>
            <w:r w:rsidRPr="00981C11">
              <w:rPr>
                <w:rFonts w:eastAsia="Times New Roman" w:cstheme="minorHAnsi"/>
              </w:rPr>
              <w:t>1905</w:t>
            </w:r>
          </w:p>
        </w:tc>
        <w:tc>
          <w:tcPr>
            <w:tcW w:w="1260" w:type="dxa"/>
            <w:tcBorders>
              <w:top w:val="nil"/>
            </w:tcBorders>
          </w:tcPr>
          <w:p w14:paraId="03A11E54" w14:textId="77777777" w:rsidR="00926F3C" w:rsidRPr="00981C11" w:rsidRDefault="00926F3C" w:rsidP="00295221">
            <w:pPr>
              <w:spacing w:after="200" w:line="276" w:lineRule="auto"/>
              <w:jc w:val="center"/>
              <w:rPr>
                <w:rFonts w:cstheme="minorHAnsi"/>
              </w:rPr>
            </w:pPr>
            <w:r w:rsidRPr="00981C11">
              <w:rPr>
                <w:rFonts w:eastAsia="Times New Roman" w:cstheme="minorHAnsi"/>
              </w:rPr>
              <w:t>1837</w:t>
            </w:r>
          </w:p>
        </w:tc>
        <w:tc>
          <w:tcPr>
            <w:tcW w:w="2250" w:type="dxa"/>
            <w:tcBorders>
              <w:top w:val="nil"/>
            </w:tcBorders>
          </w:tcPr>
          <w:p w14:paraId="57153E3A" w14:textId="77777777" w:rsidR="00926F3C" w:rsidRPr="00981C11" w:rsidRDefault="00926F3C" w:rsidP="00295221">
            <w:pPr>
              <w:jc w:val="center"/>
              <w:rPr>
                <w:rFonts w:eastAsia="Times New Roman" w:cstheme="minorHAnsi"/>
              </w:rPr>
            </w:pPr>
            <w:r w:rsidRPr="00981C11">
              <w:rPr>
                <w:rFonts w:eastAsia="Times New Roman" w:cstheme="minorHAnsi"/>
              </w:rPr>
              <w:t>0.98</w:t>
            </w:r>
          </w:p>
          <w:p w14:paraId="65011C5F" w14:textId="77777777" w:rsidR="00926F3C" w:rsidRPr="00981C11" w:rsidRDefault="00926F3C" w:rsidP="00295221">
            <w:pPr>
              <w:jc w:val="center"/>
              <w:rPr>
                <w:rFonts w:eastAsia="Times New Roman" w:cstheme="minorHAnsi"/>
              </w:rPr>
            </w:pPr>
            <w:r w:rsidRPr="00981C11">
              <w:rPr>
                <w:rFonts w:eastAsia="Times New Roman" w:cstheme="minorHAnsi"/>
              </w:rPr>
              <w:t>(0.65, 1.48)</w:t>
            </w:r>
          </w:p>
        </w:tc>
      </w:tr>
      <w:tr w:rsidR="00926F3C" w:rsidRPr="00981C11" w14:paraId="71278139" w14:textId="77777777" w:rsidTr="00485AF9">
        <w:tc>
          <w:tcPr>
            <w:tcW w:w="1998" w:type="dxa"/>
          </w:tcPr>
          <w:p w14:paraId="790F8752" w14:textId="77777777" w:rsidR="00926F3C" w:rsidRPr="00981C11" w:rsidRDefault="00926F3C" w:rsidP="00485AF9">
            <w:pPr>
              <w:rPr>
                <w:rFonts w:cstheme="minorHAnsi"/>
              </w:rPr>
            </w:pPr>
          </w:p>
        </w:tc>
        <w:tc>
          <w:tcPr>
            <w:tcW w:w="1170" w:type="dxa"/>
          </w:tcPr>
          <w:p w14:paraId="63C7531E" w14:textId="77777777" w:rsidR="00926F3C" w:rsidRPr="00981C11" w:rsidRDefault="00926F3C" w:rsidP="00295221">
            <w:pPr>
              <w:jc w:val="center"/>
              <w:rPr>
                <w:rFonts w:cstheme="minorHAnsi"/>
              </w:rPr>
            </w:pPr>
          </w:p>
        </w:tc>
        <w:tc>
          <w:tcPr>
            <w:tcW w:w="1260" w:type="dxa"/>
          </w:tcPr>
          <w:p w14:paraId="70CC96F6" w14:textId="77777777" w:rsidR="00926F3C" w:rsidRPr="00981C11" w:rsidRDefault="00926F3C" w:rsidP="00295221">
            <w:pPr>
              <w:jc w:val="center"/>
              <w:rPr>
                <w:rFonts w:cstheme="minorHAnsi"/>
              </w:rPr>
            </w:pPr>
          </w:p>
        </w:tc>
        <w:tc>
          <w:tcPr>
            <w:tcW w:w="2250" w:type="dxa"/>
          </w:tcPr>
          <w:p w14:paraId="73C85F3D" w14:textId="77777777" w:rsidR="00926F3C" w:rsidRPr="00981C11" w:rsidRDefault="00926F3C" w:rsidP="00295221">
            <w:pPr>
              <w:jc w:val="center"/>
              <w:rPr>
                <w:rFonts w:cstheme="minorHAnsi"/>
              </w:rPr>
            </w:pPr>
          </w:p>
        </w:tc>
      </w:tr>
      <w:tr w:rsidR="00926F3C" w:rsidRPr="00981C11" w14:paraId="05061100" w14:textId="77777777" w:rsidTr="00485AF9">
        <w:tc>
          <w:tcPr>
            <w:tcW w:w="1998" w:type="dxa"/>
            <w:tcBorders>
              <w:bottom w:val="nil"/>
            </w:tcBorders>
          </w:tcPr>
          <w:p w14:paraId="13954F43" w14:textId="77777777" w:rsidR="00926F3C" w:rsidRPr="00981C11" w:rsidRDefault="00926F3C" w:rsidP="00485AF9">
            <w:pPr>
              <w:rPr>
                <w:rFonts w:cstheme="minorHAnsi"/>
              </w:rPr>
            </w:pPr>
            <w:r w:rsidRPr="00981C11">
              <w:rPr>
                <w:rFonts w:cstheme="minorHAnsi"/>
              </w:rPr>
              <w:t>Birth weight‡ &lt;2500 g</w:t>
            </w:r>
          </w:p>
        </w:tc>
        <w:tc>
          <w:tcPr>
            <w:tcW w:w="1170" w:type="dxa"/>
            <w:tcBorders>
              <w:bottom w:val="nil"/>
            </w:tcBorders>
          </w:tcPr>
          <w:p w14:paraId="620E7203" w14:textId="77777777" w:rsidR="00926F3C" w:rsidRPr="00981C11" w:rsidRDefault="00926F3C" w:rsidP="00295221">
            <w:pPr>
              <w:jc w:val="center"/>
              <w:rPr>
                <w:rFonts w:cstheme="minorHAnsi"/>
              </w:rPr>
            </w:pPr>
          </w:p>
        </w:tc>
        <w:tc>
          <w:tcPr>
            <w:tcW w:w="1260" w:type="dxa"/>
            <w:tcBorders>
              <w:bottom w:val="nil"/>
            </w:tcBorders>
          </w:tcPr>
          <w:p w14:paraId="5F38D187" w14:textId="77777777" w:rsidR="00926F3C" w:rsidRPr="00981C11" w:rsidRDefault="00926F3C" w:rsidP="00295221">
            <w:pPr>
              <w:jc w:val="center"/>
              <w:rPr>
                <w:rFonts w:cstheme="minorHAnsi"/>
              </w:rPr>
            </w:pPr>
          </w:p>
        </w:tc>
        <w:tc>
          <w:tcPr>
            <w:tcW w:w="2250" w:type="dxa"/>
            <w:tcBorders>
              <w:bottom w:val="nil"/>
            </w:tcBorders>
          </w:tcPr>
          <w:p w14:paraId="21CB0C39" w14:textId="77777777" w:rsidR="00926F3C" w:rsidRPr="00981C11" w:rsidRDefault="00926F3C" w:rsidP="00295221">
            <w:pPr>
              <w:jc w:val="center"/>
              <w:rPr>
                <w:rFonts w:cstheme="minorHAnsi"/>
              </w:rPr>
            </w:pPr>
            <w:r w:rsidRPr="00981C11">
              <w:rPr>
                <w:rFonts w:cstheme="minorHAnsi"/>
              </w:rPr>
              <w:t>Odds ratio</w:t>
            </w:r>
          </w:p>
          <w:p w14:paraId="05A0BAEE" w14:textId="77777777" w:rsidR="00926F3C" w:rsidRPr="00981C11" w:rsidRDefault="00926F3C" w:rsidP="00295221">
            <w:pPr>
              <w:jc w:val="center"/>
              <w:rPr>
                <w:rFonts w:cstheme="minorHAnsi"/>
              </w:rPr>
            </w:pPr>
            <w:r w:rsidRPr="00981C11">
              <w:rPr>
                <w:rFonts w:cstheme="minorHAnsi"/>
              </w:rPr>
              <w:t>(95% CI)</w:t>
            </w:r>
          </w:p>
        </w:tc>
      </w:tr>
      <w:tr w:rsidR="00926F3C" w:rsidRPr="00981C11" w14:paraId="474054EF" w14:textId="77777777" w:rsidTr="00485AF9">
        <w:tc>
          <w:tcPr>
            <w:tcW w:w="1998" w:type="dxa"/>
            <w:tcBorders>
              <w:top w:val="nil"/>
              <w:bottom w:val="nil"/>
            </w:tcBorders>
          </w:tcPr>
          <w:p w14:paraId="54C6DF21" w14:textId="77777777" w:rsidR="00926F3C" w:rsidRPr="00981C11" w:rsidRDefault="00926F3C" w:rsidP="00485AF9">
            <w:pPr>
              <w:rPr>
                <w:rFonts w:cstheme="minorHAnsi"/>
              </w:rPr>
            </w:pPr>
            <w:r w:rsidRPr="00981C11">
              <w:rPr>
                <w:rFonts w:cstheme="minorHAnsi"/>
              </w:rPr>
              <w:t>Twins included</w:t>
            </w:r>
          </w:p>
        </w:tc>
        <w:tc>
          <w:tcPr>
            <w:tcW w:w="1170" w:type="dxa"/>
            <w:tcBorders>
              <w:top w:val="nil"/>
              <w:bottom w:val="nil"/>
            </w:tcBorders>
          </w:tcPr>
          <w:p w14:paraId="6C6AD350" w14:textId="77777777" w:rsidR="00926F3C" w:rsidRPr="00981C11" w:rsidRDefault="00926F3C" w:rsidP="00295221">
            <w:pPr>
              <w:jc w:val="center"/>
              <w:rPr>
                <w:rFonts w:eastAsia="Times New Roman" w:cstheme="minorHAnsi"/>
              </w:rPr>
            </w:pPr>
            <w:r w:rsidRPr="00981C11">
              <w:rPr>
                <w:rFonts w:eastAsia="Times New Roman" w:cstheme="minorHAnsi"/>
              </w:rPr>
              <w:t>2975</w:t>
            </w:r>
          </w:p>
        </w:tc>
        <w:tc>
          <w:tcPr>
            <w:tcW w:w="1260" w:type="dxa"/>
            <w:tcBorders>
              <w:top w:val="nil"/>
              <w:bottom w:val="nil"/>
            </w:tcBorders>
          </w:tcPr>
          <w:p w14:paraId="593988EA" w14:textId="77777777" w:rsidR="00926F3C" w:rsidRPr="00981C11" w:rsidRDefault="00926F3C" w:rsidP="00295221">
            <w:pPr>
              <w:spacing w:after="200" w:line="276" w:lineRule="auto"/>
              <w:jc w:val="center"/>
              <w:rPr>
                <w:rFonts w:cstheme="minorHAnsi"/>
              </w:rPr>
            </w:pPr>
            <w:r w:rsidRPr="00981C11">
              <w:rPr>
                <w:rFonts w:eastAsia="Times New Roman" w:cstheme="minorHAnsi"/>
              </w:rPr>
              <w:t>2894</w:t>
            </w:r>
          </w:p>
        </w:tc>
        <w:tc>
          <w:tcPr>
            <w:tcW w:w="2250" w:type="dxa"/>
            <w:tcBorders>
              <w:top w:val="nil"/>
              <w:bottom w:val="nil"/>
            </w:tcBorders>
          </w:tcPr>
          <w:p w14:paraId="0F4665BB" w14:textId="77777777" w:rsidR="00926F3C" w:rsidRPr="00981C11" w:rsidRDefault="00926F3C" w:rsidP="00295221">
            <w:pPr>
              <w:jc w:val="center"/>
              <w:rPr>
                <w:rFonts w:cstheme="minorHAnsi"/>
              </w:rPr>
            </w:pPr>
            <w:r w:rsidRPr="00981C11">
              <w:rPr>
                <w:rFonts w:cstheme="minorHAnsi"/>
              </w:rPr>
              <w:t>0.88</w:t>
            </w:r>
          </w:p>
          <w:p w14:paraId="1AB97FEB" w14:textId="77777777" w:rsidR="00926F3C" w:rsidRPr="00981C11" w:rsidRDefault="00926F3C" w:rsidP="00295221">
            <w:pPr>
              <w:jc w:val="center"/>
              <w:rPr>
                <w:rFonts w:cstheme="minorHAnsi"/>
              </w:rPr>
            </w:pPr>
            <w:r w:rsidRPr="00981C11">
              <w:rPr>
                <w:rFonts w:cstheme="minorHAnsi"/>
              </w:rPr>
              <w:t>(0.75, 1.04)</w:t>
            </w:r>
          </w:p>
        </w:tc>
      </w:tr>
      <w:tr w:rsidR="00926F3C" w:rsidRPr="00981C11" w14:paraId="4782DE8A" w14:textId="77777777" w:rsidTr="00485AF9">
        <w:tc>
          <w:tcPr>
            <w:tcW w:w="1998" w:type="dxa"/>
            <w:tcBorders>
              <w:top w:val="nil"/>
              <w:bottom w:val="nil"/>
            </w:tcBorders>
          </w:tcPr>
          <w:p w14:paraId="0A0741D9" w14:textId="57EF10B6" w:rsidR="00926F3C" w:rsidRPr="00981C11" w:rsidRDefault="00485AF9" w:rsidP="00485AF9">
            <w:pPr>
              <w:rPr>
                <w:rFonts w:cstheme="minorHAnsi"/>
              </w:rPr>
            </w:pPr>
            <w:r>
              <w:rPr>
                <w:rFonts w:cstheme="minorHAnsi"/>
              </w:rPr>
              <w:t>Singletons only</w:t>
            </w:r>
          </w:p>
        </w:tc>
        <w:tc>
          <w:tcPr>
            <w:tcW w:w="1170" w:type="dxa"/>
            <w:tcBorders>
              <w:top w:val="nil"/>
              <w:bottom w:val="nil"/>
            </w:tcBorders>
          </w:tcPr>
          <w:p w14:paraId="5375E052" w14:textId="77777777" w:rsidR="00926F3C" w:rsidRPr="00981C11" w:rsidRDefault="00926F3C" w:rsidP="00295221">
            <w:pPr>
              <w:jc w:val="center"/>
              <w:rPr>
                <w:rFonts w:eastAsia="Times New Roman" w:cstheme="minorHAnsi"/>
              </w:rPr>
            </w:pPr>
            <w:r w:rsidRPr="00981C11">
              <w:rPr>
                <w:rFonts w:eastAsia="Times New Roman" w:cstheme="minorHAnsi"/>
              </w:rPr>
              <w:t>2958</w:t>
            </w:r>
          </w:p>
        </w:tc>
        <w:tc>
          <w:tcPr>
            <w:tcW w:w="1260" w:type="dxa"/>
            <w:tcBorders>
              <w:top w:val="nil"/>
              <w:bottom w:val="nil"/>
            </w:tcBorders>
          </w:tcPr>
          <w:p w14:paraId="6C2B965C" w14:textId="77777777" w:rsidR="00926F3C" w:rsidRPr="00981C11" w:rsidRDefault="00926F3C" w:rsidP="00295221">
            <w:pPr>
              <w:spacing w:after="200" w:line="276" w:lineRule="auto"/>
              <w:jc w:val="center"/>
              <w:rPr>
                <w:rFonts w:cstheme="minorHAnsi"/>
              </w:rPr>
            </w:pPr>
            <w:r w:rsidRPr="00981C11">
              <w:rPr>
                <w:rFonts w:eastAsia="Times New Roman" w:cstheme="minorHAnsi"/>
              </w:rPr>
              <w:t>2872</w:t>
            </w:r>
          </w:p>
        </w:tc>
        <w:tc>
          <w:tcPr>
            <w:tcW w:w="2250" w:type="dxa"/>
            <w:tcBorders>
              <w:top w:val="nil"/>
              <w:bottom w:val="nil"/>
            </w:tcBorders>
          </w:tcPr>
          <w:p w14:paraId="5F3428D4" w14:textId="77777777" w:rsidR="00926F3C" w:rsidRPr="00981C11" w:rsidRDefault="00926F3C" w:rsidP="00295221">
            <w:pPr>
              <w:jc w:val="center"/>
              <w:rPr>
                <w:rFonts w:cstheme="minorHAnsi"/>
              </w:rPr>
            </w:pPr>
            <w:r w:rsidRPr="00981C11">
              <w:rPr>
                <w:rFonts w:cstheme="minorHAnsi"/>
              </w:rPr>
              <w:t>0.89</w:t>
            </w:r>
          </w:p>
          <w:p w14:paraId="6F0F2BF2" w14:textId="77777777" w:rsidR="00926F3C" w:rsidRPr="00981C11" w:rsidRDefault="00926F3C" w:rsidP="00295221">
            <w:pPr>
              <w:jc w:val="center"/>
              <w:rPr>
                <w:rFonts w:cstheme="minorHAnsi"/>
              </w:rPr>
            </w:pPr>
            <w:r w:rsidRPr="00981C11">
              <w:rPr>
                <w:rFonts w:cstheme="minorHAnsi"/>
              </w:rPr>
              <w:t>(0.76, 1.05)</w:t>
            </w:r>
          </w:p>
        </w:tc>
      </w:tr>
      <w:tr w:rsidR="00926F3C" w:rsidRPr="00981C11" w14:paraId="43C58326" w14:textId="77777777" w:rsidTr="00485AF9">
        <w:tc>
          <w:tcPr>
            <w:tcW w:w="1998" w:type="dxa"/>
            <w:tcBorders>
              <w:top w:val="nil"/>
            </w:tcBorders>
          </w:tcPr>
          <w:p w14:paraId="02A02369" w14:textId="77777777" w:rsidR="00926F3C" w:rsidRPr="00981C11" w:rsidRDefault="00926F3C" w:rsidP="00485AF9">
            <w:pPr>
              <w:rPr>
                <w:rFonts w:cstheme="minorHAnsi"/>
              </w:rPr>
            </w:pPr>
          </w:p>
        </w:tc>
        <w:tc>
          <w:tcPr>
            <w:tcW w:w="1170" w:type="dxa"/>
            <w:tcBorders>
              <w:top w:val="nil"/>
            </w:tcBorders>
          </w:tcPr>
          <w:p w14:paraId="547B2D5D" w14:textId="77777777" w:rsidR="00926F3C" w:rsidRPr="00981C11" w:rsidRDefault="00926F3C" w:rsidP="00295221">
            <w:pPr>
              <w:jc w:val="center"/>
              <w:rPr>
                <w:rFonts w:cstheme="minorHAnsi"/>
              </w:rPr>
            </w:pPr>
          </w:p>
        </w:tc>
        <w:tc>
          <w:tcPr>
            <w:tcW w:w="1260" w:type="dxa"/>
            <w:tcBorders>
              <w:top w:val="nil"/>
            </w:tcBorders>
          </w:tcPr>
          <w:p w14:paraId="148827CD" w14:textId="77777777" w:rsidR="00926F3C" w:rsidRPr="00981C11" w:rsidRDefault="00926F3C" w:rsidP="00295221">
            <w:pPr>
              <w:jc w:val="center"/>
              <w:rPr>
                <w:rFonts w:cstheme="minorHAnsi"/>
              </w:rPr>
            </w:pPr>
          </w:p>
        </w:tc>
        <w:tc>
          <w:tcPr>
            <w:tcW w:w="2250" w:type="dxa"/>
            <w:tcBorders>
              <w:top w:val="nil"/>
            </w:tcBorders>
          </w:tcPr>
          <w:p w14:paraId="466B93E0" w14:textId="77777777" w:rsidR="00926F3C" w:rsidRPr="00981C11" w:rsidRDefault="00926F3C" w:rsidP="00295221">
            <w:pPr>
              <w:jc w:val="center"/>
              <w:rPr>
                <w:rFonts w:cstheme="minorHAnsi"/>
              </w:rPr>
            </w:pPr>
          </w:p>
        </w:tc>
      </w:tr>
      <w:tr w:rsidR="00926F3C" w:rsidRPr="00981C11" w14:paraId="0510E20B" w14:textId="77777777" w:rsidTr="00485AF9">
        <w:tc>
          <w:tcPr>
            <w:tcW w:w="1998" w:type="dxa"/>
            <w:tcBorders>
              <w:bottom w:val="nil"/>
            </w:tcBorders>
          </w:tcPr>
          <w:p w14:paraId="0B452E09" w14:textId="77777777" w:rsidR="00926F3C" w:rsidRPr="00981C11" w:rsidRDefault="00926F3C" w:rsidP="00485AF9">
            <w:pPr>
              <w:rPr>
                <w:rFonts w:cstheme="minorHAnsi"/>
              </w:rPr>
            </w:pPr>
            <w:r w:rsidRPr="00981C11">
              <w:rPr>
                <w:rFonts w:cstheme="minorHAnsi"/>
              </w:rPr>
              <w:t>Birth weight‡ &lt;1500 g</w:t>
            </w:r>
          </w:p>
        </w:tc>
        <w:tc>
          <w:tcPr>
            <w:tcW w:w="1170" w:type="dxa"/>
            <w:tcBorders>
              <w:bottom w:val="nil"/>
            </w:tcBorders>
          </w:tcPr>
          <w:p w14:paraId="7803D1F4" w14:textId="77777777" w:rsidR="00926F3C" w:rsidRPr="00981C11" w:rsidRDefault="00926F3C" w:rsidP="00295221">
            <w:pPr>
              <w:jc w:val="center"/>
              <w:rPr>
                <w:rFonts w:cstheme="minorHAnsi"/>
              </w:rPr>
            </w:pPr>
          </w:p>
        </w:tc>
        <w:tc>
          <w:tcPr>
            <w:tcW w:w="1260" w:type="dxa"/>
            <w:tcBorders>
              <w:bottom w:val="nil"/>
            </w:tcBorders>
          </w:tcPr>
          <w:p w14:paraId="459A70CE" w14:textId="77777777" w:rsidR="00926F3C" w:rsidRPr="00981C11" w:rsidRDefault="00926F3C" w:rsidP="00295221">
            <w:pPr>
              <w:jc w:val="center"/>
              <w:rPr>
                <w:rFonts w:cstheme="minorHAnsi"/>
              </w:rPr>
            </w:pPr>
          </w:p>
        </w:tc>
        <w:tc>
          <w:tcPr>
            <w:tcW w:w="2250" w:type="dxa"/>
            <w:tcBorders>
              <w:bottom w:val="nil"/>
            </w:tcBorders>
          </w:tcPr>
          <w:p w14:paraId="50E66FB8" w14:textId="77777777" w:rsidR="00926F3C" w:rsidRPr="00981C11" w:rsidRDefault="00926F3C" w:rsidP="00295221">
            <w:pPr>
              <w:jc w:val="center"/>
              <w:rPr>
                <w:rFonts w:cstheme="minorHAnsi"/>
              </w:rPr>
            </w:pPr>
            <w:r w:rsidRPr="00981C11">
              <w:rPr>
                <w:rFonts w:cstheme="minorHAnsi"/>
              </w:rPr>
              <w:t>Odds ratio</w:t>
            </w:r>
          </w:p>
          <w:p w14:paraId="3358BA5D" w14:textId="77777777" w:rsidR="00926F3C" w:rsidRPr="00981C11" w:rsidRDefault="00926F3C" w:rsidP="00295221">
            <w:pPr>
              <w:jc w:val="center"/>
              <w:rPr>
                <w:rFonts w:cstheme="minorHAnsi"/>
              </w:rPr>
            </w:pPr>
            <w:r w:rsidRPr="00981C11">
              <w:rPr>
                <w:rFonts w:cstheme="minorHAnsi"/>
              </w:rPr>
              <w:t>(95% CI)</w:t>
            </w:r>
          </w:p>
        </w:tc>
      </w:tr>
      <w:tr w:rsidR="00926F3C" w:rsidRPr="00981C11" w14:paraId="7A7E4E6A" w14:textId="77777777" w:rsidTr="00485AF9">
        <w:tc>
          <w:tcPr>
            <w:tcW w:w="1998" w:type="dxa"/>
            <w:tcBorders>
              <w:top w:val="nil"/>
              <w:bottom w:val="nil"/>
            </w:tcBorders>
          </w:tcPr>
          <w:p w14:paraId="73BC73C5" w14:textId="77777777" w:rsidR="00926F3C" w:rsidRPr="00981C11" w:rsidRDefault="00926F3C" w:rsidP="00485AF9">
            <w:pPr>
              <w:rPr>
                <w:rFonts w:cstheme="minorHAnsi"/>
              </w:rPr>
            </w:pPr>
            <w:r w:rsidRPr="00981C11">
              <w:rPr>
                <w:rFonts w:cstheme="minorHAnsi"/>
              </w:rPr>
              <w:t>Twins included</w:t>
            </w:r>
          </w:p>
        </w:tc>
        <w:tc>
          <w:tcPr>
            <w:tcW w:w="1170" w:type="dxa"/>
            <w:tcBorders>
              <w:top w:val="nil"/>
              <w:bottom w:val="nil"/>
            </w:tcBorders>
          </w:tcPr>
          <w:p w14:paraId="1FB23A1D" w14:textId="77777777" w:rsidR="00926F3C" w:rsidRPr="00981C11" w:rsidRDefault="00926F3C" w:rsidP="00295221">
            <w:pPr>
              <w:jc w:val="center"/>
              <w:rPr>
                <w:rFonts w:eastAsia="Times New Roman" w:cstheme="minorHAnsi"/>
              </w:rPr>
            </w:pPr>
            <w:r w:rsidRPr="00981C11">
              <w:rPr>
                <w:rFonts w:eastAsia="Times New Roman" w:cstheme="minorHAnsi"/>
              </w:rPr>
              <w:t>2975</w:t>
            </w:r>
          </w:p>
        </w:tc>
        <w:tc>
          <w:tcPr>
            <w:tcW w:w="1260" w:type="dxa"/>
            <w:tcBorders>
              <w:top w:val="nil"/>
              <w:bottom w:val="nil"/>
            </w:tcBorders>
          </w:tcPr>
          <w:p w14:paraId="136C3398" w14:textId="77777777" w:rsidR="00926F3C" w:rsidRPr="00981C11" w:rsidRDefault="00926F3C" w:rsidP="00295221">
            <w:pPr>
              <w:spacing w:after="200" w:line="276" w:lineRule="auto"/>
              <w:jc w:val="center"/>
              <w:rPr>
                <w:rFonts w:cstheme="minorHAnsi"/>
              </w:rPr>
            </w:pPr>
            <w:r w:rsidRPr="00981C11">
              <w:rPr>
                <w:rFonts w:eastAsia="Times New Roman" w:cstheme="minorHAnsi"/>
              </w:rPr>
              <w:t>2894</w:t>
            </w:r>
          </w:p>
        </w:tc>
        <w:tc>
          <w:tcPr>
            <w:tcW w:w="2250" w:type="dxa"/>
            <w:tcBorders>
              <w:top w:val="nil"/>
              <w:bottom w:val="nil"/>
            </w:tcBorders>
          </w:tcPr>
          <w:p w14:paraId="39040584" w14:textId="77777777" w:rsidR="00926F3C" w:rsidRPr="00981C11" w:rsidRDefault="00926F3C" w:rsidP="00295221">
            <w:pPr>
              <w:jc w:val="center"/>
              <w:rPr>
                <w:rFonts w:eastAsia="Times New Roman" w:cstheme="minorHAnsi"/>
              </w:rPr>
            </w:pPr>
            <w:r w:rsidRPr="00981C11">
              <w:rPr>
                <w:rFonts w:eastAsia="Times New Roman" w:cstheme="minorHAnsi"/>
              </w:rPr>
              <w:t>1.05</w:t>
            </w:r>
          </w:p>
          <w:p w14:paraId="6A5474BD" w14:textId="77777777" w:rsidR="00926F3C" w:rsidRPr="00981C11" w:rsidRDefault="00926F3C" w:rsidP="00295221">
            <w:pPr>
              <w:jc w:val="center"/>
              <w:rPr>
                <w:rFonts w:cstheme="minorHAnsi"/>
              </w:rPr>
            </w:pPr>
            <w:r w:rsidRPr="00981C11">
              <w:rPr>
                <w:rFonts w:cstheme="minorHAnsi"/>
              </w:rPr>
              <w:t>(0.76, 1.45)</w:t>
            </w:r>
          </w:p>
        </w:tc>
      </w:tr>
      <w:tr w:rsidR="00926F3C" w:rsidRPr="00981C11" w14:paraId="2C9B33F9" w14:textId="77777777" w:rsidTr="00485AF9">
        <w:tc>
          <w:tcPr>
            <w:tcW w:w="1998" w:type="dxa"/>
            <w:tcBorders>
              <w:top w:val="nil"/>
            </w:tcBorders>
          </w:tcPr>
          <w:p w14:paraId="5A9336D6" w14:textId="2A34C078" w:rsidR="00926F3C" w:rsidRPr="00981C11" w:rsidRDefault="00485AF9" w:rsidP="00485AF9">
            <w:pPr>
              <w:rPr>
                <w:rFonts w:cstheme="minorHAnsi"/>
              </w:rPr>
            </w:pPr>
            <w:r>
              <w:rPr>
                <w:rFonts w:cstheme="minorHAnsi"/>
              </w:rPr>
              <w:t>Singletons only</w:t>
            </w:r>
          </w:p>
        </w:tc>
        <w:tc>
          <w:tcPr>
            <w:tcW w:w="1170" w:type="dxa"/>
            <w:tcBorders>
              <w:top w:val="nil"/>
            </w:tcBorders>
          </w:tcPr>
          <w:p w14:paraId="5CAB932C" w14:textId="77777777" w:rsidR="00926F3C" w:rsidRPr="00981C11" w:rsidRDefault="00926F3C" w:rsidP="00295221">
            <w:pPr>
              <w:jc w:val="center"/>
              <w:rPr>
                <w:rFonts w:eastAsia="Times New Roman" w:cstheme="minorHAnsi"/>
              </w:rPr>
            </w:pPr>
            <w:r w:rsidRPr="00981C11">
              <w:rPr>
                <w:rFonts w:eastAsia="Times New Roman" w:cstheme="minorHAnsi"/>
              </w:rPr>
              <w:t>2958</w:t>
            </w:r>
          </w:p>
        </w:tc>
        <w:tc>
          <w:tcPr>
            <w:tcW w:w="1260" w:type="dxa"/>
            <w:tcBorders>
              <w:top w:val="nil"/>
            </w:tcBorders>
          </w:tcPr>
          <w:p w14:paraId="3D39DA3F" w14:textId="77777777" w:rsidR="00926F3C" w:rsidRPr="00981C11" w:rsidRDefault="00926F3C" w:rsidP="00295221">
            <w:pPr>
              <w:spacing w:after="200" w:line="276" w:lineRule="auto"/>
              <w:jc w:val="center"/>
              <w:rPr>
                <w:rFonts w:cstheme="minorHAnsi"/>
              </w:rPr>
            </w:pPr>
            <w:r w:rsidRPr="00981C11">
              <w:rPr>
                <w:rFonts w:eastAsia="Times New Roman" w:cstheme="minorHAnsi"/>
              </w:rPr>
              <w:t>2872</w:t>
            </w:r>
          </w:p>
        </w:tc>
        <w:tc>
          <w:tcPr>
            <w:tcW w:w="2250" w:type="dxa"/>
            <w:tcBorders>
              <w:top w:val="nil"/>
            </w:tcBorders>
          </w:tcPr>
          <w:p w14:paraId="6F7685DD" w14:textId="77777777" w:rsidR="00926F3C" w:rsidRPr="00981C11" w:rsidRDefault="00926F3C" w:rsidP="00295221">
            <w:pPr>
              <w:jc w:val="center"/>
              <w:rPr>
                <w:rFonts w:cstheme="minorHAnsi"/>
              </w:rPr>
            </w:pPr>
            <w:r w:rsidRPr="00981C11">
              <w:rPr>
                <w:rFonts w:cstheme="minorHAnsi"/>
              </w:rPr>
              <w:t>1.05</w:t>
            </w:r>
          </w:p>
          <w:p w14:paraId="30FA6D77" w14:textId="77777777" w:rsidR="00926F3C" w:rsidRPr="00981C11" w:rsidRDefault="00926F3C" w:rsidP="00295221">
            <w:pPr>
              <w:jc w:val="center"/>
              <w:rPr>
                <w:rFonts w:cstheme="minorHAnsi"/>
              </w:rPr>
            </w:pPr>
            <w:r w:rsidRPr="00981C11">
              <w:rPr>
                <w:rFonts w:cstheme="minorHAnsi"/>
              </w:rPr>
              <w:t>(0.76, 1.46)</w:t>
            </w:r>
          </w:p>
        </w:tc>
      </w:tr>
    </w:tbl>
    <w:p w14:paraId="59259B91" w14:textId="77777777" w:rsidR="0026264C" w:rsidRPr="00981C11" w:rsidRDefault="00CB6A03" w:rsidP="000847B0">
      <w:pPr>
        <w:rPr>
          <w:rFonts w:cstheme="minorHAnsi"/>
        </w:rPr>
      </w:pPr>
      <w:r w:rsidRPr="00981C11">
        <w:rPr>
          <w:rFonts w:cstheme="minorHAnsi"/>
        </w:rPr>
        <w:t>*</w:t>
      </w:r>
      <w:r w:rsidR="0026264C" w:rsidRPr="00981C11">
        <w:rPr>
          <w:rFonts w:cstheme="minorHAnsi"/>
        </w:rPr>
        <w:t xml:space="preserve">Models are adjusted for study, gestational age at randomization, and </w:t>
      </w:r>
      <w:r w:rsidR="00A67EBF" w:rsidRPr="00981C11">
        <w:rPr>
          <w:rFonts w:cstheme="minorHAnsi"/>
        </w:rPr>
        <w:t xml:space="preserve">history of </w:t>
      </w:r>
      <w:r w:rsidR="0026264C" w:rsidRPr="00981C11">
        <w:rPr>
          <w:rFonts w:cstheme="minorHAnsi"/>
        </w:rPr>
        <w:t xml:space="preserve">preterm </w:t>
      </w:r>
      <w:r w:rsidR="00A67EBF" w:rsidRPr="00981C11">
        <w:rPr>
          <w:rFonts w:cstheme="minorHAnsi"/>
        </w:rPr>
        <w:t>birth</w:t>
      </w:r>
      <w:r w:rsidR="0026264C" w:rsidRPr="00981C11">
        <w:rPr>
          <w:rFonts w:cstheme="minorHAnsi"/>
        </w:rPr>
        <w:t xml:space="preserve">.  </w:t>
      </w:r>
    </w:p>
    <w:p w14:paraId="12CDE7CA" w14:textId="77777777" w:rsidR="005400DF" w:rsidRPr="00981C11" w:rsidRDefault="00CB6A03" w:rsidP="000847B0">
      <w:pPr>
        <w:rPr>
          <w:rFonts w:cstheme="minorHAnsi"/>
        </w:rPr>
      </w:pPr>
      <w:r w:rsidRPr="00981C11">
        <w:rPr>
          <w:rFonts w:cstheme="minorHAnsi"/>
        </w:rPr>
        <w:t>†</w:t>
      </w:r>
      <w:r w:rsidR="000847B0" w:rsidRPr="00981C11">
        <w:rPr>
          <w:rFonts w:cstheme="minorHAnsi"/>
        </w:rPr>
        <w:t xml:space="preserve">Few studies had an indication of neonatal death, so the number of subjects missing the composite of stillbirth, miscarriage, or neonatal death is larger than the number of subjects missing still birth or miscarriage. </w:t>
      </w:r>
    </w:p>
    <w:p w14:paraId="0041E942" w14:textId="77777777" w:rsidR="0026264C" w:rsidRPr="00981C11" w:rsidRDefault="00CB6A03" w:rsidP="000847B0">
      <w:pPr>
        <w:rPr>
          <w:rFonts w:cstheme="minorHAnsi"/>
        </w:rPr>
      </w:pPr>
      <w:r w:rsidRPr="00981C11">
        <w:rPr>
          <w:rFonts w:cstheme="minorHAnsi"/>
        </w:rPr>
        <w:t>‡</w:t>
      </w:r>
      <w:r w:rsidR="0026264C" w:rsidRPr="00981C11">
        <w:rPr>
          <w:rFonts w:cstheme="minorHAnsi"/>
        </w:rPr>
        <w:t xml:space="preserve"> Not a pre-specified secondary outcome</w:t>
      </w:r>
    </w:p>
    <w:p w14:paraId="7B9E3747" w14:textId="77777777" w:rsidR="0026264C" w:rsidRPr="00981C11" w:rsidRDefault="0026264C" w:rsidP="000847B0">
      <w:pPr>
        <w:rPr>
          <w:rFonts w:cstheme="minorHAnsi"/>
        </w:rPr>
      </w:pPr>
    </w:p>
    <w:p w14:paraId="7FBBA8BC" w14:textId="77777777" w:rsidR="000F256E" w:rsidRPr="00981C11" w:rsidRDefault="000F256E" w:rsidP="000847B0">
      <w:pPr>
        <w:rPr>
          <w:rFonts w:cstheme="minorHAnsi"/>
        </w:rPr>
      </w:pPr>
    </w:p>
    <w:sectPr w:rsidR="000F256E" w:rsidRPr="00981C11" w:rsidSect="00540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1FA1"/>
    <w:multiLevelType w:val="hybridMultilevel"/>
    <w:tmpl w:val="C57CAEA8"/>
    <w:lvl w:ilvl="0" w:tplc="FD2AF2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ad2b99a5-6cd9-4324-877f-c29497f7a1ba"/>
  </w:docVars>
  <w:rsids>
    <w:rsidRoot w:val="00CF40A7"/>
    <w:rsid w:val="00004200"/>
    <w:rsid w:val="000076F8"/>
    <w:rsid w:val="00034F07"/>
    <w:rsid w:val="000847B0"/>
    <w:rsid w:val="000E7F1E"/>
    <w:rsid w:val="000F256E"/>
    <w:rsid w:val="00110DB3"/>
    <w:rsid w:val="001F1AC6"/>
    <w:rsid w:val="0026264C"/>
    <w:rsid w:val="00295221"/>
    <w:rsid w:val="002C3587"/>
    <w:rsid w:val="002D457B"/>
    <w:rsid w:val="00431C98"/>
    <w:rsid w:val="00485AF9"/>
    <w:rsid w:val="004D1806"/>
    <w:rsid w:val="005400DF"/>
    <w:rsid w:val="00555BCB"/>
    <w:rsid w:val="005B578D"/>
    <w:rsid w:val="006107B9"/>
    <w:rsid w:val="006E3D47"/>
    <w:rsid w:val="006F3DD0"/>
    <w:rsid w:val="007772B2"/>
    <w:rsid w:val="007914A1"/>
    <w:rsid w:val="007B608B"/>
    <w:rsid w:val="008718E7"/>
    <w:rsid w:val="008775C4"/>
    <w:rsid w:val="008C6211"/>
    <w:rsid w:val="008F2163"/>
    <w:rsid w:val="00926F3C"/>
    <w:rsid w:val="00961060"/>
    <w:rsid w:val="00981C11"/>
    <w:rsid w:val="009A036D"/>
    <w:rsid w:val="00A46C90"/>
    <w:rsid w:val="00A67EBF"/>
    <w:rsid w:val="00AA75F1"/>
    <w:rsid w:val="00B427BC"/>
    <w:rsid w:val="00B94217"/>
    <w:rsid w:val="00B94EC3"/>
    <w:rsid w:val="00CB6A03"/>
    <w:rsid w:val="00CE0D1D"/>
    <w:rsid w:val="00CF40A7"/>
    <w:rsid w:val="00D415A4"/>
    <w:rsid w:val="00DF4D27"/>
    <w:rsid w:val="00E3398A"/>
    <w:rsid w:val="00E5712E"/>
    <w:rsid w:val="00EC280D"/>
    <w:rsid w:val="3ED08033"/>
    <w:rsid w:val="7565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32FD"/>
  <w15:docId w15:val="{2C1663C6-3047-4E68-A435-98D67077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mlarsen</dc:creator>
  <cp:lastModifiedBy>Klebanoff, Mark</cp:lastModifiedBy>
  <cp:revision>2</cp:revision>
  <dcterms:created xsi:type="dcterms:W3CDTF">2022-11-14T15:57:00Z</dcterms:created>
  <dcterms:modified xsi:type="dcterms:W3CDTF">2022-11-14T15:57:00Z</dcterms:modified>
</cp:coreProperties>
</file>