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D232" w14:textId="77777777" w:rsidR="002B686D" w:rsidRPr="00223204" w:rsidRDefault="002B686D" w:rsidP="002B68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3204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14:paraId="2BA0B9FB" w14:textId="77777777" w:rsidR="002B686D" w:rsidRPr="00223204" w:rsidRDefault="002B686D" w:rsidP="002B68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9CD9C9" w14:textId="1F339B11" w:rsidR="00676A35" w:rsidRPr="00223204" w:rsidRDefault="002B686D" w:rsidP="002B686D">
      <w:pPr>
        <w:rPr>
          <w:rFonts w:ascii="Times New Roman" w:hAnsi="Times New Roman" w:cs="Times New Roman"/>
          <w:sz w:val="24"/>
          <w:szCs w:val="24"/>
        </w:rPr>
      </w:pPr>
      <w:r w:rsidRPr="00223204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  <w:r w:rsidR="003F7C64" w:rsidRPr="002232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0C12" w:rsidRPr="00060C12">
        <w:rPr>
          <w:rFonts w:ascii="Times New Roman" w:hAnsi="Times New Roman" w:cs="Times New Roman"/>
          <w:sz w:val="24"/>
          <w:szCs w:val="24"/>
        </w:rPr>
        <w:t xml:space="preserve">Non-invasive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 xml:space="preserve"> in COVID-19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 xml:space="preserve"> ≥70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cohort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C12" w:rsidRPr="00060C1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60C12" w:rsidRPr="00060C12">
        <w:rPr>
          <w:rFonts w:ascii="Times New Roman" w:hAnsi="Times New Roman" w:cs="Times New Roman"/>
          <w:sz w:val="24"/>
          <w:szCs w:val="24"/>
        </w:rPr>
        <w:t>.</w:t>
      </w:r>
    </w:p>
    <w:p w14:paraId="6FBF0777" w14:textId="7D575B61" w:rsidR="00B06135" w:rsidRPr="00E53C95" w:rsidRDefault="00B06135" w:rsidP="00B061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23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Authors</w:t>
      </w:r>
      <w:proofErr w:type="spellEnd"/>
      <w:r w:rsidRPr="00223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Kamil Polok, Jakub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Fronczek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Antonio Artigas, Hans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Flaatten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Bertrand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Guidet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Dylan W. De Lange, Jesper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Fjølner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Susannah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Leaver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Michael Beil,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Sigal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Sviri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Raphael Romano Bruno, Bernhard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Wernly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Bernardo Bollen Pinto, Joerg C.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Schefold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Dorota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Studzińska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Michael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Joannidis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Sandra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Oeyen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Brian Marsh, Finn H. Andersen, Rui Moreno, Maurizio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Cecconi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Christian Jung, Wojciech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Szczeklik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behalf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COVIP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study</w:t>
      </w:r>
      <w:proofErr w:type="spellEnd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2A86" w:rsidRPr="000E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</w:t>
      </w:r>
      <w:proofErr w:type="spellEnd"/>
    </w:p>
    <w:p w14:paraId="4D254888" w14:textId="77777777" w:rsidR="001A48E2" w:rsidRDefault="001A48E2" w:rsidP="002B6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F39E16" w14:textId="77777777" w:rsidR="00E53C95" w:rsidRDefault="00E53C95" w:rsidP="002B6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9D001A" w14:textId="77777777" w:rsidR="00E53C95" w:rsidRDefault="00E53C95" w:rsidP="002B6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FF7E5" w14:textId="77777777" w:rsidR="00E53C95" w:rsidRDefault="00E53C95" w:rsidP="006579D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D783ED" w14:textId="16D07012" w:rsidR="005423D3" w:rsidRDefault="005423D3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Figure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Missingness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9578E0" w14:textId="30A0081D" w:rsidR="00BC7CB0" w:rsidRPr="007706F1" w:rsidRDefault="00BC7CB0" w:rsidP="00BC7CB0">
      <w:pPr>
        <w:tabs>
          <w:tab w:val="left" w:pos="190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1651A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 w:rsidRPr="0091651A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65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Histograms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recruited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NIV (C)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IMV and (D) 30-day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58" w:rsidRPr="00E34558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E34558" w:rsidRPr="00E34558">
        <w:rPr>
          <w:rFonts w:ascii="Times New Roman" w:hAnsi="Times New Roman" w:cs="Times New Roman"/>
          <w:sz w:val="24"/>
          <w:szCs w:val="24"/>
        </w:rPr>
        <w:t>.</w:t>
      </w:r>
    </w:p>
    <w:p w14:paraId="7F38EEDC" w14:textId="47E9C928" w:rsidR="00EF587E" w:rsidRDefault="00EF587E" w:rsidP="00C91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51A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 w:rsidRPr="0091651A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 w:rsidR="00BC7C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65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35524F" w14:textId="432E203D" w:rsidR="006579DC" w:rsidRPr="002061A0" w:rsidRDefault="006579DC" w:rsidP="00C91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Suuplementary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51A">
        <w:rPr>
          <w:rFonts w:ascii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CB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Kaplan-Meier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intubation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</w:t>
      </w:r>
      <w:proofErr w:type="spellEnd"/>
    </w:p>
    <w:p w14:paraId="798532FC" w14:textId="5FC0D843" w:rsidR="002061A0" w:rsidRDefault="002061A0" w:rsidP="00C91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61A0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 w:rsidRPr="002061A0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 w:rsidR="00BC7C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61A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Distribution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6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111839" w14:textId="08347393" w:rsidR="000B1354" w:rsidRDefault="000B1354" w:rsidP="000B13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F06">
        <w:rPr>
          <w:rFonts w:ascii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 xml:space="preserve">Kaplan-Meier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D8BD2B" w14:textId="77777777" w:rsidR="000B1354" w:rsidRDefault="000B1354" w:rsidP="000B1354">
      <w:pPr>
        <w:rPr>
          <w:rFonts w:ascii="Times New Roman" w:hAnsi="Times New Roman" w:cs="Times New Roman"/>
          <w:sz w:val="24"/>
          <w:szCs w:val="24"/>
        </w:rPr>
      </w:pPr>
    </w:p>
    <w:p w14:paraId="0EE02D4D" w14:textId="20334BEC" w:rsidR="005F4EDF" w:rsidRPr="00DE4E61" w:rsidRDefault="005F4EDF" w:rsidP="005F4E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1. </w:t>
      </w:r>
      <w:r w:rsidRPr="00DE4E61">
        <w:rPr>
          <w:rFonts w:ascii="Times New Roman" w:hAnsi="Times New Roman" w:cs="Times New Roman"/>
          <w:sz w:val="24"/>
          <w:szCs w:val="24"/>
        </w:rPr>
        <w:t xml:space="preserve">Details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patient`s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consent</w:t>
      </w:r>
      <w:proofErr w:type="spellEnd"/>
    </w:p>
    <w:p w14:paraId="49368EE1" w14:textId="77777777" w:rsidR="005F4EDF" w:rsidRDefault="005F4EDF" w:rsidP="005F4E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E61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countries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FE948" w14:textId="3CE204C1" w:rsidR="00C915C4" w:rsidRDefault="00C915C4" w:rsidP="00C91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32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04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22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04">
        <w:rPr>
          <w:rFonts w:ascii="Times New Roman" w:hAnsi="Times New Roman" w:cs="Times New Roman"/>
          <w:sz w:val="24"/>
          <w:szCs w:val="24"/>
        </w:rPr>
        <w:t>comorbidities</w:t>
      </w:r>
      <w:proofErr w:type="spellEnd"/>
    </w:p>
    <w:p w14:paraId="45CEBFE1" w14:textId="53D9CDBE" w:rsidR="00CE187C" w:rsidRDefault="00CE187C" w:rsidP="00C91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>.</w:t>
      </w:r>
    </w:p>
    <w:p w14:paraId="117F4E49" w14:textId="30F12C5F" w:rsidR="006962F6" w:rsidRDefault="006962F6" w:rsidP="006962F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5D36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 w:rsidRPr="006E5D36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30-day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intubation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NIV.</w:t>
      </w:r>
    </w:p>
    <w:p w14:paraId="123B1E7D" w14:textId="77777777" w:rsidR="006962F6" w:rsidRPr="006962F6" w:rsidRDefault="006962F6" w:rsidP="006962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3BF8DC" w14:textId="472122F9" w:rsidR="005423D3" w:rsidRDefault="00C915C4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NIV</w:t>
      </w:r>
      <w:r>
        <w:rPr>
          <w:rFonts w:ascii="Times New Roman" w:hAnsi="Times New Roman" w:cs="Times New Roman"/>
          <w:sz w:val="24"/>
          <w:szCs w:val="24"/>
        </w:rPr>
        <w:t xml:space="preserve"> and IMV.</w:t>
      </w:r>
    </w:p>
    <w:p w14:paraId="210BCE82" w14:textId="010D6D51" w:rsidR="0019142C" w:rsidRPr="0019142C" w:rsidRDefault="0019142C" w:rsidP="0019142C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  <w:sectPr w:rsidR="0019142C" w:rsidRPr="001914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37C0C2" w14:textId="77777777" w:rsidR="005423D3" w:rsidRDefault="005423D3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Figure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Missingness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BAEFFD" w14:textId="77777777" w:rsidR="000F4880" w:rsidRDefault="000F4880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EDAAA2" w14:textId="77777777" w:rsidR="000F4880" w:rsidRDefault="000F4880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3BCC19" w14:textId="77777777" w:rsidR="000F4880" w:rsidRDefault="000F4880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EC6033" w14:textId="7ECDD031" w:rsidR="000F4880" w:rsidRDefault="000F4880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38B8DE7D" wp14:editId="379C2CBA">
            <wp:extent cx="8892540" cy="408368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202B" w14:textId="77777777" w:rsidR="00D510FA" w:rsidRDefault="00D510FA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96A6A6" w14:textId="37CCEBEF" w:rsidR="000F4880" w:rsidRDefault="00453C4B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4B83FA87" wp14:editId="32847AA6">
            <wp:extent cx="8892540" cy="40836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8F52E" w14:textId="77777777" w:rsidR="00453C4B" w:rsidRDefault="00453C4B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636452" w14:textId="77777777" w:rsidR="00453C4B" w:rsidRDefault="00453C4B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83A8B6" w14:textId="77777777" w:rsidR="00453C4B" w:rsidRDefault="00453C4B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7DD6E8" w14:textId="77777777" w:rsidR="00453C4B" w:rsidRDefault="00453C4B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997121" w14:textId="77777777" w:rsidR="00D510FA" w:rsidRDefault="00D510FA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7C9651" w14:textId="180E8BB0" w:rsidR="00453C4B" w:rsidRPr="007706F1" w:rsidRDefault="009B7808" w:rsidP="00542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0111A7FF" wp14:editId="48310816">
            <wp:extent cx="8892540" cy="408368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689A2" w14:textId="07DD5A16" w:rsidR="005423D3" w:rsidRDefault="005423D3" w:rsidP="005423D3">
      <w:pPr>
        <w:tabs>
          <w:tab w:val="left" w:pos="14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69EC0C6" w14:textId="1E9ACA1F" w:rsidR="005423D3" w:rsidRPr="005423D3" w:rsidRDefault="005423D3" w:rsidP="005423D3">
      <w:pPr>
        <w:tabs>
          <w:tab w:val="left" w:pos="1413"/>
        </w:tabs>
        <w:rPr>
          <w:rFonts w:ascii="Times New Roman" w:hAnsi="Times New Roman" w:cs="Times New Roman"/>
          <w:sz w:val="24"/>
          <w:szCs w:val="24"/>
        </w:rPr>
        <w:sectPr w:rsidR="005423D3" w:rsidRPr="005423D3" w:rsidSect="00495AE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D0519F" w14:textId="47023309" w:rsidR="006A3BCA" w:rsidRDefault="006A3BCA" w:rsidP="006A3BCA">
      <w:pPr>
        <w:tabs>
          <w:tab w:val="left" w:pos="190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16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 w:rsidRPr="0091651A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 w:rsidR="00BC7C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65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Histogra</w:t>
      </w:r>
      <w:r w:rsidR="003021A3">
        <w:rPr>
          <w:rFonts w:ascii="Times New Roman" w:hAnsi="Times New Roman" w:cs="Times New Roman"/>
          <w:sz w:val="24"/>
          <w:szCs w:val="24"/>
        </w:rPr>
        <w:t>m</w:t>
      </w:r>
      <w:r w:rsidR="00C64E78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(A)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number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recruited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patients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(B)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proportion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primary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NIV (C)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proportion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primary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73E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IMV</w:t>
      </w:r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and (D) 30-day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mortality</w:t>
      </w:r>
      <w:proofErr w:type="spellEnd"/>
      <w:r w:rsidR="004B31F2" w:rsidRP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stratified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by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study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month</w:t>
      </w:r>
      <w:proofErr w:type="spellEnd"/>
      <w:r w:rsidR="004B31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22B75E53" w14:textId="77777777" w:rsidR="003021A3" w:rsidRDefault="003021A3" w:rsidP="006A3BCA">
      <w:pPr>
        <w:tabs>
          <w:tab w:val="left" w:pos="1906"/>
        </w:tabs>
        <w:rPr>
          <w:rFonts w:ascii="Times New Roman" w:hAnsi="Times New Roman" w:cs="Times New Roman"/>
          <w:sz w:val="24"/>
          <w:szCs w:val="24"/>
        </w:rPr>
      </w:pPr>
    </w:p>
    <w:p w14:paraId="73057517" w14:textId="77777777" w:rsidR="003021A3" w:rsidRDefault="003021A3" w:rsidP="006A3BCA">
      <w:pPr>
        <w:tabs>
          <w:tab w:val="left" w:pos="1906"/>
        </w:tabs>
        <w:rPr>
          <w:rFonts w:ascii="Times New Roman" w:hAnsi="Times New Roman" w:cs="Times New Roman"/>
          <w:sz w:val="24"/>
          <w:szCs w:val="24"/>
        </w:rPr>
      </w:pPr>
    </w:p>
    <w:p w14:paraId="59DCE640" w14:textId="468295FF" w:rsidR="003021A3" w:rsidRPr="00374B99" w:rsidRDefault="00C64E78" w:rsidP="006A3BCA">
      <w:pPr>
        <w:tabs>
          <w:tab w:val="left" w:pos="190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36403DFF" wp14:editId="3B083FC1">
            <wp:extent cx="5760720" cy="3789045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17FD2" w14:textId="77777777" w:rsidR="006A3BCA" w:rsidRDefault="006A3BCA" w:rsidP="00C915C4">
      <w:pPr>
        <w:tabs>
          <w:tab w:val="left" w:pos="190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741B93B" w14:textId="1F6BE4B4" w:rsidR="006A3BCA" w:rsidRDefault="006A3BCA" w:rsidP="00C915C4">
      <w:pPr>
        <w:tabs>
          <w:tab w:val="left" w:pos="1906"/>
        </w:tabs>
        <w:rPr>
          <w:rFonts w:ascii="Times New Roman" w:hAnsi="Times New Roman" w:cs="Times New Roman"/>
          <w:b/>
          <w:bCs/>
          <w:sz w:val="24"/>
          <w:szCs w:val="24"/>
        </w:rPr>
        <w:sectPr w:rsidR="006A3B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8DCF78" w14:textId="489CA254" w:rsidR="00EF587E" w:rsidRPr="00374B99" w:rsidRDefault="00EF587E" w:rsidP="00C915C4">
      <w:pPr>
        <w:tabs>
          <w:tab w:val="left" w:pos="190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16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 w:rsidRPr="0091651A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 w:rsidR="006A3B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65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48E36" w14:textId="2F5D935A" w:rsidR="000D57B0" w:rsidRDefault="001852E0" w:rsidP="000D57B0">
      <w:pPr>
        <w:tabs>
          <w:tab w:val="left" w:pos="1033"/>
        </w:tabs>
        <w:rPr>
          <w:noProof/>
        </w:rPr>
      </w:pPr>
      <w:r>
        <w:rPr>
          <w:noProof/>
          <w:lang w:val="pl-PL" w:eastAsia="pl-PL"/>
        </w:rPr>
        <w:drawing>
          <wp:inline distT="0" distB="0" distL="0" distR="0" wp14:anchorId="55306316" wp14:editId="7EA09AAB">
            <wp:extent cx="5760720" cy="3300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6423C" w14:textId="77777777" w:rsidR="001852E0" w:rsidRPr="001852E0" w:rsidRDefault="001852E0" w:rsidP="001852E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92FF4A" w14:textId="77777777" w:rsidR="001852E0" w:rsidRPr="001852E0" w:rsidRDefault="001852E0" w:rsidP="001852E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7FDAD5F" w14:textId="2947EBCB" w:rsidR="001852E0" w:rsidRDefault="001852E0" w:rsidP="0018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Footnote: </w:t>
      </w:r>
      <w:r>
        <w:rPr>
          <w:rFonts w:ascii="Times New Roman" w:hAnsi="Times New Roman" w:cs="Times New Roman"/>
          <w:sz w:val="24"/>
          <w:szCs w:val="24"/>
        </w:rPr>
        <w:t xml:space="preserve">Primary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Post-extubation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pink.</w:t>
      </w:r>
    </w:p>
    <w:p w14:paraId="1037FC21" w14:textId="77777777" w:rsidR="006579DC" w:rsidRDefault="006579DC" w:rsidP="001852E0">
      <w:pPr>
        <w:rPr>
          <w:rFonts w:ascii="Times New Roman" w:hAnsi="Times New Roman" w:cs="Times New Roman"/>
          <w:sz w:val="24"/>
          <w:szCs w:val="24"/>
        </w:rPr>
      </w:pPr>
    </w:p>
    <w:p w14:paraId="6D77BADF" w14:textId="77777777" w:rsidR="006579DC" w:rsidRDefault="006579DC" w:rsidP="001852E0">
      <w:pPr>
        <w:rPr>
          <w:rFonts w:ascii="Times New Roman" w:hAnsi="Times New Roman" w:cs="Times New Roman"/>
          <w:sz w:val="24"/>
          <w:szCs w:val="24"/>
        </w:rPr>
      </w:pPr>
    </w:p>
    <w:p w14:paraId="7A9A4A92" w14:textId="77777777" w:rsidR="006579DC" w:rsidRDefault="006579DC" w:rsidP="001852E0">
      <w:pPr>
        <w:rPr>
          <w:rFonts w:ascii="Times New Roman" w:hAnsi="Times New Roman" w:cs="Times New Roman"/>
          <w:sz w:val="24"/>
          <w:szCs w:val="24"/>
        </w:rPr>
      </w:pPr>
    </w:p>
    <w:p w14:paraId="3221C192" w14:textId="77777777" w:rsidR="00C56E79" w:rsidRDefault="00C56E79" w:rsidP="006579D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C56E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0E0D67" w14:textId="4039A376" w:rsidR="006579DC" w:rsidRDefault="006579DC" w:rsidP="006579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51A">
        <w:rPr>
          <w:rFonts w:ascii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BC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Kaplan-Meier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1A0">
        <w:rPr>
          <w:rFonts w:ascii="Times New Roman" w:hAnsi="Times New Roman" w:cs="Times New Roman"/>
          <w:sz w:val="24"/>
          <w:szCs w:val="24"/>
        </w:rPr>
        <w:t>IMV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C56E79">
        <w:rPr>
          <w:rFonts w:ascii="Times New Roman" w:hAnsi="Times New Roman" w:cs="Times New Roman"/>
          <w:sz w:val="24"/>
          <w:szCs w:val="24"/>
        </w:rPr>
        <w:t>.</w:t>
      </w:r>
    </w:p>
    <w:p w14:paraId="069B2C99" w14:textId="4507B6D5" w:rsidR="00C56E79" w:rsidRDefault="00C56E79" w:rsidP="006579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53FDE7A3" wp14:editId="5105A79A">
            <wp:extent cx="6084328" cy="3252084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2873" cy="325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0AAB4" w14:textId="77777777" w:rsidR="00173414" w:rsidRDefault="00173414" w:rsidP="001852E0">
      <w:pPr>
        <w:rPr>
          <w:rFonts w:ascii="Times New Roman" w:hAnsi="Times New Roman" w:cs="Times New Roman"/>
          <w:sz w:val="24"/>
          <w:szCs w:val="24"/>
        </w:rPr>
      </w:pPr>
    </w:p>
    <w:p w14:paraId="4695CD19" w14:textId="77777777" w:rsidR="002A0FE7" w:rsidRPr="002A0FE7" w:rsidRDefault="002A0FE7" w:rsidP="002A0FE7">
      <w:pPr>
        <w:rPr>
          <w:rFonts w:ascii="Times New Roman" w:hAnsi="Times New Roman" w:cs="Times New Roman"/>
          <w:sz w:val="24"/>
          <w:szCs w:val="24"/>
        </w:rPr>
      </w:pPr>
    </w:p>
    <w:p w14:paraId="5BA1F4B8" w14:textId="77777777" w:rsidR="002A0FE7" w:rsidRPr="002A0FE7" w:rsidRDefault="002A0FE7" w:rsidP="002A0FE7">
      <w:pPr>
        <w:rPr>
          <w:rFonts w:ascii="Times New Roman" w:hAnsi="Times New Roman" w:cs="Times New Roman"/>
          <w:sz w:val="24"/>
          <w:szCs w:val="24"/>
        </w:rPr>
      </w:pPr>
    </w:p>
    <w:p w14:paraId="5A6BEDC6" w14:textId="77777777" w:rsidR="002A0FE7" w:rsidRDefault="002A0FE7" w:rsidP="002A0FE7">
      <w:pPr>
        <w:rPr>
          <w:rFonts w:ascii="Times New Roman" w:hAnsi="Times New Roman" w:cs="Times New Roman"/>
          <w:sz w:val="24"/>
          <w:szCs w:val="24"/>
        </w:rPr>
        <w:sectPr w:rsidR="002A0F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3ECED6" w14:textId="14ED7598" w:rsidR="002A0FE7" w:rsidRDefault="002A0FE7" w:rsidP="002A0F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6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 w:rsidRPr="002061A0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 w:rsidR="006A3B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61A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Distribution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</w:t>
      </w:r>
      <w:proofErr w:type="spellStart"/>
      <w:r w:rsidR="00C66E71">
        <w:rPr>
          <w:rFonts w:ascii="Times New Roman" w:hAnsi="Times New Roman" w:cs="Times New Roman"/>
          <w:sz w:val="24"/>
          <w:szCs w:val="24"/>
        </w:rPr>
        <w:t>withhold</w:t>
      </w:r>
      <w:proofErr w:type="spellEnd"/>
      <w:r w:rsidR="00C66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66E71" w:rsidRPr="00C6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71"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0E2136" w14:textId="051D0BCC" w:rsidR="002A0FE7" w:rsidRDefault="002A0FE7" w:rsidP="002A0F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465A46D5" wp14:editId="1637E43B">
            <wp:extent cx="5760720" cy="2762885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51A39" w14:textId="77777777" w:rsidR="002A0FE7" w:rsidRDefault="002A0FE7" w:rsidP="002A0FE7">
      <w:pPr>
        <w:rPr>
          <w:rFonts w:ascii="Times New Roman" w:hAnsi="Times New Roman" w:cs="Times New Roman"/>
          <w:sz w:val="24"/>
          <w:szCs w:val="24"/>
        </w:rPr>
      </w:pPr>
    </w:p>
    <w:p w14:paraId="3C0E8BA5" w14:textId="6237557C" w:rsidR="002A0FE7" w:rsidRDefault="002A0FE7" w:rsidP="002A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Footnote: </w:t>
      </w:r>
      <w:r>
        <w:rPr>
          <w:rFonts w:ascii="Times New Roman" w:hAnsi="Times New Roman" w:cs="Times New Roman"/>
          <w:sz w:val="24"/>
          <w:szCs w:val="24"/>
        </w:rPr>
        <w:t xml:space="preserve">Primary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03B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7F203B">
        <w:rPr>
          <w:rFonts w:ascii="Times New Roman" w:hAnsi="Times New Roman" w:cs="Times New Roman"/>
          <w:sz w:val="24"/>
          <w:szCs w:val="24"/>
        </w:rPr>
        <w:t xml:space="preserve"> IMV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pink.</w:t>
      </w:r>
    </w:p>
    <w:p w14:paraId="77CBABC3" w14:textId="77777777" w:rsidR="004D0763" w:rsidRDefault="004D0763" w:rsidP="002A0FE7">
      <w:pPr>
        <w:rPr>
          <w:rFonts w:ascii="Times New Roman" w:hAnsi="Times New Roman" w:cs="Times New Roman"/>
          <w:sz w:val="24"/>
          <w:szCs w:val="24"/>
        </w:rPr>
        <w:sectPr w:rsidR="004D07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7818D9" w14:textId="4C9CC879" w:rsidR="002A0FE7" w:rsidRPr="004D0763" w:rsidRDefault="004D0763" w:rsidP="002A0F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F06">
        <w:rPr>
          <w:rFonts w:ascii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 xml:space="preserve">Kaplan-Meier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F2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="00C6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F2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="00C632F2">
        <w:rPr>
          <w:rFonts w:ascii="Times New Roman" w:hAnsi="Times New Roman" w:cs="Times New Roman"/>
          <w:sz w:val="24"/>
          <w:szCs w:val="24"/>
        </w:rPr>
        <w:t>.</w:t>
      </w:r>
    </w:p>
    <w:p w14:paraId="7B461374" w14:textId="77777777" w:rsidR="004D0763" w:rsidRDefault="004D0763" w:rsidP="004D0763">
      <w:pPr>
        <w:rPr>
          <w:rFonts w:ascii="Times New Roman" w:hAnsi="Times New Roman" w:cs="Times New Roman"/>
          <w:sz w:val="24"/>
          <w:szCs w:val="24"/>
        </w:rPr>
      </w:pPr>
    </w:p>
    <w:p w14:paraId="79AB8608" w14:textId="77777777" w:rsidR="004D0763" w:rsidRPr="008E4337" w:rsidRDefault="004D0763" w:rsidP="004D0763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pl-PL" w:eastAsia="pl-PL"/>
        </w:rPr>
        <w:drawing>
          <wp:inline distT="0" distB="0" distL="0" distR="0" wp14:anchorId="62088D57" wp14:editId="7D232548">
            <wp:extent cx="5760720" cy="2583815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8CED" w14:textId="427A02F1" w:rsidR="004D0763" w:rsidRDefault="004D0763" w:rsidP="004D0763">
      <w:pPr>
        <w:tabs>
          <w:tab w:val="left" w:pos="44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485A43D3" wp14:editId="49E8DB7B">
            <wp:extent cx="5760720" cy="251841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3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14:paraId="0E791E69" w14:textId="7EAF808C" w:rsidR="004D0763" w:rsidRPr="000B1354" w:rsidRDefault="000B1354" w:rsidP="004D0763">
      <w:pPr>
        <w:tabs>
          <w:tab w:val="left" w:pos="441"/>
        </w:tabs>
        <w:rPr>
          <w:rFonts w:ascii="Times New Roman" w:hAnsi="Times New Roman" w:cs="Times New Roman"/>
          <w:b/>
          <w:bCs/>
          <w:sz w:val="24"/>
          <w:szCs w:val="24"/>
        </w:rPr>
        <w:sectPr w:rsidR="004D0763" w:rsidRPr="000B13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Footnote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LST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was not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initial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9A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C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whom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LST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limitation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introduced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within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since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ICU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admission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222E7802" w14:textId="4FA290B0" w:rsidR="005F4EDF" w:rsidRPr="00DE4E61" w:rsidRDefault="005F4EDF" w:rsidP="005F4E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1. </w:t>
      </w:r>
      <w:r w:rsidRPr="00DE4E61">
        <w:rPr>
          <w:rFonts w:ascii="Times New Roman" w:hAnsi="Times New Roman" w:cs="Times New Roman"/>
          <w:sz w:val="24"/>
          <w:szCs w:val="24"/>
        </w:rPr>
        <w:t xml:space="preserve">Details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patient`s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consent</w:t>
      </w:r>
      <w:proofErr w:type="spellEnd"/>
    </w:p>
    <w:p w14:paraId="6BBEAC35" w14:textId="77777777" w:rsidR="005F4EDF" w:rsidRDefault="005F4EDF" w:rsidP="005F4E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E61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4E61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DE4E61">
        <w:rPr>
          <w:rFonts w:ascii="Times New Roman" w:hAnsi="Times New Roman" w:cs="Times New Roman"/>
          <w:sz w:val="24"/>
          <w:szCs w:val="24"/>
        </w:rPr>
        <w:t xml:space="preserve"> countries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15209" w14:textId="77777777" w:rsidR="005F4EDF" w:rsidRDefault="005F4EDF" w:rsidP="005F4E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277"/>
        <w:gridCol w:w="3622"/>
      </w:tblGrid>
      <w:tr w:rsidR="005F4EDF" w:rsidRPr="00507534" w14:paraId="41E1255E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4E296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Country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5AA0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Details on ethical board approval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28691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Details</w:t>
            </w:r>
            <w:proofErr w:type="spellEnd"/>
            <w:r w:rsidRPr="005075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on </w:t>
            </w:r>
            <w:proofErr w:type="spellStart"/>
            <w:r w:rsidRPr="005075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patient's</w:t>
            </w:r>
            <w:proofErr w:type="spellEnd"/>
            <w:r w:rsidRPr="005075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75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consent</w:t>
            </w:r>
            <w:proofErr w:type="spellEnd"/>
          </w:p>
        </w:tc>
      </w:tr>
      <w:tr w:rsidR="005F4EDF" w:rsidRPr="00507534" w14:paraId="6B1775EC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365EE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Austria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A530D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0C94E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Required</w:t>
            </w:r>
            <w:proofErr w:type="spellEnd"/>
          </w:p>
        </w:tc>
      </w:tr>
      <w:tr w:rsidR="005F4EDF" w:rsidRPr="00507534" w14:paraId="633E5FEA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3DA1A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Belgium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0750" w14:textId="77777777" w:rsidR="005F4EDF" w:rsidRPr="002465DE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C693F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Required</w:t>
            </w:r>
            <w:proofErr w:type="spellEnd"/>
          </w:p>
        </w:tc>
      </w:tr>
      <w:tr w:rsidR="005F4EDF" w:rsidRPr="00507534" w14:paraId="12F59883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27F87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Denmark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350FB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69F9A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Waived</w:t>
            </w:r>
            <w:proofErr w:type="spellEnd"/>
          </w:p>
        </w:tc>
      </w:tr>
      <w:tr w:rsidR="005F4EDF" w:rsidRPr="00507534" w14:paraId="671CCE1C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88A97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England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BB1D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C35E8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Waived</w:t>
            </w:r>
            <w:proofErr w:type="spellEnd"/>
          </w:p>
        </w:tc>
      </w:tr>
      <w:tr w:rsidR="005F4EDF" w:rsidRPr="00507534" w14:paraId="676CF73E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BF74A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France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ABA08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FB12D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Required</w:t>
            </w:r>
            <w:proofErr w:type="spellEnd"/>
          </w:p>
        </w:tc>
      </w:tr>
      <w:tr w:rsidR="005F4EDF" w:rsidRPr="00507534" w14:paraId="5BDC7AD0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5F4F1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Germany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29F36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2B668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Required</w:t>
            </w:r>
            <w:proofErr w:type="spellEnd"/>
          </w:p>
        </w:tc>
      </w:tr>
      <w:tr w:rsidR="005F4EDF" w:rsidRPr="00507534" w14:paraId="480BBCF7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05EE5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Greece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54F28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A94CF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Required</w:t>
            </w:r>
            <w:proofErr w:type="spellEnd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5F4EDF" w:rsidRPr="00507534" w14:paraId="6C108588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D1B90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Ireland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70FE5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9A0F4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Deferred consent</w:t>
            </w:r>
          </w:p>
        </w:tc>
      </w:tr>
      <w:tr w:rsidR="005F4EDF" w:rsidRPr="00507534" w14:paraId="60F553C3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FAAE4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Israel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C9AA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45A9E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Waived</w:t>
            </w:r>
            <w:proofErr w:type="spellEnd"/>
          </w:p>
        </w:tc>
      </w:tr>
      <w:tr w:rsidR="005F4EDF" w:rsidRPr="00507534" w14:paraId="1E65B554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B3D20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Netherlands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4D3EF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5376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Required</w:t>
            </w:r>
            <w:proofErr w:type="spellEnd"/>
          </w:p>
        </w:tc>
      </w:tr>
      <w:tr w:rsidR="005F4EDF" w:rsidRPr="00507534" w14:paraId="1549AD25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A1ABA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Norway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028CA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99158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Waived. Deferred consent in survivors.</w:t>
            </w:r>
          </w:p>
        </w:tc>
      </w:tr>
      <w:tr w:rsidR="005F4EDF" w:rsidRPr="00507534" w14:paraId="7C635017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4258E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18C81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81B7D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Waived</w:t>
            </w:r>
            <w:proofErr w:type="spellEnd"/>
          </w:p>
        </w:tc>
      </w:tr>
      <w:tr w:rsidR="005F4EDF" w:rsidRPr="00507534" w14:paraId="4A130294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47FB7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Portugal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43E9D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2CA2E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Required in majority of centres</w:t>
            </w:r>
          </w:p>
        </w:tc>
      </w:tr>
      <w:tr w:rsidR="005F4EDF" w:rsidRPr="00507534" w14:paraId="00DA1938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6C6A0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Spain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EC050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4B540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Required in majority of centres</w:t>
            </w:r>
          </w:p>
        </w:tc>
      </w:tr>
      <w:tr w:rsidR="005F4EDF" w:rsidRPr="00507534" w14:paraId="303B6599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618F7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Switzerland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89F3A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1698E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Waived. Deferred consent at 3-month follow-up in survivors.</w:t>
            </w:r>
          </w:p>
        </w:tc>
      </w:tr>
      <w:tr w:rsidR="005F4EDF" w:rsidRPr="00507534" w14:paraId="5EDEB221" w14:textId="77777777" w:rsidTr="006E5D36">
        <w:trPr>
          <w:trHeight w:val="1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55F8B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F43D7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75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Ethical approval was acquired nationally and for each individual hospital.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A8220" w14:textId="77777777" w:rsidR="005F4EDF" w:rsidRPr="00507534" w:rsidRDefault="005F4EDF" w:rsidP="006E5D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07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Waived</w:t>
            </w:r>
            <w:proofErr w:type="spellEnd"/>
          </w:p>
        </w:tc>
      </w:tr>
    </w:tbl>
    <w:p w14:paraId="20649826" w14:textId="77777777" w:rsidR="005F4EDF" w:rsidRPr="006579DC" w:rsidRDefault="005F4EDF" w:rsidP="005F4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891F2" w14:textId="77777777" w:rsidR="005F4EDF" w:rsidRDefault="005F4EDF" w:rsidP="005F4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3A7F33" w14:textId="77777777" w:rsidR="005F4EDF" w:rsidRDefault="005F4EDF" w:rsidP="005F4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78CE63" w14:textId="7163DDA2" w:rsidR="005F4EDF" w:rsidRPr="005F4EDF" w:rsidRDefault="005F4EDF" w:rsidP="005F4EDF">
      <w:pPr>
        <w:rPr>
          <w:rFonts w:ascii="Times New Roman" w:hAnsi="Times New Roman" w:cs="Times New Roman"/>
          <w:sz w:val="24"/>
          <w:szCs w:val="24"/>
        </w:rPr>
        <w:sectPr w:rsidR="005F4EDF" w:rsidRPr="005F4E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428BB8" w14:textId="498ADE28" w:rsidR="00C915C4" w:rsidRPr="00223204" w:rsidRDefault="00C915C4" w:rsidP="00C915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 w:rsidRPr="00223204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32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04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22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04">
        <w:rPr>
          <w:rFonts w:ascii="Times New Roman" w:hAnsi="Times New Roman" w:cs="Times New Roman"/>
          <w:sz w:val="24"/>
          <w:szCs w:val="24"/>
        </w:rPr>
        <w:t>comorbidities</w:t>
      </w:r>
      <w:proofErr w:type="spellEnd"/>
    </w:p>
    <w:p w14:paraId="75F6E89C" w14:textId="77777777" w:rsidR="00C915C4" w:rsidRPr="00223204" w:rsidRDefault="00C915C4" w:rsidP="00C915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915C4" w:rsidRPr="00223204" w14:paraId="7A279592" w14:textId="77777777" w:rsidTr="00E30FB2">
        <w:tc>
          <w:tcPr>
            <w:tcW w:w="2547" w:type="dxa"/>
          </w:tcPr>
          <w:p w14:paraId="1C468F8D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Diabetes mellitus</w:t>
            </w:r>
          </w:p>
        </w:tc>
        <w:tc>
          <w:tcPr>
            <w:tcW w:w="6515" w:type="dxa"/>
          </w:tcPr>
          <w:p w14:paraId="59FDD6D5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evidence of diabetes mellitus before Hospital  admission, reported by the patient or their relatives or prescription of anti-diabetic medication or insulin on the drug chart.</w:t>
            </w:r>
          </w:p>
        </w:tc>
      </w:tr>
      <w:tr w:rsidR="00C915C4" w:rsidRPr="00223204" w14:paraId="06AA2D3F" w14:textId="77777777" w:rsidTr="00E30FB2">
        <w:tc>
          <w:tcPr>
            <w:tcW w:w="2547" w:type="dxa"/>
          </w:tcPr>
          <w:p w14:paraId="5BA20D54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Ischaemic heart disease</w:t>
            </w:r>
          </w:p>
        </w:tc>
        <w:tc>
          <w:tcPr>
            <w:tcW w:w="6515" w:type="dxa"/>
          </w:tcPr>
          <w:p w14:paraId="72E64321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abnormal coronary angiography, known coronary artery disease, previous percutaneous coronary intervention (PCI) or coronary bypass surgery</w:t>
            </w:r>
          </w:p>
        </w:tc>
      </w:tr>
      <w:tr w:rsidR="00C915C4" w:rsidRPr="00223204" w14:paraId="2E6DE9B5" w14:textId="77777777" w:rsidTr="00E30FB2">
        <w:tc>
          <w:tcPr>
            <w:tcW w:w="2547" w:type="dxa"/>
          </w:tcPr>
          <w:p w14:paraId="49967EDC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Chronic renal failure</w:t>
            </w:r>
          </w:p>
        </w:tc>
        <w:tc>
          <w:tcPr>
            <w:tcW w:w="6515" w:type="dxa"/>
          </w:tcPr>
          <w:p w14:paraId="2D8DA7DF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evidence of chronic renal insufficiency Grade 3 or higher, creatinine clearance &lt;60ml/min or chronic dialysis</w:t>
            </w:r>
          </w:p>
        </w:tc>
      </w:tr>
      <w:tr w:rsidR="00C915C4" w:rsidRPr="00223204" w14:paraId="7BF18A3A" w14:textId="77777777" w:rsidTr="00E30FB2">
        <w:tc>
          <w:tcPr>
            <w:tcW w:w="2547" w:type="dxa"/>
          </w:tcPr>
          <w:p w14:paraId="49AB9A79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Arterial hypertension</w:t>
            </w:r>
          </w:p>
        </w:tc>
        <w:tc>
          <w:tcPr>
            <w:tcW w:w="6515" w:type="dxa"/>
          </w:tcPr>
          <w:p w14:paraId="5751E601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evidence of any grade of chronic arterial hypertension and/or prescription of anti-hypertensive medication</w:t>
            </w:r>
          </w:p>
        </w:tc>
      </w:tr>
      <w:tr w:rsidR="00C915C4" w:rsidRPr="00223204" w14:paraId="6F0FE7D0" w14:textId="77777777" w:rsidTr="00E30FB2">
        <w:tc>
          <w:tcPr>
            <w:tcW w:w="2547" w:type="dxa"/>
          </w:tcPr>
          <w:p w14:paraId="7C50D96A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Pulmonary disease</w:t>
            </w:r>
          </w:p>
        </w:tc>
        <w:tc>
          <w:tcPr>
            <w:tcW w:w="6515" w:type="dxa"/>
          </w:tcPr>
          <w:p w14:paraId="44B1AB92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evidence of or medication prescribed for chronic pulmonary disease of any aetiology (bronchial asthma, COPD, pulmonary fibrosis), or clinical or radiological signs of chronic pulmonary disease</w:t>
            </w:r>
          </w:p>
        </w:tc>
      </w:tr>
      <w:tr w:rsidR="00C915C4" w:rsidRPr="00223204" w14:paraId="69998AB5" w14:textId="77777777" w:rsidTr="00E30FB2">
        <w:tc>
          <w:tcPr>
            <w:tcW w:w="2547" w:type="dxa"/>
          </w:tcPr>
          <w:p w14:paraId="503D065B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Chronic heart failure</w:t>
            </w:r>
          </w:p>
        </w:tc>
        <w:tc>
          <w:tcPr>
            <w:tcW w:w="6515" w:type="dxa"/>
          </w:tcPr>
          <w:p w14:paraId="5029AB32" w14:textId="77777777" w:rsidR="00C915C4" w:rsidRPr="00223204" w:rsidRDefault="00C915C4" w:rsidP="00E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evidence of or medication prescribed for chronic heart failure of any aetiology or echocardiographic or radiological signs of chronic heart failure.</w:t>
            </w:r>
          </w:p>
        </w:tc>
      </w:tr>
    </w:tbl>
    <w:p w14:paraId="426B3106" w14:textId="77777777" w:rsidR="00C915C4" w:rsidRPr="00223204" w:rsidRDefault="00C915C4" w:rsidP="00C915C4">
      <w:pPr>
        <w:rPr>
          <w:rFonts w:ascii="Times New Roman" w:hAnsi="Times New Roman" w:cs="Times New Roman"/>
          <w:sz w:val="24"/>
          <w:szCs w:val="24"/>
        </w:rPr>
      </w:pPr>
    </w:p>
    <w:p w14:paraId="7207A1CF" w14:textId="77777777" w:rsidR="00C915C4" w:rsidRDefault="00C915C4" w:rsidP="00C915C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0E2D9" w14:textId="29D778D0" w:rsidR="00C915C4" w:rsidRPr="00C915C4" w:rsidRDefault="00C915C4" w:rsidP="00C915C4">
      <w:pPr>
        <w:tabs>
          <w:tab w:val="left" w:pos="666"/>
        </w:tabs>
        <w:rPr>
          <w:rFonts w:ascii="Times New Roman" w:hAnsi="Times New Roman" w:cs="Times New Roman"/>
          <w:sz w:val="24"/>
          <w:szCs w:val="24"/>
        </w:rPr>
        <w:sectPr w:rsidR="00C915C4" w:rsidRPr="00C915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59A4A5" w14:textId="256D179B" w:rsidR="006579DC" w:rsidRDefault="00173414" w:rsidP="00185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49401E"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01E" w:rsidRPr="0049401E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="0049401E"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01E" w:rsidRPr="0049401E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="0049401E"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01E" w:rsidRPr="00494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9401E" w:rsidRPr="0049401E"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 w:rsidR="0049401E" w:rsidRPr="0049401E"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 w:rsidR="0049401E"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01E" w:rsidRPr="0049401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9401E" w:rsidRPr="0049401E">
        <w:rPr>
          <w:rFonts w:ascii="Times New Roman" w:hAnsi="Times New Roman" w:cs="Times New Roman"/>
          <w:sz w:val="24"/>
          <w:szCs w:val="24"/>
        </w:rPr>
        <w:t xml:space="preserve"> NIV </w:t>
      </w:r>
      <w:proofErr w:type="spellStart"/>
      <w:r w:rsidR="0049401E" w:rsidRPr="0049401E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="0049401E" w:rsidRPr="0049401E">
        <w:rPr>
          <w:rFonts w:ascii="Times New Roman" w:hAnsi="Times New Roman" w:cs="Times New Roman"/>
          <w:sz w:val="24"/>
          <w:szCs w:val="24"/>
        </w:rPr>
        <w:t>.</w:t>
      </w:r>
    </w:p>
    <w:p w14:paraId="1B16C657" w14:textId="77777777" w:rsidR="0049401E" w:rsidRDefault="0049401E" w:rsidP="001852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jasna"/>
        <w:tblW w:w="9717" w:type="dxa"/>
        <w:tblLook w:val="04A0" w:firstRow="1" w:lastRow="0" w:firstColumn="1" w:lastColumn="0" w:noHBand="0" w:noVBand="1"/>
      </w:tblPr>
      <w:tblGrid>
        <w:gridCol w:w="3807"/>
        <w:gridCol w:w="2302"/>
        <w:gridCol w:w="2302"/>
        <w:gridCol w:w="1306"/>
      </w:tblGrid>
      <w:tr w:rsidR="00877306" w:rsidRPr="00CE65E8" w14:paraId="35BC3ABD" w14:textId="77777777" w:rsidTr="000D056A">
        <w:trPr>
          <w:trHeight w:val="293"/>
        </w:trPr>
        <w:tc>
          <w:tcPr>
            <w:tcW w:w="3807" w:type="dxa"/>
            <w:shd w:val="clear" w:color="auto" w:fill="E7E6E6" w:themeFill="background2"/>
            <w:noWrap/>
            <w:vAlign w:val="center"/>
            <w:hideMark/>
          </w:tcPr>
          <w:p w14:paraId="173529C1" w14:textId="6CA099D1" w:rsidR="00877306" w:rsidRPr="00E837DB" w:rsidRDefault="00877306" w:rsidP="000D05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Characteristics</w:t>
            </w:r>
            <w:proofErr w:type="spellEnd"/>
          </w:p>
        </w:tc>
        <w:tc>
          <w:tcPr>
            <w:tcW w:w="2302" w:type="dxa"/>
            <w:shd w:val="clear" w:color="auto" w:fill="E7E6E6" w:themeFill="background2"/>
            <w:noWrap/>
            <w:vAlign w:val="center"/>
            <w:hideMark/>
          </w:tcPr>
          <w:p w14:paraId="6D8F8184" w14:textId="76DA0CE0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NIV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success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(n=</w:t>
            </w:r>
            <w:r w:rsidRPr="00E8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159</w:t>
            </w:r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shd w:val="clear" w:color="auto" w:fill="E7E6E6" w:themeFill="background2"/>
            <w:noWrap/>
            <w:vAlign w:val="center"/>
            <w:hideMark/>
          </w:tcPr>
          <w:p w14:paraId="35688BD5" w14:textId="337B4EBC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NIV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failure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(n=</w:t>
            </w:r>
            <w:r w:rsidRPr="00E8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470</w:t>
            </w:r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shd w:val="clear" w:color="auto" w:fill="E7E6E6" w:themeFill="background2"/>
            <w:noWrap/>
            <w:vAlign w:val="center"/>
            <w:hideMark/>
          </w:tcPr>
          <w:p w14:paraId="06C92CFE" w14:textId="360B2BC8" w:rsidR="00877306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p-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value</w:t>
            </w:r>
            <w:proofErr w:type="spellEnd"/>
          </w:p>
        </w:tc>
      </w:tr>
      <w:tr w:rsidR="00877306" w:rsidRPr="00CE65E8" w14:paraId="4D45B56F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112631EA" w14:textId="304BDBA1" w:rsidR="00877306" w:rsidRPr="00E837DB" w:rsidRDefault="00877306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Age,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mean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(SD) [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years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2302" w:type="dxa"/>
            <w:noWrap/>
            <w:vAlign w:val="center"/>
            <w:hideMark/>
          </w:tcPr>
          <w:p w14:paraId="01559BE7" w14:textId="06BC58F6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76.</w:t>
            </w: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(4.</w:t>
            </w: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  <w:hideMark/>
          </w:tcPr>
          <w:p w14:paraId="4C4AA1BE" w14:textId="3A495229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76.9 (</w:t>
            </w: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5.0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  <w:hideMark/>
          </w:tcPr>
          <w:p w14:paraId="662BD209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0.351</w:t>
            </w:r>
          </w:p>
        </w:tc>
      </w:tr>
      <w:tr w:rsidR="00877306" w:rsidRPr="00CE65E8" w14:paraId="4CB457C9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064E5212" w14:textId="559730C8" w:rsidR="00877306" w:rsidRPr="00E837DB" w:rsidRDefault="00877306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Female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gender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05AF41DA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52 (32.7)</w:t>
            </w:r>
          </w:p>
        </w:tc>
        <w:tc>
          <w:tcPr>
            <w:tcW w:w="2302" w:type="dxa"/>
            <w:noWrap/>
            <w:vAlign w:val="center"/>
            <w:hideMark/>
          </w:tcPr>
          <w:p w14:paraId="2F7DFC59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129 (27.4)</w:t>
            </w:r>
          </w:p>
        </w:tc>
        <w:tc>
          <w:tcPr>
            <w:tcW w:w="1306" w:type="dxa"/>
            <w:noWrap/>
            <w:vAlign w:val="center"/>
            <w:hideMark/>
          </w:tcPr>
          <w:p w14:paraId="0F46A5FF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0.244</w:t>
            </w:r>
          </w:p>
        </w:tc>
      </w:tr>
      <w:tr w:rsidR="00877306" w:rsidRPr="00CE65E8" w14:paraId="4C2E87F0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3D988C71" w14:textId="59EEF8FD" w:rsidR="00877306" w:rsidRPr="00E837DB" w:rsidRDefault="00877306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BMI</w:t>
            </w: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[kg/m</w:t>
            </w: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2302" w:type="dxa"/>
            <w:noWrap/>
            <w:vAlign w:val="center"/>
            <w:hideMark/>
          </w:tcPr>
          <w:p w14:paraId="20509D66" w14:textId="46CA4794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27.7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24.6, 32.0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  <w:hideMark/>
          </w:tcPr>
          <w:p w14:paraId="4FB31D6F" w14:textId="0CFF232D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27.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24.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31.1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  <w:hideMark/>
          </w:tcPr>
          <w:p w14:paraId="257CFAD3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0.496</w:t>
            </w:r>
          </w:p>
        </w:tc>
      </w:tr>
      <w:tr w:rsidR="00877306" w:rsidRPr="00CE65E8" w14:paraId="0FBE5128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550C9093" w14:textId="5A85921E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Prior hospitalization length [days]</w:t>
            </w:r>
          </w:p>
        </w:tc>
        <w:tc>
          <w:tcPr>
            <w:tcW w:w="2302" w:type="dxa"/>
            <w:noWrap/>
            <w:vAlign w:val="center"/>
            <w:hideMark/>
          </w:tcPr>
          <w:p w14:paraId="5E134C37" w14:textId="01DB7BF3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2.0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1.0, 4.0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  <w:hideMark/>
          </w:tcPr>
          <w:p w14:paraId="255FBAA4" w14:textId="0A6C1A0D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2.0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1.0, 5.0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  <w:hideMark/>
          </w:tcPr>
          <w:p w14:paraId="6487E531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0.397</w:t>
            </w:r>
          </w:p>
        </w:tc>
      </w:tr>
      <w:tr w:rsidR="00877306" w:rsidRPr="00CE65E8" w14:paraId="5945817A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133C29BA" w14:textId="7E0F45B9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Duration of symptoms before hospitalization [days]</w:t>
            </w:r>
          </w:p>
        </w:tc>
        <w:tc>
          <w:tcPr>
            <w:tcW w:w="2302" w:type="dxa"/>
            <w:noWrap/>
            <w:vAlign w:val="center"/>
            <w:hideMark/>
          </w:tcPr>
          <w:p w14:paraId="06196EE9" w14:textId="7EFADB42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7.0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3.0, 10.0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  <w:hideMark/>
          </w:tcPr>
          <w:p w14:paraId="18C085D0" w14:textId="22F5C811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6.0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3.0, 9.0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  <w:hideMark/>
          </w:tcPr>
          <w:p w14:paraId="2CDA33A3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0.628</w:t>
            </w:r>
          </w:p>
        </w:tc>
      </w:tr>
      <w:tr w:rsidR="00877306" w:rsidRPr="00CE65E8" w14:paraId="36B08103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5A850587" w14:textId="012024B2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Diabetes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3C31EE93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60 (37.7)</w:t>
            </w:r>
          </w:p>
        </w:tc>
        <w:tc>
          <w:tcPr>
            <w:tcW w:w="2302" w:type="dxa"/>
            <w:noWrap/>
            <w:vAlign w:val="center"/>
            <w:hideMark/>
          </w:tcPr>
          <w:p w14:paraId="629A51C5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181 (38.7)</w:t>
            </w:r>
          </w:p>
        </w:tc>
        <w:tc>
          <w:tcPr>
            <w:tcW w:w="1306" w:type="dxa"/>
            <w:noWrap/>
            <w:vAlign w:val="center"/>
            <w:hideMark/>
          </w:tcPr>
          <w:p w14:paraId="553FE0A3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0.908</w:t>
            </w:r>
          </w:p>
        </w:tc>
      </w:tr>
      <w:tr w:rsidR="00877306" w:rsidRPr="00CE65E8" w14:paraId="39C46F3F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2C521061" w14:textId="5517E087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Ischemic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heart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disease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634B2D3B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36 (22.9)</w:t>
            </w:r>
          </w:p>
        </w:tc>
        <w:tc>
          <w:tcPr>
            <w:tcW w:w="2302" w:type="dxa"/>
            <w:noWrap/>
            <w:vAlign w:val="center"/>
            <w:hideMark/>
          </w:tcPr>
          <w:p w14:paraId="56132206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122 (26.5)</w:t>
            </w:r>
          </w:p>
        </w:tc>
        <w:tc>
          <w:tcPr>
            <w:tcW w:w="1306" w:type="dxa"/>
            <w:noWrap/>
            <w:vAlign w:val="center"/>
            <w:hideMark/>
          </w:tcPr>
          <w:p w14:paraId="370D281B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0.441</w:t>
            </w:r>
          </w:p>
        </w:tc>
      </w:tr>
      <w:tr w:rsidR="00877306" w:rsidRPr="00CE65E8" w14:paraId="02BEEF59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3FEC8BD1" w14:textId="38DA4F5F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Chronic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renal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failure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70BCB926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29 (18.2)</w:t>
            </w:r>
          </w:p>
        </w:tc>
        <w:tc>
          <w:tcPr>
            <w:tcW w:w="2302" w:type="dxa"/>
            <w:noWrap/>
            <w:vAlign w:val="center"/>
            <w:hideMark/>
          </w:tcPr>
          <w:p w14:paraId="1317DA0C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105 (22.5)</w:t>
            </w:r>
          </w:p>
        </w:tc>
        <w:tc>
          <w:tcPr>
            <w:tcW w:w="1306" w:type="dxa"/>
            <w:noWrap/>
            <w:vAlign w:val="center"/>
            <w:hideMark/>
          </w:tcPr>
          <w:p w14:paraId="1514BFED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0.304</w:t>
            </w:r>
          </w:p>
        </w:tc>
      </w:tr>
      <w:tr w:rsidR="00877306" w:rsidRPr="00CE65E8" w14:paraId="3C3E1C40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71F0CAE6" w14:textId="545D614B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Arterial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hypertension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3DA4C1C8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115 (72.8)</w:t>
            </w:r>
          </w:p>
        </w:tc>
        <w:tc>
          <w:tcPr>
            <w:tcW w:w="2302" w:type="dxa"/>
            <w:noWrap/>
            <w:vAlign w:val="center"/>
            <w:hideMark/>
          </w:tcPr>
          <w:p w14:paraId="74AAF988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303 (64.7)</w:t>
            </w:r>
          </w:p>
        </w:tc>
        <w:tc>
          <w:tcPr>
            <w:tcW w:w="1306" w:type="dxa"/>
            <w:noWrap/>
            <w:vAlign w:val="center"/>
            <w:hideMark/>
          </w:tcPr>
          <w:p w14:paraId="5E33DB7A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0.079</w:t>
            </w:r>
          </w:p>
        </w:tc>
      </w:tr>
      <w:tr w:rsidR="00877306" w:rsidRPr="00CE65E8" w14:paraId="198AC0E6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35CEA9D4" w14:textId="1F18B3D9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Pulmonary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disease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5455F70A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41 (25.8)</w:t>
            </w:r>
          </w:p>
        </w:tc>
        <w:tc>
          <w:tcPr>
            <w:tcW w:w="2302" w:type="dxa"/>
            <w:noWrap/>
            <w:vAlign w:val="center"/>
            <w:hideMark/>
          </w:tcPr>
          <w:p w14:paraId="00F33059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118 (25.4)</w:t>
            </w:r>
          </w:p>
        </w:tc>
        <w:tc>
          <w:tcPr>
            <w:tcW w:w="1306" w:type="dxa"/>
            <w:noWrap/>
            <w:vAlign w:val="center"/>
            <w:hideMark/>
          </w:tcPr>
          <w:p w14:paraId="0C928786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1.000</w:t>
            </w:r>
          </w:p>
        </w:tc>
      </w:tr>
      <w:tr w:rsidR="00877306" w:rsidRPr="00CE65E8" w14:paraId="390C462E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7B16E5EF" w14:textId="6534857E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Congestive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heart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failure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387FEC60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25 (15.8)</w:t>
            </w:r>
          </w:p>
        </w:tc>
        <w:tc>
          <w:tcPr>
            <w:tcW w:w="2302" w:type="dxa"/>
            <w:noWrap/>
            <w:vAlign w:val="center"/>
            <w:hideMark/>
          </w:tcPr>
          <w:p w14:paraId="1E9BDDBE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79 (17.2)</w:t>
            </w:r>
          </w:p>
        </w:tc>
        <w:tc>
          <w:tcPr>
            <w:tcW w:w="1306" w:type="dxa"/>
            <w:noWrap/>
            <w:vAlign w:val="center"/>
            <w:hideMark/>
          </w:tcPr>
          <w:p w14:paraId="5C9684B5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0.788</w:t>
            </w:r>
          </w:p>
        </w:tc>
      </w:tr>
      <w:tr w:rsidR="00877306" w:rsidRPr="00CE65E8" w14:paraId="353F4CC6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26ED2043" w14:textId="0068F313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Bacterial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coinfection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71FB841A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28 (17.9)</w:t>
            </w:r>
          </w:p>
        </w:tc>
        <w:tc>
          <w:tcPr>
            <w:tcW w:w="2302" w:type="dxa"/>
            <w:noWrap/>
            <w:vAlign w:val="center"/>
            <w:hideMark/>
          </w:tcPr>
          <w:p w14:paraId="5907CA83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133 (29.4)</w:t>
            </w:r>
          </w:p>
        </w:tc>
        <w:tc>
          <w:tcPr>
            <w:tcW w:w="1306" w:type="dxa"/>
            <w:noWrap/>
            <w:vAlign w:val="center"/>
            <w:hideMark/>
          </w:tcPr>
          <w:p w14:paraId="1AF0E12E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0.007</w:t>
            </w:r>
          </w:p>
        </w:tc>
      </w:tr>
      <w:tr w:rsidR="00877306" w:rsidRPr="00CE65E8" w14:paraId="29BDB87F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587128E3" w14:textId="44B15D25" w:rsidR="00877306" w:rsidRPr="00E837DB" w:rsidRDefault="00263963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SOFA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score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on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admission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083A67F5" w14:textId="528F04A2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3.0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2.0, 5.0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  <w:hideMark/>
          </w:tcPr>
          <w:p w14:paraId="43B2CD2A" w14:textId="5EFE17D5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4.0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3.0, 7.0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  <w:hideMark/>
          </w:tcPr>
          <w:p w14:paraId="3D758FB6" w14:textId="77777777" w:rsidR="00877306" w:rsidRPr="00E837DB" w:rsidRDefault="00877306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0D056A" w:rsidRPr="00CE65E8" w14:paraId="0DB9413F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6E5BB328" w14:textId="1F39103E" w:rsidR="000D056A" w:rsidRPr="00E837DB" w:rsidRDefault="000D056A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Frailty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status</w:t>
            </w:r>
          </w:p>
        </w:tc>
        <w:tc>
          <w:tcPr>
            <w:tcW w:w="2302" w:type="dxa"/>
            <w:noWrap/>
            <w:vAlign w:val="center"/>
            <w:hideMark/>
          </w:tcPr>
          <w:p w14:paraId="4EF4E943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14:paraId="24A58031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06" w:type="dxa"/>
            <w:vMerge w:val="restart"/>
            <w:noWrap/>
            <w:vAlign w:val="center"/>
            <w:hideMark/>
          </w:tcPr>
          <w:p w14:paraId="7C338AE6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0.107</w:t>
            </w:r>
          </w:p>
        </w:tc>
      </w:tr>
      <w:tr w:rsidR="000D056A" w:rsidRPr="00CE65E8" w14:paraId="0DEF671E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1708BAD9" w14:textId="77777777" w:rsidR="000D056A" w:rsidRPr="00E837DB" w:rsidRDefault="000D056A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  Fit</w:t>
            </w:r>
          </w:p>
        </w:tc>
        <w:tc>
          <w:tcPr>
            <w:tcW w:w="2302" w:type="dxa"/>
            <w:noWrap/>
            <w:vAlign w:val="center"/>
            <w:hideMark/>
          </w:tcPr>
          <w:p w14:paraId="44F4C9B5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99 (66.4)</w:t>
            </w:r>
          </w:p>
        </w:tc>
        <w:tc>
          <w:tcPr>
            <w:tcW w:w="2302" w:type="dxa"/>
            <w:noWrap/>
            <w:vAlign w:val="center"/>
            <w:hideMark/>
          </w:tcPr>
          <w:p w14:paraId="7DEB0B67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257 (57.5)</w:t>
            </w:r>
          </w:p>
        </w:tc>
        <w:tc>
          <w:tcPr>
            <w:tcW w:w="1306" w:type="dxa"/>
            <w:vMerge/>
            <w:noWrap/>
            <w:vAlign w:val="center"/>
            <w:hideMark/>
          </w:tcPr>
          <w:p w14:paraId="3D2168C7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D056A" w:rsidRPr="00CE65E8" w14:paraId="2A70271D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345396C8" w14:textId="77777777" w:rsidR="000D056A" w:rsidRPr="00E837DB" w:rsidRDefault="000D056A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  </w:t>
            </w:r>
            <w:proofErr w:type="spellStart"/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Frail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05CC48EE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28 (18.8)</w:t>
            </w:r>
          </w:p>
        </w:tc>
        <w:tc>
          <w:tcPr>
            <w:tcW w:w="2302" w:type="dxa"/>
            <w:noWrap/>
            <w:vAlign w:val="center"/>
            <w:hideMark/>
          </w:tcPr>
          <w:p w14:paraId="091696E0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120 (26.8)</w:t>
            </w:r>
          </w:p>
        </w:tc>
        <w:tc>
          <w:tcPr>
            <w:tcW w:w="1306" w:type="dxa"/>
            <w:vMerge/>
            <w:noWrap/>
            <w:vAlign w:val="center"/>
            <w:hideMark/>
          </w:tcPr>
          <w:p w14:paraId="42A6BCA2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D056A" w:rsidRPr="00CE65E8" w14:paraId="4AFEBE4E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2B995908" w14:textId="77777777" w:rsidR="000D056A" w:rsidRPr="00E837DB" w:rsidRDefault="000D056A" w:rsidP="00E837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  </w:t>
            </w:r>
            <w:proofErr w:type="spellStart"/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Vulnerable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34F9450C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22 (14.8)</w:t>
            </w:r>
          </w:p>
        </w:tc>
        <w:tc>
          <w:tcPr>
            <w:tcW w:w="2302" w:type="dxa"/>
            <w:noWrap/>
            <w:vAlign w:val="center"/>
            <w:hideMark/>
          </w:tcPr>
          <w:p w14:paraId="59DABF97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70 (15.7)</w:t>
            </w:r>
          </w:p>
        </w:tc>
        <w:tc>
          <w:tcPr>
            <w:tcW w:w="1306" w:type="dxa"/>
            <w:vMerge/>
            <w:noWrap/>
            <w:vAlign w:val="center"/>
            <w:hideMark/>
          </w:tcPr>
          <w:p w14:paraId="37F4E2B7" w14:textId="77777777" w:rsidR="000D056A" w:rsidRPr="00E837DB" w:rsidRDefault="000D056A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63963" w:rsidRPr="00CE65E8" w14:paraId="60A7EC76" w14:textId="77777777" w:rsidTr="000D056A">
        <w:trPr>
          <w:trHeight w:val="293"/>
        </w:trPr>
        <w:tc>
          <w:tcPr>
            <w:tcW w:w="3807" w:type="dxa"/>
            <w:noWrap/>
          </w:tcPr>
          <w:p w14:paraId="247DF7C8" w14:textId="1B51E33F" w:rsidR="00263963" w:rsidRPr="00CE65E8" w:rsidRDefault="00263963" w:rsidP="002639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CFS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score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on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admission</w:t>
            </w:r>
            <w:proofErr w:type="spellEnd"/>
          </w:p>
        </w:tc>
        <w:tc>
          <w:tcPr>
            <w:tcW w:w="2302" w:type="dxa"/>
            <w:noWrap/>
            <w:vAlign w:val="center"/>
          </w:tcPr>
          <w:p w14:paraId="0F9771ED" w14:textId="783C718B" w:rsidR="00263963" w:rsidRPr="00CE65E8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3.0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2.0, 4.0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</w:tcPr>
          <w:p w14:paraId="3FFA4267" w14:textId="500AF5F3" w:rsidR="00263963" w:rsidRPr="00CE65E8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3.0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3.0, 5.0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</w:tcPr>
          <w:p w14:paraId="7ED230D2" w14:textId="6B1263AA" w:rsidR="00263963" w:rsidRPr="00CE65E8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0.005</w:t>
            </w:r>
          </w:p>
        </w:tc>
      </w:tr>
      <w:tr w:rsidR="00263963" w:rsidRPr="00CE65E8" w14:paraId="0690DDFE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5CAA9026" w14:textId="04D851FF" w:rsidR="00263963" w:rsidRPr="00E837DB" w:rsidRDefault="00263963" w:rsidP="002639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Day of NIV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initiation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1668D953" w14:textId="0620065C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1.0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1.0, 1.0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  <w:hideMark/>
          </w:tcPr>
          <w:p w14:paraId="4F660A16" w14:textId="4F926DAF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1.0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1.0, 1.0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  <w:hideMark/>
          </w:tcPr>
          <w:p w14:paraId="189DCC08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0.140</w:t>
            </w:r>
          </w:p>
        </w:tc>
      </w:tr>
      <w:tr w:rsidR="00263963" w:rsidRPr="00CE65E8" w14:paraId="6AA6B0F7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7EA11630" w14:textId="1A8E57FB" w:rsidR="00263963" w:rsidRPr="00E837DB" w:rsidRDefault="000D056A" w:rsidP="002639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Duration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of NIV [</w:t>
            </w:r>
            <w:proofErr w:type="spellStart"/>
            <w:r w:rsid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hours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2302" w:type="dxa"/>
            <w:noWrap/>
            <w:vAlign w:val="center"/>
            <w:hideMark/>
          </w:tcPr>
          <w:p w14:paraId="04DD2321" w14:textId="2CBC4E3E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48.0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17.0, 106.0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302" w:type="dxa"/>
            <w:noWrap/>
            <w:vAlign w:val="center"/>
            <w:hideMark/>
          </w:tcPr>
          <w:p w14:paraId="32996DD9" w14:textId="0F581CB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30.0 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8.0, 82.0</w:t>
            </w:r>
            <w:r w:rsidR="000D056A"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06" w:type="dxa"/>
            <w:noWrap/>
            <w:vAlign w:val="center"/>
            <w:hideMark/>
          </w:tcPr>
          <w:p w14:paraId="4317F4E6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0.004</w:t>
            </w:r>
          </w:p>
        </w:tc>
      </w:tr>
      <w:tr w:rsidR="00263963" w:rsidRPr="00CE65E8" w14:paraId="5B6D2C95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31008CE4" w14:textId="42D90393" w:rsidR="00263963" w:rsidRPr="00E837DB" w:rsidRDefault="00263963" w:rsidP="002639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Vasopressors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7D29C757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17 (10.8)</w:t>
            </w:r>
          </w:p>
        </w:tc>
        <w:tc>
          <w:tcPr>
            <w:tcW w:w="2302" w:type="dxa"/>
            <w:noWrap/>
            <w:vAlign w:val="center"/>
            <w:hideMark/>
          </w:tcPr>
          <w:p w14:paraId="46D13D81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334 (71.5)</w:t>
            </w:r>
          </w:p>
        </w:tc>
        <w:tc>
          <w:tcPr>
            <w:tcW w:w="1306" w:type="dxa"/>
            <w:noWrap/>
            <w:vAlign w:val="center"/>
            <w:hideMark/>
          </w:tcPr>
          <w:p w14:paraId="64316317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263963" w:rsidRPr="00CE65E8" w14:paraId="53CF3DE6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065430F1" w14:textId="7EE6A7A1" w:rsidR="00263963" w:rsidRPr="00E837DB" w:rsidRDefault="000D056A" w:rsidP="002639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Renal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replacement</w:t>
            </w:r>
            <w:proofErr w:type="spellEnd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E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therapy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66E634BC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(1.3)</w:t>
            </w:r>
          </w:p>
        </w:tc>
        <w:tc>
          <w:tcPr>
            <w:tcW w:w="2302" w:type="dxa"/>
            <w:noWrap/>
            <w:vAlign w:val="center"/>
            <w:hideMark/>
          </w:tcPr>
          <w:p w14:paraId="2882106D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92 (19.6)</w:t>
            </w:r>
          </w:p>
        </w:tc>
        <w:tc>
          <w:tcPr>
            <w:tcW w:w="1306" w:type="dxa"/>
            <w:noWrap/>
            <w:vAlign w:val="center"/>
            <w:hideMark/>
          </w:tcPr>
          <w:p w14:paraId="20BCF04E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263963" w:rsidRPr="00CE65E8" w14:paraId="211096B4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50866FD4" w14:textId="71B9C6D1" w:rsidR="00263963" w:rsidRPr="00E837DB" w:rsidRDefault="00263963" w:rsidP="002639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Antibiotics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507CF899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123 (77.4)</w:t>
            </w:r>
          </w:p>
        </w:tc>
        <w:tc>
          <w:tcPr>
            <w:tcW w:w="2302" w:type="dxa"/>
            <w:noWrap/>
            <w:vAlign w:val="center"/>
            <w:hideMark/>
          </w:tcPr>
          <w:p w14:paraId="6559E497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433 (92.1)</w:t>
            </w:r>
          </w:p>
        </w:tc>
        <w:tc>
          <w:tcPr>
            <w:tcW w:w="1306" w:type="dxa"/>
            <w:noWrap/>
            <w:vAlign w:val="center"/>
            <w:hideMark/>
          </w:tcPr>
          <w:p w14:paraId="44A35AFC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263963" w:rsidRPr="00CE65E8" w14:paraId="45177CFF" w14:textId="77777777" w:rsidTr="000D056A">
        <w:trPr>
          <w:trHeight w:val="293"/>
        </w:trPr>
        <w:tc>
          <w:tcPr>
            <w:tcW w:w="3807" w:type="dxa"/>
            <w:noWrap/>
            <w:hideMark/>
          </w:tcPr>
          <w:p w14:paraId="14723655" w14:textId="7F0D3F86" w:rsidR="00263963" w:rsidRPr="00E837DB" w:rsidRDefault="00263963" w:rsidP="002639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Steroids</w:t>
            </w:r>
            <w:proofErr w:type="spellEnd"/>
          </w:p>
        </w:tc>
        <w:tc>
          <w:tcPr>
            <w:tcW w:w="2302" w:type="dxa"/>
            <w:noWrap/>
            <w:vAlign w:val="center"/>
            <w:hideMark/>
          </w:tcPr>
          <w:p w14:paraId="7C9B2488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106 (70.7)</w:t>
            </w:r>
          </w:p>
        </w:tc>
        <w:tc>
          <w:tcPr>
            <w:tcW w:w="2302" w:type="dxa"/>
            <w:noWrap/>
            <w:vAlign w:val="center"/>
            <w:hideMark/>
          </w:tcPr>
          <w:p w14:paraId="66D56473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360 (79.5)</w:t>
            </w:r>
          </w:p>
        </w:tc>
        <w:tc>
          <w:tcPr>
            <w:tcW w:w="1306" w:type="dxa"/>
            <w:noWrap/>
            <w:vAlign w:val="center"/>
            <w:hideMark/>
          </w:tcPr>
          <w:p w14:paraId="237B711C" w14:textId="77777777" w:rsidR="00263963" w:rsidRPr="00E837DB" w:rsidRDefault="00263963" w:rsidP="000D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8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0.034</w:t>
            </w:r>
          </w:p>
        </w:tc>
      </w:tr>
    </w:tbl>
    <w:p w14:paraId="1F8C088F" w14:textId="77777777" w:rsidR="00281149" w:rsidRDefault="00281149" w:rsidP="001852E0">
      <w:pPr>
        <w:rPr>
          <w:rFonts w:ascii="Times New Roman" w:hAnsi="Times New Roman" w:cs="Times New Roman"/>
          <w:b/>
          <w:bCs/>
          <w:sz w:val="24"/>
          <w:szCs w:val="24"/>
        </w:rPr>
        <w:sectPr w:rsidR="002811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1FA2FD" w14:textId="63780823" w:rsidR="00211702" w:rsidRDefault="00211702" w:rsidP="0028114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5D3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 w:rsidRPr="006E5D36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30-day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NIV </w:t>
      </w:r>
      <w:proofErr w:type="spellStart"/>
      <w:r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intubation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NIV.</w:t>
      </w:r>
    </w:p>
    <w:p w14:paraId="6A991758" w14:textId="77777777" w:rsidR="00211702" w:rsidRDefault="00211702" w:rsidP="002117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62F6" w14:paraId="4FDB5024" w14:textId="77777777" w:rsidTr="006E5D36">
        <w:tc>
          <w:tcPr>
            <w:tcW w:w="1812" w:type="dxa"/>
            <w:vMerge w:val="restart"/>
            <w:vAlign w:val="center"/>
          </w:tcPr>
          <w:p w14:paraId="0E21724C" w14:textId="77777777" w:rsidR="006962F6" w:rsidRPr="00E00A45" w:rsidRDefault="006962F6" w:rsidP="006E5D3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E00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Comparison</w:t>
            </w:r>
            <w:proofErr w:type="spellEnd"/>
          </w:p>
        </w:tc>
        <w:tc>
          <w:tcPr>
            <w:tcW w:w="5437" w:type="dxa"/>
            <w:gridSpan w:val="3"/>
            <w:vAlign w:val="center"/>
          </w:tcPr>
          <w:p w14:paraId="342A9398" w14:textId="77777777" w:rsidR="006962F6" w:rsidRDefault="006962F6" w:rsidP="006E5D3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NIV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duration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14:paraId="606CFAB8" w14:textId="77777777" w:rsidR="006962F6" w:rsidRPr="00A82C81" w:rsidRDefault="006962F6" w:rsidP="006E5D3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82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p-</w:t>
            </w:r>
            <w:proofErr w:type="spellStart"/>
            <w:r w:rsidRPr="00A82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value</w:t>
            </w:r>
            <w:proofErr w:type="spellEnd"/>
          </w:p>
        </w:tc>
      </w:tr>
      <w:tr w:rsidR="006962F6" w14:paraId="143EA538" w14:textId="77777777" w:rsidTr="006E5D36">
        <w:tc>
          <w:tcPr>
            <w:tcW w:w="1812" w:type="dxa"/>
            <w:vMerge/>
          </w:tcPr>
          <w:p w14:paraId="2B9E531D" w14:textId="77777777" w:rsidR="006962F6" w:rsidRDefault="006962F6" w:rsidP="006E5D36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73E757CC" w14:textId="77777777" w:rsidR="006962F6" w:rsidRDefault="006962F6" w:rsidP="006E5D36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&lt;24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1812" w:type="dxa"/>
          </w:tcPr>
          <w:p w14:paraId="0D202C44" w14:textId="77777777" w:rsidR="006962F6" w:rsidRDefault="006962F6" w:rsidP="006E5D36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24-72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1813" w:type="dxa"/>
          </w:tcPr>
          <w:p w14:paraId="264EE99F" w14:textId="77777777" w:rsidR="006962F6" w:rsidRDefault="006962F6" w:rsidP="006E5D36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&gt;72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1813" w:type="dxa"/>
            <w:vMerge/>
          </w:tcPr>
          <w:p w14:paraId="3C654617" w14:textId="77777777" w:rsidR="006962F6" w:rsidRDefault="006962F6" w:rsidP="006E5D36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6962F6" w14:paraId="52D5D6BF" w14:textId="77777777" w:rsidTr="006E5D36">
        <w:tc>
          <w:tcPr>
            <w:tcW w:w="9062" w:type="dxa"/>
            <w:gridSpan w:val="5"/>
            <w:vAlign w:val="center"/>
          </w:tcPr>
          <w:p w14:paraId="4255060C" w14:textId="77777777" w:rsidR="006962F6" w:rsidRDefault="006962F6" w:rsidP="006E5D3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Primary NIV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(NIV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failure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intubation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)</w:t>
            </w:r>
          </w:p>
        </w:tc>
      </w:tr>
      <w:tr w:rsidR="00790E88" w14:paraId="3DAB06AE" w14:textId="77777777" w:rsidTr="006E5D36">
        <w:tc>
          <w:tcPr>
            <w:tcW w:w="1812" w:type="dxa"/>
          </w:tcPr>
          <w:p w14:paraId="709C35CD" w14:textId="77777777" w:rsidR="00790E88" w:rsidRPr="00433B38" w:rsidRDefault="00790E88" w:rsidP="00790E8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433B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30-mortality</w:t>
            </w:r>
          </w:p>
        </w:tc>
        <w:tc>
          <w:tcPr>
            <w:tcW w:w="1812" w:type="dxa"/>
            <w:vAlign w:val="center"/>
          </w:tcPr>
          <w:p w14:paraId="33C8E033" w14:textId="6CABA601" w:rsidR="00790E88" w:rsidRPr="00716245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127/240 (52.9)</w:t>
            </w:r>
          </w:p>
        </w:tc>
        <w:tc>
          <w:tcPr>
            <w:tcW w:w="1812" w:type="dxa"/>
            <w:vAlign w:val="center"/>
          </w:tcPr>
          <w:p w14:paraId="3C4DDF91" w14:textId="47E69B99" w:rsidR="00790E88" w:rsidRPr="00716245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92/180 (51.1)</w:t>
            </w:r>
          </w:p>
        </w:tc>
        <w:tc>
          <w:tcPr>
            <w:tcW w:w="1813" w:type="dxa"/>
            <w:vAlign w:val="center"/>
          </w:tcPr>
          <w:p w14:paraId="12868BC1" w14:textId="221088CB" w:rsidR="00790E88" w:rsidRPr="00716245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106/184 (57.6)</w:t>
            </w:r>
          </w:p>
        </w:tc>
        <w:tc>
          <w:tcPr>
            <w:tcW w:w="1813" w:type="dxa"/>
            <w:vAlign w:val="center"/>
          </w:tcPr>
          <w:p w14:paraId="4EAC28EE" w14:textId="77777777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915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0.61</w:t>
            </w:r>
          </w:p>
        </w:tc>
      </w:tr>
      <w:tr w:rsidR="00790E88" w14:paraId="5C72802E" w14:textId="77777777" w:rsidTr="006E5D36">
        <w:tc>
          <w:tcPr>
            <w:tcW w:w="1812" w:type="dxa"/>
          </w:tcPr>
          <w:p w14:paraId="652C2158" w14:textId="77777777" w:rsidR="00790E88" w:rsidRPr="00433B38" w:rsidRDefault="00790E88" w:rsidP="00790E8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433B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NIV </w:t>
            </w:r>
            <w:proofErr w:type="spellStart"/>
            <w:r w:rsidRPr="00433B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failure</w:t>
            </w:r>
            <w:proofErr w:type="spellEnd"/>
            <w:r w:rsidRPr="00433B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14:paraId="69080887" w14:textId="4F4E7E41" w:rsidR="00790E88" w:rsidRPr="00716245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16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191/239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(79.9)</w:t>
            </w:r>
          </w:p>
        </w:tc>
        <w:tc>
          <w:tcPr>
            <w:tcW w:w="1812" w:type="dxa"/>
            <w:vAlign w:val="center"/>
          </w:tcPr>
          <w:p w14:paraId="743C21E5" w14:textId="05670832" w:rsidR="00790E88" w:rsidRPr="00716245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16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132/180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(73.3)</w:t>
            </w:r>
          </w:p>
        </w:tc>
        <w:tc>
          <w:tcPr>
            <w:tcW w:w="1813" w:type="dxa"/>
            <w:vAlign w:val="center"/>
          </w:tcPr>
          <w:p w14:paraId="41ED3BE3" w14:textId="3A181D06" w:rsidR="00790E88" w:rsidRPr="00716245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16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134/184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(72.8)</w:t>
            </w:r>
          </w:p>
        </w:tc>
        <w:tc>
          <w:tcPr>
            <w:tcW w:w="1813" w:type="dxa"/>
            <w:vAlign w:val="center"/>
          </w:tcPr>
          <w:p w14:paraId="451F4A4F" w14:textId="77777777" w:rsidR="00790E88" w:rsidRPr="00951EFC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951E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0.1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</w:t>
            </w:r>
          </w:p>
        </w:tc>
      </w:tr>
      <w:tr w:rsidR="006962F6" w14:paraId="7F8C2602" w14:textId="77777777" w:rsidTr="006E5D36">
        <w:tc>
          <w:tcPr>
            <w:tcW w:w="9062" w:type="dxa"/>
            <w:gridSpan w:val="5"/>
            <w:vAlign w:val="center"/>
          </w:tcPr>
          <w:p w14:paraId="2FAC497E" w14:textId="77777777" w:rsidR="006962F6" w:rsidRDefault="006962F6" w:rsidP="006E5D3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Primary NIV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LST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limitation</w:t>
            </w:r>
            <w:proofErr w:type="spellEnd"/>
          </w:p>
        </w:tc>
      </w:tr>
      <w:tr w:rsidR="00790E88" w14:paraId="1B7327FD" w14:textId="77777777" w:rsidTr="006E5D36">
        <w:tc>
          <w:tcPr>
            <w:tcW w:w="1812" w:type="dxa"/>
          </w:tcPr>
          <w:p w14:paraId="3E9B269E" w14:textId="77777777" w:rsidR="00790E88" w:rsidRPr="00433B38" w:rsidRDefault="00790E88" w:rsidP="00790E8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433B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30-mortality</w:t>
            </w:r>
          </w:p>
        </w:tc>
        <w:tc>
          <w:tcPr>
            <w:tcW w:w="1812" w:type="dxa"/>
            <w:vAlign w:val="center"/>
          </w:tcPr>
          <w:p w14:paraId="61255A08" w14:textId="364F80A7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93/198 (47.0)</w:t>
            </w:r>
          </w:p>
        </w:tc>
        <w:tc>
          <w:tcPr>
            <w:tcW w:w="1812" w:type="dxa"/>
            <w:vAlign w:val="center"/>
          </w:tcPr>
          <w:p w14:paraId="70FBCE8D" w14:textId="6D6D08A1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62/145 (42.8)</w:t>
            </w:r>
          </w:p>
        </w:tc>
        <w:tc>
          <w:tcPr>
            <w:tcW w:w="1813" w:type="dxa"/>
            <w:vAlign w:val="center"/>
          </w:tcPr>
          <w:p w14:paraId="072FFBC6" w14:textId="58B404FB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51/123 (41.5)</w:t>
            </w:r>
          </w:p>
        </w:tc>
        <w:tc>
          <w:tcPr>
            <w:tcW w:w="1813" w:type="dxa"/>
            <w:vAlign w:val="center"/>
          </w:tcPr>
          <w:p w14:paraId="56DA9AD8" w14:textId="77777777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0.39</w:t>
            </w:r>
          </w:p>
        </w:tc>
      </w:tr>
      <w:tr w:rsidR="00790E88" w14:paraId="73FA153F" w14:textId="77777777" w:rsidTr="006E5D36">
        <w:tc>
          <w:tcPr>
            <w:tcW w:w="1812" w:type="dxa"/>
          </w:tcPr>
          <w:p w14:paraId="2BD1CE62" w14:textId="77777777" w:rsidR="00790E88" w:rsidRPr="00433B38" w:rsidRDefault="00790E88" w:rsidP="00790E8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433B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Intubation </w:t>
            </w:r>
          </w:p>
        </w:tc>
        <w:tc>
          <w:tcPr>
            <w:tcW w:w="1812" w:type="dxa"/>
            <w:vAlign w:val="center"/>
          </w:tcPr>
          <w:p w14:paraId="2AE7454B" w14:textId="0227390E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153/198 (77.3)</w:t>
            </w:r>
          </w:p>
        </w:tc>
        <w:tc>
          <w:tcPr>
            <w:tcW w:w="1812" w:type="dxa"/>
            <w:vAlign w:val="center"/>
          </w:tcPr>
          <w:p w14:paraId="055A10DC" w14:textId="4D9A2F46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94/145 (64.8)</w:t>
            </w:r>
          </w:p>
        </w:tc>
        <w:tc>
          <w:tcPr>
            <w:tcW w:w="1813" w:type="dxa"/>
            <w:vAlign w:val="center"/>
          </w:tcPr>
          <w:p w14:paraId="6B458DC1" w14:textId="3C0CF873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72/123 (58.5)</w:t>
            </w:r>
          </w:p>
        </w:tc>
        <w:tc>
          <w:tcPr>
            <w:tcW w:w="1813" w:type="dxa"/>
            <w:vAlign w:val="center"/>
          </w:tcPr>
          <w:p w14:paraId="665C0A0A" w14:textId="77777777" w:rsidR="00790E88" w:rsidRPr="00B915DA" w:rsidRDefault="00790E88" w:rsidP="00790E8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107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0.001</w:t>
            </w:r>
          </w:p>
        </w:tc>
      </w:tr>
    </w:tbl>
    <w:p w14:paraId="3CDA4953" w14:textId="0432EDF2" w:rsidR="00790E88" w:rsidRDefault="00790E88" w:rsidP="00211702">
      <w:pPr>
        <w:rPr>
          <w:rFonts w:ascii="Times New Roman" w:hAnsi="Times New Roman" w:cs="Times New Roman"/>
          <w:sz w:val="24"/>
          <w:szCs w:val="24"/>
        </w:rPr>
      </w:pPr>
    </w:p>
    <w:p w14:paraId="30DF07B3" w14:textId="6BD1DDE5" w:rsidR="00790E88" w:rsidRPr="00790E88" w:rsidRDefault="00790E88" w:rsidP="00790E88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Footnote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are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presented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n/N (%)</w:t>
      </w:r>
    </w:p>
    <w:p w14:paraId="1AC64413" w14:textId="432E561B" w:rsidR="00790E88" w:rsidRDefault="00790E88" w:rsidP="00790E88">
      <w:pPr>
        <w:rPr>
          <w:rFonts w:ascii="Times New Roman" w:hAnsi="Times New Roman" w:cs="Times New Roman"/>
          <w:sz w:val="24"/>
          <w:szCs w:val="24"/>
        </w:rPr>
      </w:pPr>
    </w:p>
    <w:p w14:paraId="63AA3567" w14:textId="77777777" w:rsidR="006962F6" w:rsidRPr="00790E88" w:rsidRDefault="006962F6" w:rsidP="00790E88">
      <w:pPr>
        <w:rPr>
          <w:rFonts w:ascii="Times New Roman" w:hAnsi="Times New Roman" w:cs="Times New Roman"/>
          <w:sz w:val="24"/>
          <w:szCs w:val="24"/>
        </w:rPr>
        <w:sectPr w:rsidR="006962F6" w:rsidRPr="00790E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3107DA" w14:textId="50C9C97B" w:rsidR="00281149" w:rsidRDefault="00281149" w:rsidP="002811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F4ED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401E">
        <w:rPr>
          <w:rFonts w:ascii="Times New Roman" w:hAnsi="Times New Roman" w:cs="Times New Roman"/>
          <w:sz w:val="24"/>
          <w:szCs w:val="24"/>
        </w:rPr>
        <w:t xml:space="preserve"> NIV</w:t>
      </w:r>
      <w:r>
        <w:rPr>
          <w:rFonts w:ascii="Times New Roman" w:hAnsi="Times New Roman" w:cs="Times New Roman"/>
          <w:sz w:val="24"/>
          <w:szCs w:val="24"/>
        </w:rPr>
        <w:t xml:space="preserve"> and IMV.</w:t>
      </w:r>
    </w:p>
    <w:p w14:paraId="15E8B1E6" w14:textId="77777777" w:rsidR="0049401E" w:rsidRDefault="0049401E" w:rsidP="001852E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780" w:type="dxa"/>
        <w:tblLook w:val="04A0" w:firstRow="1" w:lastRow="0" w:firstColumn="1" w:lastColumn="0" w:noHBand="0" w:noVBand="1"/>
      </w:tblPr>
      <w:tblGrid>
        <w:gridCol w:w="3380"/>
        <w:gridCol w:w="2120"/>
        <w:gridCol w:w="2120"/>
        <w:gridCol w:w="1160"/>
      </w:tblGrid>
      <w:tr w:rsidR="00B77943" w:rsidRPr="00B77943" w14:paraId="13499193" w14:textId="77777777" w:rsidTr="00E651FB">
        <w:trPr>
          <w:trHeight w:val="290"/>
        </w:trPr>
        <w:tc>
          <w:tcPr>
            <w:tcW w:w="3380" w:type="dxa"/>
            <w:shd w:val="clear" w:color="auto" w:fill="E7E6E6" w:themeFill="background2"/>
            <w:noWrap/>
            <w:hideMark/>
          </w:tcPr>
          <w:p w14:paraId="3AF01572" w14:textId="092DC079" w:rsidR="00B77943" w:rsidRPr="00B77943" w:rsidRDefault="00B77943" w:rsidP="00B779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6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Characteristics</w:t>
            </w:r>
            <w:proofErr w:type="spellEnd"/>
          </w:p>
        </w:tc>
        <w:tc>
          <w:tcPr>
            <w:tcW w:w="2120" w:type="dxa"/>
            <w:shd w:val="clear" w:color="auto" w:fill="E7E6E6" w:themeFill="background2"/>
            <w:noWrap/>
            <w:hideMark/>
          </w:tcPr>
          <w:p w14:paraId="34AFCB1B" w14:textId="77777777" w:rsidR="00E651FB" w:rsidRDefault="00B77943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B7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Primary</w:t>
            </w:r>
            <w:proofErr w:type="spellEnd"/>
            <w:r w:rsidRPr="00B7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IMV</w:t>
            </w:r>
            <w:r w:rsidRPr="00E6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27737D4C" w14:textId="2DFC9296" w:rsidR="00B77943" w:rsidRPr="00B77943" w:rsidRDefault="00E651FB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(n=</w:t>
            </w:r>
            <w:r w:rsidR="00B77943" w:rsidRPr="00B7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1876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0" w:type="dxa"/>
            <w:shd w:val="clear" w:color="auto" w:fill="E7E6E6" w:themeFill="background2"/>
            <w:noWrap/>
            <w:hideMark/>
          </w:tcPr>
          <w:p w14:paraId="72752552" w14:textId="77777777" w:rsidR="00B77943" w:rsidRDefault="00B77943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B7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Primary</w:t>
            </w:r>
            <w:proofErr w:type="spellEnd"/>
            <w:r w:rsidRPr="00B7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NIV</w:t>
            </w:r>
          </w:p>
          <w:p w14:paraId="149AA002" w14:textId="4EC059DC" w:rsidR="00E651FB" w:rsidRPr="00B77943" w:rsidRDefault="00E651FB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(n=630)</w:t>
            </w:r>
          </w:p>
        </w:tc>
        <w:tc>
          <w:tcPr>
            <w:tcW w:w="1160" w:type="dxa"/>
            <w:shd w:val="clear" w:color="auto" w:fill="E7E6E6" w:themeFill="background2"/>
            <w:noWrap/>
            <w:hideMark/>
          </w:tcPr>
          <w:p w14:paraId="0AF92693" w14:textId="62950C45" w:rsidR="00B77943" w:rsidRPr="00B77943" w:rsidRDefault="00B77943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</w:t>
            </w:r>
            <w:r w:rsidRPr="00E6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-</w:t>
            </w:r>
            <w:proofErr w:type="spellStart"/>
            <w:r w:rsidRPr="00E6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value</w:t>
            </w:r>
            <w:proofErr w:type="spellEnd"/>
          </w:p>
        </w:tc>
      </w:tr>
      <w:tr w:rsidR="004550C4" w:rsidRPr="00B77943" w14:paraId="31393A74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08626269" w14:textId="7240E014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Age,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(SD) [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20" w:type="dxa"/>
            <w:noWrap/>
            <w:hideMark/>
          </w:tcPr>
          <w:p w14:paraId="41661DDA" w14:textId="7B0297B5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75.1 (4.2)</w:t>
            </w:r>
          </w:p>
        </w:tc>
        <w:tc>
          <w:tcPr>
            <w:tcW w:w="2120" w:type="dxa"/>
            <w:noWrap/>
            <w:hideMark/>
          </w:tcPr>
          <w:p w14:paraId="05940785" w14:textId="143BA241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76.8 (4.9)</w:t>
            </w:r>
          </w:p>
        </w:tc>
        <w:tc>
          <w:tcPr>
            <w:tcW w:w="1160" w:type="dxa"/>
            <w:noWrap/>
            <w:hideMark/>
          </w:tcPr>
          <w:p w14:paraId="1AF12C32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4550C4" w:rsidRPr="00B77943" w14:paraId="729656FB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7B844822" w14:textId="09CAB3C3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CD031F2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517 (27.6)</w:t>
            </w:r>
          </w:p>
        </w:tc>
        <w:tc>
          <w:tcPr>
            <w:tcW w:w="2120" w:type="dxa"/>
            <w:noWrap/>
            <w:hideMark/>
          </w:tcPr>
          <w:p w14:paraId="7A18D279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181 (28.7)</w:t>
            </w:r>
          </w:p>
        </w:tc>
        <w:tc>
          <w:tcPr>
            <w:tcW w:w="1160" w:type="dxa"/>
            <w:noWrap/>
            <w:hideMark/>
          </w:tcPr>
          <w:p w14:paraId="254F69B0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0.606</w:t>
            </w:r>
          </w:p>
        </w:tc>
      </w:tr>
      <w:tr w:rsidR="004550C4" w:rsidRPr="00B77943" w14:paraId="6F7B495E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0C93D76B" w14:textId="15056379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BMI [kg/m2]</w:t>
            </w:r>
          </w:p>
        </w:tc>
        <w:tc>
          <w:tcPr>
            <w:tcW w:w="2120" w:type="dxa"/>
            <w:noWrap/>
            <w:hideMark/>
          </w:tcPr>
          <w:p w14:paraId="1EBBDDA5" w14:textId="4D610DCC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27.</w:t>
            </w:r>
            <w:r w:rsidR="0034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34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5.0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30.</w:t>
            </w:r>
            <w:r w:rsidR="0034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0" w:type="dxa"/>
            <w:noWrap/>
            <w:hideMark/>
          </w:tcPr>
          <w:p w14:paraId="2832B824" w14:textId="16E5E49F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27.65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24.</w:t>
            </w:r>
            <w:r w:rsidR="0034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31.</w:t>
            </w:r>
            <w:r w:rsidR="0034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60" w:type="dxa"/>
            <w:noWrap/>
            <w:hideMark/>
          </w:tcPr>
          <w:p w14:paraId="3CCF1592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0.899</w:t>
            </w:r>
          </w:p>
        </w:tc>
      </w:tr>
      <w:tr w:rsidR="004550C4" w:rsidRPr="00B77943" w14:paraId="05B2BF83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7395F616" w14:textId="61E4689F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Prior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hospitalization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20" w:type="dxa"/>
            <w:noWrap/>
            <w:hideMark/>
          </w:tcPr>
          <w:p w14:paraId="5B0E9B0F" w14:textId="174ACD08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2.0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1.0, 5.0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0" w:type="dxa"/>
            <w:noWrap/>
            <w:hideMark/>
          </w:tcPr>
          <w:p w14:paraId="5A5F6C09" w14:textId="55B4645D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2.0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1.0, 5.0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60" w:type="dxa"/>
            <w:noWrap/>
            <w:hideMark/>
          </w:tcPr>
          <w:p w14:paraId="19C06A17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0.390</w:t>
            </w:r>
          </w:p>
        </w:tc>
      </w:tr>
      <w:tr w:rsidR="004550C4" w:rsidRPr="00B77943" w14:paraId="5D0257A1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3569BF2F" w14:textId="033BCD54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Duration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hospitalization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20" w:type="dxa"/>
            <w:noWrap/>
            <w:hideMark/>
          </w:tcPr>
          <w:p w14:paraId="34D84990" w14:textId="0F0D964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7.0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4.0, 10.0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0" w:type="dxa"/>
            <w:noWrap/>
            <w:hideMark/>
          </w:tcPr>
          <w:p w14:paraId="688AEAD5" w14:textId="42446A72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6.0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3.0, 9.0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60" w:type="dxa"/>
            <w:noWrap/>
            <w:hideMark/>
          </w:tcPr>
          <w:p w14:paraId="345FDF32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0.003</w:t>
            </w:r>
          </w:p>
        </w:tc>
      </w:tr>
      <w:tr w:rsidR="004550C4" w:rsidRPr="00B77943" w14:paraId="15132E4B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3DE8ACDB" w14:textId="59D2A16F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2120" w:type="dxa"/>
            <w:noWrap/>
            <w:hideMark/>
          </w:tcPr>
          <w:p w14:paraId="223C2095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609 (32.5)</w:t>
            </w:r>
          </w:p>
        </w:tc>
        <w:tc>
          <w:tcPr>
            <w:tcW w:w="2120" w:type="dxa"/>
            <w:noWrap/>
            <w:hideMark/>
          </w:tcPr>
          <w:p w14:paraId="77BAB17E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241 (38.4)</w:t>
            </w:r>
          </w:p>
        </w:tc>
        <w:tc>
          <w:tcPr>
            <w:tcW w:w="1160" w:type="dxa"/>
            <w:noWrap/>
            <w:hideMark/>
          </w:tcPr>
          <w:p w14:paraId="503825E9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0.009</w:t>
            </w:r>
          </w:p>
        </w:tc>
      </w:tr>
      <w:tr w:rsidR="004550C4" w:rsidRPr="00B77943" w14:paraId="2B5A71C9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1BE3B423" w14:textId="7EB02C6C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Ischemic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98261BC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380 (20.5)</w:t>
            </w:r>
          </w:p>
        </w:tc>
        <w:tc>
          <w:tcPr>
            <w:tcW w:w="2120" w:type="dxa"/>
            <w:noWrap/>
            <w:hideMark/>
          </w:tcPr>
          <w:p w14:paraId="69EC138E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158 (25.5)</w:t>
            </w:r>
          </w:p>
        </w:tc>
        <w:tc>
          <w:tcPr>
            <w:tcW w:w="1160" w:type="dxa"/>
            <w:noWrap/>
            <w:hideMark/>
          </w:tcPr>
          <w:p w14:paraId="20B71983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0.010</w:t>
            </w:r>
          </w:p>
        </w:tc>
      </w:tr>
      <w:tr w:rsidR="004550C4" w:rsidRPr="00B77943" w14:paraId="6FAA6DF9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47CBF287" w14:textId="258ECFD7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renal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623FBF5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249 (13.3)</w:t>
            </w:r>
          </w:p>
        </w:tc>
        <w:tc>
          <w:tcPr>
            <w:tcW w:w="2120" w:type="dxa"/>
            <w:noWrap/>
            <w:hideMark/>
          </w:tcPr>
          <w:p w14:paraId="5D85DAD1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134 (21.4)</w:t>
            </w:r>
          </w:p>
        </w:tc>
        <w:tc>
          <w:tcPr>
            <w:tcW w:w="1160" w:type="dxa"/>
            <w:noWrap/>
            <w:hideMark/>
          </w:tcPr>
          <w:p w14:paraId="732864A8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4550C4" w:rsidRPr="00B77943" w14:paraId="5810E76D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7849EDDA" w14:textId="033E60D0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Arterial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736C2E6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1229 (65.6)</w:t>
            </w:r>
          </w:p>
        </w:tc>
        <w:tc>
          <w:tcPr>
            <w:tcW w:w="2120" w:type="dxa"/>
            <w:noWrap/>
            <w:hideMark/>
          </w:tcPr>
          <w:p w14:paraId="1ADFD164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418 (66.7)</w:t>
            </w:r>
          </w:p>
        </w:tc>
        <w:tc>
          <w:tcPr>
            <w:tcW w:w="1160" w:type="dxa"/>
            <w:noWrap/>
            <w:hideMark/>
          </w:tcPr>
          <w:p w14:paraId="1770A905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0.655</w:t>
            </w:r>
          </w:p>
        </w:tc>
      </w:tr>
      <w:tr w:rsidR="004550C4" w:rsidRPr="00B77943" w14:paraId="72761189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1B8B2CCC" w14:textId="3522BD9F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Pulmonary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5424CAD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401 (21.4)</w:t>
            </w:r>
          </w:p>
        </w:tc>
        <w:tc>
          <w:tcPr>
            <w:tcW w:w="2120" w:type="dxa"/>
            <w:noWrap/>
            <w:hideMark/>
          </w:tcPr>
          <w:p w14:paraId="1B845607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159 (25.4)</w:t>
            </w:r>
          </w:p>
        </w:tc>
        <w:tc>
          <w:tcPr>
            <w:tcW w:w="1160" w:type="dxa"/>
            <w:noWrap/>
            <w:hideMark/>
          </w:tcPr>
          <w:p w14:paraId="3EE50177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0.044</w:t>
            </w:r>
          </w:p>
        </w:tc>
      </w:tr>
      <w:tr w:rsidR="004550C4" w:rsidRPr="00B77943" w14:paraId="7433BE0A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368BB6C5" w14:textId="460E5485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Congestive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8EF831A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247 (13.3)</w:t>
            </w:r>
          </w:p>
        </w:tc>
        <w:tc>
          <w:tcPr>
            <w:tcW w:w="2120" w:type="dxa"/>
            <w:noWrap/>
            <w:hideMark/>
          </w:tcPr>
          <w:p w14:paraId="078546A1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104 (16.8)</w:t>
            </w:r>
          </w:p>
        </w:tc>
        <w:tc>
          <w:tcPr>
            <w:tcW w:w="1160" w:type="dxa"/>
            <w:noWrap/>
            <w:hideMark/>
          </w:tcPr>
          <w:p w14:paraId="1EF33B39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0.034</w:t>
            </w:r>
          </w:p>
        </w:tc>
      </w:tr>
      <w:tr w:rsidR="004550C4" w:rsidRPr="00B77943" w14:paraId="308C1422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000E78A7" w14:textId="13C8C980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coinfection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6374B40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414 (22.5)</w:t>
            </w:r>
          </w:p>
        </w:tc>
        <w:tc>
          <w:tcPr>
            <w:tcW w:w="2120" w:type="dxa"/>
            <w:noWrap/>
            <w:hideMark/>
          </w:tcPr>
          <w:p w14:paraId="524EB303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161 (26.4)</w:t>
            </w:r>
          </w:p>
        </w:tc>
        <w:tc>
          <w:tcPr>
            <w:tcW w:w="1160" w:type="dxa"/>
            <w:noWrap/>
            <w:hideMark/>
          </w:tcPr>
          <w:p w14:paraId="30365C9F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0.053</w:t>
            </w:r>
          </w:p>
        </w:tc>
      </w:tr>
      <w:tr w:rsidR="004550C4" w:rsidRPr="00B77943" w14:paraId="0D5FAC68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08ED2410" w14:textId="6DBC108A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SOFA score on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admission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C8D26C6" w14:textId="5E6A241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7.00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4.00, 8.00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0" w:type="dxa"/>
            <w:noWrap/>
            <w:hideMark/>
          </w:tcPr>
          <w:p w14:paraId="1E152CCF" w14:textId="35578E28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4.00 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(</w:t>
            </w: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3.00, 6.00</w:t>
            </w:r>
            <w:r w:rsidR="00E65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60" w:type="dxa"/>
            <w:noWrap/>
            <w:hideMark/>
          </w:tcPr>
          <w:p w14:paraId="2D64C17D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4550C4" w:rsidRPr="00B77943" w14:paraId="5E32978D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2A65DD03" w14:textId="66E777E2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Frailty</w:t>
            </w:r>
            <w:proofErr w:type="spellEnd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0DC7DA8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20" w:type="dxa"/>
            <w:noWrap/>
            <w:hideMark/>
          </w:tcPr>
          <w:p w14:paraId="45CD4709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noWrap/>
            <w:hideMark/>
          </w:tcPr>
          <w:p w14:paraId="6F2AF62A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4550C4" w:rsidRPr="00B77943" w14:paraId="5373E87A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55ECE472" w14:textId="6551D209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  Fit</w:t>
            </w:r>
          </w:p>
        </w:tc>
        <w:tc>
          <w:tcPr>
            <w:tcW w:w="2120" w:type="dxa"/>
            <w:noWrap/>
            <w:hideMark/>
          </w:tcPr>
          <w:p w14:paraId="7C04DCA7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1222 (71.1)</w:t>
            </w:r>
          </w:p>
        </w:tc>
        <w:tc>
          <w:tcPr>
            <w:tcW w:w="2120" w:type="dxa"/>
            <w:noWrap/>
            <w:hideMark/>
          </w:tcPr>
          <w:p w14:paraId="6191DA71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356 (59.6)</w:t>
            </w:r>
          </w:p>
        </w:tc>
        <w:tc>
          <w:tcPr>
            <w:tcW w:w="1160" w:type="dxa"/>
            <w:noWrap/>
            <w:hideMark/>
          </w:tcPr>
          <w:p w14:paraId="337610EB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550C4" w:rsidRPr="00B77943" w14:paraId="707A75EB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20AA79BF" w14:textId="309A2FBF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FB517D">
              <w:rPr>
                <w:rFonts w:ascii="Times New Roman" w:hAnsi="Times New Roman" w:cs="Times New Roman"/>
                <w:sz w:val="20"/>
                <w:szCs w:val="20"/>
              </w:rPr>
              <w:t>Frail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70D5DAB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235 (13.7)</w:t>
            </w:r>
          </w:p>
        </w:tc>
        <w:tc>
          <w:tcPr>
            <w:tcW w:w="2120" w:type="dxa"/>
            <w:noWrap/>
            <w:hideMark/>
          </w:tcPr>
          <w:p w14:paraId="66CF3552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148 (24.8)</w:t>
            </w:r>
          </w:p>
        </w:tc>
        <w:tc>
          <w:tcPr>
            <w:tcW w:w="1160" w:type="dxa"/>
            <w:noWrap/>
            <w:hideMark/>
          </w:tcPr>
          <w:p w14:paraId="363D8094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550C4" w:rsidRPr="00B77943" w14:paraId="490E45FC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250AB581" w14:textId="2ED30AC5" w:rsidR="004550C4" w:rsidRPr="00B77943" w:rsidRDefault="004550C4" w:rsidP="004550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hAnsi="Times New Roman" w:cs="Times New Roman"/>
                <w:sz w:val="20"/>
                <w:szCs w:val="20"/>
              </w:rPr>
              <w:t xml:space="preserve">   Vulnerable</w:t>
            </w:r>
          </w:p>
        </w:tc>
        <w:tc>
          <w:tcPr>
            <w:tcW w:w="2120" w:type="dxa"/>
            <w:noWrap/>
            <w:hideMark/>
          </w:tcPr>
          <w:p w14:paraId="26E1D687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262 (15.2)</w:t>
            </w:r>
          </w:p>
        </w:tc>
        <w:tc>
          <w:tcPr>
            <w:tcW w:w="2120" w:type="dxa"/>
            <w:noWrap/>
            <w:hideMark/>
          </w:tcPr>
          <w:p w14:paraId="40EFC984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93 (15.6)</w:t>
            </w:r>
          </w:p>
        </w:tc>
        <w:tc>
          <w:tcPr>
            <w:tcW w:w="1160" w:type="dxa"/>
            <w:noWrap/>
            <w:hideMark/>
          </w:tcPr>
          <w:p w14:paraId="4A12A9F0" w14:textId="77777777" w:rsidR="004550C4" w:rsidRPr="00B77943" w:rsidRDefault="004550C4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A23E0" w:rsidRPr="00B77943" w14:paraId="2C08C88F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439FC0AB" w14:textId="501B29B1" w:rsidR="005A23E0" w:rsidRPr="00B77943" w:rsidRDefault="005A23E0" w:rsidP="005A23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LST </w:t>
            </w: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limitation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2AF3E14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699 (37.7)</w:t>
            </w:r>
          </w:p>
        </w:tc>
        <w:tc>
          <w:tcPr>
            <w:tcW w:w="2120" w:type="dxa"/>
            <w:noWrap/>
            <w:hideMark/>
          </w:tcPr>
          <w:p w14:paraId="77ED7CEC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276 (44.1)</w:t>
            </w:r>
          </w:p>
        </w:tc>
        <w:tc>
          <w:tcPr>
            <w:tcW w:w="1160" w:type="dxa"/>
            <w:noWrap/>
            <w:hideMark/>
          </w:tcPr>
          <w:p w14:paraId="6CDE6D02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0.005</w:t>
            </w:r>
          </w:p>
        </w:tc>
      </w:tr>
      <w:tr w:rsidR="005A23E0" w:rsidRPr="00B77943" w14:paraId="0A41FE63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6802DFE7" w14:textId="592FD3A6" w:rsidR="005A23E0" w:rsidRPr="00B77943" w:rsidRDefault="005A23E0" w:rsidP="005A23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 </w:t>
            </w: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28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ithhold</w:t>
            </w:r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ing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1548579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547 (29.5)</w:t>
            </w:r>
          </w:p>
        </w:tc>
        <w:tc>
          <w:tcPr>
            <w:tcW w:w="2120" w:type="dxa"/>
            <w:noWrap/>
            <w:hideMark/>
          </w:tcPr>
          <w:p w14:paraId="329143A8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227 (36.3)</w:t>
            </w:r>
          </w:p>
        </w:tc>
        <w:tc>
          <w:tcPr>
            <w:tcW w:w="1160" w:type="dxa"/>
            <w:noWrap/>
            <w:hideMark/>
          </w:tcPr>
          <w:p w14:paraId="09DD4F90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0.002</w:t>
            </w:r>
          </w:p>
        </w:tc>
      </w:tr>
      <w:tr w:rsidR="005A23E0" w:rsidRPr="00B77943" w14:paraId="23160586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20C8E2D9" w14:textId="52F8E2A6" w:rsidR="005A23E0" w:rsidRPr="00B77943" w:rsidRDefault="005A23E0" w:rsidP="005A23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 </w:t>
            </w: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28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ithdraw</w:t>
            </w:r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al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5B3723A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417 (22.5)</w:t>
            </w:r>
          </w:p>
        </w:tc>
        <w:tc>
          <w:tcPr>
            <w:tcW w:w="2120" w:type="dxa"/>
            <w:noWrap/>
            <w:hideMark/>
          </w:tcPr>
          <w:p w14:paraId="6031FB47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150 (24.0)</w:t>
            </w:r>
          </w:p>
        </w:tc>
        <w:tc>
          <w:tcPr>
            <w:tcW w:w="1160" w:type="dxa"/>
            <w:noWrap/>
            <w:hideMark/>
          </w:tcPr>
          <w:p w14:paraId="7881B552" w14:textId="77777777" w:rsidR="005A23E0" w:rsidRPr="00B77943" w:rsidRDefault="005A23E0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0.495</w:t>
            </w:r>
          </w:p>
        </w:tc>
      </w:tr>
      <w:tr w:rsidR="00FB517D" w:rsidRPr="00B77943" w14:paraId="679344B8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1EDEAD8A" w14:textId="089514B7" w:rsidR="00FB517D" w:rsidRPr="00B77943" w:rsidRDefault="00FB517D" w:rsidP="00FB51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Vasopressors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FB44206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1736 (93.0)</w:t>
            </w:r>
          </w:p>
        </w:tc>
        <w:tc>
          <w:tcPr>
            <w:tcW w:w="2120" w:type="dxa"/>
            <w:noWrap/>
            <w:hideMark/>
          </w:tcPr>
          <w:p w14:paraId="2155D78B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352 (56.3)</w:t>
            </w:r>
          </w:p>
        </w:tc>
        <w:tc>
          <w:tcPr>
            <w:tcW w:w="1160" w:type="dxa"/>
            <w:noWrap/>
            <w:hideMark/>
          </w:tcPr>
          <w:p w14:paraId="753AB088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FB517D" w:rsidRPr="00B77943" w14:paraId="66A0F5E3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17C035AA" w14:textId="291DBDEC" w:rsidR="00FB517D" w:rsidRPr="00B77943" w:rsidRDefault="00FB517D" w:rsidP="00FB51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Renal</w:t>
            </w:r>
            <w:proofErr w:type="spellEnd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replacement</w:t>
            </w:r>
            <w:proofErr w:type="spellEnd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therapy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3D78709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371 (19.8)</w:t>
            </w:r>
          </w:p>
        </w:tc>
        <w:tc>
          <w:tcPr>
            <w:tcW w:w="2120" w:type="dxa"/>
            <w:noWrap/>
            <w:hideMark/>
          </w:tcPr>
          <w:p w14:paraId="3E643AAA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94 (14.9)</w:t>
            </w:r>
          </w:p>
        </w:tc>
        <w:tc>
          <w:tcPr>
            <w:tcW w:w="1160" w:type="dxa"/>
            <w:noWrap/>
            <w:hideMark/>
          </w:tcPr>
          <w:p w14:paraId="262B4FCB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0.007</w:t>
            </w:r>
          </w:p>
        </w:tc>
      </w:tr>
      <w:tr w:rsidR="00FB517D" w:rsidRPr="00B77943" w14:paraId="7482D73D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4805E8D2" w14:textId="636B5C4E" w:rsidR="00FB517D" w:rsidRPr="00B77943" w:rsidRDefault="00FB517D" w:rsidP="00FB51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Antibiotics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5C19496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1789 (95.5)</w:t>
            </w:r>
          </w:p>
        </w:tc>
        <w:tc>
          <w:tcPr>
            <w:tcW w:w="2120" w:type="dxa"/>
            <w:noWrap/>
            <w:hideMark/>
          </w:tcPr>
          <w:p w14:paraId="0E6DFF3C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557 (88.4)</w:t>
            </w:r>
          </w:p>
        </w:tc>
        <w:tc>
          <w:tcPr>
            <w:tcW w:w="1160" w:type="dxa"/>
            <w:noWrap/>
            <w:hideMark/>
          </w:tcPr>
          <w:p w14:paraId="2CE551E0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  <w:tr w:rsidR="00FB517D" w:rsidRPr="00B77943" w14:paraId="13C36E6B" w14:textId="77777777" w:rsidTr="00E651FB">
        <w:trPr>
          <w:trHeight w:val="290"/>
        </w:trPr>
        <w:tc>
          <w:tcPr>
            <w:tcW w:w="3380" w:type="dxa"/>
            <w:noWrap/>
            <w:hideMark/>
          </w:tcPr>
          <w:p w14:paraId="5A882955" w14:textId="11938147" w:rsidR="00FB517D" w:rsidRPr="00B77943" w:rsidRDefault="00FB517D" w:rsidP="00FB51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FB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Steroids</w:t>
            </w:r>
            <w:proofErr w:type="spellEnd"/>
          </w:p>
        </w:tc>
        <w:tc>
          <w:tcPr>
            <w:tcW w:w="2120" w:type="dxa"/>
            <w:noWrap/>
            <w:hideMark/>
          </w:tcPr>
          <w:p w14:paraId="34A68A8E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1239 (67.6)</w:t>
            </w:r>
          </w:p>
        </w:tc>
        <w:tc>
          <w:tcPr>
            <w:tcW w:w="2120" w:type="dxa"/>
            <w:noWrap/>
            <w:hideMark/>
          </w:tcPr>
          <w:p w14:paraId="741E39E8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467 (77.3)</w:t>
            </w:r>
          </w:p>
        </w:tc>
        <w:tc>
          <w:tcPr>
            <w:tcW w:w="1160" w:type="dxa"/>
            <w:noWrap/>
            <w:hideMark/>
          </w:tcPr>
          <w:p w14:paraId="46A06EB2" w14:textId="77777777" w:rsidR="00FB517D" w:rsidRPr="00B77943" w:rsidRDefault="00FB517D" w:rsidP="00E65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7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&lt;0.001</w:t>
            </w:r>
          </w:p>
        </w:tc>
      </w:tr>
    </w:tbl>
    <w:p w14:paraId="54805B63" w14:textId="1E052368" w:rsidR="001B2B82" w:rsidRDefault="001B2B82" w:rsidP="005F4ED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AE68" w14:textId="77777777" w:rsidR="001E3C0C" w:rsidRDefault="001E3C0C" w:rsidP="00C915C4">
      <w:pPr>
        <w:spacing w:line="240" w:lineRule="auto"/>
      </w:pPr>
      <w:r>
        <w:separator/>
      </w:r>
    </w:p>
  </w:endnote>
  <w:endnote w:type="continuationSeparator" w:id="0">
    <w:p w14:paraId="384F2497" w14:textId="77777777" w:rsidR="001E3C0C" w:rsidRDefault="001E3C0C" w:rsidP="00C9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C9B0" w14:textId="77777777" w:rsidR="001E3C0C" w:rsidRDefault="001E3C0C" w:rsidP="00C915C4">
      <w:pPr>
        <w:spacing w:line="240" w:lineRule="auto"/>
      </w:pPr>
      <w:r>
        <w:separator/>
      </w:r>
    </w:p>
  </w:footnote>
  <w:footnote w:type="continuationSeparator" w:id="0">
    <w:p w14:paraId="457F2C26" w14:textId="77777777" w:rsidR="001E3C0C" w:rsidRDefault="001E3C0C" w:rsidP="00C91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C3"/>
    <w:rsid w:val="00060C12"/>
    <w:rsid w:val="000B1354"/>
    <w:rsid w:val="000D056A"/>
    <w:rsid w:val="000D57B0"/>
    <w:rsid w:val="000E2A86"/>
    <w:rsid w:val="000F4880"/>
    <w:rsid w:val="0011544A"/>
    <w:rsid w:val="00115AC5"/>
    <w:rsid w:val="00173414"/>
    <w:rsid w:val="001852E0"/>
    <w:rsid w:val="0019142C"/>
    <w:rsid w:val="001A48E2"/>
    <w:rsid w:val="001B2B82"/>
    <w:rsid w:val="001E3C0C"/>
    <w:rsid w:val="002061A0"/>
    <w:rsid w:val="00211702"/>
    <w:rsid w:val="00223204"/>
    <w:rsid w:val="002272DA"/>
    <w:rsid w:val="00263963"/>
    <w:rsid w:val="00281149"/>
    <w:rsid w:val="002A0FE7"/>
    <w:rsid w:val="002B686D"/>
    <w:rsid w:val="002E5BE1"/>
    <w:rsid w:val="003021A3"/>
    <w:rsid w:val="00306816"/>
    <w:rsid w:val="00342A71"/>
    <w:rsid w:val="003F188B"/>
    <w:rsid w:val="003F7C64"/>
    <w:rsid w:val="00453C4B"/>
    <w:rsid w:val="004550C4"/>
    <w:rsid w:val="00456B1C"/>
    <w:rsid w:val="0049401E"/>
    <w:rsid w:val="00495AEA"/>
    <w:rsid w:val="004B31F2"/>
    <w:rsid w:val="004D0763"/>
    <w:rsid w:val="005423D3"/>
    <w:rsid w:val="005A23E0"/>
    <w:rsid w:val="005F4EDF"/>
    <w:rsid w:val="006579DC"/>
    <w:rsid w:val="00676A35"/>
    <w:rsid w:val="00683569"/>
    <w:rsid w:val="006962F6"/>
    <w:rsid w:val="006A3BCA"/>
    <w:rsid w:val="00731E2C"/>
    <w:rsid w:val="007706F1"/>
    <w:rsid w:val="00790E88"/>
    <w:rsid w:val="007F203B"/>
    <w:rsid w:val="007F3522"/>
    <w:rsid w:val="00830A9D"/>
    <w:rsid w:val="00877306"/>
    <w:rsid w:val="009A5C63"/>
    <w:rsid w:val="009A7A8A"/>
    <w:rsid w:val="009B02A9"/>
    <w:rsid w:val="009B7808"/>
    <w:rsid w:val="009D3B8E"/>
    <w:rsid w:val="00B06135"/>
    <w:rsid w:val="00B505ED"/>
    <w:rsid w:val="00B52F0D"/>
    <w:rsid w:val="00B73E89"/>
    <w:rsid w:val="00B77943"/>
    <w:rsid w:val="00BC7CB0"/>
    <w:rsid w:val="00BE423F"/>
    <w:rsid w:val="00C56E79"/>
    <w:rsid w:val="00C632F2"/>
    <w:rsid w:val="00C64E78"/>
    <w:rsid w:val="00C66E71"/>
    <w:rsid w:val="00C915C4"/>
    <w:rsid w:val="00CA6F06"/>
    <w:rsid w:val="00CC5EDA"/>
    <w:rsid w:val="00CE187C"/>
    <w:rsid w:val="00CE65E8"/>
    <w:rsid w:val="00D32C65"/>
    <w:rsid w:val="00D510FA"/>
    <w:rsid w:val="00DE4E61"/>
    <w:rsid w:val="00E058FA"/>
    <w:rsid w:val="00E34558"/>
    <w:rsid w:val="00E470BB"/>
    <w:rsid w:val="00E53C95"/>
    <w:rsid w:val="00E651FB"/>
    <w:rsid w:val="00E837DB"/>
    <w:rsid w:val="00EF587E"/>
    <w:rsid w:val="00F25A70"/>
    <w:rsid w:val="00F459C3"/>
    <w:rsid w:val="00FB517D"/>
    <w:rsid w:val="00FC2471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B57D"/>
  <w15:chartTrackingRefBased/>
  <w15:docId w15:val="{5EDAFB74-42FA-4BC4-87C3-1C0A51D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15C4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D0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C915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5C4"/>
    <w:rPr>
      <w:rFonts w:ascii="Arial" w:eastAsia="Arial" w:hAnsi="Arial" w:cs="Arial"/>
      <w:lang w:val="de" w:eastAsia="de-DE"/>
    </w:rPr>
  </w:style>
  <w:style w:type="paragraph" w:styleId="Stopka">
    <w:name w:val="footer"/>
    <w:basedOn w:val="Normalny"/>
    <w:link w:val="StopkaZnak"/>
    <w:uiPriority w:val="99"/>
    <w:unhideWhenUsed/>
    <w:rsid w:val="00C915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5C4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Polok</dc:creator>
  <cp:keywords/>
  <dc:description/>
  <cp:lastModifiedBy>Kamil Polok</cp:lastModifiedBy>
  <cp:revision>2</cp:revision>
  <dcterms:created xsi:type="dcterms:W3CDTF">2022-05-19T17:08:00Z</dcterms:created>
  <dcterms:modified xsi:type="dcterms:W3CDTF">2022-05-19T17:08:00Z</dcterms:modified>
</cp:coreProperties>
</file>