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787A5" w14:textId="1DB7ED53" w:rsidR="00FC3BA6" w:rsidRDefault="00D70559" w:rsidP="5A9C38EC">
      <w:pPr>
        <w:rPr>
          <w:b/>
          <w:bCs/>
        </w:rPr>
      </w:pPr>
      <w:r>
        <w:rPr>
          <w:b/>
          <w:bCs/>
        </w:rPr>
        <w:t xml:space="preserve">Supplementary material </w:t>
      </w:r>
      <w:r w:rsidR="005A29BC">
        <w:rPr>
          <w:b/>
          <w:bCs/>
        </w:rPr>
        <w:t>for t</w:t>
      </w:r>
      <w:r w:rsidR="005A29BC" w:rsidRPr="005A29BC">
        <w:rPr>
          <w:b/>
          <w:bCs/>
        </w:rPr>
        <w:t>he Barrier Enhancement for Eczema Prevention randomised trial 5-year results</w:t>
      </w:r>
    </w:p>
    <w:p w14:paraId="4D770A57" w14:textId="0D770886" w:rsidR="5A9C38EC" w:rsidRDefault="5A9C38EC" w:rsidP="5A9C38EC"/>
    <w:p w14:paraId="48E0C07E" w14:textId="7C2C1EFD" w:rsidR="5A9C38EC" w:rsidRDefault="5A9C38EC" w:rsidP="5A9C38EC">
      <w:pPr>
        <w:rPr>
          <w:b/>
          <w:bCs/>
        </w:rPr>
      </w:pPr>
      <w:r w:rsidRPr="5A9C38EC">
        <w:rPr>
          <w:b/>
          <w:bCs/>
        </w:rPr>
        <w:t>Methods</w:t>
      </w:r>
    </w:p>
    <w:p w14:paraId="3ACCEC61" w14:textId="0B947341" w:rsidR="5A9C38EC" w:rsidRDefault="5A9C38EC" w:rsidP="00FA2816">
      <w:pPr>
        <w:rPr>
          <w:i/>
        </w:rPr>
      </w:pPr>
      <w:r w:rsidRPr="00FA2816">
        <w:rPr>
          <w:i/>
        </w:rPr>
        <w:t xml:space="preserve">Wording of questions for outcomes </w:t>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5"/>
        <w:gridCol w:w="5387"/>
      </w:tblGrid>
      <w:tr w:rsidR="009026EA" w:rsidRPr="00247878" w14:paraId="38E2939C" w14:textId="77777777" w:rsidTr="009026EA">
        <w:trPr>
          <w:cantSplit/>
          <w:trHeight w:val="284"/>
          <w:tblHeader/>
          <w:jc w:val="center"/>
        </w:trPr>
        <w:tc>
          <w:tcPr>
            <w:tcW w:w="4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3CF6C66" w14:textId="77777777" w:rsidR="009026EA" w:rsidRPr="00247878" w:rsidRDefault="009026EA" w:rsidP="002455E8">
            <w:pPr>
              <w:rPr>
                <w:rFonts w:ascii="Calibri" w:hAnsi="Calibri" w:cs="Calibri"/>
                <w:b/>
                <w:bCs/>
              </w:rPr>
            </w:pPr>
            <w:r w:rsidRPr="00247878">
              <w:rPr>
                <w:rFonts w:ascii="Calibri" w:hAnsi="Calibri" w:cs="Calibri"/>
                <w:b/>
                <w:bCs/>
              </w:rPr>
              <w:t>Outcome measures</w:t>
            </w:r>
          </w:p>
        </w:tc>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77E71DB" w14:textId="77777777" w:rsidR="009026EA" w:rsidRPr="00247878" w:rsidRDefault="009026EA" w:rsidP="002455E8">
            <w:pPr>
              <w:rPr>
                <w:rFonts w:ascii="Calibri" w:hAnsi="Calibri" w:cs="Calibri"/>
                <w:b/>
                <w:bCs/>
              </w:rPr>
            </w:pPr>
            <w:r>
              <w:rPr>
                <w:rFonts w:ascii="Calibri" w:hAnsi="Calibri" w:cs="Calibri"/>
                <w:b/>
                <w:bCs/>
              </w:rPr>
              <w:t xml:space="preserve">Question on questionnaire </w:t>
            </w:r>
          </w:p>
        </w:tc>
      </w:tr>
      <w:tr w:rsidR="009026EA" w:rsidRPr="00247878" w14:paraId="035EB20A" w14:textId="77777777" w:rsidTr="00286ECC">
        <w:trPr>
          <w:cantSplit/>
          <w:trHeight w:val="284"/>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7459239" w14:textId="3F78924C" w:rsidR="009026EA" w:rsidRPr="00286ECC" w:rsidRDefault="0041603B" w:rsidP="00286ECC">
            <w:pPr>
              <w:spacing w:after="0"/>
              <w:rPr>
                <w:rFonts w:ascii="Calibri" w:hAnsi="Calibri" w:cs="Calibri"/>
                <w:b/>
                <w:i/>
                <w:iCs/>
              </w:rPr>
            </w:pPr>
            <w:r w:rsidRPr="00286ECC">
              <w:rPr>
                <w:rFonts w:ascii="Calibri" w:hAnsi="Calibri" w:cs="Calibri"/>
                <w:b/>
                <w:i/>
                <w:iCs/>
              </w:rPr>
              <w:t>AD</w:t>
            </w:r>
            <w:r w:rsidR="009026EA" w:rsidRPr="00286ECC">
              <w:rPr>
                <w:rFonts w:ascii="Calibri" w:hAnsi="Calibri" w:cs="Calibri"/>
                <w:b/>
                <w:i/>
                <w:iCs/>
              </w:rPr>
              <w:t xml:space="preserve"> related</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73078AA4" w14:textId="77777777" w:rsidR="009026EA" w:rsidRPr="00286ECC" w:rsidRDefault="009026EA" w:rsidP="00286ECC">
            <w:pPr>
              <w:rPr>
                <w:rFonts w:ascii="Calibri" w:hAnsi="Calibri" w:cs="Calibri"/>
                <w:b/>
                <w:bCs/>
              </w:rPr>
            </w:pPr>
          </w:p>
        </w:tc>
      </w:tr>
      <w:tr w:rsidR="009026EA" w:rsidRPr="00247878" w14:paraId="6241C842" w14:textId="77777777" w:rsidTr="009026EA">
        <w:trPr>
          <w:trHeight w:val="397"/>
          <w:jc w:val="center"/>
        </w:trPr>
        <w:tc>
          <w:tcPr>
            <w:tcW w:w="4815" w:type="dxa"/>
            <w:tcBorders>
              <w:top w:val="single" w:sz="4" w:space="0" w:color="auto"/>
              <w:left w:val="single" w:sz="4" w:space="0" w:color="auto"/>
              <w:bottom w:val="single" w:sz="4" w:space="0" w:color="auto"/>
              <w:right w:val="single" w:sz="4" w:space="0" w:color="auto"/>
            </w:tcBorders>
          </w:tcPr>
          <w:p w14:paraId="62E0D1DE" w14:textId="7151DA46" w:rsidR="009026EA" w:rsidRPr="00247878" w:rsidRDefault="009026EA" w:rsidP="0041603B">
            <w:pPr>
              <w:contextualSpacing/>
              <w:rPr>
                <w:rFonts w:ascii="Calibri" w:hAnsi="Calibri" w:cs="Calibri"/>
              </w:rPr>
            </w:pPr>
            <w:r w:rsidRPr="00247878">
              <w:rPr>
                <w:rFonts w:ascii="Calibri" w:hAnsi="Calibri" w:cs="Calibri"/>
              </w:rPr>
              <w:t xml:space="preserve">Presence of </w:t>
            </w:r>
            <w:r w:rsidR="0041603B">
              <w:rPr>
                <w:rFonts w:ascii="Calibri" w:hAnsi="Calibri" w:cs="Calibri"/>
              </w:rPr>
              <w:t xml:space="preserve">AD </w:t>
            </w:r>
            <w:r w:rsidR="00286ECC">
              <w:rPr>
                <w:rFonts w:ascii="Calibri" w:hAnsi="Calibri" w:cs="Calibri"/>
              </w:rPr>
              <w:t>in the previous year at 3, 4 and 5 years</w:t>
            </w:r>
            <w:r w:rsidRPr="00247878">
              <w:rPr>
                <w:rFonts w:ascii="Calibri" w:hAnsi="Calibri" w:cs="Calibri"/>
              </w:rPr>
              <w:t xml:space="preserve"> based on parental report o</w:t>
            </w:r>
            <w:r w:rsidR="0041603B">
              <w:rPr>
                <w:rFonts w:ascii="Calibri" w:hAnsi="Calibri" w:cs="Calibri"/>
              </w:rPr>
              <w:t>f a clinical diagnosis of AD</w:t>
            </w:r>
            <w:r w:rsidRPr="00247878">
              <w:rPr>
                <w:rFonts w:ascii="Calibri" w:hAnsi="Calibri" w:cs="Calibri"/>
              </w:rPr>
              <w:t>.</w:t>
            </w:r>
          </w:p>
        </w:tc>
        <w:tc>
          <w:tcPr>
            <w:tcW w:w="5387" w:type="dxa"/>
            <w:tcBorders>
              <w:top w:val="single" w:sz="4" w:space="0" w:color="auto"/>
              <w:left w:val="single" w:sz="4" w:space="0" w:color="auto"/>
              <w:bottom w:val="single" w:sz="4" w:space="0" w:color="auto"/>
              <w:right w:val="single" w:sz="4" w:space="0" w:color="auto"/>
            </w:tcBorders>
          </w:tcPr>
          <w:p w14:paraId="65E0203E" w14:textId="77777777" w:rsidR="009026EA" w:rsidRPr="00247878" w:rsidRDefault="009026EA" w:rsidP="002455E8">
            <w:pPr>
              <w:contextualSpacing/>
              <w:rPr>
                <w:rFonts w:ascii="Calibri" w:hAnsi="Calibri" w:cs="Arial"/>
                <w:b/>
              </w:rPr>
            </w:pPr>
            <w:r w:rsidRPr="00247878">
              <w:rPr>
                <w:rFonts w:ascii="Calibri" w:hAnsi="Calibri" w:cs="Calibri"/>
              </w:rPr>
              <w:t>“In the last year, has your child been diagnosed with eczema by a doctor or a nurse?”</w:t>
            </w:r>
            <w:r>
              <w:t xml:space="preserve"> </w:t>
            </w:r>
            <w:r w:rsidRPr="004D3662">
              <w:rPr>
                <w:rFonts w:ascii="Calibri" w:hAnsi="Calibri" w:cs="Calibri"/>
              </w:rPr>
              <w:t>(36, 48 and 60 months</w:t>
            </w:r>
            <w:r>
              <w:rPr>
                <w:rFonts w:ascii="Calibri" w:hAnsi="Calibri" w:cs="Calibri"/>
              </w:rPr>
              <w:t>)</w:t>
            </w:r>
          </w:p>
        </w:tc>
      </w:tr>
      <w:tr w:rsidR="009026EA" w:rsidRPr="00247878" w14:paraId="030603F7" w14:textId="77777777" w:rsidTr="009026EA">
        <w:trPr>
          <w:trHeight w:val="397"/>
          <w:jc w:val="center"/>
        </w:trPr>
        <w:tc>
          <w:tcPr>
            <w:tcW w:w="4815" w:type="dxa"/>
            <w:tcBorders>
              <w:top w:val="single" w:sz="4" w:space="0" w:color="auto"/>
              <w:left w:val="single" w:sz="4" w:space="0" w:color="auto"/>
              <w:bottom w:val="single" w:sz="4" w:space="0" w:color="auto"/>
              <w:right w:val="single" w:sz="4" w:space="0" w:color="auto"/>
            </w:tcBorders>
          </w:tcPr>
          <w:p w14:paraId="10AC6EBC" w14:textId="2E03CB86" w:rsidR="009026EA" w:rsidRPr="00247878" w:rsidRDefault="009026EA" w:rsidP="002455E8">
            <w:pPr>
              <w:contextualSpacing/>
              <w:rPr>
                <w:rFonts w:ascii="Arial" w:hAnsi="Arial" w:cs="Arial"/>
                <w:sz w:val="20"/>
              </w:rPr>
            </w:pPr>
            <w:r w:rsidRPr="00247878">
              <w:rPr>
                <w:rFonts w:ascii="Calibri" w:hAnsi="Calibri" w:cs="Calibri"/>
              </w:rPr>
              <w:t>Any parental report that in their opinion their child has eczema at 3, 6, 12,</w:t>
            </w:r>
            <w:r w:rsidR="00286ECC">
              <w:rPr>
                <w:rFonts w:ascii="Calibri" w:hAnsi="Calibri" w:cs="Calibri"/>
              </w:rPr>
              <w:t xml:space="preserve"> 18 months, 2, 3, 4 and 5 years</w:t>
            </w:r>
          </w:p>
        </w:tc>
        <w:tc>
          <w:tcPr>
            <w:tcW w:w="5387" w:type="dxa"/>
            <w:tcBorders>
              <w:top w:val="single" w:sz="4" w:space="0" w:color="auto"/>
              <w:left w:val="single" w:sz="4" w:space="0" w:color="auto"/>
              <w:bottom w:val="single" w:sz="4" w:space="0" w:color="auto"/>
              <w:right w:val="single" w:sz="4" w:space="0" w:color="auto"/>
            </w:tcBorders>
          </w:tcPr>
          <w:p w14:paraId="4220E535" w14:textId="77777777" w:rsidR="009026EA" w:rsidRPr="00247878" w:rsidRDefault="009026EA" w:rsidP="002455E8">
            <w:pPr>
              <w:contextualSpacing/>
              <w:rPr>
                <w:rFonts w:ascii="Calibri" w:hAnsi="Calibri" w:cs="Calibri"/>
              </w:rPr>
            </w:pPr>
            <w:r w:rsidRPr="00247878">
              <w:rPr>
                <w:rFonts w:ascii="Calibri" w:hAnsi="Calibri" w:cs="Calibri"/>
              </w:rPr>
              <w:t xml:space="preserve">“In the last xx months/year, has your child suffered from any of the following skin problems?” (last xx months/year is time period since last questionnaire) with response options of Impetigo, Eczema, Chicken pox, Facial spots, Cradle cap or None of these. </w:t>
            </w:r>
            <w:r>
              <w:rPr>
                <w:rFonts w:ascii="Calibri" w:hAnsi="Calibri" w:cs="Calibri"/>
              </w:rPr>
              <w:t xml:space="preserve"> </w:t>
            </w:r>
            <w:r w:rsidRPr="00247878">
              <w:rPr>
                <w:rFonts w:ascii="Calibri" w:hAnsi="Calibri" w:cs="Calibri"/>
              </w:rPr>
              <w:t xml:space="preserve">(3, 6, 12, </w:t>
            </w:r>
            <w:r>
              <w:rPr>
                <w:rFonts w:ascii="Calibri" w:hAnsi="Calibri" w:cs="Calibri"/>
              </w:rPr>
              <w:t xml:space="preserve">18, </w:t>
            </w:r>
            <w:r w:rsidRPr="00247878">
              <w:rPr>
                <w:rFonts w:ascii="Calibri" w:hAnsi="Calibri" w:cs="Calibri"/>
              </w:rPr>
              <w:t>24, 36, 48 and 60 months)</w:t>
            </w:r>
          </w:p>
        </w:tc>
      </w:tr>
      <w:tr w:rsidR="009026EA" w:rsidRPr="00247878" w14:paraId="5452E45D" w14:textId="77777777" w:rsidTr="009026EA">
        <w:trPr>
          <w:trHeight w:val="397"/>
          <w:jc w:val="center"/>
        </w:trPr>
        <w:tc>
          <w:tcPr>
            <w:tcW w:w="4815" w:type="dxa"/>
            <w:tcBorders>
              <w:top w:val="single" w:sz="4" w:space="0" w:color="auto"/>
              <w:left w:val="single" w:sz="4" w:space="0" w:color="auto"/>
              <w:bottom w:val="single" w:sz="4" w:space="0" w:color="auto"/>
              <w:right w:val="single" w:sz="4" w:space="0" w:color="auto"/>
            </w:tcBorders>
          </w:tcPr>
          <w:p w14:paraId="18D2C8D0" w14:textId="77777777" w:rsidR="009026EA" w:rsidRPr="00286ECC" w:rsidRDefault="009026EA" w:rsidP="00286ECC">
            <w:pPr>
              <w:spacing w:after="0"/>
              <w:rPr>
                <w:rFonts w:ascii="Calibri" w:hAnsi="Calibri" w:cs="Calibri"/>
                <w:b/>
                <w:i/>
                <w:iCs/>
              </w:rPr>
            </w:pPr>
            <w:r w:rsidRPr="00286ECC">
              <w:rPr>
                <w:rFonts w:ascii="Calibri" w:hAnsi="Calibri" w:cs="Calibri"/>
                <w:b/>
                <w:i/>
                <w:iCs/>
              </w:rPr>
              <w:t>Other atopic diseases</w:t>
            </w:r>
          </w:p>
        </w:tc>
        <w:tc>
          <w:tcPr>
            <w:tcW w:w="5387" w:type="dxa"/>
            <w:tcBorders>
              <w:top w:val="single" w:sz="4" w:space="0" w:color="auto"/>
              <w:left w:val="single" w:sz="4" w:space="0" w:color="auto"/>
              <w:bottom w:val="single" w:sz="4" w:space="0" w:color="auto"/>
              <w:right w:val="single" w:sz="4" w:space="0" w:color="auto"/>
            </w:tcBorders>
          </w:tcPr>
          <w:p w14:paraId="696EA23D" w14:textId="77777777" w:rsidR="009026EA" w:rsidRPr="00286ECC" w:rsidRDefault="009026EA" w:rsidP="00286ECC">
            <w:pPr>
              <w:spacing w:after="0"/>
              <w:rPr>
                <w:rFonts w:ascii="Calibri" w:hAnsi="Calibri" w:cs="Arial"/>
                <w:b/>
              </w:rPr>
            </w:pPr>
          </w:p>
        </w:tc>
      </w:tr>
      <w:tr w:rsidR="009026EA" w:rsidRPr="00247878" w14:paraId="128976A9" w14:textId="77777777" w:rsidTr="009026EA">
        <w:trPr>
          <w:cantSplit/>
          <w:trHeight w:val="397"/>
          <w:jc w:val="center"/>
        </w:trPr>
        <w:tc>
          <w:tcPr>
            <w:tcW w:w="4815" w:type="dxa"/>
            <w:tcBorders>
              <w:top w:val="single" w:sz="4" w:space="0" w:color="auto"/>
              <w:left w:val="single" w:sz="4" w:space="0" w:color="auto"/>
              <w:bottom w:val="single" w:sz="4" w:space="0" w:color="auto"/>
              <w:right w:val="single" w:sz="4" w:space="0" w:color="auto"/>
            </w:tcBorders>
          </w:tcPr>
          <w:p w14:paraId="0B0F9456" w14:textId="07DAAC2D" w:rsidR="009026EA" w:rsidRPr="00247878" w:rsidRDefault="009026EA" w:rsidP="002455E8">
            <w:pPr>
              <w:rPr>
                <w:rFonts w:ascii="Calibri" w:hAnsi="Calibri" w:cs="Calibri"/>
              </w:rPr>
            </w:pPr>
            <w:r>
              <w:rPr>
                <w:rFonts w:ascii="Calibri" w:hAnsi="Calibri" w:cs="Calibri"/>
              </w:rPr>
              <w:t>Parental reported wheezing</w:t>
            </w:r>
            <w:r w:rsidRPr="00247878">
              <w:rPr>
                <w:rFonts w:ascii="Calibri" w:hAnsi="Calibri" w:cs="Calibri"/>
              </w:rPr>
              <w:t xml:space="preserve"> at </w:t>
            </w:r>
            <w:r w:rsidR="00462ADC">
              <w:rPr>
                <w:rFonts w:ascii="Calibri" w:hAnsi="Calibri" w:cs="Calibri"/>
              </w:rPr>
              <w:t>3, 4 and 5 years</w:t>
            </w:r>
          </w:p>
          <w:p w14:paraId="6FBA64D5" w14:textId="77777777" w:rsidR="009026EA" w:rsidRPr="00247878" w:rsidRDefault="009026EA" w:rsidP="002455E8">
            <w:pPr>
              <w:rPr>
                <w:rFonts w:ascii="Calibri" w:hAnsi="Calibri" w:cs="Calibri"/>
                <w:color w:val="8496B0" w:themeColor="text2" w:themeTint="99"/>
              </w:rPr>
            </w:pPr>
          </w:p>
        </w:tc>
        <w:tc>
          <w:tcPr>
            <w:tcW w:w="5387" w:type="dxa"/>
            <w:tcBorders>
              <w:top w:val="single" w:sz="4" w:space="0" w:color="auto"/>
              <w:left w:val="single" w:sz="4" w:space="0" w:color="auto"/>
              <w:bottom w:val="single" w:sz="4" w:space="0" w:color="auto"/>
              <w:right w:val="single" w:sz="4" w:space="0" w:color="auto"/>
            </w:tcBorders>
          </w:tcPr>
          <w:p w14:paraId="5CBB250E" w14:textId="77777777" w:rsidR="009026EA" w:rsidRPr="00247878" w:rsidRDefault="009026EA" w:rsidP="002455E8">
            <w:pPr>
              <w:snapToGrid w:val="0"/>
              <w:rPr>
                <w:rFonts w:ascii="Calibri" w:hAnsi="Calibri" w:cs="Calibri"/>
              </w:rPr>
            </w:pPr>
            <w:r w:rsidRPr="00247878">
              <w:rPr>
                <w:rFonts w:ascii="Calibri" w:hAnsi="Calibri" w:cs="Calibri"/>
              </w:rPr>
              <w:t>“In the last year, has your child had any wheezing or whistling in the chest?”</w:t>
            </w:r>
            <w:r>
              <w:rPr>
                <w:rFonts w:ascii="Calibri" w:hAnsi="Calibri" w:cs="Calibri"/>
              </w:rPr>
              <w:t xml:space="preserve"> </w:t>
            </w:r>
            <w:r w:rsidRPr="004D3662">
              <w:rPr>
                <w:rFonts w:ascii="Calibri" w:hAnsi="Calibri" w:cs="Calibri"/>
              </w:rPr>
              <w:t>(36, 48 and 60 months</w:t>
            </w:r>
            <w:r>
              <w:rPr>
                <w:rFonts w:ascii="Calibri" w:hAnsi="Calibri" w:cs="Calibri"/>
              </w:rPr>
              <w:t>)</w:t>
            </w:r>
          </w:p>
        </w:tc>
      </w:tr>
      <w:tr w:rsidR="009026EA" w:rsidRPr="00247878" w14:paraId="2EE59070" w14:textId="77777777" w:rsidTr="009026EA">
        <w:trPr>
          <w:trHeight w:val="397"/>
          <w:jc w:val="center"/>
        </w:trPr>
        <w:tc>
          <w:tcPr>
            <w:tcW w:w="4815" w:type="dxa"/>
            <w:tcBorders>
              <w:top w:val="single" w:sz="4" w:space="0" w:color="auto"/>
              <w:left w:val="single" w:sz="4" w:space="0" w:color="auto"/>
              <w:bottom w:val="single" w:sz="4" w:space="0" w:color="auto"/>
              <w:right w:val="single" w:sz="4" w:space="0" w:color="auto"/>
            </w:tcBorders>
          </w:tcPr>
          <w:p w14:paraId="3E99EC70" w14:textId="41E16F96" w:rsidR="009026EA" w:rsidRPr="00247878" w:rsidRDefault="009026EA" w:rsidP="002455E8">
            <w:pPr>
              <w:rPr>
                <w:rFonts w:ascii="Calibri" w:hAnsi="Calibri" w:cs="Calibri"/>
              </w:rPr>
            </w:pPr>
            <w:r w:rsidRPr="00247878">
              <w:rPr>
                <w:rFonts w:ascii="Calibri" w:hAnsi="Calibri" w:cs="Calibri"/>
              </w:rPr>
              <w:t xml:space="preserve">Parental reported allergic rhinitis at </w:t>
            </w:r>
            <w:r w:rsidR="00462ADC">
              <w:rPr>
                <w:rFonts w:ascii="Calibri" w:hAnsi="Calibri" w:cs="Calibri"/>
              </w:rPr>
              <w:t>3, 4 and 5 years</w:t>
            </w:r>
          </w:p>
          <w:p w14:paraId="3210639F" w14:textId="77777777" w:rsidR="009026EA" w:rsidRPr="00247878" w:rsidRDefault="009026EA" w:rsidP="002455E8">
            <w:pPr>
              <w:rPr>
                <w:rFonts w:ascii="Calibri" w:hAnsi="Calibri" w:cs="Calibri"/>
                <w:color w:val="8496B0" w:themeColor="text2" w:themeTint="99"/>
              </w:rPr>
            </w:pPr>
          </w:p>
        </w:tc>
        <w:tc>
          <w:tcPr>
            <w:tcW w:w="5387" w:type="dxa"/>
            <w:tcBorders>
              <w:top w:val="single" w:sz="4" w:space="0" w:color="auto"/>
              <w:left w:val="single" w:sz="4" w:space="0" w:color="auto"/>
              <w:bottom w:val="single" w:sz="4" w:space="0" w:color="auto"/>
              <w:right w:val="single" w:sz="4" w:space="0" w:color="auto"/>
            </w:tcBorders>
          </w:tcPr>
          <w:p w14:paraId="39CAA9EC" w14:textId="77777777" w:rsidR="009026EA" w:rsidRPr="00247878" w:rsidRDefault="009026EA" w:rsidP="002455E8">
            <w:pPr>
              <w:snapToGrid w:val="0"/>
              <w:rPr>
                <w:rFonts w:ascii="Calibri" w:hAnsi="Calibri" w:cs="Calibri"/>
              </w:rPr>
            </w:pPr>
            <w:r w:rsidRPr="00247878">
              <w:rPr>
                <w:rFonts w:ascii="Calibri" w:hAnsi="Calibri" w:cs="Calibri"/>
              </w:rPr>
              <w:t>“In the last year, has your child had a problem with sneezing or a runny or blocked nose when he/she did NOT have a cold or the flu?”</w:t>
            </w:r>
            <w:r>
              <w:rPr>
                <w:rFonts w:ascii="Calibri" w:hAnsi="Calibri" w:cs="Calibri"/>
              </w:rPr>
              <w:t xml:space="preserve"> </w:t>
            </w:r>
            <w:r w:rsidRPr="004D3662">
              <w:rPr>
                <w:rFonts w:ascii="Calibri" w:hAnsi="Calibri" w:cs="Calibri"/>
              </w:rPr>
              <w:t>(36, 48 and 60 months</w:t>
            </w:r>
            <w:r>
              <w:rPr>
                <w:rFonts w:ascii="Calibri" w:hAnsi="Calibri" w:cs="Calibri"/>
              </w:rPr>
              <w:t>)</w:t>
            </w:r>
          </w:p>
        </w:tc>
      </w:tr>
      <w:tr w:rsidR="009026EA" w:rsidRPr="00247878" w14:paraId="3DDFFDEF" w14:textId="77777777" w:rsidTr="009026EA">
        <w:trPr>
          <w:trHeight w:val="397"/>
          <w:jc w:val="center"/>
        </w:trPr>
        <w:tc>
          <w:tcPr>
            <w:tcW w:w="4815" w:type="dxa"/>
            <w:tcBorders>
              <w:top w:val="single" w:sz="4" w:space="0" w:color="auto"/>
              <w:left w:val="single" w:sz="4" w:space="0" w:color="auto"/>
              <w:bottom w:val="single" w:sz="4" w:space="0" w:color="auto"/>
              <w:right w:val="single" w:sz="4" w:space="0" w:color="auto"/>
            </w:tcBorders>
          </w:tcPr>
          <w:p w14:paraId="37E2DA07" w14:textId="66229C50" w:rsidR="009026EA" w:rsidRPr="00247878" w:rsidRDefault="009026EA" w:rsidP="002455E8">
            <w:pPr>
              <w:rPr>
                <w:rFonts w:ascii="Calibri" w:hAnsi="Calibri" w:cs="Calibri"/>
              </w:rPr>
            </w:pPr>
            <w:r w:rsidRPr="00247878">
              <w:rPr>
                <w:rFonts w:ascii="Calibri" w:hAnsi="Calibri" w:cs="Calibri"/>
              </w:rPr>
              <w:t xml:space="preserve">Parental reported food allergy symptoms at </w:t>
            </w:r>
            <w:r w:rsidR="00462ADC">
              <w:rPr>
                <w:rFonts w:ascii="Calibri" w:hAnsi="Calibri" w:cs="Calibri"/>
              </w:rPr>
              <w:t>3, 4 and 5 years</w:t>
            </w:r>
          </w:p>
          <w:p w14:paraId="14D30102" w14:textId="77777777" w:rsidR="009026EA" w:rsidRPr="00247878" w:rsidRDefault="009026EA" w:rsidP="002455E8">
            <w:pPr>
              <w:rPr>
                <w:rFonts w:ascii="Calibri" w:hAnsi="Calibri" w:cs="Calibri"/>
              </w:rPr>
            </w:pPr>
          </w:p>
        </w:tc>
        <w:tc>
          <w:tcPr>
            <w:tcW w:w="5387" w:type="dxa"/>
            <w:tcBorders>
              <w:top w:val="single" w:sz="4" w:space="0" w:color="auto"/>
              <w:left w:val="single" w:sz="4" w:space="0" w:color="auto"/>
              <w:bottom w:val="single" w:sz="4" w:space="0" w:color="auto"/>
              <w:right w:val="single" w:sz="4" w:space="0" w:color="auto"/>
            </w:tcBorders>
          </w:tcPr>
          <w:p w14:paraId="7DDA619F" w14:textId="77777777" w:rsidR="009026EA" w:rsidRPr="00247878" w:rsidRDefault="009026EA" w:rsidP="002455E8">
            <w:pPr>
              <w:rPr>
                <w:rFonts w:ascii="Calibri" w:hAnsi="Calibri" w:cs="Arial"/>
              </w:rPr>
            </w:pPr>
            <w:r>
              <w:rPr>
                <w:rFonts w:ascii="Calibri" w:hAnsi="Calibri" w:cs="Arial"/>
              </w:rPr>
              <w:t>At 36, 48 and 60 months, parents were asked whether in the</w:t>
            </w:r>
            <w:r w:rsidRPr="00247878">
              <w:rPr>
                <w:rFonts w:ascii="Calibri" w:hAnsi="Calibri" w:cs="Arial"/>
              </w:rPr>
              <w:t xml:space="preserve"> their child has had a reaction to any food containing </w:t>
            </w:r>
            <w:r>
              <w:rPr>
                <w:rFonts w:ascii="Calibri" w:hAnsi="Calibri" w:cs="Arial"/>
              </w:rPr>
              <w:t xml:space="preserve">(i) </w:t>
            </w:r>
            <w:r w:rsidRPr="00247878">
              <w:rPr>
                <w:rFonts w:ascii="Calibri" w:hAnsi="Calibri" w:cs="Arial"/>
              </w:rPr>
              <w:t>cow’s milk,</w:t>
            </w:r>
            <w:r>
              <w:rPr>
                <w:rFonts w:ascii="Calibri" w:hAnsi="Calibri" w:cs="Arial"/>
              </w:rPr>
              <w:t xml:space="preserve"> (ii)</w:t>
            </w:r>
            <w:r w:rsidRPr="00247878">
              <w:rPr>
                <w:rFonts w:ascii="Calibri" w:hAnsi="Calibri" w:cs="Arial"/>
              </w:rPr>
              <w:t xml:space="preserve"> egg, </w:t>
            </w:r>
            <w:r>
              <w:rPr>
                <w:rFonts w:ascii="Calibri" w:hAnsi="Calibri" w:cs="Arial"/>
              </w:rPr>
              <w:t xml:space="preserve">(iii) </w:t>
            </w:r>
            <w:r w:rsidRPr="00247878">
              <w:rPr>
                <w:rFonts w:ascii="Calibri" w:hAnsi="Calibri" w:cs="Arial"/>
              </w:rPr>
              <w:t xml:space="preserve">nuts or </w:t>
            </w:r>
            <w:r>
              <w:rPr>
                <w:rFonts w:ascii="Calibri" w:hAnsi="Calibri" w:cs="Arial"/>
              </w:rPr>
              <w:t xml:space="preserve"> (iv) </w:t>
            </w:r>
            <w:r w:rsidRPr="00247878">
              <w:rPr>
                <w:rFonts w:ascii="Calibri" w:hAnsi="Calibri" w:cs="Arial"/>
              </w:rPr>
              <w:t>any other food</w:t>
            </w:r>
            <w:r>
              <w:rPr>
                <w:rFonts w:ascii="Calibri" w:hAnsi="Calibri" w:cs="Arial"/>
              </w:rPr>
              <w:t xml:space="preserve"> in the last year</w:t>
            </w:r>
            <w:r w:rsidRPr="00247878">
              <w:rPr>
                <w:rFonts w:ascii="Calibri" w:hAnsi="Calibri" w:cs="Arial"/>
              </w:rPr>
              <w:t>. For cow’s milk, egg and nuts</w:t>
            </w:r>
            <w:r>
              <w:rPr>
                <w:rFonts w:ascii="Calibri" w:hAnsi="Calibri" w:cs="Arial"/>
              </w:rPr>
              <w:t xml:space="preserve"> there was also a question on</w:t>
            </w:r>
            <w:r w:rsidRPr="00247878">
              <w:rPr>
                <w:rFonts w:ascii="Calibri" w:hAnsi="Calibri" w:cs="Arial"/>
              </w:rPr>
              <w:t xml:space="preserve"> the time from eating the food to the reaction with response options of: within 30 minutes, 30-60 minutes later, 1-2 hours later and more than 2 hours later. </w:t>
            </w:r>
          </w:p>
        </w:tc>
      </w:tr>
      <w:tr w:rsidR="009026EA" w:rsidRPr="00247878" w14:paraId="50F25ED0" w14:textId="77777777" w:rsidTr="009026EA">
        <w:trPr>
          <w:trHeight w:val="397"/>
          <w:jc w:val="center"/>
        </w:trPr>
        <w:tc>
          <w:tcPr>
            <w:tcW w:w="4815" w:type="dxa"/>
            <w:tcBorders>
              <w:top w:val="single" w:sz="4" w:space="0" w:color="auto"/>
              <w:left w:val="single" w:sz="4" w:space="0" w:color="auto"/>
              <w:bottom w:val="single" w:sz="4" w:space="0" w:color="auto"/>
              <w:right w:val="single" w:sz="4" w:space="0" w:color="auto"/>
            </w:tcBorders>
          </w:tcPr>
          <w:p w14:paraId="551D8653" w14:textId="6CAE3C81" w:rsidR="009026EA" w:rsidRPr="00247878" w:rsidRDefault="009026EA" w:rsidP="002455E8">
            <w:pPr>
              <w:rPr>
                <w:rFonts w:ascii="Calibri" w:hAnsi="Calibri" w:cs="Calibri"/>
              </w:rPr>
            </w:pPr>
            <w:r w:rsidRPr="00247878">
              <w:rPr>
                <w:rFonts w:ascii="Calibri" w:hAnsi="Calibri" w:cs="Calibri"/>
              </w:rPr>
              <w:t>Parental report of a clinical diagnosis of asthma o</w:t>
            </w:r>
            <w:r w:rsidR="00462ADC">
              <w:rPr>
                <w:rFonts w:ascii="Calibri" w:hAnsi="Calibri" w:cs="Calibri"/>
              </w:rPr>
              <w:t>r allergic rhinitis by 5 years</w:t>
            </w:r>
            <w:r w:rsidRPr="00247878">
              <w:rPr>
                <w:rFonts w:ascii="Calibri" w:hAnsi="Calibri" w:cs="Calibri"/>
              </w:rPr>
              <w:t>.</w:t>
            </w:r>
          </w:p>
        </w:tc>
        <w:tc>
          <w:tcPr>
            <w:tcW w:w="5387" w:type="dxa"/>
            <w:tcBorders>
              <w:top w:val="single" w:sz="4" w:space="0" w:color="auto"/>
              <w:left w:val="single" w:sz="4" w:space="0" w:color="auto"/>
              <w:bottom w:val="single" w:sz="4" w:space="0" w:color="auto"/>
              <w:right w:val="single" w:sz="4" w:space="0" w:color="auto"/>
            </w:tcBorders>
          </w:tcPr>
          <w:p w14:paraId="68B70973" w14:textId="77777777" w:rsidR="009026EA" w:rsidRPr="00247878" w:rsidRDefault="009026EA" w:rsidP="002455E8">
            <w:pPr>
              <w:rPr>
                <w:rFonts w:ascii="Calibri" w:hAnsi="Calibri" w:cs="Arial"/>
              </w:rPr>
            </w:pPr>
            <w:r w:rsidRPr="00247878">
              <w:rPr>
                <w:rFonts w:ascii="Calibri" w:hAnsi="Calibri" w:cs="Arial"/>
              </w:rPr>
              <w:t xml:space="preserve">On the 60 month questionnaire, “Has your child ever been diagnosed with asthma by a doctor or nurse?” and “Has your child ever been diagnosed with </w:t>
            </w:r>
            <w:proofErr w:type="spellStart"/>
            <w:r w:rsidRPr="00247878">
              <w:rPr>
                <w:rFonts w:ascii="Calibri" w:hAnsi="Calibri" w:cs="Arial"/>
              </w:rPr>
              <w:t>hayfever</w:t>
            </w:r>
            <w:proofErr w:type="spellEnd"/>
            <w:r w:rsidRPr="00247878">
              <w:rPr>
                <w:rFonts w:ascii="Calibri" w:hAnsi="Calibri" w:cs="Arial"/>
              </w:rPr>
              <w:t xml:space="preserve"> by a doctor or nurse?”</w:t>
            </w:r>
          </w:p>
        </w:tc>
      </w:tr>
      <w:tr w:rsidR="009026EA" w:rsidRPr="00247878" w14:paraId="129FFC1E" w14:textId="77777777" w:rsidTr="009026EA">
        <w:trPr>
          <w:cantSplit/>
          <w:trHeight w:val="397"/>
          <w:jc w:val="center"/>
        </w:trPr>
        <w:tc>
          <w:tcPr>
            <w:tcW w:w="4815" w:type="dxa"/>
            <w:tcBorders>
              <w:top w:val="single" w:sz="4" w:space="0" w:color="auto"/>
              <w:left w:val="single" w:sz="4" w:space="0" w:color="auto"/>
              <w:bottom w:val="single" w:sz="4" w:space="0" w:color="auto"/>
              <w:right w:val="single" w:sz="4" w:space="0" w:color="auto"/>
            </w:tcBorders>
          </w:tcPr>
          <w:p w14:paraId="7D2C29D3" w14:textId="0EC164C8" w:rsidR="009026EA" w:rsidRPr="00247878" w:rsidRDefault="009026EA" w:rsidP="002455E8">
            <w:pPr>
              <w:rPr>
                <w:rFonts w:ascii="Calibri" w:hAnsi="Calibri" w:cs="Calibri"/>
              </w:rPr>
            </w:pPr>
            <w:r w:rsidRPr="00247878">
              <w:rPr>
                <w:rFonts w:ascii="Calibri" w:hAnsi="Calibri" w:cs="Calibri"/>
              </w:rPr>
              <w:t xml:space="preserve">Parental report of a clinical diagnosis of food allergy at </w:t>
            </w:r>
            <w:r w:rsidR="00462ADC">
              <w:rPr>
                <w:rFonts w:ascii="Calibri" w:hAnsi="Calibri" w:cs="Calibri"/>
              </w:rPr>
              <w:t>3, 4 and 5 years</w:t>
            </w:r>
          </w:p>
        </w:tc>
        <w:tc>
          <w:tcPr>
            <w:tcW w:w="5387" w:type="dxa"/>
            <w:tcBorders>
              <w:top w:val="single" w:sz="4" w:space="0" w:color="auto"/>
              <w:left w:val="single" w:sz="4" w:space="0" w:color="auto"/>
              <w:bottom w:val="single" w:sz="4" w:space="0" w:color="auto"/>
              <w:right w:val="single" w:sz="4" w:space="0" w:color="auto"/>
            </w:tcBorders>
          </w:tcPr>
          <w:p w14:paraId="224D82CF" w14:textId="77777777" w:rsidR="009026EA" w:rsidRPr="00247878" w:rsidRDefault="009026EA" w:rsidP="002455E8">
            <w:pPr>
              <w:rPr>
                <w:rFonts w:ascii="Calibri" w:hAnsi="Calibri" w:cs="Arial"/>
              </w:rPr>
            </w:pPr>
            <w:r w:rsidRPr="00247878">
              <w:rPr>
                <w:rFonts w:ascii="Calibri" w:hAnsi="Calibri" w:cs="Arial"/>
              </w:rPr>
              <w:t>“In the last year has your child been diagnosed with any food allergy by a doctor?”</w:t>
            </w:r>
            <w:r>
              <w:t xml:space="preserve"> </w:t>
            </w:r>
            <w:r w:rsidRPr="004D3662">
              <w:rPr>
                <w:rFonts w:ascii="Calibri" w:hAnsi="Calibri" w:cs="Arial"/>
              </w:rPr>
              <w:t>(36, 48 and 60 months)</w:t>
            </w:r>
          </w:p>
        </w:tc>
      </w:tr>
    </w:tbl>
    <w:p w14:paraId="5916382A" w14:textId="5F98F2A5" w:rsidR="00FA2816" w:rsidRDefault="00FA2816" w:rsidP="00FA2816">
      <w:pPr>
        <w:rPr>
          <w:i/>
        </w:rPr>
      </w:pPr>
    </w:p>
    <w:p w14:paraId="09A18D38" w14:textId="77777777" w:rsidR="00FA2816" w:rsidRPr="00FA2816" w:rsidRDefault="00FA2816" w:rsidP="00FA2816">
      <w:pPr>
        <w:rPr>
          <w:rFonts w:eastAsiaTheme="minorEastAsia"/>
          <w:b/>
          <w:bCs/>
          <w:i/>
        </w:rPr>
      </w:pPr>
    </w:p>
    <w:p w14:paraId="47CC489D" w14:textId="01CAB51A" w:rsidR="00313F35" w:rsidRDefault="00313F35">
      <w:pPr>
        <w:rPr>
          <w:i/>
        </w:rPr>
      </w:pPr>
    </w:p>
    <w:p w14:paraId="542DEA29" w14:textId="254E4C27" w:rsidR="5A9C38EC" w:rsidRPr="00FA2816" w:rsidRDefault="5A9C38EC" w:rsidP="00FA2816">
      <w:pPr>
        <w:rPr>
          <w:b/>
          <w:bCs/>
          <w:i/>
        </w:rPr>
      </w:pPr>
      <w:r w:rsidRPr="00FA2816">
        <w:rPr>
          <w:i/>
        </w:rPr>
        <w:lastRenderedPageBreak/>
        <w:t>Further details of statistical methods</w:t>
      </w:r>
    </w:p>
    <w:p w14:paraId="7A4920C9" w14:textId="06C11DB2" w:rsidR="00FA2816" w:rsidRDefault="00FA2816" w:rsidP="00FA2816">
      <w:pPr>
        <w:spacing w:line="276" w:lineRule="auto"/>
        <w:rPr>
          <w:rFonts w:ascii="Calibri" w:eastAsia="Verdana" w:hAnsi="Calibri" w:cs="Tahoma"/>
        </w:rPr>
      </w:pPr>
      <w:r w:rsidRPr="002F04BA">
        <w:rPr>
          <w:rFonts w:ascii="Calibri" w:eastAsia="Verdana" w:hAnsi="Calibri" w:cs="Tahoma"/>
        </w:rPr>
        <w:t>Multiple imputati</w:t>
      </w:r>
      <w:r>
        <w:rPr>
          <w:rFonts w:ascii="Calibri" w:eastAsia="Verdana" w:hAnsi="Calibri" w:cs="Tahoma"/>
        </w:rPr>
        <w:t>on using chained equations was</w:t>
      </w:r>
      <w:r w:rsidRPr="002F04BA">
        <w:rPr>
          <w:rFonts w:ascii="Calibri" w:eastAsia="Verdana" w:hAnsi="Calibri" w:cs="Tahoma"/>
        </w:rPr>
        <w:t xml:space="preserve"> used to impute missing</w:t>
      </w:r>
      <w:r w:rsidR="00DB7DBB">
        <w:rPr>
          <w:rFonts w:ascii="Calibri" w:eastAsia="Verdana" w:hAnsi="Calibri" w:cs="Tahoma"/>
        </w:rPr>
        <w:t xml:space="preserve"> outcomes collected at 5 years</w:t>
      </w:r>
      <w:r w:rsidRPr="002F04BA">
        <w:rPr>
          <w:rFonts w:ascii="Calibri" w:eastAsia="Verdana" w:hAnsi="Calibri" w:cs="Tahoma"/>
        </w:rPr>
        <w:t xml:space="preserve"> on parental report of a clinical diagnosis of asthma and parental report of a clinical diagnosis of allergic rhinitis and the derived outcomes of parental report of a clinical diagnosis of </w:t>
      </w:r>
      <w:r w:rsidR="0041603B">
        <w:rPr>
          <w:rFonts w:ascii="Calibri" w:eastAsia="Verdana" w:hAnsi="Calibri" w:cs="Tahoma"/>
        </w:rPr>
        <w:t>AD</w:t>
      </w:r>
      <w:r w:rsidRPr="002F04BA">
        <w:rPr>
          <w:rFonts w:ascii="Calibri" w:eastAsia="Verdana" w:hAnsi="Calibri" w:cs="Tahoma"/>
        </w:rPr>
        <w:t xml:space="preserve"> from the age of 12 months to 60 months and parental report of a clinical diagnosis o</w:t>
      </w:r>
      <w:r w:rsidR="00DB7DBB">
        <w:rPr>
          <w:rFonts w:ascii="Calibri" w:eastAsia="Verdana" w:hAnsi="Calibri" w:cs="Tahoma"/>
        </w:rPr>
        <w:t>f food allergy by 5 years</w:t>
      </w:r>
      <w:r w:rsidRPr="002F04BA">
        <w:rPr>
          <w:rFonts w:ascii="Calibri" w:eastAsia="Verdana" w:hAnsi="Calibri" w:cs="Tahoma"/>
        </w:rPr>
        <w:t>.</w:t>
      </w:r>
      <w:r w:rsidRPr="009D1FFD">
        <w:t xml:space="preserve"> </w:t>
      </w:r>
      <w:r w:rsidRPr="009D1FFD">
        <w:rPr>
          <w:rFonts w:ascii="Calibri" w:eastAsia="Verdana" w:hAnsi="Calibri" w:cs="Tahoma"/>
        </w:rPr>
        <w:t>The following variables wer</w:t>
      </w:r>
      <w:r>
        <w:rPr>
          <w:rFonts w:ascii="Calibri" w:eastAsia="Verdana" w:hAnsi="Calibri" w:cs="Tahoma"/>
        </w:rPr>
        <w:t>e used in the imputation model: a</w:t>
      </w:r>
      <w:r w:rsidRPr="009D1FFD">
        <w:rPr>
          <w:rFonts w:ascii="Calibri" w:eastAsia="Verdana" w:hAnsi="Calibri" w:cs="Tahoma"/>
        </w:rPr>
        <w:t>ll</w:t>
      </w:r>
      <w:r>
        <w:rPr>
          <w:rFonts w:ascii="Calibri" w:eastAsia="Verdana" w:hAnsi="Calibri" w:cs="Tahoma"/>
        </w:rPr>
        <w:t>ocated group, r</w:t>
      </w:r>
      <w:r w:rsidRPr="009D1FFD">
        <w:rPr>
          <w:rFonts w:ascii="Calibri" w:eastAsia="Verdana" w:hAnsi="Calibri" w:cs="Tahoma"/>
        </w:rPr>
        <w:t>andomisation stratification var</w:t>
      </w:r>
      <w:r>
        <w:rPr>
          <w:rFonts w:ascii="Calibri" w:eastAsia="Verdana" w:hAnsi="Calibri" w:cs="Tahoma"/>
        </w:rPr>
        <w:t>iables (</w:t>
      </w:r>
      <w:r w:rsidRPr="009D1FFD">
        <w:rPr>
          <w:rFonts w:ascii="Calibri" w:eastAsia="Verdana" w:hAnsi="Calibri" w:cs="Tahoma"/>
        </w:rPr>
        <w:t>centre, number of immediate family members with atopic d</w:t>
      </w:r>
      <w:r>
        <w:rPr>
          <w:rFonts w:ascii="Calibri" w:eastAsia="Verdana" w:hAnsi="Calibri" w:cs="Tahoma"/>
        </w:rPr>
        <w:t xml:space="preserve">isease) and </w:t>
      </w:r>
      <w:r w:rsidRPr="009D1FFD">
        <w:rPr>
          <w:rFonts w:ascii="Calibri" w:eastAsia="Verdana" w:hAnsi="Calibri" w:cs="Tahoma"/>
        </w:rPr>
        <w:t>baseline variables identified as predictive of drop-out (by examination only)</w:t>
      </w:r>
      <w:r w:rsidR="00913762">
        <w:rPr>
          <w:rFonts w:ascii="Calibri" w:eastAsia="Verdana" w:hAnsi="Calibri" w:cs="Tahoma"/>
        </w:rPr>
        <w:t xml:space="preserve">: </w:t>
      </w:r>
      <w:r w:rsidR="00913762" w:rsidRPr="00913762">
        <w:rPr>
          <w:rFonts w:ascii="Calibri" w:eastAsia="Verdana" w:hAnsi="Calibri" w:cs="Tahoma"/>
        </w:rPr>
        <w:t xml:space="preserve">mothers age at randomisation, number of other children in </w:t>
      </w:r>
      <w:r w:rsidR="00913762">
        <w:rPr>
          <w:rFonts w:ascii="Calibri" w:eastAsia="Verdana" w:hAnsi="Calibri" w:cs="Tahoma"/>
        </w:rPr>
        <w:t xml:space="preserve">the household at randomisation and </w:t>
      </w:r>
      <w:r w:rsidR="00913762" w:rsidRPr="00913762">
        <w:rPr>
          <w:rFonts w:ascii="Calibri" w:eastAsia="Verdana" w:hAnsi="Calibri" w:cs="Tahoma"/>
        </w:rPr>
        <w:t>decile of index of multiple deprivation</w:t>
      </w:r>
      <w:r w:rsidRPr="009D1FFD">
        <w:rPr>
          <w:rFonts w:ascii="Calibri" w:eastAsia="Verdana" w:hAnsi="Calibri" w:cs="Tahoma"/>
        </w:rPr>
        <w:t xml:space="preserve">. </w:t>
      </w:r>
      <w:r>
        <w:rPr>
          <w:rFonts w:ascii="Calibri" w:eastAsia="Verdana" w:hAnsi="Calibri" w:cs="Tahoma"/>
        </w:rPr>
        <w:t>Fifty</w:t>
      </w:r>
      <w:r w:rsidRPr="002B06FF">
        <w:rPr>
          <w:rFonts w:ascii="Calibri" w:eastAsia="Verdana" w:hAnsi="Calibri" w:cs="Tahoma"/>
        </w:rPr>
        <w:t xml:space="preserve"> datasets were imputed</w:t>
      </w:r>
      <w:r>
        <w:rPr>
          <w:rFonts w:ascii="Calibri" w:eastAsia="Verdana" w:hAnsi="Calibri" w:cs="Tahoma"/>
        </w:rPr>
        <w:t xml:space="preserve">. </w:t>
      </w:r>
    </w:p>
    <w:p w14:paraId="627BB076" w14:textId="77777777" w:rsidR="00FA2816" w:rsidRDefault="00FA2816" w:rsidP="00FA2816">
      <w:pPr>
        <w:spacing w:line="276" w:lineRule="auto"/>
        <w:rPr>
          <w:rFonts w:ascii="Calibri" w:eastAsia="Verdana" w:hAnsi="Calibri" w:cs="Tahoma"/>
        </w:rPr>
      </w:pPr>
    </w:p>
    <w:p w14:paraId="4C565922" w14:textId="53A21B16" w:rsidR="00FA2816" w:rsidRDefault="00FA2816" w:rsidP="008C6D72">
      <w:pPr>
        <w:spacing w:line="276" w:lineRule="auto"/>
        <w:rPr>
          <w:rFonts w:ascii="Calibri" w:hAnsi="Calibri"/>
        </w:rPr>
      </w:pPr>
      <w:r>
        <w:rPr>
          <w:rFonts w:ascii="Calibri" w:hAnsi="Calibri"/>
        </w:rPr>
        <w:t xml:space="preserve">To explore the robustness of the results to the missing at random </w:t>
      </w:r>
      <w:r w:rsidR="008C3FFB">
        <w:rPr>
          <w:rFonts w:ascii="Calibri" w:hAnsi="Calibri"/>
        </w:rPr>
        <w:t xml:space="preserve">(MAR) </w:t>
      </w:r>
      <w:r>
        <w:rPr>
          <w:rFonts w:ascii="Calibri" w:hAnsi="Calibri"/>
        </w:rPr>
        <w:t xml:space="preserve">assumption, sensitivity analysis </w:t>
      </w:r>
      <w:r w:rsidR="00937C4E">
        <w:rPr>
          <w:rFonts w:ascii="Calibri" w:hAnsi="Calibri"/>
        </w:rPr>
        <w:t>were conducted for the</w:t>
      </w:r>
      <w:r>
        <w:rPr>
          <w:rFonts w:ascii="Calibri" w:hAnsi="Calibri"/>
        </w:rPr>
        <w:t xml:space="preserve"> outcomes of p</w:t>
      </w:r>
      <w:r w:rsidRPr="0090034D">
        <w:rPr>
          <w:rFonts w:ascii="Calibri" w:hAnsi="Calibri"/>
        </w:rPr>
        <w:t xml:space="preserve">arental report of clinical diagnosis of </w:t>
      </w:r>
      <w:r w:rsidR="0041603B">
        <w:rPr>
          <w:rFonts w:ascii="Calibri" w:hAnsi="Calibri"/>
        </w:rPr>
        <w:t>AD</w:t>
      </w:r>
      <w:r w:rsidRPr="0090034D">
        <w:rPr>
          <w:rFonts w:ascii="Calibri" w:hAnsi="Calibri"/>
        </w:rPr>
        <w:t xml:space="preserve"> from the age</w:t>
      </w:r>
      <w:r>
        <w:rPr>
          <w:rFonts w:ascii="Calibri" w:hAnsi="Calibri"/>
        </w:rPr>
        <w:t xml:space="preserve"> of 12 months to 60 months and p</w:t>
      </w:r>
      <w:r w:rsidRPr="0090034D">
        <w:rPr>
          <w:rFonts w:ascii="Calibri" w:hAnsi="Calibri"/>
        </w:rPr>
        <w:t xml:space="preserve">arental report of clinical diagnosis of food allergy by 60 months </w:t>
      </w:r>
      <w:r>
        <w:rPr>
          <w:rFonts w:ascii="Calibri" w:hAnsi="Calibri"/>
        </w:rPr>
        <w:t>under a missing not at random assumption using controlled multiple imputation</w:t>
      </w:r>
      <w:r w:rsidR="00650CA8">
        <w:rPr>
          <w:rFonts w:ascii="Calibri" w:hAnsi="Calibri"/>
        </w:rPr>
        <w:t xml:space="preserve"> (S</w:t>
      </w:r>
      <w:r w:rsidR="001E46B0">
        <w:rPr>
          <w:rFonts w:ascii="Calibri" w:hAnsi="Calibri"/>
        </w:rPr>
        <w:t>1)</w:t>
      </w:r>
      <w:r>
        <w:rPr>
          <w:rFonts w:ascii="Calibri" w:hAnsi="Calibri"/>
        </w:rPr>
        <w:t>. Delta (</w:t>
      </w:r>
      <w:r>
        <w:rPr>
          <w:rFonts w:ascii="Symbol" w:eastAsia="Symbol" w:hAnsi="Symbol" w:cs="Symbol"/>
        </w:rPr>
        <w:t></w:t>
      </w:r>
      <w:r>
        <w:rPr>
          <w:rFonts w:ascii="Calibri" w:hAnsi="Calibri"/>
        </w:rPr>
        <w:t>) based multiple imputation was used to modify the value imputed under a missing at random assumption by a fixed amount to explore how the results</w:t>
      </w:r>
      <w:r w:rsidR="00006E13">
        <w:rPr>
          <w:rFonts w:ascii="Calibri" w:hAnsi="Calibri"/>
        </w:rPr>
        <w:t xml:space="preserve"> would</w:t>
      </w:r>
      <w:r>
        <w:rPr>
          <w:rFonts w:ascii="Calibri" w:hAnsi="Calibri"/>
        </w:rPr>
        <w:t xml:space="preserve"> change if participants with missing outcomes were more likely to have a worse outcome than predicted (based on the </w:t>
      </w:r>
      <w:r w:rsidR="008C3FFB">
        <w:rPr>
          <w:rFonts w:ascii="Calibri" w:hAnsi="Calibri"/>
        </w:rPr>
        <w:t xml:space="preserve">MAR </w:t>
      </w:r>
      <w:r>
        <w:rPr>
          <w:rFonts w:ascii="Calibri" w:hAnsi="Calibri"/>
        </w:rPr>
        <w:t xml:space="preserve">assumption). A range of </w:t>
      </w:r>
      <w:r>
        <w:rPr>
          <w:rFonts w:ascii="Symbol" w:eastAsia="Symbol" w:hAnsi="Symbol" w:cs="Symbol"/>
        </w:rPr>
        <w:t></w:t>
      </w:r>
      <w:r>
        <w:rPr>
          <w:rFonts w:ascii="Calibri" w:hAnsi="Calibri"/>
        </w:rPr>
        <w:t xml:space="preserve"> values were used in the sensitivity analysis.  </w:t>
      </w:r>
    </w:p>
    <w:p w14:paraId="0FBF2B13" w14:textId="77777777" w:rsidR="00B50A0B" w:rsidRDefault="00B50A0B">
      <w:pPr>
        <w:rPr>
          <w:rFonts w:ascii="Calibri" w:hAnsi="Calibri"/>
          <w:b/>
          <w:bCs/>
        </w:rPr>
      </w:pPr>
      <w:r>
        <w:rPr>
          <w:rFonts w:ascii="Calibri" w:hAnsi="Calibri"/>
          <w:b/>
          <w:bCs/>
        </w:rPr>
        <w:br w:type="page"/>
      </w:r>
    </w:p>
    <w:p w14:paraId="72E2EEA0" w14:textId="7740E5DC" w:rsidR="008C6D72" w:rsidRDefault="00F01DFC" w:rsidP="008C6D72">
      <w:pPr>
        <w:spacing w:line="276" w:lineRule="auto"/>
        <w:rPr>
          <w:rFonts w:ascii="Calibri" w:hAnsi="Calibri"/>
          <w:b/>
          <w:bCs/>
        </w:rPr>
      </w:pPr>
      <w:r w:rsidRPr="007219D8">
        <w:rPr>
          <w:rFonts w:ascii="Calibri" w:hAnsi="Calibri"/>
          <w:b/>
          <w:bCs/>
        </w:rPr>
        <w:lastRenderedPageBreak/>
        <w:t xml:space="preserve">Summary of parental reported outcomes at 2 years </w:t>
      </w:r>
    </w:p>
    <w:p w14:paraId="4062E19B" w14:textId="104F77F8" w:rsidR="00237E6E" w:rsidRPr="007219D8" w:rsidRDefault="00237E6E" w:rsidP="008C6D72">
      <w:pPr>
        <w:spacing w:line="276" w:lineRule="auto"/>
        <w:rPr>
          <w:rFonts w:ascii="Calibri" w:hAnsi="Calibri"/>
          <w:b/>
          <w:bCs/>
        </w:rPr>
      </w:pPr>
      <w:r>
        <w:rPr>
          <w:rFonts w:ascii="Calibri" w:hAnsi="Calibri"/>
          <w:bCs/>
        </w:rPr>
        <w:t xml:space="preserve">Results in the table </w:t>
      </w:r>
      <w:r>
        <w:t>are reproduced with permission from Chalmers et al (S2)</w:t>
      </w:r>
      <w:r>
        <w:rPr>
          <w:color w:val="2B579A"/>
          <w:shd w:val="clear" w:color="auto" w:fill="E6E6E6"/>
        </w:rPr>
        <w:t xml:space="preserve">. </w:t>
      </w:r>
      <w:r>
        <w:t>This is an Open Access article distributed in accordance with the terms of the Creative Commons Attrition (CC BY 4.0)</w:t>
      </w:r>
      <w:r>
        <w:rPr>
          <w:iCs/>
        </w:rPr>
        <w:t xml:space="preserve"> licence, which permits others to distribute, remix, adapt and build on this work, for commercial use, provided the original work is properly cited. See https://creativecommons.org/licenses/by/4.0/.</w:t>
      </w:r>
      <w:r>
        <w:t xml:space="preserve">  </w:t>
      </w:r>
    </w:p>
    <w:tbl>
      <w:tblPr>
        <w:tblW w:w="978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4"/>
        <w:gridCol w:w="1524"/>
        <w:gridCol w:w="1733"/>
        <w:gridCol w:w="1639"/>
        <w:gridCol w:w="1781"/>
      </w:tblGrid>
      <w:tr w:rsidR="007219D8" w:rsidRPr="00BD29C9" w14:paraId="09F1A489" w14:textId="0A763F35" w:rsidTr="003049D4">
        <w:trPr>
          <w:jc w:val="center"/>
        </w:trPr>
        <w:tc>
          <w:tcPr>
            <w:tcW w:w="3104" w:type="dxa"/>
            <w:tcBorders>
              <w:top w:val="single" w:sz="6" w:space="0" w:color="auto"/>
              <w:left w:val="nil"/>
              <w:bottom w:val="single" w:sz="6" w:space="0" w:color="auto"/>
              <w:right w:val="nil"/>
            </w:tcBorders>
            <w:shd w:val="clear" w:color="auto" w:fill="auto"/>
            <w:hideMark/>
          </w:tcPr>
          <w:p w14:paraId="6E55C444" w14:textId="7A9C6847" w:rsidR="007219D8" w:rsidRPr="00E46E82" w:rsidRDefault="007219D8" w:rsidP="007219D8">
            <w:pPr>
              <w:spacing w:after="0" w:line="240" w:lineRule="auto"/>
              <w:textAlignment w:val="baseline"/>
              <w:rPr>
                <w:rFonts w:ascii="Calibri" w:eastAsia="Times New Roman" w:hAnsi="Calibri" w:cs="Calibri"/>
                <w:sz w:val="20"/>
                <w:szCs w:val="20"/>
                <w:lang w:eastAsia="en-GB"/>
              </w:rPr>
            </w:pPr>
            <w:r w:rsidRPr="00E46E82">
              <w:rPr>
                <w:rFonts w:ascii="Calibri" w:eastAsia="Times New Roman" w:hAnsi="Calibri" w:cs="Calibri"/>
                <w:sz w:val="20"/>
                <w:szCs w:val="20"/>
                <w:lang w:eastAsia="en-GB"/>
              </w:rPr>
              <w:t> </w:t>
            </w:r>
          </w:p>
        </w:tc>
        <w:tc>
          <w:tcPr>
            <w:tcW w:w="1524" w:type="dxa"/>
            <w:tcBorders>
              <w:top w:val="single" w:sz="6" w:space="0" w:color="auto"/>
              <w:left w:val="nil"/>
              <w:bottom w:val="single" w:sz="6" w:space="0" w:color="auto"/>
              <w:right w:val="nil"/>
            </w:tcBorders>
            <w:shd w:val="clear" w:color="auto" w:fill="auto"/>
            <w:vAlign w:val="bottom"/>
            <w:hideMark/>
          </w:tcPr>
          <w:p w14:paraId="6B575B9D" w14:textId="09B940F3" w:rsidR="007219D8" w:rsidRPr="00E46E82" w:rsidRDefault="007219D8" w:rsidP="007219D8">
            <w:pPr>
              <w:spacing w:after="0" w:line="240" w:lineRule="auto"/>
              <w:jc w:val="center"/>
              <w:textAlignment w:val="baseline"/>
              <w:rPr>
                <w:rFonts w:ascii="Calibri" w:eastAsia="Times New Roman" w:hAnsi="Calibri" w:cs="Calibri"/>
                <w:sz w:val="20"/>
                <w:szCs w:val="20"/>
                <w:lang w:eastAsia="en-GB"/>
              </w:rPr>
            </w:pPr>
            <w:r w:rsidRPr="00E46E82">
              <w:rPr>
                <w:rFonts w:ascii="Calibri" w:eastAsia="Times New Roman" w:hAnsi="Calibri" w:cs="Calibri"/>
                <w:sz w:val="20"/>
                <w:szCs w:val="20"/>
                <w:lang w:eastAsia="en-GB"/>
              </w:rPr>
              <w:t>Emollient </w:t>
            </w:r>
          </w:p>
        </w:tc>
        <w:tc>
          <w:tcPr>
            <w:tcW w:w="1733" w:type="dxa"/>
            <w:tcBorders>
              <w:top w:val="single" w:sz="6" w:space="0" w:color="auto"/>
              <w:left w:val="nil"/>
              <w:bottom w:val="single" w:sz="6" w:space="0" w:color="auto"/>
              <w:right w:val="nil"/>
            </w:tcBorders>
            <w:shd w:val="clear" w:color="auto" w:fill="auto"/>
            <w:vAlign w:val="bottom"/>
            <w:hideMark/>
          </w:tcPr>
          <w:p w14:paraId="11627A11" w14:textId="6EDA2221" w:rsidR="007219D8" w:rsidRPr="00E46E82" w:rsidRDefault="007219D8" w:rsidP="007219D8">
            <w:pPr>
              <w:spacing w:after="0" w:line="240" w:lineRule="auto"/>
              <w:jc w:val="center"/>
              <w:textAlignment w:val="baseline"/>
              <w:rPr>
                <w:rFonts w:ascii="Calibri" w:eastAsia="Times New Roman" w:hAnsi="Calibri" w:cs="Calibri"/>
                <w:sz w:val="20"/>
                <w:szCs w:val="20"/>
                <w:lang w:eastAsia="en-GB"/>
              </w:rPr>
            </w:pPr>
            <w:r w:rsidRPr="00E46E82">
              <w:rPr>
                <w:rFonts w:ascii="Calibri" w:eastAsia="Times New Roman" w:hAnsi="Calibri" w:cs="Calibri"/>
                <w:sz w:val="20"/>
                <w:szCs w:val="20"/>
                <w:lang w:eastAsia="en-GB"/>
              </w:rPr>
              <w:t>Control </w:t>
            </w:r>
          </w:p>
        </w:tc>
        <w:tc>
          <w:tcPr>
            <w:tcW w:w="1639" w:type="dxa"/>
            <w:tcBorders>
              <w:top w:val="single" w:sz="4" w:space="0" w:color="auto"/>
              <w:bottom w:val="single" w:sz="4" w:space="0" w:color="auto"/>
            </w:tcBorders>
            <w:vAlign w:val="bottom"/>
          </w:tcPr>
          <w:p w14:paraId="27F1881A" w14:textId="568D368A" w:rsidR="007219D8" w:rsidRPr="00E46E82" w:rsidRDefault="007219D8" w:rsidP="007219D8">
            <w:pPr>
              <w:spacing w:after="0" w:line="240" w:lineRule="auto"/>
              <w:jc w:val="center"/>
              <w:rPr>
                <w:rFonts w:ascii="Calibri" w:hAnsi="Calibri" w:cs="Calibri"/>
                <w:sz w:val="20"/>
                <w:szCs w:val="20"/>
              </w:rPr>
            </w:pPr>
            <w:r w:rsidRPr="00E46E82">
              <w:rPr>
                <w:rFonts w:ascii="Calibri" w:hAnsi="Calibri" w:cs="Calibri"/>
                <w:sz w:val="20"/>
                <w:szCs w:val="20"/>
              </w:rPr>
              <w:t>Adjusted relative risk</w:t>
            </w:r>
          </w:p>
          <w:p w14:paraId="184AEF5E" w14:textId="4E0CA7C6" w:rsidR="007219D8" w:rsidRPr="00E46E82" w:rsidRDefault="007219D8" w:rsidP="007219D8">
            <w:pPr>
              <w:spacing w:after="0" w:line="240" w:lineRule="auto"/>
              <w:jc w:val="center"/>
              <w:textAlignment w:val="baseline"/>
              <w:rPr>
                <w:rFonts w:ascii="Calibri" w:eastAsia="Times New Roman" w:hAnsi="Calibri" w:cs="Calibri"/>
                <w:sz w:val="20"/>
                <w:szCs w:val="20"/>
                <w:lang w:eastAsia="en-GB"/>
              </w:rPr>
            </w:pPr>
            <w:r w:rsidRPr="00E46E82">
              <w:rPr>
                <w:rFonts w:ascii="Calibri" w:hAnsi="Calibri" w:cs="Calibri"/>
                <w:sz w:val="20"/>
                <w:szCs w:val="20"/>
              </w:rPr>
              <w:t>(95% CI)</w:t>
            </w:r>
          </w:p>
        </w:tc>
        <w:tc>
          <w:tcPr>
            <w:tcW w:w="1781" w:type="dxa"/>
            <w:tcBorders>
              <w:top w:val="single" w:sz="4" w:space="0" w:color="auto"/>
              <w:bottom w:val="single" w:sz="6" w:space="0" w:color="auto"/>
              <w:right w:val="nil"/>
            </w:tcBorders>
            <w:vAlign w:val="bottom"/>
          </w:tcPr>
          <w:p w14:paraId="2727D543" w14:textId="2C1F765D" w:rsidR="007219D8" w:rsidRPr="00E46E82" w:rsidRDefault="007219D8" w:rsidP="007219D8">
            <w:pPr>
              <w:spacing w:after="0" w:line="240" w:lineRule="auto"/>
              <w:jc w:val="center"/>
              <w:rPr>
                <w:rFonts w:ascii="Calibri" w:hAnsi="Calibri" w:cs="Calibri"/>
                <w:sz w:val="20"/>
                <w:szCs w:val="20"/>
              </w:rPr>
            </w:pPr>
            <w:r w:rsidRPr="00E46E82">
              <w:rPr>
                <w:rFonts w:ascii="Calibri" w:hAnsi="Calibri" w:cs="Calibri"/>
                <w:sz w:val="20"/>
                <w:szCs w:val="20"/>
              </w:rPr>
              <w:t>Adjusted</w:t>
            </w:r>
          </w:p>
          <w:p w14:paraId="3E2D3A64" w14:textId="77777777" w:rsidR="007219D8" w:rsidRPr="00E46E82" w:rsidRDefault="007219D8" w:rsidP="007219D8">
            <w:pPr>
              <w:spacing w:after="0" w:line="240" w:lineRule="auto"/>
              <w:jc w:val="center"/>
              <w:rPr>
                <w:rFonts w:ascii="Calibri" w:hAnsi="Calibri" w:cs="Calibri"/>
                <w:sz w:val="20"/>
                <w:szCs w:val="20"/>
              </w:rPr>
            </w:pPr>
            <w:r w:rsidRPr="00E46E82">
              <w:rPr>
                <w:rFonts w:ascii="Calibri" w:hAnsi="Calibri" w:cs="Calibri"/>
                <w:sz w:val="20"/>
                <w:szCs w:val="20"/>
              </w:rPr>
              <w:t>difference in risk</w:t>
            </w:r>
          </w:p>
          <w:p w14:paraId="7563948A" w14:textId="2AE4F1DD" w:rsidR="007219D8" w:rsidRPr="00E46E82" w:rsidRDefault="007219D8" w:rsidP="007219D8">
            <w:pPr>
              <w:spacing w:after="0" w:line="240" w:lineRule="auto"/>
              <w:jc w:val="center"/>
              <w:textAlignment w:val="baseline"/>
              <w:rPr>
                <w:rFonts w:ascii="Calibri" w:hAnsi="Calibri" w:cs="Calibri"/>
                <w:sz w:val="20"/>
                <w:szCs w:val="20"/>
              </w:rPr>
            </w:pPr>
            <w:r w:rsidRPr="00E46E82">
              <w:rPr>
                <w:rFonts w:ascii="Calibri" w:hAnsi="Calibri" w:cs="Calibri"/>
                <w:sz w:val="20"/>
                <w:szCs w:val="20"/>
              </w:rPr>
              <w:t>(95% CI)</w:t>
            </w:r>
          </w:p>
        </w:tc>
      </w:tr>
      <w:tr w:rsidR="007219D8" w:rsidRPr="00BD29C9" w14:paraId="26DA6A07" w14:textId="3A466CCC" w:rsidTr="003049D4">
        <w:trPr>
          <w:jc w:val="center"/>
        </w:trPr>
        <w:tc>
          <w:tcPr>
            <w:tcW w:w="3104" w:type="dxa"/>
            <w:tcBorders>
              <w:top w:val="single" w:sz="6" w:space="0" w:color="auto"/>
              <w:left w:val="nil"/>
              <w:bottom w:val="nil"/>
              <w:right w:val="nil"/>
            </w:tcBorders>
            <w:shd w:val="clear" w:color="auto" w:fill="auto"/>
            <w:hideMark/>
          </w:tcPr>
          <w:p w14:paraId="1641E4C1" w14:textId="2F675998" w:rsidR="007219D8" w:rsidRPr="00E46E82" w:rsidRDefault="007219D8" w:rsidP="007219D8">
            <w:pPr>
              <w:spacing w:after="0" w:line="240" w:lineRule="auto"/>
              <w:textAlignment w:val="baseline"/>
              <w:rPr>
                <w:rFonts w:ascii="Calibri" w:eastAsia="Times New Roman" w:hAnsi="Calibri" w:cs="Calibri"/>
                <w:sz w:val="20"/>
                <w:szCs w:val="20"/>
                <w:lang w:eastAsia="en-GB"/>
              </w:rPr>
            </w:pPr>
            <w:r w:rsidRPr="00E46E82">
              <w:rPr>
                <w:rFonts w:ascii="Calibri" w:eastAsia="Times New Roman" w:hAnsi="Calibri" w:cs="Calibri"/>
                <w:sz w:val="20"/>
                <w:szCs w:val="20"/>
                <w:lang w:eastAsia="en-GB"/>
              </w:rPr>
              <w:t> </w:t>
            </w:r>
          </w:p>
        </w:tc>
        <w:tc>
          <w:tcPr>
            <w:tcW w:w="1524" w:type="dxa"/>
            <w:tcBorders>
              <w:top w:val="single" w:sz="6" w:space="0" w:color="auto"/>
              <w:left w:val="nil"/>
              <w:bottom w:val="nil"/>
              <w:right w:val="nil"/>
            </w:tcBorders>
            <w:shd w:val="clear" w:color="auto" w:fill="auto"/>
          </w:tcPr>
          <w:p w14:paraId="78F17070" w14:textId="3B84FCC5" w:rsidR="007219D8" w:rsidRPr="00E46E82" w:rsidRDefault="007219D8" w:rsidP="007219D8">
            <w:pPr>
              <w:spacing w:after="0" w:line="240" w:lineRule="auto"/>
              <w:jc w:val="center"/>
              <w:textAlignment w:val="baseline"/>
              <w:rPr>
                <w:rFonts w:ascii="Calibri" w:eastAsia="Times New Roman" w:hAnsi="Calibri" w:cs="Calibri"/>
                <w:sz w:val="20"/>
                <w:szCs w:val="20"/>
                <w:lang w:eastAsia="en-GB"/>
              </w:rPr>
            </w:pPr>
          </w:p>
        </w:tc>
        <w:tc>
          <w:tcPr>
            <w:tcW w:w="1733" w:type="dxa"/>
            <w:tcBorders>
              <w:top w:val="single" w:sz="6" w:space="0" w:color="auto"/>
              <w:left w:val="nil"/>
              <w:bottom w:val="nil"/>
              <w:right w:val="nil"/>
            </w:tcBorders>
            <w:shd w:val="clear" w:color="auto" w:fill="auto"/>
          </w:tcPr>
          <w:p w14:paraId="61737EF5" w14:textId="4286DD78" w:rsidR="007219D8" w:rsidRPr="00E46E82" w:rsidRDefault="007219D8" w:rsidP="007219D8">
            <w:pPr>
              <w:spacing w:after="0" w:line="240" w:lineRule="auto"/>
              <w:jc w:val="center"/>
              <w:textAlignment w:val="baseline"/>
              <w:rPr>
                <w:rFonts w:ascii="Calibri" w:eastAsia="Times New Roman" w:hAnsi="Calibri" w:cs="Calibri"/>
                <w:sz w:val="20"/>
                <w:szCs w:val="20"/>
                <w:lang w:eastAsia="en-GB"/>
              </w:rPr>
            </w:pPr>
          </w:p>
        </w:tc>
        <w:tc>
          <w:tcPr>
            <w:tcW w:w="1639" w:type="dxa"/>
            <w:tcBorders>
              <w:top w:val="single" w:sz="6" w:space="0" w:color="auto"/>
              <w:left w:val="nil"/>
              <w:bottom w:val="nil"/>
              <w:right w:val="nil"/>
            </w:tcBorders>
          </w:tcPr>
          <w:p w14:paraId="4C9E9145" w14:textId="662DC0CF" w:rsidR="007219D8" w:rsidRPr="00E46E82" w:rsidRDefault="007219D8" w:rsidP="007219D8">
            <w:pPr>
              <w:spacing w:after="0" w:line="240" w:lineRule="auto"/>
              <w:jc w:val="center"/>
              <w:textAlignment w:val="baseline"/>
              <w:rPr>
                <w:rFonts w:ascii="Calibri" w:eastAsia="Times New Roman" w:hAnsi="Calibri" w:cs="Calibri"/>
                <w:sz w:val="20"/>
                <w:szCs w:val="20"/>
                <w:lang w:eastAsia="en-GB"/>
              </w:rPr>
            </w:pPr>
          </w:p>
        </w:tc>
        <w:tc>
          <w:tcPr>
            <w:tcW w:w="1781" w:type="dxa"/>
            <w:tcBorders>
              <w:top w:val="single" w:sz="6" w:space="0" w:color="auto"/>
              <w:left w:val="nil"/>
              <w:bottom w:val="nil"/>
              <w:right w:val="nil"/>
            </w:tcBorders>
          </w:tcPr>
          <w:p w14:paraId="3AC8A15B" w14:textId="2E78D262" w:rsidR="007219D8" w:rsidRPr="00E46E82" w:rsidRDefault="007219D8" w:rsidP="007219D8">
            <w:pPr>
              <w:spacing w:after="0" w:line="240" w:lineRule="auto"/>
              <w:jc w:val="center"/>
              <w:textAlignment w:val="baseline"/>
              <w:rPr>
                <w:rFonts w:ascii="Calibri" w:eastAsia="Times New Roman" w:hAnsi="Calibri" w:cs="Calibri"/>
                <w:sz w:val="20"/>
                <w:szCs w:val="20"/>
                <w:lang w:eastAsia="en-GB"/>
              </w:rPr>
            </w:pPr>
          </w:p>
        </w:tc>
      </w:tr>
      <w:tr w:rsidR="007219D8" w:rsidRPr="00BD29C9" w14:paraId="595D7B81" w14:textId="6E5BC980" w:rsidTr="003049D4">
        <w:trPr>
          <w:jc w:val="center"/>
        </w:trPr>
        <w:tc>
          <w:tcPr>
            <w:tcW w:w="3104" w:type="dxa"/>
            <w:tcBorders>
              <w:top w:val="nil"/>
              <w:left w:val="nil"/>
              <w:bottom w:val="nil"/>
              <w:right w:val="nil"/>
            </w:tcBorders>
            <w:shd w:val="clear" w:color="auto" w:fill="auto"/>
            <w:hideMark/>
          </w:tcPr>
          <w:p w14:paraId="24224D09" w14:textId="235E97F9" w:rsidR="007219D8" w:rsidRPr="00E46E82" w:rsidRDefault="007219D8" w:rsidP="007219D8">
            <w:pPr>
              <w:spacing w:after="0" w:line="240" w:lineRule="auto"/>
              <w:textAlignment w:val="baseline"/>
              <w:rPr>
                <w:rFonts w:ascii="Calibri" w:eastAsia="Times New Roman" w:hAnsi="Calibri" w:cs="Calibri"/>
                <w:sz w:val="20"/>
                <w:szCs w:val="20"/>
                <w:lang w:eastAsia="en-GB"/>
              </w:rPr>
            </w:pPr>
            <w:r w:rsidRPr="00E46E82">
              <w:rPr>
                <w:rFonts w:ascii="Calibri" w:eastAsia="Times New Roman" w:hAnsi="Calibri" w:cs="Calibri"/>
                <w:sz w:val="20"/>
                <w:szCs w:val="20"/>
                <w:lang w:eastAsia="en-GB"/>
              </w:rPr>
              <w:t xml:space="preserve">Parental report of a clinical diagnosis of AD between birth and age 2 years </w:t>
            </w:r>
          </w:p>
        </w:tc>
        <w:tc>
          <w:tcPr>
            <w:tcW w:w="1524" w:type="dxa"/>
            <w:tcBorders>
              <w:top w:val="nil"/>
              <w:left w:val="nil"/>
              <w:bottom w:val="nil"/>
              <w:right w:val="nil"/>
            </w:tcBorders>
            <w:shd w:val="clear" w:color="auto" w:fill="auto"/>
            <w:vAlign w:val="center"/>
          </w:tcPr>
          <w:p w14:paraId="52F2187A" w14:textId="795BA10A" w:rsidR="007219D8" w:rsidRPr="00E46E82" w:rsidRDefault="007219D8" w:rsidP="007219D8">
            <w:pPr>
              <w:spacing w:after="0" w:line="240" w:lineRule="auto"/>
              <w:jc w:val="center"/>
              <w:textAlignment w:val="baseline"/>
              <w:rPr>
                <w:rFonts w:ascii="Calibri" w:eastAsia="Times New Roman" w:hAnsi="Calibri" w:cs="Calibri"/>
                <w:sz w:val="20"/>
                <w:szCs w:val="20"/>
                <w:lang w:eastAsia="en-GB"/>
              </w:rPr>
            </w:pPr>
            <w:r w:rsidRPr="00E46E82">
              <w:rPr>
                <w:rFonts w:ascii="Calibri" w:eastAsia="Times New Roman" w:hAnsi="Calibri" w:cs="Calibri"/>
                <w:sz w:val="20"/>
                <w:szCs w:val="20"/>
                <w:lang w:eastAsia="en-GB"/>
              </w:rPr>
              <w:t>266/610 (44%)</w:t>
            </w:r>
          </w:p>
        </w:tc>
        <w:tc>
          <w:tcPr>
            <w:tcW w:w="1733" w:type="dxa"/>
            <w:tcBorders>
              <w:top w:val="nil"/>
              <w:left w:val="nil"/>
              <w:bottom w:val="nil"/>
              <w:right w:val="nil"/>
            </w:tcBorders>
            <w:shd w:val="clear" w:color="auto" w:fill="auto"/>
            <w:vAlign w:val="center"/>
          </w:tcPr>
          <w:p w14:paraId="2CA1E1BB" w14:textId="5DCDE7E4" w:rsidR="007219D8" w:rsidRPr="00E46E82" w:rsidRDefault="007219D8" w:rsidP="007219D8">
            <w:pPr>
              <w:spacing w:after="0" w:line="240" w:lineRule="auto"/>
              <w:jc w:val="center"/>
              <w:textAlignment w:val="baseline"/>
              <w:rPr>
                <w:rFonts w:ascii="Calibri" w:eastAsia="Times New Roman" w:hAnsi="Calibri" w:cs="Calibri"/>
                <w:sz w:val="20"/>
                <w:szCs w:val="20"/>
                <w:lang w:eastAsia="en-GB"/>
              </w:rPr>
            </w:pPr>
            <w:r w:rsidRPr="00E46E82">
              <w:rPr>
                <w:rFonts w:ascii="Calibri" w:eastAsia="Times New Roman" w:hAnsi="Calibri" w:cs="Calibri"/>
                <w:sz w:val="20"/>
                <w:szCs w:val="20"/>
                <w:lang w:eastAsia="en-GB"/>
              </w:rPr>
              <w:t>282/616 (46%)</w:t>
            </w:r>
          </w:p>
        </w:tc>
        <w:tc>
          <w:tcPr>
            <w:tcW w:w="1639" w:type="dxa"/>
            <w:vAlign w:val="center"/>
          </w:tcPr>
          <w:p w14:paraId="46D7D4B3" w14:textId="54109E93" w:rsidR="007219D8" w:rsidRPr="00E46E82" w:rsidRDefault="007219D8" w:rsidP="003049D4">
            <w:pPr>
              <w:spacing w:after="0" w:line="240" w:lineRule="auto"/>
              <w:jc w:val="center"/>
              <w:rPr>
                <w:rFonts w:ascii="Calibri" w:hAnsi="Calibri" w:cs="Calibri"/>
                <w:sz w:val="20"/>
                <w:szCs w:val="20"/>
              </w:rPr>
            </w:pPr>
            <w:r w:rsidRPr="00E46E82">
              <w:rPr>
                <w:rFonts w:ascii="Calibri" w:hAnsi="Calibri" w:cs="Calibri"/>
                <w:sz w:val="20"/>
                <w:szCs w:val="20"/>
              </w:rPr>
              <w:t>0.96</w:t>
            </w:r>
          </w:p>
          <w:p w14:paraId="3E9EFAB7" w14:textId="0D4F5000" w:rsidR="007219D8" w:rsidRPr="00E46E82" w:rsidRDefault="007219D8" w:rsidP="003049D4">
            <w:pPr>
              <w:spacing w:after="0" w:line="240" w:lineRule="auto"/>
              <w:jc w:val="center"/>
              <w:textAlignment w:val="baseline"/>
              <w:rPr>
                <w:rFonts w:ascii="Calibri" w:hAnsi="Calibri" w:cs="Calibri"/>
                <w:sz w:val="20"/>
                <w:szCs w:val="20"/>
              </w:rPr>
            </w:pPr>
            <w:r w:rsidRPr="00E46E82">
              <w:rPr>
                <w:rFonts w:ascii="Calibri" w:hAnsi="Calibri" w:cs="Calibri"/>
                <w:sz w:val="20"/>
                <w:szCs w:val="20"/>
              </w:rPr>
              <w:t>(0.85 to 1.08)</w:t>
            </w:r>
          </w:p>
        </w:tc>
        <w:tc>
          <w:tcPr>
            <w:tcW w:w="1781" w:type="dxa"/>
            <w:tcBorders>
              <w:top w:val="nil"/>
              <w:bottom w:val="nil"/>
              <w:right w:val="nil"/>
            </w:tcBorders>
            <w:vAlign w:val="center"/>
          </w:tcPr>
          <w:p w14:paraId="7D83B88D" w14:textId="1CA04346" w:rsidR="007219D8" w:rsidRPr="00E46E82" w:rsidRDefault="007219D8" w:rsidP="003049D4">
            <w:pPr>
              <w:spacing w:after="0" w:line="240" w:lineRule="auto"/>
              <w:jc w:val="center"/>
              <w:rPr>
                <w:rFonts w:ascii="Calibri" w:hAnsi="Calibri" w:cs="Calibri"/>
                <w:sz w:val="20"/>
                <w:szCs w:val="20"/>
              </w:rPr>
            </w:pPr>
            <w:r w:rsidRPr="00E46E82">
              <w:rPr>
                <w:rFonts w:ascii="Calibri" w:hAnsi="Calibri" w:cs="Calibri"/>
                <w:sz w:val="20"/>
                <w:szCs w:val="20"/>
              </w:rPr>
              <w:t>-2.0%</w:t>
            </w:r>
          </w:p>
          <w:p w14:paraId="524E289D" w14:textId="1C32E774" w:rsidR="007219D8" w:rsidRPr="00E46E82" w:rsidRDefault="007219D8" w:rsidP="003049D4">
            <w:pPr>
              <w:spacing w:after="0" w:line="240" w:lineRule="auto"/>
              <w:jc w:val="center"/>
              <w:textAlignment w:val="baseline"/>
              <w:rPr>
                <w:rFonts w:ascii="Calibri" w:hAnsi="Calibri" w:cs="Calibri"/>
                <w:sz w:val="20"/>
                <w:szCs w:val="20"/>
              </w:rPr>
            </w:pPr>
            <w:r w:rsidRPr="00E46E82">
              <w:rPr>
                <w:rFonts w:ascii="Calibri" w:hAnsi="Calibri" w:cs="Calibri"/>
                <w:sz w:val="20"/>
                <w:szCs w:val="20"/>
              </w:rPr>
              <w:t>(</w:t>
            </w:r>
            <w:r w:rsidR="003049D4" w:rsidRPr="00E46E82">
              <w:rPr>
                <w:rFonts w:ascii="Calibri" w:hAnsi="Calibri" w:cs="Calibri"/>
                <w:sz w:val="20"/>
                <w:szCs w:val="20"/>
              </w:rPr>
              <w:t>-</w:t>
            </w:r>
            <w:r w:rsidRPr="00E46E82">
              <w:rPr>
                <w:rFonts w:ascii="Calibri" w:hAnsi="Calibri" w:cs="Calibri"/>
                <w:sz w:val="20"/>
                <w:szCs w:val="20"/>
              </w:rPr>
              <w:t>7.5% to 3.6%)</w:t>
            </w:r>
          </w:p>
        </w:tc>
      </w:tr>
      <w:tr w:rsidR="007219D8" w:rsidRPr="00BD29C9" w14:paraId="10AF10CE" w14:textId="1D9CEA00" w:rsidTr="003049D4">
        <w:trPr>
          <w:jc w:val="center"/>
        </w:trPr>
        <w:tc>
          <w:tcPr>
            <w:tcW w:w="3104" w:type="dxa"/>
            <w:tcBorders>
              <w:top w:val="nil"/>
              <w:left w:val="nil"/>
              <w:bottom w:val="nil"/>
              <w:right w:val="nil"/>
            </w:tcBorders>
            <w:shd w:val="clear" w:color="auto" w:fill="auto"/>
            <w:hideMark/>
          </w:tcPr>
          <w:p w14:paraId="16C98E6F" w14:textId="4C91B0CD" w:rsidR="007219D8" w:rsidRPr="00E46E82" w:rsidRDefault="007219D8" w:rsidP="007219D8">
            <w:pPr>
              <w:spacing w:after="0" w:line="240" w:lineRule="auto"/>
              <w:textAlignment w:val="baseline"/>
              <w:rPr>
                <w:rFonts w:ascii="Calibri" w:eastAsia="Times New Roman" w:hAnsi="Calibri" w:cs="Calibri"/>
                <w:sz w:val="20"/>
                <w:szCs w:val="20"/>
                <w:lang w:eastAsia="en-GB"/>
              </w:rPr>
            </w:pPr>
            <w:r w:rsidRPr="00E46E82">
              <w:rPr>
                <w:rFonts w:ascii="Calibri" w:eastAsia="Times New Roman" w:hAnsi="Calibri" w:cs="Calibri"/>
                <w:sz w:val="20"/>
                <w:szCs w:val="20"/>
                <w:lang w:eastAsia="en-GB"/>
              </w:rPr>
              <w:t> </w:t>
            </w:r>
          </w:p>
        </w:tc>
        <w:tc>
          <w:tcPr>
            <w:tcW w:w="1524" w:type="dxa"/>
            <w:tcBorders>
              <w:top w:val="nil"/>
              <w:left w:val="nil"/>
              <w:bottom w:val="nil"/>
              <w:right w:val="nil"/>
            </w:tcBorders>
            <w:shd w:val="clear" w:color="auto" w:fill="auto"/>
            <w:vAlign w:val="center"/>
          </w:tcPr>
          <w:p w14:paraId="4D69EF3F" w14:textId="2108181D" w:rsidR="007219D8" w:rsidRPr="00E46E82" w:rsidRDefault="007219D8" w:rsidP="007219D8">
            <w:pPr>
              <w:spacing w:after="0" w:line="240" w:lineRule="auto"/>
              <w:jc w:val="center"/>
              <w:textAlignment w:val="baseline"/>
              <w:rPr>
                <w:rFonts w:ascii="Calibri" w:eastAsia="Times New Roman" w:hAnsi="Calibri" w:cs="Calibri"/>
                <w:sz w:val="20"/>
                <w:szCs w:val="20"/>
                <w:lang w:eastAsia="en-GB"/>
              </w:rPr>
            </w:pPr>
          </w:p>
        </w:tc>
        <w:tc>
          <w:tcPr>
            <w:tcW w:w="1733" w:type="dxa"/>
            <w:tcBorders>
              <w:top w:val="nil"/>
              <w:left w:val="nil"/>
              <w:bottom w:val="nil"/>
              <w:right w:val="nil"/>
            </w:tcBorders>
            <w:shd w:val="clear" w:color="auto" w:fill="auto"/>
            <w:vAlign w:val="center"/>
          </w:tcPr>
          <w:p w14:paraId="740C2331" w14:textId="0C4085AA" w:rsidR="007219D8" w:rsidRPr="00E46E82" w:rsidRDefault="007219D8" w:rsidP="007219D8">
            <w:pPr>
              <w:spacing w:after="0" w:line="240" w:lineRule="auto"/>
              <w:jc w:val="center"/>
              <w:textAlignment w:val="baseline"/>
              <w:rPr>
                <w:rFonts w:ascii="Calibri" w:eastAsia="Times New Roman" w:hAnsi="Calibri" w:cs="Calibri"/>
                <w:sz w:val="20"/>
                <w:szCs w:val="20"/>
                <w:lang w:eastAsia="en-GB"/>
              </w:rPr>
            </w:pPr>
          </w:p>
        </w:tc>
        <w:tc>
          <w:tcPr>
            <w:tcW w:w="1639" w:type="dxa"/>
            <w:tcBorders>
              <w:top w:val="nil"/>
              <w:left w:val="nil"/>
              <w:bottom w:val="nil"/>
              <w:right w:val="nil"/>
            </w:tcBorders>
            <w:vAlign w:val="center"/>
          </w:tcPr>
          <w:p w14:paraId="6B804BBA" w14:textId="2A58F96F" w:rsidR="007219D8" w:rsidRPr="00E46E82" w:rsidRDefault="007219D8" w:rsidP="003049D4">
            <w:pPr>
              <w:spacing w:after="0" w:line="240" w:lineRule="auto"/>
              <w:jc w:val="center"/>
              <w:rPr>
                <w:rFonts w:ascii="Calibri" w:hAnsi="Calibri" w:cs="Calibri"/>
                <w:sz w:val="20"/>
                <w:szCs w:val="20"/>
              </w:rPr>
            </w:pPr>
          </w:p>
        </w:tc>
        <w:tc>
          <w:tcPr>
            <w:tcW w:w="1781" w:type="dxa"/>
            <w:tcBorders>
              <w:top w:val="nil"/>
              <w:left w:val="nil"/>
              <w:bottom w:val="nil"/>
              <w:right w:val="nil"/>
            </w:tcBorders>
            <w:vAlign w:val="center"/>
          </w:tcPr>
          <w:p w14:paraId="27C9BE3F" w14:textId="1F4D066C" w:rsidR="007219D8" w:rsidRPr="00E46E82" w:rsidRDefault="007219D8" w:rsidP="003049D4">
            <w:pPr>
              <w:spacing w:after="0" w:line="240" w:lineRule="auto"/>
              <w:jc w:val="center"/>
              <w:rPr>
                <w:rFonts w:ascii="Calibri" w:hAnsi="Calibri" w:cs="Calibri"/>
                <w:sz w:val="20"/>
                <w:szCs w:val="20"/>
              </w:rPr>
            </w:pPr>
          </w:p>
        </w:tc>
      </w:tr>
      <w:tr w:rsidR="007219D8" w:rsidRPr="00BD29C9" w14:paraId="49497693" w14:textId="0053BEB6" w:rsidTr="003049D4">
        <w:trPr>
          <w:jc w:val="center"/>
        </w:trPr>
        <w:tc>
          <w:tcPr>
            <w:tcW w:w="3104" w:type="dxa"/>
            <w:tcBorders>
              <w:top w:val="nil"/>
              <w:left w:val="nil"/>
              <w:bottom w:val="nil"/>
              <w:right w:val="nil"/>
            </w:tcBorders>
            <w:shd w:val="clear" w:color="auto" w:fill="auto"/>
            <w:hideMark/>
          </w:tcPr>
          <w:p w14:paraId="27246802" w14:textId="068C938F" w:rsidR="007219D8" w:rsidRPr="00E46E82" w:rsidRDefault="007219D8" w:rsidP="007219D8">
            <w:pPr>
              <w:spacing w:after="0" w:line="240" w:lineRule="auto"/>
              <w:textAlignment w:val="baseline"/>
              <w:rPr>
                <w:rFonts w:ascii="Calibri" w:eastAsia="Times New Roman" w:hAnsi="Calibri" w:cs="Calibri"/>
                <w:sz w:val="20"/>
                <w:szCs w:val="20"/>
                <w:lang w:eastAsia="en-GB"/>
              </w:rPr>
            </w:pPr>
            <w:r w:rsidRPr="00E46E82">
              <w:rPr>
                <w:rFonts w:ascii="Calibri" w:eastAsia="Times New Roman" w:hAnsi="Calibri" w:cs="Calibri"/>
                <w:sz w:val="20"/>
                <w:szCs w:val="20"/>
                <w:lang w:eastAsia="en-GB"/>
              </w:rPr>
              <w:t>Presence of AD based on completion by parents of UK Working Party Diagnostic Criteria for AD (questionnaire version</w:t>
            </w:r>
            <w:r w:rsidRPr="00E46E82">
              <w:rPr>
                <w:rFonts w:ascii="Calibri" w:eastAsia="Times New Roman" w:hAnsi="Calibri" w:cs="Calibri"/>
                <w:sz w:val="20"/>
                <w:szCs w:val="20"/>
                <w:vertAlign w:val="superscript"/>
                <w:lang w:eastAsia="en-GB"/>
              </w:rPr>
              <w:t>1</w:t>
            </w:r>
            <w:r w:rsidRPr="00E46E82">
              <w:rPr>
                <w:rFonts w:ascii="Calibri" w:eastAsia="Times New Roman" w:hAnsi="Calibri" w:cs="Calibri"/>
                <w:sz w:val="20"/>
                <w:szCs w:val="20"/>
                <w:lang w:eastAsia="en-GB"/>
              </w:rPr>
              <w:t>)</w:t>
            </w:r>
          </w:p>
        </w:tc>
        <w:tc>
          <w:tcPr>
            <w:tcW w:w="1524" w:type="dxa"/>
            <w:tcBorders>
              <w:top w:val="nil"/>
              <w:left w:val="nil"/>
              <w:bottom w:val="nil"/>
              <w:right w:val="nil"/>
            </w:tcBorders>
            <w:shd w:val="clear" w:color="auto" w:fill="auto"/>
            <w:vAlign w:val="center"/>
          </w:tcPr>
          <w:p w14:paraId="3AB6DEE8" w14:textId="537A4D28" w:rsidR="007219D8" w:rsidRPr="00E46E82" w:rsidRDefault="007219D8" w:rsidP="007219D8">
            <w:pPr>
              <w:spacing w:after="0" w:line="240" w:lineRule="auto"/>
              <w:jc w:val="center"/>
              <w:textAlignment w:val="baseline"/>
              <w:rPr>
                <w:rFonts w:ascii="Calibri" w:eastAsia="Times New Roman" w:hAnsi="Calibri" w:cs="Calibri"/>
                <w:sz w:val="20"/>
                <w:szCs w:val="20"/>
                <w:lang w:eastAsia="en-GB"/>
              </w:rPr>
            </w:pPr>
            <w:r w:rsidRPr="00E46E82">
              <w:rPr>
                <w:rFonts w:ascii="Calibri" w:eastAsia="Times New Roman" w:hAnsi="Calibri" w:cs="Calibri"/>
                <w:sz w:val="20"/>
                <w:szCs w:val="20"/>
                <w:lang w:eastAsia="en-GB"/>
              </w:rPr>
              <w:t>187/599 (31%)</w:t>
            </w:r>
          </w:p>
        </w:tc>
        <w:tc>
          <w:tcPr>
            <w:tcW w:w="1733" w:type="dxa"/>
            <w:tcBorders>
              <w:top w:val="nil"/>
              <w:left w:val="nil"/>
              <w:bottom w:val="nil"/>
              <w:right w:val="nil"/>
            </w:tcBorders>
            <w:shd w:val="clear" w:color="auto" w:fill="auto"/>
            <w:vAlign w:val="center"/>
          </w:tcPr>
          <w:p w14:paraId="14923D61" w14:textId="132282DF" w:rsidR="007219D8" w:rsidRPr="00E46E82" w:rsidRDefault="007219D8" w:rsidP="007219D8">
            <w:pPr>
              <w:spacing w:after="0" w:line="240" w:lineRule="auto"/>
              <w:jc w:val="center"/>
              <w:textAlignment w:val="baseline"/>
              <w:rPr>
                <w:rFonts w:ascii="Calibri" w:eastAsia="Times New Roman" w:hAnsi="Calibri" w:cs="Calibri"/>
                <w:sz w:val="20"/>
                <w:szCs w:val="20"/>
                <w:lang w:eastAsia="en-GB"/>
              </w:rPr>
            </w:pPr>
            <w:r w:rsidRPr="00E46E82">
              <w:rPr>
                <w:rFonts w:ascii="Calibri" w:eastAsia="Times New Roman" w:hAnsi="Calibri" w:cs="Calibri"/>
                <w:sz w:val="20"/>
                <w:szCs w:val="20"/>
                <w:lang w:eastAsia="en-GB"/>
              </w:rPr>
              <w:t>195/612 (32%)</w:t>
            </w:r>
          </w:p>
        </w:tc>
        <w:tc>
          <w:tcPr>
            <w:tcW w:w="1639" w:type="dxa"/>
            <w:vAlign w:val="center"/>
          </w:tcPr>
          <w:p w14:paraId="243163EF" w14:textId="77777777" w:rsidR="007219D8" w:rsidRPr="00E46E82" w:rsidRDefault="007219D8" w:rsidP="003049D4">
            <w:pPr>
              <w:spacing w:after="0" w:line="240" w:lineRule="auto"/>
              <w:jc w:val="center"/>
              <w:rPr>
                <w:rFonts w:ascii="Calibri" w:hAnsi="Calibri" w:cs="Calibri"/>
                <w:sz w:val="20"/>
                <w:szCs w:val="20"/>
              </w:rPr>
            </w:pPr>
            <w:r w:rsidRPr="00E46E82">
              <w:rPr>
                <w:rFonts w:ascii="Calibri" w:hAnsi="Calibri" w:cs="Calibri"/>
                <w:sz w:val="20"/>
                <w:szCs w:val="20"/>
              </w:rPr>
              <w:t>0.98</w:t>
            </w:r>
          </w:p>
          <w:p w14:paraId="5FC53B69" w14:textId="300136E6" w:rsidR="007219D8" w:rsidRPr="00E46E82" w:rsidRDefault="007219D8" w:rsidP="003049D4">
            <w:pPr>
              <w:spacing w:after="0" w:line="240" w:lineRule="auto"/>
              <w:jc w:val="center"/>
              <w:textAlignment w:val="baseline"/>
              <w:rPr>
                <w:rFonts w:ascii="Calibri" w:hAnsi="Calibri" w:cs="Calibri"/>
                <w:sz w:val="20"/>
                <w:szCs w:val="20"/>
              </w:rPr>
            </w:pPr>
            <w:r w:rsidRPr="00E46E82">
              <w:rPr>
                <w:rFonts w:ascii="Calibri" w:hAnsi="Calibri" w:cs="Calibri"/>
                <w:sz w:val="20"/>
                <w:szCs w:val="20"/>
              </w:rPr>
              <w:t>(0.83 to 1.16)</w:t>
            </w:r>
          </w:p>
        </w:tc>
        <w:tc>
          <w:tcPr>
            <w:tcW w:w="1781" w:type="dxa"/>
            <w:tcBorders>
              <w:top w:val="nil"/>
              <w:bottom w:val="nil"/>
              <w:right w:val="nil"/>
            </w:tcBorders>
            <w:vAlign w:val="center"/>
          </w:tcPr>
          <w:p w14:paraId="6F86CF9D" w14:textId="77777777" w:rsidR="007219D8" w:rsidRPr="00E46E82" w:rsidRDefault="007219D8" w:rsidP="003049D4">
            <w:pPr>
              <w:spacing w:after="0" w:line="240" w:lineRule="auto"/>
              <w:jc w:val="center"/>
              <w:rPr>
                <w:rFonts w:ascii="Calibri" w:hAnsi="Calibri" w:cs="Calibri"/>
                <w:sz w:val="20"/>
                <w:szCs w:val="20"/>
              </w:rPr>
            </w:pPr>
            <w:r w:rsidRPr="00E46E82">
              <w:rPr>
                <w:rFonts w:ascii="Calibri" w:hAnsi="Calibri" w:cs="Calibri"/>
                <w:sz w:val="20"/>
                <w:szCs w:val="20"/>
              </w:rPr>
              <w:t>-0.5%</w:t>
            </w:r>
          </w:p>
          <w:p w14:paraId="27C806FA" w14:textId="3AE1AC5C" w:rsidR="007219D8" w:rsidRPr="00E46E82" w:rsidRDefault="007219D8" w:rsidP="003049D4">
            <w:pPr>
              <w:spacing w:after="0" w:line="240" w:lineRule="auto"/>
              <w:jc w:val="center"/>
              <w:textAlignment w:val="baseline"/>
              <w:rPr>
                <w:rFonts w:ascii="Calibri" w:hAnsi="Calibri" w:cs="Calibri"/>
                <w:sz w:val="20"/>
                <w:szCs w:val="20"/>
              </w:rPr>
            </w:pPr>
            <w:r w:rsidRPr="00E46E82">
              <w:rPr>
                <w:rFonts w:ascii="Calibri" w:hAnsi="Calibri" w:cs="Calibri"/>
                <w:sz w:val="20"/>
                <w:szCs w:val="20"/>
              </w:rPr>
              <w:t>(-5.7% to 4.8%)</w:t>
            </w:r>
          </w:p>
        </w:tc>
      </w:tr>
      <w:tr w:rsidR="007219D8" w:rsidRPr="00BD29C9" w14:paraId="0AEA4434" w14:textId="2E10BCAD" w:rsidTr="003049D4">
        <w:trPr>
          <w:jc w:val="center"/>
        </w:trPr>
        <w:tc>
          <w:tcPr>
            <w:tcW w:w="3104" w:type="dxa"/>
            <w:tcBorders>
              <w:top w:val="nil"/>
              <w:left w:val="nil"/>
              <w:bottom w:val="nil"/>
              <w:right w:val="nil"/>
            </w:tcBorders>
            <w:shd w:val="clear" w:color="auto" w:fill="auto"/>
            <w:hideMark/>
          </w:tcPr>
          <w:p w14:paraId="2256B20E" w14:textId="5997DD8B" w:rsidR="007219D8" w:rsidRPr="00E46E82" w:rsidRDefault="007219D8" w:rsidP="007219D8">
            <w:pPr>
              <w:spacing w:after="0" w:line="240" w:lineRule="auto"/>
              <w:textAlignment w:val="baseline"/>
              <w:rPr>
                <w:rFonts w:ascii="Calibri" w:eastAsia="Times New Roman" w:hAnsi="Calibri" w:cs="Calibri"/>
                <w:sz w:val="20"/>
                <w:szCs w:val="20"/>
                <w:lang w:eastAsia="en-GB"/>
              </w:rPr>
            </w:pPr>
            <w:r w:rsidRPr="00E46E82">
              <w:rPr>
                <w:rFonts w:ascii="Calibri" w:eastAsia="Times New Roman" w:hAnsi="Calibri" w:cs="Calibri"/>
                <w:sz w:val="20"/>
                <w:szCs w:val="20"/>
                <w:lang w:eastAsia="en-GB"/>
              </w:rPr>
              <w:t> </w:t>
            </w:r>
          </w:p>
        </w:tc>
        <w:tc>
          <w:tcPr>
            <w:tcW w:w="1524" w:type="dxa"/>
            <w:tcBorders>
              <w:top w:val="nil"/>
              <w:left w:val="nil"/>
              <w:bottom w:val="nil"/>
              <w:right w:val="nil"/>
            </w:tcBorders>
            <w:shd w:val="clear" w:color="auto" w:fill="auto"/>
            <w:vAlign w:val="center"/>
            <w:hideMark/>
          </w:tcPr>
          <w:p w14:paraId="72F995F4" w14:textId="397DA64E" w:rsidR="007219D8" w:rsidRPr="00E46E82" w:rsidRDefault="007219D8" w:rsidP="007219D8">
            <w:pPr>
              <w:spacing w:after="0" w:line="240" w:lineRule="auto"/>
              <w:jc w:val="center"/>
              <w:textAlignment w:val="baseline"/>
              <w:rPr>
                <w:rFonts w:ascii="Calibri" w:eastAsia="Times New Roman" w:hAnsi="Calibri" w:cs="Calibri"/>
                <w:sz w:val="20"/>
                <w:szCs w:val="20"/>
                <w:lang w:eastAsia="en-GB"/>
              </w:rPr>
            </w:pPr>
          </w:p>
        </w:tc>
        <w:tc>
          <w:tcPr>
            <w:tcW w:w="1733" w:type="dxa"/>
            <w:tcBorders>
              <w:top w:val="nil"/>
              <w:left w:val="nil"/>
              <w:bottom w:val="nil"/>
              <w:right w:val="nil"/>
            </w:tcBorders>
            <w:shd w:val="clear" w:color="auto" w:fill="auto"/>
            <w:vAlign w:val="center"/>
            <w:hideMark/>
          </w:tcPr>
          <w:p w14:paraId="6BFAADCB" w14:textId="6E26E50E" w:rsidR="007219D8" w:rsidRPr="00E46E82" w:rsidRDefault="007219D8" w:rsidP="007219D8">
            <w:pPr>
              <w:spacing w:after="0" w:line="240" w:lineRule="auto"/>
              <w:jc w:val="center"/>
              <w:textAlignment w:val="baseline"/>
              <w:rPr>
                <w:rFonts w:ascii="Calibri" w:eastAsia="Times New Roman" w:hAnsi="Calibri" w:cs="Calibri"/>
                <w:sz w:val="20"/>
                <w:szCs w:val="20"/>
                <w:lang w:eastAsia="en-GB"/>
              </w:rPr>
            </w:pPr>
          </w:p>
        </w:tc>
        <w:tc>
          <w:tcPr>
            <w:tcW w:w="1639" w:type="dxa"/>
            <w:tcBorders>
              <w:top w:val="nil"/>
              <w:left w:val="nil"/>
              <w:bottom w:val="nil"/>
              <w:right w:val="nil"/>
            </w:tcBorders>
            <w:vAlign w:val="center"/>
          </w:tcPr>
          <w:p w14:paraId="535737D7" w14:textId="2EA7DA81" w:rsidR="007219D8" w:rsidRPr="00E46E82" w:rsidRDefault="007219D8" w:rsidP="003049D4">
            <w:pPr>
              <w:spacing w:after="0" w:line="240" w:lineRule="auto"/>
              <w:jc w:val="center"/>
              <w:rPr>
                <w:rFonts w:ascii="Calibri" w:hAnsi="Calibri" w:cs="Calibri"/>
                <w:sz w:val="20"/>
                <w:szCs w:val="20"/>
              </w:rPr>
            </w:pPr>
          </w:p>
        </w:tc>
        <w:tc>
          <w:tcPr>
            <w:tcW w:w="1781" w:type="dxa"/>
            <w:tcBorders>
              <w:top w:val="nil"/>
              <w:left w:val="nil"/>
              <w:bottom w:val="nil"/>
              <w:right w:val="nil"/>
            </w:tcBorders>
            <w:vAlign w:val="center"/>
          </w:tcPr>
          <w:p w14:paraId="5322FAB5" w14:textId="6EE6B1D9" w:rsidR="007219D8" w:rsidRPr="00E46E82" w:rsidRDefault="007219D8" w:rsidP="003049D4">
            <w:pPr>
              <w:spacing w:after="0" w:line="240" w:lineRule="auto"/>
              <w:jc w:val="center"/>
              <w:rPr>
                <w:rFonts w:ascii="Calibri" w:hAnsi="Calibri" w:cs="Calibri"/>
                <w:sz w:val="20"/>
                <w:szCs w:val="20"/>
              </w:rPr>
            </w:pPr>
          </w:p>
        </w:tc>
      </w:tr>
      <w:tr w:rsidR="007219D8" w:rsidRPr="00BD29C9" w14:paraId="6C384498" w14:textId="6421D83A" w:rsidTr="003049D4">
        <w:trPr>
          <w:jc w:val="center"/>
        </w:trPr>
        <w:tc>
          <w:tcPr>
            <w:tcW w:w="3104" w:type="dxa"/>
            <w:tcBorders>
              <w:top w:val="nil"/>
              <w:left w:val="nil"/>
              <w:bottom w:val="nil"/>
              <w:right w:val="nil"/>
            </w:tcBorders>
            <w:shd w:val="clear" w:color="auto" w:fill="auto"/>
            <w:hideMark/>
          </w:tcPr>
          <w:p w14:paraId="58473151" w14:textId="7052CC03" w:rsidR="007219D8" w:rsidRPr="00E46E82" w:rsidRDefault="007219D8" w:rsidP="007219D8">
            <w:pPr>
              <w:spacing w:after="0" w:line="240" w:lineRule="auto"/>
              <w:textAlignment w:val="baseline"/>
              <w:rPr>
                <w:rFonts w:ascii="Calibri" w:eastAsia="Times New Roman" w:hAnsi="Calibri" w:cs="Calibri"/>
                <w:sz w:val="20"/>
                <w:szCs w:val="20"/>
                <w:lang w:eastAsia="en-GB"/>
              </w:rPr>
            </w:pPr>
            <w:r w:rsidRPr="00E46E82">
              <w:rPr>
                <w:rFonts w:ascii="Calibri" w:eastAsia="Times New Roman" w:hAnsi="Calibri" w:cs="Calibri"/>
                <w:sz w:val="20"/>
                <w:szCs w:val="20"/>
                <w:lang w:eastAsia="en-GB"/>
              </w:rPr>
              <w:t>Moderate, severe, or very severe AD according to POEM </w:t>
            </w:r>
          </w:p>
        </w:tc>
        <w:tc>
          <w:tcPr>
            <w:tcW w:w="1524" w:type="dxa"/>
            <w:tcBorders>
              <w:top w:val="nil"/>
              <w:left w:val="nil"/>
              <w:bottom w:val="nil"/>
              <w:right w:val="nil"/>
            </w:tcBorders>
            <w:shd w:val="clear" w:color="auto" w:fill="auto"/>
            <w:vAlign w:val="center"/>
            <w:hideMark/>
          </w:tcPr>
          <w:p w14:paraId="3E3BD3A2" w14:textId="010A49A7" w:rsidR="007219D8" w:rsidRPr="00E46E82" w:rsidRDefault="007219D8" w:rsidP="007219D8">
            <w:pPr>
              <w:spacing w:after="0" w:line="240" w:lineRule="auto"/>
              <w:jc w:val="center"/>
              <w:textAlignment w:val="baseline"/>
              <w:rPr>
                <w:rFonts w:ascii="Calibri" w:eastAsia="Times New Roman" w:hAnsi="Calibri" w:cs="Calibri"/>
                <w:sz w:val="20"/>
                <w:szCs w:val="20"/>
                <w:lang w:eastAsia="en-GB"/>
              </w:rPr>
            </w:pPr>
            <w:r w:rsidRPr="00E46E82">
              <w:rPr>
                <w:rFonts w:ascii="Calibri" w:eastAsia="Times New Roman" w:hAnsi="Calibri" w:cs="Calibri"/>
                <w:sz w:val="20"/>
                <w:szCs w:val="20"/>
                <w:lang w:eastAsia="en-GB"/>
              </w:rPr>
              <w:t>58/576 (10%)</w:t>
            </w:r>
          </w:p>
        </w:tc>
        <w:tc>
          <w:tcPr>
            <w:tcW w:w="1733" w:type="dxa"/>
            <w:tcBorders>
              <w:top w:val="nil"/>
              <w:left w:val="nil"/>
              <w:bottom w:val="nil"/>
              <w:right w:val="nil"/>
            </w:tcBorders>
            <w:shd w:val="clear" w:color="auto" w:fill="auto"/>
            <w:vAlign w:val="center"/>
            <w:hideMark/>
          </w:tcPr>
          <w:p w14:paraId="1832B436" w14:textId="0D0891B0" w:rsidR="007219D8" w:rsidRPr="00E46E82" w:rsidRDefault="007219D8" w:rsidP="007219D8">
            <w:pPr>
              <w:spacing w:after="0" w:line="240" w:lineRule="auto"/>
              <w:jc w:val="center"/>
              <w:textAlignment w:val="baseline"/>
              <w:rPr>
                <w:rFonts w:ascii="Calibri" w:eastAsia="Times New Roman" w:hAnsi="Calibri" w:cs="Calibri"/>
                <w:sz w:val="20"/>
                <w:szCs w:val="20"/>
                <w:lang w:eastAsia="en-GB"/>
              </w:rPr>
            </w:pPr>
            <w:r w:rsidRPr="00E46E82">
              <w:rPr>
                <w:rFonts w:ascii="Calibri" w:eastAsia="Times New Roman" w:hAnsi="Calibri" w:cs="Calibri"/>
                <w:sz w:val="20"/>
                <w:szCs w:val="20"/>
                <w:lang w:eastAsia="en-GB"/>
              </w:rPr>
              <w:t>51/595 (9%)</w:t>
            </w:r>
          </w:p>
        </w:tc>
        <w:tc>
          <w:tcPr>
            <w:tcW w:w="1639" w:type="dxa"/>
            <w:vAlign w:val="center"/>
          </w:tcPr>
          <w:p w14:paraId="6DA1E466" w14:textId="4B418E0D" w:rsidR="007219D8" w:rsidRPr="00E46E82" w:rsidRDefault="007219D8" w:rsidP="003049D4">
            <w:pPr>
              <w:spacing w:after="0" w:line="240" w:lineRule="auto"/>
              <w:jc w:val="center"/>
              <w:rPr>
                <w:rFonts w:ascii="Calibri" w:hAnsi="Calibri" w:cs="Calibri"/>
                <w:sz w:val="20"/>
                <w:szCs w:val="20"/>
              </w:rPr>
            </w:pPr>
            <w:r w:rsidRPr="00E46E82">
              <w:rPr>
                <w:rFonts w:ascii="Calibri" w:hAnsi="Calibri" w:cs="Calibri"/>
                <w:sz w:val="20"/>
                <w:szCs w:val="20"/>
              </w:rPr>
              <w:t>1.18</w:t>
            </w:r>
          </w:p>
          <w:p w14:paraId="3FB79C8C" w14:textId="6851040A" w:rsidR="007219D8" w:rsidRPr="00E46E82" w:rsidRDefault="007219D8" w:rsidP="003049D4">
            <w:pPr>
              <w:spacing w:after="0" w:line="240" w:lineRule="auto"/>
              <w:jc w:val="center"/>
              <w:textAlignment w:val="baseline"/>
              <w:rPr>
                <w:rFonts w:ascii="Calibri" w:hAnsi="Calibri" w:cs="Calibri"/>
                <w:sz w:val="20"/>
                <w:szCs w:val="20"/>
              </w:rPr>
            </w:pPr>
            <w:r w:rsidRPr="00E46E82">
              <w:rPr>
                <w:rFonts w:ascii="Calibri" w:hAnsi="Calibri" w:cs="Calibri"/>
                <w:sz w:val="20"/>
                <w:szCs w:val="20"/>
              </w:rPr>
              <w:t>(0.82 to 1.68)</w:t>
            </w:r>
          </w:p>
        </w:tc>
        <w:tc>
          <w:tcPr>
            <w:tcW w:w="1781" w:type="dxa"/>
            <w:tcBorders>
              <w:top w:val="nil"/>
              <w:bottom w:val="nil"/>
              <w:right w:val="nil"/>
            </w:tcBorders>
            <w:vAlign w:val="center"/>
          </w:tcPr>
          <w:p w14:paraId="5B24EFFF" w14:textId="2CF3565A" w:rsidR="007219D8" w:rsidRPr="00E46E82" w:rsidRDefault="007219D8" w:rsidP="003049D4">
            <w:pPr>
              <w:spacing w:after="0" w:line="240" w:lineRule="auto"/>
              <w:jc w:val="center"/>
              <w:rPr>
                <w:rFonts w:ascii="Calibri" w:hAnsi="Calibri" w:cs="Calibri"/>
                <w:sz w:val="20"/>
                <w:szCs w:val="20"/>
              </w:rPr>
            </w:pPr>
            <w:r w:rsidRPr="00E46E82">
              <w:rPr>
                <w:rFonts w:ascii="Calibri" w:hAnsi="Calibri" w:cs="Calibri"/>
                <w:sz w:val="20"/>
                <w:szCs w:val="20"/>
              </w:rPr>
              <w:t>1.7%</w:t>
            </w:r>
          </w:p>
          <w:p w14:paraId="01710A2E" w14:textId="50BFBFEE" w:rsidR="007219D8" w:rsidRPr="00E46E82" w:rsidRDefault="007219D8" w:rsidP="003049D4">
            <w:pPr>
              <w:spacing w:after="0" w:line="240" w:lineRule="auto"/>
              <w:jc w:val="center"/>
              <w:textAlignment w:val="baseline"/>
              <w:rPr>
                <w:rFonts w:ascii="Calibri" w:hAnsi="Calibri" w:cs="Calibri"/>
                <w:sz w:val="20"/>
                <w:szCs w:val="20"/>
              </w:rPr>
            </w:pPr>
            <w:r w:rsidRPr="00E46E82">
              <w:rPr>
                <w:rFonts w:ascii="Calibri" w:hAnsi="Calibri" w:cs="Calibri"/>
                <w:sz w:val="20"/>
                <w:szCs w:val="20"/>
              </w:rPr>
              <w:t>(-1.6% to 5.0%)</w:t>
            </w:r>
          </w:p>
        </w:tc>
      </w:tr>
      <w:tr w:rsidR="007219D8" w:rsidRPr="00BD29C9" w14:paraId="20BD4616" w14:textId="399DC149" w:rsidTr="003049D4">
        <w:trPr>
          <w:jc w:val="center"/>
        </w:trPr>
        <w:tc>
          <w:tcPr>
            <w:tcW w:w="3104" w:type="dxa"/>
            <w:tcBorders>
              <w:top w:val="nil"/>
              <w:left w:val="nil"/>
              <w:bottom w:val="nil"/>
              <w:right w:val="nil"/>
            </w:tcBorders>
            <w:shd w:val="clear" w:color="auto" w:fill="auto"/>
            <w:hideMark/>
          </w:tcPr>
          <w:p w14:paraId="45AC7846" w14:textId="58BCAAAF" w:rsidR="007219D8" w:rsidRPr="00E46E82" w:rsidRDefault="007219D8" w:rsidP="007219D8">
            <w:pPr>
              <w:spacing w:after="0" w:line="240" w:lineRule="auto"/>
              <w:textAlignment w:val="baseline"/>
              <w:rPr>
                <w:rFonts w:ascii="Calibri" w:eastAsia="Times New Roman" w:hAnsi="Calibri" w:cs="Calibri"/>
                <w:sz w:val="20"/>
                <w:szCs w:val="20"/>
                <w:lang w:eastAsia="en-GB"/>
              </w:rPr>
            </w:pPr>
            <w:r w:rsidRPr="00E46E82">
              <w:rPr>
                <w:rFonts w:ascii="Calibri" w:eastAsia="Times New Roman" w:hAnsi="Calibri" w:cs="Calibri"/>
                <w:sz w:val="20"/>
                <w:szCs w:val="20"/>
                <w:lang w:eastAsia="en-GB"/>
              </w:rPr>
              <w:t> </w:t>
            </w:r>
          </w:p>
        </w:tc>
        <w:tc>
          <w:tcPr>
            <w:tcW w:w="1524" w:type="dxa"/>
            <w:tcBorders>
              <w:top w:val="nil"/>
              <w:left w:val="nil"/>
              <w:bottom w:val="nil"/>
              <w:right w:val="nil"/>
            </w:tcBorders>
            <w:shd w:val="clear" w:color="auto" w:fill="auto"/>
            <w:vAlign w:val="center"/>
            <w:hideMark/>
          </w:tcPr>
          <w:p w14:paraId="048EF56B" w14:textId="534467EB" w:rsidR="007219D8" w:rsidRPr="00E46E82" w:rsidRDefault="007219D8" w:rsidP="007219D8">
            <w:pPr>
              <w:spacing w:after="0" w:line="240" w:lineRule="auto"/>
              <w:jc w:val="center"/>
              <w:textAlignment w:val="baseline"/>
              <w:rPr>
                <w:rFonts w:ascii="Calibri" w:eastAsia="Times New Roman" w:hAnsi="Calibri" w:cs="Calibri"/>
                <w:sz w:val="20"/>
                <w:szCs w:val="20"/>
                <w:lang w:eastAsia="en-GB"/>
              </w:rPr>
            </w:pPr>
          </w:p>
        </w:tc>
        <w:tc>
          <w:tcPr>
            <w:tcW w:w="1733" w:type="dxa"/>
            <w:tcBorders>
              <w:top w:val="nil"/>
              <w:left w:val="nil"/>
              <w:bottom w:val="nil"/>
              <w:right w:val="nil"/>
            </w:tcBorders>
            <w:shd w:val="clear" w:color="auto" w:fill="auto"/>
            <w:vAlign w:val="center"/>
            <w:hideMark/>
          </w:tcPr>
          <w:p w14:paraId="7B69B121" w14:textId="4814A2A9" w:rsidR="007219D8" w:rsidRPr="00E46E82" w:rsidRDefault="007219D8" w:rsidP="007219D8">
            <w:pPr>
              <w:spacing w:after="0" w:line="240" w:lineRule="auto"/>
              <w:jc w:val="center"/>
              <w:textAlignment w:val="baseline"/>
              <w:rPr>
                <w:rFonts w:ascii="Calibri" w:eastAsia="Times New Roman" w:hAnsi="Calibri" w:cs="Calibri"/>
                <w:sz w:val="20"/>
                <w:szCs w:val="20"/>
                <w:lang w:eastAsia="en-GB"/>
              </w:rPr>
            </w:pPr>
          </w:p>
        </w:tc>
        <w:tc>
          <w:tcPr>
            <w:tcW w:w="1639" w:type="dxa"/>
            <w:tcBorders>
              <w:top w:val="nil"/>
              <w:left w:val="nil"/>
              <w:bottom w:val="nil"/>
              <w:right w:val="nil"/>
            </w:tcBorders>
            <w:vAlign w:val="center"/>
          </w:tcPr>
          <w:p w14:paraId="4C540C1C" w14:textId="4D3B3918" w:rsidR="007219D8" w:rsidRPr="00E46E82" w:rsidRDefault="007219D8" w:rsidP="003049D4">
            <w:pPr>
              <w:spacing w:after="0" w:line="240" w:lineRule="auto"/>
              <w:jc w:val="center"/>
              <w:rPr>
                <w:rFonts w:ascii="Calibri" w:hAnsi="Calibri" w:cs="Calibri"/>
                <w:sz w:val="20"/>
                <w:szCs w:val="20"/>
              </w:rPr>
            </w:pPr>
          </w:p>
        </w:tc>
        <w:tc>
          <w:tcPr>
            <w:tcW w:w="1781" w:type="dxa"/>
            <w:tcBorders>
              <w:top w:val="nil"/>
              <w:left w:val="nil"/>
              <w:bottom w:val="nil"/>
              <w:right w:val="nil"/>
            </w:tcBorders>
            <w:vAlign w:val="center"/>
          </w:tcPr>
          <w:p w14:paraId="740CD4EC" w14:textId="506B6CC5" w:rsidR="007219D8" w:rsidRPr="00E46E82" w:rsidRDefault="007219D8" w:rsidP="003049D4">
            <w:pPr>
              <w:spacing w:after="0" w:line="240" w:lineRule="auto"/>
              <w:jc w:val="center"/>
              <w:rPr>
                <w:rFonts w:ascii="Calibri" w:hAnsi="Calibri" w:cs="Calibri"/>
                <w:sz w:val="20"/>
                <w:szCs w:val="20"/>
              </w:rPr>
            </w:pPr>
          </w:p>
        </w:tc>
      </w:tr>
      <w:tr w:rsidR="007219D8" w:rsidRPr="00BD29C9" w14:paraId="7AFB52EC" w14:textId="04AC8E85" w:rsidTr="003049D4">
        <w:trPr>
          <w:jc w:val="center"/>
        </w:trPr>
        <w:tc>
          <w:tcPr>
            <w:tcW w:w="3104" w:type="dxa"/>
            <w:tcBorders>
              <w:top w:val="nil"/>
              <w:left w:val="nil"/>
              <w:bottom w:val="nil"/>
              <w:right w:val="nil"/>
            </w:tcBorders>
            <w:shd w:val="clear" w:color="auto" w:fill="auto"/>
            <w:hideMark/>
          </w:tcPr>
          <w:p w14:paraId="183680A7" w14:textId="630DD636" w:rsidR="007219D8" w:rsidRPr="00E46E82" w:rsidRDefault="007219D8" w:rsidP="00506035">
            <w:pPr>
              <w:spacing w:after="0" w:line="240" w:lineRule="auto"/>
              <w:textAlignment w:val="baseline"/>
              <w:rPr>
                <w:rFonts w:ascii="Calibri" w:eastAsia="Times New Roman" w:hAnsi="Calibri" w:cs="Calibri"/>
                <w:sz w:val="20"/>
                <w:szCs w:val="20"/>
                <w:lang w:eastAsia="en-GB"/>
              </w:rPr>
            </w:pPr>
            <w:r w:rsidRPr="00E46E82">
              <w:rPr>
                <w:rFonts w:ascii="Calibri" w:eastAsia="Times New Roman" w:hAnsi="Calibri" w:cs="Calibri"/>
                <w:sz w:val="20"/>
                <w:szCs w:val="20"/>
                <w:lang w:eastAsia="en-GB"/>
              </w:rPr>
              <w:t xml:space="preserve">Parental report of reaction to any food </w:t>
            </w:r>
            <w:r w:rsidR="00506035" w:rsidRPr="00506035">
              <w:rPr>
                <w:rFonts w:ascii="Calibri" w:eastAsia="Times New Roman" w:hAnsi="Calibri" w:cs="Calibri"/>
                <w:sz w:val="20"/>
                <w:szCs w:val="20"/>
                <w:lang w:eastAsia="en-GB"/>
              </w:rPr>
              <w:t>between birth and age 2 years</w:t>
            </w:r>
          </w:p>
        </w:tc>
        <w:tc>
          <w:tcPr>
            <w:tcW w:w="1524" w:type="dxa"/>
            <w:tcBorders>
              <w:top w:val="nil"/>
              <w:left w:val="nil"/>
              <w:bottom w:val="nil"/>
              <w:right w:val="nil"/>
            </w:tcBorders>
            <w:shd w:val="clear" w:color="auto" w:fill="auto"/>
            <w:vAlign w:val="center"/>
            <w:hideMark/>
          </w:tcPr>
          <w:p w14:paraId="7DF24528" w14:textId="6CCD2DD8" w:rsidR="007219D8" w:rsidRPr="00E46E82" w:rsidRDefault="007219D8" w:rsidP="007219D8">
            <w:pPr>
              <w:spacing w:after="0" w:line="240" w:lineRule="auto"/>
              <w:jc w:val="center"/>
              <w:textAlignment w:val="baseline"/>
              <w:rPr>
                <w:rFonts w:ascii="Calibri" w:eastAsia="Times New Roman" w:hAnsi="Calibri" w:cs="Calibri"/>
                <w:sz w:val="20"/>
                <w:szCs w:val="20"/>
                <w:lang w:eastAsia="en-GB"/>
              </w:rPr>
            </w:pPr>
            <w:r w:rsidRPr="00E46E82">
              <w:rPr>
                <w:rFonts w:ascii="Calibri" w:eastAsia="Times New Roman" w:hAnsi="Calibri" w:cs="Calibri"/>
                <w:sz w:val="20"/>
                <w:szCs w:val="20"/>
                <w:lang w:eastAsia="en-GB"/>
              </w:rPr>
              <w:t>208/574 (36%)</w:t>
            </w:r>
          </w:p>
        </w:tc>
        <w:tc>
          <w:tcPr>
            <w:tcW w:w="1733" w:type="dxa"/>
            <w:tcBorders>
              <w:top w:val="nil"/>
              <w:left w:val="nil"/>
              <w:bottom w:val="nil"/>
              <w:right w:val="nil"/>
            </w:tcBorders>
            <w:shd w:val="clear" w:color="auto" w:fill="auto"/>
            <w:vAlign w:val="center"/>
            <w:hideMark/>
          </w:tcPr>
          <w:p w14:paraId="5253FC1A" w14:textId="14D0C628" w:rsidR="007219D8" w:rsidRPr="00E46E82" w:rsidRDefault="007219D8" w:rsidP="007219D8">
            <w:pPr>
              <w:spacing w:after="0" w:line="240" w:lineRule="auto"/>
              <w:jc w:val="center"/>
              <w:textAlignment w:val="baseline"/>
              <w:rPr>
                <w:rFonts w:ascii="Calibri" w:eastAsia="Times New Roman" w:hAnsi="Calibri" w:cs="Calibri"/>
                <w:sz w:val="20"/>
                <w:szCs w:val="20"/>
                <w:lang w:eastAsia="en-GB"/>
              </w:rPr>
            </w:pPr>
            <w:r w:rsidRPr="00E46E82">
              <w:rPr>
                <w:rFonts w:ascii="Calibri" w:eastAsia="Times New Roman" w:hAnsi="Calibri" w:cs="Calibri"/>
                <w:sz w:val="20"/>
                <w:szCs w:val="20"/>
                <w:lang w:eastAsia="en-GB"/>
              </w:rPr>
              <w:t>197/597 (33%)</w:t>
            </w:r>
          </w:p>
        </w:tc>
        <w:tc>
          <w:tcPr>
            <w:tcW w:w="1639" w:type="dxa"/>
            <w:vAlign w:val="center"/>
          </w:tcPr>
          <w:p w14:paraId="4C197299" w14:textId="0E447511" w:rsidR="007219D8" w:rsidRPr="00E46E82" w:rsidRDefault="007219D8" w:rsidP="003049D4">
            <w:pPr>
              <w:spacing w:after="0" w:line="240" w:lineRule="auto"/>
              <w:jc w:val="center"/>
              <w:rPr>
                <w:rFonts w:ascii="Calibri" w:hAnsi="Calibri" w:cs="Calibri"/>
                <w:sz w:val="20"/>
                <w:szCs w:val="20"/>
              </w:rPr>
            </w:pPr>
            <w:r w:rsidRPr="00E46E82">
              <w:rPr>
                <w:rFonts w:ascii="Calibri" w:hAnsi="Calibri" w:cs="Calibri"/>
                <w:sz w:val="20"/>
                <w:szCs w:val="20"/>
              </w:rPr>
              <w:t>1.10</w:t>
            </w:r>
          </w:p>
          <w:p w14:paraId="1AE537FE" w14:textId="7EDC3DC3" w:rsidR="007219D8" w:rsidRPr="00E46E82" w:rsidRDefault="007219D8" w:rsidP="003049D4">
            <w:pPr>
              <w:spacing w:after="0" w:line="240" w:lineRule="auto"/>
              <w:jc w:val="center"/>
              <w:textAlignment w:val="baseline"/>
              <w:rPr>
                <w:rFonts w:ascii="Calibri" w:hAnsi="Calibri" w:cs="Calibri"/>
                <w:sz w:val="20"/>
                <w:szCs w:val="20"/>
              </w:rPr>
            </w:pPr>
            <w:r w:rsidRPr="00E46E82">
              <w:rPr>
                <w:rFonts w:ascii="Calibri" w:hAnsi="Calibri" w:cs="Calibri"/>
                <w:sz w:val="20"/>
                <w:szCs w:val="20"/>
              </w:rPr>
              <w:t>(0.94 to 1.28)</w:t>
            </w:r>
          </w:p>
        </w:tc>
        <w:tc>
          <w:tcPr>
            <w:tcW w:w="1781" w:type="dxa"/>
            <w:tcBorders>
              <w:top w:val="nil"/>
              <w:bottom w:val="nil"/>
              <w:right w:val="nil"/>
            </w:tcBorders>
            <w:vAlign w:val="center"/>
          </w:tcPr>
          <w:p w14:paraId="5E044B51" w14:textId="77777777" w:rsidR="007219D8" w:rsidRPr="00E46E82" w:rsidRDefault="007219D8" w:rsidP="003049D4">
            <w:pPr>
              <w:spacing w:after="0" w:line="240" w:lineRule="auto"/>
              <w:jc w:val="center"/>
              <w:rPr>
                <w:rFonts w:ascii="Calibri" w:hAnsi="Calibri" w:cs="Calibri"/>
                <w:sz w:val="20"/>
                <w:szCs w:val="20"/>
              </w:rPr>
            </w:pPr>
            <w:r w:rsidRPr="00E46E82">
              <w:rPr>
                <w:rFonts w:ascii="Calibri" w:hAnsi="Calibri" w:cs="Calibri"/>
                <w:sz w:val="20"/>
                <w:szCs w:val="20"/>
              </w:rPr>
              <w:t>3.3%</w:t>
            </w:r>
          </w:p>
          <w:p w14:paraId="6AE4402F" w14:textId="350965D4" w:rsidR="007219D8" w:rsidRPr="00E46E82" w:rsidRDefault="007219D8" w:rsidP="003049D4">
            <w:pPr>
              <w:spacing w:after="0" w:line="240" w:lineRule="auto"/>
              <w:jc w:val="center"/>
              <w:textAlignment w:val="baseline"/>
              <w:rPr>
                <w:rFonts w:ascii="Calibri" w:hAnsi="Calibri" w:cs="Calibri"/>
                <w:sz w:val="20"/>
                <w:szCs w:val="20"/>
              </w:rPr>
            </w:pPr>
            <w:r w:rsidRPr="00E46E82">
              <w:rPr>
                <w:rFonts w:ascii="Calibri" w:hAnsi="Calibri" w:cs="Calibri"/>
                <w:sz w:val="20"/>
                <w:szCs w:val="20"/>
              </w:rPr>
              <w:t xml:space="preserve"> (-2.1% to 8.8%)</w:t>
            </w:r>
          </w:p>
        </w:tc>
      </w:tr>
      <w:tr w:rsidR="007219D8" w:rsidRPr="00BD29C9" w14:paraId="2C7CF416" w14:textId="29F2C105" w:rsidTr="008F1931">
        <w:trPr>
          <w:jc w:val="center"/>
        </w:trPr>
        <w:tc>
          <w:tcPr>
            <w:tcW w:w="3104" w:type="dxa"/>
            <w:tcBorders>
              <w:top w:val="nil"/>
              <w:left w:val="nil"/>
              <w:bottom w:val="nil"/>
              <w:right w:val="nil"/>
            </w:tcBorders>
            <w:shd w:val="clear" w:color="auto" w:fill="auto"/>
            <w:hideMark/>
          </w:tcPr>
          <w:p w14:paraId="16A93401" w14:textId="49FF1497" w:rsidR="007219D8" w:rsidRPr="00E46E82" w:rsidRDefault="007219D8" w:rsidP="007219D8">
            <w:pPr>
              <w:spacing w:after="0" w:line="240" w:lineRule="auto"/>
              <w:textAlignment w:val="baseline"/>
              <w:rPr>
                <w:rFonts w:ascii="Calibri" w:eastAsia="Times New Roman" w:hAnsi="Calibri" w:cs="Calibri"/>
                <w:sz w:val="20"/>
                <w:szCs w:val="20"/>
                <w:lang w:eastAsia="en-GB"/>
              </w:rPr>
            </w:pPr>
            <w:r w:rsidRPr="00E46E82">
              <w:rPr>
                <w:rFonts w:ascii="Calibri" w:eastAsia="Times New Roman" w:hAnsi="Calibri" w:cs="Calibri"/>
                <w:sz w:val="20"/>
                <w:szCs w:val="20"/>
                <w:lang w:eastAsia="en-GB"/>
              </w:rPr>
              <w:t> </w:t>
            </w:r>
          </w:p>
        </w:tc>
        <w:tc>
          <w:tcPr>
            <w:tcW w:w="1524" w:type="dxa"/>
            <w:tcBorders>
              <w:top w:val="nil"/>
              <w:left w:val="nil"/>
              <w:bottom w:val="nil"/>
              <w:right w:val="nil"/>
            </w:tcBorders>
            <w:shd w:val="clear" w:color="auto" w:fill="auto"/>
            <w:vAlign w:val="center"/>
            <w:hideMark/>
          </w:tcPr>
          <w:p w14:paraId="743CBF09" w14:textId="2EAFBBE1" w:rsidR="007219D8" w:rsidRPr="00E46E82" w:rsidRDefault="007219D8" w:rsidP="007219D8">
            <w:pPr>
              <w:spacing w:after="0" w:line="240" w:lineRule="auto"/>
              <w:jc w:val="center"/>
              <w:textAlignment w:val="baseline"/>
              <w:rPr>
                <w:rFonts w:ascii="Calibri" w:eastAsia="Times New Roman" w:hAnsi="Calibri" w:cs="Calibri"/>
                <w:sz w:val="20"/>
                <w:szCs w:val="20"/>
                <w:lang w:eastAsia="en-GB"/>
              </w:rPr>
            </w:pPr>
          </w:p>
        </w:tc>
        <w:tc>
          <w:tcPr>
            <w:tcW w:w="1733" w:type="dxa"/>
            <w:tcBorders>
              <w:top w:val="nil"/>
              <w:left w:val="nil"/>
              <w:bottom w:val="nil"/>
              <w:right w:val="nil"/>
            </w:tcBorders>
            <w:shd w:val="clear" w:color="auto" w:fill="auto"/>
            <w:vAlign w:val="center"/>
            <w:hideMark/>
          </w:tcPr>
          <w:p w14:paraId="5979B0B5" w14:textId="387AAD3C" w:rsidR="007219D8" w:rsidRPr="00E46E82" w:rsidRDefault="007219D8" w:rsidP="007219D8">
            <w:pPr>
              <w:spacing w:after="0" w:line="240" w:lineRule="auto"/>
              <w:jc w:val="center"/>
              <w:textAlignment w:val="baseline"/>
              <w:rPr>
                <w:rFonts w:ascii="Calibri" w:eastAsia="Times New Roman" w:hAnsi="Calibri" w:cs="Calibri"/>
                <w:sz w:val="20"/>
                <w:szCs w:val="20"/>
                <w:lang w:eastAsia="en-GB"/>
              </w:rPr>
            </w:pPr>
          </w:p>
        </w:tc>
        <w:tc>
          <w:tcPr>
            <w:tcW w:w="1639" w:type="dxa"/>
            <w:tcBorders>
              <w:top w:val="nil"/>
              <w:left w:val="nil"/>
              <w:bottom w:val="nil"/>
              <w:right w:val="nil"/>
            </w:tcBorders>
            <w:vAlign w:val="center"/>
          </w:tcPr>
          <w:p w14:paraId="7AE26D4F" w14:textId="5922FCF7" w:rsidR="007219D8" w:rsidRPr="00E46E82" w:rsidRDefault="007219D8" w:rsidP="003049D4">
            <w:pPr>
              <w:spacing w:after="0" w:line="240" w:lineRule="auto"/>
              <w:jc w:val="center"/>
              <w:rPr>
                <w:rFonts w:ascii="Calibri" w:hAnsi="Calibri" w:cs="Calibri"/>
                <w:sz w:val="20"/>
                <w:szCs w:val="20"/>
              </w:rPr>
            </w:pPr>
          </w:p>
        </w:tc>
        <w:tc>
          <w:tcPr>
            <w:tcW w:w="1781" w:type="dxa"/>
            <w:tcBorders>
              <w:top w:val="nil"/>
              <w:left w:val="nil"/>
              <w:bottom w:val="nil"/>
              <w:right w:val="nil"/>
            </w:tcBorders>
            <w:vAlign w:val="center"/>
          </w:tcPr>
          <w:p w14:paraId="60E39589" w14:textId="7B5AA6EF" w:rsidR="007219D8" w:rsidRPr="00E46E82" w:rsidRDefault="007219D8" w:rsidP="003049D4">
            <w:pPr>
              <w:spacing w:after="0" w:line="240" w:lineRule="auto"/>
              <w:jc w:val="center"/>
              <w:rPr>
                <w:rFonts w:ascii="Calibri" w:hAnsi="Calibri" w:cs="Calibri"/>
                <w:sz w:val="20"/>
                <w:szCs w:val="20"/>
              </w:rPr>
            </w:pPr>
          </w:p>
        </w:tc>
      </w:tr>
      <w:tr w:rsidR="007219D8" w:rsidRPr="00BD29C9" w14:paraId="4EAC998E" w14:textId="77777777" w:rsidTr="008F1931">
        <w:trPr>
          <w:jc w:val="center"/>
        </w:trPr>
        <w:tc>
          <w:tcPr>
            <w:tcW w:w="3104" w:type="dxa"/>
            <w:tcBorders>
              <w:top w:val="nil"/>
              <w:left w:val="nil"/>
              <w:bottom w:val="nil"/>
            </w:tcBorders>
          </w:tcPr>
          <w:p w14:paraId="5B828527" w14:textId="00C94E0D" w:rsidR="007219D8" w:rsidRPr="00E46E82" w:rsidRDefault="007219D8" w:rsidP="007219D8">
            <w:pPr>
              <w:spacing w:after="0" w:line="240" w:lineRule="auto"/>
              <w:textAlignment w:val="baseline"/>
              <w:rPr>
                <w:rFonts w:ascii="Calibri" w:eastAsia="Times New Roman" w:hAnsi="Calibri" w:cs="Calibri"/>
                <w:sz w:val="20"/>
                <w:szCs w:val="20"/>
                <w:lang w:eastAsia="en-GB"/>
              </w:rPr>
            </w:pPr>
            <w:r w:rsidRPr="00E46E82">
              <w:rPr>
                <w:rFonts w:ascii="Calibri" w:hAnsi="Calibri" w:cs="Calibri"/>
                <w:sz w:val="20"/>
                <w:szCs w:val="20"/>
              </w:rPr>
              <w:t>Parental report of immediate allergy to cow’s milk, egg or peanut</w:t>
            </w:r>
            <w:r w:rsidR="00506035">
              <w:t xml:space="preserve"> </w:t>
            </w:r>
            <w:r w:rsidR="00506035" w:rsidRPr="00506035">
              <w:rPr>
                <w:rFonts w:ascii="Calibri" w:hAnsi="Calibri" w:cs="Calibri"/>
                <w:sz w:val="20"/>
                <w:szCs w:val="20"/>
              </w:rPr>
              <w:t>between birth and age 2 years</w:t>
            </w:r>
            <w:bookmarkStart w:id="0" w:name="_GoBack"/>
            <w:bookmarkEnd w:id="0"/>
            <w:r w:rsidRPr="00E46E82">
              <w:rPr>
                <w:rFonts w:ascii="Calibri" w:hAnsi="Calibri" w:cs="Calibri"/>
                <w:sz w:val="20"/>
                <w:szCs w:val="20"/>
                <w:vertAlign w:val="superscript"/>
              </w:rPr>
              <w:t>2</w:t>
            </w:r>
          </w:p>
        </w:tc>
        <w:tc>
          <w:tcPr>
            <w:tcW w:w="1524" w:type="dxa"/>
            <w:vAlign w:val="center"/>
          </w:tcPr>
          <w:p w14:paraId="393B04E2" w14:textId="39665C4C" w:rsidR="007219D8" w:rsidRPr="00E46E82" w:rsidRDefault="007219D8" w:rsidP="007219D8">
            <w:pPr>
              <w:spacing w:after="0" w:line="240" w:lineRule="auto"/>
              <w:jc w:val="center"/>
              <w:textAlignment w:val="baseline"/>
              <w:rPr>
                <w:rFonts w:ascii="Calibri" w:eastAsia="Times New Roman" w:hAnsi="Calibri" w:cs="Calibri"/>
                <w:sz w:val="20"/>
                <w:szCs w:val="20"/>
                <w:lang w:eastAsia="en-GB"/>
              </w:rPr>
            </w:pPr>
            <w:r w:rsidRPr="00E46E82">
              <w:rPr>
                <w:rFonts w:ascii="Calibri" w:eastAsia="Times New Roman" w:hAnsi="Calibri" w:cs="Calibri"/>
                <w:sz w:val="20"/>
                <w:szCs w:val="20"/>
                <w:lang w:eastAsia="en-GB"/>
              </w:rPr>
              <w:t>98/574 (17%)</w:t>
            </w:r>
          </w:p>
        </w:tc>
        <w:tc>
          <w:tcPr>
            <w:tcW w:w="1733" w:type="dxa"/>
            <w:vAlign w:val="center"/>
          </w:tcPr>
          <w:p w14:paraId="2837122B" w14:textId="26EFAA0D" w:rsidR="007219D8" w:rsidRPr="00E46E82" w:rsidRDefault="007219D8" w:rsidP="007219D8">
            <w:pPr>
              <w:spacing w:after="0" w:line="240" w:lineRule="auto"/>
              <w:jc w:val="center"/>
              <w:textAlignment w:val="baseline"/>
              <w:rPr>
                <w:rFonts w:ascii="Calibri" w:eastAsia="Times New Roman" w:hAnsi="Calibri" w:cs="Calibri"/>
                <w:sz w:val="20"/>
                <w:szCs w:val="20"/>
                <w:lang w:eastAsia="en-GB"/>
              </w:rPr>
            </w:pPr>
            <w:r w:rsidRPr="00E46E82">
              <w:rPr>
                <w:rFonts w:ascii="Calibri" w:eastAsia="Times New Roman" w:hAnsi="Calibri" w:cs="Calibri"/>
                <w:sz w:val="20"/>
                <w:szCs w:val="20"/>
                <w:lang w:eastAsia="en-GB"/>
              </w:rPr>
              <w:t>83/598 (14%)</w:t>
            </w:r>
          </w:p>
        </w:tc>
        <w:tc>
          <w:tcPr>
            <w:tcW w:w="1639" w:type="dxa"/>
            <w:vAlign w:val="center"/>
          </w:tcPr>
          <w:p w14:paraId="535B716A" w14:textId="734BD3C1" w:rsidR="007219D8" w:rsidRPr="00E46E82" w:rsidRDefault="007219D8" w:rsidP="003049D4">
            <w:pPr>
              <w:spacing w:after="0" w:line="240" w:lineRule="auto"/>
              <w:jc w:val="center"/>
              <w:rPr>
                <w:rFonts w:ascii="Calibri" w:hAnsi="Calibri" w:cs="Calibri"/>
                <w:sz w:val="20"/>
                <w:szCs w:val="20"/>
              </w:rPr>
            </w:pPr>
            <w:r w:rsidRPr="00E46E82">
              <w:rPr>
                <w:rFonts w:ascii="Calibri" w:hAnsi="Calibri" w:cs="Calibri"/>
                <w:sz w:val="20"/>
                <w:szCs w:val="20"/>
              </w:rPr>
              <w:t>1.23</w:t>
            </w:r>
          </w:p>
          <w:p w14:paraId="63C0BAB5" w14:textId="701B739A" w:rsidR="007219D8" w:rsidRPr="00E46E82" w:rsidRDefault="007219D8" w:rsidP="003049D4">
            <w:pPr>
              <w:spacing w:after="0" w:line="240" w:lineRule="auto"/>
              <w:jc w:val="center"/>
              <w:textAlignment w:val="baseline"/>
              <w:rPr>
                <w:rFonts w:ascii="Calibri" w:hAnsi="Calibri" w:cs="Calibri"/>
                <w:sz w:val="20"/>
                <w:szCs w:val="20"/>
              </w:rPr>
            </w:pPr>
            <w:r w:rsidRPr="00E46E82">
              <w:rPr>
                <w:rFonts w:ascii="Calibri" w:hAnsi="Calibri" w:cs="Calibri"/>
                <w:sz w:val="20"/>
                <w:szCs w:val="20"/>
              </w:rPr>
              <w:t>(0.94 to 1.61)</w:t>
            </w:r>
          </w:p>
        </w:tc>
        <w:tc>
          <w:tcPr>
            <w:tcW w:w="1781" w:type="dxa"/>
            <w:tcBorders>
              <w:top w:val="nil"/>
              <w:bottom w:val="nil"/>
              <w:right w:val="nil"/>
            </w:tcBorders>
            <w:vAlign w:val="center"/>
          </w:tcPr>
          <w:p w14:paraId="7D68E477" w14:textId="77777777" w:rsidR="007219D8" w:rsidRPr="00E46E82" w:rsidRDefault="007219D8" w:rsidP="003049D4">
            <w:pPr>
              <w:spacing w:after="0" w:line="240" w:lineRule="auto"/>
              <w:jc w:val="center"/>
              <w:rPr>
                <w:rFonts w:ascii="Calibri" w:hAnsi="Calibri" w:cs="Calibri"/>
                <w:sz w:val="20"/>
                <w:szCs w:val="20"/>
              </w:rPr>
            </w:pPr>
            <w:r w:rsidRPr="00E46E82">
              <w:rPr>
                <w:rFonts w:ascii="Calibri" w:hAnsi="Calibri" w:cs="Calibri"/>
                <w:sz w:val="20"/>
                <w:szCs w:val="20"/>
              </w:rPr>
              <w:t>3.3%</w:t>
            </w:r>
          </w:p>
          <w:p w14:paraId="73C7AFB5" w14:textId="32EE9C24" w:rsidR="007219D8" w:rsidRPr="00E46E82" w:rsidRDefault="007219D8" w:rsidP="003049D4">
            <w:pPr>
              <w:spacing w:after="0" w:line="240" w:lineRule="auto"/>
              <w:jc w:val="center"/>
              <w:textAlignment w:val="baseline"/>
              <w:rPr>
                <w:rFonts w:ascii="Calibri" w:hAnsi="Calibri" w:cs="Calibri"/>
                <w:sz w:val="20"/>
                <w:szCs w:val="20"/>
              </w:rPr>
            </w:pPr>
            <w:r w:rsidRPr="00E46E82">
              <w:rPr>
                <w:rFonts w:ascii="Calibri" w:hAnsi="Calibri" w:cs="Calibri"/>
                <w:sz w:val="20"/>
                <w:szCs w:val="20"/>
              </w:rPr>
              <w:t xml:space="preserve"> (-0.9% to 7.4%)</w:t>
            </w:r>
          </w:p>
        </w:tc>
      </w:tr>
      <w:tr w:rsidR="007219D8" w:rsidRPr="00BD29C9" w14:paraId="3E5798B7" w14:textId="34EB712D" w:rsidTr="008F1931">
        <w:trPr>
          <w:jc w:val="center"/>
        </w:trPr>
        <w:tc>
          <w:tcPr>
            <w:tcW w:w="3104" w:type="dxa"/>
            <w:tcBorders>
              <w:top w:val="nil"/>
              <w:left w:val="nil"/>
              <w:bottom w:val="nil"/>
              <w:right w:val="nil"/>
            </w:tcBorders>
            <w:shd w:val="clear" w:color="auto" w:fill="auto"/>
            <w:hideMark/>
          </w:tcPr>
          <w:p w14:paraId="3DC86DA0" w14:textId="1989279A" w:rsidR="007219D8" w:rsidRPr="00E46E82" w:rsidRDefault="007219D8" w:rsidP="007219D8">
            <w:pPr>
              <w:spacing w:after="0" w:line="240" w:lineRule="auto"/>
              <w:textAlignment w:val="baseline"/>
              <w:rPr>
                <w:rFonts w:ascii="Calibri" w:eastAsia="Times New Roman" w:hAnsi="Calibri" w:cs="Calibri"/>
                <w:sz w:val="20"/>
                <w:szCs w:val="20"/>
                <w:lang w:eastAsia="en-GB"/>
              </w:rPr>
            </w:pPr>
            <w:r w:rsidRPr="00E46E82">
              <w:rPr>
                <w:rFonts w:ascii="Calibri" w:eastAsia="Times New Roman" w:hAnsi="Calibri" w:cs="Calibri"/>
                <w:sz w:val="20"/>
                <w:szCs w:val="20"/>
                <w:lang w:eastAsia="en-GB"/>
              </w:rPr>
              <w:t> </w:t>
            </w:r>
          </w:p>
        </w:tc>
        <w:tc>
          <w:tcPr>
            <w:tcW w:w="1524" w:type="dxa"/>
            <w:tcBorders>
              <w:top w:val="nil"/>
              <w:left w:val="nil"/>
              <w:bottom w:val="nil"/>
              <w:right w:val="nil"/>
            </w:tcBorders>
            <w:shd w:val="clear" w:color="auto" w:fill="auto"/>
            <w:vAlign w:val="center"/>
            <w:hideMark/>
          </w:tcPr>
          <w:p w14:paraId="4D226DB6" w14:textId="4A0FF439" w:rsidR="007219D8" w:rsidRPr="00E46E82" w:rsidRDefault="007219D8" w:rsidP="007219D8">
            <w:pPr>
              <w:spacing w:after="0" w:line="240" w:lineRule="auto"/>
              <w:jc w:val="center"/>
              <w:textAlignment w:val="baseline"/>
              <w:rPr>
                <w:rFonts w:ascii="Calibri" w:eastAsia="Times New Roman" w:hAnsi="Calibri" w:cs="Calibri"/>
                <w:sz w:val="20"/>
                <w:szCs w:val="20"/>
                <w:lang w:eastAsia="en-GB"/>
              </w:rPr>
            </w:pPr>
          </w:p>
        </w:tc>
        <w:tc>
          <w:tcPr>
            <w:tcW w:w="1733" w:type="dxa"/>
            <w:tcBorders>
              <w:top w:val="nil"/>
              <w:left w:val="nil"/>
              <w:bottom w:val="nil"/>
              <w:right w:val="nil"/>
            </w:tcBorders>
            <w:shd w:val="clear" w:color="auto" w:fill="auto"/>
            <w:vAlign w:val="center"/>
            <w:hideMark/>
          </w:tcPr>
          <w:p w14:paraId="3CD7D01C" w14:textId="2C8DCDD7" w:rsidR="007219D8" w:rsidRPr="00E46E82" w:rsidRDefault="007219D8" w:rsidP="007219D8">
            <w:pPr>
              <w:spacing w:after="0" w:line="240" w:lineRule="auto"/>
              <w:jc w:val="center"/>
              <w:textAlignment w:val="baseline"/>
              <w:rPr>
                <w:rFonts w:ascii="Calibri" w:eastAsia="Times New Roman" w:hAnsi="Calibri" w:cs="Calibri"/>
                <w:sz w:val="20"/>
                <w:szCs w:val="20"/>
                <w:lang w:eastAsia="en-GB"/>
              </w:rPr>
            </w:pPr>
          </w:p>
        </w:tc>
        <w:tc>
          <w:tcPr>
            <w:tcW w:w="1639" w:type="dxa"/>
            <w:tcBorders>
              <w:top w:val="nil"/>
              <w:left w:val="nil"/>
              <w:bottom w:val="nil"/>
              <w:right w:val="nil"/>
            </w:tcBorders>
            <w:vAlign w:val="center"/>
          </w:tcPr>
          <w:p w14:paraId="758D10D1" w14:textId="1DEC6D58" w:rsidR="007219D8" w:rsidRPr="00E46E82" w:rsidRDefault="007219D8" w:rsidP="003049D4">
            <w:pPr>
              <w:spacing w:after="0" w:line="240" w:lineRule="auto"/>
              <w:jc w:val="center"/>
              <w:rPr>
                <w:rFonts w:ascii="Calibri" w:hAnsi="Calibri" w:cs="Calibri"/>
                <w:sz w:val="20"/>
                <w:szCs w:val="20"/>
              </w:rPr>
            </w:pPr>
          </w:p>
        </w:tc>
        <w:tc>
          <w:tcPr>
            <w:tcW w:w="1781" w:type="dxa"/>
            <w:tcBorders>
              <w:top w:val="nil"/>
              <w:left w:val="nil"/>
              <w:bottom w:val="nil"/>
              <w:right w:val="nil"/>
            </w:tcBorders>
            <w:vAlign w:val="center"/>
          </w:tcPr>
          <w:p w14:paraId="4761A171" w14:textId="179297DA" w:rsidR="007219D8" w:rsidRPr="00E46E82" w:rsidRDefault="007219D8" w:rsidP="003049D4">
            <w:pPr>
              <w:spacing w:after="0" w:line="240" w:lineRule="auto"/>
              <w:jc w:val="center"/>
              <w:rPr>
                <w:rFonts w:ascii="Calibri" w:hAnsi="Calibri" w:cs="Calibri"/>
                <w:sz w:val="20"/>
                <w:szCs w:val="20"/>
              </w:rPr>
            </w:pPr>
          </w:p>
        </w:tc>
      </w:tr>
      <w:tr w:rsidR="003049D4" w:rsidRPr="00BD29C9" w14:paraId="52BD66BF" w14:textId="77777777" w:rsidTr="008F1931">
        <w:trPr>
          <w:jc w:val="center"/>
        </w:trPr>
        <w:tc>
          <w:tcPr>
            <w:tcW w:w="3104" w:type="dxa"/>
            <w:tcBorders>
              <w:top w:val="nil"/>
              <w:left w:val="nil"/>
              <w:bottom w:val="nil"/>
            </w:tcBorders>
          </w:tcPr>
          <w:p w14:paraId="1F6C30A9" w14:textId="570D9968" w:rsidR="003049D4" w:rsidRPr="00E46E82" w:rsidRDefault="003049D4" w:rsidP="003049D4">
            <w:pPr>
              <w:spacing w:after="0" w:line="240" w:lineRule="auto"/>
              <w:textAlignment w:val="baseline"/>
              <w:rPr>
                <w:rFonts w:ascii="Calibri" w:eastAsia="Times New Roman" w:hAnsi="Calibri" w:cs="Calibri"/>
                <w:sz w:val="20"/>
                <w:szCs w:val="20"/>
                <w:vertAlign w:val="superscript"/>
                <w:lang w:eastAsia="en-GB"/>
              </w:rPr>
            </w:pPr>
            <w:r w:rsidRPr="00E46E82">
              <w:rPr>
                <w:rFonts w:ascii="Calibri" w:hAnsi="Calibri" w:cs="Calibri"/>
                <w:sz w:val="20"/>
                <w:szCs w:val="20"/>
              </w:rPr>
              <w:t>Parental report of clinical diagnosis of food allergy</w:t>
            </w:r>
            <w:r w:rsidR="00506035">
              <w:rPr>
                <w:rFonts w:ascii="Calibri" w:hAnsi="Calibri" w:cs="Calibri"/>
                <w:sz w:val="20"/>
                <w:szCs w:val="20"/>
              </w:rPr>
              <w:t xml:space="preserve"> </w:t>
            </w:r>
            <w:r w:rsidR="00506035" w:rsidRPr="00E46E82">
              <w:rPr>
                <w:rFonts w:ascii="Calibri" w:eastAsia="Times New Roman" w:hAnsi="Calibri" w:cs="Calibri"/>
                <w:sz w:val="20"/>
                <w:szCs w:val="20"/>
                <w:lang w:eastAsia="en-GB"/>
              </w:rPr>
              <w:t>between birth and age 2 years</w:t>
            </w:r>
            <w:r w:rsidR="007A619D" w:rsidRPr="00E46E82">
              <w:rPr>
                <w:rFonts w:ascii="Calibri" w:hAnsi="Calibri" w:cs="Calibri"/>
                <w:sz w:val="20"/>
                <w:szCs w:val="20"/>
                <w:vertAlign w:val="superscript"/>
              </w:rPr>
              <w:t>3</w:t>
            </w:r>
          </w:p>
        </w:tc>
        <w:tc>
          <w:tcPr>
            <w:tcW w:w="1524" w:type="dxa"/>
            <w:vAlign w:val="center"/>
          </w:tcPr>
          <w:p w14:paraId="149397C4" w14:textId="759E6E11" w:rsidR="003049D4" w:rsidRPr="00E46E82" w:rsidRDefault="003049D4" w:rsidP="0051658D">
            <w:pPr>
              <w:spacing w:after="0" w:line="240" w:lineRule="auto"/>
              <w:jc w:val="center"/>
              <w:textAlignment w:val="baseline"/>
              <w:rPr>
                <w:rFonts w:ascii="Calibri" w:eastAsia="Times New Roman" w:hAnsi="Calibri" w:cs="Calibri"/>
                <w:sz w:val="20"/>
                <w:szCs w:val="20"/>
                <w:lang w:eastAsia="en-GB"/>
              </w:rPr>
            </w:pPr>
            <w:r w:rsidRPr="00E46E82">
              <w:rPr>
                <w:rFonts w:ascii="Calibri" w:eastAsia="Times New Roman" w:hAnsi="Calibri" w:cs="Calibri"/>
                <w:sz w:val="20"/>
                <w:szCs w:val="20"/>
                <w:lang w:eastAsia="en-GB"/>
              </w:rPr>
              <w:t>n = 575</w:t>
            </w:r>
          </w:p>
        </w:tc>
        <w:tc>
          <w:tcPr>
            <w:tcW w:w="1733" w:type="dxa"/>
            <w:vAlign w:val="center"/>
          </w:tcPr>
          <w:p w14:paraId="7D3201E8" w14:textId="16F879F3" w:rsidR="003049D4" w:rsidRPr="00E46E82" w:rsidRDefault="003049D4" w:rsidP="0051658D">
            <w:pPr>
              <w:spacing w:after="0" w:line="240" w:lineRule="auto"/>
              <w:jc w:val="center"/>
              <w:textAlignment w:val="baseline"/>
              <w:rPr>
                <w:rFonts w:ascii="Calibri" w:eastAsia="Times New Roman" w:hAnsi="Calibri" w:cs="Calibri"/>
                <w:sz w:val="20"/>
                <w:szCs w:val="20"/>
                <w:lang w:eastAsia="en-GB"/>
              </w:rPr>
            </w:pPr>
            <w:r w:rsidRPr="00E46E82">
              <w:rPr>
                <w:rFonts w:ascii="Calibri" w:eastAsia="Times New Roman" w:hAnsi="Calibri" w:cs="Calibri"/>
                <w:sz w:val="20"/>
                <w:szCs w:val="20"/>
                <w:lang w:eastAsia="en-GB"/>
              </w:rPr>
              <w:t>n = 599</w:t>
            </w:r>
          </w:p>
        </w:tc>
        <w:tc>
          <w:tcPr>
            <w:tcW w:w="1639" w:type="dxa"/>
            <w:vAlign w:val="bottom"/>
          </w:tcPr>
          <w:p w14:paraId="02801AF8" w14:textId="483CFA31" w:rsidR="003049D4" w:rsidRPr="00E46E82" w:rsidRDefault="003049D4" w:rsidP="003049D4">
            <w:pPr>
              <w:spacing w:after="0" w:line="240" w:lineRule="auto"/>
              <w:jc w:val="center"/>
              <w:rPr>
                <w:rFonts w:ascii="Calibri" w:eastAsia="Times New Roman" w:hAnsi="Calibri" w:cs="Calibri"/>
                <w:sz w:val="20"/>
                <w:szCs w:val="20"/>
                <w:lang w:eastAsia="en-GB"/>
              </w:rPr>
            </w:pPr>
          </w:p>
        </w:tc>
        <w:tc>
          <w:tcPr>
            <w:tcW w:w="1781" w:type="dxa"/>
            <w:tcBorders>
              <w:top w:val="nil"/>
              <w:bottom w:val="nil"/>
              <w:right w:val="nil"/>
            </w:tcBorders>
          </w:tcPr>
          <w:p w14:paraId="07974EF9" w14:textId="76233B76" w:rsidR="003049D4" w:rsidRPr="00E46E82" w:rsidRDefault="003049D4" w:rsidP="003049D4">
            <w:pPr>
              <w:spacing w:after="0" w:line="240" w:lineRule="auto"/>
              <w:jc w:val="center"/>
              <w:rPr>
                <w:rFonts w:ascii="Calibri" w:eastAsia="Times New Roman" w:hAnsi="Calibri" w:cs="Calibri"/>
                <w:sz w:val="20"/>
                <w:szCs w:val="20"/>
                <w:lang w:eastAsia="en-GB"/>
              </w:rPr>
            </w:pPr>
          </w:p>
        </w:tc>
      </w:tr>
      <w:tr w:rsidR="003049D4" w:rsidRPr="00BD29C9" w14:paraId="2D91F00E" w14:textId="77777777" w:rsidTr="008F1931">
        <w:trPr>
          <w:jc w:val="center"/>
        </w:trPr>
        <w:tc>
          <w:tcPr>
            <w:tcW w:w="3104" w:type="dxa"/>
            <w:tcBorders>
              <w:top w:val="nil"/>
              <w:left w:val="nil"/>
              <w:bottom w:val="nil"/>
            </w:tcBorders>
          </w:tcPr>
          <w:p w14:paraId="3179C40F" w14:textId="567A5D9B" w:rsidR="003049D4" w:rsidRPr="00E46E82" w:rsidRDefault="003049D4" w:rsidP="007A619D">
            <w:pPr>
              <w:spacing w:after="0" w:line="240" w:lineRule="auto"/>
              <w:jc w:val="right"/>
              <w:textAlignment w:val="baseline"/>
              <w:rPr>
                <w:rFonts w:ascii="Calibri" w:eastAsia="Times New Roman" w:hAnsi="Calibri" w:cs="Calibri"/>
                <w:sz w:val="20"/>
                <w:szCs w:val="20"/>
                <w:lang w:eastAsia="en-GB"/>
              </w:rPr>
            </w:pPr>
            <w:r w:rsidRPr="00E46E82">
              <w:rPr>
                <w:rFonts w:ascii="Calibri" w:hAnsi="Calibri" w:cs="Calibri"/>
                <w:sz w:val="20"/>
                <w:szCs w:val="20"/>
              </w:rPr>
              <w:t>No</w:t>
            </w:r>
          </w:p>
        </w:tc>
        <w:tc>
          <w:tcPr>
            <w:tcW w:w="1524" w:type="dxa"/>
          </w:tcPr>
          <w:p w14:paraId="27633829" w14:textId="77493015" w:rsidR="003049D4" w:rsidRPr="00E46E82" w:rsidRDefault="003049D4" w:rsidP="003049D4">
            <w:pPr>
              <w:spacing w:after="0" w:line="240" w:lineRule="auto"/>
              <w:jc w:val="center"/>
              <w:textAlignment w:val="baseline"/>
              <w:rPr>
                <w:rFonts w:ascii="Calibri" w:eastAsia="Times New Roman" w:hAnsi="Calibri" w:cs="Calibri"/>
                <w:sz w:val="20"/>
                <w:szCs w:val="20"/>
                <w:lang w:eastAsia="en-GB"/>
              </w:rPr>
            </w:pPr>
            <w:r w:rsidRPr="00E46E82">
              <w:rPr>
                <w:rFonts w:ascii="Calibri" w:eastAsia="Times New Roman" w:hAnsi="Calibri" w:cs="Calibri"/>
                <w:sz w:val="20"/>
                <w:szCs w:val="20"/>
                <w:lang w:eastAsia="en-GB"/>
              </w:rPr>
              <w:t>421 (73%)</w:t>
            </w:r>
          </w:p>
        </w:tc>
        <w:tc>
          <w:tcPr>
            <w:tcW w:w="1733" w:type="dxa"/>
          </w:tcPr>
          <w:p w14:paraId="246E4607" w14:textId="09E7C8F6" w:rsidR="003049D4" w:rsidRPr="00E46E82" w:rsidRDefault="003049D4" w:rsidP="003049D4">
            <w:pPr>
              <w:spacing w:after="0" w:line="240" w:lineRule="auto"/>
              <w:jc w:val="center"/>
              <w:textAlignment w:val="baseline"/>
              <w:rPr>
                <w:rFonts w:ascii="Calibri" w:eastAsia="Times New Roman" w:hAnsi="Calibri" w:cs="Calibri"/>
                <w:sz w:val="20"/>
                <w:szCs w:val="20"/>
                <w:lang w:eastAsia="en-GB"/>
              </w:rPr>
            </w:pPr>
            <w:r w:rsidRPr="00E46E82">
              <w:rPr>
                <w:rFonts w:ascii="Calibri" w:eastAsia="Times New Roman" w:hAnsi="Calibri" w:cs="Calibri"/>
                <w:sz w:val="20"/>
                <w:szCs w:val="20"/>
                <w:lang w:eastAsia="en-GB"/>
              </w:rPr>
              <w:t>436 (73%)</w:t>
            </w:r>
          </w:p>
        </w:tc>
        <w:tc>
          <w:tcPr>
            <w:tcW w:w="1639" w:type="dxa"/>
            <w:vAlign w:val="bottom"/>
          </w:tcPr>
          <w:p w14:paraId="358138CF" w14:textId="02D58BA2" w:rsidR="003049D4" w:rsidRPr="00E46E82" w:rsidRDefault="003049D4" w:rsidP="003049D4">
            <w:pPr>
              <w:spacing w:after="0" w:line="240" w:lineRule="auto"/>
              <w:jc w:val="center"/>
              <w:rPr>
                <w:rFonts w:ascii="Calibri" w:eastAsia="Times New Roman" w:hAnsi="Calibri" w:cs="Calibri"/>
                <w:sz w:val="20"/>
                <w:szCs w:val="20"/>
                <w:lang w:eastAsia="en-GB"/>
              </w:rPr>
            </w:pPr>
          </w:p>
        </w:tc>
        <w:tc>
          <w:tcPr>
            <w:tcW w:w="1781" w:type="dxa"/>
            <w:tcBorders>
              <w:top w:val="nil"/>
              <w:bottom w:val="nil"/>
              <w:right w:val="nil"/>
            </w:tcBorders>
          </w:tcPr>
          <w:p w14:paraId="396D34DE" w14:textId="2FCFB2C8" w:rsidR="003049D4" w:rsidRPr="00E46E82" w:rsidRDefault="003049D4" w:rsidP="003049D4">
            <w:pPr>
              <w:spacing w:after="0" w:line="240" w:lineRule="auto"/>
              <w:jc w:val="center"/>
              <w:rPr>
                <w:rFonts w:ascii="Calibri" w:eastAsia="Times New Roman" w:hAnsi="Calibri" w:cs="Calibri"/>
                <w:sz w:val="20"/>
                <w:szCs w:val="20"/>
                <w:lang w:eastAsia="en-GB"/>
              </w:rPr>
            </w:pPr>
          </w:p>
        </w:tc>
      </w:tr>
      <w:tr w:rsidR="007A619D" w:rsidRPr="00BD29C9" w14:paraId="6D595E46" w14:textId="77777777" w:rsidTr="008F1931">
        <w:trPr>
          <w:jc w:val="center"/>
        </w:trPr>
        <w:tc>
          <w:tcPr>
            <w:tcW w:w="3104" w:type="dxa"/>
            <w:tcBorders>
              <w:top w:val="nil"/>
              <w:left w:val="nil"/>
              <w:bottom w:val="nil"/>
            </w:tcBorders>
          </w:tcPr>
          <w:p w14:paraId="16B713CB" w14:textId="74A9B197" w:rsidR="007A619D" w:rsidRPr="00E46E82" w:rsidRDefault="007A619D" w:rsidP="007A619D">
            <w:pPr>
              <w:spacing w:after="0" w:line="240" w:lineRule="auto"/>
              <w:jc w:val="right"/>
              <w:textAlignment w:val="baseline"/>
              <w:rPr>
                <w:rFonts w:ascii="Calibri" w:eastAsia="Times New Roman" w:hAnsi="Calibri" w:cs="Calibri"/>
                <w:sz w:val="20"/>
                <w:szCs w:val="20"/>
                <w:lang w:eastAsia="en-GB"/>
              </w:rPr>
            </w:pPr>
            <w:r w:rsidRPr="00E46E82">
              <w:rPr>
                <w:rFonts w:ascii="Calibri" w:hAnsi="Calibri" w:cs="Calibri"/>
                <w:sz w:val="20"/>
                <w:szCs w:val="20"/>
              </w:rPr>
              <w:t>Yes</w:t>
            </w:r>
          </w:p>
        </w:tc>
        <w:tc>
          <w:tcPr>
            <w:tcW w:w="1524" w:type="dxa"/>
          </w:tcPr>
          <w:p w14:paraId="087F01F4" w14:textId="1CF27374" w:rsidR="007A619D" w:rsidRPr="00E46E82" w:rsidRDefault="007A619D" w:rsidP="003049D4">
            <w:pPr>
              <w:spacing w:after="0" w:line="240" w:lineRule="auto"/>
              <w:jc w:val="center"/>
              <w:textAlignment w:val="baseline"/>
              <w:rPr>
                <w:rFonts w:ascii="Calibri" w:eastAsia="Times New Roman" w:hAnsi="Calibri" w:cs="Calibri"/>
                <w:sz w:val="20"/>
                <w:szCs w:val="20"/>
                <w:lang w:eastAsia="en-GB"/>
              </w:rPr>
            </w:pPr>
            <w:r w:rsidRPr="00E46E82">
              <w:rPr>
                <w:rFonts w:ascii="Calibri" w:eastAsia="Times New Roman" w:hAnsi="Calibri" w:cs="Calibri"/>
                <w:sz w:val="20"/>
                <w:szCs w:val="20"/>
                <w:lang w:eastAsia="en-GB"/>
              </w:rPr>
              <w:t>72 (13%)</w:t>
            </w:r>
          </w:p>
        </w:tc>
        <w:tc>
          <w:tcPr>
            <w:tcW w:w="1733" w:type="dxa"/>
          </w:tcPr>
          <w:p w14:paraId="0B7AB1C1" w14:textId="6682020D" w:rsidR="007A619D" w:rsidRPr="00E46E82" w:rsidRDefault="007A619D" w:rsidP="003049D4">
            <w:pPr>
              <w:spacing w:after="0" w:line="240" w:lineRule="auto"/>
              <w:jc w:val="center"/>
              <w:textAlignment w:val="baseline"/>
              <w:rPr>
                <w:rFonts w:ascii="Calibri" w:eastAsia="Times New Roman" w:hAnsi="Calibri" w:cs="Calibri"/>
                <w:sz w:val="20"/>
                <w:szCs w:val="20"/>
                <w:lang w:eastAsia="en-GB"/>
              </w:rPr>
            </w:pPr>
            <w:r w:rsidRPr="00E46E82">
              <w:rPr>
                <w:rFonts w:ascii="Calibri" w:eastAsia="Times New Roman" w:hAnsi="Calibri" w:cs="Calibri"/>
                <w:sz w:val="20"/>
                <w:szCs w:val="20"/>
                <w:lang w:eastAsia="en-GB"/>
              </w:rPr>
              <w:t>66 (11%)</w:t>
            </w:r>
          </w:p>
        </w:tc>
        <w:tc>
          <w:tcPr>
            <w:tcW w:w="1639" w:type="dxa"/>
            <w:vMerge w:val="restart"/>
          </w:tcPr>
          <w:p w14:paraId="04F64CAC" w14:textId="79E74253" w:rsidR="007A619D" w:rsidRPr="00E46E82" w:rsidRDefault="007A619D" w:rsidP="007A619D">
            <w:pPr>
              <w:spacing w:after="0"/>
              <w:jc w:val="center"/>
              <w:rPr>
                <w:rFonts w:ascii="Calibri" w:eastAsia="Times New Roman" w:hAnsi="Calibri" w:cs="Calibri"/>
                <w:sz w:val="20"/>
                <w:szCs w:val="20"/>
                <w:lang w:eastAsia="en-GB"/>
              </w:rPr>
            </w:pPr>
            <w:r w:rsidRPr="00E46E82">
              <w:rPr>
                <w:rFonts w:ascii="Calibri" w:eastAsia="Times New Roman" w:hAnsi="Calibri" w:cs="Calibri"/>
                <w:sz w:val="20"/>
                <w:szCs w:val="20"/>
                <w:lang w:eastAsia="en-GB"/>
              </w:rPr>
              <w:t xml:space="preserve">1.12 </w:t>
            </w:r>
          </w:p>
          <w:p w14:paraId="7D01F0DB" w14:textId="3E306D97" w:rsidR="007A619D" w:rsidRPr="00E46E82" w:rsidRDefault="007A619D" w:rsidP="007A619D">
            <w:pPr>
              <w:spacing w:after="0" w:line="240" w:lineRule="auto"/>
              <w:jc w:val="center"/>
              <w:rPr>
                <w:rFonts w:ascii="Calibri" w:eastAsia="Times New Roman" w:hAnsi="Calibri" w:cs="Calibri"/>
                <w:sz w:val="20"/>
                <w:szCs w:val="20"/>
                <w:lang w:eastAsia="en-GB"/>
              </w:rPr>
            </w:pPr>
            <w:r w:rsidRPr="00E46E82">
              <w:rPr>
                <w:rFonts w:ascii="Calibri" w:eastAsia="Times New Roman" w:hAnsi="Calibri" w:cs="Calibri"/>
                <w:sz w:val="20"/>
                <w:szCs w:val="20"/>
                <w:lang w:eastAsia="en-GB"/>
              </w:rPr>
              <w:t>(0.82 to 1.52)</w:t>
            </w:r>
          </w:p>
        </w:tc>
        <w:tc>
          <w:tcPr>
            <w:tcW w:w="1781" w:type="dxa"/>
            <w:vMerge w:val="restart"/>
            <w:tcBorders>
              <w:top w:val="nil"/>
              <w:bottom w:val="nil"/>
              <w:right w:val="nil"/>
            </w:tcBorders>
          </w:tcPr>
          <w:p w14:paraId="1F59FC20" w14:textId="3FE73CB1" w:rsidR="007A619D" w:rsidRPr="00E46E82" w:rsidRDefault="007A619D" w:rsidP="007A619D">
            <w:pPr>
              <w:spacing w:after="0"/>
              <w:jc w:val="center"/>
              <w:rPr>
                <w:rFonts w:ascii="Calibri" w:eastAsia="Times New Roman" w:hAnsi="Calibri" w:cs="Calibri"/>
                <w:sz w:val="20"/>
                <w:szCs w:val="20"/>
                <w:lang w:eastAsia="en-GB"/>
              </w:rPr>
            </w:pPr>
            <w:r w:rsidRPr="00E46E82">
              <w:rPr>
                <w:rFonts w:ascii="Calibri" w:eastAsia="Times New Roman" w:hAnsi="Calibri" w:cs="Calibri"/>
                <w:sz w:val="20"/>
                <w:szCs w:val="20"/>
                <w:lang w:eastAsia="en-GB"/>
              </w:rPr>
              <w:t xml:space="preserve">1.5% </w:t>
            </w:r>
          </w:p>
          <w:p w14:paraId="36C0AA7E" w14:textId="40553502" w:rsidR="007A619D" w:rsidRPr="00E46E82" w:rsidRDefault="007A619D" w:rsidP="007A619D">
            <w:pPr>
              <w:spacing w:after="0" w:line="240" w:lineRule="auto"/>
              <w:jc w:val="center"/>
              <w:rPr>
                <w:rFonts w:ascii="Calibri" w:eastAsia="Times New Roman" w:hAnsi="Calibri" w:cs="Calibri"/>
                <w:sz w:val="20"/>
                <w:szCs w:val="20"/>
                <w:lang w:eastAsia="en-GB"/>
              </w:rPr>
            </w:pPr>
            <w:r w:rsidRPr="00E46E82">
              <w:rPr>
                <w:rFonts w:ascii="Calibri" w:eastAsia="Times New Roman" w:hAnsi="Calibri" w:cs="Calibri"/>
                <w:sz w:val="20"/>
                <w:szCs w:val="20"/>
                <w:lang w:eastAsia="en-GB"/>
              </w:rPr>
              <w:t>(-2.8% to 5.7%)</w:t>
            </w:r>
          </w:p>
          <w:p w14:paraId="4E820728" w14:textId="1FDF6DDD" w:rsidR="007A619D" w:rsidRPr="00E46E82" w:rsidRDefault="007A619D" w:rsidP="003049D4">
            <w:pPr>
              <w:spacing w:after="0" w:line="240" w:lineRule="auto"/>
              <w:jc w:val="center"/>
              <w:rPr>
                <w:rFonts w:ascii="Calibri" w:eastAsia="Times New Roman" w:hAnsi="Calibri" w:cs="Calibri"/>
                <w:sz w:val="20"/>
                <w:szCs w:val="20"/>
                <w:lang w:eastAsia="en-GB"/>
              </w:rPr>
            </w:pPr>
          </w:p>
        </w:tc>
      </w:tr>
      <w:tr w:rsidR="007A619D" w:rsidRPr="00BD29C9" w14:paraId="6BDADDE9" w14:textId="45CB4B66" w:rsidTr="008F1931">
        <w:trPr>
          <w:jc w:val="center"/>
        </w:trPr>
        <w:tc>
          <w:tcPr>
            <w:tcW w:w="3104" w:type="dxa"/>
            <w:tcBorders>
              <w:top w:val="nil"/>
              <w:left w:val="nil"/>
              <w:bottom w:val="nil"/>
            </w:tcBorders>
          </w:tcPr>
          <w:p w14:paraId="418A7674" w14:textId="659C7EEE" w:rsidR="007A619D" w:rsidRPr="00E46E82" w:rsidRDefault="007A619D" w:rsidP="007A619D">
            <w:pPr>
              <w:spacing w:after="0" w:line="240" w:lineRule="auto"/>
              <w:jc w:val="right"/>
              <w:textAlignment w:val="baseline"/>
              <w:rPr>
                <w:rFonts w:ascii="Calibri" w:eastAsia="Times New Roman" w:hAnsi="Calibri" w:cs="Calibri"/>
                <w:sz w:val="20"/>
                <w:szCs w:val="20"/>
                <w:lang w:eastAsia="en-GB"/>
              </w:rPr>
            </w:pPr>
            <w:r w:rsidRPr="00E46E82">
              <w:rPr>
                <w:rFonts w:ascii="Calibri" w:hAnsi="Calibri" w:cs="Calibri"/>
                <w:sz w:val="20"/>
                <w:szCs w:val="20"/>
              </w:rPr>
              <w:t xml:space="preserve">No diagnosis of food allergy reported between </w:t>
            </w:r>
            <w:r w:rsidR="00506035">
              <w:rPr>
                <w:rFonts w:ascii="Calibri" w:hAnsi="Calibri" w:cs="Calibri"/>
                <w:sz w:val="20"/>
                <w:szCs w:val="20"/>
              </w:rPr>
              <w:t>1 &amp; 2 years</w:t>
            </w:r>
            <w:r w:rsidRPr="00E46E82">
              <w:rPr>
                <w:rFonts w:ascii="Calibri" w:hAnsi="Calibri" w:cs="Calibri"/>
                <w:sz w:val="20"/>
                <w:szCs w:val="20"/>
              </w:rPr>
              <w:t xml:space="preserve">, not </w:t>
            </w:r>
            <w:r w:rsidR="00506035">
              <w:rPr>
                <w:rFonts w:ascii="Calibri" w:hAnsi="Calibri" w:cs="Calibri"/>
                <w:sz w:val="20"/>
                <w:szCs w:val="20"/>
              </w:rPr>
              <w:t>known between birth and 1 year</w:t>
            </w:r>
          </w:p>
        </w:tc>
        <w:tc>
          <w:tcPr>
            <w:tcW w:w="1524" w:type="dxa"/>
            <w:vAlign w:val="center"/>
          </w:tcPr>
          <w:p w14:paraId="77EF0F09" w14:textId="6DD6A075" w:rsidR="007A619D" w:rsidRPr="00E46E82" w:rsidRDefault="007A619D" w:rsidP="003049D4">
            <w:pPr>
              <w:spacing w:after="0" w:line="240" w:lineRule="auto"/>
              <w:jc w:val="center"/>
              <w:textAlignment w:val="baseline"/>
              <w:rPr>
                <w:rFonts w:ascii="Calibri" w:eastAsia="Times New Roman" w:hAnsi="Calibri" w:cs="Calibri"/>
                <w:sz w:val="20"/>
                <w:szCs w:val="20"/>
                <w:lang w:eastAsia="en-GB"/>
              </w:rPr>
            </w:pPr>
            <w:r w:rsidRPr="00E46E82">
              <w:rPr>
                <w:rFonts w:ascii="Calibri" w:hAnsi="Calibri" w:cs="Calibri"/>
                <w:sz w:val="20"/>
                <w:szCs w:val="20"/>
              </w:rPr>
              <w:t>82 (14%)</w:t>
            </w:r>
          </w:p>
        </w:tc>
        <w:tc>
          <w:tcPr>
            <w:tcW w:w="1733" w:type="dxa"/>
            <w:vAlign w:val="center"/>
          </w:tcPr>
          <w:p w14:paraId="2920D6BD" w14:textId="2F6210F8" w:rsidR="007A619D" w:rsidRPr="00E46E82" w:rsidRDefault="007A619D" w:rsidP="003049D4">
            <w:pPr>
              <w:spacing w:after="0" w:line="240" w:lineRule="auto"/>
              <w:jc w:val="center"/>
              <w:textAlignment w:val="baseline"/>
              <w:rPr>
                <w:rFonts w:ascii="Calibri" w:eastAsia="Times New Roman" w:hAnsi="Calibri" w:cs="Calibri"/>
                <w:sz w:val="20"/>
                <w:szCs w:val="20"/>
                <w:lang w:eastAsia="en-GB"/>
              </w:rPr>
            </w:pPr>
            <w:r w:rsidRPr="00E46E82">
              <w:rPr>
                <w:rFonts w:ascii="Calibri" w:hAnsi="Calibri" w:cs="Calibri"/>
                <w:sz w:val="20"/>
                <w:szCs w:val="20"/>
              </w:rPr>
              <w:t>97 (16%)</w:t>
            </w:r>
          </w:p>
        </w:tc>
        <w:tc>
          <w:tcPr>
            <w:tcW w:w="1639" w:type="dxa"/>
            <w:vMerge/>
            <w:vAlign w:val="bottom"/>
          </w:tcPr>
          <w:p w14:paraId="76E2561D" w14:textId="231A5CA5" w:rsidR="007A619D" w:rsidRPr="00E46E82" w:rsidRDefault="007A619D" w:rsidP="003049D4">
            <w:pPr>
              <w:spacing w:after="0" w:line="240" w:lineRule="auto"/>
              <w:jc w:val="center"/>
              <w:rPr>
                <w:rFonts w:ascii="Calibri" w:hAnsi="Calibri" w:cs="Calibri"/>
                <w:sz w:val="20"/>
                <w:szCs w:val="20"/>
              </w:rPr>
            </w:pPr>
          </w:p>
        </w:tc>
        <w:tc>
          <w:tcPr>
            <w:tcW w:w="1781" w:type="dxa"/>
            <w:vMerge/>
            <w:tcBorders>
              <w:top w:val="nil"/>
              <w:bottom w:val="nil"/>
              <w:right w:val="nil"/>
            </w:tcBorders>
          </w:tcPr>
          <w:p w14:paraId="23186A70" w14:textId="784B8AF3" w:rsidR="007A619D" w:rsidRPr="00E46E82" w:rsidRDefault="007A619D" w:rsidP="003049D4">
            <w:pPr>
              <w:spacing w:after="0" w:line="240" w:lineRule="auto"/>
              <w:jc w:val="center"/>
              <w:rPr>
                <w:rFonts w:ascii="Calibri" w:hAnsi="Calibri" w:cs="Calibri"/>
                <w:sz w:val="20"/>
                <w:szCs w:val="20"/>
              </w:rPr>
            </w:pPr>
          </w:p>
        </w:tc>
      </w:tr>
      <w:tr w:rsidR="003049D4" w:rsidRPr="00BD29C9" w14:paraId="5566BEFD" w14:textId="75DCC443" w:rsidTr="008F1931">
        <w:trPr>
          <w:jc w:val="center"/>
        </w:trPr>
        <w:tc>
          <w:tcPr>
            <w:tcW w:w="3104" w:type="dxa"/>
            <w:tcBorders>
              <w:top w:val="nil"/>
              <w:left w:val="nil"/>
              <w:bottom w:val="nil"/>
              <w:right w:val="nil"/>
            </w:tcBorders>
            <w:shd w:val="clear" w:color="auto" w:fill="auto"/>
            <w:hideMark/>
          </w:tcPr>
          <w:p w14:paraId="468017E6" w14:textId="78782593" w:rsidR="003049D4" w:rsidRPr="00E46E82" w:rsidRDefault="003049D4" w:rsidP="003049D4">
            <w:pPr>
              <w:spacing w:after="0" w:line="240" w:lineRule="auto"/>
              <w:textAlignment w:val="baseline"/>
              <w:rPr>
                <w:rFonts w:ascii="Calibri" w:eastAsia="Times New Roman" w:hAnsi="Calibri" w:cs="Calibri"/>
                <w:sz w:val="20"/>
                <w:szCs w:val="20"/>
                <w:lang w:eastAsia="en-GB"/>
              </w:rPr>
            </w:pPr>
            <w:r w:rsidRPr="00E46E82">
              <w:rPr>
                <w:rFonts w:ascii="Calibri" w:eastAsia="Times New Roman" w:hAnsi="Calibri" w:cs="Calibri"/>
                <w:sz w:val="20"/>
                <w:szCs w:val="20"/>
                <w:lang w:eastAsia="en-GB"/>
              </w:rPr>
              <w:t> </w:t>
            </w:r>
          </w:p>
        </w:tc>
        <w:tc>
          <w:tcPr>
            <w:tcW w:w="1524" w:type="dxa"/>
            <w:tcBorders>
              <w:top w:val="nil"/>
              <w:left w:val="nil"/>
              <w:bottom w:val="nil"/>
              <w:right w:val="nil"/>
            </w:tcBorders>
            <w:shd w:val="clear" w:color="auto" w:fill="auto"/>
            <w:vAlign w:val="center"/>
            <w:hideMark/>
          </w:tcPr>
          <w:p w14:paraId="3B21ADE5" w14:textId="2519C491" w:rsidR="003049D4" w:rsidRPr="00E46E82" w:rsidRDefault="003049D4" w:rsidP="003049D4">
            <w:pPr>
              <w:spacing w:after="0" w:line="240" w:lineRule="auto"/>
              <w:jc w:val="center"/>
              <w:textAlignment w:val="baseline"/>
              <w:rPr>
                <w:rFonts w:ascii="Calibri" w:eastAsia="Times New Roman" w:hAnsi="Calibri" w:cs="Calibri"/>
                <w:sz w:val="20"/>
                <w:szCs w:val="20"/>
                <w:lang w:eastAsia="en-GB"/>
              </w:rPr>
            </w:pPr>
          </w:p>
        </w:tc>
        <w:tc>
          <w:tcPr>
            <w:tcW w:w="1733" w:type="dxa"/>
            <w:tcBorders>
              <w:top w:val="nil"/>
              <w:left w:val="nil"/>
              <w:bottom w:val="nil"/>
              <w:right w:val="nil"/>
            </w:tcBorders>
            <w:shd w:val="clear" w:color="auto" w:fill="auto"/>
            <w:vAlign w:val="center"/>
            <w:hideMark/>
          </w:tcPr>
          <w:p w14:paraId="1618EDC8" w14:textId="4E3386DA" w:rsidR="003049D4" w:rsidRPr="00E46E82" w:rsidRDefault="003049D4" w:rsidP="003049D4">
            <w:pPr>
              <w:spacing w:after="0" w:line="240" w:lineRule="auto"/>
              <w:jc w:val="center"/>
              <w:textAlignment w:val="baseline"/>
              <w:rPr>
                <w:rFonts w:ascii="Calibri" w:eastAsia="Times New Roman" w:hAnsi="Calibri" w:cs="Calibri"/>
                <w:sz w:val="20"/>
                <w:szCs w:val="20"/>
                <w:lang w:eastAsia="en-GB"/>
              </w:rPr>
            </w:pPr>
          </w:p>
        </w:tc>
        <w:tc>
          <w:tcPr>
            <w:tcW w:w="1639" w:type="dxa"/>
            <w:tcBorders>
              <w:top w:val="nil"/>
              <w:left w:val="nil"/>
              <w:bottom w:val="nil"/>
              <w:right w:val="nil"/>
            </w:tcBorders>
            <w:vAlign w:val="center"/>
          </w:tcPr>
          <w:p w14:paraId="569AB3A2" w14:textId="0B4057D3" w:rsidR="003049D4" w:rsidRPr="00E46E82" w:rsidRDefault="003049D4" w:rsidP="003049D4">
            <w:pPr>
              <w:spacing w:after="0" w:line="240" w:lineRule="auto"/>
              <w:jc w:val="center"/>
              <w:rPr>
                <w:rFonts w:ascii="Calibri" w:hAnsi="Calibri" w:cs="Calibri"/>
                <w:sz w:val="20"/>
                <w:szCs w:val="20"/>
              </w:rPr>
            </w:pPr>
          </w:p>
        </w:tc>
        <w:tc>
          <w:tcPr>
            <w:tcW w:w="1781" w:type="dxa"/>
            <w:tcBorders>
              <w:top w:val="nil"/>
              <w:left w:val="nil"/>
              <w:bottom w:val="nil"/>
              <w:right w:val="nil"/>
            </w:tcBorders>
            <w:vAlign w:val="center"/>
          </w:tcPr>
          <w:p w14:paraId="31622598" w14:textId="0C645FB3" w:rsidR="003049D4" w:rsidRPr="00E46E82" w:rsidRDefault="003049D4" w:rsidP="003049D4">
            <w:pPr>
              <w:spacing w:after="0" w:line="240" w:lineRule="auto"/>
              <w:jc w:val="center"/>
              <w:rPr>
                <w:rFonts w:ascii="Calibri" w:hAnsi="Calibri" w:cs="Calibri"/>
                <w:sz w:val="20"/>
                <w:szCs w:val="20"/>
              </w:rPr>
            </w:pPr>
          </w:p>
        </w:tc>
      </w:tr>
      <w:tr w:rsidR="003049D4" w:rsidRPr="00BD29C9" w14:paraId="7846F132" w14:textId="00F91F1F" w:rsidTr="003049D4">
        <w:trPr>
          <w:jc w:val="center"/>
        </w:trPr>
        <w:tc>
          <w:tcPr>
            <w:tcW w:w="3104" w:type="dxa"/>
            <w:tcBorders>
              <w:top w:val="nil"/>
              <w:left w:val="nil"/>
              <w:bottom w:val="nil"/>
              <w:right w:val="nil"/>
            </w:tcBorders>
            <w:shd w:val="clear" w:color="auto" w:fill="auto"/>
            <w:hideMark/>
          </w:tcPr>
          <w:p w14:paraId="61B9C5A0" w14:textId="588C36AB" w:rsidR="003049D4" w:rsidRPr="00E46E82" w:rsidRDefault="003049D4" w:rsidP="00E46E82">
            <w:pPr>
              <w:spacing w:after="0" w:line="240" w:lineRule="auto"/>
              <w:textAlignment w:val="baseline"/>
              <w:rPr>
                <w:rFonts w:ascii="Calibri" w:eastAsia="Times New Roman" w:hAnsi="Calibri" w:cs="Calibri"/>
                <w:sz w:val="20"/>
                <w:szCs w:val="20"/>
                <w:lang w:eastAsia="en-GB"/>
              </w:rPr>
            </w:pPr>
            <w:r w:rsidRPr="00E46E82">
              <w:rPr>
                <w:rFonts w:ascii="Calibri" w:eastAsia="Times New Roman" w:hAnsi="Calibri" w:cs="Calibri"/>
                <w:sz w:val="20"/>
                <w:szCs w:val="20"/>
                <w:lang w:eastAsia="en-GB"/>
              </w:rPr>
              <w:t xml:space="preserve">Parental report of wheezing or whistling in the chest </w:t>
            </w:r>
            <w:r w:rsidR="00E46E82">
              <w:rPr>
                <w:rFonts w:ascii="Calibri" w:eastAsia="Times New Roman" w:hAnsi="Calibri" w:cs="Calibri"/>
                <w:sz w:val="20"/>
                <w:szCs w:val="20"/>
                <w:lang w:eastAsia="en-GB"/>
              </w:rPr>
              <w:t>between age 1 and 2 years</w:t>
            </w:r>
          </w:p>
        </w:tc>
        <w:tc>
          <w:tcPr>
            <w:tcW w:w="1524" w:type="dxa"/>
            <w:tcBorders>
              <w:top w:val="nil"/>
              <w:left w:val="nil"/>
              <w:bottom w:val="nil"/>
              <w:right w:val="nil"/>
            </w:tcBorders>
            <w:shd w:val="clear" w:color="auto" w:fill="auto"/>
            <w:vAlign w:val="center"/>
            <w:hideMark/>
          </w:tcPr>
          <w:p w14:paraId="2EDF8389" w14:textId="1B9E8515" w:rsidR="003049D4" w:rsidRPr="00E46E82" w:rsidRDefault="003049D4" w:rsidP="003049D4">
            <w:pPr>
              <w:spacing w:after="0" w:line="240" w:lineRule="auto"/>
              <w:jc w:val="center"/>
              <w:textAlignment w:val="baseline"/>
              <w:rPr>
                <w:rFonts w:ascii="Calibri" w:eastAsia="Times New Roman" w:hAnsi="Calibri" w:cs="Calibri"/>
                <w:sz w:val="20"/>
                <w:szCs w:val="20"/>
                <w:lang w:eastAsia="en-GB"/>
              </w:rPr>
            </w:pPr>
            <w:r w:rsidRPr="00E46E82">
              <w:rPr>
                <w:rFonts w:ascii="Calibri" w:eastAsia="Times New Roman" w:hAnsi="Calibri" w:cs="Calibri"/>
                <w:sz w:val="20"/>
                <w:szCs w:val="20"/>
                <w:lang w:eastAsia="en-GB"/>
              </w:rPr>
              <w:t>197/572 (34%)</w:t>
            </w:r>
          </w:p>
        </w:tc>
        <w:tc>
          <w:tcPr>
            <w:tcW w:w="1733" w:type="dxa"/>
            <w:tcBorders>
              <w:top w:val="nil"/>
              <w:left w:val="nil"/>
              <w:bottom w:val="nil"/>
              <w:right w:val="nil"/>
            </w:tcBorders>
            <w:shd w:val="clear" w:color="auto" w:fill="auto"/>
            <w:vAlign w:val="center"/>
            <w:hideMark/>
          </w:tcPr>
          <w:p w14:paraId="4FC5F4A3" w14:textId="77633DE9" w:rsidR="003049D4" w:rsidRPr="00E46E82" w:rsidRDefault="003049D4" w:rsidP="003049D4">
            <w:pPr>
              <w:spacing w:after="0" w:line="240" w:lineRule="auto"/>
              <w:jc w:val="center"/>
              <w:textAlignment w:val="baseline"/>
              <w:rPr>
                <w:rFonts w:ascii="Calibri" w:eastAsia="Times New Roman" w:hAnsi="Calibri" w:cs="Calibri"/>
                <w:sz w:val="20"/>
                <w:szCs w:val="20"/>
                <w:lang w:eastAsia="en-GB"/>
              </w:rPr>
            </w:pPr>
            <w:r w:rsidRPr="00E46E82">
              <w:rPr>
                <w:rFonts w:ascii="Calibri" w:eastAsia="Times New Roman" w:hAnsi="Calibri" w:cs="Calibri"/>
                <w:sz w:val="20"/>
                <w:szCs w:val="20"/>
                <w:lang w:eastAsia="en-GB"/>
              </w:rPr>
              <w:t>191/598 (32%)</w:t>
            </w:r>
          </w:p>
        </w:tc>
        <w:tc>
          <w:tcPr>
            <w:tcW w:w="1639" w:type="dxa"/>
            <w:vAlign w:val="center"/>
          </w:tcPr>
          <w:p w14:paraId="56C43227" w14:textId="0E8EEBD7" w:rsidR="003049D4" w:rsidRPr="00E46E82" w:rsidRDefault="003049D4" w:rsidP="003049D4">
            <w:pPr>
              <w:spacing w:after="0" w:line="240" w:lineRule="auto"/>
              <w:jc w:val="center"/>
              <w:rPr>
                <w:rFonts w:ascii="Calibri" w:hAnsi="Calibri" w:cs="Calibri"/>
                <w:sz w:val="20"/>
                <w:szCs w:val="20"/>
              </w:rPr>
            </w:pPr>
            <w:r w:rsidRPr="00E46E82">
              <w:rPr>
                <w:rFonts w:ascii="Calibri" w:hAnsi="Calibri" w:cs="Calibri"/>
                <w:sz w:val="20"/>
                <w:szCs w:val="20"/>
              </w:rPr>
              <w:t>1.07</w:t>
            </w:r>
          </w:p>
          <w:p w14:paraId="1255DB26" w14:textId="0B45C478" w:rsidR="003049D4" w:rsidRPr="00E46E82" w:rsidRDefault="003049D4" w:rsidP="003049D4">
            <w:pPr>
              <w:spacing w:after="0" w:line="240" w:lineRule="auto"/>
              <w:jc w:val="center"/>
              <w:textAlignment w:val="baseline"/>
              <w:rPr>
                <w:rFonts w:ascii="Calibri" w:hAnsi="Calibri" w:cs="Calibri"/>
                <w:sz w:val="20"/>
                <w:szCs w:val="20"/>
              </w:rPr>
            </w:pPr>
            <w:r w:rsidRPr="00E46E82">
              <w:rPr>
                <w:rFonts w:ascii="Calibri" w:hAnsi="Calibri" w:cs="Calibri"/>
                <w:sz w:val="20"/>
                <w:szCs w:val="20"/>
              </w:rPr>
              <w:t>(0.91 to 1.26)</w:t>
            </w:r>
          </w:p>
        </w:tc>
        <w:tc>
          <w:tcPr>
            <w:tcW w:w="1781" w:type="dxa"/>
            <w:tcBorders>
              <w:top w:val="nil"/>
              <w:bottom w:val="nil"/>
              <w:right w:val="nil"/>
            </w:tcBorders>
            <w:vAlign w:val="center"/>
          </w:tcPr>
          <w:p w14:paraId="7FDCCE84" w14:textId="2AAB5E1A" w:rsidR="003049D4" w:rsidRPr="00E46E82" w:rsidRDefault="003049D4" w:rsidP="003049D4">
            <w:pPr>
              <w:spacing w:after="0" w:line="240" w:lineRule="auto"/>
              <w:jc w:val="center"/>
              <w:rPr>
                <w:rFonts w:ascii="Calibri" w:hAnsi="Calibri" w:cs="Calibri"/>
                <w:sz w:val="20"/>
                <w:szCs w:val="20"/>
              </w:rPr>
            </w:pPr>
            <w:r w:rsidRPr="00E46E82">
              <w:rPr>
                <w:rFonts w:ascii="Calibri" w:hAnsi="Calibri" w:cs="Calibri"/>
                <w:sz w:val="20"/>
                <w:szCs w:val="20"/>
              </w:rPr>
              <w:t>2.5%</w:t>
            </w:r>
          </w:p>
          <w:p w14:paraId="702BA3C1" w14:textId="6EB4D70F" w:rsidR="003049D4" w:rsidRPr="00E46E82" w:rsidRDefault="003049D4" w:rsidP="003049D4">
            <w:pPr>
              <w:spacing w:after="0" w:line="240" w:lineRule="auto"/>
              <w:jc w:val="center"/>
              <w:textAlignment w:val="baseline"/>
              <w:rPr>
                <w:rFonts w:ascii="Calibri" w:hAnsi="Calibri" w:cs="Calibri"/>
                <w:sz w:val="20"/>
                <w:szCs w:val="20"/>
              </w:rPr>
            </w:pPr>
            <w:r w:rsidRPr="00E46E82">
              <w:rPr>
                <w:rFonts w:ascii="Calibri" w:hAnsi="Calibri" w:cs="Calibri"/>
                <w:sz w:val="20"/>
                <w:szCs w:val="20"/>
              </w:rPr>
              <w:t>(-2.9% to 7.9%)</w:t>
            </w:r>
          </w:p>
        </w:tc>
      </w:tr>
      <w:tr w:rsidR="003049D4" w:rsidRPr="00BD29C9" w14:paraId="3311D363" w14:textId="341CFFF1" w:rsidTr="003049D4">
        <w:trPr>
          <w:jc w:val="center"/>
        </w:trPr>
        <w:tc>
          <w:tcPr>
            <w:tcW w:w="3104" w:type="dxa"/>
            <w:tcBorders>
              <w:top w:val="nil"/>
              <w:left w:val="nil"/>
              <w:bottom w:val="nil"/>
              <w:right w:val="nil"/>
            </w:tcBorders>
            <w:shd w:val="clear" w:color="auto" w:fill="auto"/>
            <w:hideMark/>
          </w:tcPr>
          <w:p w14:paraId="549FFF27" w14:textId="3A7A77AC" w:rsidR="003049D4" w:rsidRPr="00E46E82" w:rsidRDefault="003049D4" w:rsidP="003049D4">
            <w:pPr>
              <w:spacing w:after="0" w:line="240" w:lineRule="auto"/>
              <w:textAlignment w:val="baseline"/>
              <w:rPr>
                <w:rFonts w:ascii="Calibri" w:eastAsia="Times New Roman" w:hAnsi="Calibri" w:cs="Calibri"/>
                <w:sz w:val="20"/>
                <w:szCs w:val="20"/>
                <w:lang w:eastAsia="en-GB"/>
              </w:rPr>
            </w:pPr>
            <w:r w:rsidRPr="00E46E82">
              <w:rPr>
                <w:rFonts w:ascii="Calibri" w:eastAsia="Times New Roman" w:hAnsi="Calibri" w:cs="Calibri"/>
                <w:sz w:val="20"/>
                <w:szCs w:val="20"/>
                <w:lang w:eastAsia="en-GB"/>
              </w:rPr>
              <w:t> </w:t>
            </w:r>
          </w:p>
        </w:tc>
        <w:tc>
          <w:tcPr>
            <w:tcW w:w="1524" w:type="dxa"/>
            <w:tcBorders>
              <w:top w:val="nil"/>
              <w:left w:val="nil"/>
              <w:bottom w:val="nil"/>
              <w:right w:val="nil"/>
            </w:tcBorders>
            <w:shd w:val="clear" w:color="auto" w:fill="auto"/>
            <w:vAlign w:val="center"/>
            <w:hideMark/>
          </w:tcPr>
          <w:p w14:paraId="190C5BE7" w14:textId="6DB4686D" w:rsidR="003049D4" w:rsidRPr="00E46E82" w:rsidRDefault="003049D4" w:rsidP="003049D4">
            <w:pPr>
              <w:spacing w:after="0" w:line="240" w:lineRule="auto"/>
              <w:jc w:val="center"/>
              <w:textAlignment w:val="baseline"/>
              <w:rPr>
                <w:rFonts w:ascii="Calibri" w:eastAsia="Times New Roman" w:hAnsi="Calibri" w:cs="Calibri"/>
                <w:sz w:val="20"/>
                <w:szCs w:val="20"/>
                <w:lang w:eastAsia="en-GB"/>
              </w:rPr>
            </w:pPr>
          </w:p>
        </w:tc>
        <w:tc>
          <w:tcPr>
            <w:tcW w:w="1733" w:type="dxa"/>
            <w:tcBorders>
              <w:top w:val="nil"/>
              <w:left w:val="nil"/>
              <w:bottom w:val="nil"/>
              <w:right w:val="nil"/>
            </w:tcBorders>
            <w:shd w:val="clear" w:color="auto" w:fill="auto"/>
            <w:vAlign w:val="center"/>
            <w:hideMark/>
          </w:tcPr>
          <w:p w14:paraId="0A2E7381" w14:textId="444BFD8A" w:rsidR="003049D4" w:rsidRPr="00E46E82" w:rsidRDefault="003049D4" w:rsidP="003049D4">
            <w:pPr>
              <w:spacing w:after="0" w:line="240" w:lineRule="auto"/>
              <w:jc w:val="center"/>
              <w:textAlignment w:val="baseline"/>
              <w:rPr>
                <w:rFonts w:ascii="Calibri" w:eastAsia="Times New Roman" w:hAnsi="Calibri" w:cs="Calibri"/>
                <w:sz w:val="20"/>
                <w:szCs w:val="20"/>
                <w:lang w:eastAsia="en-GB"/>
              </w:rPr>
            </w:pPr>
          </w:p>
        </w:tc>
        <w:tc>
          <w:tcPr>
            <w:tcW w:w="1639" w:type="dxa"/>
            <w:tcBorders>
              <w:top w:val="nil"/>
              <w:left w:val="nil"/>
              <w:bottom w:val="nil"/>
              <w:right w:val="nil"/>
            </w:tcBorders>
            <w:vAlign w:val="center"/>
          </w:tcPr>
          <w:p w14:paraId="128CF93F" w14:textId="53061094" w:rsidR="003049D4" w:rsidRPr="00E46E82" w:rsidRDefault="003049D4" w:rsidP="003049D4">
            <w:pPr>
              <w:spacing w:after="0" w:line="240" w:lineRule="auto"/>
              <w:jc w:val="center"/>
              <w:rPr>
                <w:rFonts w:ascii="Calibri" w:hAnsi="Calibri" w:cs="Calibri"/>
                <w:sz w:val="20"/>
                <w:szCs w:val="20"/>
              </w:rPr>
            </w:pPr>
          </w:p>
        </w:tc>
        <w:tc>
          <w:tcPr>
            <w:tcW w:w="1781" w:type="dxa"/>
            <w:tcBorders>
              <w:top w:val="nil"/>
              <w:left w:val="nil"/>
              <w:bottom w:val="nil"/>
              <w:right w:val="nil"/>
            </w:tcBorders>
            <w:vAlign w:val="center"/>
          </w:tcPr>
          <w:p w14:paraId="5793A088" w14:textId="56C32D61" w:rsidR="003049D4" w:rsidRPr="00E46E82" w:rsidRDefault="003049D4" w:rsidP="003049D4">
            <w:pPr>
              <w:spacing w:after="0" w:line="240" w:lineRule="auto"/>
              <w:jc w:val="center"/>
              <w:rPr>
                <w:rFonts w:ascii="Calibri" w:hAnsi="Calibri" w:cs="Calibri"/>
                <w:sz w:val="20"/>
                <w:szCs w:val="20"/>
              </w:rPr>
            </w:pPr>
          </w:p>
        </w:tc>
      </w:tr>
      <w:tr w:rsidR="003049D4" w:rsidRPr="00BD29C9" w14:paraId="209803A7" w14:textId="5B8B102E" w:rsidTr="003049D4">
        <w:trPr>
          <w:jc w:val="center"/>
        </w:trPr>
        <w:tc>
          <w:tcPr>
            <w:tcW w:w="3104" w:type="dxa"/>
            <w:tcBorders>
              <w:top w:val="nil"/>
              <w:left w:val="nil"/>
              <w:bottom w:val="nil"/>
              <w:right w:val="nil"/>
            </w:tcBorders>
            <w:shd w:val="clear" w:color="auto" w:fill="auto"/>
            <w:hideMark/>
          </w:tcPr>
          <w:p w14:paraId="4DE7474B" w14:textId="38EDDC3A" w:rsidR="003049D4" w:rsidRPr="00E46E82" w:rsidRDefault="003049D4" w:rsidP="003049D4">
            <w:pPr>
              <w:spacing w:after="0" w:line="240" w:lineRule="auto"/>
              <w:textAlignment w:val="baseline"/>
              <w:rPr>
                <w:rFonts w:ascii="Calibri" w:eastAsia="Times New Roman" w:hAnsi="Calibri" w:cs="Calibri"/>
                <w:sz w:val="20"/>
                <w:szCs w:val="20"/>
                <w:lang w:eastAsia="en-GB"/>
              </w:rPr>
            </w:pPr>
            <w:r w:rsidRPr="00E46E82">
              <w:rPr>
                <w:rFonts w:ascii="Calibri" w:eastAsia="Times New Roman" w:hAnsi="Calibri" w:cs="Calibri"/>
                <w:sz w:val="20"/>
                <w:szCs w:val="20"/>
                <w:lang w:eastAsia="en-GB"/>
              </w:rPr>
              <w:t xml:space="preserve">Parental report of allergic rhinitis symptoms </w:t>
            </w:r>
            <w:r w:rsidR="00E46E82">
              <w:rPr>
                <w:rFonts w:ascii="Calibri" w:eastAsia="Times New Roman" w:hAnsi="Calibri" w:cs="Calibri"/>
                <w:sz w:val="20"/>
                <w:szCs w:val="20"/>
                <w:lang w:eastAsia="en-GB"/>
              </w:rPr>
              <w:t>between age 1 and 2 years</w:t>
            </w:r>
          </w:p>
        </w:tc>
        <w:tc>
          <w:tcPr>
            <w:tcW w:w="1524" w:type="dxa"/>
            <w:tcBorders>
              <w:top w:val="nil"/>
              <w:left w:val="nil"/>
              <w:bottom w:val="nil"/>
              <w:right w:val="nil"/>
            </w:tcBorders>
            <w:shd w:val="clear" w:color="auto" w:fill="auto"/>
            <w:vAlign w:val="center"/>
            <w:hideMark/>
          </w:tcPr>
          <w:p w14:paraId="3CA6E947" w14:textId="6F992819" w:rsidR="003049D4" w:rsidRPr="00E46E82" w:rsidRDefault="003049D4" w:rsidP="003049D4">
            <w:pPr>
              <w:spacing w:after="0" w:line="240" w:lineRule="auto"/>
              <w:jc w:val="center"/>
              <w:textAlignment w:val="baseline"/>
              <w:rPr>
                <w:rFonts w:ascii="Calibri" w:eastAsia="Times New Roman" w:hAnsi="Calibri" w:cs="Calibri"/>
                <w:sz w:val="20"/>
                <w:szCs w:val="20"/>
                <w:lang w:eastAsia="en-GB"/>
              </w:rPr>
            </w:pPr>
            <w:r w:rsidRPr="00E46E82">
              <w:rPr>
                <w:rFonts w:ascii="Calibri" w:eastAsia="Times New Roman" w:hAnsi="Calibri" w:cs="Calibri"/>
                <w:sz w:val="20"/>
                <w:szCs w:val="20"/>
                <w:lang w:eastAsia="en-GB"/>
              </w:rPr>
              <w:t>174/572 (30%)</w:t>
            </w:r>
          </w:p>
        </w:tc>
        <w:tc>
          <w:tcPr>
            <w:tcW w:w="1733" w:type="dxa"/>
            <w:tcBorders>
              <w:top w:val="nil"/>
              <w:left w:val="nil"/>
              <w:bottom w:val="nil"/>
              <w:right w:val="nil"/>
            </w:tcBorders>
            <w:shd w:val="clear" w:color="auto" w:fill="auto"/>
            <w:vAlign w:val="center"/>
            <w:hideMark/>
          </w:tcPr>
          <w:p w14:paraId="6A502B3F" w14:textId="57C0B6E4" w:rsidR="003049D4" w:rsidRPr="00E46E82" w:rsidRDefault="003049D4" w:rsidP="003049D4">
            <w:pPr>
              <w:spacing w:after="0" w:line="240" w:lineRule="auto"/>
              <w:jc w:val="center"/>
              <w:textAlignment w:val="baseline"/>
              <w:rPr>
                <w:rFonts w:ascii="Calibri" w:eastAsia="Times New Roman" w:hAnsi="Calibri" w:cs="Calibri"/>
                <w:sz w:val="20"/>
                <w:szCs w:val="20"/>
                <w:lang w:eastAsia="en-GB"/>
              </w:rPr>
            </w:pPr>
            <w:r w:rsidRPr="00E46E82">
              <w:rPr>
                <w:rFonts w:ascii="Calibri" w:eastAsia="Times New Roman" w:hAnsi="Calibri" w:cs="Calibri"/>
                <w:sz w:val="20"/>
                <w:szCs w:val="20"/>
                <w:lang w:eastAsia="en-GB"/>
              </w:rPr>
              <w:t>188/598 (31%)</w:t>
            </w:r>
          </w:p>
        </w:tc>
        <w:tc>
          <w:tcPr>
            <w:tcW w:w="1639" w:type="dxa"/>
            <w:vAlign w:val="center"/>
          </w:tcPr>
          <w:p w14:paraId="4A7D93CF" w14:textId="77777777" w:rsidR="003049D4" w:rsidRPr="00E46E82" w:rsidRDefault="003049D4" w:rsidP="003049D4">
            <w:pPr>
              <w:spacing w:after="0" w:line="240" w:lineRule="auto"/>
              <w:jc w:val="center"/>
              <w:rPr>
                <w:rFonts w:ascii="Calibri" w:hAnsi="Calibri" w:cs="Calibri"/>
                <w:sz w:val="20"/>
                <w:szCs w:val="20"/>
              </w:rPr>
            </w:pPr>
            <w:r w:rsidRPr="00E46E82">
              <w:rPr>
                <w:rFonts w:ascii="Calibri" w:hAnsi="Calibri" w:cs="Calibri"/>
                <w:sz w:val="20"/>
                <w:szCs w:val="20"/>
              </w:rPr>
              <w:t>0.97</w:t>
            </w:r>
          </w:p>
          <w:p w14:paraId="6691200E" w14:textId="69DD6D3E" w:rsidR="003049D4" w:rsidRPr="00E46E82" w:rsidRDefault="003049D4" w:rsidP="003049D4">
            <w:pPr>
              <w:spacing w:after="0" w:line="240" w:lineRule="auto"/>
              <w:jc w:val="center"/>
              <w:textAlignment w:val="baseline"/>
              <w:rPr>
                <w:rFonts w:ascii="Calibri" w:hAnsi="Calibri" w:cs="Calibri"/>
                <w:sz w:val="20"/>
                <w:szCs w:val="20"/>
              </w:rPr>
            </w:pPr>
            <w:r w:rsidRPr="00E46E82">
              <w:rPr>
                <w:rFonts w:ascii="Calibri" w:hAnsi="Calibri" w:cs="Calibri"/>
                <w:sz w:val="20"/>
                <w:szCs w:val="20"/>
              </w:rPr>
              <w:t xml:space="preserve"> (0.82 to 1.15)</w:t>
            </w:r>
          </w:p>
        </w:tc>
        <w:tc>
          <w:tcPr>
            <w:tcW w:w="1781" w:type="dxa"/>
            <w:tcBorders>
              <w:top w:val="nil"/>
              <w:bottom w:val="nil"/>
              <w:right w:val="nil"/>
            </w:tcBorders>
            <w:vAlign w:val="center"/>
          </w:tcPr>
          <w:p w14:paraId="5CB079DF" w14:textId="743DE46F" w:rsidR="003049D4" w:rsidRPr="00E46E82" w:rsidRDefault="003049D4" w:rsidP="003049D4">
            <w:pPr>
              <w:spacing w:after="0" w:line="240" w:lineRule="auto"/>
              <w:jc w:val="center"/>
              <w:rPr>
                <w:rFonts w:ascii="Calibri" w:hAnsi="Calibri" w:cs="Calibri"/>
                <w:sz w:val="20"/>
                <w:szCs w:val="20"/>
              </w:rPr>
            </w:pPr>
            <w:r w:rsidRPr="00E46E82">
              <w:rPr>
                <w:rFonts w:ascii="Calibri" w:hAnsi="Calibri" w:cs="Calibri"/>
                <w:sz w:val="20"/>
                <w:szCs w:val="20"/>
              </w:rPr>
              <w:t>-0.8%</w:t>
            </w:r>
          </w:p>
          <w:p w14:paraId="00F8929A" w14:textId="69AB85EE" w:rsidR="003049D4" w:rsidRPr="00E46E82" w:rsidRDefault="003049D4" w:rsidP="003049D4">
            <w:pPr>
              <w:spacing w:after="0" w:line="240" w:lineRule="auto"/>
              <w:jc w:val="center"/>
              <w:textAlignment w:val="baseline"/>
              <w:rPr>
                <w:rFonts w:ascii="Calibri" w:hAnsi="Calibri" w:cs="Calibri"/>
                <w:sz w:val="20"/>
                <w:szCs w:val="20"/>
              </w:rPr>
            </w:pPr>
            <w:r w:rsidRPr="00E46E82">
              <w:rPr>
                <w:rFonts w:ascii="Calibri" w:hAnsi="Calibri" w:cs="Calibri"/>
                <w:sz w:val="20"/>
                <w:szCs w:val="20"/>
              </w:rPr>
              <w:t>(-6.2% to 4.5%)</w:t>
            </w:r>
          </w:p>
        </w:tc>
      </w:tr>
      <w:tr w:rsidR="003049D4" w:rsidRPr="00BD29C9" w14:paraId="55072239" w14:textId="56B622C4" w:rsidTr="003049D4">
        <w:trPr>
          <w:jc w:val="center"/>
        </w:trPr>
        <w:tc>
          <w:tcPr>
            <w:tcW w:w="3104" w:type="dxa"/>
            <w:tcBorders>
              <w:top w:val="nil"/>
              <w:left w:val="nil"/>
              <w:bottom w:val="single" w:sz="6" w:space="0" w:color="auto"/>
              <w:right w:val="nil"/>
            </w:tcBorders>
            <w:shd w:val="clear" w:color="auto" w:fill="auto"/>
            <w:hideMark/>
          </w:tcPr>
          <w:p w14:paraId="02D0E980" w14:textId="240E74DF" w:rsidR="003049D4" w:rsidRPr="00E46E82" w:rsidRDefault="003049D4" w:rsidP="003049D4">
            <w:pPr>
              <w:spacing w:after="0" w:line="240" w:lineRule="auto"/>
              <w:textAlignment w:val="baseline"/>
              <w:rPr>
                <w:rFonts w:ascii="Calibri" w:eastAsia="Times New Roman" w:hAnsi="Calibri" w:cs="Calibri"/>
                <w:sz w:val="20"/>
                <w:szCs w:val="20"/>
                <w:lang w:eastAsia="en-GB"/>
              </w:rPr>
            </w:pPr>
            <w:r w:rsidRPr="00E46E82">
              <w:rPr>
                <w:rFonts w:ascii="Calibri" w:eastAsia="Times New Roman" w:hAnsi="Calibri" w:cs="Calibri"/>
                <w:sz w:val="20"/>
                <w:szCs w:val="20"/>
                <w:lang w:eastAsia="en-GB"/>
              </w:rPr>
              <w:t> </w:t>
            </w:r>
          </w:p>
        </w:tc>
        <w:tc>
          <w:tcPr>
            <w:tcW w:w="1524" w:type="dxa"/>
            <w:tcBorders>
              <w:top w:val="nil"/>
              <w:left w:val="nil"/>
              <w:bottom w:val="single" w:sz="6" w:space="0" w:color="auto"/>
              <w:right w:val="nil"/>
            </w:tcBorders>
            <w:shd w:val="clear" w:color="auto" w:fill="auto"/>
            <w:hideMark/>
          </w:tcPr>
          <w:p w14:paraId="239A8016" w14:textId="75092C3A" w:rsidR="003049D4" w:rsidRPr="00E46E82" w:rsidRDefault="003049D4" w:rsidP="003049D4">
            <w:pPr>
              <w:spacing w:after="0" w:line="240" w:lineRule="auto"/>
              <w:jc w:val="center"/>
              <w:textAlignment w:val="baseline"/>
              <w:rPr>
                <w:rFonts w:ascii="Calibri" w:eastAsia="Times New Roman" w:hAnsi="Calibri" w:cs="Calibri"/>
                <w:sz w:val="20"/>
                <w:szCs w:val="20"/>
                <w:lang w:eastAsia="en-GB"/>
              </w:rPr>
            </w:pPr>
            <w:r w:rsidRPr="00E46E82">
              <w:rPr>
                <w:rFonts w:ascii="Calibri" w:eastAsia="Times New Roman" w:hAnsi="Calibri" w:cs="Calibri"/>
                <w:sz w:val="20"/>
                <w:szCs w:val="20"/>
                <w:lang w:eastAsia="en-GB"/>
              </w:rPr>
              <w:t> </w:t>
            </w:r>
          </w:p>
        </w:tc>
        <w:tc>
          <w:tcPr>
            <w:tcW w:w="1733" w:type="dxa"/>
            <w:tcBorders>
              <w:top w:val="nil"/>
              <w:left w:val="nil"/>
              <w:bottom w:val="single" w:sz="6" w:space="0" w:color="auto"/>
              <w:right w:val="nil"/>
            </w:tcBorders>
            <w:shd w:val="clear" w:color="auto" w:fill="auto"/>
            <w:hideMark/>
          </w:tcPr>
          <w:p w14:paraId="79308264" w14:textId="71F84752" w:rsidR="003049D4" w:rsidRPr="00E46E82" w:rsidRDefault="003049D4" w:rsidP="003049D4">
            <w:pPr>
              <w:spacing w:after="0" w:line="240" w:lineRule="auto"/>
              <w:jc w:val="center"/>
              <w:textAlignment w:val="baseline"/>
              <w:rPr>
                <w:rFonts w:ascii="Calibri" w:eastAsia="Times New Roman" w:hAnsi="Calibri" w:cs="Calibri"/>
                <w:sz w:val="20"/>
                <w:szCs w:val="20"/>
                <w:lang w:eastAsia="en-GB"/>
              </w:rPr>
            </w:pPr>
            <w:r w:rsidRPr="00E46E82">
              <w:rPr>
                <w:rFonts w:ascii="Calibri" w:eastAsia="Times New Roman" w:hAnsi="Calibri" w:cs="Calibri"/>
                <w:sz w:val="20"/>
                <w:szCs w:val="20"/>
                <w:lang w:eastAsia="en-GB"/>
              </w:rPr>
              <w:t> </w:t>
            </w:r>
          </w:p>
        </w:tc>
        <w:tc>
          <w:tcPr>
            <w:tcW w:w="1639" w:type="dxa"/>
            <w:tcBorders>
              <w:top w:val="nil"/>
              <w:left w:val="nil"/>
              <w:bottom w:val="single" w:sz="6" w:space="0" w:color="auto"/>
              <w:right w:val="nil"/>
            </w:tcBorders>
          </w:tcPr>
          <w:p w14:paraId="4BD7CDA8" w14:textId="124829DA" w:rsidR="003049D4" w:rsidRPr="00E46E82" w:rsidRDefault="003049D4" w:rsidP="003049D4">
            <w:pPr>
              <w:spacing w:after="0" w:line="240" w:lineRule="auto"/>
              <w:jc w:val="center"/>
              <w:rPr>
                <w:rFonts w:ascii="Calibri" w:hAnsi="Calibri" w:cs="Calibri"/>
                <w:sz w:val="20"/>
                <w:szCs w:val="20"/>
              </w:rPr>
            </w:pPr>
          </w:p>
        </w:tc>
        <w:tc>
          <w:tcPr>
            <w:tcW w:w="1781" w:type="dxa"/>
            <w:tcBorders>
              <w:top w:val="nil"/>
              <w:left w:val="nil"/>
              <w:bottom w:val="single" w:sz="6" w:space="0" w:color="auto"/>
              <w:right w:val="nil"/>
            </w:tcBorders>
          </w:tcPr>
          <w:p w14:paraId="2460A507" w14:textId="5D5965C6" w:rsidR="003049D4" w:rsidRPr="00E46E82" w:rsidRDefault="003049D4" w:rsidP="003049D4">
            <w:pPr>
              <w:spacing w:after="0" w:line="240" w:lineRule="auto"/>
              <w:jc w:val="center"/>
              <w:rPr>
                <w:rFonts w:ascii="Calibri" w:hAnsi="Calibri" w:cs="Calibri"/>
                <w:sz w:val="20"/>
                <w:szCs w:val="20"/>
              </w:rPr>
            </w:pPr>
          </w:p>
        </w:tc>
      </w:tr>
    </w:tbl>
    <w:p w14:paraId="2DBBD20B" w14:textId="56E84BB6" w:rsidR="00EA7E9B" w:rsidRDefault="00EA7E9B" w:rsidP="00BD29C9">
      <w:pPr>
        <w:spacing w:after="0" w:line="240" w:lineRule="auto"/>
        <w:textAlignment w:val="baseline"/>
        <w:rPr>
          <w:rFonts w:ascii="Calibri" w:eastAsia="Times New Roman" w:hAnsi="Calibri" w:cs="Calibri"/>
          <w:sz w:val="18"/>
          <w:szCs w:val="18"/>
          <w:lang w:eastAsia="en-GB"/>
        </w:rPr>
      </w:pPr>
      <w:r>
        <w:rPr>
          <w:rFonts w:ascii="Calibri" w:eastAsia="Times New Roman" w:hAnsi="Calibri" w:cs="Calibri"/>
          <w:sz w:val="18"/>
          <w:szCs w:val="18"/>
          <w:lang w:eastAsia="en-GB"/>
        </w:rPr>
        <w:t>POEM = Parental reported eczema measure</w:t>
      </w:r>
    </w:p>
    <w:p w14:paraId="6117CF6C" w14:textId="60E9DD93" w:rsidR="00406B23" w:rsidRDefault="00406B23" w:rsidP="00BD29C9">
      <w:pPr>
        <w:spacing w:after="0" w:line="240" w:lineRule="auto"/>
        <w:textAlignment w:val="baseline"/>
        <w:rPr>
          <w:rFonts w:ascii="Calibri" w:eastAsia="Times New Roman" w:hAnsi="Calibri" w:cs="Calibri"/>
          <w:sz w:val="18"/>
          <w:szCs w:val="18"/>
          <w:lang w:eastAsia="en-GB"/>
        </w:rPr>
      </w:pPr>
      <w:r>
        <w:rPr>
          <w:rFonts w:ascii="Calibri" w:eastAsia="Times New Roman" w:hAnsi="Calibri" w:cs="Calibri"/>
          <w:sz w:val="18"/>
          <w:szCs w:val="18"/>
          <w:lang w:eastAsia="en-GB"/>
        </w:rPr>
        <w:t xml:space="preserve">1 – Parents not asked questions on visible flexural dermatitis at 2 years </w:t>
      </w:r>
    </w:p>
    <w:p w14:paraId="0DB8D421" w14:textId="05B970C9" w:rsidR="00BD29C9" w:rsidRDefault="00406B23" w:rsidP="00BD29C9">
      <w:pPr>
        <w:spacing w:after="0" w:line="240" w:lineRule="auto"/>
        <w:textAlignment w:val="baseline"/>
        <w:rPr>
          <w:rFonts w:ascii="Calibri" w:eastAsia="Times New Roman" w:hAnsi="Calibri" w:cs="Calibri"/>
          <w:sz w:val="18"/>
          <w:szCs w:val="18"/>
          <w:lang w:eastAsia="en-GB"/>
        </w:rPr>
      </w:pPr>
      <w:r>
        <w:rPr>
          <w:rFonts w:ascii="Calibri" w:eastAsia="Times New Roman" w:hAnsi="Calibri" w:cs="Calibri"/>
          <w:sz w:val="18"/>
          <w:szCs w:val="18"/>
          <w:lang w:eastAsia="en-GB"/>
        </w:rPr>
        <w:t>2</w:t>
      </w:r>
      <w:r w:rsidR="00BD29C9" w:rsidRPr="00BD29C9">
        <w:rPr>
          <w:rFonts w:ascii="Calibri" w:eastAsia="Times New Roman" w:hAnsi="Calibri" w:cs="Calibri"/>
          <w:sz w:val="18"/>
          <w:szCs w:val="18"/>
          <w:lang w:eastAsia="en-GB"/>
        </w:rPr>
        <w:t xml:space="preserve"> – Immediate defined as defined as reaction within 2 hours of eating the food </w:t>
      </w:r>
    </w:p>
    <w:p w14:paraId="2CF32499" w14:textId="52CC3742" w:rsidR="00237E6E" w:rsidRPr="00237E6E" w:rsidRDefault="00237E6E" w:rsidP="00237E6E">
      <w:pPr>
        <w:spacing w:after="0" w:line="240" w:lineRule="auto"/>
        <w:textAlignment w:val="baseline"/>
        <w:rPr>
          <w:rFonts w:ascii="Calibri" w:eastAsia="Times New Roman" w:hAnsi="Calibri" w:cs="Calibri"/>
          <w:sz w:val="18"/>
          <w:szCs w:val="18"/>
          <w:lang w:eastAsia="en-GB"/>
        </w:rPr>
      </w:pPr>
      <w:r w:rsidRPr="00237E6E">
        <w:rPr>
          <w:rFonts w:ascii="Calibri" w:eastAsia="Times New Roman" w:hAnsi="Calibri" w:cs="Calibri"/>
          <w:sz w:val="18"/>
          <w:szCs w:val="18"/>
          <w:lang w:eastAsia="en-GB"/>
        </w:rPr>
        <w:t>3 – 995 participants included in analysis model for parent report of clinical diagnosis of food allergy at 24 months. Participants with no diagnosis of food allergy between 12 and 24 months and unknown information between birth and 12 months not included.</w:t>
      </w:r>
    </w:p>
    <w:p w14:paraId="3628899D" w14:textId="77777777" w:rsidR="00237E6E" w:rsidRPr="00BD29C9" w:rsidRDefault="00237E6E" w:rsidP="00BD29C9">
      <w:pPr>
        <w:spacing w:after="0" w:line="240" w:lineRule="auto"/>
        <w:textAlignment w:val="baseline"/>
        <w:rPr>
          <w:rFonts w:ascii="Segoe UI" w:eastAsia="Times New Roman" w:hAnsi="Segoe UI" w:cs="Segoe UI"/>
          <w:sz w:val="18"/>
          <w:szCs w:val="18"/>
          <w:lang w:eastAsia="en-GB"/>
        </w:rPr>
      </w:pPr>
    </w:p>
    <w:p w14:paraId="6EE4A823" w14:textId="77777777" w:rsidR="00F01DFC" w:rsidRDefault="00F01DFC" w:rsidP="5A9C38EC">
      <w:pPr>
        <w:rPr>
          <w:b/>
          <w:bCs/>
        </w:rPr>
      </w:pPr>
    </w:p>
    <w:p w14:paraId="277EADE9" w14:textId="77777777" w:rsidR="00F01DFC" w:rsidRDefault="00F01DFC" w:rsidP="5A9C38EC">
      <w:pPr>
        <w:rPr>
          <w:b/>
          <w:bCs/>
        </w:rPr>
      </w:pPr>
    </w:p>
    <w:p w14:paraId="5E4E44AD" w14:textId="77777777" w:rsidR="00B50A0B" w:rsidRDefault="00B50A0B">
      <w:pPr>
        <w:rPr>
          <w:b/>
          <w:bCs/>
        </w:rPr>
      </w:pPr>
      <w:r>
        <w:rPr>
          <w:b/>
          <w:bCs/>
        </w:rPr>
        <w:br w:type="page"/>
      </w:r>
    </w:p>
    <w:p w14:paraId="3E2D7DDF" w14:textId="6968388C" w:rsidR="5A9C38EC" w:rsidRDefault="5A9C38EC" w:rsidP="5A9C38EC">
      <w:pPr>
        <w:rPr>
          <w:b/>
          <w:bCs/>
        </w:rPr>
      </w:pPr>
      <w:r w:rsidRPr="5A9C38EC">
        <w:rPr>
          <w:b/>
          <w:bCs/>
        </w:rPr>
        <w:lastRenderedPageBreak/>
        <w:t>Results</w:t>
      </w:r>
    </w:p>
    <w:p w14:paraId="6C4F1AE1" w14:textId="642DF81A" w:rsidR="00192794" w:rsidRPr="008C6D72" w:rsidRDefault="007244D6" w:rsidP="008C6D72">
      <w:pPr>
        <w:pStyle w:val="Caption"/>
        <w:rPr>
          <w:rFonts w:ascii="Verdana" w:eastAsiaTheme="minorHAnsi" w:hAnsi="Verdana"/>
          <w:b w:val="0"/>
          <w:bCs w:val="0"/>
          <w:i/>
          <w:iCs/>
          <w:color w:val="44546A" w:themeColor="text2"/>
          <w:sz w:val="18"/>
          <w:lang w:bidi="ar-SA"/>
        </w:rPr>
      </w:pPr>
      <w:r>
        <w:rPr>
          <w:rFonts w:ascii="Verdana" w:eastAsiaTheme="minorHAnsi" w:hAnsi="Verdana"/>
          <w:b w:val="0"/>
          <w:bCs w:val="0"/>
          <w:i/>
          <w:iCs/>
          <w:color w:val="44546A" w:themeColor="text2"/>
          <w:sz w:val="18"/>
          <w:lang w:bidi="ar-SA"/>
        </w:rPr>
        <w:t>Table S</w:t>
      </w:r>
      <w:r w:rsidR="00192794">
        <w:rPr>
          <w:rFonts w:ascii="Verdana" w:eastAsiaTheme="minorHAnsi" w:hAnsi="Verdana"/>
          <w:b w:val="0"/>
          <w:bCs w:val="0"/>
          <w:i/>
          <w:iCs/>
          <w:color w:val="44546A" w:themeColor="text2"/>
          <w:sz w:val="18"/>
          <w:lang w:bidi="ar-SA"/>
        </w:rPr>
        <w:t>1: Number of observations and participants included in each analysis</w:t>
      </w:r>
    </w:p>
    <w:tbl>
      <w:tblPr>
        <w:tblStyle w:val="TableGrid"/>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3"/>
        <w:gridCol w:w="2965"/>
        <w:gridCol w:w="2965"/>
      </w:tblGrid>
      <w:tr w:rsidR="00FD7381" w14:paraId="6364C84E" w14:textId="77777777" w:rsidTr="00AB3793">
        <w:trPr>
          <w:tblHeader/>
        </w:trPr>
        <w:tc>
          <w:tcPr>
            <w:tcW w:w="3993" w:type="dxa"/>
            <w:tcBorders>
              <w:top w:val="single" w:sz="4" w:space="0" w:color="auto"/>
              <w:left w:val="nil"/>
              <w:bottom w:val="single" w:sz="4" w:space="0" w:color="auto"/>
              <w:right w:val="nil"/>
            </w:tcBorders>
          </w:tcPr>
          <w:p w14:paraId="4ECC92F4" w14:textId="77777777" w:rsidR="00FD7381" w:rsidRDefault="00FD7381" w:rsidP="00490915">
            <w:pPr>
              <w:rPr>
                <w:rFonts w:ascii="Calibri" w:hAnsi="Calibri" w:cs="Tahoma"/>
                <w:sz w:val="20"/>
                <w:szCs w:val="20"/>
              </w:rPr>
            </w:pPr>
          </w:p>
        </w:tc>
        <w:tc>
          <w:tcPr>
            <w:tcW w:w="2965" w:type="dxa"/>
            <w:tcBorders>
              <w:top w:val="single" w:sz="4" w:space="0" w:color="auto"/>
              <w:left w:val="nil"/>
              <w:bottom w:val="single" w:sz="4" w:space="0" w:color="auto"/>
              <w:right w:val="nil"/>
            </w:tcBorders>
            <w:vAlign w:val="bottom"/>
            <w:hideMark/>
          </w:tcPr>
          <w:p w14:paraId="7510AA2E" w14:textId="77777777" w:rsidR="0041603B" w:rsidRDefault="0041603B" w:rsidP="00490915">
            <w:pPr>
              <w:jc w:val="center"/>
              <w:rPr>
                <w:rFonts w:ascii="Calibri" w:hAnsi="Calibri" w:cs="Tahoma"/>
                <w:sz w:val="20"/>
                <w:szCs w:val="20"/>
              </w:rPr>
            </w:pPr>
            <w:r>
              <w:rPr>
                <w:rFonts w:ascii="Calibri" w:hAnsi="Calibri" w:cs="Tahoma"/>
                <w:sz w:val="20"/>
                <w:szCs w:val="20"/>
              </w:rPr>
              <w:t>Emollient</w:t>
            </w:r>
          </w:p>
          <w:p w14:paraId="192E7335" w14:textId="5AD33E7A" w:rsidR="00712828" w:rsidRDefault="0041603B" w:rsidP="00490915">
            <w:pPr>
              <w:jc w:val="center"/>
              <w:rPr>
                <w:rFonts w:ascii="Calibri" w:hAnsi="Calibri" w:cs="Tahoma"/>
                <w:sz w:val="20"/>
                <w:szCs w:val="20"/>
              </w:rPr>
            </w:pPr>
            <w:r>
              <w:rPr>
                <w:rFonts w:ascii="Calibri" w:hAnsi="Calibri" w:cs="Tahoma"/>
                <w:sz w:val="20"/>
                <w:szCs w:val="20"/>
              </w:rPr>
              <w:t xml:space="preserve"> </w:t>
            </w:r>
            <w:r w:rsidR="00712828">
              <w:rPr>
                <w:rFonts w:ascii="Calibri" w:hAnsi="Calibri" w:cs="Tahoma"/>
                <w:sz w:val="20"/>
                <w:szCs w:val="20"/>
              </w:rPr>
              <w:t>(n = 693)</w:t>
            </w:r>
          </w:p>
        </w:tc>
        <w:tc>
          <w:tcPr>
            <w:tcW w:w="2965" w:type="dxa"/>
            <w:tcBorders>
              <w:top w:val="single" w:sz="4" w:space="0" w:color="auto"/>
              <w:left w:val="nil"/>
              <w:bottom w:val="single" w:sz="4" w:space="0" w:color="auto"/>
              <w:right w:val="nil"/>
            </w:tcBorders>
            <w:vAlign w:val="bottom"/>
            <w:hideMark/>
          </w:tcPr>
          <w:p w14:paraId="36D8F351" w14:textId="77777777" w:rsidR="00FD7381" w:rsidRDefault="00FD7381" w:rsidP="00490915">
            <w:pPr>
              <w:jc w:val="center"/>
              <w:rPr>
                <w:rFonts w:ascii="Calibri" w:hAnsi="Calibri" w:cs="Tahoma"/>
                <w:sz w:val="20"/>
                <w:szCs w:val="20"/>
              </w:rPr>
            </w:pPr>
            <w:r>
              <w:rPr>
                <w:rFonts w:ascii="Calibri" w:hAnsi="Calibri" w:cs="Tahoma"/>
                <w:sz w:val="20"/>
                <w:szCs w:val="20"/>
              </w:rPr>
              <w:t>Control</w:t>
            </w:r>
          </w:p>
          <w:p w14:paraId="2606868E" w14:textId="1751CE92" w:rsidR="00712828" w:rsidRDefault="00712828" w:rsidP="00490915">
            <w:pPr>
              <w:jc w:val="center"/>
              <w:rPr>
                <w:rFonts w:ascii="Calibri" w:hAnsi="Calibri" w:cs="Tahoma"/>
                <w:sz w:val="20"/>
                <w:szCs w:val="20"/>
              </w:rPr>
            </w:pPr>
            <w:r>
              <w:rPr>
                <w:rFonts w:ascii="Calibri" w:hAnsi="Calibri" w:cs="Tahoma"/>
                <w:sz w:val="20"/>
                <w:szCs w:val="20"/>
              </w:rPr>
              <w:t>(n = 701)</w:t>
            </w:r>
          </w:p>
        </w:tc>
      </w:tr>
      <w:tr w:rsidR="00FD7381" w14:paraId="3B8695A2" w14:textId="77777777" w:rsidTr="00AB3793">
        <w:tc>
          <w:tcPr>
            <w:tcW w:w="3993" w:type="dxa"/>
            <w:tcBorders>
              <w:top w:val="single" w:sz="4" w:space="0" w:color="auto"/>
              <w:left w:val="nil"/>
              <w:right w:val="nil"/>
            </w:tcBorders>
          </w:tcPr>
          <w:p w14:paraId="2C65468F" w14:textId="77777777" w:rsidR="00FD7381" w:rsidRDefault="00FD7381" w:rsidP="00490915">
            <w:pPr>
              <w:rPr>
                <w:rFonts w:ascii="Calibri" w:hAnsi="Calibri" w:cs="Tahoma"/>
                <w:sz w:val="20"/>
                <w:szCs w:val="20"/>
              </w:rPr>
            </w:pPr>
          </w:p>
        </w:tc>
        <w:tc>
          <w:tcPr>
            <w:tcW w:w="2965" w:type="dxa"/>
            <w:tcBorders>
              <w:top w:val="single" w:sz="4" w:space="0" w:color="auto"/>
              <w:left w:val="nil"/>
              <w:right w:val="nil"/>
            </w:tcBorders>
          </w:tcPr>
          <w:p w14:paraId="445096D8" w14:textId="77777777" w:rsidR="00FD7381" w:rsidRDefault="00FD7381" w:rsidP="00490915">
            <w:pPr>
              <w:jc w:val="center"/>
              <w:rPr>
                <w:rFonts w:ascii="Calibri" w:hAnsi="Calibri" w:cs="Tahoma"/>
                <w:sz w:val="20"/>
                <w:szCs w:val="20"/>
              </w:rPr>
            </w:pPr>
          </w:p>
        </w:tc>
        <w:tc>
          <w:tcPr>
            <w:tcW w:w="2965" w:type="dxa"/>
            <w:tcBorders>
              <w:top w:val="single" w:sz="4" w:space="0" w:color="auto"/>
              <w:left w:val="nil"/>
              <w:right w:val="nil"/>
            </w:tcBorders>
          </w:tcPr>
          <w:p w14:paraId="62B7AD77" w14:textId="77777777" w:rsidR="00FD7381" w:rsidRDefault="00FD7381" w:rsidP="00490915">
            <w:pPr>
              <w:jc w:val="center"/>
              <w:rPr>
                <w:rFonts w:ascii="Calibri" w:hAnsi="Calibri" w:cs="Tahoma"/>
                <w:sz w:val="20"/>
                <w:szCs w:val="20"/>
              </w:rPr>
            </w:pPr>
          </w:p>
        </w:tc>
      </w:tr>
      <w:tr w:rsidR="004D2F4B" w14:paraId="2393AB7E" w14:textId="77777777" w:rsidTr="00AB3793">
        <w:tc>
          <w:tcPr>
            <w:tcW w:w="3993" w:type="dxa"/>
            <w:tcBorders>
              <w:left w:val="nil"/>
              <w:right w:val="nil"/>
            </w:tcBorders>
          </w:tcPr>
          <w:p w14:paraId="5DCEA2C1" w14:textId="44EBCAFC" w:rsidR="004D2F4B" w:rsidRPr="004D2F4B" w:rsidRDefault="004D2F4B" w:rsidP="00490915">
            <w:pPr>
              <w:rPr>
                <w:rFonts w:ascii="Calibri" w:hAnsi="Calibri" w:cs="Tahoma"/>
                <w:i/>
                <w:sz w:val="20"/>
                <w:szCs w:val="20"/>
              </w:rPr>
            </w:pPr>
            <w:r w:rsidRPr="004D2F4B">
              <w:rPr>
                <w:rFonts w:ascii="Calibri" w:hAnsi="Calibri" w:cs="Tahoma"/>
                <w:i/>
                <w:sz w:val="20"/>
                <w:szCs w:val="20"/>
              </w:rPr>
              <w:t>Table II</w:t>
            </w:r>
          </w:p>
        </w:tc>
        <w:tc>
          <w:tcPr>
            <w:tcW w:w="2965" w:type="dxa"/>
            <w:tcBorders>
              <w:left w:val="nil"/>
              <w:right w:val="nil"/>
            </w:tcBorders>
          </w:tcPr>
          <w:p w14:paraId="5B46AAE4" w14:textId="77777777" w:rsidR="004D2F4B" w:rsidRDefault="004D2F4B" w:rsidP="00490915">
            <w:pPr>
              <w:jc w:val="center"/>
              <w:rPr>
                <w:rFonts w:ascii="Calibri" w:hAnsi="Calibri" w:cs="Tahoma"/>
                <w:sz w:val="20"/>
                <w:szCs w:val="20"/>
              </w:rPr>
            </w:pPr>
          </w:p>
        </w:tc>
        <w:tc>
          <w:tcPr>
            <w:tcW w:w="2965" w:type="dxa"/>
            <w:tcBorders>
              <w:left w:val="nil"/>
              <w:right w:val="nil"/>
            </w:tcBorders>
          </w:tcPr>
          <w:p w14:paraId="4116D26E" w14:textId="77777777" w:rsidR="004D2F4B" w:rsidRDefault="004D2F4B" w:rsidP="00490915">
            <w:pPr>
              <w:jc w:val="center"/>
              <w:rPr>
                <w:rFonts w:ascii="Calibri" w:hAnsi="Calibri" w:cs="Tahoma"/>
                <w:sz w:val="20"/>
                <w:szCs w:val="20"/>
              </w:rPr>
            </w:pPr>
          </w:p>
        </w:tc>
      </w:tr>
      <w:tr w:rsidR="00FD7381" w14:paraId="44E0E92E" w14:textId="77777777" w:rsidTr="00AB3793">
        <w:tc>
          <w:tcPr>
            <w:tcW w:w="3993" w:type="dxa"/>
          </w:tcPr>
          <w:p w14:paraId="352734CE" w14:textId="7576BB0E" w:rsidR="00FD7381" w:rsidRDefault="0025704D" w:rsidP="0025704D">
            <w:pPr>
              <w:autoSpaceDE w:val="0"/>
              <w:autoSpaceDN w:val="0"/>
              <w:adjustRightInd w:val="0"/>
              <w:rPr>
                <w:rFonts w:ascii="Calibri" w:hAnsi="Calibri" w:cs="Tahoma"/>
                <w:sz w:val="20"/>
                <w:szCs w:val="20"/>
              </w:rPr>
            </w:pPr>
            <w:r w:rsidRPr="008058F2">
              <w:rPr>
                <w:rFonts w:cs="Tahoma"/>
                <w:sz w:val="18"/>
                <w:szCs w:val="18"/>
              </w:rPr>
              <w:t xml:space="preserve">Presence of </w:t>
            </w:r>
            <w:r w:rsidR="0041603B">
              <w:rPr>
                <w:rFonts w:cs="Tahoma"/>
                <w:sz w:val="18"/>
                <w:szCs w:val="18"/>
              </w:rPr>
              <w:t>AD</w:t>
            </w:r>
            <w:r w:rsidRPr="008058F2">
              <w:rPr>
                <w:rFonts w:cs="Tahoma"/>
                <w:sz w:val="18"/>
                <w:szCs w:val="18"/>
              </w:rPr>
              <w:t xml:space="preserve"> in the previous year based on parental report of a clinical diagnosis of </w:t>
            </w:r>
            <w:r w:rsidR="0041603B">
              <w:rPr>
                <w:rFonts w:cs="Tahoma"/>
                <w:sz w:val="18"/>
                <w:szCs w:val="18"/>
              </w:rPr>
              <w:t>AD</w:t>
            </w:r>
          </w:p>
        </w:tc>
        <w:tc>
          <w:tcPr>
            <w:tcW w:w="2965" w:type="dxa"/>
          </w:tcPr>
          <w:p w14:paraId="65CC6F2B" w14:textId="77777777" w:rsidR="00FD7381" w:rsidRDefault="00FD7381" w:rsidP="00490915">
            <w:pPr>
              <w:jc w:val="center"/>
              <w:rPr>
                <w:rFonts w:ascii="Calibri" w:hAnsi="Calibri" w:cs="Tahoma"/>
                <w:sz w:val="20"/>
                <w:szCs w:val="20"/>
              </w:rPr>
            </w:pPr>
            <w:r>
              <w:rPr>
                <w:rFonts w:ascii="Calibri" w:hAnsi="Calibri" w:cs="Tahoma"/>
                <w:sz w:val="20"/>
                <w:szCs w:val="20"/>
              </w:rPr>
              <w:t>4052 observations</w:t>
            </w:r>
          </w:p>
          <w:p w14:paraId="3C218B38" w14:textId="2DE0C610" w:rsidR="00FD7381" w:rsidRDefault="00FD7381" w:rsidP="00490915">
            <w:pPr>
              <w:jc w:val="center"/>
              <w:rPr>
                <w:rFonts w:ascii="Calibri" w:hAnsi="Calibri" w:cs="Tahoma"/>
                <w:sz w:val="20"/>
                <w:szCs w:val="20"/>
              </w:rPr>
            </w:pPr>
            <w:r>
              <w:rPr>
                <w:rFonts w:ascii="Calibri" w:hAnsi="Calibri" w:cs="Tahoma"/>
                <w:sz w:val="20"/>
                <w:szCs w:val="20"/>
              </w:rPr>
              <w:t>632 participants</w:t>
            </w:r>
          </w:p>
        </w:tc>
        <w:tc>
          <w:tcPr>
            <w:tcW w:w="2965" w:type="dxa"/>
          </w:tcPr>
          <w:p w14:paraId="584C0C00" w14:textId="77777777" w:rsidR="00FD7381" w:rsidRDefault="00FD7381" w:rsidP="00490915">
            <w:pPr>
              <w:jc w:val="center"/>
              <w:rPr>
                <w:rFonts w:ascii="Calibri" w:hAnsi="Calibri" w:cs="Tahoma"/>
                <w:sz w:val="20"/>
                <w:szCs w:val="20"/>
              </w:rPr>
            </w:pPr>
            <w:r>
              <w:rPr>
                <w:rFonts w:ascii="Calibri" w:hAnsi="Calibri" w:cs="Tahoma"/>
                <w:sz w:val="20"/>
                <w:szCs w:val="20"/>
              </w:rPr>
              <w:t>4171 observations</w:t>
            </w:r>
          </w:p>
          <w:p w14:paraId="6DE6A8A6" w14:textId="5ACE1831" w:rsidR="00FD7381" w:rsidRDefault="00FD7381" w:rsidP="00490915">
            <w:pPr>
              <w:jc w:val="center"/>
              <w:rPr>
                <w:rFonts w:ascii="Calibri" w:hAnsi="Calibri" w:cs="Tahoma"/>
                <w:sz w:val="20"/>
                <w:szCs w:val="20"/>
              </w:rPr>
            </w:pPr>
            <w:r>
              <w:rPr>
                <w:rFonts w:ascii="Calibri" w:hAnsi="Calibri" w:cs="Tahoma"/>
                <w:sz w:val="20"/>
                <w:szCs w:val="20"/>
              </w:rPr>
              <w:t>643 participants</w:t>
            </w:r>
          </w:p>
        </w:tc>
      </w:tr>
      <w:tr w:rsidR="00FD7381" w14:paraId="16660128" w14:textId="77777777" w:rsidTr="00AB3793">
        <w:tc>
          <w:tcPr>
            <w:tcW w:w="3993" w:type="dxa"/>
          </w:tcPr>
          <w:p w14:paraId="035E73BD" w14:textId="77777777" w:rsidR="00FD7381" w:rsidRDefault="00FD7381" w:rsidP="00490915">
            <w:pPr>
              <w:autoSpaceDE w:val="0"/>
              <w:autoSpaceDN w:val="0"/>
              <w:adjustRightInd w:val="0"/>
              <w:jc w:val="right"/>
              <w:rPr>
                <w:rFonts w:ascii="Calibri" w:hAnsi="Calibri" w:cs="Tahoma"/>
                <w:sz w:val="20"/>
                <w:szCs w:val="20"/>
              </w:rPr>
            </w:pPr>
          </w:p>
        </w:tc>
        <w:tc>
          <w:tcPr>
            <w:tcW w:w="2965" w:type="dxa"/>
          </w:tcPr>
          <w:p w14:paraId="598ACDF5" w14:textId="77777777" w:rsidR="00FD7381" w:rsidRDefault="00FD7381" w:rsidP="00490915">
            <w:pPr>
              <w:jc w:val="center"/>
              <w:rPr>
                <w:rFonts w:ascii="Calibri" w:hAnsi="Calibri" w:cs="Tahoma"/>
                <w:sz w:val="20"/>
                <w:szCs w:val="20"/>
              </w:rPr>
            </w:pPr>
          </w:p>
        </w:tc>
        <w:tc>
          <w:tcPr>
            <w:tcW w:w="2965" w:type="dxa"/>
          </w:tcPr>
          <w:p w14:paraId="3D0C27F7" w14:textId="77777777" w:rsidR="00FD7381" w:rsidRDefault="00FD7381" w:rsidP="00490915">
            <w:pPr>
              <w:jc w:val="center"/>
              <w:rPr>
                <w:rFonts w:ascii="Calibri" w:hAnsi="Calibri" w:cs="Tahoma"/>
                <w:sz w:val="20"/>
                <w:szCs w:val="20"/>
              </w:rPr>
            </w:pPr>
          </w:p>
        </w:tc>
      </w:tr>
      <w:tr w:rsidR="0025704D" w14:paraId="2500AD54" w14:textId="77777777" w:rsidTr="00AB3793">
        <w:tc>
          <w:tcPr>
            <w:tcW w:w="3993" w:type="dxa"/>
          </w:tcPr>
          <w:p w14:paraId="24D5FF2E" w14:textId="59648199" w:rsidR="0025704D" w:rsidRDefault="0025704D" w:rsidP="0025704D">
            <w:pPr>
              <w:tabs>
                <w:tab w:val="left" w:pos="240"/>
                <w:tab w:val="right" w:pos="3777"/>
              </w:tabs>
              <w:autoSpaceDE w:val="0"/>
              <w:autoSpaceDN w:val="0"/>
              <w:adjustRightInd w:val="0"/>
              <w:rPr>
                <w:rFonts w:ascii="Calibri" w:hAnsi="Calibri" w:cs="Tahoma"/>
                <w:sz w:val="20"/>
                <w:szCs w:val="20"/>
              </w:rPr>
            </w:pPr>
            <w:r w:rsidRPr="008058F2">
              <w:rPr>
                <w:rFonts w:cs="Tahoma"/>
                <w:sz w:val="18"/>
                <w:szCs w:val="18"/>
              </w:rPr>
              <w:t xml:space="preserve">Presence of </w:t>
            </w:r>
            <w:r w:rsidR="0041603B">
              <w:rPr>
                <w:rFonts w:cs="Tahoma"/>
                <w:sz w:val="18"/>
                <w:szCs w:val="18"/>
              </w:rPr>
              <w:t>AD</w:t>
            </w:r>
            <w:r w:rsidRPr="008058F2">
              <w:rPr>
                <w:rFonts w:cs="Tahoma"/>
                <w:sz w:val="18"/>
                <w:szCs w:val="18"/>
              </w:rPr>
              <w:t xml:space="preserve"> based on completion by parents of UK Working Party Diagnostic Criteria for A</w:t>
            </w:r>
            <w:r w:rsidR="008C6D72">
              <w:rPr>
                <w:rFonts w:cs="Tahoma"/>
                <w:sz w:val="18"/>
                <w:szCs w:val="18"/>
              </w:rPr>
              <w:t>D</w:t>
            </w:r>
          </w:p>
        </w:tc>
        <w:tc>
          <w:tcPr>
            <w:tcW w:w="2965" w:type="dxa"/>
          </w:tcPr>
          <w:p w14:paraId="5F2768EE" w14:textId="77777777" w:rsidR="0025704D" w:rsidRDefault="0025704D" w:rsidP="00490915">
            <w:pPr>
              <w:jc w:val="center"/>
              <w:rPr>
                <w:rFonts w:ascii="Calibri" w:hAnsi="Calibri" w:cs="Tahoma"/>
                <w:sz w:val="20"/>
                <w:szCs w:val="20"/>
              </w:rPr>
            </w:pPr>
            <w:r>
              <w:rPr>
                <w:rFonts w:ascii="Calibri" w:hAnsi="Calibri" w:cs="Tahoma"/>
                <w:sz w:val="20"/>
                <w:szCs w:val="20"/>
              </w:rPr>
              <w:t>2507 observations</w:t>
            </w:r>
          </w:p>
          <w:p w14:paraId="40AB56C3" w14:textId="1900019D" w:rsidR="0025704D" w:rsidRDefault="0025704D" w:rsidP="00490915">
            <w:pPr>
              <w:jc w:val="center"/>
              <w:rPr>
                <w:rFonts w:ascii="Calibri" w:hAnsi="Calibri" w:cs="Tahoma"/>
                <w:sz w:val="20"/>
                <w:szCs w:val="20"/>
              </w:rPr>
            </w:pPr>
            <w:r>
              <w:rPr>
                <w:rFonts w:ascii="Calibri" w:hAnsi="Calibri" w:cs="Tahoma"/>
                <w:sz w:val="20"/>
                <w:szCs w:val="20"/>
              </w:rPr>
              <w:t>619 participants</w:t>
            </w:r>
          </w:p>
        </w:tc>
        <w:tc>
          <w:tcPr>
            <w:tcW w:w="2965" w:type="dxa"/>
          </w:tcPr>
          <w:p w14:paraId="5DE5EF05" w14:textId="77777777" w:rsidR="0025704D" w:rsidRDefault="0025704D" w:rsidP="00490915">
            <w:pPr>
              <w:jc w:val="center"/>
              <w:rPr>
                <w:rFonts w:ascii="Calibri" w:hAnsi="Calibri" w:cs="Tahoma"/>
                <w:sz w:val="20"/>
                <w:szCs w:val="20"/>
              </w:rPr>
            </w:pPr>
            <w:r>
              <w:rPr>
                <w:rFonts w:ascii="Calibri" w:hAnsi="Calibri" w:cs="Tahoma"/>
                <w:sz w:val="20"/>
                <w:szCs w:val="20"/>
              </w:rPr>
              <w:t>2640 observations</w:t>
            </w:r>
          </w:p>
          <w:p w14:paraId="082C4285" w14:textId="29B9F424" w:rsidR="0025704D" w:rsidRDefault="0025704D" w:rsidP="00490915">
            <w:pPr>
              <w:jc w:val="center"/>
              <w:rPr>
                <w:rFonts w:ascii="Calibri" w:hAnsi="Calibri" w:cs="Tahoma"/>
                <w:sz w:val="20"/>
                <w:szCs w:val="20"/>
              </w:rPr>
            </w:pPr>
            <w:r>
              <w:rPr>
                <w:rFonts w:ascii="Calibri" w:hAnsi="Calibri" w:cs="Tahoma"/>
                <w:sz w:val="20"/>
                <w:szCs w:val="20"/>
              </w:rPr>
              <w:t>637  participants</w:t>
            </w:r>
          </w:p>
        </w:tc>
      </w:tr>
      <w:tr w:rsidR="0025704D" w14:paraId="72387179" w14:textId="77777777" w:rsidTr="00AB3793">
        <w:tc>
          <w:tcPr>
            <w:tcW w:w="3993" w:type="dxa"/>
          </w:tcPr>
          <w:p w14:paraId="6082F72E" w14:textId="77777777" w:rsidR="0025704D" w:rsidRPr="008058F2" w:rsidRDefault="0025704D" w:rsidP="0025704D">
            <w:pPr>
              <w:tabs>
                <w:tab w:val="left" w:pos="240"/>
                <w:tab w:val="right" w:pos="3777"/>
              </w:tabs>
              <w:autoSpaceDE w:val="0"/>
              <w:autoSpaceDN w:val="0"/>
              <w:adjustRightInd w:val="0"/>
              <w:rPr>
                <w:rFonts w:cs="Tahoma"/>
                <w:sz w:val="18"/>
                <w:szCs w:val="18"/>
              </w:rPr>
            </w:pPr>
          </w:p>
        </w:tc>
        <w:tc>
          <w:tcPr>
            <w:tcW w:w="2965" w:type="dxa"/>
          </w:tcPr>
          <w:p w14:paraId="1B518338" w14:textId="77777777" w:rsidR="0025704D" w:rsidRDefault="0025704D" w:rsidP="00490915">
            <w:pPr>
              <w:jc w:val="center"/>
              <w:rPr>
                <w:rFonts w:ascii="Calibri" w:hAnsi="Calibri" w:cs="Tahoma"/>
                <w:sz w:val="20"/>
                <w:szCs w:val="20"/>
              </w:rPr>
            </w:pPr>
          </w:p>
        </w:tc>
        <w:tc>
          <w:tcPr>
            <w:tcW w:w="2965" w:type="dxa"/>
          </w:tcPr>
          <w:p w14:paraId="2123B737" w14:textId="77777777" w:rsidR="0025704D" w:rsidRDefault="0025704D" w:rsidP="00490915">
            <w:pPr>
              <w:jc w:val="center"/>
              <w:rPr>
                <w:rFonts w:ascii="Calibri" w:hAnsi="Calibri" w:cs="Tahoma"/>
                <w:sz w:val="20"/>
                <w:szCs w:val="20"/>
              </w:rPr>
            </w:pPr>
          </w:p>
        </w:tc>
      </w:tr>
      <w:tr w:rsidR="0025704D" w14:paraId="2DCF0E71" w14:textId="77777777" w:rsidTr="00AB3793">
        <w:tc>
          <w:tcPr>
            <w:tcW w:w="3993" w:type="dxa"/>
          </w:tcPr>
          <w:p w14:paraId="009921AC" w14:textId="08F97EF6" w:rsidR="0025704D" w:rsidRPr="008058F2" w:rsidRDefault="0025704D" w:rsidP="0025704D">
            <w:pPr>
              <w:tabs>
                <w:tab w:val="left" w:pos="240"/>
                <w:tab w:val="right" w:pos="3777"/>
              </w:tabs>
              <w:autoSpaceDE w:val="0"/>
              <w:autoSpaceDN w:val="0"/>
              <w:adjustRightInd w:val="0"/>
              <w:rPr>
                <w:rFonts w:cs="Tahoma"/>
                <w:sz w:val="18"/>
                <w:szCs w:val="18"/>
              </w:rPr>
            </w:pPr>
            <w:r w:rsidRPr="0025704D">
              <w:rPr>
                <w:rFonts w:cs="Tahoma"/>
                <w:sz w:val="18"/>
                <w:szCs w:val="18"/>
              </w:rPr>
              <w:t>Moderate, severe, or very severe</w:t>
            </w:r>
            <w:r w:rsidR="008C6D72">
              <w:rPr>
                <w:rFonts w:cs="Tahoma"/>
                <w:sz w:val="18"/>
                <w:szCs w:val="18"/>
              </w:rPr>
              <w:t xml:space="preserve"> AD</w:t>
            </w:r>
            <w:r w:rsidRPr="0025704D">
              <w:rPr>
                <w:rFonts w:cs="Tahoma"/>
                <w:sz w:val="18"/>
                <w:szCs w:val="18"/>
              </w:rPr>
              <w:t xml:space="preserve"> according to POEM</w:t>
            </w:r>
          </w:p>
        </w:tc>
        <w:tc>
          <w:tcPr>
            <w:tcW w:w="2965" w:type="dxa"/>
          </w:tcPr>
          <w:p w14:paraId="35D59A17" w14:textId="37A49FE2" w:rsidR="004D2F4B" w:rsidRDefault="004D2F4B" w:rsidP="004D2F4B">
            <w:pPr>
              <w:jc w:val="center"/>
              <w:rPr>
                <w:rFonts w:ascii="Calibri" w:hAnsi="Calibri" w:cs="Tahoma"/>
                <w:sz w:val="20"/>
                <w:szCs w:val="20"/>
              </w:rPr>
            </w:pPr>
            <w:r>
              <w:rPr>
                <w:rFonts w:ascii="Calibri" w:hAnsi="Calibri" w:cs="Tahoma"/>
                <w:sz w:val="20"/>
                <w:szCs w:val="20"/>
              </w:rPr>
              <w:t>2463 observations</w:t>
            </w:r>
          </w:p>
          <w:p w14:paraId="0DAD6A00" w14:textId="66C0F439" w:rsidR="0025704D" w:rsidRDefault="004D2F4B" w:rsidP="004D2F4B">
            <w:pPr>
              <w:jc w:val="center"/>
              <w:rPr>
                <w:rFonts w:ascii="Calibri" w:hAnsi="Calibri" w:cs="Tahoma"/>
                <w:sz w:val="20"/>
                <w:szCs w:val="20"/>
              </w:rPr>
            </w:pPr>
            <w:r>
              <w:rPr>
                <w:sz w:val="18"/>
                <w:szCs w:val="20"/>
              </w:rPr>
              <w:t xml:space="preserve">612 </w:t>
            </w:r>
            <w:r>
              <w:rPr>
                <w:rFonts w:ascii="Calibri" w:hAnsi="Calibri" w:cs="Tahoma"/>
                <w:sz w:val="20"/>
                <w:szCs w:val="20"/>
              </w:rPr>
              <w:t>participants</w:t>
            </w:r>
          </w:p>
        </w:tc>
        <w:tc>
          <w:tcPr>
            <w:tcW w:w="2965" w:type="dxa"/>
          </w:tcPr>
          <w:p w14:paraId="3605530C" w14:textId="448CE602" w:rsidR="004D2F4B" w:rsidRDefault="004D2F4B" w:rsidP="00490915">
            <w:pPr>
              <w:jc w:val="center"/>
              <w:rPr>
                <w:rFonts w:ascii="Calibri" w:hAnsi="Calibri" w:cs="Tahoma"/>
                <w:sz w:val="20"/>
                <w:szCs w:val="20"/>
              </w:rPr>
            </w:pPr>
            <w:r w:rsidRPr="004D2F4B">
              <w:rPr>
                <w:rFonts w:ascii="Calibri" w:hAnsi="Calibri" w:cs="Tahoma"/>
                <w:sz w:val="20"/>
                <w:szCs w:val="20"/>
              </w:rPr>
              <w:t xml:space="preserve">2600 </w:t>
            </w:r>
            <w:r>
              <w:rPr>
                <w:rFonts w:ascii="Calibri" w:hAnsi="Calibri" w:cs="Tahoma"/>
                <w:sz w:val="20"/>
                <w:szCs w:val="20"/>
              </w:rPr>
              <w:t>observations</w:t>
            </w:r>
          </w:p>
          <w:p w14:paraId="50C8436A" w14:textId="4D5429AB" w:rsidR="0025704D" w:rsidRDefault="004D2F4B" w:rsidP="00490915">
            <w:pPr>
              <w:jc w:val="center"/>
              <w:rPr>
                <w:rFonts w:ascii="Calibri" w:hAnsi="Calibri" w:cs="Tahoma"/>
                <w:sz w:val="20"/>
                <w:szCs w:val="20"/>
              </w:rPr>
            </w:pPr>
            <w:r>
              <w:rPr>
                <w:sz w:val="18"/>
                <w:szCs w:val="20"/>
              </w:rPr>
              <w:t xml:space="preserve">633 </w:t>
            </w:r>
            <w:r>
              <w:rPr>
                <w:rFonts w:ascii="Calibri" w:hAnsi="Calibri" w:cs="Tahoma"/>
                <w:sz w:val="20"/>
                <w:szCs w:val="20"/>
              </w:rPr>
              <w:t>participants</w:t>
            </w:r>
          </w:p>
        </w:tc>
      </w:tr>
      <w:tr w:rsidR="004D2F4B" w14:paraId="3FEE9D39" w14:textId="77777777" w:rsidTr="00AB3793">
        <w:tc>
          <w:tcPr>
            <w:tcW w:w="3993" w:type="dxa"/>
          </w:tcPr>
          <w:p w14:paraId="1437368C" w14:textId="77777777" w:rsidR="004D2F4B" w:rsidRPr="0025704D" w:rsidRDefault="004D2F4B" w:rsidP="0025704D">
            <w:pPr>
              <w:tabs>
                <w:tab w:val="left" w:pos="240"/>
                <w:tab w:val="right" w:pos="3777"/>
              </w:tabs>
              <w:autoSpaceDE w:val="0"/>
              <w:autoSpaceDN w:val="0"/>
              <w:adjustRightInd w:val="0"/>
              <w:rPr>
                <w:rFonts w:cs="Tahoma"/>
                <w:sz w:val="18"/>
                <w:szCs w:val="18"/>
              </w:rPr>
            </w:pPr>
          </w:p>
        </w:tc>
        <w:tc>
          <w:tcPr>
            <w:tcW w:w="2965" w:type="dxa"/>
          </w:tcPr>
          <w:p w14:paraId="253465D0" w14:textId="77777777" w:rsidR="004D2F4B" w:rsidRDefault="004D2F4B" w:rsidP="004D2F4B">
            <w:pPr>
              <w:jc w:val="center"/>
              <w:rPr>
                <w:rFonts w:ascii="Calibri" w:hAnsi="Calibri" w:cs="Tahoma"/>
                <w:sz w:val="20"/>
                <w:szCs w:val="20"/>
              </w:rPr>
            </w:pPr>
          </w:p>
        </w:tc>
        <w:tc>
          <w:tcPr>
            <w:tcW w:w="2965" w:type="dxa"/>
          </w:tcPr>
          <w:p w14:paraId="6632A4F1" w14:textId="77777777" w:rsidR="004D2F4B" w:rsidRPr="004D2F4B" w:rsidRDefault="004D2F4B" w:rsidP="00490915">
            <w:pPr>
              <w:jc w:val="center"/>
              <w:rPr>
                <w:rFonts w:ascii="Calibri" w:hAnsi="Calibri" w:cs="Tahoma"/>
                <w:sz w:val="20"/>
                <w:szCs w:val="20"/>
              </w:rPr>
            </w:pPr>
          </w:p>
        </w:tc>
      </w:tr>
      <w:tr w:rsidR="004D2F4B" w14:paraId="2AFFDDA7" w14:textId="77777777" w:rsidTr="00AB3793">
        <w:tc>
          <w:tcPr>
            <w:tcW w:w="3993" w:type="dxa"/>
          </w:tcPr>
          <w:p w14:paraId="439E89C6" w14:textId="2E99A4F2" w:rsidR="004D2F4B" w:rsidRPr="0025704D" w:rsidRDefault="004D2F4B" w:rsidP="004D2F4B">
            <w:pPr>
              <w:rPr>
                <w:rFonts w:cs="Tahoma"/>
                <w:sz w:val="18"/>
                <w:szCs w:val="18"/>
              </w:rPr>
            </w:pPr>
            <w:r w:rsidRPr="004D2F4B">
              <w:rPr>
                <w:rFonts w:ascii="Calibri" w:hAnsi="Calibri" w:cs="Tahoma"/>
                <w:i/>
                <w:sz w:val="20"/>
                <w:szCs w:val="20"/>
              </w:rPr>
              <w:t>Table III</w:t>
            </w:r>
          </w:p>
        </w:tc>
        <w:tc>
          <w:tcPr>
            <w:tcW w:w="2965" w:type="dxa"/>
          </w:tcPr>
          <w:p w14:paraId="34183C4F" w14:textId="77777777" w:rsidR="004D2F4B" w:rsidRDefault="004D2F4B" w:rsidP="004D2F4B">
            <w:pPr>
              <w:jc w:val="center"/>
              <w:rPr>
                <w:rFonts w:ascii="Calibri" w:hAnsi="Calibri" w:cs="Tahoma"/>
                <w:sz w:val="20"/>
                <w:szCs w:val="20"/>
              </w:rPr>
            </w:pPr>
          </w:p>
        </w:tc>
        <w:tc>
          <w:tcPr>
            <w:tcW w:w="2965" w:type="dxa"/>
          </w:tcPr>
          <w:p w14:paraId="20CE7233" w14:textId="77777777" w:rsidR="004D2F4B" w:rsidRPr="004D2F4B" w:rsidRDefault="004D2F4B" w:rsidP="00490915">
            <w:pPr>
              <w:jc w:val="center"/>
              <w:rPr>
                <w:rFonts w:ascii="Calibri" w:hAnsi="Calibri" w:cs="Tahoma"/>
                <w:sz w:val="20"/>
                <w:szCs w:val="20"/>
              </w:rPr>
            </w:pPr>
          </w:p>
        </w:tc>
      </w:tr>
      <w:tr w:rsidR="004D2F4B" w14:paraId="11D49130" w14:textId="77777777" w:rsidTr="00AB3793">
        <w:tc>
          <w:tcPr>
            <w:tcW w:w="3993" w:type="dxa"/>
          </w:tcPr>
          <w:p w14:paraId="7081D8B8" w14:textId="3E8D495F" w:rsidR="004D2F4B" w:rsidRDefault="004D2F4B" w:rsidP="0025704D">
            <w:pPr>
              <w:tabs>
                <w:tab w:val="left" w:pos="240"/>
                <w:tab w:val="right" w:pos="3777"/>
              </w:tabs>
              <w:autoSpaceDE w:val="0"/>
              <w:autoSpaceDN w:val="0"/>
              <w:adjustRightInd w:val="0"/>
              <w:rPr>
                <w:rFonts w:cs="Tahoma"/>
                <w:sz w:val="18"/>
                <w:szCs w:val="18"/>
              </w:rPr>
            </w:pPr>
            <w:r w:rsidRPr="00D23D54">
              <w:rPr>
                <w:rFonts w:cs="Tahoma"/>
                <w:sz w:val="18"/>
                <w:szCs w:val="20"/>
              </w:rPr>
              <w:t>Parental report of reaction to any food within the previous year</w:t>
            </w:r>
          </w:p>
        </w:tc>
        <w:tc>
          <w:tcPr>
            <w:tcW w:w="2965" w:type="dxa"/>
          </w:tcPr>
          <w:p w14:paraId="7190046C" w14:textId="252D08FD" w:rsidR="004D2F4B" w:rsidRDefault="00AB3793" w:rsidP="004D2F4B">
            <w:pPr>
              <w:jc w:val="center"/>
              <w:rPr>
                <w:rFonts w:ascii="Calibri" w:hAnsi="Calibri" w:cs="Tahoma"/>
                <w:sz w:val="20"/>
                <w:szCs w:val="20"/>
              </w:rPr>
            </w:pPr>
            <w:r w:rsidRPr="00AB3793">
              <w:rPr>
                <w:rFonts w:ascii="Calibri" w:hAnsi="Calibri" w:cs="Tahoma"/>
                <w:sz w:val="20"/>
                <w:szCs w:val="20"/>
              </w:rPr>
              <w:t>1855</w:t>
            </w:r>
            <w:r>
              <w:rPr>
                <w:rFonts w:ascii="Calibri" w:hAnsi="Calibri" w:cs="Tahoma"/>
                <w:sz w:val="20"/>
                <w:szCs w:val="20"/>
              </w:rPr>
              <w:t xml:space="preserve"> observations</w:t>
            </w:r>
          </w:p>
          <w:p w14:paraId="4063EF9F" w14:textId="34D587CB" w:rsidR="00AB3793" w:rsidRDefault="00AB3793" w:rsidP="004D2F4B">
            <w:pPr>
              <w:jc w:val="center"/>
              <w:rPr>
                <w:rFonts w:ascii="Calibri" w:hAnsi="Calibri" w:cs="Tahoma"/>
                <w:sz w:val="20"/>
                <w:szCs w:val="20"/>
              </w:rPr>
            </w:pPr>
            <w:r>
              <w:rPr>
                <w:sz w:val="18"/>
                <w:szCs w:val="20"/>
              </w:rPr>
              <w:t xml:space="preserve">596 </w:t>
            </w:r>
            <w:r>
              <w:rPr>
                <w:rFonts w:ascii="Calibri" w:hAnsi="Calibri" w:cs="Tahoma"/>
                <w:sz w:val="20"/>
                <w:szCs w:val="20"/>
              </w:rPr>
              <w:t>participants</w:t>
            </w:r>
          </w:p>
        </w:tc>
        <w:tc>
          <w:tcPr>
            <w:tcW w:w="2965" w:type="dxa"/>
          </w:tcPr>
          <w:p w14:paraId="0072C37D" w14:textId="6AD2ED4F" w:rsidR="00AB3793" w:rsidRDefault="00AB3793" w:rsidP="00490915">
            <w:pPr>
              <w:jc w:val="center"/>
              <w:rPr>
                <w:rFonts w:ascii="Calibri" w:hAnsi="Calibri" w:cs="Tahoma"/>
                <w:sz w:val="20"/>
                <w:szCs w:val="20"/>
              </w:rPr>
            </w:pPr>
            <w:r w:rsidRPr="00AB3793">
              <w:rPr>
                <w:rFonts w:ascii="Calibri" w:hAnsi="Calibri" w:cs="Tahoma"/>
                <w:sz w:val="20"/>
                <w:szCs w:val="20"/>
              </w:rPr>
              <w:t xml:space="preserve">1983 </w:t>
            </w:r>
            <w:r>
              <w:rPr>
                <w:rFonts w:ascii="Calibri" w:hAnsi="Calibri" w:cs="Tahoma"/>
                <w:sz w:val="20"/>
                <w:szCs w:val="20"/>
              </w:rPr>
              <w:t>observations</w:t>
            </w:r>
          </w:p>
          <w:p w14:paraId="54EC8C70" w14:textId="3D1B36CE" w:rsidR="004D2F4B" w:rsidRPr="004D2F4B" w:rsidRDefault="00AB3793" w:rsidP="00490915">
            <w:pPr>
              <w:jc w:val="center"/>
              <w:rPr>
                <w:rFonts w:ascii="Calibri" w:hAnsi="Calibri" w:cs="Tahoma"/>
                <w:sz w:val="20"/>
                <w:szCs w:val="20"/>
              </w:rPr>
            </w:pPr>
            <w:r>
              <w:rPr>
                <w:sz w:val="18"/>
                <w:szCs w:val="20"/>
              </w:rPr>
              <w:t xml:space="preserve">622 </w:t>
            </w:r>
            <w:r>
              <w:rPr>
                <w:rFonts w:ascii="Calibri" w:hAnsi="Calibri" w:cs="Tahoma"/>
                <w:sz w:val="20"/>
                <w:szCs w:val="20"/>
              </w:rPr>
              <w:t>participants</w:t>
            </w:r>
          </w:p>
        </w:tc>
      </w:tr>
      <w:tr w:rsidR="004D2F4B" w14:paraId="58B33033" w14:textId="77777777" w:rsidTr="00AB3793">
        <w:tc>
          <w:tcPr>
            <w:tcW w:w="3993" w:type="dxa"/>
          </w:tcPr>
          <w:p w14:paraId="37E7E551" w14:textId="77777777" w:rsidR="004D2F4B" w:rsidRPr="00D23D54" w:rsidRDefault="004D2F4B" w:rsidP="0025704D">
            <w:pPr>
              <w:tabs>
                <w:tab w:val="left" w:pos="240"/>
                <w:tab w:val="right" w:pos="3777"/>
              </w:tabs>
              <w:autoSpaceDE w:val="0"/>
              <w:autoSpaceDN w:val="0"/>
              <w:adjustRightInd w:val="0"/>
              <w:rPr>
                <w:rFonts w:cs="Tahoma"/>
                <w:sz w:val="18"/>
                <w:szCs w:val="20"/>
              </w:rPr>
            </w:pPr>
          </w:p>
        </w:tc>
        <w:tc>
          <w:tcPr>
            <w:tcW w:w="2965" w:type="dxa"/>
          </w:tcPr>
          <w:p w14:paraId="56552B91" w14:textId="77777777" w:rsidR="004D2F4B" w:rsidRDefault="004D2F4B" w:rsidP="004D2F4B">
            <w:pPr>
              <w:jc w:val="center"/>
              <w:rPr>
                <w:rFonts w:ascii="Calibri" w:hAnsi="Calibri" w:cs="Tahoma"/>
                <w:sz w:val="20"/>
                <w:szCs w:val="20"/>
              </w:rPr>
            </w:pPr>
          </w:p>
        </w:tc>
        <w:tc>
          <w:tcPr>
            <w:tcW w:w="2965" w:type="dxa"/>
          </w:tcPr>
          <w:p w14:paraId="1C753D08" w14:textId="77777777" w:rsidR="004D2F4B" w:rsidRPr="004D2F4B" w:rsidRDefault="004D2F4B" w:rsidP="00490915">
            <w:pPr>
              <w:jc w:val="center"/>
              <w:rPr>
                <w:rFonts w:ascii="Calibri" w:hAnsi="Calibri" w:cs="Tahoma"/>
                <w:sz w:val="20"/>
                <w:szCs w:val="20"/>
              </w:rPr>
            </w:pPr>
          </w:p>
        </w:tc>
      </w:tr>
      <w:tr w:rsidR="00AB3793" w14:paraId="2889AB61" w14:textId="77777777" w:rsidTr="00AB3793">
        <w:tc>
          <w:tcPr>
            <w:tcW w:w="3993" w:type="dxa"/>
          </w:tcPr>
          <w:p w14:paraId="00863CAD" w14:textId="6F46FF4C" w:rsidR="00AB3793" w:rsidRPr="00D23D54" w:rsidRDefault="00AB3793" w:rsidP="00AB3793">
            <w:pPr>
              <w:tabs>
                <w:tab w:val="left" w:pos="240"/>
                <w:tab w:val="right" w:pos="3777"/>
              </w:tabs>
              <w:autoSpaceDE w:val="0"/>
              <w:autoSpaceDN w:val="0"/>
              <w:adjustRightInd w:val="0"/>
              <w:rPr>
                <w:rFonts w:cs="Tahoma"/>
                <w:sz w:val="18"/>
                <w:szCs w:val="20"/>
              </w:rPr>
            </w:pPr>
            <w:r w:rsidRPr="004D2F4B">
              <w:rPr>
                <w:rFonts w:cs="Tahoma"/>
                <w:sz w:val="18"/>
                <w:szCs w:val="20"/>
              </w:rPr>
              <w:t>Parental report of immediate reaction to milk, egg o</w:t>
            </w:r>
            <w:r>
              <w:rPr>
                <w:rFonts w:cs="Tahoma"/>
                <w:sz w:val="18"/>
                <w:szCs w:val="20"/>
              </w:rPr>
              <w:t>r nuts within the previous year</w:t>
            </w:r>
          </w:p>
        </w:tc>
        <w:tc>
          <w:tcPr>
            <w:tcW w:w="2965" w:type="dxa"/>
          </w:tcPr>
          <w:p w14:paraId="0DB0B079" w14:textId="0E912277" w:rsidR="00AB3793" w:rsidRDefault="00AB3793" w:rsidP="00AB3793">
            <w:pPr>
              <w:jc w:val="center"/>
              <w:rPr>
                <w:rFonts w:ascii="Calibri" w:hAnsi="Calibri" w:cs="Tahoma"/>
                <w:sz w:val="20"/>
                <w:szCs w:val="20"/>
              </w:rPr>
            </w:pPr>
            <w:r>
              <w:rPr>
                <w:rFonts w:ascii="Calibri" w:hAnsi="Calibri" w:cs="Tahoma"/>
                <w:sz w:val="20"/>
                <w:szCs w:val="20"/>
              </w:rPr>
              <w:t>1872</w:t>
            </w:r>
            <w:r w:rsidRPr="00AB3793">
              <w:rPr>
                <w:rFonts w:ascii="Calibri" w:hAnsi="Calibri" w:cs="Tahoma"/>
                <w:sz w:val="20"/>
                <w:szCs w:val="20"/>
              </w:rPr>
              <w:t xml:space="preserve"> </w:t>
            </w:r>
            <w:r>
              <w:rPr>
                <w:rFonts w:ascii="Calibri" w:hAnsi="Calibri" w:cs="Tahoma"/>
                <w:sz w:val="20"/>
                <w:szCs w:val="20"/>
              </w:rPr>
              <w:t>observations</w:t>
            </w:r>
          </w:p>
          <w:p w14:paraId="38D26222" w14:textId="534074C2" w:rsidR="00AB3793" w:rsidRDefault="00AB3793" w:rsidP="00AB3793">
            <w:pPr>
              <w:jc w:val="center"/>
              <w:rPr>
                <w:rFonts w:ascii="Calibri" w:hAnsi="Calibri" w:cs="Tahoma"/>
                <w:sz w:val="20"/>
                <w:szCs w:val="20"/>
              </w:rPr>
            </w:pPr>
            <w:r>
              <w:rPr>
                <w:sz w:val="18"/>
                <w:szCs w:val="20"/>
              </w:rPr>
              <w:t xml:space="preserve">596 </w:t>
            </w:r>
            <w:r>
              <w:rPr>
                <w:rFonts w:ascii="Calibri" w:hAnsi="Calibri" w:cs="Tahoma"/>
                <w:sz w:val="20"/>
                <w:szCs w:val="20"/>
              </w:rPr>
              <w:t>participants</w:t>
            </w:r>
          </w:p>
        </w:tc>
        <w:tc>
          <w:tcPr>
            <w:tcW w:w="2965" w:type="dxa"/>
          </w:tcPr>
          <w:p w14:paraId="61F8B5FD" w14:textId="70CDB350" w:rsidR="00AB3793" w:rsidRDefault="00AB3793" w:rsidP="00AB3793">
            <w:pPr>
              <w:jc w:val="center"/>
              <w:rPr>
                <w:rFonts w:ascii="Calibri" w:hAnsi="Calibri" w:cs="Tahoma"/>
                <w:sz w:val="20"/>
                <w:szCs w:val="20"/>
              </w:rPr>
            </w:pPr>
            <w:r>
              <w:rPr>
                <w:rFonts w:ascii="Calibri" w:hAnsi="Calibri" w:cs="Tahoma"/>
                <w:sz w:val="20"/>
                <w:szCs w:val="20"/>
              </w:rPr>
              <w:t>2004</w:t>
            </w:r>
            <w:r w:rsidRPr="00AB3793">
              <w:rPr>
                <w:rFonts w:ascii="Calibri" w:hAnsi="Calibri" w:cs="Tahoma"/>
                <w:sz w:val="20"/>
                <w:szCs w:val="20"/>
              </w:rPr>
              <w:t xml:space="preserve"> </w:t>
            </w:r>
            <w:r>
              <w:rPr>
                <w:rFonts w:ascii="Calibri" w:hAnsi="Calibri" w:cs="Tahoma"/>
                <w:sz w:val="20"/>
                <w:szCs w:val="20"/>
              </w:rPr>
              <w:t>observations</w:t>
            </w:r>
          </w:p>
          <w:p w14:paraId="7A0B8F69" w14:textId="34B9E125" w:rsidR="00AB3793" w:rsidRPr="004D2F4B" w:rsidRDefault="00AB3793" w:rsidP="00AB3793">
            <w:pPr>
              <w:jc w:val="center"/>
              <w:rPr>
                <w:rFonts w:ascii="Calibri" w:hAnsi="Calibri" w:cs="Tahoma"/>
                <w:sz w:val="20"/>
                <w:szCs w:val="20"/>
              </w:rPr>
            </w:pPr>
            <w:r>
              <w:rPr>
                <w:sz w:val="18"/>
                <w:szCs w:val="20"/>
              </w:rPr>
              <w:t xml:space="preserve">622 </w:t>
            </w:r>
            <w:r>
              <w:rPr>
                <w:rFonts w:ascii="Calibri" w:hAnsi="Calibri" w:cs="Tahoma"/>
                <w:sz w:val="20"/>
                <w:szCs w:val="20"/>
              </w:rPr>
              <w:t>participants</w:t>
            </w:r>
          </w:p>
        </w:tc>
      </w:tr>
      <w:tr w:rsidR="00AB3793" w14:paraId="2F6814C1" w14:textId="77777777" w:rsidTr="00AB3793">
        <w:tc>
          <w:tcPr>
            <w:tcW w:w="3993" w:type="dxa"/>
          </w:tcPr>
          <w:p w14:paraId="22BF19B7" w14:textId="2C510A01" w:rsidR="00AB3793" w:rsidRPr="004D2F4B" w:rsidRDefault="00AB3793" w:rsidP="00AB3793">
            <w:pPr>
              <w:tabs>
                <w:tab w:val="left" w:pos="240"/>
                <w:tab w:val="right" w:pos="3777"/>
              </w:tabs>
              <w:autoSpaceDE w:val="0"/>
              <w:autoSpaceDN w:val="0"/>
              <w:adjustRightInd w:val="0"/>
              <w:rPr>
                <w:rFonts w:cs="Tahoma"/>
                <w:sz w:val="18"/>
                <w:szCs w:val="20"/>
              </w:rPr>
            </w:pPr>
          </w:p>
        </w:tc>
        <w:tc>
          <w:tcPr>
            <w:tcW w:w="2965" w:type="dxa"/>
          </w:tcPr>
          <w:p w14:paraId="184A5421" w14:textId="77777777" w:rsidR="00AB3793" w:rsidRDefault="00AB3793" w:rsidP="00AB3793">
            <w:pPr>
              <w:jc w:val="center"/>
              <w:rPr>
                <w:rFonts w:ascii="Calibri" w:hAnsi="Calibri" w:cs="Tahoma"/>
                <w:sz w:val="20"/>
                <w:szCs w:val="20"/>
              </w:rPr>
            </w:pPr>
          </w:p>
        </w:tc>
        <w:tc>
          <w:tcPr>
            <w:tcW w:w="2965" w:type="dxa"/>
          </w:tcPr>
          <w:p w14:paraId="768A36E0" w14:textId="0B0079E5" w:rsidR="00AB3793" w:rsidRPr="004D2F4B" w:rsidRDefault="00AB3793" w:rsidP="00AB3793">
            <w:pPr>
              <w:jc w:val="center"/>
              <w:rPr>
                <w:rFonts w:ascii="Calibri" w:hAnsi="Calibri" w:cs="Tahoma"/>
                <w:sz w:val="20"/>
                <w:szCs w:val="20"/>
              </w:rPr>
            </w:pPr>
          </w:p>
        </w:tc>
      </w:tr>
      <w:tr w:rsidR="00AB3793" w14:paraId="5196638B" w14:textId="77777777" w:rsidTr="00AB3793">
        <w:tc>
          <w:tcPr>
            <w:tcW w:w="3993" w:type="dxa"/>
          </w:tcPr>
          <w:p w14:paraId="44ED794F" w14:textId="425326B3" w:rsidR="00AB3793" w:rsidRPr="004D2F4B" w:rsidRDefault="00AB3793" w:rsidP="00AB3793">
            <w:pPr>
              <w:tabs>
                <w:tab w:val="left" w:pos="240"/>
                <w:tab w:val="right" w:pos="3777"/>
              </w:tabs>
              <w:autoSpaceDE w:val="0"/>
              <w:autoSpaceDN w:val="0"/>
              <w:adjustRightInd w:val="0"/>
              <w:rPr>
                <w:rFonts w:cs="Tahoma"/>
                <w:sz w:val="18"/>
                <w:szCs w:val="20"/>
              </w:rPr>
            </w:pPr>
            <w:r w:rsidRPr="004D2F4B">
              <w:rPr>
                <w:rFonts w:cs="Tahoma"/>
                <w:sz w:val="18"/>
                <w:szCs w:val="20"/>
              </w:rPr>
              <w:t>Parental report of a clinical diagnosis of food allergy within the previous year</w:t>
            </w:r>
          </w:p>
        </w:tc>
        <w:tc>
          <w:tcPr>
            <w:tcW w:w="2965" w:type="dxa"/>
          </w:tcPr>
          <w:p w14:paraId="2AE7B9BF" w14:textId="21C0D4B7" w:rsidR="00AB3793" w:rsidRDefault="00AB3793" w:rsidP="00AB3793">
            <w:pPr>
              <w:jc w:val="center"/>
              <w:rPr>
                <w:rFonts w:ascii="Calibri" w:hAnsi="Calibri" w:cs="Tahoma"/>
                <w:sz w:val="20"/>
                <w:szCs w:val="20"/>
              </w:rPr>
            </w:pPr>
            <w:r w:rsidRPr="00AB3793">
              <w:rPr>
                <w:rFonts w:ascii="Calibri" w:hAnsi="Calibri" w:cs="Tahoma"/>
                <w:sz w:val="20"/>
                <w:szCs w:val="20"/>
              </w:rPr>
              <w:t xml:space="preserve">2381 </w:t>
            </w:r>
            <w:r>
              <w:rPr>
                <w:rFonts w:ascii="Calibri" w:hAnsi="Calibri" w:cs="Tahoma"/>
                <w:sz w:val="20"/>
                <w:szCs w:val="20"/>
              </w:rPr>
              <w:t>observations</w:t>
            </w:r>
          </w:p>
          <w:p w14:paraId="6553AE3A" w14:textId="68C81868" w:rsidR="00AB3793" w:rsidRDefault="00AB3793" w:rsidP="00AB3793">
            <w:pPr>
              <w:jc w:val="center"/>
              <w:rPr>
                <w:rFonts w:ascii="Calibri" w:hAnsi="Calibri" w:cs="Tahoma"/>
                <w:sz w:val="20"/>
                <w:szCs w:val="20"/>
              </w:rPr>
            </w:pPr>
            <w:r>
              <w:rPr>
                <w:sz w:val="18"/>
                <w:szCs w:val="20"/>
              </w:rPr>
              <w:t>609</w:t>
            </w:r>
            <w:r>
              <w:rPr>
                <w:rFonts w:ascii="Calibri" w:hAnsi="Calibri" w:cs="Tahoma"/>
                <w:sz w:val="20"/>
                <w:szCs w:val="20"/>
              </w:rPr>
              <w:t xml:space="preserve"> participants</w:t>
            </w:r>
          </w:p>
        </w:tc>
        <w:tc>
          <w:tcPr>
            <w:tcW w:w="2965" w:type="dxa"/>
          </w:tcPr>
          <w:p w14:paraId="70F191C3" w14:textId="780C8B5E" w:rsidR="00AB3793" w:rsidRDefault="00AB3793" w:rsidP="00AB3793">
            <w:pPr>
              <w:jc w:val="center"/>
              <w:rPr>
                <w:rFonts w:ascii="Calibri" w:hAnsi="Calibri" w:cs="Tahoma"/>
                <w:sz w:val="20"/>
                <w:szCs w:val="20"/>
              </w:rPr>
            </w:pPr>
            <w:r w:rsidRPr="00AB3793">
              <w:rPr>
                <w:rFonts w:ascii="Calibri" w:hAnsi="Calibri" w:cs="Tahoma"/>
                <w:sz w:val="20"/>
                <w:szCs w:val="20"/>
              </w:rPr>
              <w:t xml:space="preserve">2514 </w:t>
            </w:r>
            <w:r>
              <w:rPr>
                <w:rFonts w:ascii="Calibri" w:hAnsi="Calibri" w:cs="Tahoma"/>
                <w:sz w:val="20"/>
                <w:szCs w:val="20"/>
              </w:rPr>
              <w:t>observations</w:t>
            </w:r>
          </w:p>
          <w:p w14:paraId="564FE1CD" w14:textId="15A01B19" w:rsidR="00AB3793" w:rsidRPr="004D2F4B" w:rsidRDefault="00AB3793" w:rsidP="00AB3793">
            <w:pPr>
              <w:jc w:val="center"/>
              <w:rPr>
                <w:rFonts w:ascii="Calibri" w:hAnsi="Calibri" w:cs="Tahoma"/>
                <w:sz w:val="20"/>
                <w:szCs w:val="20"/>
              </w:rPr>
            </w:pPr>
            <w:r>
              <w:rPr>
                <w:sz w:val="18"/>
                <w:szCs w:val="20"/>
              </w:rPr>
              <w:t xml:space="preserve">632 </w:t>
            </w:r>
            <w:r>
              <w:rPr>
                <w:rFonts w:ascii="Calibri" w:hAnsi="Calibri" w:cs="Tahoma"/>
                <w:sz w:val="20"/>
                <w:szCs w:val="20"/>
              </w:rPr>
              <w:t>participants</w:t>
            </w:r>
          </w:p>
        </w:tc>
      </w:tr>
      <w:tr w:rsidR="00AB3793" w14:paraId="507D0E9E" w14:textId="77777777" w:rsidTr="00AB3793">
        <w:tc>
          <w:tcPr>
            <w:tcW w:w="3993" w:type="dxa"/>
          </w:tcPr>
          <w:p w14:paraId="086750A3" w14:textId="294BB051" w:rsidR="00AB3793" w:rsidRPr="004D2F4B" w:rsidRDefault="00AB3793" w:rsidP="00AB3793">
            <w:pPr>
              <w:tabs>
                <w:tab w:val="left" w:pos="240"/>
                <w:tab w:val="right" w:pos="3777"/>
              </w:tabs>
              <w:autoSpaceDE w:val="0"/>
              <w:autoSpaceDN w:val="0"/>
              <w:adjustRightInd w:val="0"/>
              <w:rPr>
                <w:rFonts w:cs="Tahoma"/>
                <w:sz w:val="18"/>
                <w:szCs w:val="20"/>
              </w:rPr>
            </w:pPr>
          </w:p>
        </w:tc>
        <w:tc>
          <w:tcPr>
            <w:tcW w:w="2965" w:type="dxa"/>
          </w:tcPr>
          <w:p w14:paraId="7E8D2A18" w14:textId="77777777" w:rsidR="00AB3793" w:rsidRDefault="00AB3793" w:rsidP="00AB3793">
            <w:pPr>
              <w:jc w:val="center"/>
              <w:rPr>
                <w:rFonts w:ascii="Calibri" w:hAnsi="Calibri" w:cs="Tahoma"/>
                <w:sz w:val="20"/>
                <w:szCs w:val="20"/>
              </w:rPr>
            </w:pPr>
          </w:p>
        </w:tc>
        <w:tc>
          <w:tcPr>
            <w:tcW w:w="2965" w:type="dxa"/>
          </w:tcPr>
          <w:p w14:paraId="0894D35B" w14:textId="657DE1C8" w:rsidR="00AB3793" w:rsidRPr="004D2F4B" w:rsidRDefault="00AB3793" w:rsidP="00AB3793">
            <w:pPr>
              <w:jc w:val="center"/>
              <w:rPr>
                <w:rFonts w:ascii="Calibri" w:hAnsi="Calibri" w:cs="Tahoma"/>
                <w:sz w:val="20"/>
                <w:szCs w:val="20"/>
              </w:rPr>
            </w:pPr>
          </w:p>
        </w:tc>
      </w:tr>
      <w:tr w:rsidR="00AB3793" w14:paraId="2E1494F7" w14:textId="77777777" w:rsidTr="00AB3793">
        <w:tc>
          <w:tcPr>
            <w:tcW w:w="3993" w:type="dxa"/>
          </w:tcPr>
          <w:p w14:paraId="18AF3DD8" w14:textId="6F4C8457" w:rsidR="00AB3793" w:rsidRPr="004D2F4B" w:rsidRDefault="00AB3793" w:rsidP="00AB3793">
            <w:pPr>
              <w:rPr>
                <w:rFonts w:cs="Tahoma"/>
                <w:sz w:val="18"/>
                <w:szCs w:val="20"/>
              </w:rPr>
            </w:pPr>
            <w:r w:rsidRPr="00AB3793">
              <w:rPr>
                <w:rFonts w:ascii="Calibri" w:hAnsi="Calibri" w:cs="Tahoma"/>
                <w:i/>
                <w:sz w:val="20"/>
                <w:szCs w:val="20"/>
              </w:rPr>
              <w:t>Table IV</w:t>
            </w:r>
          </w:p>
        </w:tc>
        <w:tc>
          <w:tcPr>
            <w:tcW w:w="2965" w:type="dxa"/>
          </w:tcPr>
          <w:p w14:paraId="15E4431D" w14:textId="77777777" w:rsidR="00AB3793" w:rsidRDefault="00AB3793" w:rsidP="00AB3793">
            <w:pPr>
              <w:jc w:val="center"/>
              <w:rPr>
                <w:rFonts w:ascii="Calibri" w:hAnsi="Calibri" w:cs="Tahoma"/>
                <w:sz w:val="20"/>
                <w:szCs w:val="20"/>
              </w:rPr>
            </w:pPr>
          </w:p>
        </w:tc>
        <w:tc>
          <w:tcPr>
            <w:tcW w:w="2965" w:type="dxa"/>
          </w:tcPr>
          <w:p w14:paraId="70EF797D" w14:textId="5F162313" w:rsidR="00AB3793" w:rsidRPr="004D2F4B" w:rsidRDefault="00AB3793" w:rsidP="00AB3793">
            <w:pPr>
              <w:jc w:val="center"/>
              <w:rPr>
                <w:rFonts w:ascii="Calibri" w:hAnsi="Calibri" w:cs="Tahoma"/>
                <w:sz w:val="20"/>
                <w:szCs w:val="20"/>
              </w:rPr>
            </w:pPr>
          </w:p>
        </w:tc>
      </w:tr>
      <w:tr w:rsidR="00AB3793" w14:paraId="31C89D00" w14:textId="77777777" w:rsidTr="00AB3793">
        <w:tc>
          <w:tcPr>
            <w:tcW w:w="3993" w:type="dxa"/>
          </w:tcPr>
          <w:p w14:paraId="2C9D9A38" w14:textId="2EDC9392" w:rsidR="00AB3793" w:rsidRPr="004D2F4B" w:rsidRDefault="00AB3793" w:rsidP="00AB3793">
            <w:pPr>
              <w:tabs>
                <w:tab w:val="left" w:pos="240"/>
                <w:tab w:val="right" w:pos="3777"/>
              </w:tabs>
              <w:autoSpaceDE w:val="0"/>
              <w:autoSpaceDN w:val="0"/>
              <w:adjustRightInd w:val="0"/>
              <w:rPr>
                <w:rFonts w:cs="Tahoma"/>
                <w:sz w:val="18"/>
                <w:szCs w:val="20"/>
              </w:rPr>
            </w:pPr>
            <w:r w:rsidRPr="00D23D54">
              <w:rPr>
                <w:rFonts w:cs="Tahoma"/>
                <w:sz w:val="18"/>
                <w:szCs w:val="18"/>
              </w:rPr>
              <w:t>Parental report of wheezing or whistling in the chest in previous year</w:t>
            </w:r>
          </w:p>
        </w:tc>
        <w:tc>
          <w:tcPr>
            <w:tcW w:w="2965" w:type="dxa"/>
          </w:tcPr>
          <w:p w14:paraId="65B5C670" w14:textId="3365672B" w:rsidR="00AB3793" w:rsidRDefault="00AB3793" w:rsidP="00AB3793">
            <w:pPr>
              <w:jc w:val="center"/>
              <w:rPr>
                <w:sz w:val="18"/>
                <w:szCs w:val="20"/>
              </w:rPr>
            </w:pPr>
            <w:r>
              <w:rPr>
                <w:sz w:val="18"/>
                <w:szCs w:val="20"/>
              </w:rPr>
              <w:t xml:space="preserve">1936 </w:t>
            </w:r>
            <w:r>
              <w:rPr>
                <w:rFonts w:ascii="Calibri" w:hAnsi="Calibri" w:cs="Tahoma"/>
                <w:sz w:val="20"/>
                <w:szCs w:val="20"/>
              </w:rPr>
              <w:t>observations</w:t>
            </w:r>
          </w:p>
          <w:p w14:paraId="353218BB" w14:textId="3C35F410" w:rsidR="00AB3793" w:rsidRDefault="00AB3793" w:rsidP="00AB3793">
            <w:pPr>
              <w:jc w:val="center"/>
              <w:rPr>
                <w:rFonts w:ascii="Calibri" w:hAnsi="Calibri" w:cs="Tahoma"/>
                <w:sz w:val="20"/>
                <w:szCs w:val="20"/>
              </w:rPr>
            </w:pPr>
            <w:r>
              <w:rPr>
                <w:sz w:val="18"/>
                <w:szCs w:val="20"/>
              </w:rPr>
              <w:t xml:space="preserve">596 </w:t>
            </w:r>
            <w:r>
              <w:rPr>
                <w:rFonts w:ascii="Calibri" w:hAnsi="Calibri" w:cs="Tahoma"/>
                <w:sz w:val="20"/>
                <w:szCs w:val="20"/>
              </w:rPr>
              <w:t>participants</w:t>
            </w:r>
          </w:p>
        </w:tc>
        <w:tc>
          <w:tcPr>
            <w:tcW w:w="2965" w:type="dxa"/>
          </w:tcPr>
          <w:p w14:paraId="749256BB" w14:textId="5ADDED39" w:rsidR="00AB3793" w:rsidRDefault="00AB3793" w:rsidP="00AB3793">
            <w:pPr>
              <w:jc w:val="center"/>
              <w:rPr>
                <w:rFonts w:ascii="Calibri" w:hAnsi="Calibri" w:cs="Tahoma"/>
                <w:sz w:val="20"/>
                <w:szCs w:val="20"/>
              </w:rPr>
            </w:pPr>
            <w:r w:rsidRPr="00AB3793">
              <w:rPr>
                <w:rFonts w:ascii="Calibri" w:hAnsi="Calibri" w:cs="Tahoma"/>
                <w:sz w:val="20"/>
                <w:szCs w:val="20"/>
              </w:rPr>
              <w:t xml:space="preserve">2061 </w:t>
            </w:r>
            <w:r>
              <w:rPr>
                <w:rFonts w:ascii="Calibri" w:hAnsi="Calibri" w:cs="Tahoma"/>
                <w:sz w:val="20"/>
                <w:szCs w:val="20"/>
              </w:rPr>
              <w:t>observations</w:t>
            </w:r>
          </w:p>
          <w:p w14:paraId="5DEB9539" w14:textId="7B2FC1F7" w:rsidR="00AB3793" w:rsidRPr="004D2F4B" w:rsidRDefault="00AB3793" w:rsidP="00AB3793">
            <w:pPr>
              <w:jc w:val="center"/>
              <w:rPr>
                <w:rFonts w:ascii="Calibri" w:hAnsi="Calibri" w:cs="Tahoma"/>
                <w:sz w:val="20"/>
                <w:szCs w:val="20"/>
              </w:rPr>
            </w:pPr>
            <w:r>
              <w:rPr>
                <w:sz w:val="18"/>
                <w:szCs w:val="20"/>
              </w:rPr>
              <w:t xml:space="preserve">623 </w:t>
            </w:r>
            <w:r>
              <w:rPr>
                <w:rFonts w:ascii="Calibri" w:hAnsi="Calibri" w:cs="Tahoma"/>
                <w:sz w:val="20"/>
                <w:szCs w:val="20"/>
              </w:rPr>
              <w:t>participants</w:t>
            </w:r>
          </w:p>
        </w:tc>
      </w:tr>
      <w:tr w:rsidR="00AB3793" w14:paraId="6C3D2B25" w14:textId="77777777" w:rsidTr="00AB3793">
        <w:tc>
          <w:tcPr>
            <w:tcW w:w="3993" w:type="dxa"/>
          </w:tcPr>
          <w:p w14:paraId="699D63AA" w14:textId="518AC01C" w:rsidR="00AB3793" w:rsidRPr="004D2F4B" w:rsidRDefault="00AB3793" w:rsidP="00AB3793">
            <w:pPr>
              <w:tabs>
                <w:tab w:val="left" w:pos="240"/>
                <w:tab w:val="right" w:pos="3777"/>
              </w:tabs>
              <w:autoSpaceDE w:val="0"/>
              <w:autoSpaceDN w:val="0"/>
              <w:adjustRightInd w:val="0"/>
              <w:rPr>
                <w:rFonts w:cs="Tahoma"/>
                <w:sz w:val="18"/>
                <w:szCs w:val="20"/>
              </w:rPr>
            </w:pPr>
          </w:p>
        </w:tc>
        <w:tc>
          <w:tcPr>
            <w:tcW w:w="2965" w:type="dxa"/>
          </w:tcPr>
          <w:p w14:paraId="5605718F" w14:textId="77777777" w:rsidR="00AB3793" w:rsidRDefault="00AB3793" w:rsidP="00AB3793">
            <w:pPr>
              <w:jc w:val="center"/>
              <w:rPr>
                <w:rFonts w:ascii="Calibri" w:hAnsi="Calibri" w:cs="Tahoma"/>
                <w:sz w:val="20"/>
                <w:szCs w:val="20"/>
              </w:rPr>
            </w:pPr>
          </w:p>
        </w:tc>
        <w:tc>
          <w:tcPr>
            <w:tcW w:w="2965" w:type="dxa"/>
          </w:tcPr>
          <w:p w14:paraId="29E25E02" w14:textId="70539512" w:rsidR="00AB3793" w:rsidRPr="004D2F4B" w:rsidRDefault="00AB3793" w:rsidP="00AB3793">
            <w:pPr>
              <w:jc w:val="center"/>
              <w:rPr>
                <w:rFonts w:ascii="Calibri" w:hAnsi="Calibri" w:cs="Tahoma"/>
                <w:sz w:val="20"/>
                <w:szCs w:val="20"/>
              </w:rPr>
            </w:pPr>
          </w:p>
        </w:tc>
      </w:tr>
      <w:tr w:rsidR="00AB3793" w14:paraId="4731CFB9" w14:textId="77777777" w:rsidTr="00AB3793">
        <w:tc>
          <w:tcPr>
            <w:tcW w:w="3993" w:type="dxa"/>
          </w:tcPr>
          <w:p w14:paraId="2FA489F4" w14:textId="2BFEFD99" w:rsidR="00AB3793" w:rsidRPr="004D2F4B" w:rsidRDefault="00AB3793" w:rsidP="00AB3793">
            <w:pPr>
              <w:tabs>
                <w:tab w:val="left" w:pos="240"/>
                <w:tab w:val="right" w:pos="3777"/>
              </w:tabs>
              <w:autoSpaceDE w:val="0"/>
              <w:autoSpaceDN w:val="0"/>
              <w:adjustRightInd w:val="0"/>
              <w:rPr>
                <w:rFonts w:cs="Tahoma"/>
                <w:sz w:val="18"/>
                <w:szCs w:val="20"/>
              </w:rPr>
            </w:pPr>
            <w:r w:rsidRPr="00D23D54">
              <w:rPr>
                <w:rFonts w:cs="Tahoma"/>
                <w:sz w:val="18"/>
                <w:szCs w:val="18"/>
              </w:rPr>
              <w:t>Parental report of allergic rhinitis symptoms in previous year</w:t>
            </w:r>
          </w:p>
        </w:tc>
        <w:tc>
          <w:tcPr>
            <w:tcW w:w="2965" w:type="dxa"/>
          </w:tcPr>
          <w:p w14:paraId="4C5A03CE" w14:textId="2660E2B5" w:rsidR="00AB3793" w:rsidRDefault="00AB3793" w:rsidP="00AB3793">
            <w:pPr>
              <w:jc w:val="center"/>
              <w:rPr>
                <w:rFonts w:ascii="Calibri" w:hAnsi="Calibri" w:cs="Tahoma"/>
                <w:sz w:val="20"/>
                <w:szCs w:val="20"/>
              </w:rPr>
            </w:pPr>
            <w:r w:rsidRPr="00AB3793">
              <w:rPr>
                <w:rFonts w:ascii="Calibri" w:hAnsi="Calibri" w:cs="Tahoma"/>
                <w:sz w:val="20"/>
                <w:szCs w:val="20"/>
              </w:rPr>
              <w:t xml:space="preserve">1937 </w:t>
            </w:r>
            <w:r>
              <w:rPr>
                <w:rFonts w:ascii="Calibri" w:hAnsi="Calibri" w:cs="Tahoma"/>
                <w:sz w:val="20"/>
                <w:szCs w:val="20"/>
              </w:rPr>
              <w:t>observations</w:t>
            </w:r>
          </w:p>
          <w:p w14:paraId="564D1ED8" w14:textId="62F9F4DC" w:rsidR="00AB3793" w:rsidRDefault="00AB3793" w:rsidP="00AB3793">
            <w:pPr>
              <w:jc w:val="center"/>
              <w:rPr>
                <w:rFonts w:ascii="Calibri" w:hAnsi="Calibri" w:cs="Tahoma"/>
                <w:sz w:val="20"/>
                <w:szCs w:val="20"/>
              </w:rPr>
            </w:pPr>
            <w:r>
              <w:rPr>
                <w:sz w:val="18"/>
                <w:szCs w:val="20"/>
              </w:rPr>
              <w:t xml:space="preserve">595 </w:t>
            </w:r>
            <w:r>
              <w:rPr>
                <w:rFonts w:ascii="Calibri" w:hAnsi="Calibri" w:cs="Tahoma"/>
                <w:sz w:val="20"/>
                <w:szCs w:val="20"/>
              </w:rPr>
              <w:t>participants</w:t>
            </w:r>
          </w:p>
        </w:tc>
        <w:tc>
          <w:tcPr>
            <w:tcW w:w="2965" w:type="dxa"/>
          </w:tcPr>
          <w:p w14:paraId="142E4F0E" w14:textId="2D3A2F06" w:rsidR="00AB3793" w:rsidRDefault="00AB3793" w:rsidP="00AB3793">
            <w:pPr>
              <w:jc w:val="center"/>
              <w:rPr>
                <w:rFonts w:ascii="Calibri" w:hAnsi="Calibri" w:cs="Tahoma"/>
                <w:sz w:val="20"/>
                <w:szCs w:val="20"/>
              </w:rPr>
            </w:pPr>
            <w:r w:rsidRPr="00AB3793">
              <w:rPr>
                <w:rFonts w:ascii="Calibri" w:hAnsi="Calibri" w:cs="Tahoma"/>
                <w:sz w:val="20"/>
                <w:szCs w:val="20"/>
              </w:rPr>
              <w:t xml:space="preserve">2058 </w:t>
            </w:r>
            <w:r>
              <w:rPr>
                <w:rFonts w:ascii="Calibri" w:hAnsi="Calibri" w:cs="Tahoma"/>
                <w:sz w:val="20"/>
                <w:szCs w:val="20"/>
              </w:rPr>
              <w:t>observations</w:t>
            </w:r>
          </w:p>
          <w:p w14:paraId="67A53010" w14:textId="17BD1787" w:rsidR="00AB3793" w:rsidRPr="004D2F4B" w:rsidRDefault="00AB3793" w:rsidP="00AB3793">
            <w:pPr>
              <w:jc w:val="center"/>
              <w:rPr>
                <w:rFonts w:ascii="Calibri" w:hAnsi="Calibri" w:cs="Tahoma"/>
                <w:sz w:val="20"/>
                <w:szCs w:val="20"/>
              </w:rPr>
            </w:pPr>
            <w:r>
              <w:rPr>
                <w:sz w:val="18"/>
                <w:szCs w:val="20"/>
              </w:rPr>
              <w:t xml:space="preserve">623 </w:t>
            </w:r>
            <w:r>
              <w:rPr>
                <w:rFonts w:ascii="Calibri" w:hAnsi="Calibri" w:cs="Tahoma"/>
                <w:sz w:val="20"/>
                <w:szCs w:val="20"/>
              </w:rPr>
              <w:t>participants</w:t>
            </w:r>
          </w:p>
        </w:tc>
      </w:tr>
      <w:tr w:rsidR="00AB3793" w14:paraId="2E943957" w14:textId="77777777" w:rsidTr="00AB3793">
        <w:tc>
          <w:tcPr>
            <w:tcW w:w="3993" w:type="dxa"/>
            <w:tcBorders>
              <w:bottom w:val="single" w:sz="4" w:space="0" w:color="auto"/>
            </w:tcBorders>
          </w:tcPr>
          <w:p w14:paraId="2D01E6D7" w14:textId="76EFD783" w:rsidR="00AB3793" w:rsidRPr="004D2F4B" w:rsidRDefault="00AB3793" w:rsidP="00AB3793">
            <w:pPr>
              <w:tabs>
                <w:tab w:val="left" w:pos="240"/>
                <w:tab w:val="right" w:pos="3777"/>
              </w:tabs>
              <w:autoSpaceDE w:val="0"/>
              <w:autoSpaceDN w:val="0"/>
              <w:adjustRightInd w:val="0"/>
              <w:rPr>
                <w:rFonts w:cs="Tahoma"/>
                <w:sz w:val="18"/>
                <w:szCs w:val="20"/>
              </w:rPr>
            </w:pPr>
          </w:p>
        </w:tc>
        <w:tc>
          <w:tcPr>
            <w:tcW w:w="2965" w:type="dxa"/>
            <w:tcBorders>
              <w:bottom w:val="single" w:sz="4" w:space="0" w:color="auto"/>
            </w:tcBorders>
          </w:tcPr>
          <w:p w14:paraId="3D018904" w14:textId="77777777" w:rsidR="00AB3793" w:rsidRDefault="00AB3793" w:rsidP="00AB3793">
            <w:pPr>
              <w:jc w:val="center"/>
              <w:rPr>
                <w:rFonts w:ascii="Calibri" w:hAnsi="Calibri" w:cs="Tahoma"/>
                <w:sz w:val="20"/>
                <w:szCs w:val="20"/>
              </w:rPr>
            </w:pPr>
          </w:p>
        </w:tc>
        <w:tc>
          <w:tcPr>
            <w:tcW w:w="2965" w:type="dxa"/>
            <w:tcBorders>
              <w:bottom w:val="single" w:sz="4" w:space="0" w:color="auto"/>
            </w:tcBorders>
          </w:tcPr>
          <w:p w14:paraId="7EF24028" w14:textId="676AF498" w:rsidR="00AB3793" w:rsidRPr="004D2F4B" w:rsidRDefault="00AB3793" w:rsidP="00AB3793">
            <w:pPr>
              <w:jc w:val="center"/>
              <w:rPr>
                <w:rFonts w:ascii="Calibri" w:hAnsi="Calibri" w:cs="Tahoma"/>
                <w:sz w:val="20"/>
                <w:szCs w:val="20"/>
              </w:rPr>
            </w:pPr>
          </w:p>
        </w:tc>
      </w:tr>
    </w:tbl>
    <w:p w14:paraId="287962B7" w14:textId="77777777" w:rsidR="00192794" w:rsidRPr="00192794" w:rsidRDefault="00192794" w:rsidP="00192794"/>
    <w:p w14:paraId="247E666B" w14:textId="77777777" w:rsidR="00192794" w:rsidRDefault="00192794" w:rsidP="001A74D1">
      <w:pPr>
        <w:pStyle w:val="Caption"/>
        <w:rPr>
          <w:rFonts w:ascii="Verdana" w:eastAsiaTheme="minorHAnsi" w:hAnsi="Verdana"/>
          <w:b w:val="0"/>
          <w:bCs w:val="0"/>
          <w:i/>
          <w:iCs/>
          <w:color w:val="44546A" w:themeColor="text2"/>
          <w:sz w:val="18"/>
          <w:lang w:bidi="ar-SA"/>
        </w:rPr>
      </w:pPr>
    </w:p>
    <w:p w14:paraId="1C60F691" w14:textId="77777777" w:rsidR="00192794" w:rsidRDefault="00192794" w:rsidP="001A74D1">
      <w:pPr>
        <w:pStyle w:val="Caption"/>
        <w:rPr>
          <w:rFonts w:ascii="Verdana" w:eastAsiaTheme="minorHAnsi" w:hAnsi="Verdana"/>
          <w:b w:val="0"/>
          <w:bCs w:val="0"/>
          <w:i/>
          <w:iCs/>
          <w:color w:val="44546A" w:themeColor="text2"/>
          <w:sz w:val="18"/>
          <w:lang w:bidi="ar-SA"/>
        </w:rPr>
      </w:pPr>
    </w:p>
    <w:p w14:paraId="66342F31" w14:textId="77777777" w:rsidR="00B50A0B" w:rsidRDefault="00B50A0B">
      <w:pPr>
        <w:rPr>
          <w:rFonts w:ascii="Verdana" w:hAnsi="Verdana"/>
          <w:i/>
          <w:iCs/>
          <w:color w:val="44546A" w:themeColor="text2"/>
          <w:sz w:val="18"/>
          <w:szCs w:val="18"/>
        </w:rPr>
      </w:pPr>
      <w:r>
        <w:rPr>
          <w:rFonts w:ascii="Verdana" w:hAnsi="Verdana"/>
          <w:b/>
          <w:bCs/>
          <w:i/>
          <w:iCs/>
          <w:color w:val="44546A" w:themeColor="text2"/>
          <w:sz w:val="18"/>
        </w:rPr>
        <w:br w:type="page"/>
      </w:r>
    </w:p>
    <w:p w14:paraId="668B2A63" w14:textId="3AA850E5" w:rsidR="001A74D1" w:rsidRPr="001A74D1" w:rsidRDefault="00FA325B" w:rsidP="001A74D1">
      <w:pPr>
        <w:pStyle w:val="Caption"/>
        <w:rPr>
          <w:rFonts w:ascii="Verdana" w:eastAsiaTheme="minorHAnsi" w:hAnsi="Verdana"/>
          <w:b w:val="0"/>
          <w:bCs w:val="0"/>
          <w:i/>
          <w:iCs/>
          <w:color w:val="44546A" w:themeColor="text2"/>
          <w:sz w:val="18"/>
          <w:lang w:bidi="ar-SA"/>
        </w:rPr>
      </w:pPr>
      <w:r>
        <w:rPr>
          <w:rFonts w:ascii="Verdana" w:eastAsiaTheme="minorHAnsi" w:hAnsi="Verdana"/>
          <w:b w:val="0"/>
          <w:bCs w:val="0"/>
          <w:i/>
          <w:iCs/>
          <w:color w:val="44546A" w:themeColor="text2"/>
          <w:sz w:val="18"/>
          <w:lang w:bidi="ar-SA"/>
        </w:rPr>
        <w:lastRenderedPageBreak/>
        <w:t>Ta</w:t>
      </w:r>
      <w:r w:rsidR="007244D6">
        <w:rPr>
          <w:rFonts w:ascii="Verdana" w:eastAsiaTheme="minorHAnsi" w:hAnsi="Verdana"/>
          <w:b w:val="0"/>
          <w:bCs w:val="0"/>
          <w:i/>
          <w:iCs/>
          <w:color w:val="44546A" w:themeColor="text2"/>
          <w:sz w:val="18"/>
          <w:lang w:bidi="ar-SA"/>
        </w:rPr>
        <w:t>ble S</w:t>
      </w:r>
      <w:r>
        <w:rPr>
          <w:rFonts w:ascii="Verdana" w:eastAsiaTheme="minorHAnsi" w:hAnsi="Verdana"/>
          <w:b w:val="0"/>
          <w:bCs w:val="0"/>
          <w:i/>
          <w:iCs/>
          <w:color w:val="44546A" w:themeColor="text2"/>
          <w:sz w:val="18"/>
          <w:lang w:bidi="ar-SA"/>
        </w:rPr>
        <w:t>2</w:t>
      </w:r>
      <w:r w:rsidR="001A74D1">
        <w:rPr>
          <w:rFonts w:ascii="Verdana" w:eastAsiaTheme="minorHAnsi" w:hAnsi="Verdana"/>
          <w:b w:val="0"/>
          <w:bCs w:val="0"/>
          <w:i/>
          <w:iCs/>
          <w:color w:val="44546A" w:themeColor="text2"/>
          <w:sz w:val="18"/>
          <w:lang w:bidi="ar-SA"/>
        </w:rPr>
        <w:t xml:space="preserve">: </w:t>
      </w:r>
      <w:r w:rsidR="001A74D1" w:rsidRPr="001A74D1">
        <w:rPr>
          <w:rFonts w:ascii="Verdana" w:eastAsiaTheme="minorHAnsi" w:hAnsi="Verdana"/>
          <w:b w:val="0"/>
          <w:bCs w:val="0"/>
          <w:i/>
          <w:iCs/>
          <w:color w:val="44546A" w:themeColor="text2"/>
          <w:sz w:val="18"/>
          <w:lang w:bidi="ar-SA"/>
        </w:rPr>
        <w:t xml:space="preserve">Any parental report that </w:t>
      </w:r>
      <w:r w:rsidR="001A74D1">
        <w:rPr>
          <w:rFonts w:ascii="Verdana" w:eastAsiaTheme="minorHAnsi" w:hAnsi="Verdana"/>
          <w:b w:val="0"/>
          <w:bCs w:val="0"/>
          <w:i/>
          <w:iCs/>
          <w:color w:val="44546A" w:themeColor="text2"/>
          <w:sz w:val="18"/>
          <w:lang w:bidi="ar-SA"/>
        </w:rPr>
        <w:t>in their opinion their child had</w:t>
      </w:r>
      <w:r w:rsidR="001A74D1" w:rsidRPr="001A74D1">
        <w:rPr>
          <w:rFonts w:ascii="Verdana" w:eastAsiaTheme="minorHAnsi" w:hAnsi="Verdana"/>
          <w:b w:val="0"/>
          <w:bCs w:val="0"/>
          <w:i/>
          <w:iCs/>
          <w:color w:val="44546A" w:themeColor="text2"/>
          <w:sz w:val="18"/>
          <w:lang w:bidi="ar-SA"/>
        </w:rPr>
        <w:t xml:space="preserve"> </w:t>
      </w:r>
      <w:r w:rsidR="0041603B">
        <w:rPr>
          <w:rFonts w:ascii="Verdana" w:eastAsiaTheme="minorHAnsi" w:hAnsi="Verdana"/>
          <w:b w:val="0"/>
          <w:bCs w:val="0"/>
          <w:i/>
          <w:iCs/>
          <w:color w:val="44546A" w:themeColor="text2"/>
          <w:sz w:val="18"/>
          <w:lang w:bidi="ar-SA"/>
        </w:rPr>
        <w:t>AD</w:t>
      </w:r>
      <w:r w:rsidR="001A74D1" w:rsidRPr="001A74D1">
        <w:rPr>
          <w:rFonts w:ascii="Verdana" w:eastAsiaTheme="minorHAnsi" w:hAnsi="Verdana"/>
          <w:b w:val="0"/>
          <w:bCs w:val="0"/>
          <w:i/>
          <w:iCs/>
          <w:color w:val="44546A" w:themeColor="text2"/>
          <w:sz w:val="18"/>
          <w:lang w:bidi="ar-SA"/>
        </w:rPr>
        <w:t xml:space="preserve"> at 3, 6, 12, 18</w:t>
      </w:r>
      <w:r w:rsidR="008C6D72">
        <w:rPr>
          <w:rFonts w:ascii="Verdana" w:eastAsiaTheme="minorHAnsi" w:hAnsi="Verdana"/>
          <w:b w:val="0"/>
          <w:bCs w:val="0"/>
          <w:i/>
          <w:iCs/>
          <w:color w:val="44546A" w:themeColor="text2"/>
          <w:sz w:val="18"/>
          <w:lang w:bidi="ar-SA"/>
        </w:rPr>
        <w:t xml:space="preserve"> months, 2</w:t>
      </w:r>
      <w:r w:rsidR="001A74D1" w:rsidRPr="001A74D1">
        <w:rPr>
          <w:rFonts w:ascii="Verdana" w:eastAsiaTheme="minorHAnsi" w:hAnsi="Verdana"/>
          <w:b w:val="0"/>
          <w:bCs w:val="0"/>
          <w:i/>
          <w:iCs/>
          <w:color w:val="44546A" w:themeColor="text2"/>
          <w:sz w:val="18"/>
          <w:lang w:bidi="ar-SA"/>
        </w:rPr>
        <w:t>, 3</w:t>
      </w:r>
      <w:r w:rsidR="008C6D72">
        <w:rPr>
          <w:rFonts w:ascii="Verdana" w:eastAsiaTheme="minorHAnsi" w:hAnsi="Verdana"/>
          <w:b w:val="0"/>
          <w:bCs w:val="0"/>
          <w:i/>
          <w:iCs/>
          <w:color w:val="44546A" w:themeColor="text2"/>
          <w:sz w:val="18"/>
          <w:lang w:bidi="ar-SA"/>
        </w:rPr>
        <w:t>, 4 and 5 years</w:t>
      </w:r>
    </w:p>
    <w:p w14:paraId="03E5F794" w14:textId="77777777" w:rsidR="001A74D1" w:rsidRDefault="001A74D1" w:rsidP="001A74D1">
      <w:pPr>
        <w:pStyle w:val="Caption"/>
      </w:pPr>
    </w:p>
    <w:tbl>
      <w:tblPr>
        <w:tblStyle w:val="TableGrid"/>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1652"/>
        <w:gridCol w:w="1652"/>
        <w:gridCol w:w="2197"/>
        <w:gridCol w:w="2197"/>
      </w:tblGrid>
      <w:tr w:rsidR="001A74D1" w14:paraId="7B0A25E3" w14:textId="77777777" w:rsidTr="001A74D1">
        <w:trPr>
          <w:tblHeader/>
        </w:trPr>
        <w:tc>
          <w:tcPr>
            <w:tcW w:w="2225" w:type="dxa"/>
            <w:tcBorders>
              <w:top w:val="single" w:sz="4" w:space="0" w:color="auto"/>
              <w:left w:val="nil"/>
              <w:bottom w:val="single" w:sz="4" w:space="0" w:color="auto"/>
              <w:right w:val="nil"/>
            </w:tcBorders>
          </w:tcPr>
          <w:p w14:paraId="2857938D" w14:textId="77777777" w:rsidR="001A74D1" w:rsidRDefault="001A74D1">
            <w:pPr>
              <w:rPr>
                <w:rFonts w:ascii="Calibri" w:hAnsi="Calibri" w:cs="Tahoma"/>
                <w:sz w:val="20"/>
                <w:szCs w:val="20"/>
              </w:rPr>
            </w:pPr>
          </w:p>
        </w:tc>
        <w:tc>
          <w:tcPr>
            <w:tcW w:w="1652" w:type="dxa"/>
            <w:tcBorders>
              <w:top w:val="single" w:sz="4" w:space="0" w:color="auto"/>
              <w:left w:val="nil"/>
              <w:bottom w:val="single" w:sz="4" w:space="0" w:color="auto"/>
              <w:right w:val="nil"/>
            </w:tcBorders>
            <w:vAlign w:val="bottom"/>
            <w:hideMark/>
          </w:tcPr>
          <w:p w14:paraId="42C45732" w14:textId="76C8AB68" w:rsidR="001A74D1" w:rsidRDefault="0041603B" w:rsidP="0041603B">
            <w:pPr>
              <w:jc w:val="center"/>
              <w:rPr>
                <w:rFonts w:ascii="Calibri" w:hAnsi="Calibri" w:cs="Tahoma"/>
                <w:sz w:val="20"/>
                <w:szCs w:val="20"/>
              </w:rPr>
            </w:pPr>
            <w:r>
              <w:rPr>
                <w:rFonts w:ascii="Calibri" w:hAnsi="Calibri" w:cs="Tahoma"/>
                <w:sz w:val="20"/>
                <w:szCs w:val="20"/>
              </w:rPr>
              <w:t>Emollient</w:t>
            </w:r>
          </w:p>
        </w:tc>
        <w:tc>
          <w:tcPr>
            <w:tcW w:w="1652" w:type="dxa"/>
            <w:tcBorders>
              <w:top w:val="single" w:sz="4" w:space="0" w:color="auto"/>
              <w:left w:val="nil"/>
              <w:bottom w:val="single" w:sz="4" w:space="0" w:color="auto"/>
              <w:right w:val="nil"/>
            </w:tcBorders>
            <w:vAlign w:val="bottom"/>
            <w:hideMark/>
          </w:tcPr>
          <w:p w14:paraId="0152043E" w14:textId="77777777" w:rsidR="001A74D1" w:rsidRDefault="001A74D1">
            <w:pPr>
              <w:jc w:val="center"/>
              <w:rPr>
                <w:rFonts w:ascii="Calibri" w:hAnsi="Calibri" w:cs="Tahoma"/>
                <w:sz w:val="20"/>
                <w:szCs w:val="20"/>
              </w:rPr>
            </w:pPr>
            <w:r>
              <w:rPr>
                <w:rFonts w:ascii="Calibri" w:hAnsi="Calibri" w:cs="Tahoma"/>
                <w:sz w:val="20"/>
                <w:szCs w:val="20"/>
              </w:rPr>
              <w:t>Control</w:t>
            </w:r>
          </w:p>
        </w:tc>
        <w:tc>
          <w:tcPr>
            <w:tcW w:w="2197" w:type="dxa"/>
            <w:tcBorders>
              <w:top w:val="single" w:sz="4" w:space="0" w:color="auto"/>
              <w:left w:val="nil"/>
              <w:bottom w:val="single" w:sz="4" w:space="0" w:color="auto"/>
              <w:right w:val="nil"/>
            </w:tcBorders>
            <w:vAlign w:val="bottom"/>
            <w:hideMark/>
          </w:tcPr>
          <w:p w14:paraId="4279614A" w14:textId="77777777" w:rsidR="001A74D1" w:rsidRDefault="001A74D1">
            <w:pPr>
              <w:jc w:val="center"/>
              <w:rPr>
                <w:rFonts w:ascii="Calibri" w:hAnsi="Calibri" w:cs="Tahoma"/>
                <w:sz w:val="20"/>
                <w:szCs w:val="20"/>
              </w:rPr>
            </w:pPr>
            <w:r>
              <w:rPr>
                <w:rFonts w:ascii="Calibri" w:hAnsi="Calibri" w:cs="Tahoma"/>
                <w:sz w:val="20"/>
                <w:szCs w:val="20"/>
              </w:rPr>
              <w:t>Adjusted relative risk</w:t>
            </w:r>
          </w:p>
          <w:p w14:paraId="45963883" w14:textId="77777777" w:rsidR="001A74D1" w:rsidRDefault="001A74D1">
            <w:pPr>
              <w:jc w:val="center"/>
              <w:rPr>
                <w:rFonts w:ascii="Calibri" w:hAnsi="Calibri" w:cs="Tahoma"/>
                <w:sz w:val="20"/>
                <w:szCs w:val="20"/>
              </w:rPr>
            </w:pPr>
            <w:r>
              <w:rPr>
                <w:rFonts w:ascii="Calibri" w:hAnsi="Calibri" w:cs="Tahoma"/>
                <w:sz w:val="20"/>
                <w:szCs w:val="20"/>
              </w:rPr>
              <w:t>(95% CI)</w:t>
            </w:r>
          </w:p>
        </w:tc>
        <w:tc>
          <w:tcPr>
            <w:tcW w:w="2197" w:type="dxa"/>
            <w:tcBorders>
              <w:top w:val="single" w:sz="4" w:space="0" w:color="auto"/>
              <w:left w:val="nil"/>
              <w:bottom w:val="single" w:sz="4" w:space="0" w:color="auto"/>
              <w:right w:val="nil"/>
            </w:tcBorders>
            <w:vAlign w:val="bottom"/>
            <w:hideMark/>
          </w:tcPr>
          <w:p w14:paraId="2F02DCB9" w14:textId="77777777" w:rsidR="001A74D1" w:rsidRDefault="001A74D1">
            <w:pPr>
              <w:jc w:val="center"/>
              <w:rPr>
                <w:rFonts w:ascii="Calibri" w:hAnsi="Calibri" w:cs="Tahoma"/>
                <w:sz w:val="20"/>
                <w:szCs w:val="20"/>
              </w:rPr>
            </w:pPr>
            <w:r>
              <w:rPr>
                <w:rFonts w:ascii="Calibri" w:hAnsi="Calibri" w:cs="Tahoma"/>
                <w:sz w:val="20"/>
                <w:szCs w:val="20"/>
              </w:rPr>
              <w:t>Adjusted</w:t>
            </w:r>
          </w:p>
          <w:p w14:paraId="1BDA6499" w14:textId="77777777" w:rsidR="001A74D1" w:rsidRDefault="001A74D1">
            <w:pPr>
              <w:jc w:val="center"/>
              <w:rPr>
                <w:rFonts w:ascii="Calibri" w:hAnsi="Calibri" w:cs="Tahoma"/>
                <w:sz w:val="20"/>
                <w:szCs w:val="20"/>
              </w:rPr>
            </w:pPr>
            <w:r>
              <w:rPr>
                <w:rFonts w:ascii="Calibri" w:hAnsi="Calibri" w:cs="Tahoma"/>
                <w:sz w:val="20"/>
                <w:szCs w:val="20"/>
              </w:rPr>
              <w:t>difference in risk</w:t>
            </w:r>
          </w:p>
          <w:p w14:paraId="24520EAF" w14:textId="77777777" w:rsidR="001A74D1" w:rsidRDefault="001A74D1">
            <w:pPr>
              <w:jc w:val="center"/>
              <w:rPr>
                <w:rFonts w:ascii="Calibri" w:hAnsi="Calibri" w:cs="Tahoma"/>
                <w:sz w:val="20"/>
                <w:szCs w:val="20"/>
              </w:rPr>
            </w:pPr>
            <w:r>
              <w:rPr>
                <w:rFonts w:ascii="Calibri" w:hAnsi="Calibri" w:cs="Tahoma"/>
                <w:sz w:val="20"/>
                <w:szCs w:val="20"/>
              </w:rPr>
              <w:t>(95% CI)</w:t>
            </w:r>
          </w:p>
        </w:tc>
      </w:tr>
      <w:tr w:rsidR="001A74D1" w14:paraId="5B5AC3B5" w14:textId="77777777" w:rsidTr="001A74D1">
        <w:tc>
          <w:tcPr>
            <w:tcW w:w="2225" w:type="dxa"/>
            <w:tcBorders>
              <w:top w:val="single" w:sz="4" w:space="0" w:color="auto"/>
              <w:left w:val="nil"/>
              <w:bottom w:val="nil"/>
              <w:right w:val="nil"/>
            </w:tcBorders>
          </w:tcPr>
          <w:p w14:paraId="4F5C7F42" w14:textId="77777777" w:rsidR="001A74D1" w:rsidRDefault="001A74D1">
            <w:pPr>
              <w:rPr>
                <w:rFonts w:ascii="Calibri" w:hAnsi="Calibri" w:cs="Tahoma"/>
                <w:sz w:val="20"/>
                <w:szCs w:val="20"/>
              </w:rPr>
            </w:pPr>
          </w:p>
        </w:tc>
        <w:tc>
          <w:tcPr>
            <w:tcW w:w="1652" w:type="dxa"/>
            <w:tcBorders>
              <w:top w:val="single" w:sz="4" w:space="0" w:color="auto"/>
              <w:left w:val="nil"/>
              <w:bottom w:val="nil"/>
              <w:right w:val="nil"/>
            </w:tcBorders>
          </w:tcPr>
          <w:p w14:paraId="2A8AE251" w14:textId="77777777" w:rsidR="001A74D1" w:rsidRDefault="001A74D1">
            <w:pPr>
              <w:jc w:val="center"/>
              <w:rPr>
                <w:rFonts w:ascii="Calibri" w:hAnsi="Calibri" w:cs="Tahoma"/>
                <w:sz w:val="20"/>
                <w:szCs w:val="20"/>
              </w:rPr>
            </w:pPr>
          </w:p>
        </w:tc>
        <w:tc>
          <w:tcPr>
            <w:tcW w:w="1652" w:type="dxa"/>
            <w:tcBorders>
              <w:top w:val="single" w:sz="4" w:space="0" w:color="auto"/>
              <w:left w:val="nil"/>
              <w:bottom w:val="nil"/>
              <w:right w:val="nil"/>
            </w:tcBorders>
          </w:tcPr>
          <w:p w14:paraId="2D190103" w14:textId="77777777" w:rsidR="001A74D1" w:rsidRDefault="001A74D1">
            <w:pPr>
              <w:jc w:val="center"/>
              <w:rPr>
                <w:rFonts w:ascii="Calibri" w:hAnsi="Calibri" w:cs="Tahoma"/>
                <w:sz w:val="20"/>
                <w:szCs w:val="20"/>
              </w:rPr>
            </w:pPr>
          </w:p>
        </w:tc>
        <w:tc>
          <w:tcPr>
            <w:tcW w:w="2197" w:type="dxa"/>
            <w:tcBorders>
              <w:top w:val="single" w:sz="4" w:space="0" w:color="auto"/>
              <w:left w:val="nil"/>
              <w:bottom w:val="nil"/>
              <w:right w:val="nil"/>
            </w:tcBorders>
          </w:tcPr>
          <w:p w14:paraId="3348A3C9" w14:textId="77777777" w:rsidR="001A74D1" w:rsidRDefault="001A74D1">
            <w:pPr>
              <w:jc w:val="center"/>
              <w:rPr>
                <w:rFonts w:ascii="Calibri" w:hAnsi="Calibri" w:cs="Tahoma"/>
                <w:sz w:val="20"/>
                <w:szCs w:val="20"/>
              </w:rPr>
            </w:pPr>
          </w:p>
        </w:tc>
        <w:tc>
          <w:tcPr>
            <w:tcW w:w="2197" w:type="dxa"/>
            <w:tcBorders>
              <w:top w:val="single" w:sz="4" w:space="0" w:color="auto"/>
              <w:left w:val="nil"/>
              <w:bottom w:val="nil"/>
              <w:right w:val="nil"/>
            </w:tcBorders>
          </w:tcPr>
          <w:p w14:paraId="04C02BBE" w14:textId="77777777" w:rsidR="001A74D1" w:rsidRDefault="001A74D1">
            <w:pPr>
              <w:jc w:val="center"/>
              <w:rPr>
                <w:rFonts w:ascii="Calibri" w:hAnsi="Calibri" w:cs="Tahoma"/>
                <w:sz w:val="20"/>
                <w:szCs w:val="20"/>
              </w:rPr>
            </w:pPr>
          </w:p>
        </w:tc>
      </w:tr>
      <w:tr w:rsidR="001A74D1" w14:paraId="51C0FCFB" w14:textId="77777777" w:rsidTr="001A74D1">
        <w:tc>
          <w:tcPr>
            <w:tcW w:w="2225" w:type="dxa"/>
            <w:hideMark/>
          </w:tcPr>
          <w:p w14:paraId="4B9E366C" w14:textId="77777777" w:rsidR="001A74D1" w:rsidRDefault="001A74D1">
            <w:pPr>
              <w:autoSpaceDE w:val="0"/>
              <w:autoSpaceDN w:val="0"/>
              <w:adjustRightInd w:val="0"/>
              <w:jc w:val="right"/>
              <w:rPr>
                <w:rFonts w:ascii="Calibri" w:hAnsi="Calibri" w:cs="Tahoma"/>
                <w:sz w:val="20"/>
                <w:szCs w:val="20"/>
              </w:rPr>
            </w:pPr>
            <w:r>
              <w:rPr>
                <w:rFonts w:ascii="Calibri" w:hAnsi="Calibri" w:cs="Tahoma"/>
                <w:sz w:val="20"/>
                <w:szCs w:val="20"/>
              </w:rPr>
              <w:t>3 months</w:t>
            </w:r>
          </w:p>
        </w:tc>
        <w:tc>
          <w:tcPr>
            <w:tcW w:w="1652" w:type="dxa"/>
            <w:hideMark/>
          </w:tcPr>
          <w:p w14:paraId="0F9AAB7F" w14:textId="77777777" w:rsidR="001A74D1" w:rsidRDefault="001A74D1">
            <w:pPr>
              <w:jc w:val="center"/>
              <w:rPr>
                <w:rFonts w:ascii="Calibri" w:hAnsi="Calibri" w:cs="Tahoma"/>
                <w:sz w:val="20"/>
                <w:szCs w:val="20"/>
              </w:rPr>
            </w:pPr>
            <w:r>
              <w:rPr>
                <w:sz w:val="20"/>
              </w:rPr>
              <w:t>91/530 (17%)</w:t>
            </w:r>
          </w:p>
        </w:tc>
        <w:tc>
          <w:tcPr>
            <w:tcW w:w="1652" w:type="dxa"/>
            <w:hideMark/>
          </w:tcPr>
          <w:p w14:paraId="3BB1EDF2" w14:textId="77777777" w:rsidR="001A74D1" w:rsidRDefault="001A74D1">
            <w:pPr>
              <w:jc w:val="center"/>
              <w:rPr>
                <w:rFonts w:ascii="Calibri" w:hAnsi="Calibri" w:cs="Tahoma"/>
                <w:sz w:val="20"/>
                <w:szCs w:val="20"/>
              </w:rPr>
            </w:pPr>
            <w:r>
              <w:rPr>
                <w:sz w:val="20"/>
              </w:rPr>
              <w:t>107/523 (20%)</w:t>
            </w:r>
          </w:p>
        </w:tc>
        <w:tc>
          <w:tcPr>
            <w:tcW w:w="2197" w:type="dxa"/>
            <w:hideMark/>
          </w:tcPr>
          <w:p w14:paraId="34022958" w14:textId="77777777" w:rsidR="001A74D1" w:rsidRDefault="001A74D1">
            <w:pPr>
              <w:jc w:val="center"/>
              <w:rPr>
                <w:rFonts w:ascii="Calibri" w:hAnsi="Calibri" w:cs="Tahoma"/>
                <w:sz w:val="20"/>
                <w:szCs w:val="20"/>
              </w:rPr>
            </w:pPr>
            <w:r>
              <w:rPr>
                <w:sz w:val="20"/>
              </w:rPr>
              <w:t>0.83 (0.65 to 1.06)</w:t>
            </w:r>
          </w:p>
        </w:tc>
        <w:tc>
          <w:tcPr>
            <w:tcW w:w="2197" w:type="dxa"/>
            <w:hideMark/>
          </w:tcPr>
          <w:p w14:paraId="51F8D2EF" w14:textId="77777777" w:rsidR="001A74D1" w:rsidRDefault="001A74D1">
            <w:pPr>
              <w:jc w:val="center"/>
              <w:rPr>
                <w:rFonts w:ascii="Calibri" w:hAnsi="Calibri" w:cs="Tahoma"/>
                <w:sz w:val="20"/>
                <w:szCs w:val="20"/>
              </w:rPr>
            </w:pPr>
            <w:r>
              <w:rPr>
                <w:sz w:val="20"/>
              </w:rPr>
              <w:t>-3.5% (-8.0% to 1.0%)</w:t>
            </w:r>
          </w:p>
        </w:tc>
      </w:tr>
      <w:tr w:rsidR="001A74D1" w14:paraId="60C65DFD" w14:textId="77777777" w:rsidTr="001A74D1">
        <w:tc>
          <w:tcPr>
            <w:tcW w:w="2225" w:type="dxa"/>
          </w:tcPr>
          <w:p w14:paraId="73B60112" w14:textId="77777777" w:rsidR="001A74D1" w:rsidRDefault="001A74D1">
            <w:pPr>
              <w:autoSpaceDE w:val="0"/>
              <w:autoSpaceDN w:val="0"/>
              <w:adjustRightInd w:val="0"/>
              <w:jc w:val="right"/>
              <w:rPr>
                <w:rFonts w:ascii="Calibri" w:hAnsi="Calibri" w:cs="Tahoma"/>
                <w:sz w:val="20"/>
                <w:szCs w:val="20"/>
              </w:rPr>
            </w:pPr>
          </w:p>
        </w:tc>
        <w:tc>
          <w:tcPr>
            <w:tcW w:w="1652" w:type="dxa"/>
          </w:tcPr>
          <w:p w14:paraId="28541237" w14:textId="77777777" w:rsidR="001A74D1" w:rsidRDefault="001A74D1">
            <w:pPr>
              <w:jc w:val="center"/>
              <w:rPr>
                <w:rFonts w:ascii="Calibri" w:hAnsi="Calibri" w:cs="Tahoma"/>
                <w:sz w:val="20"/>
                <w:szCs w:val="20"/>
              </w:rPr>
            </w:pPr>
          </w:p>
        </w:tc>
        <w:tc>
          <w:tcPr>
            <w:tcW w:w="1652" w:type="dxa"/>
          </w:tcPr>
          <w:p w14:paraId="3C4B996E" w14:textId="77777777" w:rsidR="001A74D1" w:rsidRDefault="001A74D1">
            <w:pPr>
              <w:jc w:val="center"/>
              <w:rPr>
                <w:rFonts w:ascii="Calibri" w:hAnsi="Calibri" w:cs="Tahoma"/>
                <w:sz w:val="20"/>
                <w:szCs w:val="20"/>
              </w:rPr>
            </w:pPr>
          </w:p>
        </w:tc>
        <w:tc>
          <w:tcPr>
            <w:tcW w:w="2197" w:type="dxa"/>
          </w:tcPr>
          <w:p w14:paraId="3B49D572" w14:textId="77777777" w:rsidR="001A74D1" w:rsidRDefault="001A74D1">
            <w:pPr>
              <w:jc w:val="center"/>
              <w:rPr>
                <w:rFonts w:ascii="Calibri" w:hAnsi="Calibri" w:cs="Tahoma"/>
                <w:sz w:val="20"/>
                <w:szCs w:val="20"/>
              </w:rPr>
            </w:pPr>
          </w:p>
        </w:tc>
        <w:tc>
          <w:tcPr>
            <w:tcW w:w="2197" w:type="dxa"/>
          </w:tcPr>
          <w:p w14:paraId="1A8E5101" w14:textId="77777777" w:rsidR="001A74D1" w:rsidRDefault="001A74D1">
            <w:pPr>
              <w:jc w:val="center"/>
              <w:rPr>
                <w:rFonts w:ascii="Calibri" w:hAnsi="Calibri" w:cs="Tahoma"/>
                <w:sz w:val="20"/>
                <w:szCs w:val="20"/>
              </w:rPr>
            </w:pPr>
          </w:p>
        </w:tc>
      </w:tr>
      <w:tr w:rsidR="001A74D1" w14:paraId="6A7D92F7" w14:textId="77777777" w:rsidTr="001A74D1">
        <w:tc>
          <w:tcPr>
            <w:tcW w:w="2225" w:type="dxa"/>
            <w:hideMark/>
          </w:tcPr>
          <w:p w14:paraId="3510AFD1" w14:textId="77777777" w:rsidR="001A74D1" w:rsidRDefault="001A74D1">
            <w:pPr>
              <w:autoSpaceDE w:val="0"/>
              <w:autoSpaceDN w:val="0"/>
              <w:adjustRightInd w:val="0"/>
              <w:jc w:val="right"/>
              <w:rPr>
                <w:rFonts w:ascii="Calibri" w:hAnsi="Calibri" w:cs="Tahoma"/>
                <w:sz w:val="20"/>
                <w:szCs w:val="20"/>
              </w:rPr>
            </w:pPr>
            <w:r>
              <w:rPr>
                <w:rFonts w:ascii="Calibri" w:hAnsi="Calibri" w:cs="Tahoma"/>
                <w:sz w:val="20"/>
                <w:szCs w:val="20"/>
              </w:rPr>
              <w:t>6 months</w:t>
            </w:r>
          </w:p>
        </w:tc>
        <w:tc>
          <w:tcPr>
            <w:tcW w:w="1652" w:type="dxa"/>
            <w:hideMark/>
          </w:tcPr>
          <w:p w14:paraId="5C35B6E5" w14:textId="77777777" w:rsidR="001A74D1" w:rsidRDefault="001A74D1">
            <w:pPr>
              <w:jc w:val="center"/>
              <w:rPr>
                <w:rFonts w:ascii="Calibri" w:hAnsi="Calibri" w:cs="Tahoma"/>
                <w:sz w:val="20"/>
                <w:szCs w:val="20"/>
              </w:rPr>
            </w:pPr>
            <w:r>
              <w:rPr>
                <w:sz w:val="20"/>
              </w:rPr>
              <w:t>160/523 (31%)</w:t>
            </w:r>
          </w:p>
        </w:tc>
        <w:tc>
          <w:tcPr>
            <w:tcW w:w="1652" w:type="dxa"/>
            <w:hideMark/>
          </w:tcPr>
          <w:p w14:paraId="13B66475" w14:textId="77777777" w:rsidR="001A74D1" w:rsidRDefault="001A74D1">
            <w:pPr>
              <w:jc w:val="center"/>
              <w:rPr>
                <w:rFonts w:ascii="Calibri" w:hAnsi="Calibri" w:cs="Tahoma"/>
                <w:sz w:val="20"/>
                <w:szCs w:val="20"/>
              </w:rPr>
            </w:pPr>
            <w:r>
              <w:rPr>
                <w:sz w:val="20"/>
              </w:rPr>
              <w:t>155/517 (30%)</w:t>
            </w:r>
          </w:p>
        </w:tc>
        <w:tc>
          <w:tcPr>
            <w:tcW w:w="2197" w:type="dxa"/>
            <w:hideMark/>
          </w:tcPr>
          <w:p w14:paraId="57389A3E" w14:textId="77777777" w:rsidR="001A74D1" w:rsidRDefault="001A74D1">
            <w:pPr>
              <w:jc w:val="center"/>
              <w:rPr>
                <w:rFonts w:ascii="Calibri" w:hAnsi="Calibri" w:cs="Tahoma"/>
                <w:sz w:val="20"/>
                <w:szCs w:val="20"/>
              </w:rPr>
            </w:pPr>
            <w:r>
              <w:rPr>
                <w:sz w:val="20"/>
              </w:rPr>
              <w:t>1.01 (0.85 to 1.21)</w:t>
            </w:r>
          </w:p>
        </w:tc>
        <w:tc>
          <w:tcPr>
            <w:tcW w:w="2197" w:type="dxa"/>
            <w:hideMark/>
          </w:tcPr>
          <w:p w14:paraId="31823024" w14:textId="77777777" w:rsidR="001A74D1" w:rsidRDefault="001A74D1">
            <w:pPr>
              <w:jc w:val="center"/>
              <w:rPr>
                <w:rFonts w:ascii="Calibri" w:hAnsi="Calibri" w:cs="Tahoma"/>
                <w:sz w:val="20"/>
                <w:szCs w:val="20"/>
              </w:rPr>
            </w:pPr>
            <w:r>
              <w:rPr>
                <w:sz w:val="20"/>
              </w:rPr>
              <w:t>0.4% (-4.9% to 5.8%)</w:t>
            </w:r>
          </w:p>
        </w:tc>
      </w:tr>
      <w:tr w:rsidR="001A74D1" w14:paraId="7F18D352" w14:textId="77777777" w:rsidTr="001A74D1">
        <w:tc>
          <w:tcPr>
            <w:tcW w:w="2225" w:type="dxa"/>
          </w:tcPr>
          <w:p w14:paraId="6E7C0F47" w14:textId="77777777" w:rsidR="001A74D1" w:rsidRDefault="001A74D1">
            <w:pPr>
              <w:autoSpaceDE w:val="0"/>
              <w:autoSpaceDN w:val="0"/>
              <w:adjustRightInd w:val="0"/>
              <w:jc w:val="right"/>
              <w:rPr>
                <w:rFonts w:ascii="Calibri" w:hAnsi="Calibri" w:cs="Tahoma"/>
                <w:sz w:val="20"/>
                <w:szCs w:val="20"/>
              </w:rPr>
            </w:pPr>
          </w:p>
        </w:tc>
        <w:tc>
          <w:tcPr>
            <w:tcW w:w="1652" w:type="dxa"/>
          </w:tcPr>
          <w:p w14:paraId="2863192C" w14:textId="77777777" w:rsidR="001A74D1" w:rsidRDefault="001A74D1">
            <w:pPr>
              <w:jc w:val="center"/>
              <w:rPr>
                <w:rFonts w:ascii="Calibri" w:hAnsi="Calibri" w:cs="Tahoma"/>
                <w:sz w:val="20"/>
                <w:szCs w:val="20"/>
              </w:rPr>
            </w:pPr>
          </w:p>
        </w:tc>
        <w:tc>
          <w:tcPr>
            <w:tcW w:w="1652" w:type="dxa"/>
          </w:tcPr>
          <w:p w14:paraId="7CC9628E" w14:textId="77777777" w:rsidR="001A74D1" w:rsidRDefault="001A74D1">
            <w:pPr>
              <w:jc w:val="center"/>
              <w:rPr>
                <w:rFonts w:ascii="Calibri" w:hAnsi="Calibri" w:cs="Tahoma"/>
                <w:sz w:val="20"/>
                <w:szCs w:val="20"/>
              </w:rPr>
            </w:pPr>
          </w:p>
        </w:tc>
        <w:tc>
          <w:tcPr>
            <w:tcW w:w="2197" w:type="dxa"/>
          </w:tcPr>
          <w:p w14:paraId="54D6DCEB" w14:textId="77777777" w:rsidR="001A74D1" w:rsidRDefault="001A74D1">
            <w:pPr>
              <w:jc w:val="center"/>
              <w:rPr>
                <w:rFonts w:ascii="Calibri" w:hAnsi="Calibri" w:cs="Tahoma"/>
                <w:sz w:val="20"/>
                <w:szCs w:val="20"/>
              </w:rPr>
            </w:pPr>
          </w:p>
        </w:tc>
        <w:tc>
          <w:tcPr>
            <w:tcW w:w="2197" w:type="dxa"/>
          </w:tcPr>
          <w:p w14:paraId="51E5FC9C" w14:textId="77777777" w:rsidR="001A74D1" w:rsidRDefault="001A74D1">
            <w:pPr>
              <w:jc w:val="center"/>
              <w:rPr>
                <w:rFonts w:ascii="Calibri" w:hAnsi="Calibri" w:cs="Tahoma"/>
                <w:sz w:val="20"/>
                <w:szCs w:val="20"/>
              </w:rPr>
            </w:pPr>
          </w:p>
        </w:tc>
      </w:tr>
      <w:tr w:rsidR="001A74D1" w14:paraId="7D615D05" w14:textId="77777777" w:rsidTr="001A74D1">
        <w:tc>
          <w:tcPr>
            <w:tcW w:w="2225" w:type="dxa"/>
            <w:hideMark/>
          </w:tcPr>
          <w:p w14:paraId="766FEB25" w14:textId="77777777" w:rsidR="001A74D1" w:rsidRDefault="001A74D1">
            <w:pPr>
              <w:autoSpaceDE w:val="0"/>
              <w:autoSpaceDN w:val="0"/>
              <w:adjustRightInd w:val="0"/>
              <w:jc w:val="right"/>
              <w:rPr>
                <w:rFonts w:ascii="Calibri" w:hAnsi="Calibri" w:cs="Tahoma"/>
                <w:sz w:val="20"/>
                <w:szCs w:val="20"/>
              </w:rPr>
            </w:pPr>
            <w:r>
              <w:rPr>
                <w:rFonts w:ascii="Calibri" w:hAnsi="Calibri" w:cs="Tahoma"/>
                <w:sz w:val="20"/>
                <w:szCs w:val="20"/>
              </w:rPr>
              <w:t>12 months</w:t>
            </w:r>
          </w:p>
        </w:tc>
        <w:tc>
          <w:tcPr>
            <w:tcW w:w="1652" w:type="dxa"/>
            <w:hideMark/>
          </w:tcPr>
          <w:p w14:paraId="3E9CDC1C" w14:textId="77777777" w:rsidR="001A74D1" w:rsidRDefault="001A74D1">
            <w:pPr>
              <w:jc w:val="center"/>
              <w:rPr>
                <w:rFonts w:ascii="Calibri" w:hAnsi="Calibri" w:cs="Tahoma"/>
                <w:sz w:val="20"/>
                <w:szCs w:val="20"/>
              </w:rPr>
            </w:pPr>
            <w:r>
              <w:rPr>
                <w:sz w:val="20"/>
              </w:rPr>
              <w:t>189/514 (37%)</w:t>
            </w:r>
          </w:p>
        </w:tc>
        <w:tc>
          <w:tcPr>
            <w:tcW w:w="1652" w:type="dxa"/>
            <w:hideMark/>
          </w:tcPr>
          <w:p w14:paraId="22B4E6C8" w14:textId="77777777" w:rsidR="001A74D1" w:rsidRDefault="001A74D1">
            <w:pPr>
              <w:jc w:val="center"/>
              <w:rPr>
                <w:rFonts w:ascii="Calibri" w:hAnsi="Calibri" w:cs="Tahoma"/>
                <w:sz w:val="20"/>
                <w:szCs w:val="20"/>
              </w:rPr>
            </w:pPr>
            <w:r>
              <w:rPr>
                <w:sz w:val="20"/>
              </w:rPr>
              <w:t>186/528 (35%)</w:t>
            </w:r>
          </w:p>
        </w:tc>
        <w:tc>
          <w:tcPr>
            <w:tcW w:w="2197" w:type="dxa"/>
            <w:hideMark/>
          </w:tcPr>
          <w:p w14:paraId="11063A83" w14:textId="77777777" w:rsidR="001A74D1" w:rsidRDefault="001A74D1">
            <w:pPr>
              <w:jc w:val="center"/>
              <w:rPr>
                <w:rFonts w:ascii="Calibri" w:hAnsi="Calibri" w:cs="Tahoma"/>
                <w:sz w:val="20"/>
                <w:szCs w:val="20"/>
              </w:rPr>
            </w:pPr>
            <w:r>
              <w:rPr>
                <w:sz w:val="20"/>
              </w:rPr>
              <w:t>1.03 (0.88 to 1.20)</w:t>
            </w:r>
          </w:p>
        </w:tc>
        <w:tc>
          <w:tcPr>
            <w:tcW w:w="2197" w:type="dxa"/>
            <w:hideMark/>
          </w:tcPr>
          <w:p w14:paraId="36FF5B61" w14:textId="77777777" w:rsidR="001A74D1" w:rsidRDefault="001A74D1">
            <w:pPr>
              <w:jc w:val="center"/>
              <w:rPr>
                <w:rFonts w:ascii="Calibri" w:hAnsi="Calibri" w:cs="Tahoma"/>
                <w:sz w:val="20"/>
                <w:szCs w:val="20"/>
              </w:rPr>
            </w:pPr>
            <w:r>
              <w:rPr>
                <w:sz w:val="20"/>
              </w:rPr>
              <w:t>0.9% (-4.7% to 6.6%)</w:t>
            </w:r>
          </w:p>
        </w:tc>
      </w:tr>
      <w:tr w:rsidR="001A74D1" w14:paraId="3845582B" w14:textId="77777777" w:rsidTr="001A74D1">
        <w:tc>
          <w:tcPr>
            <w:tcW w:w="2225" w:type="dxa"/>
          </w:tcPr>
          <w:p w14:paraId="1B3A7F48" w14:textId="77777777" w:rsidR="001A74D1" w:rsidRDefault="001A74D1">
            <w:pPr>
              <w:autoSpaceDE w:val="0"/>
              <w:autoSpaceDN w:val="0"/>
              <w:adjustRightInd w:val="0"/>
              <w:jc w:val="right"/>
              <w:rPr>
                <w:rFonts w:ascii="Calibri" w:hAnsi="Calibri" w:cs="Tahoma"/>
                <w:sz w:val="20"/>
                <w:szCs w:val="20"/>
              </w:rPr>
            </w:pPr>
          </w:p>
        </w:tc>
        <w:tc>
          <w:tcPr>
            <w:tcW w:w="1652" w:type="dxa"/>
          </w:tcPr>
          <w:p w14:paraId="2E31A760" w14:textId="77777777" w:rsidR="001A74D1" w:rsidRDefault="001A74D1">
            <w:pPr>
              <w:jc w:val="center"/>
              <w:rPr>
                <w:rFonts w:ascii="Calibri" w:hAnsi="Calibri" w:cs="Tahoma"/>
                <w:sz w:val="20"/>
                <w:szCs w:val="20"/>
              </w:rPr>
            </w:pPr>
          </w:p>
        </w:tc>
        <w:tc>
          <w:tcPr>
            <w:tcW w:w="1652" w:type="dxa"/>
          </w:tcPr>
          <w:p w14:paraId="41EEECE2" w14:textId="77777777" w:rsidR="001A74D1" w:rsidRDefault="001A74D1">
            <w:pPr>
              <w:jc w:val="center"/>
              <w:rPr>
                <w:rFonts w:ascii="Calibri" w:hAnsi="Calibri" w:cs="Tahoma"/>
                <w:sz w:val="20"/>
                <w:szCs w:val="20"/>
              </w:rPr>
            </w:pPr>
          </w:p>
        </w:tc>
        <w:tc>
          <w:tcPr>
            <w:tcW w:w="2197" w:type="dxa"/>
          </w:tcPr>
          <w:p w14:paraId="0602803C" w14:textId="77777777" w:rsidR="001A74D1" w:rsidRDefault="001A74D1">
            <w:pPr>
              <w:jc w:val="center"/>
              <w:rPr>
                <w:rFonts w:ascii="Calibri" w:hAnsi="Calibri" w:cs="Tahoma"/>
                <w:sz w:val="20"/>
                <w:szCs w:val="20"/>
              </w:rPr>
            </w:pPr>
          </w:p>
        </w:tc>
        <w:tc>
          <w:tcPr>
            <w:tcW w:w="2197" w:type="dxa"/>
          </w:tcPr>
          <w:p w14:paraId="28FE2104" w14:textId="77777777" w:rsidR="001A74D1" w:rsidRDefault="001A74D1">
            <w:pPr>
              <w:jc w:val="center"/>
              <w:rPr>
                <w:rFonts w:ascii="Calibri" w:hAnsi="Calibri" w:cs="Tahoma"/>
                <w:sz w:val="20"/>
                <w:szCs w:val="20"/>
              </w:rPr>
            </w:pPr>
          </w:p>
        </w:tc>
      </w:tr>
      <w:tr w:rsidR="001A74D1" w14:paraId="60B53DD5" w14:textId="77777777" w:rsidTr="001A74D1">
        <w:tc>
          <w:tcPr>
            <w:tcW w:w="2225" w:type="dxa"/>
            <w:hideMark/>
          </w:tcPr>
          <w:p w14:paraId="5754288F" w14:textId="77777777" w:rsidR="001A74D1" w:rsidRDefault="001A74D1">
            <w:pPr>
              <w:autoSpaceDE w:val="0"/>
              <w:autoSpaceDN w:val="0"/>
              <w:adjustRightInd w:val="0"/>
              <w:jc w:val="right"/>
              <w:rPr>
                <w:rFonts w:ascii="Calibri" w:hAnsi="Calibri" w:cs="Tahoma"/>
                <w:sz w:val="20"/>
                <w:szCs w:val="20"/>
              </w:rPr>
            </w:pPr>
            <w:r>
              <w:rPr>
                <w:rFonts w:ascii="Calibri" w:hAnsi="Calibri" w:cs="Tahoma"/>
                <w:sz w:val="20"/>
                <w:szCs w:val="20"/>
              </w:rPr>
              <w:t>18 months</w:t>
            </w:r>
          </w:p>
        </w:tc>
        <w:tc>
          <w:tcPr>
            <w:tcW w:w="1652" w:type="dxa"/>
            <w:hideMark/>
          </w:tcPr>
          <w:p w14:paraId="52A4E5F7" w14:textId="77777777" w:rsidR="001A74D1" w:rsidRDefault="001A74D1">
            <w:pPr>
              <w:jc w:val="center"/>
              <w:rPr>
                <w:rFonts w:ascii="Calibri" w:hAnsi="Calibri" w:cs="Tahoma"/>
                <w:sz w:val="20"/>
                <w:szCs w:val="20"/>
              </w:rPr>
            </w:pPr>
            <w:r>
              <w:rPr>
                <w:sz w:val="20"/>
              </w:rPr>
              <w:t>173/489 (35%)</w:t>
            </w:r>
          </w:p>
        </w:tc>
        <w:tc>
          <w:tcPr>
            <w:tcW w:w="1652" w:type="dxa"/>
            <w:hideMark/>
          </w:tcPr>
          <w:p w14:paraId="1B1723C7" w14:textId="77777777" w:rsidR="001A74D1" w:rsidRDefault="001A74D1">
            <w:pPr>
              <w:jc w:val="center"/>
              <w:rPr>
                <w:rFonts w:ascii="Calibri" w:hAnsi="Calibri" w:cs="Tahoma"/>
                <w:sz w:val="20"/>
                <w:szCs w:val="20"/>
              </w:rPr>
            </w:pPr>
            <w:r>
              <w:rPr>
                <w:sz w:val="20"/>
              </w:rPr>
              <w:t>183/506 (36%)</w:t>
            </w:r>
          </w:p>
        </w:tc>
        <w:tc>
          <w:tcPr>
            <w:tcW w:w="2197" w:type="dxa"/>
            <w:hideMark/>
          </w:tcPr>
          <w:p w14:paraId="61C4441C" w14:textId="77777777" w:rsidR="001A74D1" w:rsidRDefault="001A74D1">
            <w:pPr>
              <w:jc w:val="center"/>
              <w:rPr>
                <w:rFonts w:ascii="Calibri" w:hAnsi="Calibri" w:cs="Tahoma"/>
                <w:sz w:val="20"/>
                <w:szCs w:val="20"/>
              </w:rPr>
            </w:pPr>
            <w:r>
              <w:rPr>
                <w:sz w:val="20"/>
              </w:rPr>
              <w:t>0.99 (0.84 to 1.16)</w:t>
            </w:r>
          </w:p>
        </w:tc>
        <w:tc>
          <w:tcPr>
            <w:tcW w:w="2197" w:type="dxa"/>
            <w:hideMark/>
          </w:tcPr>
          <w:p w14:paraId="4175D691" w14:textId="77777777" w:rsidR="001A74D1" w:rsidRDefault="001A74D1">
            <w:pPr>
              <w:jc w:val="center"/>
              <w:rPr>
                <w:rFonts w:ascii="Calibri" w:hAnsi="Calibri" w:cs="Tahoma"/>
                <w:sz w:val="20"/>
                <w:szCs w:val="20"/>
              </w:rPr>
            </w:pPr>
            <w:r>
              <w:rPr>
                <w:sz w:val="20"/>
              </w:rPr>
              <w:t>-0.3% (-6.1% to 5.4%)</w:t>
            </w:r>
          </w:p>
        </w:tc>
      </w:tr>
      <w:tr w:rsidR="001A74D1" w14:paraId="4CC82C81" w14:textId="77777777" w:rsidTr="001A74D1">
        <w:tc>
          <w:tcPr>
            <w:tcW w:w="2225" w:type="dxa"/>
          </w:tcPr>
          <w:p w14:paraId="24120752" w14:textId="77777777" w:rsidR="001A74D1" w:rsidRDefault="001A74D1">
            <w:pPr>
              <w:autoSpaceDE w:val="0"/>
              <w:autoSpaceDN w:val="0"/>
              <w:adjustRightInd w:val="0"/>
              <w:jc w:val="right"/>
              <w:rPr>
                <w:rFonts w:ascii="Calibri" w:hAnsi="Calibri" w:cs="Tahoma"/>
                <w:sz w:val="20"/>
                <w:szCs w:val="20"/>
              </w:rPr>
            </w:pPr>
          </w:p>
        </w:tc>
        <w:tc>
          <w:tcPr>
            <w:tcW w:w="1652" w:type="dxa"/>
          </w:tcPr>
          <w:p w14:paraId="62AFA0B1" w14:textId="77777777" w:rsidR="001A74D1" w:rsidRDefault="001A74D1">
            <w:pPr>
              <w:jc w:val="center"/>
              <w:rPr>
                <w:rFonts w:ascii="Calibri" w:hAnsi="Calibri" w:cs="Tahoma"/>
                <w:sz w:val="20"/>
                <w:szCs w:val="20"/>
              </w:rPr>
            </w:pPr>
          </w:p>
        </w:tc>
        <w:tc>
          <w:tcPr>
            <w:tcW w:w="1652" w:type="dxa"/>
          </w:tcPr>
          <w:p w14:paraId="06B48038" w14:textId="77777777" w:rsidR="001A74D1" w:rsidRDefault="001A74D1">
            <w:pPr>
              <w:jc w:val="center"/>
              <w:rPr>
                <w:rFonts w:ascii="Calibri" w:hAnsi="Calibri" w:cs="Tahoma"/>
                <w:sz w:val="20"/>
                <w:szCs w:val="20"/>
              </w:rPr>
            </w:pPr>
          </w:p>
        </w:tc>
        <w:tc>
          <w:tcPr>
            <w:tcW w:w="2197" w:type="dxa"/>
          </w:tcPr>
          <w:p w14:paraId="55A7969F" w14:textId="77777777" w:rsidR="001A74D1" w:rsidRDefault="001A74D1">
            <w:pPr>
              <w:jc w:val="center"/>
              <w:rPr>
                <w:rFonts w:ascii="Calibri" w:hAnsi="Calibri" w:cs="Tahoma"/>
                <w:sz w:val="20"/>
                <w:szCs w:val="20"/>
              </w:rPr>
            </w:pPr>
          </w:p>
        </w:tc>
        <w:tc>
          <w:tcPr>
            <w:tcW w:w="2197" w:type="dxa"/>
          </w:tcPr>
          <w:p w14:paraId="194A2708" w14:textId="77777777" w:rsidR="001A74D1" w:rsidRDefault="001A74D1">
            <w:pPr>
              <w:jc w:val="center"/>
              <w:rPr>
                <w:rFonts w:ascii="Calibri" w:hAnsi="Calibri" w:cs="Tahoma"/>
                <w:sz w:val="20"/>
                <w:szCs w:val="20"/>
              </w:rPr>
            </w:pPr>
          </w:p>
        </w:tc>
      </w:tr>
      <w:tr w:rsidR="001A74D1" w14:paraId="64BE12BA" w14:textId="77777777" w:rsidTr="001A74D1">
        <w:tc>
          <w:tcPr>
            <w:tcW w:w="2225" w:type="dxa"/>
            <w:hideMark/>
          </w:tcPr>
          <w:p w14:paraId="36603F75" w14:textId="40D0A4B4" w:rsidR="001A74D1" w:rsidRDefault="00782C6D">
            <w:pPr>
              <w:autoSpaceDE w:val="0"/>
              <w:autoSpaceDN w:val="0"/>
              <w:adjustRightInd w:val="0"/>
              <w:jc w:val="right"/>
              <w:rPr>
                <w:rFonts w:ascii="Calibri" w:hAnsi="Calibri" w:cs="Tahoma"/>
                <w:sz w:val="20"/>
                <w:szCs w:val="20"/>
              </w:rPr>
            </w:pPr>
            <w:r>
              <w:rPr>
                <w:rFonts w:ascii="Calibri" w:hAnsi="Calibri" w:cs="Tahoma"/>
                <w:sz w:val="20"/>
                <w:szCs w:val="20"/>
              </w:rPr>
              <w:t>2 years</w:t>
            </w:r>
          </w:p>
        </w:tc>
        <w:tc>
          <w:tcPr>
            <w:tcW w:w="1652" w:type="dxa"/>
            <w:hideMark/>
          </w:tcPr>
          <w:p w14:paraId="256F493E" w14:textId="77777777" w:rsidR="001A74D1" w:rsidRDefault="001A74D1">
            <w:pPr>
              <w:jc w:val="center"/>
              <w:rPr>
                <w:rFonts w:ascii="Calibri" w:hAnsi="Calibri" w:cs="Tahoma"/>
                <w:sz w:val="20"/>
                <w:szCs w:val="20"/>
              </w:rPr>
            </w:pPr>
            <w:r>
              <w:rPr>
                <w:sz w:val="20"/>
              </w:rPr>
              <w:t>189/591 (32%)</w:t>
            </w:r>
          </w:p>
        </w:tc>
        <w:tc>
          <w:tcPr>
            <w:tcW w:w="1652" w:type="dxa"/>
            <w:hideMark/>
          </w:tcPr>
          <w:p w14:paraId="39598BEB" w14:textId="77777777" w:rsidR="001A74D1" w:rsidRDefault="001A74D1">
            <w:pPr>
              <w:jc w:val="center"/>
              <w:rPr>
                <w:rFonts w:ascii="Calibri" w:hAnsi="Calibri" w:cs="Tahoma"/>
                <w:sz w:val="20"/>
                <w:szCs w:val="20"/>
              </w:rPr>
            </w:pPr>
            <w:r>
              <w:rPr>
                <w:sz w:val="20"/>
              </w:rPr>
              <w:t>193/607 (32%)</w:t>
            </w:r>
          </w:p>
        </w:tc>
        <w:tc>
          <w:tcPr>
            <w:tcW w:w="2197" w:type="dxa"/>
            <w:hideMark/>
          </w:tcPr>
          <w:p w14:paraId="3B597948" w14:textId="77777777" w:rsidR="001A74D1" w:rsidRDefault="001A74D1">
            <w:pPr>
              <w:jc w:val="center"/>
              <w:rPr>
                <w:rFonts w:ascii="Calibri" w:hAnsi="Calibri" w:cs="Tahoma"/>
                <w:sz w:val="20"/>
                <w:szCs w:val="20"/>
              </w:rPr>
            </w:pPr>
            <w:r>
              <w:rPr>
                <w:sz w:val="20"/>
              </w:rPr>
              <w:t>1.01 (0.86 to 1.19)</w:t>
            </w:r>
          </w:p>
        </w:tc>
        <w:tc>
          <w:tcPr>
            <w:tcW w:w="2197" w:type="dxa"/>
            <w:hideMark/>
          </w:tcPr>
          <w:p w14:paraId="728EA0DC" w14:textId="77777777" w:rsidR="001A74D1" w:rsidRDefault="001A74D1">
            <w:pPr>
              <w:jc w:val="center"/>
              <w:rPr>
                <w:rFonts w:ascii="Calibri" w:hAnsi="Calibri" w:cs="Tahoma"/>
                <w:sz w:val="20"/>
                <w:szCs w:val="20"/>
              </w:rPr>
            </w:pPr>
            <w:r>
              <w:rPr>
                <w:sz w:val="20"/>
              </w:rPr>
              <w:t>0.2% (-5.0% to 5.4%)</w:t>
            </w:r>
          </w:p>
        </w:tc>
      </w:tr>
      <w:tr w:rsidR="001A74D1" w14:paraId="2FC63B90" w14:textId="77777777" w:rsidTr="001A74D1">
        <w:tc>
          <w:tcPr>
            <w:tcW w:w="2225" w:type="dxa"/>
          </w:tcPr>
          <w:p w14:paraId="6AE15EAE" w14:textId="77777777" w:rsidR="001A74D1" w:rsidRDefault="001A74D1">
            <w:pPr>
              <w:autoSpaceDE w:val="0"/>
              <w:autoSpaceDN w:val="0"/>
              <w:adjustRightInd w:val="0"/>
              <w:jc w:val="right"/>
              <w:rPr>
                <w:rFonts w:ascii="Calibri" w:hAnsi="Calibri" w:cs="Tahoma"/>
                <w:sz w:val="20"/>
                <w:szCs w:val="20"/>
              </w:rPr>
            </w:pPr>
          </w:p>
        </w:tc>
        <w:tc>
          <w:tcPr>
            <w:tcW w:w="1652" w:type="dxa"/>
          </w:tcPr>
          <w:p w14:paraId="62FA35BD" w14:textId="77777777" w:rsidR="001A74D1" w:rsidRDefault="001A74D1">
            <w:pPr>
              <w:jc w:val="center"/>
              <w:rPr>
                <w:rFonts w:ascii="Calibri" w:hAnsi="Calibri" w:cs="Tahoma"/>
                <w:sz w:val="20"/>
                <w:szCs w:val="20"/>
              </w:rPr>
            </w:pPr>
          </w:p>
        </w:tc>
        <w:tc>
          <w:tcPr>
            <w:tcW w:w="1652" w:type="dxa"/>
          </w:tcPr>
          <w:p w14:paraId="33EC8FAB" w14:textId="77777777" w:rsidR="001A74D1" w:rsidRDefault="001A74D1">
            <w:pPr>
              <w:jc w:val="center"/>
              <w:rPr>
                <w:rFonts w:ascii="Calibri" w:hAnsi="Calibri" w:cs="Tahoma"/>
                <w:sz w:val="20"/>
                <w:szCs w:val="20"/>
              </w:rPr>
            </w:pPr>
          </w:p>
        </w:tc>
        <w:tc>
          <w:tcPr>
            <w:tcW w:w="2197" w:type="dxa"/>
          </w:tcPr>
          <w:p w14:paraId="15505E34" w14:textId="77777777" w:rsidR="001A74D1" w:rsidRDefault="001A74D1">
            <w:pPr>
              <w:jc w:val="center"/>
              <w:rPr>
                <w:rFonts w:ascii="Calibri" w:hAnsi="Calibri" w:cs="Tahoma"/>
                <w:sz w:val="20"/>
                <w:szCs w:val="20"/>
              </w:rPr>
            </w:pPr>
          </w:p>
        </w:tc>
        <w:tc>
          <w:tcPr>
            <w:tcW w:w="2197" w:type="dxa"/>
          </w:tcPr>
          <w:p w14:paraId="473AA484" w14:textId="77777777" w:rsidR="001A74D1" w:rsidRDefault="001A74D1">
            <w:pPr>
              <w:jc w:val="center"/>
              <w:rPr>
                <w:rFonts w:ascii="Calibri" w:hAnsi="Calibri" w:cs="Tahoma"/>
                <w:sz w:val="20"/>
                <w:szCs w:val="20"/>
              </w:rPr>
            </w:pPr>
          </w:p>
        </w:tc>
      </w:tr>
      <w:tr w:rsidR="001A74D1" w14:paraId="0BE14EBA" w14:textId="77777777" w:rsidTr="001A74D1">
        <w:tc>
          <w:tcPr>
            <w:tcW w:w="2225" w:type="dxa"/>
            <w:hideMark/>
          </w:tcPr>
          <w:p w14:paraId="62E7D475" w14:textId="008AE9E9" w:rsidR="001A74D1" w:rsidRDefault="00782C6D">
            <w:pPr>
              <w:autoSpaceDE w:val="0"/>
              <w:autoSpaceDN w:val="0"/>
              <w:adjustRightInd w:val="0"/>
              <w:jc w:val="right"/>
              <w:rPr>
                <w:rFonts w:ascii="Calibri" w:hAnsi="Calibri" w:cs="Tahoma"/>
                <w:sz w:val="20"/>
                <w:szCs w:val="20"/>
              </w:rPr>
            </w:pPr>
            <w:r>
              <w:rPr>
                <w:rFonts w:ascii="Calibri" w:hAnsi="Calibri" w:cs="Tahoma"/>
                <w:sz w:val="20"/>
                <w:szCs w:val="20"/>
              </w:rPr>
              <w:t>3 years</w:t>
            </w:r>
          </w:p>
        </w:tc>
        <w:tc>
          <w:tcPr>
            <w:tcW w:w="1652" w:type="dxa"/>
            <w:hideMark/>
          </w:tcPr>
          <w:p w14:paraId="72CE81D7" w14:textId="77777777" w:rsidR="001A74D1" w:rsidRDefault="001A74D1">
            <w:pPr>
              <w:jc w:val="center"/>
              <w:rPr>
                <w:rFonts w:ascii="Calibri" w:hAnsi="Calibri" w:cs="Tahoma"/>
                <w:sz w:val="20"/>
                <w:szCs w:val="20"/>
              </w:rPr>
            </w:pPr>
            <w:r>
              <w:rPr>
                <w:sz w:val="20"/>
              </w:rPr>
              <w:t>169/474 (36%)</w:t>
            </w:r>
          </w:p>
        </w:tc>
        <w:tc>
          <w:tcPr>
            <w:tcW w:w="1652" w:type="dxa"/>
            <w:hideMark/>
          </w:tcPr>
          <w:p w14:paraId="7758002D" w14:textId="77777777" w:rsidR="001A74D1" w:rsidRDefault="001A74D1">
            <w:pPr>
              <w:jc w:val="center"/>
              <w:rPr>
                <w:rFonts w:ascii="Calibri" w:hAnsi="Calibri" w:cs="Tahoma"/>
                <w:sz w:val="20"/>
                <w:szCs w:val="20"/>
              </w:rPr>
            </w:pPr>
            <w:r>
              <w:rPr>
                <w:sz w:val="20"/>
              </w:rPr>
              <w:t>168/493 (34%)</w:t>
            </w:r>
          </w:p>
        </w:tc>
        <w:tc>
          <w:tcPr>
            <w:tcW w:w="2197" w:type="dxa"/>
            <w:hideMark/>
          </w:tcPr>
          <w:p w14:paraId="060BADEB" w14:textId="77777777" w:rsidR="001A74D1" w:rsidRDefault="001A74D1">
            <w:pPr>
              <w:jc w:val="center"/>
              <w:rPr>
                <w:rFonts w:ascii="Calibri" w:hAnsi="Calibri" w:cs="Tahoma"/>
                <w:sz w:val="20"/>
                <w:szCs w:val="20"/>
              </w:rPr>
            </w:pPr>
            <w:r>
              <w:rPr>
                <w:sz w:val="20"/>
              </w:rPr>
              <w:t>1.03 (0.87 to 1.21)</w:t>
            </w:r>
          </w:p>
        </w:tc>
        <w:tc>
          <w:tcPr>
            <w:tcW w:w="2197" w:type="dxa"/>
            <w:hideMark/>
          </w:tcPr>
          <w:p w14:paraId="091BD5AF" w14:textId="77777777" w:rsidR="001A74D1" w:rsidRDefault="001A74D1">
            <w:pPr>
              <w:jc w:val="center"/>
              <w:rPr>
                <w:rFonts w:ascii="Calibri" w:hAnsi="Calibri" w:cs="Tahoma"/>
                <w:sz w:val="20"/>
                <w:szCs w:val="20"/>
              </w:rPr>
            </w:pPr>
            <w:r>
              <w:rPr>
                <w:sz w:val="20"/>
              </w:rPr>
              <w:t>1.0% (-4.8% to 6.8%)</w:t>
            </w:r>
          </w:p>
        </w:tc>
      </w:tr>
      <w:tr w:rsidR="001A74D1" w14:paraId="20B9F8E8" w14:textId="77777777" w:rsidTr="001A74D1">
        <w:tc>
          <w:tcPr>
            <w:tcW w:w="2225" w:type="dxa"/>
          </w:tcPr>
          <w:p w14:paraId="5D95F93B" w14:textId="77777777" w:rsidR="001A74D1" w:rsidRDefault="001A74D1">
            <w:pPr>
              <w:autoSpaceDE w:val="0"/>
              <w:autoSpaceDN w:val="0"/>
              <w:adjustRightInd w:val="0"/>
              <w:jc w:val="right"/>
              <w:rPr>
                <w:rFonts w:ascii="Calibri" w:hAnsi="Calibri" w:cs="Tahoma"/>
                <w:sz w:val="20"/>
                <w:szCs w:val="20"/>
              </w:rPr>
            </w:pPr>
          </w:p>
        </w:tc>
        <w:tc>
          <w:tcPr>
            <w:tcW w:w="1652" w:type="dxa"/>
          </w:tcPr>
          <w:p w14:paraId="5D872718" w14:textId="77777777" w:rsidR="001A74D1" w:rsidRDefault="001A74D1">
            <w:pPr>
              <w:jc w:val="center"/>
              <w:rPr>
                <w:rFonts w:ascii="Calibri" w:hAnsi="Calibri" w:cs="Tahoma"/>
                <w:sz w:val="20"/>
                <w:szCs w:val="20"/>
              </w:rPr>
            </w:pPr>
          </w:p>
        </w:tc>
        <w:tc>
          <w:tcPr>
            <w:tcW w:w="1652" w:type="dxa"/>
          </w:tcPr>
          <w:p w14:paraId="24F3BBAE" w14:textId="77777777" w:rsidR="001A74D1" w:rsidRDefault="001A74D1">
            <w:pPr>
              <w:jc w:val="center"/>
              <w:rPr>
                <w:rFonts w:ascii="Calibri" w:hAnsi="Calibri" w:cs="Tahoma"/>
                <w:sz w:val="20"/>
                <w:szCs w:val="20"/>
              </w:rPr>
            </w:pPr>
          </w:p>
        </w:tc>
        <w:tc>
          <w:tcPr>
            <w:tcW w:w="2197" w:type="dxa"/>
          </w:tcPr>
          <w:p w14:paraId="3573D4A2" w14:textId="77777777" w:rsidR="001A74D1" w:rsidRDefault="001A74D1">
            <w:pPr>
              <w:jc w:val="center"/>
              <w:rPr>
                <w:rFonts w:ascii="Calibri" w:hAnsi="Calibri" w:cs="Tahoma"/>
                <w:sz w:val="20"/>
                <w:szCs w:val="20"/>
              </w:rPr>
            </w:pPr>
          </w:p>
        </w:tc>
        <w:tc>
          <w:tcPr>
            <w:tcW w:w="2197" w:type="dxa"/>
          </w:tcPr>
          <w:p w14:paraId="37B11D33" w14:textId="77777777" w:rsidR="001A74D1" w:rsidRDefault="001A74D1">
            <w:pPr>
              <w:jc w:val="center"/>
              <w:rPr>
                <w:rFonts w:ascii="Calibri" w:hAnsi="Calibri" w:cs="Tahoma"/>
                <w:sz w:val="20"/>
                <w:szCs w:val="20"/>
              </w:rPr>
            </w:pPr>
          </w:p>
        </w:tc>
      </w:tr>
      <w:tr w:rsidR="001A74D1" w14:paraId="752B429D" w14:textId="77777777" w:rsidTr="001A74D1">
        <w:tc>
          <w:tcPr>
            <w:tcW w:w="2225" w:type="dxa"/>
            <w:hideMark/>
          </w:tcPr>
          <w:p w14:paraId="198EABC8" w14:textId="18410737" w:rsidR="001A74D1" w:rsidRDefault="00782C6D">
            <w:pPr>
              <w:autoSpaceDE w:val="0"/>
              <w:autoSpaceDN w:val="0"/>
              <w:adjustRightInd w:val="0"/>
              <w:jc w:val="right"/>
              <w:rPr>
                <w:rFonts w:ascii="Calibri" w:hAnsi="Calibri" w:cs="Tahoma"/>
                <w:sz w:val="20"/>
                <w:szCs w:val="20"/>
              </w:rPr>
            </w:pPr>
            <w:r>
              <w:rPr>
                <w:rFonts w:ascii="Calibri" w:hAnsi="Calibri" w:cs="Tahoma"/>
                <w:sz w:val="20"/>
                <w:szCs w:val="20"/>
              </w:rPr>
              <w:t>4 years</w:t>
            </w:r>
          </w:p>
        </w:tc>
        <w:tc>
          <w:tcPr>
            <w:tcW w:w="1652" w:type="dxa"/>
            <w:hideMark/>
          </w:tcPr>
          <w:p w14:paraId="1160E6C9" w14:textId="77777777" w:rsidR="001A74D1" w:rsidRDefault="001A74D1">
            <w:pPr>
              <w:jc w:val="center"/>
              <w:rPr>
                <w:rFonts w:ascii="Calibri" w:hAnsi="Calibri" w:cs="Tahoma"/>
                <w:sz w:val="20"/>
                <w:szCs w:val="20"/>
              </w:rPr>
            </w:pPr>
            <w:r>
              <w:rPr>
                <w:sz w:val="20"/>
              </w:rPr>
              <w:t>154/459 (34%)</w:t>
            </w:r>
          </w:p>
        </w:tc>
        <w:tc>
          <w:tcPr>
            <w:tcW w:w="1652" w:type="dxa"/>
            <w:hideMark/>
          </w:tcPr>
          <w:p w14:paraId="4D82594D" w14:textId="77777777" w:rsidR="001A74D1" w:rsidRDefault="001A74D1">
            <w:pPr>
              <w:jc w:val="center"/>
              <w:rPr>
                <w:rFonts w:ascii="Calibri" w:hAnsi="Calibri" w:cs="Tahoma"/>
                <w:sz w:val="20"/>
                <w:szCs w:val="20"/>
              </w:rPr>
            </w:pPr>
            <w:r>
              <w:rPr>
                <w:sz w:val="20"/>
              </w:rPr>
              <w:t>162/513 (32%)</w:t>
            </w:r>
          </w:p>
        </w:tc>
        <w:tc>
          <w:tcPr>
            <w:tcW w:w="2197" w:type="dxa"/>
            <w:hideMark/>
          </w:tcPr>
          <w:p w14:paraId="1CA8C63A" w14:textId="77777777" w:rsidR="001A74D1" w:rsidRDefault="001A74D1">
            <w:pPr>
              <w:jc w:val="center"/>
              <w:rPr>
                <w:rFonts w:ascii="Calibri" w:hAnsi="Calibri" w:cs="Tahoma"/>
                <w:sz w:val="20"/>
                <w:szCs w:val="20"/>
              </w:rPr>
            </w:pPr>
            <w:r>
              <w:rPr>
                <w:sz w:val="20"/>
              </w:rPr>
              <w:t>1.06 (0.89 to 1.26)</w:t>
            </w:r>
          </w:p>
        </w:tc>
        <w:tc>
          <w:tcPr>
            <w:tcW w:w="2197" w:type="dxa"/>
            <w:hideMark/>
          </w:tcPr>
          <w:p w14:paraId="11C95E17" w14:textId="77777777" w:rsidR="001A74D1" w:rsidRDefault="001A74D1">
            <w:pPr>
              <w:jc w:val="center"/>
              <w:rPr>
                <w:rFonts w:ascii="Calibri" w:hAnsi="Calibri" w:cs="Tahoma"/>
                <w:sz w:val="20"/>
                <w:szCs w:val="20"/>
              </w:rPr>
            </w:pPr>
            <w:r>
              <w:rPr>
                <w:sz w:val="20"/>
              </w:rPr>
              <w:t>1.9% (-3.8% to 7.5%)</w:t>
            </w:r>
          </w:p>
        </w:tc>
      </w:tr>
      <w:tr w:rsidR="001A74D1" w14:paraId="4FFC046B" w14:textId="77777777" w:rsidTr="001A74D1">
        <w:tc>
          <w:tcPr>
            <w:tcW w:w="2225" w:type="dxa"/>
          </w:tcPr>
          <w:p w14:paraId="17A76BF6" w14:textId="77777777" w:rsidR="001A74D1" w:rsidRDefault="001A74D1">
            <w:pPr>
              <w:autoSpaceDE w:val="0"/>
              <w:autoSpaceDN w:val="0"/>
              <w:adjustRightInd w:val="0"/>
              <w:jc w:val="right"/>
              <w:rPr>
                <w:rFonts w:ascii="Calibri" w:hAnsi="Calibri" w:cs="Tahoma"/>
                <w:sz w:val="20"/>
                <w:szCs w:val="20"/>
              </w:rPr>
            </w:pPr>
          </w:p>
        </w:tc>
        <w:tc>
          <w:tcPr>
            <w:tcW w:w="1652" w:type="dxa"/>
          </w:tcPr>
          <w:p w14:paraId="0CE577A4" w14:textId="77777777" w:rsidR="001A74D1" w:rsidRDefault="001A74D1">
            <w:pPr>
              <w:jc w:val="center"/>
              <w:rPr>
                <w:rFonts w:ascii="Calibri" w:hAnsi="Calibri" w:cs="Tahoma"/>
                <w:sz w:val="20"/>
                <w:szCs w:val="20"/>
              </w:rPr>
            </w:pPr>
          </w:p>
        </w:tc>
        <w:tc>
          <w:tcPr>
            <w:tcW w:w="1652" w:type="dxa"/>
          </w:tcPr>
          <w:p w14:paraId="5A2B75B0" w14:textId="77777777" w:rsidR="001A74D1" w:rsidRDefault="001A74D1">
            <w:pPr>
              <w:jc w:val="center"/>
              <w:rPr>
                <w:rFonts w:ascii="Calibri" w:hAnsi="Calibri" w:cs="Tahoma"/>
                <w:sz w:val="20"/>
                <w:szCs w:val="20"/>
              </w:rPr>
            </w:pPr>
          </w:p>
        </w:tc>
        <w:tc>
          <w:tcPr>
            <w:tcW w:w="2197" w:type="dxa"/>
          </w:tcPr>
          <w:p w14:paraId="504EDA19" w14:textId="77777777" w:rsidR="001A74D1" w:rsidRDefault="001A74D1">
            <w:pPr>
              <w:jc w:val="center"/>
              <w:rPr>
                <w:rFonts w:ascii="Calibri" w:hAnsi="Calibri" w:cs="Tahoma"/>
                <w:sz w:val="20"/>
                <w:szCs w:val="20"/>
              </w:rPr>
            </w:pPr>
          </w:p>
        </w:tc>
        <w:tc>
          <w:tcPr>
            <w:tcW w:w="2197" w:type="dxa"/>
          </w:tcPr>
          <w:p w14:paraId="7C11BFE7" w14:textId="77777777" w:rsidR="001A74D1" w:rsidRDefault="001A74D1">
            <w:pPr>
              <w:jc w:val="center"/>
              <w:rPr>
                <w:rFonts w:ascii="Calibri" w:hAnsi="Calibri" w:cs="Tahoma"/>
                <w:sz w:val="20"/>
                <w:szCs w:val="20"/>
              </w:rPr>
            </w:pPr>
          </w:p>
        </w:tc>
      </w:tr>
      <w:tr w:rsidR="001A74D1" w14:paraId="756A9DF9" w14:textId="77777777" w:rsidTr="001A74D1">
        <w:tc>
          <w:tcPr>
            <w:tcW w:w="2225" w:type="dxa"/>
            <w:hideMark/>
          </w:tcPr>
          <w:p w14:paraId="12424E52" w14:textId="6E3EAC73" w:rsidR="001A74D1" w:rsidRDefault="00782C6D">
            <w:pPr>
              <w:autoSpaceDE w:val="0"/>
              <w:autoSpaceDN w:val="0"/>
              <w:adjustRightInd w:val="0"/>
              <w:jc w:val="right"/>
              <w:rPr>
                <w:rFonts w:ascii="Calibri" w:hAnsi="Calibri" w:cs="Tahoma"/>
                <w:sz w:val="20"/>
                <w:szCs w:val="20"/>
              </w:rPr>
            </w:pPr>
            <w:r>
              <w:rPr>
                <w:rFonts w:ascii="Calibri" w:hAnsi="Calibri" w:cs="Tahoma"/>
                <w:sz w:val="20"/>
                <w:szCs w:val="20"/>
              </w:rPr>
              <w:t>5 years</w:t>
            </w:r>
          </w:p>
        </w:tc>
        <w:tc>
          <w:tcPr>
            <w:tcW w:w="1652" w:type="dxa"/>
            <w:hideMark/>
          </w:tcPr>
          <w:p w14:paraId="14C36447" w14:textId="77777777" w:rsidR="001A74D1" w:rsidRDefault="001A74D1">
            <w:pPr>
              <w:jc w:val="center"/>
              <w:rPr>
                <w:rFonts w:ascii="Calibri" w:hAnsi="Calibri" w:cs="Tahoma"/>
                <w:sz w:val="20"/>
                <w:szCs w:val="20"/>
              </w:rPr>
            </w:pPr>
            <w:r>
              <w:rPr>
                <w:sz w:val="20"/>
              </w:rPr>
              <w:t>168/460 (37%)</w:t>
            </w:r>
          </w:p>
        </w:tc>
        <w:tc>
          <w:tcPr>
            <w:tcW w:w="1652" w:type="dxa"/>
            <w:hideMark/>
          </w:tcPr>
          <w:p w14:paraId="26EAAC05" w14:textId="77777777" w:rsidR="001A74D1" w:rsidRDefault="001A74D1">
            <w:pPr>
              <w:jc w:val="center"/>
              <w:rPr>
                <w:rFonts w:ascii="Calibri" w:hAnsi="Calibri" w:cs="Tahoma"/>
                <w:sz w:val="20"/>
                <w:szCs w:val="20"/>
              </w:rPr>
            </w:pPr>
            <w:r>
              <w:rPr>
                <w:sz w:val="20"/>
              </w:rPr>
              <w:t>151/499 (30%)</w:t>
            </w:r>
          </w:p>
        </w:tc>
        <w:tc>
          <w:tcPr>
            <w:tcW w:w="2197" w:type="dxa"/>
            <w:hideMark/>
          </w:tcPr>
          <w:p w14:paraId="13D60673" w14:textId="77777777" w:rsidR="001A74D1" w:rsidRDefault="001A74D1">
            <w:pPr>
              <w:jc w:val="center"/>
              <w:rPr>
                <w:rFonts w:ascii="Calibri" w:hAnsi="Calibri" w:cs="Tahoma"/>
                <w:sz w:val="20"/>
                <w:szCs w:val="20"/>
              </w:rPr>
            </w:pPr>
            <w:r>
              <w:rPr>
                <w:sz w:val="20"/>
              </w:rPr>
              <w:t>1.18 (0.99 to 1.39)</w:t>
            </w:r>
          </w:p>
        </w:tc>
        <w:tc>
          <w:tcPr>
            <w:tcW w:w="2197" w:type="dxa"/>
            <w:hideMark/>
          </w:tcPr>
          <w:p w14:paraId="14C219F6" w14:textId="77777777" w:rsidR="001A74D1" w:rsidRDefault="001A74D1">
            <w:pPr>
              <w:jc w:val="center"/>
              <w:rPr>
                <w:rFonts w:ascii="Calibri" w:hAnsi="Calibri" w:cs="Tahoma"/>
                <w:sz w:val="20"/>
                <w:szCs w:val="20"/>
              </w:rPr>
            </w:pPr>
            <w:r>
              <w:rPr>
                <w:sz w:val="20"/>
              </w:rPr>
              <w:t>5.4% (-0.3% to 11.1%)</w:t>
            </w:r>
          </w:p>
        </w:tc>
      </w:tr>
      <w:tr w:rsidR="001A74D1" w14:paraId="1E52C17F" w14:textId="77777777" w:rsidTr="001A74D1">
        <w:tc>
          <w:tcPr>
            <w:tcW w:w="2225" w:type="dxa"/>
            <w:tcBorders>
              <w:top w:val="nil"/>
              <w:left w:val="nil"/>
              <w:bottom w:val="single" w:sz="4" w:space="0" w:color="auto"/>
              <w:right w:val="nil"/>
            </w:tcBorders>
          </w:tcPr>
          <w:p w14:paraId="163B4EB9" w14:textId="77777777" w:rsidR="001A74D1" w:rsidRDefault="001A74D1">
            <w:pPr>
              <w:autoSpaceDE w:val="0"/>
              <w:autoSpaceDN w:val="0"/>
              <w:adjustRightInd w:val="0"/>
              <w:jc w:val="right"/>
              <w:rPr>
                <w:rFonts w:ascii="Calibri" w:hAnsi="Calibri" w:cs="Tahoma"/>
                <w:sz w:val="20"/>
                <w:szCs w:val="20"/>
              </w:rPr>
            </w:pPr>
          </w:p>
        </w:tc>
        <w:tc>
          <w:tcPr>
            <w:tcW w:w="1652" w:type="dxa"/>
            <w:tcBorders>
              <w:top w:val="nil"/>
              <w:left w:val="nil"/>
              <w:bottom w:val="single" w:sz="4" w:space="0" w:color="auto"/>
              <w:right w:val="nil"/>
            </w:tcBorders>
          </w:tcPr>
          <w:p w14:paraId="7C47CD05" w14:textId="77777777" w:rsidR="001A74D1" w:rsidRDefault="001A74D1">
            <w:pPr>
              <w:jc w:val="center"/>
              <w:rPr>
                <w:rFonts w:ascii="Calibri" w:hAnsi="Calibri" w:cs="Tahoma"/>
                <w:sz w:val="20"/>
                <w:szCs w:val="20"/>
              </w:rPr>
            </w:pPr>
          </w:p>
        </w:tc>
        <w:tc>
          <w:tcPr>
            <w:tcW w:w="1652" w:type="dxa"/>
            <w:tcBorders>
              <w:top w:val="nil"/>
              <w:left w:val="nil"/>
              <w:bottom w:val="single" w:sz="4" w:space="0" w:color="auto"/>
              <w:right w:val="nil"/>
            </w:tcBorders>
          </w:tcPr>
          <w:p w14:paraId="69913366" w14:textId="77777777" w:rsidR="001A74D1" w:rsidRDefault="001A74D1">
            <w:pPr>
              <w:jc w:val="center"/>
              <w:rPr>
                <w:rFonts w:ascii="Calibri" w:hAnsi="Calibri" w:cs="Tahoma"/>
                <w:sz w:val="20"/>
                <w:szCs w:val="20"/>
              </w:rPr>
            </w:pPr>
          </w:p>
        </w:tc>
        <w:tc>
          <w:tcPr>
            <w:tcW w:w="2197" w:type="dxa"/>
            <w:tcBorders>
              <w:top w:val="nil"/>
              <w:left w:val="nil"/>
              <w:bottom w:val="single" w:sz="4" w:space="0" w:color="auto"/>
              <w:right w:val="nil"/>
            </w:tcBorders>
          </w:tcPr>
          <w:p w14:paraId="026DB031" w14:textId="77777777" w:rsidR="001A74D1" w:rsidRDefault="001A74D1">
            <w:pPr>
              <w:jc w:val="center"/>
              <w:rPr>
                <w:rFonts w:ascii="Calibri" w:hAnsi="Calibri" w:cs="Tahoma"/>
                <w:sz w:val="20"/>
                <w:szCs w:val="20"/>
              </w:rPr>
            </w:pPr>
          </w:p>
        </w:tc>
        <w:tc>
          <w:tcPr>
            <w:tcW w:w="2197" w:type="dxa"/>
            <w:tcBorders>
              <w:top w:val="nil"/>
              <w:left w:val="nil"/>
              <w:bottom w:val="single" w:sz="4" w:space="0" w:color="auto"/>
              <w:right w:val="nil"/>
            </w:tcBorders>
          </w:tcPr>
          <w:p w14:paraId="450CFD00" w14:textId="77777777" w:rsidR="001A74D1" w:rsidRDefault="001A74D1">
            <w:pPr>
              <w:jc w:val="center"/>
              <w:rPr>
                <w:rFonts w:ascii="Calibri" w:hAnsi="Calibri" w:cs="Tahoma"/>
                <w:sz w:val="20"/>
                <w:szCs w:val="20"/>
              </w:rPr>
            </w:pPr>
          </w:p>
        </w:tc>
      </w:tr>
    </w:tbl>
    <w:p w14:paraId="129048F3" w14:textId="77777777" w:rsidR="001A74D1" w:rsidRDefault="001A74D1" w:rsidP="001A74D1">
      <w:pPr>
        <w:rPr>
          <w:sz w:val="18"/>
          <w:szCs w:val="20"/>
        </w:rPr>
      </w:pPr>
      <w:r>
        <w:rPr>
          <w:sz w:val="18"/>
          <w:szCs w:val="20"/>
        </w:rPr>
        <w:t xml:space="preserve">Adjusted relative risk/difference in risk estimated using a mixed effects logistic regression model using all available outcome data adjusting for randomisation stratification variables (using fixed effect for of number of immediate family members with atopic disease and a random effect for the recruiting centre) and including a random effect for participants with an exchangeable covariance structure. Model includes 8226 observations (4040 intervention, 4186 control) from 1278 participants (632 intervention, 646 control). </w:t>
      </w:r>
    </w:p>
    <w:p w14:paraId="1EB0F916" w14:textId="3816D0D7" w:rsidR="5A9C38EC" w:rsidRDefault="5A9C38EC" w:rsidP="5A9C38EC"/>
    <w:p w14:paraId="7175F670" w14:textId="77777777" w:rsidR="00996D4E" w:rsidRDefault="00996D4E">
      <w:pPr>
        <w:rPr>
          <w:rFonts w:ascii="Verdana" w:hAnsi="Verdana"/>
          <w:i/>
          <w:iCs/>
          <w:color w:val="44546A" w:themeColor="text2"/>
          <w:sz w:val="18"/>
          <w:szCs w:val="18"/>
        </w:rPr>
      </w:pPr>
      <w:r>
        <w:rPr>
          <w:rFonts w:ascii="Verdana" w:hAnsi="Verdana"/>
          <w:b/>
          <w:bCs/>
          <w:i/>
          <w:iCs/>
          <w:color w:val="44546A" w:themeColor="text2"/>
          <w:sz w:val="18"/>
        </w:rPr>
        <w:br w:type="page"/>
      </w:r>
    </w:p>
    <w:p w14:paraId="28C48F5A" w14:textId="4272016C" w:rsidR="008825A5" w:rsidRDefault="007244D6" w:rsidP="008825A5">
      <w:pPr>
        <w:pStyle w:val="Caption"/>
        <w:rPr>
          <w:rFonts w:ascii="Verdana" w:eastAsiaTheme="minorHAnsi" w:hAnsi="Verdana"/>
          <w:b w:val="0"/>
          <w:bCs w:val="0"/>
          <w:i/>
          <w:iCs/>
          <w:color w:val="44546A" w:themeColor="text2"/>
          <w:sz w:val="18"/>
          <w:lang w:bidi="ar-SA"/>
        </w:rPr>
      </w:pPr>
      <w:r>
        <w:rPr>
          <w:rFonts w:ascii="Verdana" w:eastAsiaTheme="minorHAnsi" w:hAnsi="Verdana"/>
          <w:b w:val="0"/>
          <w:bCs w:val="0"/>
          <w:i/>
          <w:iCs/>
          <w:color w:val="44546A" w:themeColor="text2"/>
          <w:sz w:val="18"/>
          <w:lang w:bidi="ar-SA"/>
        </w:rPr>
        <w:lastRenderedPageBreak/>
        <w:t>Table S</w:t>
      </w:r>
      <w:r w:rsidR="00FA325B">
        <w:rPr>
          <w:rFonts w:ascii="Verdana" w:eastAsiaTheme="minorHAnsi" w:hAnsi="Verdana"/>
          <w:b w:val="0"/>
          <w:bCs w:val="0"/>
          <w:i/>
          <w:iCs/>
          <w:color w:val="44546A" w:themeColor="text2"/>
          <w:sz w:val="18"/>
          <w:lang w:bidi="ar-SA"/>
        </w:rPr>
        <w:t>3</w:t>
      </w:r>
      <w:r w:rsidR="008825A5">
        <w:rPr>
          <w:rFonts w:ascii="Verdana" w:eastAsiaTheme="minorHAnsi" w:hAnsi="Verdana"/>
          <w:b w:val="0"/>
          <w:bCs w:val="0"/>
          <w:i/>
          <w:iCs/>
          <w:color w:val="44546A" w:themeColor="text2"/>
          <w:sz w:val="18"/>
          <w:lang w:bidi="ar-SA"/>
        </w:rPr>
        <w:t xml:space="preserve">: </w:t>
      </w:r>
      <w:r w:rsidR="008825A5" w:rsidRPr="008825A5">
        <w:rPr>
          <w:rFonts w:ascii="Verdana" w:eastAsiaTheme="minorHAnsi" w:hAnsi="Verdana"/>
          <w:b w:val="0"/>
          <w:bCs w:val="0"/>
          <w:i/>
          <w:iCs/>
          <w:color w:val="44546A" w:themeColor="text2"/>
          <w:sz w:val="18"/>
          <w:lang w:bidi="ar-SA"/>
        </w:rPr>
        <w:t>Sensitivity analysis for</w:t>
      </w:r>
      <w:r w:rsidR="00EA6A89">
        <w:rPr>
          <w:rFonts w:ascii="Verdana" w:eastAsiaTheme="minorHAnsi" w:hAnsi="Verdana"/>
          <w:b w:val="0"/>
          <w:bCs w:val="0"/>
          <w:i/>
          <w:iCs/>
          <w:color w:val="44546A" w:themeColor="text2"/>
          <w:sz w:val="18"/>
          <w:lang w:bidi="ar-SA"/>
        </w:rPr>
        <w:t xml:space="preserve"> missing data </w:t>
      </w:r>
      <w:r w:rsidR="008A3AE3">
        <w:rPr>
          <w:rFonts w:ascii="Verdana" w:eastAsiaTheme="minorHAnsi" w:hAnsi="Verdana"/>
          <w:b w:val="0"/>
          <w:bCs w:val="0"/>
          <w:i/>
          <w:iCs/>
          <w:color w:val="44546A" w:themeColor="text2"/>
          <w:sz w:val="18"/>
          <w:lang w:bidi="ar-SA"/>
        </w:rPr>
        <w:t xml:space="preserve">using delta based multiple imputation </w:t>
      </w:r>
    </w:p>
    <w:p w14:paraId="27DDC571" w14:textId="77777777" w:rsidR="009E78BA" w:rsidRDefault="009E78BA" w:rsidP="009E78BA"/>
    <w:p w14:paraId="513C4E78" w14:textId="0B2BA809" w:rsidR="009E78BA" w:rsidRPr="009E78BA" w:rsidRDefault="009E78BA" w:rsidP="009E78BA">
      <w:pPr>
        <w:pStyle w:val="ListParagraph"/>
        <w:numPr>
          <w:ilvl w:val="0"/>
          <w:numId w:val="3"/>
        </w:numPr>
      </w:pPr>
      <w:r>
        <w:t>p</w:t>
      </w:r>
      <w:r w:rsidRPr="009E78BA">
        <w:rPr>
          <w:rFonts w:ascii="Calibri" w:hAnsi="Calibri"/>
          <w:lang w:eastAsia="zh-CN"/>
        </w:rPr>
        <w:t xml:space="preserve">arental report of clinical diagnosis of </w:t>
      </w:r>
      <w:r w:rsidR="0041603B">
        <w:rPr>
          <w:rFonts w:ascii="Calibri" w:hAnsi="Calibri"/>
          <w:lang w:eastAsia="zh-CN"/>
        </w:rPr>
        <w:t>AD</w:t>
      </w:r>
      <w:r w:rsidRPr="009E78BA">
        <w:rPr>
          <w:rFonts w:ascii="Calibri" w:hAnsi="Calibri"/>
          <w:lang w:eastAsia="zh-CN"/>
        </w:rPr>
        <w:t xml:space="preserve"> from the age of 12 months to 60 months</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8"/>
        <w:gridCol w:w="2174"/>
        <w:gridCol w:w="2174"/>
      </w:tblGrid>
      <w:tr w:rsidR="009E78BA" w:rsidRPr="009E78BA" w14:paraId="6015D270" w14:textId="77777777" w:rsidTr="009E78BA">
        <w:tc>
          <w:tcPr>
            <w:tcW w:w="3958" w:type="dxa"/>
            <w:tcBorders>
              <w:top w:val="single" w:sz="4" w:space="0" w:color="auto"/>
              <w:left w:val="nil"/>
              <w:bottom w:val="single" w:sz="4" w:space="0" w:color="auto"/>
              <w:right w:val="nil"/>
            </w:tcBorders>
          </w:tcPr>
          <w:p w14:paraId="6C29681A" w14:textId="77777777" w:rsidR="009E78BA" w:rsidRPr="009E78BA" w:rsidRDefault="009E78BA" w:rsidP="009E78BA">
            <w:pPr>
              <w:spacing w:line="256" w:lineRule="auto"/>
              <w:contextualSpacing/>
              <w:rPr>
                <w:rFonts w:eastAsia="SimSun"/>
                <w:sz w:val="20"/>
              </w:rPr>
            </w:pPr>
          </w:p>
        </w:tc>
        <w:tc>
          <w:tcPr>
            <w:tcW w:w="2174" w:type="dxa"/>
            <w:tcBorders>
              <w:top w:val="single" w:sz="4" w:space="0" w:color="auto"/>
              <w:left w:val="nil"/>
              <w:bottom w:val="single" w:sz="4" w:space="0" w:color="auto"/>
              <w:right w:val="nil"/>
            </w:tcBorders>
            <w:vAlign w:val="bottom"/>
            <w:hideMark/>
          </w:tcPr>
          <w:p w14:paraId="0B8B98C0" w14:textId="77777777" w:rsidR="009E78BA" w:rsidRPr="009E78BA" w:rsidRDefault="009E78BA" w:rsidP="009E78BA">
            <w:pPr>
              <w:jc w:val="center"/>
              <w:rPr>
                <w:rFonts w:eastAsia="SimSun" w:cs="Tahoma"/>
                <w:sz w:val="20"/>
                <w:szCs w:val="20"/>
              </w:rPr>
            </w:pPr>
            <w:r w:rsidRPr="009E78BA">
              <w:rPr>
                <w:rFonts w:eastAsia="SimSun" w:cs="Tahoma"/>
                <w:sz w:val="20"/>
                <w:szCs w:val="20"/>
              </w:rPr>
              <w:t>Adjusted relative risk</w:t>
            </w:r>
          </w:p>
          <w:p w14:paraId="056FA624" w14:textId="77777777" w:rsidR="009E78BA" w:rsidRPr="009E78BA" w:rsidRDefault="009E78BA" w:rsidP="009E78BA">
            <w:pPr>
              <w:spacing w:line="256" w:lineRule="auto"/>
              <w:contextualSpacing/>
              <w:jc w:val="center"/>
              <w:rPr>
                <w:rFonts w:eastAsia="SimSun"/>
                <w:sz w:val="20"/>
              </w:rPr>
            </w:pPr>
            <w:r w:rsidRPr="009E78BA">
              <w:rPr>
                <w:rFonts w:eastAsia="SimSun" w:cs="Tahoma"/>
                <w:sz w:val="20"/>
                <w:szCs w:val="20"/>
              </w:rPr>
              <w:t>(95% CI)</w:t>
            </w:r>
          </w:p>
        </w:tc>
        <w:tc>
          <w:tcPr>
            <w:tcW w:w="2174" w:type="dxa"/>
            <w:tcBorders>
              <w:top w:val="single" w:sz="4" w:space="0" w:color="auto"/>
              <w:left w:val="nil"/>
              <w:bottom w:val="single" w:sz="4" w:space="0" w:color="auto"/>
              <w:right w:val="nil"/>
            </w:tcBorders>
            <w:vAlign w:val="bottom"/>
            <w:hideMark/>
          </w:tcPr>
          <w:p w14:paraId="274562E2" w14:textId="77777777" w:rsidR="009E78BA" w:rsidRPr="009E78BA" w:rsidRDefault="009E78BA" w:rsidP="009E78BA">
            <w:pPr>
              <w:jc w:val="center"/>
              <w:rPr>
                <w:rFonts w:eastAsia="SimSun" w:cs="Tahoma"/>
                <w:sz w:val="20"/>
                <w:szCs w:val="20"/>
              </w:rPr>
            </w:pPr>
            <w:r w:rsidRPr="009E78BA">
              <w:rPr>
                <w:rFonts w:eastAsia="SimSun" w:cs="Tahoma"/>
                <w:sz w:val="20"/>
                <w:szCs w:val="20"/>
              </w:rPr>
              <w:t>Adjusted</w:t>
            </w:r>
          </w:p>
          <w:p w14:paraId="2BEF4D99" w14:textId="77777777" w:rsidR="009E78BA" w:rsidRPr="009E78BA" w:rsidRDefault="009E78BA" w:rsidP="009E78BA">
            <w:pPr>
              <w:jc w:val="center"/>
              <w:rPr>
                <w:rFonts w:eastAsia="SimSun" w:cs="Tahoma"/>
                <w:sz w:val="20"/>
                <w:szCs w:val="20"/>
              </w:rPr>
            </w:pPr>
            <w:r w:rsidRPr="009E78BA">
              <w:rPr>
                <w:rFonts w:eastAsia="SimSun" w:cs="Tahoma"/>
                <w:sz w:val="20"/>
                <w:szCs w:val="20"/>
              </w:rPr>
              <w:t>difference in risk</w:t>
            </w:r>
          </w:p>
          <w:p w14:paraId="1680A3BA" w14:textId="77777777" w:rsidR="009E78BA" w:rsidRPr="009E78BA" w:rsidRDefault="009E78BA" w:rsidP="009E78BA">
            <w:pPr>
              <w:spacing w:line="256" w:lineRule="auto"/>
              <w:contextualSpacing/>
              <w:jc w:val="center"/>
              <w:rPr>
                <w:rFonts w:eastAsia="SimSun"/>
                <w:sz w:val="20"/>
              </w:rPr>
            </w:pPr>
            <w:r w:rsidRPr="009E78BA">
              <w:rPr>
                <w:rFonts w:eastAsia="SimSun" w:cs="Tahoma"/>
                <w:sz w:val="20"/>
                <w:szCs w:val="20"/>
              </w:rPr>
              <w:t>(95% CI)</w:t>
            </w:r>
          </w:p>
        </w:tc>
      </w:tr>
      <w:tr w:rsidR="009E78BA" w:rsidRPr="009E78BA" w14:paraId="24474FD3" w14:textId="77777777" w:rsidTr="009E78BA">
        <w:tc>
          <w:tcPr>
            <w:tcW w:w="3958" w:type="dxa"/>
            <w:tcBorders>
              <w:top w:val="single" w:sz="4" w:space="0" w:color="auto"/>
              <w:left w:val="nil"/>
              <w:bottom w:val="nil"/>
              <w:right w:val="nil"/>
            </w:tcBorders>
          </w:tcPr>
          <w:p w14:paraId="4036F18C" w14:textId="77777777" w:rsidR="009E78BA" w:rsidRPr="009E78BA" w:rsidRDefault="009E78BA" w:rsidP="009E78BA">
            <w:pPr>
              <w:spacing w:line="256" w:lineRule="auto"/>
              <w:contextualSpacing/>
              <w:rPr>
                <w:rFonts w:eastAsia="SimSun"/>
                <w:sz w:val="20"/>
              </w:rPr>
            </w:pPr>
          </w:p>
        </w:tc>
        <w:tc>
          <w:tcPr>
            <w:tcW w:w="2174" w:type="dxa"/>
            <w:tcBorders>
              <w:top w:val="single" w:sz="4" w:space="0" w:color="auto"/>
              <w:left w:val="nil"/>
              <w:bottom w:val="nil"/>
              <w:right w:val="nil"/>
            </w:tcBorders>
          </w:tcPr>
          <w:p w14:paraId="16DD600E" w14:textId="77777777" w:rsidR="009E78BA" w:rsidRPr="009E78BA" w:rsidRDefault="009E78BA" w:rsidP="009E78BA">
            <w:pPr>
              <w:spacing w:line="256" w:lineRule="auto"/>
              <w:contextualSpacing/>
              <w:rPr>
                <w:rFonts w:eastAsia="SimSun"/>
                <w:sz w:val="20"/>
              </w:rPr>
            </w:pPr>
          </w:p>
        </w:tc>
        <w:tc>
          <w:tcPr>
            <w:tcW w:w="2174" w:type="dxa"/>
            <w:tcBorders>
              <w:top w:val="single" w:sz="4" w:space="0" w:color="auto"/>
              <w:left w:val="nil"/>
              <w:bottom w:val="nil"/>
              <w:right w:val="nil"/>
            </w:tcBorders>
          </w:tcPr>
          <w:p w14:paraId="45BAA48B" w14:textId="77777777" w:rsidR="009E78BA" w:rsidRPr="009E78BA" w:rsidRDefault="009E78BA" w:rsidP="009E78BA">
            <w:pPr>
              <w:spacing w:line="256" w:lineRule="auto"/>
              <w:contextualSpacing/>
              <w:rPr>
                <w:rFonts w:eastAsia="SimSun"/>
                <w:sz w:val="20"/>
              </w:rPr>
            </w:pPr>
          </w:p>
        </w:tc>
      </w:tr>
      <w:tr w:rsidR="009E78BA" w:rsidRPr="009E78BA" w14:paraId="19097F55" w14:textId="77777777" w:rsidTr="009E78BA">
        <w:tc>
          <w:tcPr>
            <w:tcW w:w="3958" w:type="dxa"/>
            <w:hideMark/>
          </w:tcPr>
          <w:p w14:paraId="5ECE17A2" w14:textId="77777777" w:rsidR="009E78BA" w:rsidRPr="009E78BA" w:rsidRDefault="009E78BA" w:rsidP="009E78BA">
            <w:pPr>
              <w:spacing w:line="256" w:lineRule="auto"/>
              <w:contextualSpacing/>
              <w:rPr>
                <w:rFonts w:eastAsia="SimSun"/>
                <w:sz w:val="20"/>
              </w:rPr>
            </w:pPr>
            <w:r w:rsidRPr="009E78BA">
              <w:rPr>
                <w:rFonts w:eastAsia="SimSun"/>
                <w:sz w:val="20"/>
              </w:rPr>
              <w:t xml:space="preserve">Main analysis assuming MAR </w:t>
            </w:r>
          </w:p>
        </w:tc>
        <w:tc>
          <w:tcPr>
            <w:tcW w:w="2174" w:type="dxa"/>
            <w:vAlign w:val="center"/>
            <w:hideMark/>
          </w:tcPr>
          <w:p w14:paraId="236D94B8" w14:textId="77777777" w:rsidR="009E78BA" w:rsidRPr="009E78BA" w:rsidRDefault="009E78BA" w:rsidP="009E78BA">
            <w:pPr>
              <w:spacing w:line="256" w:lineRule="auto"/>
              <w:contextualSpacing/>
              <w:jc w:val="center"/>
              <w:rPr>
                <w:rFonts w:eastAsia="SimSun"/>
                <w:sz w:val="20"/>
              </w:rPr>
            </w:pPr>
            <w:r w:rsidRPr="009E78BA">
              <w:rPr>
                <w:rFonts w:eastAsia="SimSun" w:cs="Tahoma"/>
                <w:sz w:val="20"/>
                <w:szCs w:val="20"/>
              </w:rPr>
              <w:t>1.10 (0.93 to 1.30)</w:t>
            </w:r>
          </w:p>
        </w:tc>
        <w:tc>
          <w:tcPr>
            <w:tcW w:w="2174" w:type="dxa"/>
            <w:vAlign w:val="center"/>
            <w:hideMark/>
          </w:tcPr>
          <w:p w14:paraId="3DEF1BC7" w14:textId="77777777" w:rsidR="009E78BA" w:rsidRPr="009E78BA" w:rsidRDefault="009E78BA" w:rsidP="009E78BA">
            <w:pPr>
              <w:spacing w:line="256" w:lineRule="auto"/>
              <w:contextualSpacing/>
              <w:jc w:val="center"/>
              <w:rPr>
                <w:rFonts w:eastAsia="SimSun"/>
                <w:sz w:val="20"/>
              </w:rPr>
            </w:pPr>
            <w:r w:rsidRPr="009E78BA">
              <w:rPr>
                <w:rFonts w:eastAsia="SimSun" w:cs="Tahoma"/>
                <w:sz w:val="20"/>
                <w:szCs w:val="20"/>
              </w:rPr>
              <w:t>2.8% (-2.3% to 7.8%)</w:t>
            </w:r>
          </w:p>
        </w:tc>
      </w:tr>
      <w:tr w:rsidR="009E78BA" w:rsidRPr="009E78BA" w14:paraId="7A0BA01E" w14:textId="77777777" w:rsidTr="009E78BA">
        <w:tc>
          <w:tcPr>
            <w:tcW w:w="3958" w:type="dxa"/>
          </w:tcPr>
          <w:p w14:paraId="1C6691C9" w14:textId="77777777" w:rsidR="009E78BA" w:rsidRPr="009E78BA" w:rsidRDefault="009E78BA" w:rsidP="009E78BA">
            <w:pPr>
              <w:spacing w:line="256" w:lineRule="auto"/>
              <w:contextualSpacing/>
              <w:rPr>
                <w:rFonts w:eastAsia="SimSun"/>
                <w:sz w:val="20"/>
              </w:rPr>
            </w:pPr>
          </w:p>
        </w:tc>
        <w:tc>
          <w:tcPr>
            <w:tcW w:w="2174" w:type="dxa"/>
          </w:tcPr>
          <w:p w14:paraId="25F37E73" w14:textId="77777777" w:rsidR="009E78BA" w:rsidRPr="009E78BA" w:rsidRDefault="009E78BA" w:rsidP="009E78BA">
            <w:pPr>
              <w:spacing w:line="256" w:lineRule="auto"/>
              <w:contextualSpacing/>
              <w:rPr>
                <w:rFonts w:eastAsia="SimSun"/>
                <w:sz w:val="20"/>
              </w:rPr>
            </w:pPr>
          </w:p>
        </w:tc>
        <w:tc>
          <w:tcPr>
            <w:tcW w:w="2174" w:type="dxa"/>
          </w:tcPr>
          <w:p w14:paraId="0946BE9F" w14:textId="77777777" w:rsidR="009E78BA" w:rsidRPr="009E78BA" w:rsidRDefault="009E78BA" w:rsidP="009E78BA">
            <w:pPr>
              <w:spacing w:line="256" w:lineRule="auto"/>
              <w:contextualSpacing/>
              <w:rPr>
                <w:rFonts w:eastAsia="SimSun"/>
                <w:sz w:val="20"/>
              </w:rPr>
            </w:pPr>
          </w:p>
        </w:tc>
      </w:tr>
      <w:tr w:rsidR="009E78BA" w:rsidRPr="009E78BA" w14:paraId="4A96FD44" w14:textId="77777777" w:rsidTr="009E78BA">
        <w:tc>
          <w:tcPr>
            <w:tcW w:w="3958" w:type="dxa"/>
            <w:hideMark/>
          </w:tcPr>
          <w:p w14:paraId="2B0A8E3E" w14:textId="77777777" w:rsidR="009E78BA" w:rsidRPr="009E78BA" w:rsidRDefault="009E78BA" w:rsidP="009E78BA">
            <w:pPr>
              <w:spacing w:line="256" w:lineRule="auto"/>
              <w:contextualSpacing/>
              <w:rPr>
                <w:rFonts w:eastAsia="SimSun"/>
                <w:sz w:val="20"/>
                <w:vertAlign w:val="superscript"/>
              </w:rPr>
            </w:pPr>
            <w:r w:rsidRPr="009E78BA">
              <w:rPr>
                <w:rFonts w:eastAsia="SimSun"/>
                <w:sz w:val="20"/>
              </w:rPr>
              <w:t>Sensitivity analysis (</w:t>
            </w:r>
            <w:proofErr w:type="spellStart"/>
            <w:r w:rsidRPr="009E78BA">
              <w:rPr>
                <w:rFonts w:eastAsia="SimSun"/>
                <w:sz w:val="20"/>
              </w:rPr>
              <w:t>exp</w:t>
            </w:r>
            <w:proofErr w:type="spellEnd"/>
            <w:r w:rsidRPr="009E78BA">
              <w:rPr>
                <w:rFonts w:eastAsia="SimSun"/>
                <w:sz w:val="20"/>
              </w:rPr>
              <w:t>(</w:t>
            </w:r>
            <w:r w:rsidRPr="009E78BA">
              <w:rPr>
                <w:rFonts w:eastAsia="SimSun"/>
                <w:sz w:val="20"/>
              </w:rPr>
              <w:sym w:font="Symbol" w:char="F064"/>
            </w:r>
            <w:r w:rsidRPr="009E78BA">
              <w:rPr>
                <w:rFonts w:eastAsia="SimSun"/>
                <w:sz w:val="20"/>
              </w:rPr>
              <w:t>) = 1.2)</w:t>
            </w:r>
            <w:r w:rsidRPr="009E78BA">
              <w:rPr>
                <w:rFonts w:eastAsia="SimSun"/>
                <w:sz w:val="20"/>
                <w:vertAlign w:val="superscript"/>
              </w:rPr>
              <w:t>1</w:t>
            </w:r>
          </w:p>
        </w:tc>
        <w:tc>
          <w:tcPr>
            <w:tcW w:w="2174" w:type="dxa"/>
            <w:vAlign w:val="center"/>
            <w:hideMark/>
          </w:tcPr>
          <w:p w14:paraId="4EFFB75D" w14:textId="77777777" w:rsidR="009E78BA" w:rsidRPr="009E78BA" w:rsidRDefault="009E78BA" w:rsidP="009E78BA">
            <w:pPr>
              <w:spacing w:line="256" w:lineRule="auto"/>
              <w:contextualSpacing/>
              <w:jc w:val="center"/>
              <w:rPr>
                <w:rFonts w:eastAsia="SimSun" w:cs="Tahoma"/>
                <w:sz w:val="20"/>
                <w:szCs w:val="20"/>
              </w:rPr>
            </w:pPr>
            <w:r w:rsidRPr="009E78BA">
              <w:rPr>
                <w:rFonts w:eastAsia="SimSun" w:cs="Tahoma"/>
                <w:sz w:val="20"/>
                <w:szCs w:val="20"/>
              </w:rPr>
              <w:t>1.11 (0.94 to 1.31)</w:t>
            </w:r>
          </w:p>
        </w:tc>
        <w:tc>
          <w:tcPr>
            <w:tcW w:w="2174" w:type="dxa"/>
            <w:vAlign w:val="center"/>
            <w:hideMark/>
          </w:tcPr>
          <w:p w14:paraId="432A58A1" w14:textId="77777777" w:rsidR="009E78BA" w:rsidRPr="009E78BA" w:rsidRDefault="009E78BA" w:rsidP="009E78BA">
            <w:pPr>
              <w:spacing w:line="256" w:lineRule="auto"/>
              <w:contextualSpacing/>
              <w:jc w:val="center"/>
              <w:rPr>
                <w:rFonts w:eastAsia="SimSun" w:cs="Tahoma"/>
                <w:sz w:val="20"/>
                <w:szCs w:val="20"/>
              </w:rPr>
            </w:pPr>
            <w:r w:rsidRPr="009E78BA">
              <w:rPr>
                <w:rFonts w:eastAsia="SimSun" w:cs="Tahoma"/>
                <w:sz w:val="20"/>
                <w:szCs w:val="20"/>
              </w:rPr>
              <w:t>3.1% (-2.1% to 8.2%)</w:t>
            </w:r>
          </w:p>
        </w:tc>
      </w:tr>
      <w:tr w:rsidR="009E78BA" w:rsidRPr="009E78BA" w14:paraId="5D4AC526" w14:textId="77777777" w:rsidTr="009E78BA">
        <w:tc>
          <w:tcPr>
            <w:tcW w:w="3958" w:type="dxa"/>
          </w:tcPr>
          <w:p w14:paraId="1D7EFF4F" w14:textId="77777777" w:rsidR="009E78BA" w:rsidRPr="009E78BA" w:rsidRDefault="009E78BA" w:rsidP="009E78BA">
            <w:pPr>
              <w:spacing w:line="256" w:lineRule="auto"/>
              <w:contextualSpacing/>
              <w:rPr>
                <w:rFonts w:eastAsia="SimSun"/>
                <w:sz w:val="20"/>
              </w:rPr>
            </w:pPr>
          </w:p>
        </w:tc>
        <w:tc>
          <w:tcPr>
            <w:tcW w:w="2174" w:type="dxa"/>
          </w:tcPr>
          <w:p w14:paraId="2C1538DE" w14:textId="77777777" w:rsidR="009E78BA" w:rsidRPr="009E78BA" w:rsidRDefault="009E78BA" w:rsidP="009E78BA">
            <w:pPr>
              <w:spacing w:line="256" w:lineRule="auto"/>
              <w:contextualSpacing/>
              <w:jc w:val="center"/>
              <w:rPr>
                <w:rFonts w:eastAsia="SimSun" w:cs="Tahoma"/>
                <w:sz w:val="20"/>
                <w:szCs w:val="20"/>
              </w:rPr>
            </w:pPr>
          </w:p>
        </w:tc>
        <w:tc>
          <w:tcPr>
            <w:tcW w:w="2174" w:type="dxa"/>
          </w:tcPr>
          <w:p w14:paraId="453354D8" w14:textId="77777777" w:rsidR="009E78BA" w:rsidRPr="009E78BA" w:rsidRDefault="009E78BA" w:rsidP="009E78BA">
            <w:pPr>
              <w:spacing w:line="256" w:lineRule="auto"/>
              <w:contextualSpacing/>
              <w:jc w:val="center"/>
              <w:rPr>
                <w:rFonts w:eastAsia="SimSun" w:cs="Tahoma"/>
                <w:sz w:val="20"/>
                <w:szCs w:val="20"/>
              </w:rPr>
            </w:pPr>
          </w:p>
        </w:tc>
      </w:tr>
      <w:tr w:rsidR="009E78BA" w:rsidRPr="009E78BA" w14:paraId="039F19BD" w14:textId="77777777" w:rsidTr="009E78BA">
        <w:tc>
          <w:tcPr>
            <w:tcW w:w="3958" w:type="dxa"/>
            <w:hideMark/>
          </w:tcPr>
          <w:p w14:paraId="187A251D" w14:textId="77777777" w:rsidR="009E78BA" w:rsidRPr="009E78BA" w:rsidRDefault="009E78BA" w:rsidP="009E78BA">
            <w:pPr>
              <w:spacing w:line="256" w:lineRule="auto"/>
              <w:contextualSpacing/>
              <w:rPr>
                <w:rFonts w:eastAsia="SimSun"/>
                <w:sz w:val="20"/>
              </w:rPr>
            </w:pPr>
            <w:r w:rsidRPr="009E78BA">
              <w:rPr>
                <w:rFonts w:eastAsia="SimSun"/>
                <w:sz w:val="20"/>
              </w:rPr>
              <w:t>Sensitivity analysis (</w:t>
            </w:r>
            <w:proofErr w:type="spellStart"/>
            <w:r w:rsidRPr="009E78BA">
              <w:rPr>
                <w:rFonts w:eastAsia="SimSun"/>
                <w:sz w:val="20"/>
              </w:rPr>
              <w:t>exp</w:t>
            </w:r>
            <w:proofErr w:type="spellEnd"/>
            <w:r w:rsidRPr="009E78BA">
              <w:rPr>
                <w:rFonts w:eastAsia="SimSun"/>
                <w:sz w:val="20"/>
              </w:rPr>
              <w:t>(</w:t>
            </w:r>
            <w:r w:rsidRPr="009E78BA">
              <w:rPr>
                <w:rFonts w:eastAsia="SimSun"/>
                <w:sz w:val="20"/>
              </w:rPr>
              <w:sym w:font="Symbol" w:char="F064"/>
            </w:r>
            <w:r w:rsidRPr="009E78BA">
              <w:rPr>
                <w:rFonts w:eastAsia="SimSun"/>
                <w:sz w:val="20"/>
              </w:rPr>
              <w:t>) = 1.5)</w:t>
            </w:r>
          </w:p>
        </w:tc>
        <w:tc>
          <w:tcPr>
            <w:tcW w:w="2174" w:type="dxa"/>
            <w:vAlign w:val="center"/>
            <w:hideMark/>
          </w:tcPr>
          <w:p w14:paraId="20EE8900" w14:textId="77777777" w:rsidR="009E78BA" w:rsidRPr="009E78BA" w:rsidRDefault="009E78BA" w:rsidP="009E78BA">
            <w:pPr>
              <w:spacing w:line="256" w:lineRule="auto"/>
              <w:contextualSpacing/>
              <w:jc w:val="center"/>
              <w:rPr>
                <w:rFonts w:eastAsia="SimSun" w:cs="Tahoma"/>
                <w:sz w:val="20"/>
                <w:szCs w:val="20"/>
              </w:rPr>
            </w:pPr>
            <w:r w:rsidRPr="009E78BA">
              <w:rPr>
                <w:rFonts w:eastAsia="SimSun" w:cs="Tahoma"/>
                <w:sz w:val="20"/>
                <w:szCs w:val="20"/>
              </w:rPr>
              <w:t>1.11 (0.94 to 1.31)</w:t>
            </w:r>
          </w:p>
        </w:tc>
        <w:tc>
          <w:tcPr>
            <w:tcW w:w="2174" w:type="dxa"/>
            <w:vAlign w:val="center"/>
            <w:hideMark/>
          </w:tcPr>
          <w:p w14:paraId="7A0A9911" w14:textId="77777777" w:rsidR="009E78BA" w:rsidRPr="009E78BA" w:rsidRDefault="009E78BA" w:rsidP="009E78BA">
            <w:pPr>
              <w:spacing w:line="256" w:lineRule="auto"/>
              <w:contextualSpacing/>
              <w:jc w:val="center"/>
              <w:rPr>
                <w:rFonts w:eastAsia="SimSun" w:cs="Tahoma"/>
                <w:sz w:val="20"/>
                <w:szCs w:val="20"/>
              </w:rPr>
            </w:pPr>
            <w:r w:rsidRPr="009E78BA">
              <w:rPr>
                <w:rFonts w:eastAsia="SimSun" w:cs="Tahoma"/>
                <w:sz w:val="20"/>
                <w:szCs w:val="20"/>
              </w:rPr>
              <w:t>3.2% (-2.0% to 8.4%)</w:t>
            </w:r>
          </w:p>
        </w:tc>
      </w:tr>
      <w:tr w:rsidR="009E78BA" w:rsidRPr="009E78BA" w14:paraId="6F831674" w14:textId="77777777" w:rsidTr="009E78BA">
        <w:tc>
          <w:tcPr>
            <w:tcW w:w="3958" w:type="dxa"/>
          </w:tcPr>
          <w:p w14:paraId="09AB252E" w14:textId="77777777" w:rsidR="009E78BA" w:rsidRPr="009E78BA" w:rsidRDefault="009E78BA" w:rsidP="009E78BA">
            <w:pPr>
              <w:spacing w:line="256" w:lineRule="auto"/>
              <w:contextualSpacing/>
              <w:rPr>
                <w:rFonts w:eastAsia="SimSun"/>
                <w:sz w:val="20"/>
              </w:rPr>
            </w:pPr>
          </w:p>
        </w:tc>
        <w:tc>
          <w:tcPr>
            <w:tcW w:w="2174" w:type="dxa"/>
          </w:tcPr>
          <w:p w14:paraId="05BE0E10" w14:textId="77777777" w:rsidR="009E78BA" w:rsidRPr="009E78BA" w:rsidRDefault="009E78BA" w:rsidP="009E78BA">
            <w:pPr>
              <w:spacing w:line="256" w:lineRule="auto"/>
              <w:contextualSpacing/>
              <w:jc w:val="center"/>
              <w:rPr>
                <w:rFonts w:eastAsia="SimSun" w:cs="Tahoma"/>
                <w:sz w:val="20"/>
                <w:szCs w:val="20"/>
              </w:rPr>
            </w:pPr>
          </w:p>
        </w:tc>
        <w:tc>
          <w:tcPr>
            <w:tcW w:w="2174" w:type="dxa"/>
          </w:tcPr>
          <w:p w14:paraId="672E1FB3" w14:textId="77777777" w:rsidR="009E78BA" w:rsidRPr="009E78BA" w:rsidRDefault="009E78BA" w:rsidP="009E78BA">
            <w:pPr>
              <w:spacing w:line="256" w:lineRule="auto"/>
              <w:contextualSpacing/>
              <w:jc w:val="center"/>
              <w:rPr>
                <w:rFonts w:eastAsia="SimSun" w:cs="Tahoma"/>
                <w:sz w:val="20"/>
                <w:szCs w:val="20"/>
              </w:rPr>
            </w:pPr>
          </w:p>
        </w:tc>
      </w:tr>
      <w:tr w:rsidR="009E78BA" w:rsidRPr="009E78BA" w14:paraId="575421DD" w14:textId="77777777" w:rsidTr="009E78BA">
        <w:tc>
          <w:tcPr>
            <w:tcW w:w="3958" w:type="dxa"/>
            <w:hideMark/>
          </w:tcPr>
          <w:p w14:paraId="130146B8" w14:textId="77777777" w:rsidR="009E78BA" w:rsidRPr="009E78BA" w:rsidRDefault="009E78BA" w:rsidP="009E78BA">
            <w:pPr>
              <w:spacing w:line="256" w:lineRule="auto"/>
              <w:contextualSpacing/>
              <w:rPr>
                <w:rFonts w:eastAsia="SimSun"/>
                <w:i/>
                <w:sz w:val="20"/>
              </w:rPr>
            </w:pPr>
            <w:r w:rsidRPr="009E78BA">
              <w:rPr>
                <w:rFonts w:eastAsia="SimSun"/>
                <w:sz w:val="20"/>
              </w:rPr>
              <w:t>Sensitivity analysis (</w:t>
            </w:r>
            <w:proofErr w:type="spellStart"/>
            <w:r w:rsidRPr="009E78BA">
              <w:rPr>
                <w:rFonts w:eastAsia="SimSun"/>
                <w:sz w:val="20"/>
              </w:rPr>
              <w:t>exp</w:t>
            </w:r>
            <w:proofErr w:type="spellEnd"/>
            <w:r w:rsidRPr="009E78BA">
              <w:rPr>
                <w:rFonts w:eastAsia="SimSun"/>
                <w:sz w:val="20"/>
              </w:rPr>
              <w:t>(</w:t>
            </w:r>
            <w:r w:rsidRPr="009E78BA">
              <w:rPr>
                <w:rFonts w:eastAsia="SimSun"/>
                <w:sz w:val="20"/>
              </w:rPr>
              <w:sym w:font="Symbol" w:char="F064"/>
            </w:r>
            <w:r w:rsidRPr="009E78BA">
              <w:rPr>
                <w:rFonts w:eastAsia="SimSun"/>
                <w:sz w:val="20"/>
              </w:rPr>
              <w:t>) = 2.0)</w:t>
            </w:r>
          </w:p>
        </w:tc>
        <w:tc>
          <w:tcPr>
            <w:tcW w:w="2174" w:type="dxa"/>
            <w:vAlign w:val="center"/>
            <w:hideMark/>
          </w:tcPr>
          <w:p w14:paraId="3302CDF2" w14:textId="77777777" w:rsidR="009E78BA" w:rsidRPr="009E78BA" w:rsidRDefault="009E78BA" w:rsidP="009E78BA">
            <w:pPr>
              <w:spacing w:line="256" w:lineRule="auto"/>
              <w:contextualSpacing/>
              <w:jc w:val="center"/>
              <w:rPr>
                <w:rFonts w:eastAsia="SimSun" w:cs="Tahoma"/>
                <w:sz w:val="20"/>
                <w:szCs w:val="20"/>
              </w:rPr>
            </w:pPr>
            <w:r w:rsidRPr="009E78BA">
              <w:rPr>
                <w:rFonts w:eastAsia="SimSun" w:cs="Tahoma"/>
                <w:sz w:val="20"/>
                <w:szCs w:val="20"/>
              </w:rPr>
              <w:t>1.11 (0.94 to 1.31)</w:t>
            </w:r>
          </w:p>
        </w:tc>
        <w:tc>
          <w:tcPr>
            <w:tcW w:w="2174" w:type="dxa"/>
            <w:vAlign w:val="center"/>
            <w:hideMark/>
          </w:tcPr>
          <w:p w14:paraId="0DA3933C" w14:textId="77777777" w:rsidR="009E78BA" w:rsidRPr="009E78BA" w:rsidRDefault="009E78BA" w:rsidP="009E78BA">
            <w:pPr>
              <w:spacing w:line="256" w:lineRule="auto"/>
              <w:contextualSpacing/>
              <w:jc w:val="center"/>
              <w:rPr>
                <w:rFonts w:eastAsia="SimSun" w:cs="Tahoma"/>
                <w:sz w:val="20"/>
                <w:szCs w:val="20"/>
              </w:rPr>
            </w:pPr>
            <w:r w:rsidRPr="009E78BA">
              <w:rPr>
                <w:rFonts w:eastAsia="SimSun" w:cs="Tahoma"/>
                <w:sz w:val="20"/>
                <w:szCs w:val="20"/>
              </w:rPr>
              <w:t>3.3% (-1.9% to 8.5%)</w:t>
            </w:r>
          </w:p>
        </w:tc>
      </w:tr>
      <w:tr w:rsidR="009E78BA" w:rsidRPr="009E78BA" w14:paraId="4DEBF914" w14:textId="77777777" w:rsidTr="009E78BA">
        <w:tc>
          <w:tcPr>
            <w:tcW w:w="3958" w:type="dxa"/>
            <w:tcBorders>
              <w:top w:val="nil"/>
              <w:left w:val="nil"/>
              <w:bottom w:val="single" w:sz="4" w:space="0" w:color="auto"/>
              <w:right w:val="nil"/>
            </w:tcBorders>
          </w:tcPr>
          <w:p w14:paraId="51A3F68C" w14:textId="77777777" w:rsidR="009E78BA" w:rsidRPr="009E78BA" w:rsidRDefault="009E78BA" w:rsidP="009E78BA">
            <w:pPr>
              <w:spacing w:line="256" w:lineRule="auto"/>
              <w:contextualSpacing/>
              <w:rPr>
                <w:rFonts w:eastAsia="SimSun"/>
                <w:sz w:val="20"/>
              </w:rPr>
            </w:pPr>
          </w:p>
        </w:tc>
        <w:tc>
          <w:tcPr>
            <w:tcW w:w="2174" w:type="dxa"/>
            <w:tcBorders>
              <w:top w:val="nil"/>
              <w:left w:val="nil"/>
              <w:bottom w:val="single" w:sz="4" w:space="0" w:color="auto"/>
              <w:right w:val="nil"/>
            </w:tcBorders>
          </w:tcPr>
          <w:p w14:paraId="1A363BD8" w14:textId="77777777" w:rsidR="009E78BA" w:rsidRPr="009E78BA" w:rsidRDefault="009E78BA" w:rsidP="009E78BA">
            <w:pPr>
              <w:spacing w:line="256" w:lineRule="auto"/>
              <w:contextualSpacing/>
              <w:jc w:val="center"/>
              <w:rPr>
                <w:rFonts w:eastAsia="SimSun" w:cs="Tahoma"/>
                <w:sz w:val="20"/>
                <w:szCs w:val="20"/>
              </w:rPr>
            </w:pPr>
          </w:p>
        </w:tc>
        <w:tc>
          <w:tcPr>
            <w:tcW w:w="2174" w:type="dxa"/>
            <w:tcBorders>
              <w:top w:val="nil"/>
              <w:left w:val="nil"/>
              <w:bottom w:val="single" w:sz="4" w:space="0" w:color="auto"/>
              <w:right w:val="nil"/>
            </w:tcBorders>
          </w:tcPr>
          <w:p w14:paraId="2DA27EEC" w14:textId="77777777" w:rsidR="009E78BA" w:rsidRPr="009E78BA" w:rsidRDefault="009E78BA" w:rsidP="009E78BA">
            <w:pPr>
              <w:spacing w:line="256" w:lineRule="auto"/>
              <w:contextualSpacing/>
              <w:jc w:val="center"/>
              <w:rPr>
                <w:rFonts w:eastAsia="SimSun" w:cs="Tahoma"/>
                <w:sz w:val="20"/>
                <w:szCs w:val="20"/>
              </w:rPr>
            </w:pPr>
          </w:p>
        </w:tc>
      </w:tr>
    </w:tbl>
    <w:p w14:paraId="70BF49D5" w14:textId="135EC5E7" w:rsidR="009E78BA" w:rsidRDefault="009E78BA" w:rsidP="009E78BA">
      <w:pPr>
        <w:spacing w:after="0" w:line="256" w:lineRule="auto"/>
        <w:rPr>
          <w:rFonts w:ascii="Calibri" w:eastAsia="SimSun" w:hAnsi="Calibri" w:cs="Arial"/>
          <w:sz w:val="18"/>
          <w:lang w:bidi="en-US"/>
        </w:rPr>
      </w:pPr>
      <w:r w:rsidRPr="009E78BA">
        <w:rPr>
          <w:rFonts w:ascii="Calibri" w:eastAsia="SimSun" w:hAnsi="Calibri" w:cs="Arial"/>
          <w:lang w:bidi="en-US"/>
        </w:rPr>
        <w:tab/>
      </w:r>
      <w:r w:rsidRPr="009E78BA">
        <w:rPr>
          <w:rFonts w:ascii="Calibri" w:eastAsia="SimSun" w:hAnsi="Calibri" w:cs="Arial"/>
          <w:sz w:val="18"/>
          <w:lang w:bidi="en-US"/>
        </w:rPr>
        <w:t>1 – Based on 49 imputed datasets, model failed to converge in 1 imputed dataset</w:t>
      </w:r>
    </w:p>
    <w:p w14:paraId="5DF06B96" w14:textId="0B64BA15" w:rsidR="009E78BA" w:rsidRDefault="009E78BA" w:rsidP="009E78BA">
      <w:pPr>
        <w:spacing w:line="256" w:lineRule="auto"/>
        <w:ind w:left="720"/>
        <w:rPr>
          <w:rFonts w:ascii="Calibri" w:eastAsia="SimSun" w:hAnsi="Calibri" w:cs="Arial"/>
          <w:sz w:val="18"/>
          <w:lang w:bidi="en-US"/>
        </w:rPr>
      </w:pPr>
      <w:proofErr w:type="gramStart"/>
      <w:r w:rsidRPr="009E78BA">
        <w:rPr>
          <w:rFonts w:ascii="Calibri" w:eastAsia="SimSun" w:hAnsi="Calibri" w:cs="Arial"/>
          <w:sz w:val="18"/>
          <w:lang w:bidi="en-US"/>
        </w:rPr>
        <w:t>δ</w:t>
      </w:r>
      <w:proofErr w:type="gramEnd"/>
      <w:r w:rsidRPr="009E78BA">
        <w:rPr>
          <w:rFonts w:ascii="Calibri" w:eastAsia="SimSun" w:hAnsi="Calibri" w:cs="Arial"/>
          <w:sz w:val="18"/>
          <w:lang w:bidi="en-US"/>
        </w:rPr>
        <w:t xml:space="preserve"> represents the difference in the log-odds of the outcome  for participants where the outcome is missing compared to participants where the outcome is non missing e.g. if </w:t>
      </w:r>
      <w:proofErr w:type="spellStart"/>
      <w:r w:rsidRPr="009E78BA">
        <w:rPr>
          <w:rFonts w:ascii="Calibri" w:eastAsia="SimSun" w:hAnsi="Calibri" w:cs="Arial"/>
          <w:sz w:val="18"/>
          <w:lang w:bidi="en-US"/>
        </w:rPr>
        <w:t>exp</w:t>
      </w:r>
      <w:proofErr w:type="spellEnd"/>
      <w:r w:rsidRPr="009E78BA">
        <w:rPr>
          <w:rFonts w:ascii="Calibri" w:eastAsia="SimSun" w:hAnsi="Calibri" w:cs="Arial"/>
          <w:sz w:val="18"/>
          <w:lang w:bidi="en-US"/>
        </w:rPr>
        <w:t>(</w:t>
      </w:r>
      <w:r w:rsidRPr="009E78BA">
        <w:rPr>
          <w:rFonts w:ascii="Calibri" w:eastAsia="SimSun" w:hAnsi="Calibri" w:cs="Arial"/>
          <w:sz w:val="18"/>
          <w:lang w:bidi="en-US"/>
        </w:rPr>
        <w:sym w:font="Symbol" w:char="F064"/>
      </w:r>
      <w:r w:rsidRPr="009E78BA">
        <w:rPr>
          <w:rFonts w:ascii="Calibri" w:eastAsia="SimSun" w:hAnsi="Calibri" w:cs="Arial"/>
          <w:sz w:val="18"/>
          <w:lang w:bidi="en-US"/>
        </w:rPr>
        <w:t xml:space="preserve">) = 1.2, odds ratio for </w:t>
      </w:r>
      <w:r w:rsidR="0041603B">
        <w:rPr>
          <w:rFonts w:ascii="Calibri" w:eastAsia="SimSun" w:hAnsi="Calibri" w:cs="Arial"/>
          <w:sz w:val="18"/>
          <w:lang w:bidi="en-US"/>
        </w:rPr>
        <w:t>AD</w:t>
      </w:r>
      <w:r w:rsidRPr="009E78BA">
        <w:rPr>
          <w:rFonts w:ascii="Calibri" w:eastAsia="SimSun" w:hAnsi="Calibri" w:cs="Arial"/>
          <w:sz w:val="18"/>
          <w:lang w:bidi="en-US"/>
        </w:rPr>
        <w:t xml:space="preserve"> in participants with missing data compared to non-missing data is 1.2.</w:t>
      </w:r>
    </w:p>
    <w:p w14:paraId="32437080" w14:textId="77777777" w:rsidR="0041603B" w:rsidRPr="009E78BA" w:rsidRDefault="0041603B" w:rsidP="009E78BA">
      <w:pPr>
        <w:spacing w:line="256" w:lineRule="auto"/>
        <w:ind w:left="720"/>
        <w:rPr>
          <w:rFonts w:ascii="Calibri" w:eastAsia="SimSun" w:hAnsi="Calibri" w:cs="Arial"/>
          <w:sz w:val="18"/>
          <w:lang w:bidi="en-US"/>
        </w:rPr>
      </w:pPr>
    </w:p>
    <w:p w14:paraId="1DD9A51D" w14:textId="185DFB2E" w:rsidR="009E78BA" w:rsidRDefault="009E78BA" w:rsidP="009E78BA">
      <w:pPr>
        <w:pStyle w:val="ListParagraph"/>
        <w:numPr>
          <w:ilvl w:val="0"/>
          <w:numId w:val="3"/>
        </w:numPr>
      </w:pPr>
      <w:r w:rsidRPr="009E78BA">
        <w:t>parental report of clinical diagno</w:t>
      </w:r>
      <w:r w:rsidR="00AC7E4E">
        <w:t>sis of food allergy by 5 years</w:t>
      </w:r>
    </w:p>
    <w:p w14:paraId="2D7BDE22" w14:textId="2979D3C9" w:rsidR="009E78BA" w:rsidRDefault="009E78BA" w:rsidP="009E78BA"/>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8"/>
        <w:gridCol w:w="2174"/>
        <w:gridCol w:w="2174"/>
      </w:tblGrid>
      <w:tr w:rsidR="009E78BA" w14:paraId="4258F10D" w14:textId="77777777" w:rsidTr="009E78BA">
        <w:tc>
          <w:tcPr>
            <w:tcW w:w="3958" w:type="dxa"/>
            <w:tcBorders>
              <w:top w:val="single" w:sz="4" w:space="0" w:color="auto"/>
              <w:left w:val="nil"/>
              <w:bottom w:val="single" w:sz="4" w:space="0" w:color="auto"/>
              <w:right w:val="nil"/>
            </w:tcBorders>
          </w:tcPr>
          <w:p w14:paraId="6612592A" w14:textId="77777777" w:rsidR="009E78BA" w:rsidRDefault="009E78BA">
            <w:pPr>
              <w:pStyle w:val="ListParagraph"/>
              <w:spacing w:line="256" w:lineRule="auto"/>
              <w:ind w:left="0"/>
            </w:pPr>
          </w:p>
        </w:tc>
        <w:tc>
          <w:tcPr>
            <w:tcW w:w="2174" w:type="dxa"/>
            <w:tcBorders>
              <w:top w:val="single" w:sz="4" w:space="0" w:color="auto"/>
              <w:left w:val="nil"/>
              <w:bottom w:val="single" w:sz="4" w:space="0" w:color="auto"/>
              <w:right w:val="nil"/>
            </w:tcBorders>
            <w:vAlign w:val="bottom"/>
            <w:hideMark/>
          </w:tcPr>
          <w:p w14:paraId="68F38496" w14:textId="77777777" w:rsidR="009E78BA" w:rsidRDefault="009E78BA">
            <w:pPr>
              <w:jc w:val="center"/>
              <w:rPr>
                <w:rFonts w:ascii="Calibri" w:hAnsi="Calibri" w:cs="Tahoma"/>
                <w:sz w:val="20"/>
                <w:szCs w:val="20"/>
              </w:rPr>
            </w:pPr>
            <w:r>
              <w:rPr>
                <w:rFonts w:ascii="Calibri" w:hAnsi="Calibri" w:cs="Tahoma"/>
                <w:sz w:val="20"/>
                <w:szCs w:val="20"/>
              </w:rPr>
              <w:t>Adjusted relative risk</w:t>
            </w:r>
          </w:p>
          <w:p w14:paraId="613250A6" w14:textId="77777777" w:rsidR="009E78BA" w:rsidRDefault="009E78BA">
            <w:pPr>
              <w:pStyle w:val="ListParagraph"/>
              <w:spacing w:line="256" w:lineRule="auto"/>
              <w:ind w:left="0"/>
              <w:jc w:val="center"/>
            </w:pPr>
            <w:r>
              <w:rPr>
                <w:rFonts w:ascii="Calibri" w:hAnsi="Calibri" w:cs="Tahoma"/>
                <w:sz w:val="20"/>
                <w:szCs w:val="20"/>
              </w:rPr>
              <w:t>(95% CI)</w:t>
            </w:r>
          </w:p>
        </w:tc>
        <w:tc>
          <w:tcPr>
            <w:tcW w:w="2174" w:type="dxa"/>
            <w:tcBorders>
              <w:top w:val="single" w:sz="4" w:space="0" w:color="auto"/>
              <w:left w:val="nil"/>
              <w:bottom w:val="single" w:sz="4" w:space="0" w:color="auto"/>
              <w:right w:val="nil"/>
            </w:tcBorders>
            <w:vAlign w:val="bottom"/>
            <w:hideMark/>
          </w:tcPr>
          <w:p w14:paraId="624CC832" w14:textId="77777777" w:rsidR="009E78BA" w:rsidRDefault="009E78BA">
            <w:pPr>
              <w:jc w:val="center"/>
              <w:rPr>
                <w:rFonts w:ascii="Calibri" w:hAnsi="Calibri" w:cs="Tahoma"/>
                <w:sz w:val="20"/>
                <w:szCs w:val="20"/>
              </w:rPr>
            </w:pPr>
            <w:r>
              <w:rPr>
                <w:rFonts w:ascii="Calibri" w:hAnsi="Calibri" w:cs="Tahoma"/>
                <w:sz w:val="20"/>
                <w:szCs w:val="20"/>
              </w:rPr>
              <w:t>Adjusted</w:t>
            </w:r>
          </w:p>
          <w:p w14:paraId="36A9027A" w14:textId="77777777" w:rsidR="009E78BA" w:rsidRDefault="009E78BA">
            <w:pPr>
              <w:jc w:val="center"/>
              <w:rPr>
                <w:rFonts w:ascii="Calibri" w:hAnsi="Calibri" w:cs="Tahoma"/>
                <w:sz w:val="20"/>
                <w:szCs w:val="20"/>
              </w:rPr>
            </w:pPr>
            <w:r>
              <w:rPr>
                <w:rFonts w:ascii="Calibri" w:hAnsi="Calibri" w:cs="Tahoma"/>
                <w:sz w:val="20"/>
                <w:szCs w:val="20"/>
              </w:rPr>
              <w:t>difference in risk</w:t>
            </w:r>
          </w:p>
          <w:p w14:paraId="0CD0D3C5" w14:textId="77777777" w:rsidR="009E78BA" w:rsidRDefault="009E78BA">
            <w:pPr>
              <w:pStyle w:val="ListParagraph"/>
              <w:spacing w:line="256" w:lineRule="auto"/>
              <w:ind w:left="0"/>
              <w:jc w:val="center"/>
            </w:pPr>
            <w:r>
              <w:rPr>
                <w:rFonts w:ascii="Calibri" w:hAnsi="Calibri" w:cs="Tahoma"/>
                <w:sz w:val="20"/>
                <w:szCs w:val="20"/>
              </w:rPr>
              <w:t>(95% CI)</w:t>
            </w:r>
          </w:p>
        </w:tc>
      </w:tr>
      <w:tr w:rsidR="009E78BA" w14:paraId="7C869D70" w14:textId="77777777" w:rsidTr="009E78BA">
        <w:tc>
          <w:tcPr>
            <w:tcW w:w="3958" w:type="dxa"/>
            <w:tcBorders>
              <w:top w:val="single" w:sz="4" w:space="0" w:color="auto"/>
              <w:left w:val="nil"/>
              <w:bottom w:val="nil"/>
              <w:right w:val="nil"/>
            </w:tcBorders>
          </w:tcPr>
          <w:p w14:paraId="69245A4F" w14:textId="77777777" w:rsidR="009E78BA" w:rsidRDefault="009E78BA">
            <w:pPr>
              <w:pStyle w:val="ListParagraph"/>
              <w:spacing w:line="256" w:lineRule="auto"/>
              <w:ind w:left="0"/>
            </w:pPr>
          </w:p>
        </w:tc>
        <w:tc>
          <w:tcPr>
            <w:tcW w:w="2174" w:type="dxa"/>
            <w:tcBorders>
              <w:top w:val="single" w:sz="4" w:space="0" w:color="auto"/>
              <w:left w:val="nil"/>
              <w:bottom w:val="nil"/>
              <w:right w:val="nil"/>
            </w:tcBorders>
          </w:tcPr>
          <w:p w14:paraId="32A979B1" w14:textId="77777777" w:rsidR="009E78BA" w:rsidRDefault="009E78BA">
            <w:pPr>
              <w:pStyle w:val="ListParagraph"/>
              <w:spacing w:line="256" w:lineRule="auto"/>
              <w:ind w:left="0"/>
            </w:pPr>
          </w:p>
        </w:tc>
        <w:tc>
          <w:tcPr>
            <w:tcW w:w="2174" w:type="dxa"/>
            <w:tcBorders>
              <w:top w:val="single" w:sz="4" w:space="0" w:color="auto"/>
              <w:left w:val="nil"/>
              <w:bottom w:val="nil"/>
              <w:right w:val="nil"/>
            </w:tcBorders>
          </w:tcPr>
          <w:p w14:paraId="2AAE51D8" w14:textId="77777777" w:rsidR="009E78BA" w:rsidRDefault="009E78BA">
            <w:pPr>
              <w:pStyle w:val="ListParagraph"/>
              <w:spacing w:line="256" w:lineRule="auto"/>
              <w:ind w:left="0"/>
            </w:pPr>
          </w:p>
        </w:tc>
      </w:tr>
      <w:tr w:rsidR="009E78BA" w14:paraId="66722157" w14:textId="77777777" w:rsidTr="009E78BA">
        <w:tc>
          <w:tcPr>
            <w:tcW w:w="3958" w:type="dxa"/>
            <w:hideMark/>
          </w:tcPr>
          <w:p w14:paraId="5352C6F3" w14:textId="77777777" w:rsidR="009E78BA" w:rsidRDefault="009E78BA">
            <w:pPr>
              <w:pStyle w:val="ListParagraph"/>
              <w:spacing w:line="256" w:lineRule="auto"/>
              <w:ind w:left="0"/>
              <w:rPr>
                <w:sz w:val="20"/>
              </w:rPr>
            </w:pPr>
            <w:r>
              <w:rPr>
                <w:sz w:val="20"/>
              </w:rPr>
              <w:t xml:space="preserve">Main analysis assuming MAR </w:t>
            </w:r>
          </w:p>
        </w:tc>
        <w:tc>
          <w:tcPr>
            <w:tcW w:w="2174" w:type="dxa"/>
            <w:vAlign w:val="center"/>
            <w:hideMark/>
          </w:tcPr>
          <w:p w14:paraId="29A73C75" w14:textId="77777777" w:rsidR="009E78BA" w:rsidRDefault="009E78BA">
            <w:pPr>
              <w:pStyle w:val="ListParagraph"/>
              <w:spacing w:line="256" w:lineRule="auto"/>
              <w:ind w:left="0"/>
              <w:jc w:val="center"/>
            </w:pPr>
            <w:r>
              <w:rPr>
                <w:rFonts w:ascii="Calibri" w:hAnsi="Calibri" w:cs="Tahoma"/>
                <w:sz w:val="20"/>
                <w:szCs w:val="20"/>
              </w:rPr>
              <w:t>1.11 (0.84 to 1.45)</w:t>
            </w:r>
          </w:p>
        </w:tc>
        <w:tc>
          <w:tcPr>
            <w:tcW w:w="2174" w:type="dxa"/>
            <w:vAlign w:val="center"/>
            <w:hideMark/>
          </w:tcPr>
          <w:p w14:paraId="0FC728BA" w14:textId="77777777" w:rsidR="009E78BA" w:rsidRDefault="009E78BA">
            <w:pPr>
              <w:pStyle w:val="ListParagraph"/>
              <w:spacing w:line="256" w:lineRule="auto"/>
              <w:ind w:left="0"/>
              <w:jc w:val="center"/>
            </w:pPr>
            <w:r>
              <w:rPr>
                <w:rFonts w:ascii="Calibri" w:hAnsi="Calibri" w:cs="Tahoma"/>
                <w:sz w:val="20"/>
                <w:szCs w:val="20"/>
              </w:rPr>
              <w:t>1.5% (-2.5% to 5.6%)</w:t>
            </w:r>
          </w:p>
        </w:tc>
      </w:tr>
      <w:tr w:rsidR="009E78BA" w14:paraId="60A4E27D" w14:textId="77777777" w:rsidTr="009E78BA">
        <w:tc>
          <w:tcPr>
            <w:tcW w:w="3958" w:type="dxa"/>
          </w:tcPr>
          <w:p w14:paraId="4375E22B" w14:textId="77777777" w:rsidR="009E78BA" w:rsidRDefault="009E78BA">
            <w:pPr>
              <w:pStyle w:val="ListParagraph"/>
              <w:spacing w:line="256" w:lineRule="auto"/>
              <w:ind w:left="0"/>
            </w:pPr>
          </w:p>
        </w:tc>
        <w:tc>
          <w:tcPr>
            <w:tcW w:w="2174" w:type="dxa"/>
          </w:tcPr>
          <w:p w14:paraId="1C72641D" w14:textId="77777777" w:rsidR="009E78BA" w:rsidRDefault="009E78BA">
            <w:pPr>
              <w:pStyle w:val="ListParagraph"/>
              <w:spacing w:line="256" w:lineRule="auto"/>
              <w:ind w:left="0"/>
            </w:pPr>
          </w:p>
        </w:tc>
        <w:tc>
          <w:tcPr>
            <w:tcW w:w="2174" w:type="dxa"/>
          </w:tcPr>
          <w:p w14:paraId="6B7773DD" w14:textId="77777777" w:rsidR="009E78BA" w:rsidRDefault="009E78BA">
            <w:pPr>
              <w:pStyle w:val="ListParagraph"/>
              <w:spacing w:line="256" w:lineRule="auto"/>
              <w:ind w:left="0"/>
            </w:pPr>
          </w:p>
        </w:tc>
      </w:tr>
      <w:tr w:rsidR="009E78BA" w14:paraId="7F939E30" w14:textId="77777777" w:rsidTr="009E78BA">
        <w:tc>
          <w:tcPr>
            <w:tcW w:w="3958" w:type="dxa"/>
            <w:hideMark/>
          </w:tcPr>
          <w:p w14:paraId="3091C355" w14:textId="77777777" w:rsidR="009E78BA" w:rsidRDefault="009E78BA">
            <w:pPr>
              <w:pStyle w:val="ListParagraph"/>
              <w:spacing w:line="256" w:lineRule="auto"/>
              <w:ind w:left="0"/>
            </w:pPr>
            <w:r>
              <w:rPr>
                <w:sz w:val="20"/>
              </w:rPr>
              <w:t>Sensitivity analysis (</w:t>
            </w:r>
            <w:proofErr w:type="spellStart"/>
            <w:r>
              <w:rPr>
                <w:sz w:val="20"/>
              </w:rPr>
              <w:t>exp</w:t>
            </w:r>
            <w:proofErr w:type="spellEnd"/>
            <w:r>
              <w:rPr>
                <w:sz w:val="20"/>
              </w:rPr>
              <w:t>(</w:t>
            </w:r>
            <w:r>
              <w:rPr>
                <w:sz w:val="20"/>
              </w:rPr>
              <w:sym w:font="Symbol" w:char="F064"/>
            </w:r>
            <w:r>
              <w:rPr>
                <w:sz w:val="20"/>
              </w:rPr>
              <w:t>) = 1.2)</w:t>
            </w:r>
          </w:p>
        </w:tc>
        <w:tc>
          <w:tcPr>
            <w:tcW w:w="2174" w:type="dxa"/>
            <w:vAlign w:val="center"/>
            <w:hideMark/>
          </w:tcPr>
          <w:p w14:paraId="62FF5943" w14:textId="77777777" w:rsidR="009E78BA" w:rsidRDefault="009E78BA">
            <w:pPr>
              <w:pStyle w:val="ListParagraph"/>
              <w:spacing w:line="256" w:lineRule="auto"/>
              <w:ind w:left="0"/>
              <w:jc w:val="center"/>
              <w:rPr>
                <w:rFonts w:ascii="Calibri" w:hAnsi="Calibri" w:cs="Tahoma"/>
                <w:sz w:val="20"/>
                <w:szCs w:val="20"/>
              </w:rPr>
            </w:pPr>
            <w:r>
              <w:rPr>
                <w:rFonts w:ascii="Calibri" w:hAnsi="Calibri" w:cs="Tahoma"/>
                <w:sz w:val="20"/>
                <w:szCs w:val="20"/>
              </w:rPr>
              <w:t>1.12 (0.86 to 1.46)</w:t>
            </w:r>
          </w:p>
        </w:tc>
        <w:tc>
          <w:tcPr>
            <w:tcW w:w="2174" w:type="dxa"/>
            <w:vAlign w:val="center"/>
            <w:hideMark/>
          </w:tcPr>
          <w:p w14:paraId="791040D2" w14:textId="77777777" w:rsidR="009E78BA" w:rsidRDefault="009E78BA">
            <w:pPr>
              <w:pStyle w:val="ListParagraph"/>
              <w:spacing w:line="256" w:lineRule="auto"/>
              <w:ind w:left="0"/>
              <w:jc w:val="center"/>
              <w:rPr>
                <w:rFonts w:ascii="Calibri" w:hAnsi="Calibri" w:cs="Tahoma"/>
                <w:sz w:val="20"/>
                <w:szCs w:val="20"/>
              </w:rPr>
            </w:pPr>
            <w:r>
              <w:rPr>
                <w:rFonts w:ascii="Calibri" w:hAnsi="Calibri" w:cs="Tahoma"/>
                <w:sz w:val="20"/>
                <w:szCs w:val="20"/>
              </w:rPr>
              <w:t>1.7% (-2.3% to 5.7%)</w:t>
            </w:r>
          </w:p>
        </w:tc>
      </w:tr>
      <w:tr w:rsidR="009E78BA" w14:paraId="2DA7BF17" w14:textId="77777777" w:rsidTr="009E78BA">
        <w:tc>
          <w:tcPr>
            <w:tcW w:w="3958" w:type="dxa"/>
          </w:tcPr>
          <w:p w14:paraId="5D2898D6" w14:textId="77777777" w:rsidR="009E78BA" w:rsidRDefault="009E78BA">
            <w:pPr>
              <w:pStyle w:val="ListParagraph"/>
              <w:spacing w:line="256" w:lineRule="auto"/>
              <w:ind w:left="0"/>
            </w:pPr>
          </w:p>
        </w:tc>
        <w:tc>
          <w:tcPr>
            <w:tcW w:w="2174" w:type="dxa"/>
          </w:tcPr>
          <w:p w14:paraId="797C3E41" w14:textId="77777777" w:rsidR="009E78BA" w:rsidRDefault="009E78BA">
            <w:pPr>
              <w:pStyle w:val="ListParagraph"/>
              <w:spacing w:line="256" w:lineRule="auto"/>
              <w:ind w:left="0"/>
              <w:jc w:val="center"/>
              <w:rPr>
                <w:rFonts w:ascii="Calibri" w:hAnsi="Calibri" w:cs="Tahoma"/>
                <w:sz w:val="20"/>
                <w:szCs w:val="20"/>
              </w:rPr>
            </w:pPr>
          </w:p>
        </w:tc>
        <w:tc>
          <w:tcPr>
            <w:tcW w:w="2174" w:type="dxa"/>
          </w:tcPr>
          <w:p w14:paraId="2E6D2EC3" w14:textId="77777777" w:rsidR="009E78BA" w:rsidRDefault="009E78BA">
            <w:pPr>
              <w:pStyle w:val="ListParagraph"/>
              <w:spacing w:line="256" w:lineRule="auto"/>
              <w:ind w:left="0"/>
              <w:jc w:val="center"/>
              <w:rPr>
                <w:rFonts w:ascii="Calibri" w:hAnsi="Calibri" w:cs="Tahoma"/>
                <w:sz w:val="20"/>
                <w:szCs w:val="20"/>
              </w:rPr>
            </w:pPr>
          </w:p>
        </w:tc>
      </w:tr>
      <w:tr w:rsidR="009E78BA" w14:paraId="54617785" w14:textId="77777777" w:rsidTr="009E78BA">
        <w:tc>
          <w:tcPr>
            <w:tcW w:w="3958" w:type="dxa"/>
            <w:hideMark/>
          </w:tcPr>
          <w:p w14:paraId="175A9D70" w14:textId="77777777" w:rsidR="009E78BA" w:rsidRDefault="009E78BA">
            <w:pPr>
              <w:pStyle w:val="ListParagraph"/>
              <w:spacing w:line="256" w:lineRule="auto"/>
              <w:ind w:left="0"/>
            </w:pPr>
            <w:r>
              <w:rPr>
                <w:sz w:val="20"/>
              </w:rPr>
              <w:t>Sensitivity analysis</w:t>
            </w:r>
            <w:r>
              <w:t xml:space="preserve"> </w:t>
            </w:r>
            <w:r>
              <w:rPr>
                <w:sz w:val="20"/>
              </w:rPr>
              <w:t>(</w:t>
            </w:r>
            <w:proofErr w:type="spellStart"/>
            <w:r>
              <w:rPr>
                <w:sz w:val="20"/>
              </w:rPr>
              <w:t>exp</w:t>
            </w:r>
            <w:proofErr w:type="spellEnd"/>
            <w:r>
              <w:rPr>
                <w:sz w:val="20"/>
              </w:rPr>
              <w:t>(</w:t>
            </w:r>
            <w:r>
              <w:rPr>
                <w:sz w:val="20"/>
              </w:rPr>
              <w:sym w:font="Symbol" w:char="F064"/>
            </w:r>
            <w:r>
              <w:rPr>
                <w:sz w:val="20"/>
              </w:rPr>
              <w:t>) = 1.5)</w:t>
            </w:r>
          </w:p>
        </w:tc>
        <w:tc>
          <w:tcPr>
            <w:tcW w:w="2174" w:type="dxa"/>
            <w:vAlign w:val="center"/>
            <w:hideMark/>
          </w:tcPr>
          <w:p w14:paraId="0A56A17D" w14:textId="77777777" w:rsidR="009E78BA" w:rsidRDefault="009E78BA">
            <w:pPr>
              <w:pStyle w:val="ListParagraph"/>
              <w:spacing w:line="256" w:lineRule="auto"/>
              <w:ind w:left="0"/>
              <w:jc w:val="center"/>
              <w:rPr>
                <w:rFonts w:ascii="Calibri" w:hAnsi="Calibri" w:cs="Tahoma"/>
                <w:sz w:val="20"/>
                <w:szCs w:val="20"/>
              </w:rPr>
            </w:pPr>
            <w:r>
              <w:rPr>
                <w:rFonts w:ascii="Calibri" w:hAnsi="Calibri" w:cs="Tahoma"/>
                <w:sz w:val="20"/>
                <w:szCs w:val="20"/>
              </w:rPr>
              <w:t>1.12 (0.86 to 1.46)</w:t>
            </w:r>
          </w:p>
        </w:tc>
        <w:tc>
          <w:tcPr>
            <w:tcW w:w="2174" w:type="dxa"/>
            <w:vAlign w:val="center"/>
            <w:hideMark/>
          </w:tcPr>
          <w:p w14:paraId="387DFD0C" w14:textId="77777777" w:rsidR="009E78BA" w:rsidRDefault="009E78BA">
            <w:pPr>
              <w:spacing w:line="256" w:lineRule="auto"/>
              <w:jc w:val="center"/>
              <w:rPr>
                <w:rFonts w:ascii="Calibri" w:hAnsi="Calibri" w:cs="Tahoma"/>
                <w:sz w:val="20"/>
                <w:szCs w:val="20"/>
              </w:rPr>
            </w:pPr>
            <w:r>
              <w:rPr>
                <w:rFonts w:ascii="Calibri" w:hAnsi="Calibri" w:cs="Tahoma"/>
                <w:sz w:val="20"/>
                <w:szCs w:val="20"/>
              </w:rPr>
              <w:t>1.8% (-2.3% to 5.9%)</w:t>
            </w:r>
          </w:p>
        </w:tc>
      </w:tr>
      <w:tr w:rsidR="009E78BA" w14:paraId="5DEDE3BB" w14:textId="77777777" w:rsidTr="009E78BA">
        <w:tc>
          <w:tcPr>
            <w:tcW w:w="3958" w:type="dxa"/>
          </w:tcPr>
          <w:p w14:paraId="3A331211" w14:textId="77777777" w:rsidR="009E78BA" w:rsidRDefault="009E78BA">
            <w:pPr>
              <w:pStyle w:val="ListParagraph"/>
              <w:spacing w:line="256" w:lineRule="auto"/>
              <w:ind w:left="0"/>
            </w:pPr>
          </w:p>
        </w:tc>
        <w:tc>
          <w:tcPr>
            <w:tcW w:w="2174" w:type="dxa"/>
          </w:tcPr>
          <w:p w14:paraId="5448ED77" w14:textId="77777777" w:rsidR="009E78BA" w:rsidRDefault="009E78BA">
            <w:pPr>
              <w:pStyle w:val="ListParagraph"/>
              <w:spacing w:line="256" w:lineRule="auto"/>
              <w:ind w:left="0"/>
              <w:jc w:val="center"/>
              <w:rPr>
                <w:rFonts w:ascii="Calibri" w:hAnsi="Calibri" w:cs="Tahoma"/>
                <w:sz w:val="20"/>
                <w:szCs w:val="20"/>
              </w:rPr>
            </w:pPr>
          </w:p>
        </w:tc>
        <w:tc>
          <w:tcPr>
            <w:tcW w:w="2174" w:type="dxa"/>
          </w:tcPr>
          <w:p w14:paraId="0CCADF87" w14:textId="77777777" w:rsidR="009E78BA" w:rsidRDefault="009E78BA">
            <w:pPr>
              <w:pStyle w:val="ListParagraph"/>
              <w:spacing w:line="256" w:lineRule="auto"/>
              <w:ind w:left="0"/>
              <w:jc w:val="center"/>
              <w:rPr>
                <w:rFonts w:ascii="Calibri" w:hAnsi="Calibri" w:cs="Tahoma"/>
                <w:sz w:val="20"/>
                <w:szCs w:val="20"/>
              </w:rPr>
            </w:pPr>
          </w:p>
        </w:tc>
      </w:tr>
      <w:tr w:rsidR="009E78BA" w14:paraId="33483363" w14:textId="77777777" w:rsidTr="009E78BA">
        <w:tc>
          <w:tcPr>
            <w:tcW w:w="3958" w:type="dxa"/>
            <w:hideMark/>
          </w:tcPr>
          <w:p w14:paraId="0A4664CA" w14:textId="77777777" w:rsidR="009E78BA" w:rsidRDefault="009E78BA">
            <w:pPr>
              <w:pStyle w:val="ListParagraph"/>
              <w:spacing w:line="256" w:lineRule="auto"/>
              <w:ind w:left="0"/>
              <w:rPr>
                <w:i/>
              </w:rPr>
            </w:pPr>
            <w:r>
              <w:rPr>
                <w:sz w:val="20"/>
              </w:rPr>
              <w:t>Sensitivity analysis</w:t>
            </w:r>
            <w:r>
              <w:t xml:space="preserve"> </w:t>
            </w:r>
            <w:r>
              <w:rPr>
                <w:sz w:val="20"/>
              </w:rPr>
              <w:t>(</w:t>
            </w:r>
            <w:proofErr w:type="spellStart"/>
            <w:r>
              <w:rPr>
                <w:sz w:val="20"/>
              </w:rPr>
              <w:t>exp</w:t>
            </w:r>
            <w:proofErr w:type="spellEnd"/>
            <w:r>
              <w:rPr>
                <w:sz w:val="20"/>
              </w:rPr>
              <w:t>(</w:t>
            </w:r>
            <w:r>
              <w:rPr>
                <w:sz w:val="20"/>
              </w:rPr>
              <w:sym w:font="Symbol" w:char="F064"/>
            </w:r>
            <w:r>
              <w:rPr>
                <w:sz w:val="20"/>
              </w:rPr>
              <w:t>) = 2.0)</w:t>
            </w:r>
          </w:p>
        </w:tc>
        <w:tc>
          <w:tcPr>
            <w:tcW w:w="2174" w:type="dxa"/>
            <w:hideMark/>
          </w:tcPr>
          <w:p w14:paraId="4995436B" w14:textId="77777777" w:rsidR="009E78BA" w:rsidRDefault="009E78BA">
            <w:pPr>
              <w:pStyle w:val="ListParagraph"/>
              <w:spacing w:line="256" w:lineRule="auto"/>
              <w:ind w:left="0"/>
              <w:jc w:val="center"/>
              <w:rPr>
                <w:rFonts w:ascii="Calibri" w:hAnsi="Calibri" w:cs="Tahoma"/>
                <w:sz w:val="20"/>
                <w:szCs w:val="20"/>
              </w:rPr>
            </w:pPr>
            <w:r>
              <w:rPr>
                <w:rFonts w:ascii="Calibri" w:hAnsi="Calibri" w:cs="Tahoma"/>
                <w:sz w:val="20"/>
                <w:szCs w:val="20"/>
              </w:rPr>
              <w:t>1.13 (0.87 to 1.46)</w:t>
            </w:r>
          </w:p>
        </w:tc>
        <w:tc>
          <w:tcPr>
            <w:tcW w:w="2174" w:type="dxa"/>
            <w:hideMark/>
          </w:tcPr>
          <w:p w14:paraId="7E4835E3" w14:textId="77777777" w:rsidR="009E78BA" w:rsidRDefault="009E78BA">
            <w:pPr>
              <w:pStyle w:val="ListParagraph"/>
              <w:spacing w:line="256" w:lineRule="auto"/>
              <w:ind w:left="0"/>
              <w:jc w:val="center"/>
              <w:rPr>
                <w:rFonts w:ascii="Calibri" w:hAnsi="Calibri" w:cs="Tahoma"/>
                <w:sz w:val="20"/>
                <w:szCs w:val="20"/>
              </w:rPr>
            </w:pPr>
            <w:r>
              <w:rPr>
                <w:rFonts w:ascii="Calibri" w:hAnsi="Calibri" w:cs="Tahoma"/>
                <w:sz w:val="20"/>
                <w:szCs w:val="20"/>
              </w:rPr>
              <w:t>1.9% (-2.3% to 6.1%)</w:t>
            </w:r>
          </w:p>
        </w:tc>
      </w:tr>
      <w:tr w:rsidR="009E78BA" w14:paraId="5741C636" w14:textId="77777777" w:rsidTr="009E78BA">
        <w:tc>
          <w:tcPr>
            <w:tcW w:w="3958" w:type="dxa"/>
            <w:tcBorders>
              <w:top w:val="nil"/>
              <w:left w:val="nil"/>
              <w:bottom w:val="single" w:sz="4" w:space="0" w:color="auto"/>
              <w:right w:val="nil"/>
            </w:tcBorders>
          </w:tcPr>
          <w:p w14:paraId="73E8226C" w14:textId="77777777" w:rsidR="009E78BA" w:rsidRDefault="009E78BA">
            <w:pPr>
              <w:pStyle w:val="ListParagraph"/>
              <w:spacing w:line="256" w:lineRule="auto"/>
              <w:ind w:left="0"/>
            </w:pPr>
          </w:p>
        </w:tc>
        <w:tc>
          <w:tcPr>
            <w:tcW w:w="2174" w:type="dxa"/>
            <w:tcBorders>
              <w:top w:val="nil"/>
              <w:left w:val="nil"/>
              <w:bottom w:val="single" w:sz="4" w:space="0" w:color="auto"/>
              <w:right w:val="nil"/>
            </w:tcBorders>
          </w:tcPr>
          <w:p w14:paraId="2B7D71B0" w14:textId="77777777" w:rsidR="009E78BA" w:rsidRDefault="009E78BA">
            <w:pPr>
              <w:pStyle w:val="ListParagraph"/>
              <w:spacing w:line="256" w:lineRule="auto"/>
              <w:ind w:left="0"/>
            </w:pPr>
          </w:p>
        </w:tc>
        <w:tc>
          <w:tcPr>
            <w:tcW w:w="2174" w:type="dxa"/>
            <w:tcBorders>
              <w:top w:val="nil"/>
              <w:left w:val="nil"/>
              <w:bottom w:val="single" w:sz="4" w:space="0" w:color="auto"/>
              <w:right w:val="nil"/>
            </w:tcBorders>
          </w:tcPr>
          <w:p w14:paraId="067F2882" w14:textId="77777777" w:rsidR="009E78BA" w:rsidRDefault="009E78BA">
            <w:pPr>
              <w:pStyle w:val="ListParagraph"/>
              <w:spacing w:line="256" w:lineRule="auto"/>
              <w:ind w:left="0"/>
            </w:pPr>
          </w:p>
        </w:tc>
      </w:tr>
    </w:tbl>
    <w:p w14:paraId="41BE8EB3" w14:textId="77777777" w:rsidR="009E78BA" w:rsidRPr="009E78BA" w:rsidRDefault="009E78BA" w:rsidP="009E78BA"/>
    <w:p w14:paraId="6F9659A2" w14:textId="77777777" w:rsidR="00B22201" w:rsidRDefault="00B22201">
      <w:pPr>
        <w:rPr>
          <w:rFonts w:ascii="Verdana" w:hAnsi="Verdana"/>
          <w:i/>
          <w:iCs/>
          <w:color w:val="44546A" w:themeColor="text2"/>
          <w:sz w:val="18"/>
          <w:szCs w:val="18"/>
        </w:rPr>
      </w:pPr>
      <w:r>
        <w:rPr>
          <w:rFonts w:ascii="Verdana" w:hAnsi="Verdana"/>
          <w:b/>
          <w:bCs/>
          <w:i/>
          <w:iCs/>
          <w:color w:val="44546A" w:themeColor="text2"/>
          <w:sz w:val="18"/>
        </w:rPr>
        <w:br w:type="page"/>
      </w:r>
    </w:p>
    <w:p w14:paraId="3C6E5630" w14:textId="1108D092" w:rsidR="00C60721" w:rsidRPr="00C60721" w:rsidRDefault="00E7085F" w:rsidP="00C60721">
      <w:pPr>
        <w:pStyle w:val="Caption"/>
        <w:rPr>
          <w:rFonts w:ascii="Verdana" w:eastAsiaTheme="minorHAnsi" w:hAnsi="Verdana"/>
          <w:b w:val="0"/>
          <w:bCs w:val="0"/>
          <w:i/>
          <w:iCs/>
          <w:color w:val="44546A" w:themeColor="text2"/>
          <w:sz w:val="18"/>
          <w:lang w:bidi="ar-SA"/>
        </w:rPr>
      </w:pPr>
      <w:r>
        <w:rPr>
          <w:rFonts w:ascii="Verdana" w:eastAsiaTheme="minorHAnsi" w:hAnsi="Verdana"/>
          <w:b w:val="0"/>
          <w:bCs w:val="0"/>
          <w:i/>
          <w:iCs/>
          <w:color w:val="44546A" w:themeColor="text2"/>
          <w:sz w:val="18"/>
          <w:lang w:bidi="ar-SA"/>
        </w:rPr>
        <w:lastRenderedPageBreak/>
        <w:t xml:space="preserve">Table </w:t>
      </w:r>
      <w:r w:rsidR="008300F4">
        <w:rPr>
          <w:rFonts w:ascii="Verdana" w:eastAsiaTheme="minorHAnsi" w:hAnsi="Verdana"/>
          <w:b w:val="0"/>
          <w:bCs w:val="0"/>
          <w:i/>
          <w:iCs/>
          <w:color w:val="44546A" w:themeColor="text2"/>
          <w:sz w:val="18"/>
          <w:lang w:bidi="ar-SA"/>
        </w:rPr>
        <w:t>S</w:t>
      </w:r>
      <w:r>
        <w:rPr>
          <w:rFonts w:ascii="Verdana" w:eastAsiaTheme="minorHAnsi" w:hAnsi="Verdana"/>
          <w:b w:val="0"/>
          <w:bCs w:val="0"/>
          <w:i/>
          <w:iCs/>
          <w:color w:val="44546A" w:themeColor="text2"/>
          <w:sz w:val="18"/>
          <w:lang w:bidi="ar-SA"/>
        </w:rPr>
        <w:t xml:space="preserve">4: </w:t>
      </w:r>
      <w:r w:rsidR="00C60721" w:rsidRPr="00C60721">
        <w:rPr>
          <w:rFonts w:ascii="Verdana" w:eastAsiaTheme="minorHAnsi" w:hAnsi="Verdana"/>
          <w:b w:val="0"/>
          <w:bCs w:val="0"/>
          <w:i/>
          <w:iCs/>
          <w:color w:val="44546A" w:themeColor="text2"/>
          <w:sz w:val="18"/>
          <w:lang w:bidi="ar-SA"/>
        </w:rPr>
        <w:t xml:space="preserve">Exploratory subgroup analysis for parental report of a clinical diagnosis of </w:t>
      </w:r>
      <w:r w:rsidR="0041603B">
        <w:rPr>
          <w:rFonts w:ascii="Verdana" w:eastAsiaTheme="minorHAnsi" w:hAnsi="Verdana"/>
          <w:b w:val="0"/>
          <w:bCs w:val="0"/>
          <w:i/>
          <w:iCs/>
          <w:color w:val="44546A" w:themeColor="text2"/>
          <w:sz w:val="18"/>
          <w:lang w:bidi="ar-SA"/>
        </w:rPr>
        <w:t>AD</w:t>
      </w:r>
      <w:r w:rsidR="00C60721" w:rsidRPr="00C60721">
        <w:rPr>
          <w:rFonts w:ascii="Verdana" w:eastAsiaTheme="minorHAnsi" w:hAnsi="Verdana"/>
          <w:b w:val="0"/>
          <w:bCs w:val="0"/>
          <w:i/>
          <w:iCs/>
          <w:color w:val="44546A" w:themeColor="text2"/>
          <w:sz w:val="18"/>
          <w:lang w:bidi="ar-SA"/>
        </w:rPr>
        <w:t xml:space="preserve"> between 12 and 60 months according to FLG genotype (post hoc)</w:t>
      </w:r>
    </w:p>
    <w:p w14:paraId="6FED47C6" w14:textId="77777777" w:rsidR="00C60721" w:rsidRDefault="00C60721" w:rsidP="00C60721"/>
    <w:tbl>
      <w:tblPr>
        <w:tblStyle w:val="TableGrid"/>
        <w:tblW w:w="104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807"/>
        <w:gridCol w:w="1808"/>
        <w:gridCol w:w="1807"/>
        <w:gridCol w:w="1808"/>
      </w:tblGrid>
      <w:tr w:rsidR="00C60721" w14:paraId="72169168" w14:textId="77777777" w:rsidTr="008C1A39">
        <w:trPr>
          <w:tblHeader/>
        </w:trPr>
        <w:tc>
          <w:tcPr>
            <w:tcW w:w="3227" w:type="dxa"/>
            <w:tcBorders>
              <w:top w:val="single" w:sz="4" w:space="0" w:color="auto"/>
              <w:bottom w:val="single" w:sz="4" w:space="0" w:color="auto"/>
            </w:tcBorders>
          </w:tcPr>
          <w:p w14:paraId="7CE77D0C" w14:textId="77777777" w:rsidR="00C60721" w:rsidRDefault="00C60721" w:rsidP="008C1A39">
            <w:pPr>
              <w:rPr>
                <w:rFonts w:ascii="Calibri" w:hAnsi="Calibri" w:cs="Tahoma"/>
                <w:sz w:val="20"/>
                <w:szCs w:val="20"/>
              </w:rPr>
            </w:pPr>
          </w:p>
        </w:tc>
        <w:tc>
          <w:tcPr>
            <w:tcW w:w="1807" w:type="dxa"/>
            <w:tcBorders>
              <w:top w:val="single" w:sz="4" w:space="0" w:color="auto"/>
              <w:bottom w:val="single" w:sz="4" w:space="0" w:color="auto"/>
            </w:tcBorders>
            <w:vAlign w:val="bottom"/>
          </w:tcPr>
          <w:p w14:paraId="57B53AF5" w14:textId="68209742" w:rsidR="00C60721" w:rsidRDefault="0041603B" w:rsidP="008C1A39">
            <w:pPr>
              <w:jc w:val="center"/>
              <w:rPr>
                <w:rFonts w:ascii="Calibri" w:hAnsi="Calibri" w:cs="Tahoma"/>
                <w:sz w:val="20"/>
                <w:szCs w:val="20"/>
              </w:rPr>
            </w:pPr>
            <w:r>
              <w:rPr>
                <w:rFonts w:ascii="Calibri" w:hAnsi="Calibri" w:cs="Tahoma"/>
                <w:sz w:val="20"/>
                <w:szCs w:val="20"/>
              </w:rPr>
              <w:t>Emollient</w:t>
            </w:r>
          </w:p>
        </w:tc>
        <w:tc>
          <w:tcPr>
            <w:tcW w:w="1808" w:type="dxa"/>
            <w:tcBorders>
              <w:top w:val="single" w:sz="4" w:space="0" w:color="auto"/>
              <w:bottom w:val="single" w:sz="4" w:space="0" w:color="auto"/>
            </w:tcBorders>
            <w:vAlign w:val="bottom"/>
          </w:tcPr>
          <w:p w14:paraId="5EA39DBF" w14:textId="77777777" w:rsidR="00C60721" w:rsidRDefault="00C60721" w:rsidP="008C1A39">
            <w:pPr>
              <w:jc w:val="center"/>
              <w:rPr>
                <w:rFonts w:ascii="Calibri" w:hAnsi="Calibri" w:cs="Tahoma"/>
                <w:sz w:val="20"/>
                <w:szCs w:val="20"/>
              </w:rPr>
            </w:pPr>
            <w:r>
              <w:rPr>
                <w:rFonts w:ascii="Calibri" w:hAnsi="Calibri" w:cs="Tahoma"/>
                <w:sz w:val="20"/>
                <w:szCs w:val="20"/>
              </w:rPr>
              <w:t>Control</w:t>
            </w:r>
          </w:p>
        </w:tc>
        <w:tc>
          <w:tcPr>
            <w:tcW w:w="1807" w:type="dxa"/>
            <w:tcBorders>
              <w:top w:val="single" w:sz="4" w:space="0" w:color="auto"/>
              <w:bottom w:val="single" w:sz="4" w:space="0" w:color="auto"/>
            </w:tcBorders>
            <w:vAlign w:val="bottom"/>
          </w:tcPr>
          <w:p w14:paraId="45E792EF" w14:textId="77777777" w:rsidR="00C60721" w:rsidRDefault="00C60721" w:rsidP="008C1A39">
            <w:pPr>
              <w:jc w:val="center"/>
              <w:rPr>
                <w:rFonts w:ascii="Calibri" w:hAnsi="Calibri" w:cs="Tahoma"/>
                <w:sz w:val="20"/>
                <w:szCs w:val="20"/>
              </w:rPr>
            </w:pPr>
            <w:r>
              <w:rPr>
                <w:rFonts w:ascii="Calibri" w:hAnsi="Calibri" w:cs="Tahoma"/>
                <w:sz w:val="20"/>
                <w:szCs w:val="20"/>
              </w:rPr>
              <w:t>Adjusted interaction effect (relative risk)</w:t>
            </w:r>
          </w:p>
          <w:p w14:paraId="5FFCBFE7" w14:textId="77777777" w:rsidR="00C60721" w:rsidRDefault="00C60721" w:rsidP="008C1A39">
            <w:pPr>
              <w:jc w:val="center"/>
              <w:rPr>
                <w:rFonts w:ascii="Calibri" w:hAnsi="Calibri" w:cs="Tahoma"/>
                <w:sz w:val="20"/>
                <w:szCs w:val="20"/>
              </w:rPr>
            </w:pPr>
            <w:r>
              <w:rPr>
                <w:rFonts w:ascii="Calibri" w:hAnsi="Calibri" w:cs="Tahoma"/>
                <w:sz w:val="20"/>
                <w:szCs w:val="20"/>
              </w:rPr>
              <w:t>(95% CI)</w:t>
            </w:r>
          </w:p>
        </w:tc>
        <w:tc>
          <w:tcPr>
            <w:tcW w:w="1808" w:type="dxa"/>
            <w:tcBorders>
              <w:top w:val="single" w:sz="4" w:space="0" w:color="auto"/>
              <w:bottom w:val="single" w:sz="4" w:space="0" w:color="auto"/>
            </w:tcBorders>
            <w:vAlign w:val="bottom"/>
          </w:tcPr>
          <w:p w14:paraId="7E5ADC07" w14:textId="77777777" w:rsidR="00C60721" w:rsidRDefault="00C60721" w:rsidP="008C1A39">
            <w:pPr>
              <w:jc w:val="center"/>
              <w:rPr>
                <w:rFonts w:ascii="Calibri" w:hAnsi="Calibri" w:cs="Tahoma"/>
                <w:sz w:val="20"/>
                <w:szCs w:val="20"/>
              </w:rPr>
            </w:pPr>
            <w:r>
              <w:rPr>
                <w:rFonts w:ascii="Calibri" w:hAnsi="Calibri" w:cs="Tahoma"/>
                <w:sz w:val="20"/>
                <w:szCs w:val="20"/>
              </w:rPr>
              <w:t>Adjusted interaction effect (risk difference)</w:t>
            </w:r>
          </w:p>
          <w:p w14:paraId="7EB7F3F2" w14:textId="77777777" w:rsidR="00C60721" w:rsidRDefault="00C60721" w:rsidP="008C1A39">
            <w:pPr>
              <w:jc w:val="center"/>
              <w:rPr>
                <w:rFonts w:ascii="Calibri" w:hAnsi="Calibri" w:cs="Tahoma"/>
                <w:sz w:val="20"/>
                <w:szCs w:val="20"/>
              </w:rPr>
            </w:pPr>
            <w:r>
              <w:rPr>
                <w:rFonts w:ascii="Calibri" w:hAnsi="Calibri" w:cs="Tahoma"/>
                <w:sz w:val="20"/>
                <w:szCs w:val="20"/>
              </w:rPr>
              <w:t>(95% CI)</w:t>
            </w:r>
          </w:p>
        </w:tc>
      </w:tr>
      <w:tr w:rsidR="00C60721" w14:paraId="017B256E" w14:textId="77777777" w:rsidTr="008C1A39">
        <w:tc>
          <w:tcPr>
            <w:tcW w:w="3227" w:type="dxa"/>
            <w:tcBorders>
              <w:top w:val="single" w:sz="4" w:space="0" w:color="auto"/>
            </w:tcBorders>
          </w:tcPr>
          <w:p w14:paraId="66D544C8" w14:textId="77777777" w:rsidR="00C60721" w:rsidRDefault="00C60721" w:rsidP="008C1A39">
            <w:pPr>
              <w:rPr>
                <w:rFonts w:ascii="Calibri" w:hAnsi="Calibri" w:cs="Tahoma"/>
                <w:sz w:val="20"/>
                <w:szCs w:val="20"/>
              </w:rPr>
            </w:pPr>
          </w:p>
        </w:tc>
        <w:tc>
          <w:tcPr>
            <w:tcW w:w="1807" w:type="dxa"/>
            <w:tcBorders>
              <w:top w:val="single" w:sz="4" w:space="0" w:color="auto"/>
            </w:tcBorders>
            <w:vAlign w:val="bottom"/>
          </w:tcPr>
          <w:p w14:paraId="1EBC8C31" w14:textId="77777777" w:rsidR="00C60721" w:rsidRDefault="00C60721" w:rsidP="008C1A39">
            <w:pPr>
              <w:jc w:val="center"/>
              <w:rPr>
                <w:rFonts w:ascii="Calibri" w:hAnsi="Calibri" w:cs="Tahoma"/>
                <w:sz w:val="20"/>
                <w:szCs w:val="20"/>
              </w:rPr>
            </w:pPr>
          </w:p>
        </w:tc>
        <w:tc>
          <w:tcPr>
            <w:tcW w:w="1808" w:type="dxa"/>
            <w:tcBorders>
              <w:top w:val="single" w:sz="4" w:space="0" w:color="auto"/>
            </w:tcBorders>
            <w:vAlign w:val="bottom"/>
          </w:tcPr>
          <w:p w14:paraId="425AFDFB" w14:textId="77777777" w:rsidR="00C60721" w:rsidRDefault="00C60721" w:rsidP="008C1A39">
            <w:pPr>
              <w:jc w:val="center"/>
              <w:rPr>
                <w:rFonts w:ascii="Calibri" w:hAnsi="Calibri" w:cs="Tahoma"/>
                <w:sz w:val="20"/>
                <w:szCs w:val="20"/>
              </w:rPr>
            </w:pPr>
          </w:p>
        </w:tc>
        <w:tc>
          <w:tcPr>
            <w:tcW w:w="1807" w:type="dxa"/>
            <w:tcBorders>
              <w:top w:val="single" w:sz="4" w:space="0" w:color="auto"/>
            </w:tcBorders>
            <w:vAlign w:val="bottom"/>
          </w:tcPr>
          <w:p w14:paraId="37CE5948" w14:textId="77777777" w:rsidR="00C60721" w:rsidRDefault="00C60721" w:rsidP="008C1A39">
            <w:pPr>
              <w:jc w:val="center"/>
              <w:rPr>
                <w:rFonts w:ascii="Calibri" w:hAnsi="Calibri" w:cs="Tahoma"/>
                <w:sz w:val="20"/>
                <w:szCs w:val="20"/>
              </w:rPr>
            </w:pPr>
          </w:p>
        </w:tc>
        <w:tc>
          <w:tcPr>
            <w:tcW w:w="1808" w:type="dxa"/>
            <w:tcBorders>
              <w:top w:val="single" w:sz="4" w:space="0" w:color="auto"/>
            </w:tcBorders>
            <w:vAlign w:val="bottom"/>
          </w:tcPr>
          <w:p w14:paraId="0243E37F" w14:textId="77777777" w:rsidR="00C60721" w:rsidRDefault="00C60721" w:rsidP="008C1A39">
            <w:pPr>
              <w:jc w:val="center"/>
              <w:rPr>
                <w:rFonts w:ascii="Calibri" w:hAnsi="Calibri" w:cs="Tahoma"/>
                <w:sz w:val="20"/>
                <w:szCs w:val="20"/>
              </w:rPr>
            </w:pPr>
          </w:p>
        </w:tc>
      </w:tr>
      <w:tr w:rsidR="00C60721" w14:paraId="361B031E" w14:textId="77777777" w:rsidTr="008C1A39">
        <w:tc>
          <w:tcPr>
            <w:tcW w:w="3227" w:type="dxa"/>
          </w:tcPr>
          <w:p w14:paraId="6C579978" w14:textId="77777777" w:rsidR="00C60721" w:rsidRPr="005877EA" w:rsidRDefault="00C60721" w:rsidP="008C1A39">
            <w:pPr>
              <w:rPr>
                <w:rFonts w:ascii="Calibri" w:hAnsi="Calibri" w:cs="Tahoma"/>
                <w:b/>
                <w:sz w:val="20"/>
                <w:szCs w:val="20"/>
              </w:rPr>
            </w:pPr>
          </w:p>
        </w:tc>
        <w:tc>
          <w:tcPr>
            <w:tcW w:w="1807" w:type="dxa"/>
            <w:vAlign w:val="bottom"/>
          </w:tcPr>
          <w:p w14:paraId="77A77D61" w14:textId="77777777" w:rsidR="00C60721" w:rsidRDefault="00C60721" w:rsidP="008C1A39">
            <w:pPr>
              <w:jc w:val="center"/>
              <w:rPr>
                <w:rFonts w:ascii="Calibri" w:hAnsi="Calibri" w:cs="Tahoma"/>
                <w:sz w:val="20"/>
                <w:szCs w:val="20"/>
              </w:rPr>
            </w:pPr>
          </w:p>
        </w:tc>
        <w:tc>
          <w:tcPr>
            <w:tcW w:w="1808" w:type="dxa"/>
            <w:vAlign w:val="bottom"/>
          </w:tcPr>
          <w:p w14:paraId="6F81FBE1" w14:textId="77777777" w:rsidR="00C60721" w:rsidRDefault="00C60721" w:rsidP="008C1A39">
            <w:pPr>
              <w:jc w:val="center"/>
              <w:rPr>
                <w:rFonts w:ascii="Calibri" w:hAnsi="Calibri" w:cs="Tahoma"/>
                <w:sz w:val="20"/>
                <w:szCs w:val="20"/>
              </w:rPr>
            </w:pPr>
          </w:p>
        </w:tc>
        <w:tc>
          <w:tcPr>
            <w:tcW w:w="1807" w:type="dxa"/>
            <w:vAlign w:val="bottom"/>
          </w:tcPr>
          <w:p w14:paraId="68A8DA80" w14:textId="77777777" w:rsidR="00C60721" w:rsidRDefault="00C60721" w:rsidP="008C1A39">
            <w:pPr>
              <w:jc w:val="center"/>
              <w:rPr>
                <w:rFonts w:ascii="Calibri" w:hAnsi="Calibri" w:cs="Tahoma"/>
                <w:sz w:val="20"/>
                <w:szCs w:val="20"/>
              </w:rPr>
            </w:pPr>
          </w:p>
        </w:tc>
        <w:tc>
          <w:tcPr>
            <w:tcW w:w="1808" w:type="dxa"/>
            <w:vAlign w:val="bottom"/>
          </w:tcPr>
          <w:p w14:paraId="30D352C4" w14:textId="77777777" w:rsidR="00C60721" w:rsidRDefault="00C60721" w:rsidP="008C1A39">
            <w:pPr>
              <w:jc w:val="center"/>
              <w:rPr>
                <w:rFonts w:ascii="Calibri" w:hAnsi="Calibri" w:cs="Tahoma"/>
                <w:sz w:val="20"/>
                <w:szCs w:val="20"/>
              </w:rPr>
            </w:pPr>
          </w:p>
        </w:tc>
      </w:tr>
      <w:tr w:rsidR="00C60721" w14:paraId="3ABB047A" w14:textId="77777777" w:rsidTr="008C1A39">
        <w:tc>
          <w:tcPr>
            <w:tcW w:w="3227" w:type="dxa"/>
          </w:tcPr>
          <w:p w14:paraId="45536E8A" w14:textId="766B35B9" w:rsidR="00C60721" w:rsidRPr="00EC0387" w:rsidRDefault="00C60721" w:rsidP="008C1A39">
            <w:pPr>
              <w:rPr>
                <w:rFonts w:ascii="Calibri" w:hAnsi="Calibri" w:cs="Tahoma"/>
                <w:b/>
                <w:i/>
                <w:sz w:val="20"/>
                <w:szCs w:val="20"/>
                <w:vertAlign w:val="superscript"/>
              </w:rPr>
            </w:pPr>
            <w:r w:rsidRPr="00086A61">
              <w:rPr>
                <w:rFonts w:ascii="Calibri" w:hAnsi="Calibri" w:cs="Tahoma"/>
                <w:b/>
                <w:i/>
                <w:sz w:val="20"/>
                <w:szCs w:val="20"/>
              </w:rPr>
              <w:t>FLG genotype for children with mother and father of white ethnicity</w:t>
            </w:r>
            <w:r>
              <w:rPr>
                <w:rFonts w:ascii="Calibri" w:hAnsi="Calibri" w:cs="Tahoma"/>
                <w:b/>
                <w:i/>
                <w:sz w:val="20"/>
                <w:szCs w:val="20"/>
              </w:rPr>
              <w:t xml:space="preserve"> and children of other ethnicity with mutation</w:t>
            </w:r>
          </w:p>
        </w:tc>
        <w:tc>
          <w:tcPr>
            <w:tcW w:w="1807" w:type="dxa"/>
            <w:vAlign w:val="bottom"/>
          </w:tcPr>
          <w:p w14:paraId="2CC47967" w14:textId="77777777" w:rsidR="00C60721" w:rsidRDefault="00C60721" w:rsidP="008C1A39">
            <w:pPr>
              <w:jc w:val="center"/>
              <w:rPr>
                <w:rFonts w:ascii="Calibri" w:hAnsi="Calibri" w:cs="Tahoma"/>
                <w:sz w:val="20"/>
                <w:szCs w:val="20"/>
              </w:rPr>
            </w:pPr>
            <w:r>
              <w:rPr>
                <w:rFonts w:ascii="Calibri" w:hAnsi="Calibri" w:cs="Tahoma"/>
                <w:sz w:val="20"/>
                <w:szCs w:val="20"/>
              </w:rPr>
              <w:t>n = 402</w:t>
            </w:r>
          </w:p>
        </w:tc>
        <w:tc>
          <w:tcPr>
            <w:tcW w:w="1808" w:type="dxa"/>
            <w:vAlign w:val="bottom"/>
          </w:tcPr>
          <w:p w14:paraId="08723305" w14:textId="77777777" w:rsidR="00C60721" w:rsidRDefault="00C60721" w:rsidP="008C1A39">
            <w:pPr>
              <w:jc w:val="center"/>
              <w:rPr>
                <w:rFonts w:ascii="Calibri" w:hAnsi="Calibri" w:cs="Tahoma"/>
                <w:sz w:val="20"/>
                <w:szCs w:val="20"/>
              </w:rPr>
            </w:pPr>
            <w:r>
              <w:rPr>
                <w:rFonts w:ascii="Calibri" w:hAnsi="Calibri" w:cs="Tahoma"/>
                <w:sz w:val="20"/>
                <w:szCs w:val="20"/>
              </w:rPr>
              <w:t>n = 414</w:t>
            </w:r>
          </w:p>
        </w:tc>
        <w:tc>
          <w:tcPr>
            <w:tcW w:w="1807" w:type="dxa"/>
            <w:vAlign w:val="bottom"/>
          </w:tcPr>
          <w:p w14:paraId="201C0F0D" w14:textId="77777777" w:rsidR="00C60721" w:rsidRDefault="00C60721" w:rsidP="008C1A39">
            <w:pPr>
              <w:jc w:val="center"/>
              <w:rPr>
                <w:rFonts w:ascii="Calibri" w:hAnsi="Calibri" w:cs="Tahoma"/>
                <w:sz w:val="20"/>
                <w:szCs w:val="20"/>
              </w:rPr>
            </w:pPr>
          </w:p>
        </w:tc>
        <w:tc>
          <w:tcPr>
            <w:tcW w:w="1808" w:type="dxa"/>
            <w:vAlign w:val="bottom"/>
          </w:tcPr>
          <w:p w14:paraId="6F7A1D18" w14:textId="77777777" w:rsidR="00C60721" w:rsidRDefault="00C60721" w:rsidP="008C1A39">
            <w:pPr>
              <w:jc w:val="center"/>
              <w:rPr>
                <w:rFonts w:ascii="Calibri" w:hAnsi="Calibri" w:cs="Tahoma"/>
                <w:sz w:val="20"/>
                <w:szCs w:val="20"/>
              </w:rPr>
            </w:pPr>
          </w:p>
        </w:tc>
      </w:tr>
      <w:tr w:rsidR="00C60721" w14:paraId="4136AFC8" w14:textId="77777777" w:rsidTr="008C1A39">
        <w:tc>
          <w:tcPr>
            <w:tcW w:w="3227" w:type="dxa"/>
          </w:tcPr>
          <w:p w14:paraId="33A77F62" w14:textId="77777777" w:rsidR="00C60721" w:rsidRPr="00AC1281" w:rsidRDefault="00C60721" w:rsidP="008C1A39">
            <w:pPr>
              <w:autoSpaceDE w:val="0"/>
              <w:autoSpaceDN w:val="0"/>
              <w:adjustRightInd w:val="0"/>
              <w:rPr>
                <w:rFonts w:ascii="Calibri" w:hAnsi="Calibri" w:cs="Tahoma"/>
                <w:sz w:val="20"/>
                <w:szCs w:val="20"/>
                <w:vertAlign w:val="superscript"/>
              </w:rPr>
            </w:pPr>
            <w:r w:rsidRPr="00AC1281">
              <w:rPr>
                <w:rFonts w:ascii="Calibri" w:hAnsi="Calibri" w:cs="Tahoma"/>
                <w:sz w:val="20"/>
                <w:szCs w:val="20"/>
              </w:rPr>
              <w:t xml:space="preserve">   +/+ (no mutations)</w:t>
            </w:r>
          </w:p>
        </w:tc>
        <w:tc>
          <w:tcPr>
            <w:tcW w:w="1807" w:type="dxa"/>
          </w:tcPr>
          <w:p w14:paraId="3BCE9BE2" w14:textId="77777777" w:rsidR="00C60721" w:rsidRPr="00AC1281" w:rsidRDefault="00C60721" w:rsidP="008C1A39">
            <w:pPr>
              <w:jc w:val="center"/>
              <w:rPr>
                <w:rFonts w:ascii="Calibri" w:hAnsi="Calibri" w:cs="Tahoma"/>
                <w:sz w:val="20"/>
                <w:szCs w:val="20"/>
              </w:rPr>
            </w:pPr>
            <w:r w:rsidRPr="00AC1281">
              <w:rPr>
                <w:rFonts w:ascii="Calibri" w:hAnsi="Calibri" w:cs="Tahoma"/>
                <w:sz w:val="20"/>
                <w:szCs w:val="20"/>
              </w:rPr>
              <w:t>104/339 (31%)</w:t>
            </w:r>
          </w:p>
        </w:tc>
        <w:tc>
          <w:tcPr>
            <w:tcW w:w="1808" w:type="dxa"/>
          </w:tcPr>
          <w:p w14:paraId="003EF94F" w14:textId="77777777" w:rsidR="00C60721" w:rsidRPr="00AC1281" w:rsidRDefault="00C60721" w:rsidP="008C1A39">
            <w:pPr>
              <w:jc w:val="center"/>
              <w:rPr>
                <w:rFonts w:ascii="Calibri" w:hAnsi="Calibri" w:cs="Tahoma"/>
                <w:sz w:val="20"/>
                <w:szCs w:val="20"/>
              </w:rPr>
            </w:pPr>
            <w:r w:rsidRPr="00AC1281">
              <w:rPr>
                <w:rFonts w:ascii="Calibri" w:hAnsi="Calibri" w:cs="Tahoma"/>
                <w:sz w:val="20"/>
                <w:szCs w:val="20"/>
              </w:rPr>
              <w:t>100/352 (28%)</w:t>
            </w:r>
          </w:p>
        </w:tc>
        <w:tc>
          <w:tcPr>
            <w:tcW w:w="1807" w:type="dxa"/>
            <w:vAlign w:val="bottom"/>
          </w:tcPr>
          <w:p w14:paraId="0AEEF4C3" w14:textId="77777777" w:rsidR="00C60721" w:rsidRDefault="00C60721" w:rsidP="008C1A39">
            <w:pPr>
              <w:jc w:val="center"/>
              <w:rPr>
                <w:rFonts w:ascii="Calibri" w:hAnsi="Calibri" w:cs="Tahoma"/>
                <w:sz w:val="20"/>
                <w:szCs w:val="20"/>
              </w:rPr>
            </w:pPr>
          </w:p>
        </w:tc>
        <w:tc>
          <w:tcPr>
            <w:tcW w:w="1808" w:type="dxa"/>
            <w:vAlign w:val="bottom"/>
          </w:tcPr>
          <w:p w14:paraId="0C30A500" w14:textId="77777777" w:rsidR="00C60721" w:rsidRDefault="00C60721" w:rsidP="008C1A39">
            <w:pPr>
              <w:jc w:val="center"/>
              <w:rPr>
                <w:rFonts w:ascii="Calibri" w:hAnsi="Calibri" w:cs="Tahoma"/>
                <w:sz w:val="20"/>
                <w:szCs w:val="20"/>
              </w:rPr>
            </w:pPr>
          </w:p>
        </w:tc>
      </w:tr>
      <w:tr w:rsidR="00C60721" w14:paraId="19003A87" w14:textId="77777777" w:rsidTr="008C1A39">
        <w:tc>
          <w:tcPr>
            <w:tcW w:w="3227" w:type="dxa"/>
          </w:tcPr>
          <w:p w14:paraId="6A025E7A" w14:textId="77777777" w:rsidR="00C60721" w:rsidRDefault="00C60721" w:rsidP="008C1A39">
            <w:pPr>
              <w:autoSpaceDE w:val="0"/>
              <w:autoSpaceDN w:val="0"/>
              <w:adjustRightInd w:val="0"/>
              <w:rPr>
                <w:rFonts w:ascii="Calibri" w:hAnsi="Calibri" w:cs="Tahoma"/>
                <w:sz w:val="20"/>
                <w:szCs w:val="20"/>
              </w:rPr>
            </w:pPr>
            <w:r>
              <w:rPr>
                <w:rFonts w:ascii="Calibri" w:hAnsi="Calibri" w:cs="Tahoma"/>
                <w:sz w:val="20"/>
                <w:szCs w:val="20"/>
              </w:rPr>
              <w:t xml:space="preserve">   </w:t>
            </w:r>
            <w:r w:rsidRPr="00EA1FC0">
              <w:rPr>
                <w:rFonts w:ascii="Calibri" w:hAnsi="Calibri" w:cs="Tahoma"/>
                <w:sz w:val="20"/>
                <w:szCs w:val="20"/>
              </w:rPr>
              <w:t xml:space="preserve">+/- (one </w:t>
            </w:r>
            <w:r w:rsidRPr="000D7899">
              <w:rPr>
                <w:rFonts w:ascii="Calibri" w:hAnsi="Calibri" w:cs="Tahoma"/>
                <w:i/>
                <w:sz w:val="20"/>
                <w:szCs w:val="20"/>
              </w:rPr>
              <w:t>FLG</w:t>
            </w:r>
            <w:r w:rsidRPr="00EA1FC0">
              <w:rPr>
                <w:rFonts w:ascii="Calibri" w:hAnsi="Calibri" w:cs="Tahoma"/>
                <w:sz w:val="20"/>
                <w:szCs w:val="20"/>
              </w:rPr>
              <w:t xml:space="preserve"> null mutation)</w:t>
            </w:r>
          </w:p>
        </w:tc>
        <w:tc>
          <w:tcPr>
            <w:tcW w:w="1807" w:type="dxa"/>
          </w:tcPr>
          <w:p w14:paraId="77EF6AEC" w14:textId="77777777" w:rsidR="00C60721" w:rsidRPr="00AC1281" w:rsidRDefault="00C60721" w:rsidP="008C1A39">
            <w:pPr>
              <w:jc w:val="center"/>
              <w:rPr>
                <w:rFonts w:ascii="Calibri" w:hAnsi="Calibri" w:cs="Tahoma"/>
                <w:sz w:val="20"/>
                <w:szCs w:val="20"/>
              </w:rPr>
            </w:pPr>
            <w:r w:rsidRPr="00AC1281">
              <w:rPr>
                <w:rFonts w:ascii="Calibri" w:hAnsi="Calibri" w:cs="Tahoma"/>
                <w:sz w:val="20"/>
                <w:szCs w:val="20"/>
              </w:rPr>
              <w:t>26/62 (42%)</w:t>
            </w:r>
          </w:p>
        </w:tc>
        <w:tc>
          <w:tcPr>
            <w:tcW w:w="1808" w:type="dxa"/>
          </w:tcPr>
          <w:p w14:paraId="36E5E28F" w14:textId="77777777" w:rsidR="00C60721" w:rsidRPr="00AC1281" w:rsidRDefault="00C60721" w:rsidP="008C1A39">
            <w:pPr>
              <w:jc w:val="center"/>
              <w:rPr>
                <w:rFonts w:ascii="Calibri" w:hAnsi="Calibri" w:cs="Tahoma"/>
                <w:sz w:val="20"/>
                <w:szCs w:val="20"/>
              </w:rPr>
            </w:pPr>
            <w:r w:rsidRPr="00AC1281">
              <w:rPr>
                <w:rFonts w:ascii="Calibri" w:hAnsi="Calibri" w:cs="Tahoma"/>
                <w:sz w:val="20"/>
                <w:szCs w:val="20"/>
              </w:rPr>
              <w:t>20/60 (33%)</w:t>
            </w:r>
          </w:p>
        </w:tc>
        <w:tc>
          <w:tcPr>
            <w:tcW w:w="1807" w:type="dxa"/>
            <w:vMerge w:val="restart"/>
            <w:vAlign w:val="bottom"/>
          </w:tcPr>
          <w:p w14:paraId="2C31677C" w14:textId="77777777" w:rsidR="00C60721" w:rsidRDefault="00C60721" w:rsidP="008C1A39">
            <w:pPr>
              <w:jc w:val="center"/>
              <w:rPr>
                <w:rFonts w:ascii="Calibri" w:hAnsi="Calibri" w:cs="Tahoma"/>
                <w:sz w:val="20"/>
                <w:szCs w:val="20"/>
              </w:rPr>
            </w:pPr>
            <w:r>
              <w:rPr>
                <w:rFonts w:ascii="Calibri" w:hAnsi="Calibri" w:cs="Tahoma"/>
                <w:sz w:val="20"/>
                <w:szCs w:val="20"/>
              </w:rPr>
              <w:t>1.15</w:t>
            </w:r>
          </w:p>
          <w:p w14:paraId="7E5BCA39" w14:textId="77777777" w:rsidR="00C60721" w:rsidRDefault="00C60721" w:rsidP="008C1A39">
            <w:pPr>
              <w:jc w:val="center"/>
              <w:rPr>
                <w:rFonts w:ascii="Calibri" w:hAnsi="Calibri" w:cs="Tahoma"/>
                <w:sz w:val="20"/>
                <w:szCs w:val="20"/>
              </w:rPr>
            </w:pPr>
            <w:r>
              <w:rPr>
                <w:rFonts w:ascii="Calibri" w:hAnsi="Calibri" w:cs="Tahoma"/>
                <w:sz w:val="20"/>
                <w:szCs w:val="20"/>
              </w:rPr>
              <w:t>(0.71 to 1.88)</w:t>
            </w:r>
          </w:p>
        </w:tc>
        <w:tc>
          <w:tcPr>
            <w:tcW w:w="1808" w:type="dxa"/>
            <w:vMerge w:val="restart"/>
            <w:vAlign w:val="bottom"/>
          </w:tcPr>
          <w:p w14:paraId="2269E62B" w14:textId="77777777" w:rsidR="00C60721" w:rsidRDefault="00C60721" w:rsidP="008C1A39">
            <w:pPr>
              <w:jc w:val="center"/>
              <w:rPr>
                <w:rFonts w:ascii="Calibri" w:hAnsi="Calibri" w:cs="Tahoma"/>
                <w:sz w:val="20"/>
                <w:szCs w:val="20"/>
              </w:rPr>
            </w:pPr>
            <w:r>
              <w:rPr>
                <w:rFonts w:ascii="Calibri" w:hAnsi="Calibri" w:cs="Tahoma"/>
                <w:sz w:val="20"/>
                <w:szCs w:val="20"/>
              </w:rPr>
              <w:t>6.4%</w:t>
            </w:r>
          </w:p>
          <w:p w14:paraId="53AFC408" w14:textId="77777777" w:rsidR="00C60721" w:rsidRDefault="00C60721" w:rsidP="008C1A39">
            <w:pPr>
              <w:jc w:val="center"/>
              <w:rPr>
                <w:rFonts w:ascii="Calibri" w:hAnsi="Calibri" w:cs="Tahoma"/>
                <w:sz w:val="20"/>
                <w:szCs w:val="20"/>
              </w:rPr>
            </w:pPr>
            <w:r>
              <w:rPr>
                <w:rFonts w:ascii="Calibri" w:hAnsi="Calibri" w:cs="Tahoma"/>
                <w:sz w:val="20"/>
                <w:szCs w:val="20"/>
              </w:rPr>
              <w:t>(-11.9% to 24.6%)</w:t>
            </w:r>
          </w:p>
        </w:tc>
      </w:tr>
      <w:tr w:rsidR="00C60721" w14:paraId="2F3BA7F8" w14:textId="77777777" w:rsidTr="008C1A39">
        <w:tc>
          <w:tcPr>
            <w:tcW w:w="3227" w:type="dxa"/>
          </w:tcPr>
          <w:p w14:paraId="38D21BCB" w14:textId="77777777" w:rsidR="00C60721" w:rsidRDefault="00C60721" w:rsidP="008C1A39">
            <w:pPr>
              <w:autoSpaceDE w:val="0"/>
              <w:autoSpaceDN w:val="0"/>
              <w:adjustRightInd w:val="0"/>
              <w:rPr>
                <w:rFonts w:ascii="Calibri" w:hAnsi="Calibri" w:cs="Tahoma"/>
                <w:sz w:val="20"/>
                <w:szCs w:val="20"/>
              </w:rPr>
            </w:pPr>
            <w:r>
              <w:rPr>
                <w:rFonts w:ascii="Calibri" w:hAnsi="Calibri" w:cs="Tahoma"/>
                <w:sz w:val="20"/>
                <w:szCs w:val="20"/>
              </w:rPr>
              <w:t xml:space="preserve">   </w:t>
            </w:r>
            <w:r w:rsidRPr="00EA1FC0">
              <w:rPr>
                <w:rFonts w:ascii="Calibri" w:hAnsi="Calibri" w:cs="Tahoma"/>
                <w:sz w:val="20"/>
                <w:szCs w:val="20"/>
              </w:rPr>
              <w:t xml:space="preserve">-/- (two </w:t>
            </w:r>
            <w:r w:rsidRPr="000D7899">
              <w:rPr>
                <w:rFonts w:ascii="Calibri" w:hAnsi="Calibri" w:cs="Tahoma"/>
                <w:i/>
                <w:sz w:val="20"/>
                <w:szCs w:val="20"/>
              </w:rPr>
              <w:t>FLG</w:t>
            </w:r>
            <w:r w:rsidRPr="00EA1FC0">
              <w:rPr>
                <w:rFonts w:ascii="Calibri" w:hAnsi="Calibri" w:cs="Tahoma"/>
                <w:sz w:val="20"/>
                <w:szCs w:val="20"/>
              </w:rPr>
              <w:t xml:space="preserve"> null mutations)</w:t>
            </w:r>
          </w:p>
        </w:tc>
        <w:tc>
          <w:tcPr>
            <w:tcW w:w="1807" w:type="dxa"/>
          </w:tcPr>
          <w:p w14:paraId="6F8110E9" w14:textId="77777777" w:rsidR="00C60721" w:rsidRPr="00AC1281" w:rsidRDefault="00C60721" w:rsidP="008C1A39">
            <w:pPr>
              <w:jc w:val="center"/>
              <w:rPr>
                <w:rFonts w:ascii="Calibri" w:hAnsi="Calibri" w:cs="Tahoma"/>
                <w:sz w:val="20"/>
                <w:szCs w:val="20"/>
              </w:rPr>
            </w:pPr>
            <w:r w:rsidRPr="00AC1281">
              <w:rPr>
                <w:rFonts w:ascii="Calibri" w:hAnsi="Calibri" w:cs="Tahoma"/>
                <w:sz w:val="20"/>
                <w:szCs w:val="20"/>
              </w:rPr>
              <w:t>1/1 (100%)</w:t>
            </w:r>
          </w:p>
        </w:tc>
        <w:tc>
          <w:tcPr>
            <w:tcW w:w="1808" w:type="dxa"/>
          </w:tcPr>
          <w:p w14:paraId="4572B680" w14:textId="77777777" w:rsidR="00C60721" w:rsidRPr="00AC1281" w:rsidRDefault="00C60721" w:rsidP="008C1A39">
            <w:pPr>
              <w:jc w:val="center"/>
              <w:rPr>
                <w:rFonts w:ascii="Calibri" w:hAnsi="Calibri" w:cs="Tahoma"/>
                <w:sz w:val="20"/>
                <w:szCs w:val="20"/>
              </w:rPr>
            </w:pPr>
            <w:r w:rsidRPr="00AC1281">
              <w:rPr>
                <w:rFonts w:ascii="Calibri" w:hAnsi="Calibri" w:cs="Tahoma"/>
                <w:sz w:val="20"/>
                <w:szCs w:val="20"/>
              </w:rPr>
              <w:t>1/2 (50%)</w:t>
            </w:r>
          </w:p>
        </w:tc>
        <w:tc>
          <w:tcPr>
            <w:tcW w:w="1807" w:type="dxa"/>
            <w:vMerge/>
            <w:vAlign w:val="bottom"/>
          </w:tcPr>
          <w:p w14:paraId="5CD03014" w14:textId="77777777" w:rsidR="00C60721" w:rsidRDefault="00C60721" w:rsidP="008C1A39">
            <w:pPr>
              <w:jc w:val="center"/>
              <w:rPr>
                <w:rFonts w:ascii="Calibri" w:hAnsi="Calibri" w:cs="Tahoma"/>
                <w:sz w:val="20"/>
                <w:szCs w:val="20"/>
              </w:rPr>
            </w:pPr>
          </w:p>
        </w:tc>
        <w:tc>
          <w:tcPr>
            <w:tcW w:w="1808" w:type="dxa"/>
            <w:vMerge/>
            <w:vAlign w:val="bottom"/>
          </w:tcPr>
          <w:p w14:paraId="39D15877" w14:textId="77777777" w:rsidR="00C60721" w:rsidRDefault="00C60721" w:rsidP="008C1A39">
            <w:pPr>
              <w:jc w:val="center"/>
              <w:rPr>
                <w:rFonts w:ascii="Calibri" w:hAnsi="Calibri" w:cs="Tahoma"/>
                <w:sz w:val="20"/>
                <w:szCs w:val="20"/>
              </w:rPr>
            </w:pPr>
          </w:p>
        </w:tc>
      </w:tr>
      <w:tr w:rsidR="00C60721" w14:paraId="29B7FADC" w14:textId="77777777" w:rsidTr="008C1A39">
        <w:tc>
          <w:tcPr>
            <w:tcW w:w="3227" w:type="dxa"/>
          </w:tcPr>
          <w:p w14:paraId="1EA7ADA9" w14:textId="77777777" w:rsidR="00C60721" w:rsidRDefault="00C60721" w:rsidP="008C1A39">
            <w:pPr>
              <w:autoSpaceDE w:val="0"/>
              <w:autoSpaceDN w:val="0"/>
              <w:adjustRightInd w:val="0"/>
              <w:rPr>
                <w:rFonts w:ascii="Calibri" w:hAnsi="Calibri" w:cs="Tahoma"/>
                <w:sz w:val="20"/>
                <w:szCs w:val="20"/>
              </w:rPr>
            </w:pPr>
          </w:p>
        </w:tc>
        <w:tc>
          <w:tcPr>
            <w:tcW w:w="1807" w:type="dxa"/>
            <w:vAlign w:val="bottom"/>
          </w:tcPr>
          <w:p w14:paraId="21BDFAB2" w14:textId="77777777" w:rsidR="00C60721" w:rsidRDefault="00C60721" w:rsidP="008C1A39">
            <w:pPr>
              <w:jc w:val="center"/>
              <w:rPr>
                <w:rFonts w:ascii="Calibri" w:hAnsi="Calibri" w:cs="Tahoma"/>
                <w:sz w:val="20"/>
                <w:szCs w:val="20"/>
              </w:rPr>
            </w:pPr>
          </w:p>
        </w:tc>
        <w:tc>
          <w:tcPr>
            <w:tcW w:w="1808" w:type="dxa"/>
            <w:vAlign w:val="bottom"/>
          </w:tcPr>
          <w:p w14:paraId="10475163" w14:textId="77777777" w:rsidR="00C60721" w:rsidRDefault="00C60721" w:rsidP="008C1A39">
            <w:pPr>
              <w:jc w:val="center"/>
              <w:rPr>
                <w:rFonts w:ascii="Calibri" w:hAnsi="Calibri" w:cs="Tahoma"/>
                <w:sz w:val="20"/>
                <w:szCs w:val="20"/>
              </w:rPr>
            </w:pPr>
          </w:p>
        </w:tc>
        <w:tc>
          <w:tcPr>
            <w:tcW w:w="1807" w:type="dxa"/>
            <w:vAlign w:val="bottom"/>
          </w:tcPr>
          <w:p w14:paraId="1B0A0AD3" w14:textId="77777777" w:rsidR="00C60721" w:rsidRDefault="00C60721" w:rsidP="008C1A39">
            <w:pPr>
              <w:jc w:val="center"/>
              <w:rPr>
                <w:rFonts w:ascii="Calibri" w:hAnsi="Calibri" w:cs="Tahoma"/>
                <w:sz w:val="20"/>
                <w:szCs w:val="20"/>
              </w:rPr>
            </w:pPr>
          </w:p>
        </w:tc>
        <w:tc>
          <w:tcPr>
            <w:tcW w:w="1808" w:type="dxa"/>
            <w:vAlign w:val="bottom"/>
          </w:tcPr>
          <w:p w14:paraId="6B4DFB8B" w14:textId="77777777" w:rsidR="00C60721" w:rsidRDefault="00C60721" w:rsidP="008C1A39">
            <w:pPr>
              <w:jc w:val="center"/>
              <w:rPr>
                <w:rFonts w:ascii="Calibri" w:hAnsi="Calibri" w:cs="Tahoma"/>
                <w:sz w:val="20"/>
                <w:szCs w:val="20"/>
              </w:rPr>
            </w:pPr>
          </w:p>
        </w:tc>
      </w:tr>
      <w:tr w:rsidR="00C60721" w14:paraId="5EA18568" w14:textId="77777777" w:rsidTr="008C1A39">
        <w:tc>
          <w:tcPr>
            <w:tcW w:w="3227" w:type="dxa"/>
            <w:tcBorders>
              <w:bottom w:val="single" w:sz="4" w:space="0" w:color="auto"/>
            </w:tcBorders>
          </w:tcPr>
          <w:p w14:paraId="121F8B0A" w14:textId="77777777" w:rsidR="00C60721" w:rsidRDefault="00C60721" w:rsidP="008C1A39">
            <w:pPr>
              <w:autoSpaceDE w:val="0"/>
              <w:autoSpaceDN w:val="0"/>
              <w:adjustRightInd w:val="0"/>
              <w:rPr>
                <w:rFonts w:ascii="Calibri" w:hAnsi="Calibri" w:cs="Tahoma"/>
                <w:sz w:val="20"/>
                <w:szCs w:val="20"/>
              </w:rPr>
            </w:pPr>
          </w:p>
        </w:tc>
        <w:tc>
          <w:tcPr>
            <w:tcW w:w="1807" w:type="dxa"/>
            <w:tcBorders>
              <w:bottom w:val="single" w:sz="4" w:space="0" w:color="auto"/>
            </w:tcBorders>
            <w:vAlign w:val="bottom"/>
          </w:tcPr>
          <w:p w14:paraId="5F25AC30" w14:textId="77777777" w:rsidR="00C60721" w:rsidRDefault="00C60721" w:rsidP="008C1A39">
            <w:pPr>
              <w:jc w:val="center"/>
              <w:rPr>
                <w:rFonts w:ascii="Calibri" w:hAnsi="Calibri" w:cs="Tahoma"/>
                <w:sz w:val="20"/>
                <w:szCs w:val="20"/>
              </w:rPr>
            </w:pPr>
          </w:p>
        </w:tc>
        <w:tc>
          <w:tcPr>
            <w:tcW w:w="1808" w:type="dxa"/>
            <w:tcBorders>
              <w:bottom w:val="single" w:sz="4" w:space="0" w:color="auto"/>
            </w:tcBorders>
            <w:vAlign w:val="bottom"/>
          </w:tcPr>
          <w:p w14:paraId="434B9810" w14:textId="77777777" w:rsidR="00C60721" w:rsidRDefault="00C60721" w:rsidP="008C1A39">
            <w:pPr>
              <w:jc w:val="center"/>
              <w:rPr>
                <w:rFonts w:ascii="Calibri" w:hAnsi="Calibri" w:cs="Tahoma"/>
                <w:sz w:val="20"/>
                <w:szCs w:val="20"/>
              </w:rPr>
            </w:pPr>
          </w:p>
        </w:tc>
        <w:tc>
          <w:tcPr>
            <w:tcW w:w="1807" w:type="dxa"/>
            <w:tcBorders>
              <w:bottom w:val="single" w:sz="4" w:space="0" w:color="auto"/>
            </w:tcBorders>
            <w:vAlign w:val="bottom"/>
          </w:tcPr>
          <w:p w14:paraId="4615637F" w14:textId="77777777" w:rsidR="00C60721" w:rsidRDefault="00C60721" w:rsidP="008C1A39">
            <w:pPr>
              <w:jc w:val="center"/>
              <w:rPr>
                <w:rFonts w:ascii="Calibri" w:hAnsi="Calibri" w:cs="Tahoma"/>
                <w:sz w:val="20"/>
                <w:szCs w:val="20"/>
              </w:rPr>
            </w:pPr>
          </w:p>
        </w:tc>
        <w:tc>
          <w:tcPr>
            <w:tcW w:w="1808" w:type="dxa"/>
            <w:tcBorders>
              <w:bottom w:val="single" w:sz="4" w:space="0" w:color="auto"/>
            </w:tcBorders>
            <w:vAlign w:val="bottom"/>
          </w:tcPr>
          <w:p w14:paraId="3D96D621" w14:textId="77777777" w:rsidR="00C60721" w:rsidRDefault="00C60721" w:rsidP="008C1A39">
            <w:pPr>
              <w:jc w:val="center"/>
              <w:rPr>
                <w:rFonts w:ascii="Calibri" w:hAnsi="Calibri" w:cs="Tahoma"/>
                <w:sz w:val="20"/>
                <w:szCs w:val="20"/>
              </w:rPr>
            </w:pPr>
          </w:p>
        </w:tc>
      </w:tr>
    </w:tbl>
    <w:p w14:paraId="3EF05B57" w14:textId="0DA04766" w:rsidR="00996D4E" w:rsidRDefault="00C60721" w:rsidP="00996D4E">
      <w:pPr>
        <w:autoSpaceDE w:val="0"/>
        <w:autoSpaceDN w:val="0"/>
        <w:adjustRightInd w:val="0"/>
        <w:spacing w:after="0" w:line="240" w:lineRule="auto"/>
        <w:rPr>
          <w:sz w:val="18"/>
          <w:szCs w:val="20"/>
        </w:rPr>
      </w:pPr>
      <w:r w:rsidRPr="000D7899">
        <w:rPr>
          <w:i/>
          <w:sz w:val="18"/>
          <w:szCs w:val="20"/>
        </w:rPr>
        <w:t xml:space="preserve">FLG </w:t>
      </w:r>
      <w:r w:rsidRPr="000D7899">
        <w:rPr>
          <w:sz w:val="18"/>
          <w:szCs w:val="20"/>
        </w:rPr>
        <w:t xml:space="preserve">genotype obtained from saliva samples at 24 months. Samples were tested for the four most prevalent </w:t>
      </w:r>
      <w:r w:rsidRPr="000D7899">
        <w:rPr>
          <w:i/>
          <w:sz w:val="18"/>
          <w:szCs w:val="20"/>
        </w:rPr>
        <w:t>FLG</w:t>
      </w:r>
      <w:r w:rsidRPr="000D7899">
        <w:rPr>
          <w:sz w:val="18"/>
          <w:szCs w:val="20"/>
        </w:rPr>
        <w:t xml:space="preserve"> loss of-function mutations in the white European population</w:t>
      </w:r>
      <w:r w:rsidR="00996D4E">
        <w:rPr>
          <w:sz w:val="18"/>
          <w:szCs w:val="20"/>
        </w:rPr>
        <w:t xml:space="preserve"> (2282del4, R501X, S3247X, </w:t>
      </w:r>
      <w:r w:rsidR="00996D4E" w:rsidRPr="00996D4E">
        <w:rPr>
          <w:sz w:val="18"/>
          <w:szCs w:val="20"/>
        </w:rPr>
        <w:t>and R2447X)</w:t>
      </w:r>
      <w:r w:rsidRPr="000D7899">
        <w:rPr>
          <w:sz w:val="18"/>
          <w:szCs w:val="20"/>
        </w:rPr>
        <w:t xml:space="preserve">.  </w:t>
      </w:r>
      <w:r w:rsidR="00996D4E">
        <w:rPr>
          <w:sz w:val="18"/>
          <w:szCs w:val="20"/>
        </w:rPr>
        <w:t xml:space="preserve">The </w:t>
      </w:r>
      <w:r w:rsidR="00996D4E" w:rsidRPr="00996D4E">
        <w:rPr>
          <w:i/>
          <w:sz w:val="18"/>
          <w:szCs w:val="20"/>
        </w:rPr>
        <w:t xml:space="preserve">FLG </w:t>
      </w:r>
      <w:r w:rsidR="00996D4E">
        <w:rPr>
          <w:sz w:val="18"/>
          <w:szCs w:val="20"/>
        </w:rPr>
        <w:t>subgroup analysis</w:t>
      </w:r>
      <w:r w:rsidR="00996D4E" w:rsidRPr="00996D4E">
        <w:rPr>
          <w:sz w:val="18"/>
          <w:szCs w:val="20"/>
        </w:rPr>
        <w:t xml:space="preserve"> </w:t>
      </w:r>
      <w:r w:rsidR="00996D4E">
        <w:rPr>
          <w:sz w:val="18"/>
          <w:szCs w:val="20"/>
        </w:rPr>
        <w:t xml:space="preserve">(for both the primary outcome at 2 years and presented in the table above for long term follow-up) </w:t>
      </w:r>
      <w:r w:rsidR="00996D4E" w:rsidRPr="00996D4E">
        <w:rPr>
          <w:sz w:val="18"/>
          <w:szCs w:val="20"/>
        </w:rPr>
        <w:t>include</w:t>
      </w:r>
      <w:r w:rsidR="00996D4E">
        <w:rPr>
          <w:sz w:val="18"/>
          <w:szCs w:val="20"/>
        </w:rPr>
        <w:t>d</w:t>
      </w:r>
      <w:r w:rsidR="00996D4E" w:rsidRPr="00996D4E">
        <w:rPr>
          <w:sz w:val="18"/>
          <w:szCs w:val="20"/>
        </w:rPr>
        <w:t xml:space="preserve"> children </w:t>
      </w:r>
      <w:r w:rsidR="00996D4E">
        <w:rPr>
          <w:sz w:val="18"/>
          <w:szCs w:val="20"/>
        </w:rPr>
        <w:t xml:space="preserve">providing saliva samples </w:t>
      </w:r>
      <w:r w:rsidR="00996D4E" w:rsidRPr="00996D4E">
        <w:rPr>
          <w:sz w:val="18"/>
          <w:szCs w:val="20"/>
        </w:rPr>
        <w:t>whose mother and father report</w:t>
      </w:r>
      <w:r w:rsidR="00996D4E">
        <w:rPr>
          <w:sz w:val="18"/>
          <w:szCs w:val="20"/>
        </w:rPr>
        <w:t>ed</w:t>
      </w:r>
      <w:r w:rsidR="00996D4E" w:rsidRPr="00996D4E">
        <w:rPr>
          <w:sz w:val="18"/>
          <w:szCs w:val="20"/>
        </w:rPr>
        <w:t xml:space="preserve"> being of white ethnicity</w:t>
      </w:r>
      <w:r w:rsidR="00996D4E">
        <w:rPr>
          <w:sz w:val="18"/>
          <w:szCs w:val="20"/>
        </w:rPr>
        <w:t xml:space="preserve"> (n = 810)</w:t>
      </w:r>
      <w:r w:rsidR="00996D4E" w:rsidRPr="00996D4E">
        <w:rPr>
          <w:sz w:val="18"/>
          <w:szCs w:val="20"/>
        </w:rPr>
        <w:t xml:space="preserve"> and children with at least one mutation (regardless of ethnicity</w:t>
      </w:r>
      <w:r w:rsidR="00996D4E">
        <w:rPr>
          <w:sz w:val="18"/>
          <w:szCs w:val="20"/>
        </w:rPr>
        <w:t>, n = 6</w:t>
      </w:r>
      <w:r w:rsidR="00996D4E" w:rsidRPr="00996D4E">
        <w:rPr>
          <w:sz w:val="18"/>
          <w:szCs w:val="20"/>
        </w:rPr>
        <w:t>).</w:t>
      </w:r>
    </w:p>
    <w:p w14:paraId="49368671" w14:textId="566F9BAD" w:rsidR="00C60721" w:rsidRPr="00996D4E" w:rsidRDefault="00C60721" w:rsidP="00996D4E">
      <w:pPr>
        <w:autoSpaceDE w:val="0"/>
        <w:autoSpaceDN w:val="0"/>
        <w:adjustRightInd w:val="0"/>
        <w:spacing w:after="0" w:line="240" w:lineRule="auto"/>
        <w:rPr>
          <w:sz w:val="18"/>
          <w:szCs w:val="20"/>
        </w:rPr>
      </w:pPr>
    </w:p>
    <w:p w14:paraId="4BD07F22" w14:textId="5B684F52" w:rsidR="00C60721" w:rsidRPr="00D178BA" w:rsidRDefault="00C60721" w:rsidP="00C60721">
      <w:pPr>
        <w:autoSpaceDE w:val="0"/>
        <w:autoSpaceDN w:val="0"/>
        <w:adjustRightInd w:val="0"/>
        <w:rPr>
          <w:rFonts w:cs="Times New Roman"/>
          <w:color w:val="000000"/>
          <w:sz w:val="18"/>
          <w:szCs w:val="20"/>
        </w:rPr>
      </w:pPr>
      <w:r w:rsidRPr="000D7899">
        <w:rPr>
          <w:rFonts w:ascii="Calibri" w:hAnsi="Calibri" w:cs="Tahoma"/>
          <w:sz w:val="18"/>
          <w:szCs w:val="20"/>
        </w:rPr>
        <w:t xml:space="preserve">Two groups for </w:t>
      </w:r>
      <w:r w:rsidRPr="000D7899">
        <w:rPr>
          <w:rFonts w:ascii="Calibri" w:hAnsi="Calibri" w:cs="Tahoma"/>
          <w:i/>
          <w:sz w:val="18"/>
          <w:szCs w:val="20"/>
        </w:rPr>
        <w:t>FLG</w:t>
      </w:r>
      <w:r w:rsidRPr="000D7899">
        <w:rPr>
          <w:rFonts w:ascii="Calibri" w:hAnsi="Calibri" w:cs="Tahoma"/>
          <w:sz w:val="18"/>
          <w:szCs w:val="20"/>
        </w:rPr>
        <w:t xml:space="preserve"> genotype used in model including interaction effect:    +/+ (no mutations) and +/- or -/- (one or two </w:t>
      </w:r>
      <w:r w:rsidRPr="000D7899">
        <w:rPr>
          <w:rFonts w:ascii="Calibri" w:hAnsi="Calibri" w:cs="Tahoma"/>
          <w:i/>
          <w:sz w:val="18"/>
          <w:szCs w:val="20"/>
        </w:rPr>
        <w:t>FLG</w:t>
      </w:r>
      <w:r w:rsidRPr="000D7899">
        <w:rPr>
          <w:rFonts w:ascii="Calibri" w:hAnsi="Calibri" w:cs="Tahoma"/>
          <w:sz w:val="18"/>
          <w:szCs w:val="20"/>
        </w:rPr>
        <w:t xml:space="preserve"> null mutations) due to the small number of participants with two </w:t>
      </w:r>
      <w:r w:rsidRPr="000D7899">
        <w:rPr>
          <w:rFonts w:ascii="Calibri" w:hAnsi="Calibri" w:cs="Tahoma"/>
          <w:i/>
          <w:sz w:val="18"/>
          <w:szCs w:val="20"/>
        </w:rPr>
        <w:t>FLG</w:t>
      </w:r>
      <w:r w:rsidRPr="000D7899">
        <w:rPr>
          <w:rFonts w:ascii="Calibri" w:hAnsi="Calibri" w:cs="Tahoma"/>
          <w:sz w:val="18"/>
          <w:szCs w:val="20"/>
        </w:rPr>
        <w:t xml:space="preserve"> null mutations.  Adjusted interaction effect estimated using generalised estimating equations with the Binomial family and log/identity link respectively, with</w:t>
      </w:r>
      <w:r w:rsidR="008D4EC9" w:rsidRPr="008D4EC9">
        <w:t xml:space="preserve"> </w:t>
      </w:r>
      <w:r w:rsidR="008D4EC9" w:rsidRPr="008D4EC9">
        <w:rPr>
          <w:rFonts w:ascii="Calibri" w:hAnsi="Calibri" w:cs="Tahoma"/>
          <w:sz w:val="18"/>
          <w:szCs w:val="20"/>
        </w:rPr>
        <w:t>and number of immediate family members with atopic disease (1, 2, or more than 2) included as a covariate</w:t>
      </w:r>
      <w:r w:rsidR="008D4EC9">
        <w:rPr>
          <w:rFonts w:ascii="Calibri" w:hAnsi="Calibri" w:cs="Tahoma"/>
          <w:sz w:val="18"/>
          <w:szCs w:val="20"/>
        </w:rPr>
        <w:t xml:space="preserve"> and</w:t>
      </w:r>
      <w:r w:rsidRPr="000D7899">
        <w:rPr>
          <w:rFonts w:ascii="Calibri" w:hAnsi="Calibri" w:cs="Tahoma"/>
          <w:sz w:val="18"/>
          <w:szCs w:val="20"/>
        </w:rPr>
        <w:t xml:space="preserve"> an exchangeable correlation matrix to account for randomisation being stratif</w:t>
      </w:r>
      <w:r w:rsidR="00DD2B57">
        <w:rPr>
          <w:rFonts w:ascii="Calibri" w:hAnsi="Calibri" w:cs="Tahoma"/>
          <w:sz w:val="18"/>
          <w:szCs w:val="20"/>
        </w:rPr>
        <w:t>ied by centre.</w:t>
      </w:r>
    </w:p>
    <w:p w14:paraId="724D00C2" w14:textId="77777777" w:rsidR="00B22201" w:rsidRPr="00B22201" w:rsidRDefault="00B22201" w:rsidP="00B22201"/>
    <w:p w14:paraId="5E568745" w14:textId="595F6C65" w:rsidR="008825A5" w:rsidRDefault="006D0438" w:rsidP="5A9C38EC">
      <w:r>
        <w:rPr>
          <w:b/>
          <w:bCs/>
        </w:rPr>
        <w:t>S</w:t>
      </w:r>
      <w:r w:rsidR="00D70559">
        <w:rPr>
          <w:b/>
          <w:bCs/>
        </w:rPr>
        <w:t xml:space="preserve">upplementary material </w:t>
      </w:r>
      <w:r w:rsidR="001E46B0">
        <w:rPr>
          <w:b/>
          <w:bCs/>
        </w:rPr>
        <w:t>references</w:t>
      </w:r>
    </w:p>
    <w:p w14:paraId="53566A19" w14:textId="55665788" w:rsidR="5A9C38EC" w:rsidRDefault="00650CA8" w:rsidP="5A9C38EC">
      <w:pPr>
        <w:rPr>
          <w:rStyle w:val="Hyperlink"/>
        </w:rPr>
      </w:pPr>
      <w:r>
        <w:t>S</w:t>
      </w:r>
      <w:r w:rsidR="00775EA3">
        <w:t xml:space="preserve">1. </w:t>
      </w:r>
      <w:r w:rsidR="00775EA3" w:rsidRPr="00C370DF">
        <w:t xml:space="preserve">Cro S, Morris TP, </w:t>
      </w:r>
      <w:proofErr w:type="spellStart"/>
      <w:r w:rsidR="00775EA3" w:rsidRPr="00C370DF">
        <w:t>Kenward</w:t>
      </w:r>
      <w:proofErr w:type="spellEnd"/>
      <w:r w:rsidR="00775EA3" w:rsidRPr="00C370DF">
        <w:t xml:space="preserve"> MG, Carpenter JR. Sensitivity analysis for clinical trials with missing continuous outcome data using controlled multiple imputation: A practical guide. Statistics in Medicine. 2020; 39: 2815– 2842. </w:t>
      </w:r>
      <w:hyperlink r:id="rId10" w:history="1">
        <w:r w:rsidR="00775EA3" w:rsidRPr="006257AA">
          <w:rPr>
            <w:rStyle w:val="Hyperlink"/>
          </w:rPr>
          <w:t>https://doi.org/10.1002/sim.8569</w:t>
        </w:r>
      </w:hyperlink>
    </w:p>
    <w:p w14:paraId="5238E90D" w14:textId="07B269B0" w:rsidR="000906DA" w:rsidRDefault="000906DA" w:rsidP="5A9C38EC">
      <w:r>
        <w:t xml:space="preserve">S2. </w:t>
      </w:r>
      <w:r w:rsidR="00D2703D" w:rsidRPr="00D2703D">
        <w:rPr>
          <w:rFonts w:ascii="Calibri" w:eastAsia="Calibri" w:hAnsi="Calibri" w:cs="Times New Roman"/>
        </w:rPr>
        <w:t xml:space="preserve">Chalmers JR, Haines RH, Bradshaw LE, Montgomery AA, Thomas KS, </w:t>
      </w:r>
      <w:proofErr w:type="gramStart"/>
      <w:r w:rsidR="00D2703D" w:rsidRPr="00D2703D">
        <w:rPr>
          <w:rFonts w:ascii="Calibri" w:eastAsia="Calibri" w:hAnsi="Calibri" w:cs="Times New Roman"/>
        </w:rPr>
        <w:t>Brown</w:t>
      </w:r>
      <w:proofErr w:type="gramEnd"/>
      <w:r w:rsidR="00D2703D" w:rsidRPr="00D2703D">
        <w:rPr>
          <w:rFonts w:ascii="Calibri" w:eastAsia="Calibri" w:hAnsi="Calibri" w:cs="Times New Roman"/>
        </w:rPr>
        <w:t xml:space="preserve"> SJ, et al. Daily emollient during infancy for prevention of eczema: the BEEP randomised controlled trial. Lancet (London, England). 2020</w:t>
      </w:r>
      <w:proofErr w:type="gramStart"/>
      <w:r w:rsidR="00D2703D" w:rsidRPr="00D2703D">
        <w:rPr>
          <w:rFonts w:ascii="Calibri" w:eastAsia="Calibri" w:hAnsi="Calibri" w:cs="Times New Roman"/>
        </w:rPr>
        <w:t>;395</w:t>
      </w:r>
      <w:proofErr w:type="gramEnd"/>
      <w:r w:rsidR="00D2703D" w:rsidRPr="00D2703D">
        <w:rPr>
          <w:rFonts w:ascii="Calibri" w:eastAsia="Calibri" w:hAnsi="Calibri" w:cs="Times New Roman"/>
        </w:rPr>
        <w:t>(10228):962-72.</w:t>
      </w:r>
    </w:p>
    <w:p w14:paraId="1F0E1090" w14:textId="4F1335E7" w:rsidR="5A9C38EC" w:rsidRDefault="5A9C38EC" w:rsidP="5A9C38EC"/>
    <w:sectPr w:rsidR="5A9C38EC">
      <w:headerReference w:type="default" r:id="rId11"/>
      <w:footerReference w:type="default" r:id="rId12"/>
      <w:pgSz w:w="11906" w:h="16838"/>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FA010" w16cex:dateUtc="2022-08-23T17: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10FCCF" w16cid:durableId="26AFA0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7F56F" w14:textId="77777777" w:rsidR="002A21D5" w:rsidRDefault="002A21D5" w:rsidP="006D0438">
      <w:pPr>
        <w:spacing w:after="0" w:line="240" w:lineRule="auto"/>
      </w:pPr>
      <w:r>
        <w:separator/>
      </w:r>
    </w:p>
  </w:endnote>
  <w:endnote w:type="continuationSeparator" w:id="0">
    <w:p w14:paraId="6B45E116" w14:textId="77777777" w:rsidR="002A21D5" w:rsidRDefault="002A21D5" w:rsidP="006D0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6E200" w14:textId="4D811054" w:rsidR="006D0438" w:rsidRPr="006D0438" w:rsidRDefault="006D0438" w:rsidP="006D0438">
    <w:pPr>
      <w:pStyle w:val="Footer"/>
      <w:jc w:val="right"/>
      <w:rPr>
        <w:i/>
        <w:sz w:val="20"/>
      </w:rPr>
    </w:pPr>
    <w:r>
      <w:rPr>
        <w:i/>
        <w:sz w:val="20"/>
      </w:rPr>
      <w:t xml:space="preserve">Page </w:t>
    </w:r>
    <w:r w:rsidRPr="006D0438">
      <w:rPr>
        <w:i/>
        <w:sz w:val="20"/>
      </w:rPr>
      <w:fldChar w:fldCharType="begin"/>
    </w:r>
    <w:r w:rsidRPr="006D0438">
      <w:rPr>
        <w:i/>
        <w:sz w:val="20"/>
      </w:rPr>
      <w:instrText xml:space="preserve"> PAGE   \* MERGEFORMAT </w:instrText>
    </w:r>
    <w:r w:rsidRPr="006D0438">
      <w:rPr>
        <w:i/>
        <w:sz w:val="20"/>
      </w:rPr>
      <w:fldChar w:fldCharType="separate"/>
    </w:r>
    <w:r w:rsidR="008F1931">
      <w:rPr>
        <w:i/>
        <w:noProof/>
        <w:sz w:val="20"/>
      </w:rPr>
      <w:t>4</w:t>
    </w:r>
    <w:r w:rsidRPr="006D0438">
      <w:rPr>
        <w: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B3ADD" w14:textId="77777777" w:rsidR="002A21D5" w:rsidRDefault="002A21D5" w:rsidP="006D0438">
      <w:pPr>
        <w:spacing w:after="0" w:line="240" w:lineRule="auto"/>
      </w:pPr>
      <w:r>
        <w:separator/>
      </w:r>
    </w:p>
  </w:footnote>
  <w:footnote w:type="continuationSeparator" w:id="0">
    <w:p w14:paraId="5EBF4DB9" w14:textId="77777777" w:rsidR="002A21D5" w:rsidRDefault="002A21D5" w:rsidP="006D0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B614D" w14:textId="1004BD72" w:rsidR="006D0438" w:rsidRPr="006D0438" w:rsidRDefault="007244D6" w:rsidP="006D0438">
    <w:pPr>
      <w:pStyle w:val="Header"/>
      <w:jc w:val="right"/>
      <w:rPr>
        <w:i/>
        <w:sz w:val="20"/>
      </w:rPr>
    </w:pPr>
    <w:r>
      <w:rPr>
        <w:i/>
        <w:sz w:val="20"/>
      </w:rPr>
      <w:t>Supplementary material for</w:t>
    </w:r>
    <w:r w:rsidR="006D0438">
      <w:rPr>
        <w:i/>
        <w:sz w:val="20"/>
      </w:rPr>
      <w:t xml:space="preserve"> BEEP 5 year trial results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2A468"/>
    <w:multiLevelType w:val="hybridMultilevel"/>
    <w:tmpl w:val="B4BE6066"/>
    <w:lvl w:ilvl="0" w:tplc="BFC0B216">
      <w:start w:val="1"/>
      <w:numFmt w:val="bullet"/>
      <w:lvlText w:val=""/>
      <w:lvlJc w:val="left"/>
      <w:pPr>
        <w:ind w:left="720" w:hanging="360"/>
      </w:pPr>
      <w:rPr>
        <w:rFonts w:ascii="Symbol" w:hAnsi="Symbol" w:hint="default"/>
      </w:rPr>
    </w:lvl>
    <w:lvl w:ilvl="1" w:tplc="AB62643C">
      <w:start w:val="1"/>
      <w:numFmt w:val="bullet"/>
      <w:lvlText w:val="o"/>
      <w:lvlJc w:val="left"/>
      <w:pPr>
        <w:ind w:left="1440" w:hanging="360"/>
      </w:pPr>
      <w:rPr>
        <w:rFonts w:ascii="Courier New" w:hAnsi="Courier New" w:hint="default"/>
      </w:rPr>
    </w:lvl>
    <w:lvl w:ilvl="2" w:tplc="BD608A04">
      <w:start w:val="1"/>
      <w:numFmt w:val="bullet"/>
      <w:lvlText w:val=""/>
      <w:lvlJc w:val="left"/>
      <w:pPr>
        <w:ind w:left="2160" w:hanging="360"/>
      </w:pPr>
      <w:rPr>
        <w:rFonts w:ascii="Wingdings" w:hAnsi="Wingdings" w:hint="default"/>
      </w:rPr>
    </w:lvl>
    <w:lvl w:ilvl="3" w:tplc="4C06FF3A">
      <w:start w:val="1"/>
      <w:numFmt w:val="bullet"/>
      <w:lvlText w:val=""/>
      <w:lvlJc w:val="left"/>
      <w:pPr>
        <w:ind w:left="2880" w:hanging="360"/>
      </w:pPr>
      <w:rPr>
        <w:rFonts w:ascii="Symbol" w:hAnsi="Symbol" w:hint="default"/>
      </w:rPr>
    </w:lvl>
    <w:lvl w:ilvl="4" w:tplc="F2F89648">
      <w:start w:val="1"/>
      <w:numFmt w:val="bullet"/>
      <w:lvlText w:val="o"/>
      <w:lvlJc w:val="left"/>
      <w:pPr>
        <w:ind w:left="3600" w:hanging="360"/>
      </w:pPr>
      <w:rPr>
        <w:rFonts w:ascii="Courier New" w:hAnsi="Courier New" w:hint="default"/>
      </w:rPr>
    </w:lvl>
    <w:lvl w:ilvl="5" w:tplc="F34A07FC">
      <w:start w:val="1"/>
      <w:numFmt w:val="bullet"/>
      <w:lvlText w:val=""/>
      <w:lvlJc w:val="left"/>
      <w:pPr>
        <w:ind w:left="4320" w:hanging="360"/>
      </w:pPr>
      <w:rPr>
        <w:rFonts w:ascii="Wingdings" w:hAnsi="Wingdings" w:hint="default"/>
      </w:rPr>
    </w:lvl>
    <w:lvl w:ilvl="6" w:tplc="8BD279FE">
      <w:start w:val="1"/>
      <w:numFmt w:val="bullet"/>
      <w:lvlText w:val=""/>
      <w:lvlJc w:val="left"/>
      <w:pPr>
        <w:ind w:left="5040" w:hanging="360"/>
      </w:pPr>
      <w:rPr>
        <w:rFonts w:ascii="Symbol" w:hAnsi="Symbol" w:hint="default"/>
      </w:rPr>
    </w:lvl>
    <w:lvl w:ilvl="7" w:tplc="A8C2BB72">
      <w:start w:val="1"/>
      <w:numFmt w:val="bullet"/>
      <w:lvlText w:val="o"/>
      <w:lvlJc w:val="left"/>
      <w:pPr>
        <w:ind w:left="5760" w:hanging="360"/>
      </w:pPr>
      <w:rPr>
        <w:rFonts w:ascii="Courier New" w:hAnsi="Courier New" w:hint="default"/>
      </w:rPr>
    </w:lvl>
    <w:lvl w:ilvl="8" w:tplc="9E1E5CC4">
      <w:start w:val="1"/>
      <w:numFmt w:val="bullet"/>
      <w:lvlText w:val=""/>
      <w:lvlJc w:val="left"/>
      <w:pPr>
        <w:ind w:left="6480" w:hanging="360"/>
      </w:pPr>
      <w:rPr>
        <w:rFonts w:ascii="Wingdings" w:hAnsi="Wingdings" w:hint="default"/>
      </w:rPr>
    </w:lvl>
  </w:abstractNum>
  <w:abstractNum w:abstractNumId="1" w15:restartNumberingAfterBreak="0">
    <w:nsid w:val="7C8C23A9"/>
    <w:multiLevelType w:val="hybridMultilevel"/>
    <w:tmpl w:val="47D06424"/>
    <w:lvl w:ilvl="0" w:tplc="161698A2">
      <w:start w:val="1"/>
      <w:numFmt w:val="bullet"/>
      <w:lvlText w:val=""/>
      <w:lvlJc w:val="left"/>
      <w:pPr>
        <w:ind w:left="720" w:hanging="360"/>
      </w:pPr>
      <w:rPr>
        <w:rFonts w:ascii="Symbol" w:hAnsi="Symbol" w:hint="default"/>
      </w:rPr>
    </w:lvl>
    <w:lvl w:ilvl="1" w:tplc="E34A5174">
      <w:start w:val="1"/>
      <w:numFmt w:val="bullet"/>
      <w:lvlText w:val="o"/>
      <w:lvlJc w:val="left"/>
      <w:pPr>
        <w:ind w:left="1440" w:hanging="360"/>
      </w:pPr>
      <w:rPr>
        <w:rFonts w:ascii="Courier New" w:hAnsi="Courier New" w:hint="default"/>
      </w:rPr>
    </w:lvl>
    <w:lvl w:ilvl="2" w:tplc="6924E032">
      <w:start w:val="1"/>
      <w:numFmt w:val="bullet"/>
      <w:lvlText w:val=""/>
      <w:lvlJc w:val="left"/>
      <w:pPr>
        <w:ind w:left="2160" w:hanging="360"/>
      </w:pPr>
      <w:rPr>
        <w:rFonts w:ascii="Wingdings" w:hAnsi="Wingdings" w:hint="default"/>
      </w:rPr>
    </w:lvl>
    <w:lvl w:ilvl="3" w:tplc="67EC369E">
      <w:start w:val="1"/>
      <w:numFmt w:val="bullet"/>
      <w:lvlText w:val=""/>
      <w:lvlJc w:val="left"/>
      <w:pPr>
        <w:ind w:left="2880" w:hanging="360"/>
      </w:pPr>
      <w:rPr>
        <w:rFonts w:ascii="Symbol" w:hAnsi="Symbol" w:hint="default"/>
      </w:rPr>
    </w:lvl>
    <w:lvl w:ilvl="4" w:tplc="B364B6C6">
      <w:start w:val="1"/>
      <w:numFmt w:val="bullet"/>
      <w:lvlText w:val="o"/>
      <w:lvlJc w:val="left"/>
      <w:pPr>
        <w:ind w:left="3600" w:hanging="360"/>
      </w:pPr>
      <w:rPr>
        <w:rFonts w:ascii="Courier New" w:hAnsi="Courier New" w:hint="default"/>
      </w:rPr>
    </w:lvl>
    <w:lvl w:ilvl="5" w:tplc="49D6F99E">
      <w:start w:val="1"/>
      <w:numFmt w:val="bullet"/>
      <w:lvlText w:val=""/>
      <w:lvlJc w:val="left"/>
      <w:pPr>
        <w:ind w:left="4320" w:hanging="360"/>
      </w:pPr>
      <w:rPr>
        <w:rFonts w:ascii="Wingdings" w:hAnsi="Wingdings" w:hint="default"/>
      </w:rPr>
    </w:lvl>
    <w:lvl w:ilvl="6" w:tplc="B89CBD24">
      <w:start w:val="1"/>
      <w:numFmt w:val="bullet"/>
      <w:lvlText w:val=""/>
      <w:lvlJc w:val="left"/>
      <w:pPr>
        <w:ind w:left="5040" w:hanging="360"/>
      </w:pPr>
      <w:rPr>
        <w:rFonts w:ascii="Symbol" w:hAnsi="Symbol" w:hint="default"/>
      </w:rPr>
    </w:lvl>
    <w:lvl w:ilvl="7" w:tplc="B99659A4">
      <w:start w:val="1"/>
      <w:numFmt w:val="bullet"/>
      <w:lvlText w:val="o"/>
      <w:lvlJc w:val="left"/>
      <w:pPr>
        <w:ind w:left="5760" w:hanging="360"/>
      </w:pPr>
      <w:rPr>
        <w:rFonts w:ascii="Courier New" w:hAnsi="Courier New" w:hint="default"/>
      </w:rPr>
    </w:lvl>
    <w:lvl w:ilvl="8" w:tplc="3B0A615E">
      <w:start w:val="1"/>
      <w:numFmt w:val="bullet"/>
      <w:lvlText w:val=""/>
      <w:lvlJc w:val="left"/>
      <w:pPr>
        <w:ind w:left="6480" w:hanging="360"/>
      </w:pPr>
      <w:rPr>
        <w:rFonts w:ascii="Wingdings" w:hAnsi="Wingdings" w:hint="default"/>
      </w:rPr>
    </w:lvl>
  </w:abstractNum>
  <w:abstractNum w:abstractNumId="2" w15:restartNumberingAfterBreak="0">
    <w:nsid w:val="7CB740DC"/>
    <w:multiLevelType w:val="hybridMultilevel"/>
    <w:tmpl w:val="C5B8CDF0"/>
    <w:lvl w:ilvl="0" w:tplc="3A2ACC78">
      <w:start w:val="1"/>
      <w:numFmt w:val="lowerRoman"/>
      <w:lvlText w:val="(%1)"/>
      <w:lvlJc w:val="left"/>
      <w:pPr>
        <w:ind w:left="720" w:hanging="72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6181DD"/>
    <w:rsid w:val="00006E13"/>
    <w:rsid w:val="00056974"/>
    <w:rsid w:val="000906DA"/>
    <w:rsid w:val="00192794"/>
    <w:rsid w:val="001A74D1"/>
    <w:rsid w:val="001E19BC"/>
    <w:rsid w:val="001E46B0"/>
    <w:rsid w:val="00237E6E"/>
    <w:rsid w:val="0025704D"/>
    <w:rsid w:val="00286ECC"/>
    <w:rsid w:val="002A21D5"/>
    <w:rsid w:val="002E5F9F"/>
    <w:rsid w:val="003049D4"/>
    <w:rsid w:val="00307787"/>
    <w:rsid w:val="00313F35"/>
    <w:rsid w:val="00326838"/>
    <w:rsid w:val="003C4269"/>
    <w:rsid w:val="00406B23"/>
    <w:rsid w:val="0041603B"/>
    <w:rsid w:val="00462ADC"/>
    <w:rsid w:val="004D2F4B"/>
    <w:rsid w:val="00506035"/>
    <w:rsid w:val="0051658D"/>
    <w:rsid w:val="005A29BC"/>
    <w:rsid w:val="005F27E5"/>
    <w:rsid w:val="00650CA8"/>
    <w:rsid w:val="006D0438"/>
    <w:rsid w:val="00712828"/>
    <w:rsid w:val="007219D8"/>
    <w:rsid w:val="007244D6"/>
    <w:rsid w:val="00775EA3"/>
    <w:rsid w:val="00782C33"/>
    <w:rsid w:val="00782C6D"/>
    <w:rsid w:val="007A619D"/>
    <w:rsid w:val="007E41BD"/>
    <w:rsid w:val="008300F4"/>
    <w:rsid w:val="0084046E"/>
    <w:rsid w:val="008825A5"/>
    <w:rsid w:val="008A3AE3"/>
    <w:rsid w:val="008B6ED2"/>
    <w:rsid w:val="008C3FFB"/>
    <w:rsid w:val="008C6D72"/>
    <w:rsid w:val="008D4EC9"/>
    <w:rsid w:val="008F1931"/>
    <w:rsid w:val="009026EA"/>
    <w:rsid w:val="00913762"/>
    <w:rsid w:val="00937C4E"/>
    <w:rsid w:val="00996D4E"/>
    <w:rsid w:val="009E78BA"/>
    <w:rsid w:val="009F450E"/>
    <w:rsid w:val="00A9192B"/>
    <w:rsid w:val="00AB3793"/>
    <w:rsid w:val="00AC7E4E"/>
    <w:rsid w:val="00B22201"/>
    <w:rsid w:val="00B50A0B"/>
    <w:rsid w:val="00BB4DEC"/>
    <w:rsid w:val="00BD29C9"/>
    <w:rsid w:val="00C136D3"/>
    <w:rsid w:val="00C60721"/>
    <w:rsid w:val="00C62A5A"/>
    <w:rsid w:val="00D04113"/>
    <w:rsid w:val="00D178BA"/>
    <w:rsid w:val="00D2703D"/>
    <w:rsid w:val="00D3354C"/>
    <w:rsid w:val="00D70559"/>
    <w:rsid w:val="00DB7DBB"/>
    <w:rsid w:val="00DD2B57"/>
    <w:rsid w:val="00E46E82"/>
    <w:rsid w:val="00E7085F"/>
    <w:rsid w:val="00E81CC2"/>
    <w:rsid w:val="00EA6A89"/>
    <w:rsid w:val="00EA7E9B"/>
    <w:rsid w:val="00F01DFC"/>
    <w:rsid w:val="00F2287B"/>
    <w:rsid w:val="00F83F0F"/>
    <w:rsid w:val="00FA2816"/>
    <w:rsid w:val="00FA325B"/>
    <w:rsid w:val="00FC3BA6"/>
    <w:rsid w:val="00FD7381"/>
    <w:rsid w:val="1B2BE8C4"/>
    <w:rsid w:val="375F59CB"/>
    <w:rsid w:val="376181DD"/>
    <w:rsid w:val="46CD7027"/>
    <w:rsid w:val="5A9C38EC"/>
    <w:rsid w:val="63B0DC22"/>
    <w:rsid w:val="71FC3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ED495"/>
  <w15:chartTrackingRefBased/>
  <w15:docId w15:val="{120C42A2-862D-4DA3-B8B1-AEE33D63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unhideWhenUsed/>
    <w:qFormat/>
    <w:rsid w:val="001A74D1"/>
    <w:pPr>
      <w:spacing w:after="0" w:line="240" w:lineRule="auto"/>
    </w:pPr>
    <w:rPr>
      <w:rFonts w:eastAsiaTheme="minorEastAsia"/>
      <w:b/>
      <w:bCs/>
      <w:sz w:val="20"/>
      <w:szCs w:val="18"/>
      <w:lang w:bidi="en-US"/>
    </w:rPr>
  </w:style>
  <w:style w:type="table" w:styleId="TableGrid">
    <w:name w:val="Table Grid"/>
    <w:basedOn w:val="TableNormal"/>
    <w:uiPriority w:val="39"/>
    <w:rsid w:val="001A74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2816"/>
    <w:rPr>
      <w:sz w:val="16"/>
      <w:szCs w:val="16"/>
    </w:rPr>
  </w:style>
  <w:style w:type="paragraph" w:styleId="CommentText">
    <w:name w:val="annotation text"/>
    <w:basedOn w:val="Normal"/>
    <w:link w:val="CommentTextChar"/>
    <w:uiPriority w:val="99"/>
    <w:unhideWhenUsed/>
    <w:rsid w:val="00FA2816"/>
    <w:pPr>
      <w:spacing w:line="240" w:lineRule="auto"/>
    </w:pPr>
    <w:rPr>
      <w:sz w:val="20"/>
      <w:szCs w:val="20"/>
    </w:rPr>
  </w:style>
  <w:style w:type="character" w:customStyle="1" w:styleId="CommentTextChar">
    <w:name w:val="Comment Text Char"/>
    <w:basedOn w:val="DefaultParagraphFont"/>
    <w:link w:val="CommentText"/>
    <w:uiPriority w:val="99"/>
    <w:rsid w:val="00FA2816"/>
    <w:rPr>
      <w:sz w:val="20"/>
      <w:szCs w:val="20"/>
    </w:rPr>
  </w:style>
  <w:style w:type="paragraph" w:styleId="BalloonText">
    <w:name w:val="Balloon Text"/>
    <w:basedOn w:val="Normal"/>
    <w:link w:val="BalloonTextChar"/>
    <w:uiPriority w:val="99"/>
    <w:semiHidden/>
    <w:unhideWhenUsed/>
    <w:rsid w:val="00FA2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81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E19BC"/>
    <w:rPr>
      <w:b/>
      <w:bCs/>
    </w:rPr>
  </w:style>
  <w:style w:type="character" w:customStyle="1" w:styleId="CommentSubjectChar">
    <w:name w:val="Comment Subject Char"/>
    <w:basedOn w:val="CommentTextChar"/>
    <w:link w:val="CommentSubject"/>
    <w:uiPriority w:val="99"/>
    <w:semiHidden/>
    <w:rsid w:val="001E19BC"/>
    <w:rPr>
      <w:b/>
      <w:bCs/>
      <w:sz w:val="20"/>
      <w:szCs w:val="20"/>
    </w:rPr>
  </w:style>
  <w:style w:type="table" w:customStyle="1" w:styleId="TableGrid1">
    <w:name w:val="Table Grid1"/>
    <w:basedOn w:val="TableNormal"/>
    <w:next w:val="TableGrid"/>
    <w:uiPriority w:val="59"/>
    <w:rsid w:val="009E78BA"/>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4113"/>
    <w:rPr>
      <w:color w:val="0563C1" w:themeColor="hyperlink"/>
      <w:u w:val="single"/>
    </w:rPr>
  </w:style>
  <w:style w:type="paragraph" w:styleId="Header">
    <w:name w:val="header"/>
    <w:basedOn w:val="Normal"/>
    <w:link w:val="HeaderChar"/>
    <w:uiPriority w:val="99"/>
    <w:unhideWhenUsed/>
    <w:rsid w:val="006D04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438"/>
  </w:style>
  <w:style w:type="paragraph" w:styleId="Footer">
    <w:name w:val="footer"/>
    <w:basedOn w:val="Normal"/>
    <w:link w:val="FooterChar"/>
    <w:uiPriority w:val="99"/>
    <w:unhideWhenUsed/>
    <w:rsid w:val="006D04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438"/>
  </w:style>
  <w:style w:type="paragraph" w:styleId="Revision">
    <w:name w:val="Revision"/>
    <w:hidden/>
    <w:uiPriority w:val="99"/>
    <w:semiHidden/>
    <w:rsid w:val="00F01D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86679">
      <w:bodyDiv w:val="1"/>
      <w:marLeft w:val="0"/>
      <w:marRight w:val="0"/>
      <w:marTop w:val="0"/>
      <w:marBottom w:val="0"/>
      <w:divBdr>
        <w:top w:val="none" w:sz="0" w:space="0" w:color="auto"/>
        <w:left w:val="none" w:sz="0" w:space="0" w:color="auto"/>
        <w:bottom w:val="none" w:sz="0" w:space="0" w:color="auto"/>
        <w:right w:val="none" w:sz="0" w:space="0" w:color="auto"/>
      </w:divBdr>
    </w:div>
    <w:div w:id="401870937">
      <w:bodyDiv w:val="1"/>
      <w:marLeft w:val="0"/>
      <w:marRight w:val="0"/>
      <w:marTop w:val="0"/>
      <w:marBottom w:val="0"/>
      <w:divBdr>
        <w:top w:val="none" w:sz="0" w:space="0" w:color="auto"/>
        <w:left w:val="none" w:sz="0" w:space="0" w:color="auto"/>
        <w:bottom w:val="none" w:sz="0" w:space="0" w:color="auto"/>
        <w:right w:val="none" w:sz="0" w:space="0" w:color="auto"/>
      </w:divBdr>
    </w:div>
    <w:div w:id="537354518">
      <w:bodyDiv w:val="1"/>
      <w:marLeft w:val="0"/>
      <w:marRight w:val="0"/>
      <w:marTop w:val="0"/>
      <w:marBottom w:val="0"/>
      <w:divBdr>
        <w:top w:val="none" w:sz="0" w:space="0" w:color="auto"/>
        <w:left w:val="none" w:sz="0" w:space="0" w:color="auto"/>
        <w:bottom w:val="none" w:sz="0" w:space="0" w:color="auto"/>
        <w:right w:val="none" w:sz="0" w:space="0" w:color="auto"/>
      </w:divBdr>
    </w:div>
    <w:div w:id="1567253881">
      <w:bodyDiv w:val="1"/>
      <w:marLeft w:val="0"/>
      <w:marRight w:val="0"/>
      <w:marTop w:val="0"/>
      <w:marBottom w:val="0"/>
      <w:divBdr>
        <w:top w:val="none" w:sz="0" w:space="0" w:color="auto"/>
        <w:left w:val="none" w:sz="0" w:space="0" w:color="auto"/>
        <w:bottom w:val="none" w:sz="0" w:space="0" w:color="auto"/>
        <w:right w:val="none" w:sz="0" w:space="0" w:color="auto"/>
      </w:divBdr>
      <w:divsChild>
        <w:div w:id="1049650457">
          <w:marLeft w:val="0"/>
          <w:marRight w:val="0"/>
          <w:marTop w:val="0"/>
          <w:marBottom w:val="0"/>
          <w:divBdr>
            <w:top w:val="none" w:sz="0" w:space="0" w:color="auto"/>
            <w:left w:val="none" w:sz="0" w:space="0" w:color="auto"/>
            <w:bottom w:val="none" w:sz="0" w:space="0" w:color="auto"/>
            <w:right w:val="none" w:sz="0" w:space="0" w:color="auto"/>
          </w:divBdr>
          <w:divsChild>
            <w:div w:id="757022159">
              <w:marLeft w:val="-75"/>
              <w:marRight w:val="0"/>
              <w:marTop w:val="30"/>
              <w:marBottom w:val="30"/>
              <w:divBdr>
                <w:top w:val="none" w:sz="0" w:space="0" w:color="auto"/>
                <w:left w:val="none" w:sz="0" w:space="0" w:color="auto"/>
                <w:bottom w:val="none" w:sz="0" w:space="0" w:color="auto"/>
                <w:right w:val="none" w:sz="0" w:space="0" w:color="auto"/>
              </w:divBdr>
              <w:divsChild>
                <w:div w:id="502747887">
                  <w:marLeft w:val="0"/>
                  <w:marRight w:val="0"/>
                  <w:marTop w:val="0"/>
                  <w:marBottom w:val="0"/>
                  <w:divBdr>
                    <w:top w:val="none" w:sz="0" w:space="0" w:color="auto"/>
                    <w:left w:val="none" w:sz="0" w:space="0" w:color="auto"/>
                    <w:bottom w:val="none" w:sz="0" w:space="0" w:color="auto"/>
                    <w:right w:val="none" w:sz="0" w:space="0" w:color="auto"/>
                  </w:divBdr>
                  <w:divsChild>
                    <w:div w:id="912273218">
                      <w:marLeft w:val="0"/>
                      <w:marRight w:val="0"/>
                      <w:marTop w:val="0"/>
                      <w:marBottom w:val="0"/>
                      <w:divBdr>
                        <w:top w:val="none" w:sz="0" w:space="0" w:color="auto"/>
                        <w:left w:val="none" w:sz="0" w:space="0" w:color="auto"/>
                        <w:bottom w:val="none" w:sz="0" w:space="0" w:color="auto"/>
                        <w:right w:val="none" w:sz="0" w:space="0" w:color="auto"/>
                      </w:divBdr>
                    </w:div>
                  </w:divsChild>
                </w:div>
                <w:div w:id="729697499">
                  <w:marLeft w:val="0"/>
                  <w:marRight w:val="0"/>
                  <w:marTop w:val="0"/>
                  <w:marBottom w:val="0"/>
                  <w:divBdr>
                    <w:top w:val="none" w:sz="0" w:space="0" w:color="auto"/>
                    <w:left w:val="none" w:sz="0" w:space="0" w:color="auto"/>
                    <w:bottom w:val="none" w:sz="0" w:space="0" w:color="auto"/>
                    <w:right w:val="none" w:sz="0" w:space="0" w:color="auto"/>
                  </w:divBdr>
                  <w:divsChild>
                    <w:div w:id="681665951">
                      <w:marLeft w:val="0"/>
                      <w:marRight w:val="0"/>
                      <w:marTop w:val="0"/>
                      <w:marBottom w:val="0"/>
                      <w:divBdr>
                        <w:top w:val="none" w:sz="0" w:space="0" w:color="auto"/>
                        <w:left w:val="none" w:sz="0" w:space="0" w:color="auto"/>
                        <w:bottom w:val="none" w:sz="0" w:space="0" w:color="auto"/>
                        <w:right w:val="none" w:sz="0" w:space="0" w:color="auto"/>
                      </w:divBdr>
                    </w:div>
                  </w:divsChild>
                </w:div>
                <w:div w:id="1623539963">
                  <w:marLeft w:val="0"/>
                  <w:marRight w:val="0"/>
                  <w:marTop w:val="0"/>
                  <w:marBottom w:val="0"/>
                  <w:divBdr>
                    <w:top w:val="none" w:sz="0" w:space="0" w:color="auto"/>
                    <w:left w:val="none" w:sz="0" w:space="0" w:color="auto"/>
                    <w:bottom w:val="none" w:sz="0" w:space="0" w:color="auto"/>
                    <w:right w:val="none" w:sz="0" w:space="0" w:color="auto"/>
                  </w:divBdr>
                  <w:divsChild>
                    <w:div w:id="19551914">
                      <w:marLeft w:val="0"/>
                      <w:marRight w:val="0"/>
                      <w:marTop w:val="0"/>
                      <w:marBottom w:val="0"/>
                      <w:divBdr>
                        <w:top w:val="none" w:sz="0" w:space="0" w:color="auto"/>
                        <w:left w:val="none" w:sz="0" w:space="0" w:color="auto"/>
                        <w:bottom w:val="none" w:sz="0" w:space="0" w:color="auto"/>
                        <w:right w:val="none" w:sz="0" w:space="0" w:color="auto"/>
                      </w:divBdr>
                    </w:div>
                  </w:divsChild>
                </w:div>
                <w:div w:id="379674576">
                  <w:marLeft w:val="0"/>
                  <w:marRight w:val="0"/>
                  <w:marTop w:val="0"/>
                  <w:marBottom w:val="0"/>
                  <w:divBdr>
                    <w:top w:val="none" w:sz="0" w:space="0" w:color="auto"/>
                    <w:left w:val="none" w:sz="0" w:space="0" w:color="auto"/>
                    <w:bottom w:val="none" w:sz="0" w:space="0" w:color="auto"/>
                    <w:right w:val="none" w:sz="0" w:space="0" w:color="auto"/>
                  </w:divBdr>
                  <w:divsChild>
                    <w:div w:id="1810977708">
                      <w:marLeft w:val="0"/>
                      <w:marRight w:val="0"/>
                      <w:marTop w:val="0"/>
                      <w:marBottom w:val="0"/>
                      <w:divBdr>
                        <w:top w:val="none" w:sz="0" w:space="0" w:color="auto"/>
                        <w:left w:val="none" w:sz="0" w:space="0" w:color="auto"/>
                        <w:bottom w:val="none" w:sz="0" w:space="0" w:color="auto"/>
                        <w:right w:val="none" w:sz="0" w:space="0" w:color="auto"/>
                      </w:divBdr>
                    </w:div>
                  </w:divsChild>
                </w:div>
                <w:div w:id="1536960928">
                  <w:marLeft w:val="0"/>
                  <w:marRight w:val="0"/>
                  <w:marTop w:val="0"/>
                  <w:marBottom w:val="0"/>
                  <w:divBdr>
                    <w:top w:val="none" w:sz="0" w:space="0" w:color="auto"/>
                    <w:left w:val="none" w:sz="0" w:space="0" w:color="auto"/>
                    <w:bottom w:val="none" w:sz="0" w:space="0" w:color="auto"/>
                    <w:right w:val="none" w:sz="0" w:space="0" w:color="auto"/>
                  </w:divBdr>
                  <w:divsChild>
                    <w:div w:id="1234856726">
                      <w:marLeft w:val="0"/>
                      <w:marRight w:val="0"/>
                      <w:marTop w:val="0"/>
                      <w:marBottom w:val="0"/>
                      <w:divBdr>
                        <w:top w:val="none" w:sz="0" w:space="0" w:color="auto"/>
                        <w:left w:val="none" w:sz="0" w:space="0" w:color="auto"/>
                        <w:bottom w:val="none" w:sz="0" w:space="0" w:color="auto"/>
                        <w:right w:val="none" w:sz="0" w:space="0" w:color="auto"/>
                      </w:divBdr>
                    </w:div>
                  </w:divsChild>
                </w:div>
                <w:div w:id="860704300">
                  <w:marLeft w:val="0"/>
                  <w:marRight w:val="0"/>
                  <w:marTop w:val="0"/>
                  <w:marBottom w:val="0"/>
                  <w:divBdr>
                    <w:top w:val="none" w:sz="0" w:space="0" w:color="auto"/>
                    <w:left w:val="none" w:sz="0" w:space="0" w:color="auto"/>
                    <w:bottom w:val="none" w:sz="0" w:space="0" w:color="auto"/>
                    <w:right w:val="none" w:sz="0" w:space="0" w:color="auto"/>
                  </w:divBdr>
                  <w:divsChild>
                    <w:div w:id="2051419641">
                      <w:marLeft w:val="0"/>
                      <w:marRight w:val="0"/>
                      <w:marTop w:val="0"/>
                      <w:marBottom w:val="0"/>
                      <w:divBdr>
                        <w:top w:val="none" w:sz="0" w:space="0" w:color="auto"/>
                        <w:left w:val="none" w:sz="0" w:space="0" w:color="auto"/>
                        <w:bottom w:val="none" w:sz="0" w:space="0" w:color="auto"/>
                        <w:right w:val="none" w:sz="0" w:space="0" w:color="auto"/>
                      </w:divBdr>
                    </w:div>
                  </w:divsChild>
                </w:div>
                <w:div w:id="327248931">
                  <w:marLeft w:val="0"/>
                  <w:marRight w:val="0"/>
                  <w:marTop w:val="0"/>
                  <w:marBottom w:val="0"/>
                  <w:divBdr>
                    <w:top w:val="none" w:sz="0" w:space="0" w:color="auto"/>
                    <w:left w:val="none" w:sz="0" w:space="0" w:color="auto"/>
                    <w:bottom w:val="none" w:sz="0" w:space="0" w:color="auto"/>
                    <w:right w:val="none" w:sz="0" w:space="0" w:color="auto"/>
                  </w:divBdr>
                  <w:divsChild>
                    <w:div w:id="45956991">
                      <w:marLeft w:val="0"/>
                      <w:marRight w:val="0"/>
                      <w:marTop w:val="0"/>
                      <w:marBottom w:val="0"/>
                      <w:divBdr>
                        <w:top w:val="none" w:sz="0" w:space="0" w:color="auto"/>
                        <w:left w:val="none" w:sz="0" w:space="0" w:color="auto"/>
                        <w:bottom w:val="none" w:sz="0" w:space="0" w:color="auto"/>
                        <w:right w:val="none" w:sz="0" w:space="0" w:color="auto"/>
                      </w:divBdr>
                    </w:div>
                  </w:divsChild>
                </w:div>
                <w:div w:id="1650866410">
                  <w:marLeft w:val="0"/>
                  <w:marRight w:val="0"/>
                  <w:marTop w:val="0"/>
                  <w:marBottom w:val="0"/>
                  <w:divBdr>
                    <w:top w:val="none" w:sz="0" w:space="0" w:color="auto"/>
                    <w:left w:val="none" w:sz="0" w:space="0" w:color="auto"/>
                    <w:bottom w:val="none" w:sz="0" w:space="0" w:color="auto"/>
                    <w:right w:val="none" w:sz="0" w:space="0" w:color="auto"/>
                  </w:divBdr>
                  <w:divsChild>
                    <w:div w:id="416559287">
                      <w:marLeft w:val="0"/>
                      <w:marRight w:val="0"/>
                      <w:marTop w:val="0"/>
                      <w:marBottom w:val="0"/>
                      <w:divBdr>
                        <w:top w:val="none" w:sz="0" w:space="0" w:color="auto"/>
                        <w:left w:val="none" w:sz="0" w:space="0" w:color="auto"/>
                        <w:bottom w:val="none" w:sz="0" w:space="0" w:color="auto"/>
                        <w:right w:val="none" w:sz="0" w:space="0" w:color="auto"/>
                      </w:divBdr>
                    </w:div>
                  </w:divsChild>
                </w:div>
                <w:div w:id="2000382040">
                  <w:marLeft w:val="0"/>
                  <w:marRight w:val="0"/>
                  <w:marTop w:val="0"/>
                  <w:marBottom w:val="0"/>
                  <w:divBdr>
                    <w:top w:val="none" w:sz="0" w:space="0" w:color="auto"/>
                    <w:left w:val="none" w:sz="0" w:space="0" w:color="auto"/>
                    <w:bottom w:val="none" w:sz="0" w:space="0" w:color="auto"/>
                    <w:right w:val="none" w:sz="0" w:space="0" w:color="auto"/>
                  </w:divBdr>
                  <w:divsChild>
                    <w:div w:id="214001527">
                      <w:marLeft w:val="0"/>
                      <w:marRight w:val="0"/>
                      <w:marTop w:val="0"/>
                      <w:marBottom w:val="0"/>
                      <w:divBdr>
                        <w:top w:val="none" w:sz="0" w:space="0" w:color="auto"/>
                        <w:left w:val="none" w:sz="0" w:space="0" w:color="auto"/>
                        <w:bottom w:val="none" w:sz="0" w:space="0" w:color="auto"/>
                        <w:right w:val="none" w:sz="0" w:space="0" w:color="auto"/>
                      </w:divBdr>
                    </w:div>
                  </w:divsChild>
                </w:div>
                <w:div w:id="1945767274">
                  <w:marLeft w:val="0"/>
                  <w:marRight w:val="0"/>
                  <w:marTop w:val="0"/>
                  <w:marBottom w:val="0"/>
                  <w:divBdr>
                    <w:top w:val="none" w:sz="0" w:space="0" w:color="auto"/>
                    <w:left w:val="none" w:sz="0" w:space="0" w:color="auto"/>
                    <w:bottom w:val="none" w:sz="0" w:space="0" w:color="auto"/>
                    <w:right w:val="none" w:sz="0" w:space="0" w:color="auto"/>
                  </w:divBdr>
                  <w:divsChild>
                    <w:div w:id="700858565">
                      <w:marLeft w:val="0"/>
                      <w:marRight w:val="0"/>
                      <w:marTop w:val="0"/>
                      <w:marBottom w:val="0"/>
                      <w:divBdr>
                        <w:top w:val="none" w:sz="0" w:space="0" w:color="auto"/>
                        <w:left w:val="none" w:sz="0" w:space="0" w:color="auto"/>
                        <w:bottom w:val="none" w:sz="0" w:space="0" w:color="auto"/>
                        <w:right w:val="none" w:sz="0" w:space="0" w:color="auto"/>
                      </w:divBdr>
                    </w:div>
                  </w:divsChild>
                </w:div>
                <w:div w:id="1738939353">
                  <w:marLeft w:val="0"/>
                  <w:marRight w:val="0"/>
                  <w:marTop w:val="0"/>
                  <w:marBottom w:val="0"/>
                  <w:divBdr>
                    <w:top w:val="none" w:sz="0" w:space="0" w:color="auto"/>
                    <w:left w:val="none" w:sz="0" w:space="0" w:color="auto"/>
                    <w:bottom w:val="none" w:sz="0" w:space="0" w:color="auto"/>
                    <w:right w:val="none" w:sz="0" w:space="0" w:color="auto"/>
                  </w:divBdr>
                  <w:divsChild>
                    <w:div w:id="732658526">
                      <w:marLeft w:val="0"/>
                      <w:marRight w:val="0"/>
                      <w:marTop w:val="0"/>
                      <w:marBottom w:val="0"/>
                      <w:divBdr>
                        <w:top w:val="none" w:sz="0" w:space="0" w:color="auto"/>
                        <w:left w:val="none" w:sz="0" w:space="0" w:color="auto"/>
                        <w:bottom w:val="none" w:sz="0" w:space="0" w:color="auto"/>
                        <w:right w:val="none" w:sz="0" w:space="0" w:color="auto"/>
                      </w:divBdr>
                    </w:div>
                  </w:divsChild>
                </w:div>
                <w:div w:id="38476447">
                  <w:marLeft w:val="0"/>
                  <w:marRight w:val="0"/>
                  <w:marTop w:val="0"/>
                  <w:marBottom w:val="0"/>
                  <w:divBdr>
                    <w:top w:val="none" w:sz="0" w:space="0" w:color="auto"/>
                    <w:left w:val="none" w:sz="0" w:space="0" w:color="auto"/>
                    <w:bottom w:val="none" w:sz="0" w:space="0" w:color="auto"/>
                    <w:right w:val="none" w:sz="0" w:space="0" w:color="auto"/>
                  </w:divBdr>
                  <w:divsChild>
                    <w:div w:id="1527864220">
                      <w:marLeft w:val="0"/>
                      <w:marRight w:val="0"/>
                      <w:marTop w:val="0"/>
                      <w:marBottom w:val="0"/>
                      <w:divBdr>
                        <w:top w:val="none" w:sz="0" w:space="0" w:color="auto"/>
                        <w:left w:val="none" w:sz="0" w:space="0" w:color="auto"/>
                        <w:bottom w:val="none" w:sz="0" w:space="0" w:color="auto"/>
                        <w:right w:val="none" w:sz="0" w:space="0" w:color="auto"/>
                      </w:divBdr>
                    </w:div>
                  </w:divsChild>
                </w:div>
                <w:div w:id="83065679">
                  <w:marLeft w:val="0"/>
                  <w:marRight w:val="0"/>
                  <w:marTop w:val="0"/>
                  <w:marBottom w:val="0"/>
                  <w:divBdr>
                    <w:top w:val="none" w:sz="0" w:space="0" w:color="auto"/>
                    <w:left w:val="none" w:sz="0" w:space="0" w:color="auto"/>
                    <w:bottom w:val="none" w:sz="0" w:space="0" w:color="auto"/>
                    <w:right w:val="none" w:sz="0" w:space="0" w:color="auto"/>
                  </w:divBdr>
                  <w:divsChild>
                    <w:div w:id="1341854341">
                      <w:marLeft w:val="0"/>
                      <w:marRight w:val="0"/>
                      <w:marTop w:val="0"/>
                      <w:marBottom w:val="0"/>
                      <w:divBdr>
                        <w:top w:val="none" w:sz="0" w:space="0" w:color="auto"/>
                        <w:left w:val="none" w:sz="0" w:space="0" w:color="auto"/>
                        <w:bottom w:val="none" w:sz="0" w:space="0" w:color="auto"/>
                        <w:right w:val="none" w:sz="0" w:space="0" w:color="auto"/>
                      </w:divBdr>
                    </w:div>
                  </w:divsChild>
                </w:div>
                <w:div w:id="2078822312">
                  <w:marLeft w:val="0"/>
                  <w:marRight w:val="0"/>
                  <w:marTop w:val="0"/>
                  <w:marBottom w:val="0"/>
                  <w:divBdr>
                    <w:top w:val="none" w:sz="0" w:space="0" w:color="auto"/>
                    <w:left w:val="none" w:sz="0" w:space="0" w:color="auto"/>
                    <w:bottom w:val="none" w:sz="0" w:space="0" w:color="auto"/>
                    <w:right w:val="none" w:sz="0" w:space="0" w:color="auto"/>
                  </w:divBdr>
                  <w:divsChild>
                    <w:div w:id="821310911">
                      <w:marLeft w:val="0"/>
                      <w:marRight w:val="0"/>
                      <w:marTop w:val="0"/>
                      <w:marBottom w:val="0"/>
                      <w:divBdr>
                        <w:top w:val="none" w:sz="0" w:space="0" w:color="auto"/>
                        <w:left w:val="none" w:sz="0" w:space="0" w:color="auto"/>
                        <w:bottom w:val="none" w:sz="0" w:space="0" w:color="auto"/>
                        <w:right w:val="none" w:sz="0" w:space="0" w:color="auto"/>
                      </w:divBdr>
                    </w:div>
                  </w:divsChild>
                </w:div>
                <w:div w:id="1567836273">
                  <w:marLeft w:val="0"/>
                  <w:marRight w:val="0"/>
                  <w:marTop w:val="0"/>
                  <w:marBottom w:val="0"/>
                  <w:divBdr>
                    <w:top w:val="none" w:sz="0" w:space="0" w:color="auto"/>
                    <w:left w:val="none" w:sz="0" w:space="0" w:color="auto"/>
                    <w:bottom w:val="none" w:sz="0" w:space="0" w:color="auto"/>
                    <w:right w:val="none" w:sz="0" w:space="0" w:color="auto"/>
                  </w:divBdr>
                  <w:divsChild>
                    <w:div w:id="1858619126">
                      <w:marLeft w:val="0"/>
                      <w:marRight w:val="0"/>
                      <w:marTop w:val="0"/>
                      <w:marBottom w:val="0"/>
                      <w:divBdr>
                        <w:top w:val="none" w:sz="0" w:space="0" w:color="auto"/>
                        <w:left w:val="none" w:sz="0" w:space="0" w:color="auto"/>
                        <w:bottom w:val="none" w:sz="0" w:space="0" w:color="auto"/>
                        <w:right w:val="none" w:sz="0" w:space="0" w:color="auto"/>
                      </w:divBdr>
                    </w:div>
                  </w:divsChild>
                </w:div>
                <w:div w:id="963848309">
                  <w:marLeft w:val="0"/>
                  <w:marRight w:val="0"/>
                  <w:marTop w:val="0"/>
                  <w:marBottom w:val="0"/>
                  <w:divBdr>
                    <w:top w:val="none" w:sz="0" w:space="0" w:color="auto"/>
                    <w:left w:val="none" w:sz="0" w:space="0" w:color="auto"/>
                    <w:bottom w:val="none" w:sz="0" w:space="0" w:color="auto"/>
                    <w:right w:val="none" w:sz="0" w:space="0" w:color="auto"/>
                  </w:divBdr>
                  <w:divsChild>
                    <w:div w:id="950479469">
                      <w:marLeft w:val="0"/>
                      <w:marRight w:val="0"/>
                      <w:marTop w:val="0"/>
                      <w:marBottom w:val="0"/>
                      <w:divBdr>
                        <w:top w:val="none" w:sz="0" w:space="0" w:color="auto"/>
                        <w:left w:val="none" w:sz="0" w:space="0" w:color="auto"/>
                        <w:bottom w:val="none" w:sz="0" w:space="0" w:color="auto"/>
                        <w:right w:val="none" w:sz="0" w:space="0" w:color="auto"/>
                      </w:divBdr>
                    </w:div>
                  </w:divsChild>
                </w:div>
                <w:div w:id="411507922">
                  <w:marLeft w:val="0"/>
                  <w:marRight w:val="0"/>
                  <w:marTop w:val="0"/>
                  <w:marBottom w:val="0"/>
                  <w:divBdr>
                    <w:top w:val="none" w:sz="0" w:space="0" w:color="auto"/>
                    <w:left w:val="none" w:sz="0" w:space="0" w:color="auto"/>
                    <w:bottom w:val="none" w:sz="0" w:space="0" w:color="auto"/>
                    <w:right w:val="none" w:sz="0" w:space="0" w:color="auto"/>
                  </w:divBdr>
                  <w:divsChild>
                    <w:div w:id="323359506">
                      <w:marLeft w:val="0"/>
                      <w:marRight w:val="0"/>
                      <w:marTop w:val="0"/>
                      <w:marBottom w:val="0"/>
                      <w:divBdr>
                        <w:top w:val="none" w:sz="0" w:space="0" w:color="auto"/>
                        <w:left w:val="none" w:sz="0" w:space="0" w:color="auto"/>
                        <w:bottom w:val="none" w:sz="0" w:space="0" w:color="auto"/>
                        <w:right w:val="none" w:sz="0" w:space="0" w:color="auto"/>
                      </w:divBdr>
                    </w:div>
                  </w:divsChild>
                </w:div>
                <w:div w:id="318114293">
                  <w:marLeft w:val="0"/>
                  <w:marRight w:val="0"/>
                  <w:marTop w:val="0"/>
                  <w:marBottom w:val="0"/>
                  <w:divBdr>
                    <w:top w:val="none" w:sz="0" w:space="0" w:color="auto"/>
                    <w:left w:val="none" w:sz="0" w:space="0" w:color="auto"/>
                    <w:bottom w:val="none" w:sz="0" w:space="0" w:color="auto"/>
                    <w:right w:val="none" w:sz="0" w:space="0" w:color="auto"/>
                  </w:divBdr>
                  <w:divsChild>
                    <w:div w:id="1063062019">
                      <w:marLeft w:val="0"/>
                      <w:marRight w:val="0"/>
                      <w:marTop w:val="0"/>
                      <w:marBottom w:val="0"/>
                      <w:divBdr>
                        <w:top w:val="none" w:sz="0" w:space="0" w:color="auto"/>
                        <w:left w:val="none" w:sz="0" w:space="0" w:color="auto"/>
                        <w:bottom w:val="none" w:sz="0" w:space="0" w:color="auto"/>
                        <w:right w:val="none" w:sz="0" w:space="0" w:color="auto"/>
                      </w:divBdr>
                    </w:div>
                  </w:divsChild>
                </w:div>
                <w:div w:id="155999705">
                  <w:marLeft w:val="0"/>
                  <w:marRight w:val="0"/>
                  <w:marTop w:val="0"/>
                  <w:marBottom w:val="0"/>
                  <w:divBdr>
                    <w:top w:val="none" w:sz="0" w:space="0" w:color="auto"/>
                    <w:left w:val="none" w:sz="0" w:space="0" w:color="auto"/>
                    <w:bottom w:val="none" w:sz="0" w:space="0" w:color="auto"/>
                    <w:right w:val="none" w:sz="0" w:space="0" w:color="auto"/>
                  </w:divBdr>
                  <w:divsChild>
                    <w:div w:id="38408790">
                      <w:marLeft w:val="0"/>
                      <w:marRight w:val="0"/>
                      <w:marTop w:val="0"/>
                      <w:marBottom w:val="0"/>
                      <w:divBdr>
                        <w:top w:val="none" w:sz="0" w:space="0" w:color="auto"/>
                        <w:left w:val="none" w:sz="0" w:space="0" w:color="auto"/>
                        <w:bottom w:val="none" w:sz="0" w:space="0" w:color="auto"/>
                        <w:right w:val="none" w:sz="0" w:space="0" w:color="auto"/>
                      </w:divBdr>
                    </w:div>
                  </w:divsChild>
                </w:div>
                <w:div w:id="73403077">
                  <w:marLeft w:val="0"/>
                  <w:marRight w:val="0"/>
                  <w:marTop w:val="0"/>
                  <w:marBottom w:val="0"/>
                  <w:divBdr>
                    <w:top w:val="none" w:sz="0" w:space="0" w:color="auto"/>
                    <w:left w:val="none" w:sz="0" w:space="0" w:color="auto"/>
                    <w:bottom w:val="none" w:sz="0" w:space="0" w:color="auto"/>
                    <w:right w:val="none" w:sz="0" w:space="0" w:color="auto"/>
                  </w:divBdr>
                  <w:divsChild>
                    <w:div w:id="2045133335">
                      <w:marLeft w:val="0"/>
                      <w:marRight w:val="0"/>
                      <w:marTop w:val="0"/>
                      <w:marBottom w:val="0"/>
                      <w:divBdr>
                        <w:top w:val="none" w:sz="0" w:space="0" w:color="auto"/>
                        <w:left w:val="none" w:sz="0" w:space="0" w:color="auto"/>
                        <w:bottom w:val="none" w:sz="0" w:space="0" w:color="auto"/>
                        <w:right w:val="none" w:sz="0" w:space="0" w:color="auto"/>
                      </w:divBdr>
                    </w:div>
                  </w:divsChild>
                </w:div>
                <w:div w:id="1832869386">
                  <w:marLeft w:val="0"/>
                  <w:marRight w:val="0"/>
                  <w:marTop w:val="0"/>
                  <w:marBottom w:val="0"/>
                  <w:divBdr>
                    <w:top w:val="none" w:sz="0" w:space="0" w:color="auto"/>
                    <w:left w:val="none" w:sz="0" w:space="0" w:color="auto"/>
                    <w:bottom w:val="none" w:sz="0" w:space="0" w:color="auto"/>
                    <w:right w:val="none" w:sz="0" w:space="0" w:color="auto"/>
                  </w:divBdr>
                  <w:divsChild>
                    <w:div w:id="1032343821">
                      <w:marLeft w:val="0"/>
                      <w:marRight w:val="0"/>
                      <w:marTop w:val="0"/>
                      <w:marBottom w:val="0"/>
                      <w:divBdr>
                        <w:top w:val="none" w:sz="0" w:space="0" w:color="auto"/>
                        <w:left w:val="none" w:sz="0" w:space="0" w:color="auto"/>
                        <w:bottom w:val="none" w:sz="0" w:space="0" w:color="auto"/>
                        <w:right w:val="none" w:sz="0" w:space="0" w:color="auto"/>
                      </w:divBdr>
                    </w:div>
                  </w:divsChild>
                </w:div>
                <w:div w:id="2117165135">
                  <w:marLeft w:val="0"/>
                  <w:marRight w:val="0"/>
                  <w:marTop w:val="0"/>
                  <w:marBottom w:val="0"/>
                  <w:divBdr>
                    <w:top w:val="none" w:sz="0" w:space="0" w:color="auto"/>
                    <w:left w:val="none" w:sz="0" w:space="0" w:color="auto"/>
                    <w:bottom w:val="none" w:sz="0" w:space="0" w:color="auto"/>
                    <w:right w:val="none" w:sz="0" w:space="0" w:color="auto"/>
                  </w:divBdr>
                  <w:divsChild>
                    <w:div w:id="1513491113">
                      <w:marLeft w:val="0"/>
                      <w:marRight w:val="0"/>
                      <w:marTop w:val="0"/>
                      <w:marBottom w:val="0"/>
                      <w:divBdr>
                        <w:top w:val="none" w:sz="0" w:space="0" w:color="auto"/>
                        <w:left w:val="none" w:sz="0" w:space="0" w:color="auto"/>
                        <w:bottom w:val="none" w:sz="0" w:space="0" w:color="auto"/>
                        <w:right w:val="none" w:sz="0" w:space="0" w:color="auto"/>
                      </w:divBdr>
                    </w:div>
                  </w:divsChild>
                </w:div>
                <w:div w:id="569193107">
                  <w:marLeft w:val="0"/>
                  <w:marRight w:val="0"/>
                  <w:marTop w:val="0"/>
                  <w:marBottom w:val="0"/>
                  <w:divBdr>
                    <w:top w:val="none" w:sz="0" w:space="0" w:color="auto"/>
                    <w:left w:val="none" w:sz="0" w:space="0" w:color="auto"/>
                    <w:bottom w:val="none" w:sz="0" w:space="0" w:color="auto"/>
                    <w:right w:val="none" w:sz="0" w:space="0" w:color="auto"/>
                  </w:divBdr>
                  <w:divsChild>
                    <w:div w:id="1476875858">
                      <w:marLeft w:val="0"/>
                      <w:marRight w:val="0"/>
                      <w:marTop w:val="0"/>
                      <w:marBottom w:val="0"/>
                      <w:divBdr>
                        <w:top w:val="none" w:sz="0" w:space="0" w:color="auto"/>
                        <w:left w:val="none" w:sz="0" w:space="0" w:color="auto"/>
                        <w:bottom w:val="none" w:sz="0" w:space="0" w:color="auto"/>
                        <w:right w:val="none" w:sz="0" w:space="0" w:color="auto"/>
                      </w:divBdr>
                    </w:div>
                  </w:divsChild>
                </w:div>
                <w:div w:id="728458702">
                  <w:marLeft w:val="0"/>
                  <w:marRight w:val="0"/>
                  <w:marTop w:val="0"/>
                  <w:marBottom w:val="0"/>
                  <w:divBdr>
                    <w:top w:val="none" w:sz="0" w:space="0" w:color="auto"/>
                    <w:left w:val="none" w:sz="0" w:space="0" w:color="auto"/>
                    <w:bottom w:val="none" w:sz="0" w:space="0" w:color="auto"/>
                    <w:right w:val="none" w:sz="0" w:space="0" w:color="auto"/>
                  </w:divBdr>
                  <w:divsChild>
                    <w:div w:id="1113284245">
                      <w:marLeft w:val="0"/>
                      <w:marRight w:val="0"/>
                      <w:marTop w:val="0"/>
                      <w:marBottom w:val="0"/>
                      <w:divBdr>
                        <w:top w:val="none" w:sz="0" w:space="0" w:color="auto"/>
                        <w:left w:val="none" w:sz="0" w:space="0" w:color="auto"/>
                        <w:bottom w:val="none" w:sz="0" w:space="0" w:color="auto"/>
                        <w:right w:val="none" w:sz="0" w:space="0" w:color="auto"/>
                      </w:divBdr>
                    </w:div>
                  </w:divsChild>
                </w:div>
                <w:div w:id="2066683002">
                  <w:marLeft w:val="0"/>
                  <w:marRight w:val="0"/>
                  <w:marTop w:val="0"/>
                  <w:marBottom w:val="0"/>
                  <w:divBdr>
                    <w:top w:val="none" w:sz="0" w:space="0" w:color="auto"/>
                    <w:left w:val="none" w:sz="0" w:space="0" w:color="auto"/>
                    <w:bottom w:val="none" w:sz="0" w:space="0" w:color="auto"/>
                    <w:right w:val="none" w:sz="0" w:space="0" w:color="auto"/>
                  </w:divBdr>
                  <w:divsChild>
                    <w:div w:id="1171330676">
                      <w:marLeft w:val="0"/>
                      <w:marRight w:val="0"/>
                      <w:marTop w:val="0"/>
                      <w:marBottom w:val="0"/>
                      <w:divBdr>
                        <w:top w:val="none" w:sz="0" w:space="0" w:color="auto"/>
                        <w:left w:val="none" w:sz="0" w:space="0" w:color="auto"/>
                        <w:bottom w:val="none" w:sz="0" w:space="0" w:color="auto"/>
                        <w:right w:val="none" w:sz="0" w:space="0" w:color="auto"/>
                      </w:divBdr>
                    </w:div>
                  </w:divsChild>
                </w:div>
                <w:div w:id="12390468">
                  <w:marLeft w:val="0"/>
                  <w:marRight w:val="0"/>
                  <w:marTop w:val="0"/>
                  <w:marBottom w:val="0"/>
                  <w:divBdr>
                    <w:top w:val="none" w:sz="0" w:space="0" w:color="auto"/>
                    <w:left w:val="none" w:sz="0" w:space="0" w:color="auto"/>
                    <w:bottom w:val="none" w:sz="0" w:space="0" w:color="auto"/>
                    <w:right w:val="none" w:sz="0" w:space="0" w:color="auto"/>
                  </w:divBdr>
                  <w:divsChild>
                    <w:div w:id="316030777">
                      <w:marLeft w:val="0"/>
                      <w:marRight w:val="0"/>
                      <w:marTop w:val="0"/>
                      <w:marBottom w:val="0"/>
                      <w:divBdr>
                        <w:top w:val="none" w:sz="0" w:space="0" w:color="auto"/>
                        <w:left w:val="none" w:sz="0" w:space="0" w:color="auto"/>
                        <w:bottom w:val="none" w:sz="0" w:space="0" w:color="auto"/>
                        <w:right w:val="none" w:sz="0" w:space="0" w:color="auto"/>
                      </w:divBdr>
                    </w:div>
                  </w:divsChild>
                </w:div>
                <w:div w:id="2123106936">
                  <w:marLeft w:val="0"/>
                  <w:marRight w:val="0"/>
                  <w:marTop w:val="0"/>
                  <w:marBottom w:val="0"/>
                  <w:divBdr>
                    <w:top w:val="none" w:sz="0" w:space="0" w:color="auto"/>
                    <w:left w:val="none" w:sz="0" w:space="0" w:color="auto"/>
                    <w:bottom w:val="none" w:sz="0" w:space="0" w:color="auto"/>
                    <w:right w:val="none" w:sz="0" w:space="0" w:color="auto"/>
                  </w:divBdr>
                  <w:divsChild>
                    <w:div w:id="158440">
                      <w:marLeft w:val="0"/>
                      <w:marRight w:val="0"/>
                      <w:marTop w:val="0"/>
                      <w:marBottom w:val="0"/>
                      <w:divBdr>
                        <w:top w:val="none" w:sz="0" w:space="0" w:color="auto"/>
                        <w:left w:val="none" w:sz="0" w:space="0" w:color="auto"/>
                        <w:bottom w:val="none" w:sz="0" w:space="0" w:color="auto"/>
                        <w:right w:val="none" w:sz="0" w:space="0" w:color="auto"/>
                      </w:divBdr>
                    </w:div>
                  </w:divsChild>
                </w:div>
                <w:div w:id="2100170512">
                  <w:marLeft w:val="0"/>
                  <w:marRight w:val="0"/>
                  <w:marTop w:val="0"/>
                  <w:marBottom w:val="0"/>
                  <w:divBdr>
                    <w:top w:val="none" w:sz="0" w:space="0" w:color="auto"/>
                    <w:left w:val="none" w:sz="0" w:space="0" w:color="auto"/>
                    <w:bottom w:val="none" w:sz="0" w:space="0" w:color="auto"/>
                    <w:right w:val="none" w:sz="0" w:space="0" w:color="auto"/>
                  </w:divBdr>
                  <w:divsChild>
                    <w:div w:id="413629642">
                      <w:marLeft w:val="0"/>
                      <w:marRight w:val="0"/>
                      <w:marTop w:val="0"/>
                      <w:marBottom w:val="0"/>
                      <w:divBdr>
                        <w:top w:val="none" w:sz="0" w:space="0" w:color="auto"/>
                        <w:left w:val="none" w:sz="0" w:space="0" w:color="auto"/>
                        <w:bottom w:val="none" w:sz="0" w:space="0" w:color="auto"/>
                        <w:right w:val="none" w:sz="0" w:space="0" w:color="auto"/>
                      </w:divBdr>
                    </w:div>
                  </w:divsChild>
                </w:div>
                <w:div w:id="2062552234">
                  <w:marLeft w:val="0"/>
                  <w:marRight w:val="0"/>
                  <w:marTop w:val="0"/>
                  <w:marBottom w:val="0"/>
                  <w:divBdr>
                    <w:top w:val="none" w:sz="0" w:space="0" w:color="auto"/>
                    <w:left w:val="none" w:sz="0" w:space="0" w:color="auto"/>
                    <w:bottom w:val="none" w:sz="0" w:space="0" w:color="auto"/>
                    <w:right w:val="none" w:sz="0" w:space="0" w:color="auto"/>
                  </w:divBdr>
                  <w:divsChild>
                    <w:div w:id="1813865092">
                      <w:marLeft w:val="0"/>
                      <w:marRight w:val="0"/>
                      <w:marTop w:val="0"/>
                      <w:marBottom w:val="0"/>
                      <w:divBdr>
                        <w:top w:val="none" w:sz="0" w:space="0" w:color="auto"/>
                        <w:left w:val="none" w:sz="0" w:space="0" w:color="auto"/>
                        <w:bottom w:val="none" w:sz="0" w:space="0" w:color="auto"/>
                        <w:right w:val="none" w:sz="0" w:space="0" w:color="auto"/>
                      </w:divBdr>
                    </w:div>
                  </w:divsChild>
                </w:div>
                <w:div w:id="1435326645">
                  <w:marLeft w:val="0"/>
                  <w:marRight w:val="0"/>
                  <w:marTop w:val="0"/>
                  <w:marBottom w:val="0"/>
                  <w:divBdr>
                    <w:top w:val="none" w:sz="0" w:space="0" w:color="auto"/>
                    <w:left w:val="none" w:sz="0" w:space="0" w:color="auto"/>
                    <w:bottom w:val="none" w:sz="0" w:space="0" w:color="auto"/>
                    <w:right w:val="none" w:sz="0" w:space="0" w:color="auto"/>
                  </w:divBdr>
                  <w:divsChild>
                    <w:div w:id="1793206374">
                      <w:marLeft w:val="0"/>
                      <w:marRight w:val="0"/>
                      <w:marTop w:val="0"/>
                      <w:marBottom w:val="0"/>
                      <w:divBdr>
                        <w:top w:val="none" w:sz="0" w:space="0" w:color="auto"/>
                        <w:left w:val="none" w:sz="0" w:space="0" w:color="auto"/>
                        <w:bottom w:val="none" w:sz="0" w:space="0" w:color="auto"/>
                        <w:right w:val="none" w:sz="0" w:space="0" w:color="auto"/>
                      </w:divBdr>
                    </w:div>
                  </w:divsChild>
                </w:div>
                <w:div w:id="630945574">
                  <w:marLeft w:val="0"/>
                  <w:marRight w:val="0"/>
                  <w:marTop w:val="0"/>
                  <w:marBottom w:val="0"/>
                  <w:divBdr>
                    <w:top w:val="none" w:sz="0" w:space="0" w:color="auto"/>
                    <w:left w:val="none" w:sz="0" w:space="0" w:color="auto"/>
                    <w:bottom w:val="none" w:sz="0" w:space="0" w:color="auto"/>
                    <w:right w:val="none" w:sz="0" w:space="0" w:color="auto"/>
                  </w:divBdr>
                  <w:divsChild>
                    <w:div w:id="746726797">
                      <w:marLeft w:val="0"/>
                      <w:marRight w:val="0"/>
                      <w:marTop w:val="0"/>
                      <w:marBottom w:val="0"/>
                      <w:divBdr>
                        <w:top w:val="none" w:sz="0" w:space="0" w:color="auto"/>
                        <w:left w:val="none" w:sz="0" w:space="0" w:color="auto"/>
                        <w:bottom w:val="none" w:sz="0" w:space="0" w:color="auto"/>
                        <w:right w:val="none" w:sz="0" w:space="0" w:color="auto"/>
                      </w:divBdr>
                    </w:div>
                  </w:divsChild>
                </w:div>
                <w:div w:id="1267151181">
                  <w:marLeft w:val="0"/>
                  <w:marRight w:val="0"/>
                  <w:marTop w:val="0"/>
                  <w:marBottom w:val="0"/>
                  <w:divBdr>
                    <w:top w:val="none" w:sz="0" w:space="0" w:color="auto"/>
                    <w:left w:val="none" w:sz="0" w:space="0" w:color="auto"/>
                    <w:bottom w:val="none" w:sz="0" w:space="0" w:color="auto"/>
                    <w:right w:val="none" w:sz="0" w:space="0" w:color="auto"/>
                  </w:divBdr>
                  <w:divsChild>
                    <w:div w:id="161749266">
                      <w:marLeft w:val="0"/>
                      <w:marRight w:val="0"/>
                      <w:marTop w:val="0"/>
                      <w:marBottom w:val="0"/>
                      <w:divBdr>
                        <w:top w:val="none" w:sz="0" w:space="0" w:color="auto"/>
                        <w:left w:val="none" w:sz="0" w:space="0" w:color="auto"/>
                        <w:bottom w:val="none" w:sz="0" w:space="0" w:color="auto"/>
                        <w:right w:val="none" w:sz="0" w:space="0" w:color="auto"/>
                      </w:divBdr>
                    </w:div>
                  </w:divsChild>
                </w:div>
                <w:div w:id="1026833002">
                  <w:marLeft w:val="0"/>
                  <w:marRight w:val="0"/>
                  <w:marTop w:val="0"/>
                  <w:marBottom w:val="0"/>
                  <w:divBdr>
                    <w:top w:val="none" w:sz="0" w:space="0" w:color="auto"/>
                    <w:left w:val="none" w:sz="0" w:space="0" w:color="auto"/>
                    <w:bottom w:val="none" w:sz="0" w:space="0" w:color="auto"/>
                    <w:right w:val="none" w:sz="0" w:space="0" w:color="auto"/>
                  </w:divBdr>
                  <w:divsChild>
                    <w:div w:id="1909806334">
                      <w:marLeft w:val="0"/>
                      <w:marRight w:val="0"/>
                      <w:marTop w:val="0"/>
                      <w:marBottom w:val="0"/>
                      <w:divBdr>
                        <w:top w:val="none" w:sz="0" w:space="0" w:color="auto"/>
                        <w:left w:val="none" w:sz="0" w:space="0" w:color="auto"/>
                        <w:bottom w:val="none" w:sz="0" w:space="0" w:color="auto"/>
                        <w:right w:val="none" w:sz="0" w:space="0" w:color="auto"/>
                      </w:divBdr>
                    </w:div>
                  </w:divsChild>
                </w:div>
                <w:div w:id="1682119720">
                  <w:marLeft w:val="0"/>
                  <w:marRight w:val="0"/>
                  <w:marTop w:val="0"/>
                  <w:marBottom w:val="0"/>
                  <w:divBdr>
                    <w:top w:val="none" w:sz="0" w:space="0" w:color="auto"/>
                    <w:left w:val="none" w:sz="0" w:space="0" w:color="auto"/>
                    <w:bottom w:val="none" w:sz="0" w:space="0" w:color="auto"/>
                    <w:right w:val="none" w:sz="0" w:space="0" w:color="auto"/>
                  </w:divBdr>
                  <w:divsChild>
                    <w:div w:id="226035818">
                      <w:marLeft w:val="0"/>
                      <w:marRight w:val="0"/>
                      <w:marTop w:val="0"/>
                      <w:marBottom w:val="0"/>
                      <w:divBdr>
                        <w:top w:val="none" w:sz="0" w:space="0" w:color="auto"/>
                        <w:left w:val="none" w:sz="0" w:space="0" w:color="auto"/>
                        <w:bottom w:val="none" w:sz="0" w:space="0" w:color="auto"/>
                        <w:right w:val="none" w:sz="0" w:space="0" w:color="auto"/>
                      </w:divBdr>
                    </w:div>
                  </w:divsChild>
                </w:div>
                <w:div w:id="1592396722">
                  <w:marLeft w:val="0"/>
                  <w:marRight w:val="0"/>
                  <w:marTop w:val="0"/>
                  <w:marBottom w:val="0"/>
                  <w:divBdr>
                    <w:top w:val="none" w:sz="0" w:space="0" w:color="auto"/>
                    <w:left w:val="none" w:sz="0" w:space="0" w:color="auto"/>
                    <w:bottom w:val="none" w:sz="0" w:space="0" w:color="auto"/>
                    <w:right w:val="none" w:sz="0" w:space="0" w:color="auto"/>
                  </w:divBdr>
                  <w:divsChild>
                    <w:div w:id="735670339">
                      <w:marLeft w:val="0"/>
                      <w:marRight w:val="0"/>
                      <w:marTop w:val="0"/>
                      <w:marBottom w:val="0"/>
                      <w:divBdr>
                        <w:top w:val="none" w:sz="0" w:space="0" w:color="auto"/>
                        <w:left w:val="none" w:sz="0" w:space="0" w:color="auto"/>
                        <w:bottom w:val="none" w:sz="0" w:space="0" w:color="auto"/>
                        <w:right w:val="none" w:sz="0" w:space="0" w:color="auto"/>
                      </w:divBdr>
                    </w:div>
                  </w:divsChild>
                </w:div>
                <w:div w:id="612517843">
                  <w:marLeft w:val="0"/>
                  <w:marRight w:val="0"/>
                  <w:marTop w:val="0"/>
                  <w:marBottom w:val="0"/>
                  <w:divBdr>
                    <w:top w:val="none" w:sz="0" w:space="0" w:color="auto"/>
                    <w:left w:val="none" w:sz="0" w:space="0" w:color="auto"/>
                    <w:bottom w:val="none" w:sz="0" w:space="0" w:color="auto"/>
                    <w:right w:val="none" w:sz="0" w:space="0" w:color="auto"/>
                  </w:divBdr>
                  <w:divsChild>
                    <w:div w:id="1053430496">
                      <w:marLeft w:val="0"/>
                      <w:marRight w:val="0"/>
                      <w:marTop w:val="0"/>
                      <w:marBottom w:val="0"/>
                      <w:divBdr>
                        <w:top w:val="none" w:sz="0" w:space="0" w:color="auto"/>
                        <w:left w:val="none" w:sz="0" w:space="0" w:color="auto"/>
                        <w:bottom w:val="none" w:sz="0" w:space="0" w:color="auto"/>
                        <w:right w:val="none" w:sz="0" w:space="0" w:color="auto"/>
                      </w:divBdr>
                    </w:div>
                  </w:divsChild>
                </w:div>
                <w:div w:id="2083066698">
                  <w:marLeft w:val="0"/>
                  <w:marRight w:val="0"/>
                  <w:marTop w:val="0"/>
                  <w:marBottom w:val="0"/>
                  <w:divBdr>
                    <w:top w:val="none" w:sz="0" w:space="0" w:color="auto"/>
                    <w:left w:val="none" w:sz="0" w:space="0" w:color="auto"/>
                    <w:bottom w:val="none" w:sz="0" w:space="0" w:color="auto"/>
                    <w:right w:val="none" w:sz="0" w:space="0" w:color="auto"/>
                  </w:divBdr>
                  <w:divsChild>
                    <w:div w:id="110443974">
                      <w:marLeft w:val="0"/>
                      <w:marRight w:val="0"/>
                      <w:marTop w:val="0"/>
                      <w:marBottom w:val="0"/>
                      <w:divBdr>
                        <w:top w:val="none" w:sz="0" w:space="0" w:color="auto"/>
                        <w:left w:val="none" w:sz="0" w:space="0" w:color="auto"/>
                        <w:bottom w:val="none" w:sz="0" w:space="0" w:color="auto"/>
                        <w:right w:val="none" w:sz="0" w:space="0" w:color="auto"/>
                      </w:divBdr>
                    </w:div>
                  </w:divsChild>
                </w:div>
                <w:div w:id="484052726">
                  <w:marLeft w:val="0"/>
                  <w:marRight w:val="0"/>
                  <w:marTop w:val="0"/>
                  <w:marBottom w:val="0"/>
                  <w:divBdr>
                    <w:top w:val="none" w:sz="0" w:space="0" w:color="auto"/>
                    <w:left w:val="none" w:sz="0" w:space="0" w:color="auto"/>
                    <w:bottom w:val="none" w:sz="0" w:space="0" w:color="auto"/>
                    <w:right w:val="none" w:sz="0" w:space="0" w:color="auto"/>
                  </w:divBdr>
                  <w:divsChild>
                    <w:div w:id="337657317">
                      <w:marLeft w:val="0"/>
                      <w:marRight w:val="0"/>
                      <w:marTop w:val="0"/>
                      <w:marBottom w:val="0"/>
                      <w:divBdr>
                        <w:top w:val="none" w:sz="0" w:space="0" w:color="auto"/>
                        <w:left w:val="none" w:sz="0" w:space="0" w:color="auto"/>
                        <w:bottom w:val="none" w:sz="0" w:space="0" w:color="auto"/>
                        <w:right w:val="none" w:sz="0" w:space="0" w:color="auto"/>
                      </w:divBdr>
                    </w:div>
                  </w:divsChild>
                </w:div>
                <w:div w:id="106001946">
                  <w:marLeft w:val="0"/>
                  <w:marRight w:val="0"/>
                  <w:marTop w:val="0"/>
                  <w:marBottom w:val="0"/>
                  <w:divBdr>
                    <w:top w:val="none" w:sz="0" w:space="0" w:color="auto"/>
                    <w:left w:val="none" w:sz="0" w:space="0" w:color="auto"/>
                    <w:bottom w:val="none" w:sz="0" w:space="0" w:color="auto"/>
                    <w:right w:val="none" w:sz="0" w:space="0" w:color="auto"/>
                  </w:divBdr>
                  <w:divsChild>
                    <w:div w:id="2120372383">
                      <w:marLeft w:val="0"/>
                      <w:marRight w:val="0"/>
                      <w:marTop w:val="0"/>
                      <w:marBottom w:val="0"/>
                      <w:divBdr>
                        <w:top w:val="none" w:sz="0" w:space="0" w:color="auto"/>
                        <w:left w:val="none" w:sz="0" w:space="0" w:color="auto"/>
                        <w:bottom w:val="none" w:sz="0" w:space="0" w:color="auto"/>
                        <w:right w:val="none" w:sz="0" w:space="0" w:color="auto"/>
                      </w:divBdr>
                    </w:div>
                  </w:divsChild>
                </w:div>
                <w:div w:id="2051563580">
                  <w:marLeft w:val="0"/>
                  <w:marRight w:val="0"/>
                  <w:marTop w:val="0"/>
                  <w:marBottom w:val="0"/>
                  <w:divBdr>
                    <w:top w:val="none" w:sz="0" w:space="0" w:color="auto"/>
                    <w:left w:val="none" w:sz="0" w:space="0" w:color="auto"/>
                    <w:bottom w:val="none" w:sz="0" w:space="0" w:color="auto"/>
                    <w:right w:val="none" w:sz="0" w:space="0" w:color="auto"/>
                  </w:divBdr>
                  <w:divsChild>
                    <w:div w:id="1934628528">
                      <w:marLeft w:val="0"/>
                      <w:marRight w:val="0"/>
                      <w:marTop w:val="0"/>
                      <w:marBottom w:val="0"/>
                      <w:divBdr>
                        <w:top w:val="none" w:sz="0" w:space="0" w:color="auto"/>
                        <w:left w:val="none" w:sz="0" w:space="0" w:color="auto"/>
                        <w:bottom w:val="none" w:sz="0" w:space="0" w:color="auto"/>
                        <w:right w:val="none" w:sz="0" w:space="0" w:color="auto"/>
                      </w:divBdr>
                    </w:div>
                  </w:divsChild>
                </w:div>
                <w:div w:id="304244484">
                  <w:marLeft w:val="0"/>
                  <w:marRight w:val="0"/>
                  <w:marTop w:val="0"/>
                  <w:marBottom w:val="0"/>
                  <w:divBdr>
                    <w:top w:val="none" w:sz="0" w:space="0" w:color="auto"/>
                    <w:left w:val="none" w:sz="0" w:space="0" w:color="auto"/>
                    <w:bottom w:val="none" w:sz="0" w:space="0" w:color="auto"/>
                    <w:right w:val="none" w:sz="0" w:space="0" w:color="auto"/>
                  </w:divBdr>
                  <w:divsChild>
                    <w:div w:id="16780016">
                      <w:marLeft w:val="0"/>
                      <w:marRight w:val="0"/>
                      <w:marTop w:val="0"/>
                      <w:marBottom w:val="0"/>
                      <w:divBdr>
                        <w:top w:val="none" w:sz="0" w:space="0" w:color="auto"/>
                        <w:left w:val="none" w:sz="0" w:space="0" w:color="auto"/>
                        <w:bottom w:val="none" w:sz="0" w:space="0" w:color="auto"/>
                        <w:right w:val="none" w:sz="0" w:space="0" w:color="auto"/>
                      </w:divBdr>
                    </w:div>
                  </w:divsChild>
                </w:div>
                <w:div w:id="2136488467">
                  <w:marLeft w:val="0"/>
                  <w:marRight w:val="0"/>
                  <w:marTop w:val="0"/>
                  <w:marBottom w:val="0"/>
                  <w:divBdr>
                    <w:top w:val="none" w:sz="0" w:space="0" w:color="auto"/>
                    <w:left w:val="none" w:sz="0" w:space="0" w:color="auto"/>
                    <w:bottom w:val="none" w:sz="0" w:space="0" w:color="auto"/>
                    <w:right w:val="none" w:sz="0" w:space="0" w:color="auto"/>
                  </w:divBdr>
                  <w:divsChild>
                    <w:div w:id="979454948">
                      <w:marLeft w:val="0"/>
                      <w:marRight w:val="0"/>
                      <w:marTop w:val="0"/>
                      <w:marBottom w:val="0"/>
                      <w:divBdr>
                        <w:top w:val="none" w:sz="0" w:space="0" w:color="auto"/>
                        <w:left w:val="none" w:sz="0" w:space="0" w:color="auto"/>
                        <w:bottom w:val="none" w:sz="0" w:space="0" w:color="auto"/>
                        <w:right w:val="none" w:sz="0" w:space="0" w:color="auto"/>
                      </w:divBdr>
                    </w:div>
                  </w:divsChild>
                </w:div>
                <w:div w:id="92436810">
                  <w:marLeft w:val="0"/>
                  <w:marRight w:val="0"/>
                  <w:marTop w:val="0"/>
                  <w:marBottom w:val="0"/>
                  <w:divBdr>
                    <w:top w:val="none" w:sz="0" w:space="0" w:color="auto"/>
                    <w:left w:val="none" w:sz="0" w:space="0" w:color="auto"/>
                    <w:bottom w:val="none" w:sz="0" w:space="0" w:color="auto"/>
                    <w:right w:val="none" w:sz="0" w:space="0" w:color="auto"/>
                  </w:divBdr>
                  <w:divsChild>
                    <w:div w:id="52581242">
                      <w:marLeft w:val="0"/>
                      <w:marRight w:val="0"/>
                      <w:marTop w:val="0"/>
                      <w:marBottom w:val="0"/>
                      <w:divBdr>
                        <w:top w:val="none" w:sz="0" w:space="0" w:color="auto"/>
                        <w:left w:val="none" w:sz="0" w:space="0" w:color="auto"/>
                        <w:bottom w:val="none" w:sz="0" w:space="0" w:color="auto"/>
                        <w:right w:val="none" w:sz="0" w:space="0" w:color="auto"/>
                      </w:divBdr>
                    </w:div>
                  </w:divsChild>
                </w:div>
                <w:div w:id="1599174325">
                  <w:marLeft w:val="0"/>
                  <w:marRight w:val="0"/>
                  <w:marTop w:val="0"/>
                  <w:marBottom w:val="0"/>
                  <w:divBdr>
                    <w:top w:val="none" w:sz="0" w:space="0" w:color="auto"/>
                    <w:left w:val="none" w:sz="0" w:space="0" w:color="auto"/>
                    <w:bottom w:val="none" w:sz="0" w:space="0" w:color="auto"/>
                    <w:right w:val="none" w:sz="0" w:space="0" w:color="auto"/>
                  </w:divBdr>
                  <w:divsChild>
                    <w:div w:id="657417659">
                      <w:marLeft w:val="0"/>
                      <w:marRight w:val="0"/>
                      <w:marTop w:val="0"/>
                      <w:marBottom w:val="0"/>
                      <w:divBdr>
                        <w:top w:val="none" w:sz="0" w:space="0" w:color="auto"/>
                        <w:left w:val="none" w:sz="0" w:space="0" w:color="auto"/>
                        <w:bottom w:val="none" w:sz="0" w:space="0" w:color="auto"/>
                        <w:right w:val="none" w:sz="0" w:space="0" w:color="auto"/>
                      </w:divBdr>
                    </w:div>
                  </w:divsChild>
                </w:div>
                <w:div w:id="181474098">
                  <w:marLeft w:val="0"/>
                  <w:marRight w:val="0"/>
                  <w:marTop w:val="0"/>
                  <w:marBottom w:val="0"/>
                  <w:divBdr>
                    <w:top w:val="none" w:sz="0" w:space="0" w:color="auto"/>
                    <w:left w:val="none" w:sz="0" w:space="0" w:color="auto"/>
                    <w:bottom w:val="none" w:sz="0" w:space="0" w:color="auto"/>
                    <w:right w:val="none" w:sz="0" w:space="0" w:color="auto"/>
                  </w:divBdr>
                  <w:divsChild>
                    <w:div w:id="429594612">
                      <w:marLeft w:val="0"/>
                      <w:marRight w:val="0"/>
                      <w:marTop w:val="0"/>
                      <w:marBottom w:val="0"/>
                      <w:divBdr>
                        <w:top w:val="none" w:sz="0" w:space="0" w:color="auto"/>
                        <w:left w:val="none" w:sz="0" w:space="0" w:color="auto"/>
                        <w:bottom w:val="none" w:sz="0" w:space="0" w:color="auto"/>
                        <w:right w:val="none" w:sz="0" w:space="0" w:color="auto"/>
                      </w:divBdr>
                    </w:div>
                  </w:divsChild>
                </w:div>
                <w:div w:id="262500790">
                  <w:marLeft w:val="0"/>
                  <w:marRight w:val="0"/>
                  <w:marTop w:val="0"/>
                  <w:marBottom w:val="0"/>
                  <w:divBdr>
                    <w:top w:val="none" w:sz="0" w:space="0" w:color="auto"/>
                    <w:left w:val="none" w:sz="0" w:space="0" w:color="auto"/>
                    <w:bottom w:val="none" w:sz="0" w:space="0" w:color="auto"/>
                    <w:right w:val="none" w:sz="0" w:space="0" w:color="auto"/>
                  </w:divBdr>
                  <w:divsChild>
                    <w:div w:id="2084722287">
                      <w:marLeft w:val="0"/>
                      <w:marRight w:val="0"/>
                      <w:marTop w:val="0"/>
                      <w:marBottom w:val="0"/>
                      <w:divBdr>
                        <w:top w:val="none" w:sz="0" w:space="0" w:color="auto"/>
                        <w:left w:val="none" w:sz="0" w:space="0" w:color="auto"/>
                        <w:bottom w:val="none" w:sz="0" w:space="0" w:color="auto"/>
                        <w:right w:val="none" w:sz="0" w:space="0" w:color="auto"/>
                      </w:divBdr>
                    </w:div>
                  </w:divsChild>
                </w:div>
                <w:div w:id="309095454">
                  <w:marLeft w:val="0"/>
                  <w:marRight w:val="0"/>
                  <w:marTop w:val="0"/>
                  <w:marBottom w:val="0"/>
                  <w:divBdr>
                    <w:top w:val="none" w:sz="0" w:space="0" w:color="auto"/>
                    <w:left w:val="none" w:sz="0" w:space="0" w:color="auto"/>
                    <w:bottom w:val="none" w:sz="0" w:space="0" w:color="auto"/>
                    <w:right w:val="none" w:sz="0" w:space="0" w:color="auto"/>
                  </w:divBdr>
                  <w:divsChild>
                    <w:div w:id="1878002863">
                      <w:marLeft w:val="0"/>
                      <w:marRight w:val="0"/>
                      <w:marTop w:val="0"/>
                      <w:marBottom w:val="0"/>
                      <w:divBdr>
                        <w:top w:val="none" w:sz="0" w:space="0" w:color="auto"/>
                        <w:left w:val="none" w:sz="0" w:space="0" w:color="auto"/>
                        <w:bottom w:val="none" w:sz="0" w:space="0" w:color="auto"/>
                        <w:right w:val="none" w:sz="0" w:space="0" w:color="auto"/>
                      </w:divBdr>
                    </w:div>
                  </w:divsChild>
                </w:div>
                <w:div w:id="1817918397">
                  <w:marLeft w:val="0"/>
                  <w:marRight w:val="0"/>
                  <w:marTop w:val="0"/>
                  <w:marBottom w:val="0"/>
                  <w:divBdr>
                    <w:top w:val="none" w:sz="0" w:space="0" w:color="auto"/>
                    <w:left w:val="none" w:sz="0" w:space="0" w:color="auto"/>
                    <w:bottom w:val="none" w:sz="0" w:space="0" w:color="auto"/>
                    <w:right w:val="none" w:sz="0" w:space="0" w:color="auto"/>
                  </w:divBdr>
                  <w:divsChild>
                    <w:div w:id="1561937014">
                      <w:marLeft w:val="0"/>
                      <w:marRight w:val="0"/>
                      <w:marTop w:val="0"/>
                      <w:marBottom w:val="0"/>
                      <w:divBdr>
                        <w:top w:val="none" w:sz="0" w:space="0" w:color="auto"/>
                        <w:left w:val="none" w:sz="0" w:space="0" w:color="auto"/>
                        <w:bottom w:val="none" w:sz="0" w:space="0" w:color="auto"/>
                        <w:right w:val="none" w:sz="0" w:space="0" w:color="auto"/>
                      </w:divBdr>
                    </w:div>
                  </w:divsChild>
                </w:div>
                <w:div w:id="840586677">
                  <w:marLeft w:val="0"/>
                  <w:marRight w:val="0"/>
                  <w:marTop w:val="0"/>
                  <w:marBottom w:val="0"/>
                  <w:divBdr>
                    <w:top w:val="none" w:sz="0" w:space="0" w:color="auto"/>
                    <w:left w:val="none" w:sz="0" w:space="0" w:color="auto"/>
                    <w:bottom w:val="none" w:sz="0" w:space="0" w:color="auto"/>
                    <w:right w:val="none" w:sz="0" w:space="0" w:color="auto"/>
                  </w:divBdr>
                  <w:divsChild>
                    <w:div w:id="1465351995">
                      <w:marLeft w:val="0"/>
                      <w:marRight w:val="0"/>
                      <w:marTop w:val="0"/>
                      <w:marBottom w:val="0"/>
                      <w:divBdr>
                        <w:top w:val="none" w:sz="0" w:space="0" w:color="auto"/>
                        <w:left w:val="none" w:sz="0" w:space="0" w:color="auto"/>
                        <w:bottom w:val="none" w:sz="0" w:space="0" w:color="auto"/>
                        <w:right w:val="none" w:sz="0" w:space="0" w:color="auto"/>
                      </w:divBdr>
                    </w:div>
                  </w:divsChild>
                </w:div>
                <w:div w:id="1492599097">
                  <w:marLeft w:val="0"/>
                  <w:marRight w:val="0"/>
                  <w:marTop w:val="0"/>
                  <w:marBottom w:val="0"/>
                  <w:divBdr>
                    <w:top w:val="none" w:sz="0" w:space="0" w:color="auto"/>
                    <w:left w:val="none" w:sz="0" w:space="0" w:color="auto"/>
                    <w:bottom w:val="none" w:sz="0" w:space="0" w:color="auto"/>
                    <w:right w:val="none" w:sz="0" w:space="0" w:color="auto"/>
                  </w:divBdr>
                  <w:divsChild>
                    <w:div w:id="805853810">
                      <w:marLeft w:val="0"/>
                      <w:marRight w:val="0"/>
                      <w:marTop w:val="0"/>
                      <w:marBottom w:val="0"/>
                      <w:divBdr>
                        <w:top w:val="none" w:sz="0" w:space="0" w:color="auto"/>
                        <w:left w:val="none" w:sz="0" w:space="0" w:color="auto"/>
                        <w:bottom w:val="none" w:sz="0" w:space="0" w:color="auto"/>
                        <w:right w:val="none" w:sz="0" w:space="0" w:color="auto"/>
                      </w:divBdr>
                    </w:div>
                  </w:divsChild>
                </w:div>
                <w:div w:id="1030376737">
                  <w:marLeft w:val="0"/>
                  <w:marRight w:val="0"/>
                  <w:marTop w:val="0"/>
                  <w:marBottom w:val="0"/>
                  <w:divBdr>
                    <w:top w:val="none" w:sz="0" w:space="0" w:color="auto"/>
                    <w:left w:val="none" w:sz="0" w:space="0" w:color="auto"/>
                    <w:bottom w:val="none" w:sz="0" w:space="0" w:color="auto"/>
                    <w:right w:val="none" w:sz="0" w:space="0" w:color="auto"/>
                  </w:divBdr>
                  <w:divsChild>
                    <w:div w:id="926304323">
                      <w:marLeft w:val="0"/>
                      <w:marRight w:val="0"/>
                      <w:marTop w:val="0"/>
                      <w:marBottom w:val="0"/>
                      <w:divBdr>
                        <w:top w:val="none" w:sz="0" w:space="0" w:color="auto"/>
                        <w:left w:val="none" w:sz="0" w:space="0" w:color="auto"/>
                        <w:bottom w:val="none" w:sz="0" w:space="0" w:color="auto"/>
                        <w:right w:val="none" w:sz="0" w:space="0" w:color="auto"/>
                      </w:divBdr>
                    </w:div>
                  </w:divsChild>
                </w:div>
                <w:div w:id="1735739258">
                  <w:marLeft w:val="0"/>
                  <w:marRight w:val="0"/>
                  <w:marTop w:val="0"/>
                  <w:marBottom w:val="0"/>
                  <w:divBdr>
                    <w:top w:val="none" w:sz="0" w:space="0" w:color="auto"/>
                    <w:left w:val="none" w:sz="0" w:space="0" w:color="auto"/>
                    <w:bottom w:val="none" w:sz="0" w:space="0" w:color="auto"/>
                    <w:right w:val="none" w:sz="0" w:space="0" w:color="auto"/>
                  </w:divBdr>
                  <w:divsChild>
                    <w:div w:id="148526319">
                      <w:marLeft w:val="0"/>
                      <w:marRight w:val="0"/>
                      <w:marTop w:val="0"/>
                      <w:marBottom w:val="0"/>
                      <w:divBdr>
                        <w:top w:val="none" w:sz="0" w:space="0" w:color="auto"/>
                        <w:left w:val="none" w:sz="0" w:space="0" w:color="auto"/>
                        <w:bottom w:val="none" w:sz="0" w:space="0" w:color="auto"/>
                        <w:right w:val="none" w:sz="0" w:space="0" w:color="auto"/>
                      </w:divBdr>
                    </w:div>
                  </w:divsChild>
                </w:div>
                <w:div w:id="981423431">
                  <w:marLeft w:val="0"/>
                  <w:marRight w:val="0"/>
                  <w:marTop w:val="0"/>
                  <w:marBottom w:val="0"/>
                  <w:divBdr>
                    <w:top w:val="none" w:sz="0" w:space="0" w:color="auto"/>
                    <w:left w:val="none" w:sz="0" w:space="0" w:color="auto"/>
                    <w:bottom w:val="none" w:sz="0" w:space="0" w:color="auto"/>
                    <w:right w:val="none" w:sz="0" w:space="0" w:color="auto"/>
                  </w:divBdr>
                  <w:divsChild>
                    <w:div w:id="743724023">
                      <w:marLeft w:val="0"/>
                      <w:marRight w:val="0"/>
                      <w:marTop w:val="0"/>
                      <w:marBottom w:val="0"/>
                      <w:divBdr>
                        <w:top w:val="none" w:sz="0" w:space="0" w:color="auto"/>
                        <w:left w:val="none" w:sz="0" w:space="0" w:color="auto"/>
                        <w:bottom w:val="none" w:sz="0" w:space="0" w:color="auto"/>
                        <w:right w:val="none" w:sz="0" w:space="0" w:color="auto"/>
                      </w:divBdr>
                    </w:div>
                  </w:divsChild>
                </w:div>
                <w:div w:id="148983308">
                  <w:marLeft w:val="0"/>
                  <w:marRight w:val="0"/>
                  <w:marTop w:val="0"/>
                  <w:marBottom w:val="0"/>
                  <w:divBdr>
                    <w:top w:val="none" w:sz="0" w:space="0" w:color="auto"/>
                    <w:left w:val="none" w:sz="0" w:space="0" w:color="auto"/>
                    <w:bottom w:val="none" w:sz="0" w:space="0" w:color="auto"/>
                    <w:right w:val="none" w:sz="0" w:space="0" w:color="auto"/>
                  </w:divBdr>
                  <w:divsChild>
                    <w:div w:id="820345524">
                      <w:marLeft w:val="0"/>
                      <w:marRight w:val="0"/>
                      <w:marTop w:val="0"/>
                      <w:marBottom w:val="0"/>
                      <w:divBdr>
                        <w:top w:val="none" w:sz="0" w:space="0" w:color="auto"/>
                        <w:left w:val="none" w:sz="0" w:space="0" w:color="auto"/>
                        <w:bottom w:val="none" w:sz="0" w:space="0" w:color="auto"/>
                        <w:right w:val="none" w:sz="0" w:space="0" w:color="auto"/>
                      </w:divBdr>
                    </w:div>
                  </w:divsChild>
                </w:div>
                <w:div w:id="1087655393">
                  <w:marLeft w:val="0"/>
                  <w:marRight w:val="0"/>
                  <w:marTop w:val="0"/>
                  <w:marBottom w:val="0"/>
                  <w:divBdr>
                    <w:top w:val="none" w:sz="0" w:space="0" w:color="auto"/>
                    <w:left w:val="none" w:sz="0" w:space="0" w:color="auto"/>
                    <w:bottom w:val="none" w:sz="0" w:space="0" w:color="auto"/>
                    <w:right w:val="none" w:sz="0" w:space="0" w:color="auto"/>
                  </w:divBdr>
                  <w:divsChild>
                    <w:div w:id="867261898">
                      <w:marLeft w:val="0"/>
                      <w:marRight w:val="0"/>
                      <w:marTop w:val="0"/>
                      <w:marBottom w:val="0"/>
                      <w:divBdr>
                        <w:top w:val="none" w:sz="0" w:space="0" w:color="auto"/>
                        <w:left w:val="none" w:sz="0" w:space="0" w:color="auto"/>
                        <w:bottom w:val="none" w:sz="0" w:space="0" w:color="auto"/>
                        <w:right w:val="none" w:sz="0" w:space="0" w:color="auto"/>
                      </w:divBdr>
                    </w:div>
                  </w:divsChild>
                </w:div>
                <w:div w:id="189224757">
                  <w:marLeft w:val="0"/>
                  <w:marRight w:val="0"/>
                  <w:marTop w:val="0"/>
                  <w:marBottom w:val="0"/>
                  <w:divBdr>
                    <w:top w:val="none" w:sz="0" w:space="0" w:color="auto"/>
                    <w:left w:val="none" w:sz="0" w:space="0" w:color="auto"/>
                    <w:bottom w:val="none" w:sz="0" w:space="0" w:color="auto"/>
                    <w:right w:val="none" w:sz="0" w:space="0" w:color="auto"/>
                  </w:divBdr>
                  <w:divsChild>
                    <w:div w:id="1555120706">
                      <w:marLeft w:val="0"/>
                      <w:marRight w:val="0"/>
                      <w:marTop w:val="0"/>
                      <w:marBottom w:val="0"/>
                      <w:divBdr>
                        <w:top w:val="none" w:sz="0" w:space="0" w:color="auto"/>
                        <w:left w:val="none" w:sz="0" w:space="0" w:color="auto"/>
                        <w:bottom w:val="none" w:sz="0" w:space="0" w:color="auto"/>
                        <w:right w:val="none" w:sz="0" w:space="0" w:color="auto"/>
                      </w:divBdr>
                    </w:div>
                  </w:divsChild>
                </w:div>
                <w:div w:id="1774664519">
                  <w:marLeft w:val="0"/>
                  <w:marRight w:val="0"/>
                  <w:marTop w:val="0"/>
                  <w:marBottom w:val="0"/>
                  <w:divBdr>
                    <w:top w:val="none" w:sz="0" w:space="0" w:color="auto"/>
                    <w:left w:val="none" w:sz="0" w:space="0" w:color="auto"/>
                    <w:bottom w:val="none" w:sz="0" w:space="0" w:color="auto"/>
                    <w:right w:val="none" w:sz="0" w:space="0" w:color="auto"/>
                  </w:divBdr>
                  <w:divsChild>
                    <w:div w:id="657198404">
                      <w:marLeft w:val="0"/>
                      <w:marRight w:val="0"/>
                      <w:marTop w:val="0"/>
                      <w:marBottom w:val="0"/>
                      <w:divBdr>
                        <w:top w:val="none" w:sz="0" w:space="0" w:color="auto"/>
                        <w:left w:val="none" w:sz="0" w:space="0" w:color="auto"/>
                        <w:bottom w:val="none" w:sz="0" w:space="0" w:color="auto"/>
                        <w:right w:val="none" w:sz="0" w:space="0" w:color="auto"/>
                      </w:divBdr>
                    </w:div>
                  </w:divsChild>
                </w:div>
                <w:div w:id="929315012">
                  <w:marLeft w:val="0"/>
                  <w:marRight w:val="0"/>
                  <w:marTop w:val="0"/>
                  <w:marBottom w:val="0"/>
                  <w:divBdr>
                    <w:top w:val="none" w:sz="0" w:space="0" w:color="auto"/>
                    <w:left w:val="none" w:sz="0" w:space="0" w:color="auto"/>
                    <w:bottom w:val="none" w:sz="0" w:space="0" w:color="auto"/>
                    <w:right w:val="none" w:sz="0" w:space="0" w:color="auto"/>
                  </w:divBdr>
                  <w:divsChild>
                    <w:div w:id="1007101005">
                      <w:marLeft w:val="0"/>
                      <w:marRight w:val="0"/>
                      <w:marTop w:val="0"/>
                      <w:marBottom w:val="0"/>
                      <w:divBdr>
                        <w:top w:val="none" w:sz="0" w:space="0" w:color="auto"/>
                        <w:left w:val="none" w:sz="0" w:space="0" w:color="auto"/>
                        <w:bottom w:val="none" w:sz="0" w:space="0" w:color="auto"/>
                        <w:right w:val="none" w:sz="0" w:space="0" w:color="auto"/>
                      </w:divBdr>
                    </w:div>
                  </w:divsChild>
                </w:div>
                <w:div w:id="149516754">
                  <w:marLeft w:val="0"/>
                  <w:marRight w:val="0"/>
                  <w:marTop w:val="0"/>
                  <w:marBottom w:val="0"/>
                  <w:divBdr>
                    <w:top w:val="none" w:sz="0" w:space="0" w:color="auto"/>
                    <w:left w:val="none" w:sz="0" w:space="0" w:color="auto"/>
                    <w:bottom w:val="none" w:sz="0" w:space="0" w:color="auto"/>
                    <w:right w:val="none" w:sz="0" w:space="0" w:color="auto"/>
                  </w:divBdr>
                  <w:divsChild>
                    <w:div w:id="1204175129">
                      <w:marLeft w:val="0"/>
                      <w:marRight w:val="0"/>
                      <w:marTop w:val="0"/>
                      <w:marBottom w:val="0"/>
                      <w:divBdr>
                        <w:top w:val="none" w:sz="0" w:space="0" w:color="auto"/>
                        <w:left w:val="none" w:sz="0" w:space="0" w:color="auto"/>
                        <w:bottom w:val="none" w:sz="0" w:space="0" w:color="auto"/>
                        <w:right w:val="none" w:sz="0" w:space="0" w:color="auto"/>
                      </w:divBdr>
                    </w:div>
                  </w:divsChild>
                </w:div>
                <w:div w:id="1670251456">
                  <w:marLeft w:val="0"/>
                  <w:marRight w:val="0"/>
                  <w:marTop w:val="0"/>
                  <w:marBottom w:val="0"/>
                  <w:divBdr>
                    <w:top w:val="none" w:sz="0" w:space="0" w:color="auto"/>
                    <w:left w:val="none" w:sz="0" w:space="0" w:color="auto"/>
                    <w:bottom w:val="none" w:sz="0" w:space="0" w:color="auto"/>
                    <w:right w:val="none" w:sz="0" w:space="0" w:color="auto"/>
                  </w:divBdr>
                  <w:divsChild>
                    <w:div w:id="73408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4759">
          <w:marLeft w:val="0"/>
          <w:marRight w:val="0"/>
          <w:marTop w:val="0"/>
          <w:marBottom w:val="0"/>
          <w:divBdr>
            <w:top w:val="none" w:sz="0" w:space="0" w:color="auto"/>
            <w:left w:val="none" w:sz="0" w:space="0" w:color="auto"/>
            <w:bottom w:val="none" w:sz="0" w:space="0" w:color="auto"/>
            <w:right w:val="none" w:sz="0" w:space="0" w:color="auto"/>
          </w:divBdr>
        </w:div>
      </w:divsChild>
    </w:div>
    <w:div w:id="171311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doi.org/10.1002/sim.8569" TargetMode="Externa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898A2197D36547AB216CF3D28A2329" ma:contentTypeVersion="6" ma:contentTypeDescription="Create a new document." ma:contentTypeScope="" ma:versionID="ca97e392e8c810a0e6c9e9f9efd91cae">
  <xsd:schema xmlns:xsd="http://www.w3.org/2001/XMLSchema" xmlns:xs="http://www.w3.org/2001/XMLSchema" xmlns:p="http://schemas.microsoft.com/office/2006/metadata/properties" xmlns:ns2="71b1f805-b1e7-4da8-9025-ad0a98585c78" xmlns:ns3="ea333548-9102-4533-8213-71dd820f41a4" targetNamespace="http://schemas.microsoft.com/office/2006/metadata/properties" ma:root="true" ma:fieldsID="8bfac43deb9b8dbbcb1efa9524286f77" ns2:_="" ns3:_="">
    <xsd:import namespace="71b1f805-b1e7-4da8-9025-ad0a98585c78"/>
    <xsd:import namespace="ea333548-9102-4533-8213-71dd820f41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1f805-b1e7-4da8-9025-ad0a98585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333548-9102-4533-8213-71dd820f41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38766D-A0DB-49FA-AF04-CE943F9B6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1f805-b1e7-4da8-9025-ad0a98585c78"/>
    <ds:schemaRef ds:uri="ea333548-9102-4533-8213-71dd820f4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1DA128-347C-4AA9-9EFD-A1F6C5223FC1}">
  <ds:schemaRefs>
    <ds:schemaRef ds:uri="http://schemas.microsoft.com/sharepoint/v3/contenttype/forms"/>
  </ds:schemaRefs>
</ds:datastoreItem>
</file>

<file path=customXml/itemProps3.xml><?xml version="1.0" encoding="utf-8"?>
<ds:datastoreItem xmlns:ds="http://schemas.openxmlformats.org/officeDocument/2006/customXml" ds:itemID="{AB826FB2-A46B-44B7-AA6F-6F7A748EE015}">
  <ds:schemaRefs>
    <ds:schemaRef ds:uri="http://schemas.openxmlformats.org/package/2006/metadata/core-properties"/>
    <ds:schemaRef ds:uri="http://schemas.microsoft.com/office/2006/documentManagement/types"/>
    <ds:schemaRef ds:uri="http://schemas.microsoft.com/office/infopath/2007/PartnerControls"/>
    <ds:schemaRef ds:uri="71b1f805-b1e7-4da8-9025-ad0a98585c78"/>
    <ds:schemaRef ds:uri="http://purl.org/dc/elements/1.1/"/>
    <ds:schemaRef ds:uri="http://schemas.microsoft.com/office/2006/metadata/properties"/>
    <ds:schemaRef ds:uri="http://purl.org/dc/terms/"/>
    <ds:schemaRef ds:uri="ea333548-9102-4533-8213-71dd820f41a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7</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Bradshaw (staff)</dc:creator>
  <cp:keywords/>
  <dc:description/>
  <cp:lastModifiedBy>Lucy Bradshaw (staff)</cp:lastModifiedBy>
  <cp:revision>73</cp:revision>
  <cp:lastPrinted>2022-06-29T07:30:00Z</cp:lastPrinted>
  <dcterms:created xsi:type="dcterms:W3CDTF">2022-05-06T10:43:00Z</dcterms:created>
  <dcterms:modified xsi:type="dcterms:W3CDTF">2022-08-31T11:05:00Z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0x01010090898A2197D36547AB216CF3D28A2329</vt:lpwstr>
  </property>
</Properties>
</file>