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4C" w:rsidRDefault="007A6E92">
      <w:pPr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Supplementary </w:t>
      </w:r>
      <w:r w:rsidRPr="00837D5D">
        <w:rPr>
          <w:rFonts w:asciiTheme="majorHAnsi" w:hAnsiTheme="majorHAnsi"/>
          <w:b/>
          <w:bCs/>
          <w:sz w:val="18"/>
          <w:szCs w:val="18"/>
        </w:rPr>
        <w:t xml:space="preserve">Figure </w:t>
      </w:r>
      <w:r w:rsidR="00625183">
        <w:rPr>
          <w:rFonts w:asciiTheme="majorHAnsi" w:hAnsiTheme="majorHAnsi"/>
          <w:b/>
          <w:bCs/>
          <w:sz w:val="18"/>
          <w:szCs w:val="18"/>
        </w:rPr>
        <w:t>2</w:t>
      </w:r>
      <w:bookmarkStart w:id="0" w:name="_GoBack"/>
      <w:bookmarkEnd w:id="0"/>
      <w:r>
        <w:rPr>
          <w:rFonts w:asciiTheme="majorHAnsi" w:hAnsiTheme="majorHAnsi"/>
          <w:b/>
          <w:bCs/>
          <w:sz w:val="18"/>
          <w:szCs w:val="18"/>
        </w:rPr>
        <w:t>. Children’s individual antibody responses to PT pre- and post-booster</w:t>
      </w:r>
    </w:p>
    <w:p w:rsidR="007A6E92" w:rsidRDefault="007A6E92">
      <w:r>
        <w:rPr>
          <w:noProof/>
        </w:rPr>
        <w:drawing>
          <wp:inline distT="0" distB="0" distL="0" distR="0" wp14:anchorId="7AE30568" wp14:editId="7253737E">
            <wp:extent cx="3451332" cy="3105150"/>
            <wp:effectExtent l="0" t="0" r="0" b="0"/>
            <wp:docPr id="11" name="Picture 1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scatt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2738" cy="316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E92" w:rsidSect="007A6E92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92"/>
    <w:rsid w:val="00625183"/>
    <w:rsid w:val="007A6E92"/>
    <w:rsid w:val="00A04D4A"/>
    <w:rsid w:val="00D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A931"/>
  <w15:chartTrackingRefBased/>
  <w15:docId w15:val="{35733C9A-3FC7-410F-8C02-39FF03B4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A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Sapuan</dc:creator>
  <cp:keywords/>
  <dc:description/>
  <cp:lastModifiedBy>Shari Sapuan</cp:lastModifiedBy>
  <cp:revision>2</cp:revision>
  <dcterms:created xsi:type="dcterms:W3CDTF">2021-12-02T15:39:00Z</dcterms:created>
  <dcterms:modified xsi:type="dcterms:W3CDTF">2021-12-02T15:45:00Z</dcterms:modified>
</cp:coreProperties>
</file>