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FC23" w14:textId="77777777" w:rsidR="008A50FD" w:rsidRPr="006165BD" w:rsidRDefault="008A50FD" w:rsidP="008A50FD">
      <w:pPr>
        <w:adjustRightInd w:val="0"/>
        <w:snapToGrid w:val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Supplementary </w:t>
      </w:r>
      <w:r w:rsidRPr="008102F0">
        <w:rPr>
          <w:rFonts w:asciiTheme="majorHAnsi" w:hAnsiTheme="majorHAnsi"/>
          <w:b/>
          <w:bCs/>
          <w:sz w:val="18"/>
          <w:szCs w:val="18"/>
        </w:rPr>
        <w:t xml:space="preserve">Table </w:t>
      </w:r>
      <w:r w:rsidR="00D21881">
        <w:rPr>
          <w:rFonts w:asciiTheme="majorHAnsi" w:hAnsiTheme="majorHAnsi"/>
          <w:b/>
          <w:bCs/>
          <w:sz w:val="18"/>
          <w:szCs w:val="18"/>
        </w:rPr>
        <w:t>2</w:t>
      </w:r>
      <w:r w:rsidRPr="008102F0">
        <w:rPr>
          <w:rFonts w:asciiTheme="majorHAnsi" w:hAnsiTheme="majorHAnsi"/>
          <w:b/>
          <w:bCs/>
          <w:sz w:val="18"/>
          <w:szCs w:val="18"/>
        </w:rPr>
        <w:t xml:space="preserve">. Summary of </w:t>
      </w:r>
      <w:r>
        <w:rPr>
          <w:rFonts w:asciiTheme="majorHAnsi" w:hAnsiTheme="majorHAnsi"/>
          <w:b/>
          <w:bCs/>
          <w:sz w:val="18"/>
          <w:szCs w:val="18"/>
        </w:rPr>
        <w:t>antibody GMRs</w:t>
      </w:r>
      <w:r w:rsidRPr="006165BD">
        <w:rPr>
          <w:rFonts w:asciiTheme="majorHAnsi" w:hAnsiTheme="majorHAnsi"/>
          <w:b/>
          <w:bCs/>
          <w:sz w:val="18"/>
          <w:szCs w:val="18"/>
        </w:rPr>
        <w:t xml:space="preserve"> of pre-boost</w:t>
      </w:r>
      <w:r>
        <w:rPr>
          <w:rFonts w:asciiTheme="majorHAnsi" w:hAnsiTheme="majorHAnsi"/>
          <w:b/>
          <w:bCs/>
          <w:sz w:val="18"/>
          <w:szCs w:val="18"/>
        </w:rPr>
        <w:t>er</w:t>
      </w:r>
      <w:r w:rsidRPr="006165BD">
        <w:rPr>
          <w:rFonts w:asciiTheme="majorHAnsi" w:hAnsiTheme="majorHAnsi"/>
          <w:b/>
          <w:bCs/>
          <w:sz w:val="18"/>
          <w:szCs w:val="18"/>
        </w:rPr>
        <w:t xml:space="preserve">:13m </w:t>
      </w:r>
    </w:p>
    <w:tbl>
      <w:tblPr>
        <w:tblStyle w:val="TableGrid"/>
        <w:tblW w:w="7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</w:tblGrid>
      <w:tr w:rsidR="008A50FD" w:rsidRPr="006165BD" w14:paraId="6B3F4A32" w14:textId="77777777" w:rsidTr="009605FC">
        <w:tc>
          <w:tcPr>
            <w:tcW w:w="1129" w:type="dxa"/>
          </w:tcPr>
          <w:p w14:paraId="0DB08C21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34" w:type="dxa"/>
          </w:tcPr>
          <w:p w14:paraId="48FC976B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Anti-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PT GMR (95% CI)</w:t>
            </w:r>
          </w:p>
        </w:tc>
        <w:tc>
          <w:tcPr>
            <w:tcW w:w="1134" w:type="dxa"/>
          </w:tcPr>
          <w:p w14:paraId="1D49BE03" w14:textId="77777777" w:rsidR="008A50F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Anti-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FHA GMR (95% CI)</w:t>
            </w:r>
          </w:p>
        </w:tc>
        <w:tc>
          <w:tcPr>
            <w:tcW w:w="1134" w:type="dxa"/>
          </w:tcPr>
          <w:p w14:paraId="310B4046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Anti-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FIM GMR (95% CI)</w:t>
            </w:r>
          </w:p>
        </w:tc>
        <w:tc>
          <w:tcPr>
            <w:tcW w:w="1134" w:type="dxa"/>
          </w:tcPr>
          <w:p w14:paraId="17AD8656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Anti-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PRN GMR (95% CI)</w:t>
            </w:r>
          </w:p>
        </w:tc>
        <w:tc>
          <w:tcPr>
            <w:tcW w:w="1134" w:type="dxa"/>
          </w:tcPr>
          <w:p w14:paraId="770760F6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Anti-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GMR (95% CI)</w:t>
            </w:r>
          </w:p>
        </w:tc>
        <w:tc>
          <w:tcPr>
            <w:tcW w:w="1134" w:type="dxa"/>
          </w:tcPr>
          <w:p w14:paraId="711FC7C2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Anti-TT </w:t>
            </w: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GMR (95% CI)</w:t>
            </w:r>
          </w:p>
        </w:tc>
      </w:tr>
      <w:tr w:rsidR="008A50FD" w:rsidRPr="006165BD" w14:paraId="4B9ECB67" w14:textId="77777777" w:rsidTr="009605FC">
        <w:tc>
          <w:tcPr>
            <w:tcW w:w="1129" w:type="dxa"/>
          </w:tcPr>
          <w:p w14:paraId="760E4F94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BOOSTRIX-IPV®</w:t>
            </w:r>
          </w:p>
        </w:tc>
        <w:tc>
          <w:tcPr>
            <w:tcW w:w="1134" w:type="dxa"/>
          </w:tcPr>
          <w:p w14:paraId="1E0FE4DE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0.21 (0.15-0.29)</w:t>
            </w:r>
          </w:p>
        </w:tc>
        <w:tc>
          <w:tcPr>
            <w:tcW w:w="1134" w:type="dxa"/>
          </w:tcPr>
          <w:p w14:paraId="62CBD51D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0.86 (0.5-1.48)</w:t>
            </w:r>
          </w:p>
        </w:tc>
        <w:tc>
          <w:tcPr>
            <w:tcW w:w="1134" w:type="dxa"/>
          </w:tcPr>
          <w:p w14:paraId="40BBA9C7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0.69 (0.41-1.17)</w:t>
            </w:r>
          </w:p>
        </w:tc>
        <w:tc>
          <w:tcPr>
            <w:tcW w:w="1134" w:type="dxa"/>
          </w:tcPr>
          <w:p w14:paraId="7A6D14E0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0.66 (0.42-1.06)</w:t>
            </w:r>
          </w:p>
        </w:tc>
        <w:tc>
          <w:tcPr>
            <w:tcW w:w="1134" w:type="dxa"/>
          </w:tcPr>
          <w:p w14:paraId="45C6D08F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0.07 (0.06-0.1)</w:t>
            </w:r>
          </w:p>
        </w:tc>
        <w:tc>
          <w:tcPr>
            <w:tcW w:w="1134" w:type="dxa"/>
          </w:tcPr>
          <w:p w14:paraId="773BC919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0.07 (0.05-0.11)</w:t>
            </w:r>
          </w:p>
        </w:tc>
      </w:tr>
      <w:tr w:rsidR="008A50FD" w:rsidRPr="006165BD" w14:paraId="277B6F0D" w14:textId="77777777" w:rsidTr="009605FC">
        <w:tc>
          <w:tcPr>
            <w:tcW w:w="1129" w:type="dxa"/>
          </w:tcPr>
          <w:p w14:paraId="25EE0A0F" w14:textId="48DC4F58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REPEVAX®</w:t>
            </w:r>
          </w:p>
        </w:tc>
        <w:tc>
          <w:tcPr>
            <w:tcW w:w="1134" w:type="dxa"/>
          </w:tcPr>
          <w:p w14:paraId="38049A8C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0.25 (0.15-0.44)</w:t>
            </w:r>
          </w:p>
        </w:tc>
        <w:tc>
          <w:tcPr>
            <w:tcW w:w="1134" w:type="dxa"/>
          </w:tcPr>
          <w:p w14:paraId="23A9B012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0.54 (0.21-1.4)</w:t>
            </w:r>
          </w:p>
        </w:tc>
        <w:tc>
          <w:tcPr>
            <w:tcW w:w="1134" w:type="dxa"/>
          </w:tcPr>
          <w:p w14:paraId="3FD479C2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0.99 (0.62-1.6)</w:t>
            </w:r>
          </w:p>
        </w:tc>
        <w:tc>
          <w:tcPr>
            <w:tcW w:w="1134" w:type="dxa"/>
          </w:tcPr>
          <w:p w14:paraId="554FCB70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0.39 (0.16-0.93)</w:t>
            </w:r>
          </w:p>
        </w:tc>
        <w:tc>
          <w:tcPr>
            <w:tcW w:w="1134" w:type="dxa"/>
          </w:tcPr>
          <w:p w14:paraId="713C57DC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0.08 (0.06-0.12)</w:t>
            </w:r>
          </w:p>
        </w:tc>
        <w:tc>
          <w:tcPr>
            <w:tcW w:w="1134" w:type="dxa"/>
          </w:tcPr>
          <w:p w14:paraId="33037A66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0.05 (0.04-0.07)</w:t>
            </w:r>
          </w:p>
        </w:tc>
      </w:tr>
      <w:tr w:rsidR="008A50FD" w:rsidRPr="006165BD" w14:paraId="5F9F7C36" w14:textId="77777777" w:rsidTr="009605FC">
        <w:tc>
          <w:tcPr>
            <w:tcW w:w="1129" w:type="dxa"/>
          </w:tcPr>
          <w:p w14:paraId="456010F3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134" w:type="dxa"/>
          </w:tcPr>
          <w:p w14:paraId="11772235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0.52 (0.24-1.13)</w:t>
            </w:r>
          </w:p>
        </w:tc>
        <w:tc>
          <w:tcPr>
            <w:tcW w:w="1134" w:type="dxa"/>
          </w:tcPr>
          <w:p w14:paraId="2267FC42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0.85 (0.35-2.07)</w:t>
            </w:r>
          </w:p>
        </w:tc>
        <w:tc>
          <w:tcPr>
            <w:tcW w:w="1134" w:type="dxa"/>
          </w:tcPr>
          <w:p w14:paraId="0A4541E0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1.52 (0.88-2.62)</w:t>
            </w:r>
          </w:p>
        </w:tc>
        <w:tc>
          <w:tcPr>
            <w:tcW w:w="1134" w:type="dxa"/>
          </w:tcPr>
          <w:p w14:paraId="1DFCF64F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0.51 (0.24-1.08)</w:t>
            </w:r>
          </w:p>
        </w:tc>
        <w:tc>
          <w:tcPr>
            <w:tcW w:w="1134" w:type="dxa"/>
          </w:tcPr>
          <w:p w14:paraId="0C81F691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0.09 (0.07-0.11)</w:t>
            </w:r>
          </w:p>
        </w:tc>
        <w:tc>
          <w:tcPr>
            <w:tcW w:w="1134" w:type="dxa"/>
          </w:tcPr>
          <w:p w14:paraId="70DCBF30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0.05 (0.03-0.07)</w:t>
            </w:r>
          </w:p>
        </w:tc>
      </w:tr>
      <w:tr w:rsidR="008A50FD" w:rsidRPr="006165BD" w14:paraId="0498AA66" w14:textId="77777777" w:rsidTr="009605FC">
        <w:tc>
          <w:tcPr>
            <w:tcW w:w="1129" w:type="dxa"/>
          </w:tcPr>
          <w:p w14:paraId="046D137D" w14:textId="77777777" w:rsidR="008A50FD" w:rsidRPr="004A793B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793B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LL</w:t>
            </w:r>
          </w:p>
        </w:tc>
        <w:tc>
          <w:tcPr>
            <w:tcW w:w="1134" w:type="dxa"/>
          </w:tcPr>
          <w:p w14:paraId="67915D27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0.28 (0.21-0.39)</w:t>
            </w:r>
          </w:p>
        </w:tc>
        <w:tc>
          <w:tcPr>
            <w:tcW w:w="1134" w:type="dxa"/>
          </w:tcPr>
          <w:p w14:paraId="4EAF8A97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0.73 (0.47-1.15)</w:t>
            </w:r>
          </w:p>
        </w:tc>
        <w:tc>
          <w:tcPr>
            <w:tcW w:w="1134" w:type="dxa"/>
          </w:tcPr>
          <w:p w14:paraId="3F64B280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0.97 (0.72-1.32)</w:t>
            </w:r>
          </w:p>
        </w:tc>
        <w:tc>
          <w:tcPr>
            <w:tcW w:w="1134" w:type="dxa"/>
          </w:tcPr>
          <w:p w14:paraId="1520A4B4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0.51 (0.34-0.77)</w:t>
            </w:r>
          </w:p>
        </w:tc>
        <w:tc>
          <w:tcPr>
            <w:tcW w:w="1134" w:type="dxa"/>
          </w:tcPr>
          <w:p w14:paraId="205B5CD1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0.08 (0.07-0.1)</w:t>
            </w:r>
          </w:p>
        </w:tc>
        <w:tc>
          <w:tcPr>
            <w:tcW w:w="1134" w:type="dxa"/>
          </w:tcPr>
          <w:p w14:paraId="6C048614" w14:textId="77777777" w:rsidR="008A50FD" w:rsidRPr="006165BD" w:rsidRDefault="008A50FD" w:rsidP="009605FC">
            <w:pPr>
              <w:tabs>
                <w:tab w:val="left" w:pos="142"/>
              </w:tabs>
              <w:adjustRightInd w:val="0"/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6165BD">
              <w:rPr>
                <w:rFonts w:asciiTheme="majorHAnsi" w:hAnsiTheme="majorHAnsi"/>
                <w:sz w:val="16"/>
                <w:szCs w:val="16"/>
              </w:rPr>
              <w:t>0.06 (0.05-0.07)</w:t>
            </w:r>
          </w:p>
        </w:tc>
      </w:tr>
    </w:tbl>
    <w:p w14:paraId="6FCDCBB7" w14:textId="28405236" w:rsidR="00A90A4C" w:rsidRPr="00683B9C" w:rsidRDefault="00683B9C">
      <w:pPr>
        <w:rPr>
          <w:sz w:val="16"/>
          <w:szCs w:val="16"/>
        </w:rPr>
      </w:pPr>
      <w:r w:rsidRPr="00683B9C">
        <w:rPr>
          <w:rFonts w:asciiTheme="majorHAnsi" w:hAnsiTheme="majorHAnsi"/>
          <w:sz w:val="16"/>
          <w:szCs w:val="16"/>
        </w:rPr>
        <w:t>Table</w:t>
      </w:r>
      <w:r w:rsidR="00C65733" w:rsidRPr="00683B9C">
        <w:rPr>
          <w:rFonts w:asciiTheme="majorHAnsi" w:hAnsiTheme="majorHAnsi"/>
          <w:sz w:val="16"/>
          <w:szCs w:val="16"/>
        </w:rPr>
        <w:t xml:space="preserve"> </w:t>
      </w:r>
      <w:r w:rsidRPr="00683B9C">
        <w:rPr>
          <w:rFonts w:asciiTheme="majorHAnsi" w:hAnsiTheme="majorHAnsi"/>
          <w:sz w:val="16"/>
          <w:szCs w:val="16"/>
        </w:rPr>
        <w:t xml:space="preserve">summarising </w:t>
      </w:r>
      <w:r w:rsidR="00914E8D">
        <w:rPr>
          <w:rFonts w:asciiTheme="majorHAnsi" w:hAnsiTheme="majorHAnsi"/>
          <w:sz w:val="16"/>
          <w:szCs w:val="16"/>
        </w:rPr>
        <w:t>antigen-specific</w:t>
      </w:r>
      <w:r>
        <w:rPr>
          <w:rFonts w:asciiTheme="majorHAnsi" w:hAnsiTheme="majorHAnsi"/>
          <w:sz w:val="16"/>
          <w:szCs w:val="16"/>
        </w:rPr>
        <w:t xml:space="preserve"> </w:t>
      </w:r>
      <w:r w:rsidR="00914E8D">
        <w:rPr>
          <w:rFonts w:asciiTheme="majorHAnsi" w:hAnsiTheme="majorHAnsi"/>
          <w:sz w:val="16"/>
          <w:szCs w:val="16"/>
        </w:rPr>
        <w:t xml:space="preserve">IgG </w:t>
      </w:r>
      <w:r w:rsidR="00C65733" w:rsidRPr="00683B9C">
        <w:rPr>
          <w:rFonts w:asciiTheme="majorHAnsi" w:hAnsiTheme="majorHAnsi"/>
          <w:sz w:val="16"/>
          <w:szCs w:val="16"/>
        </w:rPr>
        <w:t>GMRs</w:t>
      </w:r>
      <w:r w:rsidR="00914E8D">
        <w:rPr>
          <w:rFonts w:asciiTheme="majorHAnsi" w:hAnsiTheme="majorHAnsi"/>
          <w:sz w:val="16"/>
          <w:szCs w:val="16"/>
        </w:rPr>
        <w:t xml:space="preserve"> to</w:t>
      </w:r>
      <w:r w:rsidR="00C65733" w:rsidRPr="00683B9C">
        <w:rPr>
          <w:rFonts w:asciiTheme="majorHAnsi" w:hAnsiTheme="majorHAnsi"/>
          <w:sz w:val="16"/>
          <w:szCs w:val="16"/>
        </w:rPr>
        <w:t xml:space="preserve"> compar</w:t>
      </w:r>
      <w:r w:rsidR="00914E8D">
        <w:rPr>
          <w:rFonts w:asciiTheme="majorHAnsi" w:hAnsiTheme="majorHAnsi"/>
          <w:sz w:val="16"/>
          <w:szCs w:val="16"/>
        </w:rPr>
        <w:t>e</w:t>
      </w:r>
      <w:r w:rsidR="00C65733" w:rsidRPr="00683B9C">
        <w:rPr>
          <w:rFonts w:asciiTheme="majorHAnsi" w:hAnsiTheme="majorHAnsi"/>
          <w:sz w:val="16"/>
          <w:szCs w:val="16"/>
        </w:rPr>
        <w:t xml:space="preserve"> the IgG GMCs at 13 months of age and at pre</w:t>
      </w:r>
      <w:r w:rsidR="00914E8D">
        <w:rPr>
          <w:rFonts w:asciiTheme="majorHAnsi" w:hAnsiTheme="majorHAnsi"/>
          <w:sz w:val="16"/>
          <w:szCs w:val="16"/>
        </w:rPr>
        <w:t>-</w:t>
      </w:r>
      <w:r w:rsidR="00C65733" w:rsidRPr="00683B9C">
        <w:rPr>
          <w:rFonts w:asciiTheme="majorHAnsi" w:hAnsiTheme="majorHAnsi"/>
          <w:sz w:val="16"/>
          <w:szCs w:val="16"/>
        </w:rPr>
        <w:t>booster</w:t>
      </w:r>
      <w:r w:rsidR="00914E8D">
        <w:rPr>
          <w:rFonts w:asciiTheme="majorHAnsi" w:hAnsiTheme="majorHAnsi"/>
          <w:sz w:val="16"/>
          <w:szCs w:val="16"/>
        </w:rPr>
        <w:t xml:space="preserve">, in children whose mothers received </w:t>
      </w:r>
      <w:r w:rsidR="00914E8D" w:rsidRPr="00914E8D">
        <w:rPr>
          <w:rFonts w:asciiTheme="majorHAnsi" w:hAnsiTheme="majorHAnsi"/>
          <w:sz w:val="16"/>
          <w:szCs w:val="16"/>
        </w:rPr>
        <w:t xml:space="preserve">one of two </w:t>
      </w:r>
      <w:r w:rsidR="00914E8D">
        <w:rPr>
          <w:rFonts w:asciiTheme="majorHAnsi" w:hAnsiTheme="majorHAnsi"/>
          <w:sz w:val="16"/>
          <w:szCs w:val="16"/>
        </w:rPr>
        <w:t>antena</w:t>
      </w:r>
      <w:bookmarkStart w:id="0" w:name="_GoBack"/>
      <w:bookmarkEnd w:id="0"/>
      <w:r w:rsidR="00914E8D">
        <w:rPr>
          <w:rFonts w:asciiTheme="majorHAnsi" w:hAnsiTheme="majorHAnsi"/>
          <w:sz w:val="16"/>
          <w:szCs w:val="16"/>
        </w:rPr>
        <w:t xml:space="preserve">tal </w:t>
      </w:r>
      <w:r w:rsidR="00914E8D" w:rsidRPr="00914E8D">
        <w:rPr>
          <w:rFonts w:asciiTheme="majorHAnsi" w:hAnsiTheme="majorHAnsi"/>
          <w:sz w:val="16"/>
          <w:szCs w:val="16"/>
        </w:rPr>
        <w:t>pertussis-containing vaccines</w:t>
      </w:r>
      <w:r w:rsidR="00914E8D">
        <w:rPr>
          <w:rFonts w:asciiTheme="majorHAnsi" w:hAnsiTheme="majorHAnsi"/>
          <w:sz w:val="16"/>
          <w:szCs w:val="16"/>
        </w:rPr>
        <w:t xml:space="preserve"> or not.</w:t>
      </w:r>
    </w:p>
    <w:sectPr w:rsidR="00A90A4C" w:rsidRPr="00683B9C" w:rsidSect="008A50F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D"/>
    <w:rsid w:val="00683B9C"/>
    <w:rsid w:val="007A4A13"/>
    <w:rsid w:val="008A50FD"/>
    <w:rsid w:val="00914E8D"/>
    <w:rsid w:val="00A04D4A"/>
    <w:rsid w:val="00AC2BE4"/>
    <w:rsid w:val="00C65733"/>
    <w:rsid w:val="00D21881"/>
    <w:rsid w:val="00D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5A90"/>
  <w15:chartTrackingRefBased/>
  <w15:docId w15:val="{567FDAB9-B48D-4876-9249-24BE85C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A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897348D863446A07471D4CBD315C9" ma:contentTypeVersion="8" ma:contentTypeDescription="Create a new document." ma:contentTypeScope="" ma:versionID="5cb8ceeb2d31ee168030bb1c69f33a76">
  <xsd:schema xmlns:xsd="http://www.w3.org/2001/XMLSchema" xmlns:xs="http://www.w3.org/2001/XMLSchema" xmlns:p="http://schemas.microsoft.com/office/2006/metadata/properties" xmlns:ns3="927a8d78-f0e1-43b2-a137-cd867128e8bb" targetNamespace="http://schemas.microsoft.com/office/2006/metadata/properties" ma:root="true" ma:fieldsID="d26870c7a5bea85d53fbced83ad41945" ns3:_="">
    <xsd:import namespace="927a8d78-f0e1-43b2-a137-cd867128e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8d78-f0e1-43b2-a137-cd867128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30F8D-97DA-4A84-9B83-ED88CD8C93A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7a8d78-f0e1-43b2-a137-cd867128e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F2A90-9453-4194-A9BC-B9353A1D8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A2965-1FB1-426A-8F55-56C7A856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8d78-f0e1-43b2-a137-cd867128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Sapuan</dc:creator>
  <cp:keywords/>
  <dc:description/>
  <cp:lastModifiedBy>Shari Sapuan</cp:lastModifiedBy>
  <cp:revision>2</cp:revision>
  <dcterms:created xsi:type="dcterms:W3CDTF">2022-09-23T14:36:00Z</dcterms:created>
  <dcterms:modified xsi:type="dcterms:W3CDTF">2022-09-23T14:36:00Z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0x010100690897348D863446A07471D4CBD315C9</vt:lpwstr>
  </property>
</Properties>
</file>