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63" w:rsidRPr="00047263" w:rsidRDefault="00047263" w:rsidP="007D18E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047263">
        <w:rPr>
          <w:rFonts w:cstheme="minorHAnsi"/>
          <w:b/>
          <w:sz w:val="20"/>
          <w:szCs w:val="20"/>
        </w:rPr>
        <w:t xml:space="preserve">Supplement 1. </w:t>
      </w:r>
    </w:p>
    <w:p w:rsidR="00047263" w:rsidRPr="00047263" w:rsidRDefault="00047263" w:rsidP="007D18E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0"/>
          <w:szCs w:val="20"/>
        </w:rPr>
      </w:pPr>
    </w:p>
    <w:p w:rsidR="00C52B03" w:rsidRPr="00047263" w:rsidRDefault="004C2370" w:rsidP="007D18E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047263">
        <w:rPr>
          <w:rFonts w:cstheme="minorHAnsi"/>
          <w:b/>
          <w:sz w:val="20"/>
          <w:szCs w:val="20"/>
        </w:rPr>
        <w:t>List of primary diagnoses per group</w:t>
      </w:r>
      <w:r w:rsidR="00FE05E8" w:rsidRPr="00047263">
        <w:rPr>
          <w:rFonts w:cstheme="minorHAnsi"/>
          <w:b/>
          <w:sz w:val="20"/>
          <w:szCs w:val="20"/>
        </w:rPr>
        <w:t xml:space="preserve"> </w:t>
      </w:r>
    </w:p>
    <w:p w:rsidR="00BD016A" w:rsidRPr="00047263" w:rsidRDefault="00BD016A" w:rsidP="007D18E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0"/>
          <w:szCs w:val="20"/>
        </w:rPr>
      </w:pPr>
    </w:p>
    <w:p w:rsidR="001A1144" w:rsidRPr="00047263" w:rsidRDefault="00C52B03" w:rsidP="001A114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 xml:space="preserve">Diagnoses are based on </w:t>
      </w:r>
      <w:r w:rsidR="00F162A2" w:rsidRPr="00047263">
        <w:rPr>
          <w:rFonts w:cstheme="minorHAnsi"/>
          <w:sz w:val="20"/>
          <w:szCs w:val="20"/>
        </w:rPr>
        <w:t xml:space="preserve">a combination of pre- and </w:t>
      </w:r>
      <w:r w:rsidR="00FE05E8" w:rsidRPr="00047263">
        <w:rPr>
          <w:rFonts w:cstheme="minorHAnsi"/>
          <w:sz w:val="20"/>
          <w:szCs w:val="20"/>
        </w:rPr>
        <w:t>postnatal assessment</w:t>
      </w:r>
      <w:r w:rsidRPr="00047263">
        <w:rPr>
          <w:rFonts w:cstheme="minorHAnsi"/>
          <w:sz w:val="20"/>
          <w:szCs w:val="20"/>
        </w:rPr>
        <w:t>.</w:t>
      </w:r>
    </w:p>
    <w:p w:rsidR="00BD016A" w:rsidRPr="00047263" w:rsidRDefault="00BD016A" w:rsidP="00BD016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 xml:space="preserve">Categorisation was performed by </w:t>
      </w:r>
      <w:r w:rsidR="001821ED">
        <w:rPr>
          <w:rFonts w:cstheme="minorHAnsi"/>
          <w:sz w:val="20"/>
          <w:szCs w:val="20"/>
        </w:rPr>
        <w:t xml:space="preserve">prenatal ultrasonographer(SE/AK/FJ) </w:t>
      </w:r>
      <w:r w:rsidRPr="00047263">
        <w:rPr>
          <w:rFonts w:cstheme="minorHAnsi"/>
          <w:sz w:val="20"/>
          <w:szCs w:val="20"/>
        </w:rPr>
        <w:t xml:space="preserve">with </w:t>
      </w:r>
      <w:r w:rsidR="001821ED">
        <w:rPr>
          <w:rFonts w:cstheme="minorHAnsi"/>
          <w:sz w:val="20"/>
          <w:szCs w:val="20"/>
        </w:rPr>
        <w:t>the consultant maternal-fetal medicine specialist(MH) and the pediatric cardiologist(LR)</w:t>
      </w:r>
      <w:r w:rsidR="00520AA1">
        <w:rPr>
          <w:rFonts w:cstheme="minorHAnsi"/>
          <w:sz w:val="20"/>
          <w:szCs w:val="20"/>
        </w:rPr>
        <w:t xml:space="preserve">. </w:t>
      </w:r>
    </w:p>
    <w:p w:rsidR="00BD016A" w:rsidRPr="00047263" w:rsidRDefault="00BD016A" w:rsidP="00BD016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BD016A" w:rsidRPr="00047263" w:rsidRDefault="00BD016A" w:rsidP="00BD0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47263">
        <w:rPr>
          <w:rFonts w:cstheme="minorHAnsi"/>
          <w:b/>
          <w:sz w:val="20"/>
          <w:szCs w:val="20"/>
        </w:rPr>
        <w:t>Overview of cases</w:t>
      </w:r>
    </w:p>
    <w:tbl>
      <w:tblPr>
        <w:tblW w:w="864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134"/>
        <w:gridCol w:w="1560"/>
        <w:gridCol w:w="1701"/>
        <w:gridCol w:w="1574"/>
        <w:gridCol w:w="992"/>
      </w:tblGrid>
      <w:tr w:rsidR="00BD016A" w:rsidRPr="00047263" w:rsidTr="00204267">
        <w:trPr>
          <w:cantSplit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016A" w:rsidRPr="00047263" w:rsidRDefault="00BD016A" w:rsidP="002042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16A" w:rsidRPr="00047263" w:rsidRDefault="00BD016A" w:rsidP="002042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7263">
              <w:rPr>
                <w:rFonts w:cstheme="minorHAnsi"/>
                <w:b/>
                <w:sz w:val="20"/>
                <w:szCs w:val="20"/>
              </w:rPr>
              <w:t>Oxygen delivery to the brain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16A" w:rsidRPr="00047263" w:rsidRDefault="00BD016A" w:rsidP="002042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726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BD016A" w:rsidRPr="00047263" w:rsidTr="00204267">
        <w:trPr>
          <w:cantSplit/>
        </w:trPr>
        <w:tc>
          <w:tcPr>
            <w:tcW w:w="2820" w:type="dxa"/>
            <w:gridSpan w:val="2"/>
            <w:vMerge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6A" w:rsidRPr="00047263" w:rsidRDefault="00BD016A" w:rsidP="002042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16A" w:rsidRPr="00047263" w:rsidRDefault="00BD016A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7263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BD016A" w:rsidRPr="00047263" w:rsidRDefault="00BD016A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7263">
              <w:rPr>
                <w:rFonts w:cstheme="minorHAnsi"/>
                <w:sz w:val="20"/>
                <w:szCs w:val="20"/>
              </w:rPr>
              <w:t>mixed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6A" w:rsidRPr="00047263" w:rsidRDefault="00BD016A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7263">
              <w:rPr>
                <w:rFonts w:cstheme="minorHAnsi"/>
                <w:sz w:val="20"/>
                <w:szCs w:val="20"/>
              </w:rPr>
              <w:t>normal</w:t>
            </w:r>
          </w:p>
        </w:tc>
        <w:tc>
          <w:tcPr>
            <w:tcW w:w="992" w:type="dxa"/>
            <w:vMerge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6A" w:rsidRPr="00047263" w:rsidRDefault="00BD016A" w:rsidP="002042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016A" w:rsidRPr="00047263" w:rsidTr="00204267">
        <w:trPr>
          <w:cantSplit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016A" w:rsidRPr="00047263" w:rsidRDefault="00BD016A" w:rsidP="002042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7263">
              <w:rPr>
                <w:rFonts w:cstheme="minorHAnsi"/>
                <w:b/>
                <w:sz w:val="20"/>
                <w:szCs w:val="20"/>
              </w:rPr>
              <w:t>Flow through the  aorta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16A" w:rsidRPr="00047263" w:rsidRDefault="00BD016A" w:rsidP="002042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7263">
              <w:rPr>
                <w:rFonts w:cstheme="minorHAnsi"/>
                <w:sz w:val="20"/>
                <w:szCs w:val="20"/>
              </w:rPr>
              <w:t xml:space="preserve"> reversed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BD016A" w:rsidRPr="00047263" w:rsidRDefault="00BD016A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726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D016A" w:rsidRPr="00047263" w:rsidRDefault="00047263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16A" w:rsidRPr="00047263" w:rsidRDefault="00BD016A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726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16A" w:rsidRPr="00047263" w:rsidRDefault="00047263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</w:tr>
      <w:tr w:rsidR="00BD016A" w:rsidRPr="00047263" w:rsidTr="00204267">
        <w:trPr>
          <w:cantSplit/>
        </w:trPr>
        <w:tc>
          <w:tcPr>
            <w:tcW w:w="1686" w:type="dxa"/>
            <w:vMerge/>
            <w:tcBorders>
              <w:top w:val="single" w:sz="16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016A" w:rsidRPr="00047263" w:rsidRDefault="00BD016A" w:rsidP="002042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16A" w:rsidRPr="00047263" w:rsidRDefault="00BD016A" w:rsidP="002042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7263">
              <w:rPr>
                <w:rFonts w:cstheme="minorHAnsi"/>
                <w:sz w:val="20"/>
                <w:szCs w:val="20"/>
              </w:rPr>
              <w:t xml:space="preserve"> obstructed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BD016A" w:rsidRPr="00047263" w:rsidRDefault="00BD016A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726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D016A" w:rsidRPr="00047263" w:rsidRDefault="00047263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7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16A" w:rsidRPr="00047263" w:rsidRDefault="001821ED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016A" w:rsidRPr="00047263" w:rsidRDefault="001821ED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</w:t>
            </w:r>
          </w:p>
        </w:tc>
      </w:tr>
      <w:tr w:rsidR="00BD016A" w:rsidRPr="00047263" w:rsidTr="00204267">
        <w:trPr>
          <w:cantSplit/>
        </w:trPr>
        <w:tc>
          <w:tcPr>
            <w:tcW w:w="1686" w:type="dxa"/>
            <w:vMerge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016A" w:rsidRPr="00047263" w:rsidRDefault="00BD016A" w:rsidP="002042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16A" w:rsidRPr="00047263" w:rsidRDefault="00BD016A" w:rsidP="002042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7263">
              <w:rPr>
                <w:rFonts w:cstheme="minorHAnsi"/>
                <w:sz w:val="20"/>
                <w:szCs w:val="20"/>
              </w:rPr>
              <w:t xml:space="preserve"> normal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16A" w:rsidRPr="00047263" w:rsidRDefault="00047263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D016A" w:rsidRPr="00047263" w:rsidRDefault="00047263" w:rsidP="004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16A" w:rsidRPr="00047263" w:rsidRDefault="00047263" w:rsidP="0042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16A" w:rsidRPr="00047263" w:rsidRDefault="00047263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88</w:t>
            </w:r>
          </w:p>
        </w:tc>
      </w:tr>
      <w:tr w:rsidR="00BD016A" w:rsidRPr="00047263" w:rsidTr="00204267">
        <w:trPr>
          <w:cantSplit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16A" w:rsidRPr="00047263" w:rsidRDefault="00BD016A" w:rsidP="002042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726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16A" w:rsidRPr="00047263" w:rsidRDefault="00047263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16A" w:rsidRPr="00047263" w:rsidRDefault="00047263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69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16A" w:rsidRPr="00047263" w:rsidRDefault="001821ED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16A" w:rsidRPr="00047263" w:rsidRDefault="00047263" w:rsidP="002F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142</w:t>
            </w:r>
          </w:p>
        </w:tc>
      </w:tr>
    </w:tbl>
    <w:p w:rsidR="002F150F" w:rsidRPr="00047263" w:rsidRDefault="002F150F" w:rsidP="001A114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0"/>
          <w:szCs w:val="20"/>
        </w:rPr>
      </w:pPr>
    </w:p>
    <w:p w:rsidR="001A1144" w:rsidRPr="00047263" w:rsidRDefault="001A1144" w:rsidP="007D18E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0"/>
          <w:szCs w:val="20"/>
        </w:rPr>
      </w:pPr>
    </w:p>
    <w:p w:rsidR="00BD3CE6" w:rsidRDefault="00BD3CE6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Normal flow + Low oxygen delivery to the brain</w:t>
      </w:r>
    </w:p>
    <w:p w:rsidR="00BD3CE6" w:rsidRDefault="00A00849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Oxygen-</w:t>
      </w:r>
      <w:r w:rsidR="004274F7" w:rsidRPr="00047263">
        <w:rPr>
          <w:rFonts w:cstheme="minorHAnsi"/>
          <w:sz w:val="20"/>
          <w:szCs w:val="20"/>
        </w:rPr>
        <w:t>poor blood filling the aorta, with normal aortic arch flow</w:t>
      </w:r>
      <w:r w:rsidR="0095122E" w:rsidRPr="00047263">
        <w:rPr>
          <w:rFonts w:cstheme="minorHAnsi"/>
          <w:sz w:val="20"/>
          <w:szCs w:val="20"/>
        </w:rPr>
        <w:t>.</w:t>
      </w:r>
      <w:r w:rsidR="00BD3CE6">
        <w:rPr>
          <w:rFonts w:cstheme="minorHAnsi"/>
          <w:sz w:val="20"/>
          <w:szCs w:val="20"/>
        </w:rPr>
        <w:t xml:space="preserve"> </w:t>
      </w:r>
    </w:p>
    <w:p w:rsidR="004274F7" w:rsidRPr="00047263" w:rsidRDefault="00BD3CE6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Diagnoses: Transposition of the great arteries, either with or without a small ventricle septal defect.</w:t>
      </w:r>
    </w:p>
    <w:p w:rsidR="002F150F" w:rsidRPr="00047263" w:rsidRDefault="002F150F" w:rsidP="007D18E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0"/>
          <w:szCs w:val="20"/>
        </w:rPr>
      </w:pPr>
    </w:p>
    <w:p w:rsidR="004274F7" w:rsidRPr="00047263" w:rsidRDefault="00BD3CE6" w:rsidP="007D18E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Obstructed aortic flow + normal oxygen delivery to the brain</w:t>
      </w:r>
    </w:p>
    <w:p w:rsidR="00F162A2" w:rsidRDefault="00B81C52" w:rsidP="007D18E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Biventricular heart defects, with left ventricle outflow tract obstruction, presenting with antenatal forward aortic arch flow.</w:t>
      </w:r>
      <w:r>
        <w:rPr>
          <w:rFonts w:cstheme="minorHAnsi"/>
          <w:sz w:val="20"/>
          <w:szCs w:val="20"/>
        </w:rPr>
        <w:t xml:space="preserve"> Some diagnoses present with small mitral valve and restricted atrial right-left shunt. </w:t>
      </w:r>
    </w:p>
    <w:p w:rsidR="00BA1145" w:rsidRDefault="00BD3CE6" w:rsidP="007D18E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Diagnoses: Aortic valve stenosis, hypoplasia/coarctation of the aorta, interrupted aortic arch. </w:t>
      </w:r>
    </w:p>
    <w:p w:rsidR="00BD3CE6" w:rsidRPr="00047263" w:rsidRDefault="00BD3CE6" w:rsidP="007D18E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Shone’s syndrome. Persistent left caval vein with LV inflow obstruction. Premature closure of the foramen ovale. Congenitally Corrected TGA with coarctation of the aorta. </w:t>
      </w:r>
    </w:p>
    <w:p w:rsidR="002F150F" w:rsidRPr="00047263" w:rsidRDefault="002F150F" w:rsidP="007D18E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0"/>
          <w:szCs w:val="20"/>
        </w:rPr>
      </w:pPr>
    </w:p>
    <w:p w:rsidR="00281E3B" w:rsidRPr="00047263" w:rsidRDefault="00B81C52" w:rsidP="007D18E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Reversed aortic arch flow + mixed oxygen delivery to the brain</w:t>
      </w:r>
    </w:p>
    <w:p w:rsidR="00A00849" w:rsidRPr="00047263" w:rsidRDefault="00D70A0D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S</w:t>
      </w:r>
      <w:r w:rsidR="00166EFC" w:rsidRPr="00047263">
        <w:rPr>
          <w:rFonts w:cstheme="minorHAnsi"/>
          <w:sz w:val="20"/>
          <w:szCs w:val="20"/>
        </w:rPr>
        <w:t xml:space="preserve">evere </w:t>
      </w:r>
      <w:r w:rsidR="00F162A2" w:rsidRPr="00047263">
        <w:rPr>
          <w:rFonts w:cstheme="minorHAnsi"/>
          <w:sz w:val="20"/>
          <w:szCs w:val="20"/>
        </w:rPr>
        <w:t>aortic</w:t>
      </w:r>
      <w:r w:rsidR="00D47DA4" w:rsidRPr="00047263">
        <w:rPr>
          <w:rFonts w:cstheme="minorHAnsi"/>
          <w:sz w:val="20"/>
          <w:szCs w:val="20"/>
        </w:rPr>
        <w:t xml:space="preserve"> obstruction, presenting with antenatal reversed aortic arch flow</w:t>
      </w:r>
      <w:r w:rsidR="00A00849" w:rsidRPr="00047263"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Univentricular heart defects.</w:t>
      </w:r>
    </w:p>
    <w:p w:rsidR="00166EFC" w:rsidRDefault="00A00849" w:rsidP="00D70A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Left</w:t>
      </w:r>
      <w:r w:rsidR="001A1144" w:rsidRPr="00047263">
        <w:rPr>
          <w:rFonts w:cstheme="minorHAnsi"/>
          <w:sz w:val="20"/>
          <w:szCs w:val="20"/>
        </w:rPr>
        <w:t>-to-</w:t>
      </w:r>
      <w:r w:rsidRPr="00047263">
        <w:rPr>
          <w:rFonts w:cstheme="minorHAnsi"/>
          <w:sz w:val="20"/>
          <w:szCs w:val="20"/>
        </w:rPr>
        <w:t>right shunt at atrial level (mixed blood reaches the brain through the duct and reversed aortic arch flow)</w:t>
      </w:r>
      <w:r w:rsidR="00B81C52">
        <w:rPr>
          <w:rFonts w:cstheme="minorHAnsi"/>
          <w:sz w:val="20"/>
          <w:szCs w:val="20"/>
        </w:rPr>
        <w:t>.</w:t>
      </w:r>
    </w:p>
    <w:p w:rsidR="00B81C52" w:rsidRPr="00047263" w:rsidRDefault="00B81C52" w:rsidP="00D70A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Diagnoses: HLHS. Aortic stenosis with progressive left ventricular hypoplasia. Unbalanced AVSD with aortic atresia. Congenitally Corrected TGA, RV hypoplasia with aortic arch hypoplasia.</w:t>
      </w:r>
    </w:p>
    <w:p w:rsidR="002F150F" w:rsidRPr="00047263" w:rsidRDefault="002F150F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81E3B" w:rsidRPr="00047263" w:rsidRDefault="00B81C52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Obstructed aortic arch flow + mixed oxygen delivery to the brain</w:t>
      </w:r>
    </w:p>
    <w:p w:rsidR="00BD016A" w:rsidRPr="00047263" w:rsidRDefault="00BD016A" w:rsidP="00BD01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Biventricular heart defects with abnormal connection of the great vessels and a large VSD, or univentricular  heart defects, or (un)balanced AVSDs.</w:t>
      </w:r>
    </w:p>
    <w:p w:rsidR="00BD016A" w:rsidRDefault="00BD016A" w:rsidP="00BD016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Intracardiac mixing occurs at atrial (a) or ventricular (v) level.</w:t>
      </w:r>
    </w:p>
    <w:p w:rsidR="00D353F9" w:rsidRPr="00BD016A" w:rsidRDefault="00D353F9" w:rsidP="00D353F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sz w:val="20"/>
          <w:szCs w:val="20"/>
        </w:rPr>
      </w:pPr>
      <w:r w:rsidRPr="00BD016A">
        <w:rPr>
          <w:rFonts w:cs="Arial"/>
          <w:sz w:val="20"/>
          <w:szCs w:val="20"/>
        </w:rPr>
        <w:t>Either of above, presenting with antenatal aortic obstruction, with forward aortic arch flow (aortic arch hypoplasia, coarctatio, or aortic valve stenosis).</w:t>
      </w:r>
    </w:p>
    <w:p w:rsidR="00D353F9" w:rsidRPr="00D353F9" w:rsidRDefault="00D353F9" w:rsidP="00BD016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sz w:val="20"/>
          <w:szCs w:val="20"/>
        </w:rPr>
      </w:pPr>
      <w:r w:rsidRPr="00BD016A">
        <w:rPr>
          <w:rFonts w:cs="Arial"/>
          <w:sz w:val="20"/>
          <w:szCs w:val="20"/>
        </w:rPr>
        <w:t>Postnatal intervention necessary to palliate or repair aortic obstruction.</w:t>
      </w:r>
    </w:p>
    <w:p w:rsidR="002F150F" w:rsidRPr="00047263" w:rsidRDefault="00B81C52" w:rsidP="00D074C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Diagnoses:</w:t>
      </w:r>
      <w:r w:rsidR="00D074C2">
        <w:rPr>
          <w:rFonts w:cstheme="minorHAnsi"/>
          <w:sz w:val="20"/>
          <w:szCs w:val="20"/>
        </w:rPr>
        <w:t xml:space="preserve"> </w:t>
      </w:r>
      <w:r w:rsidR="00D074C2" w:rsidRPr="00047263">
        <w:rPr>
          <w:rFonts w:cstheme="minorHAnsi"/>
          <w:sz w:val="20"/>
          <w:szCs w:val="20"/>
        </w:rPr>
        <w:t>Double inlet LV (a)</w:t>
      </w:r>
      <w:r w:rsidR="00D074C2">
        <w:rPr>
          <w:rFonts w:cstheme="minorHAnsi"/>
          <w:sz w:val="20"/>
          <w:szCs w:val="20"/>
        </w:rPr>
        <w:t xml:space="preserve">. </w:t>
      </w:r>
      <w:r w:rsidR="00D074C2" w:rsidRPr="00047263">
        <w:rPr>
          <w:rFonts w:cstheme="minorHAnsi"/>
          <w:sz w:val="20"/>
          <w:szCs w:val="20"/>
        </w:rPr>
        <w:t>Tricuspid atresia (a)</w:t>
      </w:r>
      <w:r w:rsidR="00D074C2">
        <w:rPr>
          <w:rFonts w:cstheme="minorHAnsi"/>
          <w:sz w:val="20"/>
          <w:szCs w:val="20"/>
        </w:rPr>
        <w:t xml:space="preserve">. </w:t>
      </w:r>
      <w:r w:rsidR="00D074C2" w:rsidRPr="00047263">
        <w:rPr>
          <w:rFonts w:cstheme="minorHAnsi"/>
          <w:sz w:val="20"/>
          <w:szCs w:val="20"/>
        </w:rPr>
        <w:t>Complex TGA with VSD/DORV and/or ventricular hypoplasia (a/v)</w:t>
      </w:r>
      <w:r w:rsidR="00D074C2">
        <w:rPr>
          <w:rFonts w:cstheme="minorHAnsi"/>
          <w:sz w:val="20"/>
          <w:szCs w:val="20"/>
        </w:rPr>
        <w:t xml:space="preserve">. </w:t>
      </w:r>
      <w:r w:rsidR="00D074C2" w:rsidRPr="00047263">
        <w:rPr>
          <w:rFonts w:cstheme="minorHAnsi"/>
          <w:sz w:val="20"/>
          <w:szCs w:val="20"/>
        </w:rPr>
        <w:t>Unbalanced AVSD (v)</w:t>
      </w:r>
      <w:r w:rsidR="00651C22">
        <w:rPr>
          <w:rFonts w:cstheme="minorHAnsi"/>
          <w:sz w:val="20"/>
          <w:szCs w:val="20"/>
        </w:rPr>
        <w:t xml:space="preserve"> with aortic obstruction. </w:t>
      </w:r>
    </w:p>
    <w:p w:rsidR="00D51846" w:rsidRPr="00047263" w:rsidRDefault="00D074C2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Normal aortic arch flow + mixed oxygen delivery to the brain</w:t>
      </w:r>
    </w:p>
    <w:p w:rsidR="00F02E61" w:rsidRPr="00047263" w:rsidRDefault="00087A81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 xml:space="preserve">Biventricular heart defects </w:t>
      </w:r>
      <w:r w:rsidR="00304FED" w:rsidRPr="00047263">
        <w:rPr>
          <w:rFonts w:cstheme="minorHAnsi"/>
          <w:sz w:val="20"/>
          <w:szCs w:val="20"/>
        </w:rPr>
        <w:t>with</w:t>
      </w:r>
      <w:r w:rsidR="00F02E61" w:rsidRPr="00047263">
        <w:rPr>
          <w:rFonts w:cstheme="minorHAnsi"/>
          <w:sz w:val="20"/>
          <w:szCs w:val="20"/>
        </w:rPr>
        <w:t xml:space="preserve"> </w:t>
      </w:r>
      <w:r w:rsidRPr="00047263">
        <w:rPr>
          <w:rFonts w:cstheme="minorHAnsi"/>
          <w:sz w:val="20"/>
          <w:szCs w:val="20"/>
        </w:rPr>
        <w:t xml:space="preserve">abnormal </w:t>
      </w:r>
      <w:r w:rsidR="00A02CE2" w:rsidRPr="00047263">
        <w:rPr>
          <w:rFonts w:cstheme="minorHAnsi"/>
          <w:sz w:val="20"/>
          <w:szCs w:val="20"/>
        </w:rPr>
        <w:t>connection</w:t>
      </w:r>
      <w:r w:rsidRPr="00047263">
        <w:rPr>
          <w:rFonts w:cstheme="minorHAnsi"/>
          <w:sz w:val="20"/>
          <w:szCs w:val="20"/>
        </w:rPr>
        <w:t xml:space="preserve"> of the great vessels</w:t>
      </w:r>
      <w:r w:rsidR="00F02E61" w:rsidRPr="00047263">
        <w:rPr>
          <w:rFonts w:cstheme="minorHAnsi"/>
          <w:sz w:val="20"/>
          <w:szCs w:val="20"/>
        </w:rPr>
        <w:t xml:space="preserve"> and a large VSD</w:t>
      </w:r>
      <w:r w:rsidR="00BD016A" w:rsidRPr="00047263">
        <w:rPr>
          <w:rFonts w:cstheme="minorHAnsi"/>
          <w:sz w:val="20"/>
          <w:szCs w:val="20"/>
        </w:rPr>
        <w:t>, or u</w:t>
      </w:r>
      <w:r w:rsidR="00A02CE2" w:rsidRPr="00047263">
        <w:rPr>
          <w:rFonts w:cstheme="minorHAnsi"/>
          <w:sz w:val="20"/>
          <w:szCs w:val="20"/>
        </w:rPr>
        <w:t xml:space="preserve">niventricular </w:t>
      </w:r>
      <w:r w:rsidR="009A2A81" w:rsidRPr="00047263">
        <w:rPr>
          <w:rFonts w:cstheme="minorHAnsi"/>
          <w:sz w:val="20"/>
          <w:szCs w:val="20"/>
        </w:rPr>
        <w:t xml:space="preserve"> heart </w:t>
      </w:r>
      <w:r w:rsidRPr="00047263">
        <w:rPr>
          <w:rFonts w:cstheme="minorHAnsi"/>
          <w:sz w:val="20"/>
          <w:szCs w:val="20"/>
        </w:rPr>
        <w:t>defect</w:t>
      </w:r>
      <w:r w:rsidR="00BD016A" w:rsidRPr="00047263">
        <w:rPr>
          <w:rFonts w:cstheme="minorHAnsi"/>
          <w:sz w:val="20"/>
          <w:szCs w:val="20"/>
        </w:rPr>
        <w:t>s, or (un)b</w:t>
      </w:r>
      <w:r w:rsidR="00F02E61" w:rsidRPr="00047263">
        <w:rPr>
          <w:rFonts w:cstheme="minorHAnsi"/>
          <w:sz w:val="20"/>
          <w:szCs w:val="20"/>
        </w:rPr>
        <w:t>alanced AVSD</w:t>
      </w:r>
      <w:r w:rsidR="00BD016A" w:rsidRPr="00047263">
        <w:rPr>
          <w:rFonts w:cstheme="minorHAnsi"/>
          <w:sz w:val="20"/>
          <w:szCs w:val="20"/>
        </w:rPr>
        <w:t>s</w:t>
      </w:r>
      <w:r w:rsidR="00F02E61" w:rsidRPr="00047263">
        <w:rPr>
          <w:rFonts w:cstheme="minorHAnsi"/>
          <w:sz w:val="20"/>
          <w:szCs w:val="20"/>
        </w:rPr>
        <w:t>.</w:t>
      </w:r>
    </w:p>
    <w:p w:rsidR="00BD016A" w:rsidRDefault="00BD016A" w:rsidP="00BD016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Intracardiac mixing occurs at atrial (a) or ventricular (v) level.</w:t>
      </w:r>
    </w:p>
    <w:p w:rsidR="00D353F9" w:rsidRPr="00D353F9" w:rsidRDefault="00D353F9" w:rsidP="00D353F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D016A">
        <w:rPr>
          <w:rFonts w:cs="Arial"/>
          <w:sz w:val="20"/>
          <w:szCs w:val="20"/>
        </w:rPr>
        <w:t>Either of above, presenting with antenatal normal aortic calibre and flow.</w:t>
      </w:r>
    </w:p>
    <w:p w:rsidR="00D074C2" w:rsidRPr="00047263" w:rsidRDefault="00D074C2" w:rsidP="00D074C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Diagnoses: </w:t>
      </w:r>
      <w:r w:rsidRPr="00047263">
        <w:rPr>
          <w:rFonts w:cstheme="minorHAnsi"/>
          <w:sz w:val="20"/>
          <w:szCs w:val="20"/>
        </w:rPr>
        <w:t>Absent left AV connection, DORV (a)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Absent left AV connection, DORV (a)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Double inlet LV (a)</w:t>
      </w:r>
      <w:r>
        <w:rPr>
          <w:rFonts w:cstheme="minorHAnsi"/>
          <w:sz w:val="20"/>
          <w:szCs w:val="20"/>
        </w:rPr>
        <w:t>.</w:t>
      </w:r>
      <w:r w:rsidRPr="00D074C2">
        <w:rPr>
          <w:rFonts w:cstheme="minorHAnsi"/>
          <w:sz w:val="20"/>
          <w:szCs w:val="20"/>
        </w:rPr>
        <w:t xml:space="preserve"> </w:t>
      </w:r>
      <w:r w:rsidRPr="00047263">
        <w:rPr>
          <w:rFonts w:cstheme="minorHAnsi"/>
          <w:sz w:val="20"/>
          <w:szCs w:val="20"/>
        </w:rPr>
        <w:t>Tricuspid atresia (a)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HRHS: pulmonary atresia or critical stenosis (a)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Tetralogy of Fallot / PA with VSD / Fallot-like DORV (v)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Truncus arteriosus / AP window (v)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(Un)balanced AVSD (v)</w:t>
      </w:r>
      <w:r w:rsidR="00651C22">
        <w:rPr>
          <w:rFonts w:cstheme="minorHAnsi"/>
          <w:sz w:val="20"/>
          <w:szCs w:val="20"/>
        </w:rPr>
        <w:t xml:space="preserve"> with normal outflow. </w:t>
      </w:r>
    </w:p>
    <w:p w:rsidR="00D074C2" w:rsidRPr="00047263" w:rsidRDefault="00D074C2" w:rsidP="00D074C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D074C2" w:rsidRPr="00047263" w:rsidRDefault="00D074C2" w:rsidP="00BD016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087A81" w:rsidRPr="00047263" w:rsidRDefault="00087A81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F150F" w:rsidRPr="00047263" w:rsidRDefault="002F150F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3CCF" w:rsidRPr="00047263" w:rsidRDefault="00AF795F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Normal aortic arch flow + normal oxygen delivery to the brain</w:t>
      </w:r>
    </w:p>
    <w:p w:rsidR="00E23CCF" w:rsidRDefault="00E23CCF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Biventricular heart defects, presenting with antenatal normal aortic flow</w:t>
      </w:r>
      <w:r w:rsidR="00AF795F">
        <w:rPr>
          <w:rFonts w:cstheme="minorHAnsi"/>
          <w:sz w:val="20"/>
          <w:szCs w:val="20"/>
        </w:rPr>
        <w:t>.</w:t>
      </w:r>
    </w:p>
    <w:p w:rsidR="00BA1145" w:rsidRPr="00047263" w:rsidRDefault="00AF795F" w:rsidP="00AF795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Diagnoses: small VSD. </w:t>
      </w:r>
      <w:r w:rsidRPr="00047263">
        <w:rPr>
          <w:rFonts w:cstheme="minorHAnsi"/>
          <w:sz w:val="20"/>
          <w:szCs w:val="20"/>
        </w:rPr>
        <w:t>Ebstein’s anomaly (no hydrops/normal cardiac output)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Tricuspid dysplasia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Pulmonary stenosis (not critical)</w:t>
      </w:r>
      <w:r>
        <w:rPr>
          <w:rFonts w:cstheme="minorHAnsi"/>
          <w:sz w:val="20"/>
          <w:szCs w:val="20"/>
        </w:rPr>
        <w:t xml:space="preserve">.  </w:t>
      </w:r>
      <w:r w:rsidRPr="00047263">
        <w:rPr>
          <w:rFonts w:cstheme="minorHAnsi"/>
          <w:sz w:val="20"/>
          <w:szCs w:val="20"/>
        </w:rPr>
        <w:t>Absent pulmonary valve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Persistent left caval vein without LV inflow obstruction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Right aortic arch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ccTGA without additional cardiac defects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Aneurysm of the interventricular septum or cardiac diverticulum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Rhabdomyomata</w:t>
      </w:r>
      <w:r>
        <w:rPr>
          <w:rFonts w:cstheme="minorHAnsi"/>
          <w:sz w:val="20"/>
          <w:szCs w:val="20"/>
        </w:rPr>
        <w:t xml:space="preserve">. </w:t>
      </w:r>
      <w:r w:rsidRPr="00047263">
        <w:rPr>
          <w:rFonts w:cstheme="minorHAnsi"/>
          <w:sz w:val="20"/>
          <w:szCs w:val="20"/>
        </w:rPr>
        <w:t>Miscellaneous (scimitar, ASD, PAPVR</w:t>
      </w:r>
      <w:r>
        <w:rPr>
          <w:rFonts w:cstheme="minorHAnsi"/>
          <w:sz w:val="20"/>
          <w:szCs w:val="20"/>
        </w:rPr>
        <w:t xml:space="preserve">, dextroposition). </w:t>
      </w:r>
    </w:p>
    <w:p w:rsidR="002F150F" w:rsidRPr="00047263" w:rsidRDefault="002F150F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5122E" w:rsidRPr="00047263" w:rsidRDefault="0095122E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47263">
        <w:rPr>
          <w:rFonts w:cstheme="minorHAnsi"/>
          <w:b/>
          <w:sz w:val="20"/>
          <w:szCs w:val="20"/>
        </w:rPr>
        <w:t>Abbreviations:</w:t>
      </w:r>
    </w:p>
    <w:p w:rsidR="002F150F" w:rsidRPr="00047263" w:rsidRDefault="002F150F" w:rsidP="002F15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ASD atrioseptal defect</w:t>
      </w:r>
    </w:p>
    <w:p w:rsidR="002F150F" w:rsidRPr="00047263" w:rsidRDefault="002F150F" w:rsidP="002F15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AV atrio-ventricular</w:t>
      </w:r>
      <w:bookmarkStart w:id="0" w:name="_GoBack"/>
      <w:bookmarkEnd w:id="0"/>
    </w:p>
    <w:p w:rsidR="002F150F" w:rsidRPr="00047263" w:rsidRDefault="002F150F" w:rsidP="002F15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AVSD atrio-ventricular septal defect</w:t>
      </w:r>
    </w:p>
    <w:p w:rsidR="002F150F" w:rsidRPr="00047263" w:rsidRDefault="002F150F" w:rsidP="002F15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ccTGA congenitally corrected transposition of the great arteries</w:t>
      </w:r>
    </w:p>
    <w:p w:rsidR="002F150F" w:rsidRPr="00047263" w:rsidRDefault="002F150F" w:rsidP="002F15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DORV double outlet right ventricle</w:t>
      </w:r>
    </w:p>
    <w:p w:rsidR="002F150F" w:rsidRPr="00047263" w:rsidRDefault="002F150F" w:rsidP="002F15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HLHS hypoplastic left heart syndrome</w:t>
      </w:r>
    </w:p>
    <w:p w:rsidR="002F150F" w:rsidRPr="00047263" w:rsidRDefault="002F150F" w:rsidP="002F15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HRHS hypoplastic right heart syndrome</w:t>
      </w:r>
    </w:p>
    <w:p w:rsidR="002F150F" w:rsidRPr="00047263" w:rsidRDefault="002F150F" w:rsidP="002F15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LV left ventricle</w:t>
      </w:r>
    </w:p>
    <w:p w:rsidR="002F150F" w:rsidRPr="00047263" w:rsidRDefault="002F150F" w:rsidP="002F15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PAPVR partially aberrant pulmonary vein return</w:t>
      </w:r>
    </w:p>
    <w:p w:rsidR="002F150F" w:rsidRPr="00047263" w:rsidRDefault="002F150F" w:rsidP="002F15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RV right ventricle</w:t>
      </w:r>
    </w:p>
    <w:p w:rsidR="0095122E" w:rsidRPr="00047263" w:rsidRDefault="0095122E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TGA</w:t>
      </w:r>
      <w:r w:rsidR="002F150F" w:rsidRPr="00047263">
        <w:rPr>
          <w:rFonts w:cstheme="minorHAnsi"/>
          <w:sz w:val="20"/>
          <w:szCs w:val="20"/>
        </w:rPr>
        <w:t xml:space="preserve"> transposition of the great arteries</w:t>
      </w:r>
    </w:p>
    <w:p w:rsidR="0095122E" w:rsidRPr="00047263" w:rsidRDefault="0095122E" w:rsidP="007D18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47263">
        <w:rPr>
          <w:rFonts w:cstheme="minorHAnsi"/>
          <w:sz w:val="20"/>
          <w:szCs w:val="20"/>
        </w:rPr>
        <w:t>VSD</w:t>
      </w:r>
      <w:r w:rsidR="002F150F" w:rsidRPr="00047263">
        <w:rPr>
          <w:rFonts w:cstheme="minorHAnsi"/>
          <w:sz w:val="20"/>
          <w:szCs w:val="20"/>
        </w:rPr>
        <w:t xml:space="preserve"> ventricular septal defect</w:t>
      </w:r>
    </w:p>
    <w:p w:rsidR="002F150F" w:rsidRPr="00047263" w:rsidRDefault="002F15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2F150F" w:rsidRPr="00047263" w:rsidSect="00625609">
      <w:type w:val="continuous"/>
      <w:pgSz w:w="11903" w:h="16836"/>
      <w:pgMar w:top="1440" w:right="1440" w:bottom="99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0B9" w:rsidRDefault="004050B9" w:rsidP="005D59C8">
      <w:pPr>
        <w:spacing w:after="0" w:line="240" w:lineRule="auto"/>
      </w:pPr>
      <w:r>
        <w:separator/>
      </w:r>
    </w:p>
  </w:endnote>
  <w:endnote w:type="continuationSeparator" w:id="0">
    <w:p w:rsidR="004050B9" w:rsidRDefault="004050B9" w:rsidP="005D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0B9" w:rsidRDefault="004050B9" w:rsidP="005D59C8">
      <w:pPr>
        <w:spacing w:after="0" w:line="240" w:lineRule="auto"/>
      </w:pPr>
      <w:r>
        <w:separator/>
      </w:r>
    </w:p>
  </w:footnote>
  <w:footnote w:type="continuationSeparator" w:id="0">
    <w:p w:rsidR="004050B9" w:rsidRDefault="004050B9" w:rsidP="005D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49B"/>
    <w:multiLevelType w:val="hybridMultilevel"/>
    <w:tmpl w:val="FF4467A2"/>
    <w:lvl w:ilvl="0" w:tplc="2C9CB3D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108"/>
    <w:multiLevelType w:val="hybridMultilevel"/>
    <w:tmpl w:val="E6A6EC9C"/>
    <w:lvl w:ilvl="0" w:tplc="BE4285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0E2F"/>
    <w:multiLevelType w:val="hybridMultilevel"/>
    <w:tmpl w:val="031CC28C"/>
    <w:lvl w:ilvl="0" w:tplc="E1B0B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F5C7A"/>
    <w:multiLevelType w:val="hybridMultilevel"/>
    <w:tmpl w:val="B0D0ADC4"/>
    <w:lvl w:ilvl="0" w:tplc="E18C47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53F49"/>
    <w:multiLevelType w:val="hybridMultilevel"/>
    <w:tmpl w:val="4DB0E922"/>
    <w:lvl w:ilvl="0" w:tplc="E0DE69EE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C3510"/>
    <w:multiLevelType w:val="hybridMultilevel"/>
    <w:tmpl w:val="E5406F1C"/>
    <w:lvl w:ilvl="0" w:tplc="B55E7AF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8C"/>
    <w:rsid w:val="00001F46"/>
    <w:rsid w:val="00011EF2"/>
    <w:rsid w:val="0002406F"/>
    <w:rsid w:val="00042932"/>
    <w:rsid w:val="00047263"/>
    <w:rsid w:val="0005797F"/>
    <w:rsid w:val="00062F8C"/>
    <w:rsid w:val="00086703"/>
    <w:rsid w:val="00087A81"/>
    <w:rsid w:val="000C4F82"/>
    <w:rsid w:val="00103F1E"/>
    <w:rsid w:val="00152048"/>
    <w:rsid w:val="0015223A"/>
    <w:rsid w:val="00166EFC"/>
    <w:rsid w:val="001821ED"/>
    <w:rsid w:val="00183AC2"/>
    <w:rsid w:val="001A1144"/>
    <w:rsid w:val="001C3843"/>
    <w:rsid w:val="001C4FE3"/>
    <w:rsid w:val="001E4965"/>
    <w:rsid w:val="001F28F5"/>
    <w:rsid w:val="00203E8D"/>
    <w:rsid w:val="002220A1"/>
    <w:rsid w:val="0023552F"/>
    <w:rsid w:val="00260843"/>
    <w:rsid w:val="002677A7"/>
    <w:rsid w:val="00271A72"/>
    <w:rsid w:val="00281E3B"/>
    <w:rsid w:val="002F150F"/>
    <w:rsid w:val="002F7B1D"/>
    <w:rsid w:val="00304FED"/>
    <w:rsid w:val="0031077C"/>
    <w:rsid w:val="0032123F"/>
    <w:rsid w:val="00333BA3"/>
    <w:rsid w:val="00341A9E"/>
    <w:rsid w:val="003569ED"/>
    <w:rsid w:val="0036760E"/>
    <w:rsid w:val="0039714D"/>
    <w:rsid w:val="003B5ABE"/>
    <w:rsid w:val="003B7142"/>
    <w:rsid w:val="003B7C49"/>
    <w:rsid w:val="003C25B6"/>
    <w:rsid w:val="003C54F7"/>
    <w:rsid w:val="003C65CA"/>
    <w:rsid w:val="003D0861"/>
    <w:rsid w:val="003E259A"/>
    <w:rsid w:val="004050B9"/>
    <w:rsid w:val="00407AF3"/>
    <w:rsid w:val="004274F7"/>
    <w:rsid w:val="00427C4C"/>
    <w:rsid w:val="004322C0"/>
    <w:rsid w:val="004846A2"/>
    <w:rsid w:val="004A069B"/>
    <w:rsid w:val="004C2370"/>
    <w:rsid w:val="004C40EE"/>
    <w:rsid w:val="004F2A6D"/>
    <w:rsid w:val="004F7AB5"/>
    <w:rsid w:val="005044C9"/>
    <w:rsid w:val="005074E9"/>
    <w:rsid w:val="00520AA1"/>
    <w:rsid w:val="0053275F"/>
    <w:rsid w:val="00534D74"/>
    <w:rsid w:val="00550E48"/>
    <w:rsid w:val="00571DE1"/>
    <w:rsid w:val="00595322"/>
    <w:rsid w:val="005A2499"/>
    <w:rsid w:val="005B62D7"/>
    <w:rsid w:val="005C5006"/>
    <w:rsid w:val="005D59C8"/>
    <w:rsid w:val="00600B60"/>
    <w:rsid w:val="00603ABC"/>
    <w:rsid w:val="00606395"/>
    <w:rsid w:val="006066D7"/>
    <w:rsid w:val="00610A9C"/>
    <w:rsid w:val="00611275"/>
    <w:rsid w:val="00612F70"/>
    <w:rsid w:val="00625609"/>
    <w:rsid w:val="00651C22"/>
    <w:rsid w:val="00655475"/>
    <w:rsid w:val="0066461E"/>
    <w:rsid w:val="00676458"/>
    <w:rsid w:val="00676821"/>
    <w:rsid w:val="00694C02"/>
    <w:rsid w:val="006C1291"/>
    <w:rsid w:val="006C6480"/>
    <w:rsid w:val="006D0CBC"/>
    <w:rsid w:val="006D53BE"/>
    <w:rsid w:val="006E6921"/>
    <w:rsid w:val="007259EE"/>
    <w:rsid w:val="0072731A"/>
    <w:rsid w:val="007404DB"/>
    <w:rsid w:val="00741A1B"/>
    <w:rsid w:val="00742B65"/>
    <w:rsid w:val="00743F93"/>
    <w:rsid w:val="00787E00"/>
    <w:rsid w:val="007D1334"/>
    <w:rsid w:val="007D18EF"/>
    <w:rsid w:val="007F3D28"/>
    <w:rsid w:val="008021B7"/>
    <w:rsid w:val="00813F6D"/>
    <w:rsid w:val="0082416F"/>
    <w:rsid w:val="00830B25"/>
    <w:rsid w:val="008371A2"/>
    <w:rsid w:val="00841E25"/>
    <w:rsid w:val="00857892"/>
    <w:rsid w:val="0086153F"/>
    <w:rsid w:val="00880AD9"/>
    <w:rsid w:val="008813F3"/>
    <w:rsid w:val="00884E31"/>
    <w:rsid w:val="00891BBE"/>
    <w:rsid w:val="008A5ED9"/>
    <w:rsid w:val="008B0F71"/>
    <w:rsid w:val="008B4CFB"/>
    <w:rsid w:val="008F3AAE"/>
    <w:rsid w:val="008F4CCB"/>
    <w:rsid w:val="00932DF6"/>
    <w:rsid w:val="00942487"/>
    <w:rsid w:val="0095122E"/>
    <w:rsid w:val="0096395D"/>
    <w:rsid w:val="00975716"/>
    <w:rsid w:val="00997E75"/>
    <w:rsid w:val="009A2A81"/>
    <w:rsid w:val="009C0960"/>
    <w:rsid w:val="009D46E4"/>
    <w:rsid w:val="00A00849"/>
    <w:rsid w:val="00A02CE2"/>
    <w:rsid w:val="00A35890"/>
    <w:rsid w:val="00A41DEF"/>
    <w:rsid w:val="00AD0B43"/>
    <w:rsid w:val="00AF795F"/>
    <w:rsid w:val="00B33867"/>
    <w:rsid w:val="00B45527"/>
    <w:rsid w:val="00B81C52"/>
    <w:rsid w:val="00B84B17"/>
    <w:rsid w:val="00BA1145"/>
    <w:rsid w:val="00BA2002"/>
    <w:rsid w:val="00BC0587"/>
    <w:rsid w:val="00BC3280"/>
    <w:rsid w:val="00BC3486"/>
    <w:rsid w:val="00BD016A"/>
    <w:rsid w:val="00BD3CE6"/>
    <w:rsid w:val="00BE098A"/>
    <w:rsid w:val="00C26E96"/>
    <w:rsid w:val="00C5071D"/>
    <w:rsid w:val="00C52B03"/>
    <w:rsid w:val="00C56E24"/>
    <w:rsid w:val="00D055BC"/>
    <w:rsid w:val="00D074C2"/>
    <w:rsid w:val="00D24CC8"/>
    <w:rsid w:val="00D27E21"/>
    <w:rsid w:val="00D353F9"/>
    <w:rsid w:val="00D425CB"/>
    <w:rsid w:val="00D47DA4"/>
    <w:rsid w:val="00D51846"/>
    <w:rsid w:val="00D567C0"/>
    <w:rsid w:val="00D70A0D"/>
    <w:rsid w:val="00D7136F"/>
    <w:rsid w:val="00DB0864"/>
    <w:rsid w:val="00DC1C73"/>
    <w:rsid w:val="00DD4629"/>
    <w:rsid w:val="00DD78C2"/>
    <w:rsid w:val="00E175AF"/>
    <w:rsid w:val="00E23CCF"/>
    <w:rsid w:val="00E45B17"/>
    <w:rsid w:val="00E84A39"/>
    <w:rsid w:val="00EA4BDE"/>
    <w:rsid w:val="00EA72AD"/>
    <w:rsid w:val="00F00393"/>
    <w:rsid w:val="00F02E61"/>
    <w:rsid w:val="00F0495F"/>
    <w:rsid w:val="00F162A2"/>
    <w:rsid w:val="00F41A4B"/>
    <w:rsid w:val="00FA1243"/>
    <w:rsid w:val="00FA32EC"/>
    <w:rsid w:val="00FA450D"/>
    <w:rsid w:val="00FE05E8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751C"/>
  <w15:docId w15:val="{1634909A-25F5-48E0-B13C-14F805A2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93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9C8"/>
  </w:style>
  <w:style w:type="paragraph" w:styleId="Footer">
    <w:name w:val="footer"/>
    <w:basedOn w:val="Normal"/>
    <w:link w:val="FooterChar"/>
    <w:uiPriority w:val="99"/>
    <w:unhideWhenUsed/>
    <w:rsid w:val="005D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9C8"/>
  </w:style>
  <w:style w:type="character" w:styleId="CommentReference">
    <w:name w:val="annotation reference"/>
    <w:basedOn w:val="DefaultParagraphFont"/>
    <w:uiPriority w:val="99"/>
    <w:semiHidden/>
    <w:unhideWhenUsed/>
    <w:rsid w:val="008B0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F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5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84785DB2</Template>
  <TotalTime>71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F.A.R. (VERLOS)</dc:creator>
  <cp:lastModifiedBy>Sheila Maria Pieternella Everwijn</cp:lastModifiedBy>
  <cp:revision>5</cp:revision>
  <cp:lastPrinted>2015-03-23T09:09:00Z</cp:lastPrinted>
  <dcterms:created xsi:type="dcterms:W3CDTF">2020-04-18T12:14:00Z</dcterms:created>
  <dcterms:modified xsi:type="dcterms:W3CDTF">2020-04-20T14:05:00Z</dcterms:modified>
</cp:coreProperties>
</file>