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B1" w:rsidRDefault="00A87EB1">
      <w:pPr>
        <w:rPr>
          <w:b/>
          <w:bCs/>
        </w:rPr>
      </w:pPr>
      <w:bookmarkStart w:id="0" w:name="_GoBack"/>
      <w:bookmarkEnd w:id="0"/>
      <w:r w:rsidRPr="006D3035">
        <w:rPr>
          <w:b/>
          <w:bCs/>
        </w:rPr>
        <w:t xml:space="preserve">Appendix 2 – </w:t>
      </w:r>
      <w:r w:rsidR="00AD2A6C">
        <w:rPr>
          <w:b/>
          <w:bCs/>
        </w:rPr>
        <w:t>E</w:t>
      </w:r>
      <w:r w:rsidRPr="006D3035">
        <w:rPr>
          <w:b/>
          <w:bCs/>
        </w:rPr>
        <w:t>xcluded studies at full text</w:t>
      </w:r>
    </w:p>
    <w:p w:rsidR="0060119C" w:rsidRDefault="0060119C">
      <w:pPr>
        <w:rPr>
          <w:b/>
          <w:bCs/>
        </w:rPr>
      </w:pP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Lyon R,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Gowens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Egan G, Andrews P, Clegg G. 03 Back to basics--ECG impedance analysis for CPR quality control and feedback after out-of-hospital cardiac arrest: a pilot study. Emergency Medicine Journal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2011;28:237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–8. </w:t>
      </w:r>
      <w:hyperlink r:id="rId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https://doi.org/10.1136/emj.2010.108597.3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Clarke S, Lyon RM, Milligan DJ, Clegg GR. 013 Resuscitation feedback and targeted education improves quality of pre-hospital resuscitation in Scotland. Emergency Medicine Journal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28:A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6–A6. </w:t>
      </w:r>
      <w:hyperlink r:id="rId5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https://doi.org/10.1136/emermed-2011-200617.13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Lyon R,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Gowens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Egan G, Andrews P, Clegg G. 016 Back to basics--ECG impedance analysis for CPR quality control and feedback after out-of-hospital cardiac arrest: a pilot study. Emergency Medicine Journal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28:e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1–e1. </w:t>
      </w:r>
      <w:hyperlink r:id="rId6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https://doi.org/10.1136/emj.2010.108605.16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Lyon R,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Gowens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Egan G, Andrews P, Clegg G. 016 Back to basics--ECG impedance analysis for CPR quality control and feedback after out-of-hospital cardiac arrest: a pilot study. Emergency Medicine Journal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28:e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1–e1. </w:t>
      </w:r>
      <w:hyperlink r:id="rId7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https://doi.org/10.1136/emj.2010.108605.16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[5]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Bibbens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Bernardo E, Delaney H, Matos R. 262: IMPROVING COMPRESSION QUALITY AT A SINGLE INSTITUTION THROUGH REAL-TIME CPR FEEDBACK. Critical Care Medicine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2016;44:142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 </w:t>
      </w:r>
      <w:hyperlink r:id="rId8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https://doi.org/10.1097/01.ccm.0000508942.49804.5b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[6]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Brinkrolf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Lukas R, Harding U,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Thies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Gerss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Van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Aken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et al. A better understanding of ambulance personnel’s attitude towards real-time resuscitation feedback. International Journal for Quality in Health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2018;30:110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–7. </w:t>
      </w:r>
      <w:hyperlink r:id="rId9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https://doi.org/10.1093/intqhc/mzx189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[7]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Freese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Menegus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Mark,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Slesinger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Todd, Silverman Robert, Keller Norma,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Dillworth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Judy, et al. Abstract 72: Addition of Real-Time CPR Feedback Improves Immediate Outcomes for Out-of-Hospital Cardiac Arrest. Circulation 2014;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130:A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72–A72. </w:t>
      </w:r>
      <w:hyperlink r:id="rId10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https://doi.org/10.1161/circ.130.suppl_2.72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[8]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Bobrow Bentley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Spaite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Daniel W, Stolz Uwe, Panchal Ashish R, Vadeboncoeur Tyler F, Silver Annemarie, et al. Abstract 208: Achieving the 2010 AHA Guideline Metrics for CPR Quality Is Associated with Improved Survival from Out-of-Hospital Cardiac Arrest. Circulation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124:A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208–A208. </w:t>
      </w:r>
      <w:hyperlink r:id="rId11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https://doi.org/10.1161/circ.124.suppl_21.A208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[9]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Vadeboncoeur Tyler, Silver Annemarie, Murphy Ryan Anne, Moon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Sungwoo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, Tobin John, Venuti Mark, et al. Abstract 306: Use of Real-Time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Audiovisual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CPR Feedback is Associated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With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Improved CPR Quality During Patient Transfer From the Scene to the Ambulance in Out-of-Hospital Cardiac Arrest. Circulation 2013;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128:A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306–A306. </w:t>
      </w:r>
      <w:hyperlink r:id="rId12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https://doi.org/10.1161/circ.128.suppl_22.A306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[10]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Kirkbright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Finn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Tohira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Bremner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Jacobs I,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Celenza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A.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Audiovisual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feedback device use by health care professionals during CPR: A systematic review and meta-analysis of randomised and non-randomised trials.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2014;85:460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–71. </w:t>
      </w:r>
      <w:hyperlink r:id="rId13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https://doi.org/10.1016/j.resuscitation.2013.12.012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lastRenderedPageBreak/>
        <w:t>[11]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Lyon R. Back to basics – ECG impedance analysis for CPR quality control and feedback after out-of-hospital cardiac arrest: a pilot study. Emergency Medicine Journal 2010;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27:A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6–7. </w:t>
      </w:r>
      <w:hyperlink r:id="rId1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https://doi.org/10.1136/emj.2010.103150.17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Heradstveit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Sunde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G-A,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Heltne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J. Capnography during CPR- Is it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useful ?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Resuscitation 2012;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83:e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9. </w:t>
      </w:r>
      <w:hyperlink r:id="rId15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https://doi.org/10.1016/j.resuscitation.2012.08.023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Burrell L, Rice A. Cerebral oximetry monitoring in OHCA. Journal of Paramedic Practice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2018;10:517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–23. </w:t>
      </w:r>
      <w:hyperlink r:id="rId16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https://doi.org/10.12968/jpar.2018.10.12.517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[14]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Lukas R-P,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Gräsner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JT, Seewald S,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Lefering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R, Weber TP, Van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Aken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et al. Chest compression quality management and return of spontaneous circulation: A matched-pair registry study.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2012;83:1212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–8. </w:t>
      </w:r>
      <w:hyperlink r:id="rId17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https://doi.org/10.1016/j.resuscitation.2012.03.027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[15]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Correction. Annals of Emergency Medicine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2015;65:344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 </w:t>
      </w:r>
      <w:hyperlink r:id="rId18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https://doi.org/10.1016/j.annemergmed.2015.01.019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[16]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Kizyma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V,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Karas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Ganyovics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Vitkova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M. CPR quality control – The road from training to real performance analysis. Resuscitation 2015;96:68. </w:t>
      </w:r>
      <w:hyperlink r:id="rId19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https://doi.org/10.1016/j.resuscitation.2015.09.162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[17]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Abella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BS. CPR-SF Technology Provides Instant Feedback. JEMS 2011. </w:t>
      </w:r>
      <w:hyperlink r:id="rId20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https://www.jems.com/2011/02/28/cpr-sf-technology-provides-ins/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(accessed March 9, 2020).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[18]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Couper K, Perkins GD. Debriefing after resuscitation: Current Opinion in Critical Care 2013;19:188–94. </w:t>
      </w:r>
      <w:hyperlink r:id="rId21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https://doi.org/10.1097/MCC.0b013e32835f58aa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[19]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Weston BW,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Jasti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Lerner EB, Szabo 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Aufderheide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TP, Colella MR. Does an individualized feedback mechanism improve quality of out-of-hospital CPR?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2017;113:96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–100. </w:t>
      </w:r>
      <w:hyperlink r:id="rId22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https://doi.org/10.1016/j.resuscitation.2017.02.004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[20]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Hayakawa M. Effect of feedback by NIRO-CCR1 during cardiopulmonary resuscitation for patients with out-of-hospital cardiac arrest 2020. </w:t>
      </w:r>
      <w:hyperlink r:id="rId23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https://upload.umin.ac.jp/cgi-open-bin/ctr_e/ctr_view.cgi?recptno=R000020975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(accessed March 23, 2020).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Chandra S. Effect of real-time automated and delayed summative feedback on CPR quality in adult out-of-hospital cardiac arrest: A prospective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multicenter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controlled clinical trial. Academic Emergency Medicine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18:S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4–249. </w:t>
      </w:r>
      <w:hyperlink r:id="rId2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https://doi.org/10.1111/j.1553-2712.2011.01073.x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Melina MR,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Handbury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JD, Janney J. Evaluation of ventilatory rates and the benefits of an immediate feedback device with and without supplementary instruction on out-of-hospital resuscitations. Academic Emergency Medicine 2012;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19:S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4–393. </w:t>
      </w:r>
      <w:hyperlink r:id="rId25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https://doi.org/10.1111/j.1553-2712.2012.01332.x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Rupp D,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Ploeger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Jerrentrup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Wranze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Kunkel R, Kill C. Five years after implementation: structured team-feedback can improve adherence to guidelines and rate of survival after cardiac arrest. Resuscitation 2019;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142:e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19. </w:t>
      </w:r>
      <w:hyperlink r:id="rId26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https://doi.org/10.1016/j.resuscitation.2019.06.052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lastRenderedPageBreak/>
        <w:t>[24]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Watford CA. High quality resuscitation bundles include real-time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audiovisual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CPR feedback. Resuscitation 2015;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87:e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1. </w:t>
      </w:r>
      <w:hyperlink r:id="rId27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https://doi.org/10.1016/j.resuscitation.2014.04.035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[25]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Nolan JP. High-quality cardiopulmonary resuscitation: Current Opinion in Critical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2014;20:227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–33. </w:t>
      </w:r>
      <w:hyperlink r:id="rId28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https://doi.org/10.1097/MCC.0000000000000083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[26]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Abella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BS. High-quality cardiopulmonary resuscitation: current and future directions. Current Opinion in Critical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2016;22:218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–24. </w:t>
      </w:r>
      <w:hyperlink r:id="rId29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https://doi.org/10.1097/MCC.0000000000000296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[27]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Leis C, Hernández R,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Paterna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PC, González V, Ochoa MJ, Torres E. How do you perform CPR? Q-CPR: A system for control CPR. Resuscitation 2010;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81:S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50. </w:t>
      </w:r>
      <w:hyperlink r:id="rId30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https://doi.org/10.1016/j.resuscitation.2010.09.210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[28]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Hopkins CL, Burk C, Moser S,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Meersman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Baldwin C,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Youngquist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ST. Implementation of Pit Crew Approach and Cardiopulmonary Resuscitation Metrics for Out‐of‐Hospital Cardiac Arrest Improves Patient Survival and Neurological Outcome. JAHA 2016;5. </w:t>
      </w:r>
      <w:hyperlink r:id="rId31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https://doi.org/10.1161/JAHA.115.002892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[29]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Hubner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Lobmeyr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Wallmüller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Poppe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Datler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Keferböck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et al. Improvements in the quality of advanced life support and patient outcome after implementation of a standardized real-life post-resuscitation feedback system.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2017;120:38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–44. </w:t>
      </w:r>
      <w:hyperlink r:id="rId32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https://doi.org/10.1016/j.resuscitation.2017.08.235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[30]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Cheng A, Brown LL, Duff JP, Davidson J, Overly F,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Tofil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NM, et al. Improving Cardiopulmonary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With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 CPR Feedback Device and Refresher Simulations (CPR CARES Study): A Randomized Clinical Trial. JAMA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Pediatr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2015;169:137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 </w:t>
      </w:r>
      <w:hyperlink r:id="rId33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https://doi.org/10.1001/jamapediatrics.2014.2616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Nassar BS, Kerber R. Improving CPR Performance. Chest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2017;152:1061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–9. </w:t>
      </w:r>
      <w:hyperlink r:id="rId3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https://doi.org/10.1016/j.chest.2017.04.178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Koyama Y, Inoue Y,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Hisago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Marushima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Hagiya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K, Yamasaki Y, et al. Improving the neurological prognosis following OHCA using real-time evaluation of cerebral tissue oxygenation. The American Journal of Emergency Medicine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2018;36:344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.e5-344.e7. </w:t>
      </w:r>
      <w:hyperlink r:id="rId35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https://doi.org/10.1016/j.ajem.2017.11.029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Lyon RM, Clarke S,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Gowens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Egan G, Clegg GR. Improving the quality of pre-hospital resuscitation through defibrillator feedback reporting and CPR training. Resuscitation 2010;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81:S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10. </w:t>
      </w:r>
      <w:hyperlink r:id="rId36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https://doi.org/10.1016/j.resuscitation.2010.09.054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[34]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Cortegiani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Russotto V,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Baldi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Contri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Raineri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Giarratano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A. Is it time to consider visual feedback systems the gold standard for chest compression skill acquisition?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Crit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2017;21:166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 </w:t>
      </w:r>
      <w:hyperlink r:id="rId37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https://doi.org/10.1186/s13054-017-1740-z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[35]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Salvucci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Jr. A. Literature Review: Real-time CPR Feedback and Return of Spontaneous Circulation. EMS World n.d. </w:t>
      </w:r>
      <w:hyperlink r:id="rId38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https://www.emsworld.com/article/10243975/literature-review-real-time-cpr-feedback-and-return-spontaneous-circulation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(accessed March 9, 2020).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lastRenderedPageBreak/>
        <w:t>[36]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Wik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L. Near-infrared spectroscopy during cardiopulmonary resuscitation and after restoration of spontaneous circulation: a valid technology? Current Opinion in Critical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2016;22:191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–8. </w:t>
      </w:r>
      <w:hyperlink r:id="rId39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https://doi.org/10.1097/MCC.0000000000000301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[37]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Lakomek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F,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Brinkrolf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Lukas R-P,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Mennewisch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Steinsiek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N,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Gutendorf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et al. Osnabrück Study on Cardiac Arrest: A prospective trial on the introduction of a real-time feedback system in out-of-hospital resuscitation. Resuscitation 2017;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118:e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52–3. </w:t>
      </w:r>
      <w:hyperlink r:id="rId40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https://doi.org/10.1016/j.resuscitation.2017.08.130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[38]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Sulzgruber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Hubner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Lobmeyr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Wallmueller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Poppe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Datler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et al. P3021A standardized real-life post-resuscitation feedback-system improves the quality of advanced life support in out-of-hospital cardiac arrest. Eur Heart J 2017;38. </w:t>
      </w:r>
      <w:hyperlink r:id="rId41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https://doi.org/10.1093/eurheartj/ehx504.P3021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[39]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Cheng A, Overly F, Kessler D, Nadkarni VM, Lin Y, Doan Q, et al. Perception of CPR quality: Influence of CPR feedback, Just-in-Time CPR training and provider role.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2015;87:44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–50. </w:t>
      </w:r>
      <w:hyperlink r:id="rId42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https://doi.org/10.1016/j.resuscitation.2014.11.015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[40]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Gao M, Liu C,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Gehman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Rea T, Blackwood JE,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Studnek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JR, et al. Quality Analysis of Cardiopulmonary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From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Two Emergency Medical Service Systems Using a Feedback Device. Circulation 2019;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140:A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296–A296.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Magnet IAM,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Nürnberger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AN,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Warenits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Girsa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Glück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Maszar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et al. Quality analysis of cardiopulmonary resuscitation of the ambulance service of Vienna: A preliminary analysis. Resuscitation 2010;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81:S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12–3. </w:t>
      </w:r>
      <w:hyperlink r:id="rId43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https://doi.org/10.1016/j.resuscitation.2010.09.062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Bobrow B, Marion L,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Heightman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A. Quality makes the difference: closing the CPR knowledge-practice gap.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FireRescue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Magazine n.d.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Alonso D,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Vaqueriza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I,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Corcuera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C, Vicente F,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Aramendi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Irusta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U, et al. Quality of chest compressions for EMT CPR in the Basque Autonomous Community.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2015;96:71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–2. </w:t>
      </w:r>
      <w:hyperlink r:id="rId4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https://doi.org/10.1016/j.resuscitation.2015.09.169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[44]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Gruber J, Stumpf D,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Zapletal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Neuhold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Fischer H. Real-time feedback systems in CPR. Trends in Anaesthesia and Critical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2012;2:287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–94. </w:t>
      </w:r>
      <w:hyperlink r:id="rId45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https://doi.org/10.1016/j.tacc.2012.09.004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[45]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Weston BW,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Jasti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Mena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Unteriner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Tillotson K, Yin Z, et al. Self-Assessment Feedback Form Improves Quality of Out-of-Hospital CPR. Prehospital Emergency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2019;23:66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–73. </w:t>
      </w:r>
      <w:hyperlink r:id="rId46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https://doi.org/10.1080/10903127.2018.1477887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[46]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Weston BW,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Jasti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Mena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Unteriner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Tillotson K, Yin Z, et al. Self-Assessment Feedback Form Improves Quality of Out-of-Hospital CPR. Prehospital Emergency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2019;23:66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–73. </w:t>
      </w:r>
      <w:hyperlink r:id="rId47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https://doi.org/10.1080/10903127.2018.1477887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[47]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Kill C, Rupp D, Hartmann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Wranze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E, Müller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Plöger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B.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Strukturiertes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Team-Feedback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bei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der Reanimation: Ein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Verfahren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zur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Verbesserung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der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Versorgungsqualität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beim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präklinischen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lastRenderedPageBreak/>
        <w:t>Kreislaufstillstand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.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Notfall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Rettungsmed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2016;19:86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–91. </w:t>
      </w:r>
      <w:hyperlink r:id="rId48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https://doi.org/10.1007/s10049-015-0115-8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[48]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Bohn A, Weber TP,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Wecker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S, Harding U,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Osada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N, Van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Aken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et al. The addition of voice prompts to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audiovisual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feedback and debriefing does not modify CPR quality or outcomes in out of hospital cardiac arrest – A prospective, randomized trial. Resuscitation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2011;82:257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–62. </w:t>
      </w:r>
      <w:hyperlink r:id="rId49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https://doi.org/10.1016/j.resuscitation.2010.11.006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[49]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Taku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I. The Effectiveness of high performance CPR for out-of-hospital cardiac arrests: a randomized control trial n.d. </w:t>
      </w:r>
      <w:hyperlink r:id="rId50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https://upload.umin.ac.jp/cgi-open-bin/ctr_e/ctr_view.cgi?recptno=R000024721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(accessed March 23, 2020).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[50]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Spaite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DW, Crawford S, Venuti M, Mason T,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Walka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P, Smith G, et al. The impact of scenario-based training and real-time technology feedback on CPR quality and survival from out-of-hospital cardiac arrest. Academic Emergency Medicine 2011;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18:S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4–249. </w:t>
      </w:r>
      <w:hyperlink r:id="rId51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https://doi.org/10.1111/j.1553-2712.2011.01073.x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[51]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Abella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BS. The importance of cardiopulmonary resuscitation quality: Current Opinion in Critical Care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2013;19:175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–80. </w:t>
      </w:r>
      <w:hyperlink r:id="rId52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https://doi.org/10.1097/MCC.0b013e328360ac76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[52]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Hellevuo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Sainio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Tenhunen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Hoppu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S. The quality of manual chest compressions during transport – Can we handle mattress effect with feedback devices. Resuscitation 2012;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83:e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47. </w:t>
      </w:r>
      <w:hyperlink r:id="rId53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https://doi.org/10.1016/j.resuscitation.2012.08.119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60119C" w:rsidRDefault="0060119C" w:rsidP="006011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[53]</w:t>
      </w:r>
    </w:p>
    <w:p w:rsidR="0060119C" w:rsidRPr="0060119C" w:rsidRDefault="0060119C" w:rsidP="0060119C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Hellevuo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Sainio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M,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Huhtala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H,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Olkkola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KT,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Tenhunen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J,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Hoppu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S. The quality of manual chest compressions during transport – effect of the mattress assessed by dual accelerometers. Acta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Anaesthesiologica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spell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Scandinavica</w:t>
      </w:r>
      <w:proofErr w:type="spell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 </w:t>
      </w:r>
      <w:proofErr w:type="gramStart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2014;58:323</w:t>
      </w:r>
      <w:proofErr w:type="gramEnd"/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 xml:space="preserve">–8. </w:t>
      </w:r>
      <w:hyperlink r:id="rId54" w:history="1">
        <w:r w:rsidRPr="0060119C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en-GB"/>
          </w:rPr>
          <w:t>https://doi.org/10.1111/aas.12245</w:t>
        </w:r>
      </w:hyperlink>
      <w:r w:rsidRPr="0060119C">
        <w:rPr>
          <w:rFonts w:ascii="Times New Roman" w:eastAsia="Times New Roman" w:hAnsi="Times New Roman" w:cs="Times New Roman"/>
          <w:color w:val="auto"/>
          <w:szCs w:val="24"/>
          <w:lang w:eastAsia="en-GB"/>
        </w:rPr>
        <w:t>.</w:t>
      </w:r>
    </w:p>
    <w:p w:rsidR="0060119C" w:rsidRPr="00241ED4" w:rsidRDefault="0060119C">
      <w:pPr>
        <w:rPr>
          <w:b/>
          <w:bCs/>
        </w:rPr>
      </w:pPr>
    </w:p>
    <w:p w:rsidR="00241ED4" w:rsidRPr="00241ED4" w:rsidRDefault="00241ED4" w:rsidP="00241E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sectPr w:rsidR="00241ED4" w:rsidRPr="00241E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1"/>
    <w:rsid w:val="00092C16"/>
    <w:rsid w:val="00241ED4"/>
    <w:rsid w:val="00537E26"/>
    <w:rsid w:val="0060119C"/>
    <w:rsid w:val="009D46BA"/>
    <w:rsid w:val="00A87EB1"/>
    <w:rsid w:val="00A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E0D8-6060-498A-9BD9-7A4D80B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B1"/>
    <w:rPr>
      <w:rFonts w:ascii="Arial" w:hAnsi="Arial"/>
      <w:color w:val="000000" w:themeColor="text1"/>
      <w:sz w:val="24"/>
      <w:lang w:val="en-GB"/>
    </w:rPr>
  </w:style>
  <w:style w:type="paragraph" w:styleId="Overskrift1">
    <w:name w:val="heading 1"/>
    <w:aliases w:val="Kapiteloverskrift"/>
    <w:basedOn w:val="Normal"/>
    <w:next w:val="Normal"/>
    <w:link w:val="Overskrift1Tegn"/>
    <w:uiPriority w:val="9"/>
    <w:qFormat/>
    <w:rsid w:val="00092C16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aliases w:val="Afsnit"/>
    <w:basedOn w:val="Normal"/>
    <w:next w:val="Normal"/>
    <w:link w:val="Overskrift2Tegn"/>
    <w:uiPriority w:val="9"/>
    <w:unhideWhenUsed/>
    <w:qFormat/>
    <w:rsid w:val="00092C1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aliases w:val="3. Underafsnit"/>
    <w:basedOn w:val="Normal"/>
    <w:next w:val="Normal"/>
    <w:link w:val="Overskrift3Tegn"/>
    <w:uiPriority w:val="9"/>
    <w:semiHidden/>
    <w:unhideWhenUsed/>
    <w:qFormat/>
    <w:rsid w:val="00092C16"/>
    <w:pPr>
      <w:keepNext/>
      <w:keepLines/>
      <w:spacing w:before="40" w:after="0"/>
      <w:outlineLvl w:val="2"/>
    </w:pPr>
    <w:rPr>
      <w:rFonts w:ascii="Tahoma" w:eastAsiaTheme="majorEastAsia" w:hAnsi="Tahoma" w:cstheme="majorBidi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Kapiteloverskrift Tegn"/>
    <w:basedOn w:val="Standardskrifttypeiafsnit"/>
    <w:link w:val="Overskrift1"/>
    <w:uiPriority w:val="9"/>
    <w:rsid w:val="00092C16"/>
    <w:rPr>
      <w:rFonts w:ascii="Arial" w:eastAsiaTheme="majorEastAsia" w:hAnsi="Arial" w:cstheme="majorBidi"/>
      <w:b/>
      <w:color w:val="000000" w:themeColor="text1"/>
      <w:sz w:val="32"/>
      <w:szCs w:val="32"/>
      <w:lang w:val="en-GB"/>
    </w:rPr>
  </w:style>
  <w:style w:type="character" w:customStyle="1" w:styleId="Overskrift2Tegn">
    <w:name w:val="Overskrift 2 Tegn"/>
    <w:aliases w:val="Afsnit Tegn"/>
    <w:basedOn w:val="Standardskrifttypeiafsnit"/>
    <w:link w:val="Overskrift2"/>
    <w:uiPriority w:val="9"/>
    <w:rsid w:val="00092C16"/>
    <w:rPr>
      <w:rFonts w:ascii="Arial" w:eastAsiaTheme="majorEastAsia" w:hAnsi="Arial" w:cstheme="majorBidi"/>
      <w:b/>
      <w:sz w:val="24"/>
      <w:szCs w:val="26"/>
      <w:lang w:val="en-GB"/>
    </w:rPr>
  </w:style>
  <w:style w:type="character" w:customStyle="1" w:styleId="Overskrift3Tegn">
    <w:name w:val="Overskrift 3 Tegn"/>
    <w:aliases w:val="3. Underafsnit Tegn"/>
    <w:basedOn w:val="Standardskrifttypeiafsnit"/>
    <w:link w:val="Overskrift3"/>
    <w:uiPriority w:val="9"/>
    <w:semiHidden/>
    <w:rsid w:val="00092C16"/>
    <w:rPr>
      <w:rFonts w:ascii="Tahoma" w:eastAsiaTheme="majorEastAsia" w:hAnsi="Tahoma" w:cstheme="majorBidi"/>
      <w:color w:val="000000" w:themeColor="text1"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2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5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78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3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86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5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5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87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040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5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0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81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63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94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3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25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8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96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6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6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6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20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5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4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2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75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54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25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5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65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60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5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0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71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3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9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0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5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0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1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3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59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1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8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4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8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6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9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0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3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4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1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78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32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3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8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4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2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33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7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42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63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3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69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4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5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5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89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8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7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7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28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02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23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3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7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84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58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9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103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1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48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1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2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5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6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65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4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1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9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3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75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6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5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31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67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1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72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3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1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9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2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7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16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9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48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6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00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9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69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1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3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28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49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35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101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9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45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12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56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9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52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4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1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0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82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3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2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9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4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3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72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7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0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3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8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9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29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8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6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5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3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8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11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4940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11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resuscitation.2013.12.012" TargetMode="External"/><Relationship Id="rId18" Type="http://schemas.openxmlformats.org/officeDocument/2006/relationships/hyperlink" Target="https://doi.org/10.1016/j.annemergmed.2015.01.019" TargetMode="External"/><Relationship Id="rId26" Type="http://schemas.openxmlformats.org/officeDocument/2006/relationships/hyperlink" Target="https://doi.org/10.1016/j.resuscitation.2019.06.052" TargetMode="External"/><Relationship Id="rId39" Type="http://schemas.openxmlformats.org/officeDocument/2006/relationships/hyperlink" Target="https://doi.org/10.1097/MCC.0000000000000301" TargetMode="External"/><Relationship Id="rId21" Type="http://schemas.openxmlformats.org/officeDocument/2006/relationships/hyperlink" Target="https://doi.org/10.1097/MCC.0b013e32835f58aa" TargetMode="External"/><Relationship Id="rId34" Type="http://schemas.openxmlformats.org/officeDocument/2006/relationships/hyperlink" Target="https://doi.org/10.1016/j.chest.2017.04.178" TargetMode="External"/><Relationship Id="rId42" Type="http://schemas.openxmlformats.org/officeDocument/2006/relationships/hyperlink" Target="https://doi.org/10.1016/j.resuscitation.2014.11.015" TargetMode="External"/><Relationship Id="rId47" Type="http://schemas.openxmlformats.org/officeDocument/2006/relationships/hyperlink" Target="https://doi.org/10.1080/10903127.2018.1477887" TargetMode="External"/><Relationship Id="rId50" Type="http://schemas.openxmlformats.org/officeDocument/2006/relationships/hyperlink" Target="https://upload.umin.ac.jp/cgi-open-bin/ctr_e/ctr_view.cgi?recptno=R00002472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doi.org/10.1136/emj.2010.108605.16" TargetMode="External"/><Relationship Id="rId12" Type="http://schemas.openxmlformats.org/officeDocument/2006/relationships/hyperlink" Target="https://doi.org/10.1161/circ.128.suppl_22.A306" TargetMode="External"/><Relationship Id="rId17" Type="http://schemas.openxmlformats.org/officeDocument/2006/relationships/hyperlink" Target="https://doi.org/10.1016/j.resuscitation.2012.03.027" TargetMode="External"/><Relationship Id="rId25" Type="http://schemas.openxmlformats.org/officeDocument/2006/relationships/hyperlink" Target="https://doi.org/10.1111/j.1553-2712.2012.01332.x" TargetMode="External"/><Relationship Id="rId33" Type="http://schemas.openxmlformats.org/officeDocument/2006/relationships/hyperlink" Target="https://doi.org/10.1001/jamapediatrics.2014.2616" TargetMode="External"/><Relationship Id="rId38" Type="http://schemas.openxmlformats.org/officeDocument/2006/relationships/hyperlink" Target="https://www.emsworld.com/article/10243975/literature-review-real-time-cpr-feedback-and-return-spontaneous-circulation" TargetMode="External"/><Relationship Id="rId46" Type="http://schemas.openxmlformats.org/officeDocument/2006/relationships/hyperlink" Target="https://doi.org/10.1080/10903127.2018.1477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2968/jpar.2018.10.12.517" TargetMode="External"/><Relationship Id="rId20" Type="http://schemas.openxmlformats.org/officeDocument/2006/relationships/hyperlink" Target="https://www.jems.com/2011/02/28/cpr-sf-technology-provides-ins/" TargetMode="External"/><Relationship Id="rId29" Type="http://schemas.openxmlformats.org/officeDocument/2006/relationships/hyperlink" Target="https://doi.org/10.1097/MCC.0000000000000296" TargetMode="External"/><Relationship Id="rId41" Type="http://schemas.openxmlformats.org/officeDocument/2006/relationships/hyperlink" Target="https://doi.org/10.1093/eurheartj/ehx504.P3021" TargetMode="External"/><Relationship Id="rId54" Type="http://schemas.openxmlformats.org/officeDocument/2006/relationships/hyperlink" Target="https://doi.org/10.1111/aas.1224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36/emj.2010.108605.16" TargetMode="External"/><Relationship Id="rId11" Type="http://schemas.openxmlformats.org/officeDocument/2006/relationships/hyperlink" Target="https://doi.org/10.1161/circ.124.suppl_21.A208" TargetMode="External"/><Relationship Id="rId24" Type="http://schemas.openxmlformats.org/officeDocument/2006/relationships/hyperlink" Target="https://doi.org/10.1111/j.1553-2712.2011.01073.x" TargetMode="External"/><Relationship Id="rId32" Type="http://schemas.openxmlformats.org/officeDocument/2006/relationships/hyperlink" Target="https://doi.org/10.1016/j.resuscitation.2017.08.235" TargetMode="External"/><Relationship Id="rId37" Type="http://schemas.openxmlformats.org/officeDocument/2006/relationships/hyperlink" Target="https://doi.org/10.1186/s13054-017-1740-z" TargetMode="External"/><Relationship Id="rId40" Type="http://schemas.openxmlformats.org/officeDocument/2006/relationships/hyperlink" Target="https://doi.org/10.1016/j.resuscitation.2017.08.130" TargetMode="External"/><Relationship Id="rId45" Type="http://schemas.openxmlformats.org/officeDocument/2006/relationships/hyperlink" Target="https://doi.org/10.1016/j.tacc.2012.09.004" TargetMode="External"/><Relationship Id="rId53" Type="http://schemas.openxmlformats.org/officeDocument/2006/relationships/hyperlink" Target="https://doi.org/10.1016/j.resuscitation.2012.08.119" TargetMode="External"/><Relationship Id="rId5" Type="http://schemas.openxmlformats.org/officeDocument/2006/relationships/hyperlink" Target="https://doi.org/10.1136/emermed-2011-200617.13" TargetMode="External"/><Relationship Id="rId15" Type="http://schemas.openxmlformats.org/officeDocument/2006/relationships/hyperlink" Target="https://doi.org/10.1016/j.resuscitation.2012.08.023" TargetMode="External"/><Relationship Id="rId23" Type="http://schemas.openxmlformats.org/officeDocument/2006/relationships/hyperlink" Target="https://upload.umin.ac.jp/cgi-open-bin/ctr_e/ctr_view.cgi?recptno=R000020975" TargetMode="External"/><Relationship Id="rId28" Type="http://schemas.openxmlformats.org/officeDocument/2006/relationships/hyperlink" Target="https://doi.org/10.1097/MCC.0000000000000083" TargetMode="External"/><Relationship Id="rId36" Type="http://schemas.openxmlformats.org/officeDocument/2006/relationships/hyperlink" Target="https://doi.org/10.1016/j.resuscitation.2010.09.054" TargetMode="External"/><Relationship Id="rId49" Type="http://schemas.openxmlformats.org/officeDocument/2006/relationships/hyperlink" Target="https://doi.org/10.1016/j.resuscitation.2010.11.006" TargetMode="External"/><Relationship Id="rId10" Type="http://schemas.openxmlformats.org/officeDocument/2006/relationships/hyperlink" Target="https://doi.org/10.1161/circ.130.suppl_2.72" TargetMode="External"/><Relationship Id="rId19" Type="http://schemas.openxmlformats.org/officeDocument/2006/relationships/hyperlink" Target="https://doi.org/10.1016/j.resuscitation.2015.09.162" TargetMode="External"/><Relationship Id="rId31" Type="http://schemas.openxmlformats.org/officeDocument/2006/relationships/hyperlink" Target="https://doi.org/10.1161/JAHA.115.002892" TargetMode="External"/><Relationship Id="rId44" Type="http://schemas.openxmlformats.org/officeDocument/2006/relationships/hyperlink" Target="https://doi.org/10.1016/j.resuscitation.2015.09.169" TargetMode="External"/><Relationship Id="rId52" Type="http://schemas.openxmlformats.org/officeDocument/2006/relationships/hyperlink" Target="https://doi.org/10.1097/MCC.0b013e328360ac76" TargetMode="External"/><Relationship Id="rId4" Type="http://schemas.openxmlformats.org/officeDocument/2006/relationships/hyperlink" Target="https://doi.org/10.1136/emj.2010.108597.3" TargetMode="External"/><Relationship Id="rId9" Type="http://schemas.openxmlformats.org/officeDocument/2006/relationships/hyperlink" Target="https://doi.org/10.1093/intqhc/mzx189" TargetMode="External"/><Relationship Id="rId14" Type="http://schemas.openxmlformats.org/officeDocument/2006/relationships/hyperlink" Target="https://doi.org/10.1136/emj.2010.103150.17" TargetMode="External"/><Relationship Id="rId22" Type="http://schemas.openxmlformats.org/officeDocument/2006/relationships/hyperlink" Target="https://doi.org/10.1016/j.resuscitation.2017.02.004" TargetMode="External"/><Relationship Id="rId27" Type="http://schemas.openxmlformats.org/officeDocument/2006/relationships/hyperlink" Target="https://doi.org/10.1016/j.resuscitation.2014.04.035" TargetMode="External"/><Relationship Id="rId30" Type="http://schemas.openxmlformats.org/officeDocument/2006/relationships/hyperlink" Target="https://doi.org/10.1016/j.resuscitation.2010.09.210" TargetMode="External"/><Relationship Id="rId35" Type="http://schemas.openxmlformats.org/officeDocument/2006/relationships/hyperlink" Target="https://doi.org/10.1016/j.ajem.2017.11.029" TargetMode="External"/><Relationship Id="rId43" Type="http://schemas.openxmlformats.org/officeDocument/2006/relationships/hyperlink" Target="https://doi.org/10.1016/j.resuscitation.2010.09.062" TargetMode="External"/><Relationship Id="rId48" Type="http://schemas.openxmlformats.org/officeDocument/2006/relationships/hyperlink" Target="https://doi.org/10.1007/s10049-015-0115-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097/01.ccm.0000508942.49804.5b" TargetMode="External"/><Relationship Id="rId51" Type="http://schemas.openxmlformats.org/officeDocument/2006/relationships/hyperlink" Target="https://doi.org/10.1111/j.1553-2712.2011.01073.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2432</Words>
  <Characters>13866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Meyer Lyngby</dc:creator>
  <cp:keywords/>
  <dc:description/>
  <cp:lastModifiedBy>Rasmus Meyer Lyngby</cp:lastModifiedBy>
  <cp:revision>2</cp:revision>
  <dcterms:created xsi:type="dcterms:W3CDTF">2020-11-07T20:00:00Z</dcterms:created>
  <dcterms:modified xsi:type="dcterms:W3CDTF">2020-11-07T20:00:00Z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id="M4N6fFmJ"/&gt;&lt;style id="http://www.zotero.org/styles/resuscitation" hasBibliography="1" bibliographyStyleHasBeenSet="0"/&gt;&lt;prefs&gt;&lt;pref name="fieldType" value="Field"/&gt;&lt;pref name="automaticJournalAbb</vt:lpwstr>
  </property>
  <property fmtid="{D5CDD505-2E9C-101B-9397-08002B2CF9AE}" pid="3" name="ZOTERO_PREF_2">
    <vt:lpwstr>reviations" value="true"/&gt;&lt;/prefs&gt;&lt;/data&gt;</vt:lpwstr>
  </property>
</Properties>
</file>