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9D1C" w14:textId="7A48495F" w:rsidR="00FB3FE7" w:rsidRPr="006F458B" w:rsidRDefault="00FB3FE7" w:rsidP="00FB3FE7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Supplementary Table </w:t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Supplementary_Table \* ARABIC </w:instrText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6F458B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Overview of disease genes associated with dystonia and optic atrophy which are of interest in the differential diagnosis of </w:t>
      </w:r>
      <w:r w:rsidRPr="006F458B">
        <w:rPr>
          <w:rFonts w:ascii="Times New Roman" w:hAnsi="Times New Roman" w:cs="Times New Roman"/>
          <w:b/>
          <w:bCs/>
          <w:color w:val="auto"/>
          <w:sz w:val="22"/>
          <w:szCs w:val="22"/>
        </w:rPr>
        <w:t>NDUFA12</w:t>
      </w:r>
      <w:r w:rsidRPr="006F45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-associated mitochondrial disease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1"/>
        <w:gridCol w:w="693"/>
        <w:gridCol w:w="1870"/>
        <w:gridCol w:w="1162"/>
        <w:gridCol w:w="34"/>
        <w:gridCol w:w="1162"/>
        <w:gridCol w:w="9"/>
        <w:gridCol w:w="952"/>
        <w:gridCol w:w="1135"/>
        <w:gridCol w:w="9"/>
        <w:gridCol w:w="1035"/>
        <w:gridCol w:w="1425"/>
        <w:gridCol w:w="1310"/>
        <w:gridCol w:w="1289"/>
        <w:gridCol w:w="920"/>
        <w:gridCol w:w="1272"/>
      </w:tblGrid>
      <w:tr w:rsidR="00B03C48" w:rsidRPr="006F458B" w14:paraId="5DDE82D7" w14:textId="77777777" w:rsidTr="00D430AB">
        <w:trPr>
          <w:trHeight w:val="8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85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Gene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39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MOI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83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Dystonia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AA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Movement disorder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73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Pyramidal signs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5C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Ataxia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D9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Muscle/ nerve involvement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20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Seizures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0D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Cognitive impairment/delay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22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Type of ocular involvement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DB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Magnetic Resonance Imaging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5A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Hearing loss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82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findings</w:t>
            </w:r>
          </w:p>
        </w:tc>
      </w:tr>
      <w:tr w:rsidR="00B03C48" w:rsidRPr="006F458B" w14:paraId="54F1925C" w14:textId="77777777" w:rsidTr="00D430AB">
        <w:trPr>
          <w:trHeight w:val="11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0E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NDUFA12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06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94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Focal or generalized dystonia.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01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In some cases, extrapyramidal syndrome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C9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9D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E2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atrophy, uncommon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8C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EE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8D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Common optic atrophy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10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Hyperintensities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B8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B8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Scoliosis, facial dysmorphisms</w:t>
            </w:r>
          </w:p>
        </w:tc>
      </w:tr>
      <w:tr w:rsidR="00D430AB" w:rsidRPr="006F458B" w14:paraId="2E49C94F" w14:textId="77777777" w:rsidTr="00D430AB">
        <w:trPr>
          <w:trHeight w:val="1125"/>
        </w:trPr>
        <w:tc>
          <w:tcPr>
            <w:tcW w:w="153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1E5CD" w14:textId="77777777" w:rsidR="00D430AB" w:rsidRPr="006F458B" w:rsidRDefault="00D430AB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03C48" w:rsidRPr="006F458B" w14:paraId="615A4A47" w14:textId="77777777" w:rsidTr="00D430AB">
        <w:trPr>
          <w:trHeight w:val="31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37B" w14:textId="77777777" w:rsidR="00B03C48" w:rsidRPr="006F458B" w:rsidRDefault="00B03C48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Disorders in which dystonia and optic atrophy are prominent manifestations</w:t>
            </w:r>
          </w:p>
        </w:tc>
      </w:tr>
      <w:tr w:rsidR="00B03C48" w:rsidRPr="006F458B" w14:paraId="4B8C21A8" w14:textId="77777777" w:rsidTr="00D430AB">
        <w:trPr>
          <w:trHeight w:val="135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26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C19orf12</w:t>
            </w:r>
            <w:r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6B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AD/AR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B0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Generalized or oromandibular dystonia.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14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Mild parkinsonism, variable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09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18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4C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Distal muscle weakness, motor axonal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20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F9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82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7F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Iron accumulation, cerebellar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B1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81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7BCD5BA5" w14:textId="77777777" w:rsidTr="00D430AB">
        <w:trPr>
          <w:trHeight w:val="9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6AD" w14:textId="7243EEA1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MECR</w:t>
            </w:r>
            <w:r w:rsidR="00A813FE"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33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C8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Yes, main phenotype, childhood onset.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9D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Chorea variably present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A7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7D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Yes, variable, dysarthria.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9B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One with neck muscle weakness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B9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24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EC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30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hyperintense T</w:t>
            </w: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-weighted signal in one or more structures of the basal ganglia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72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62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Dysphagia</w:t>
            </w:r>
          </w:p>
        </w:tc>
      </w:tr>
      <w:tr w:rsidR="00B03C48" w:rsidRPr="006F458B" w14:paraId="481B0745" w14:textId="77777777" w:rsidTr="00D430AB">
        <w:trPr>
          <w:trHeight w:val="6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E78" w14:textId="62F1F4FD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TIMM8A</w:t>
            </w:r>
            <w:r w:rsidR="00A813FE"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91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XLR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9E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Main phenotype, progressive, adult-onset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38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Parkinsonism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48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Spasticity, 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55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DA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Variable Peripheral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E7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1E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8D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Either optic atrophy or cortical visual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2C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Symmetrical caudate head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2F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80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512FA099" w14:textId="77777777" w:rsidTr="00D430AB">
        <w:trPr>
          <w:trHeight w:val="91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724" w14:textId="3412AD06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NDUFS1</w:t>
            </w:r>
            <w:r w:rsidR="00B03C4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A3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93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Frequent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5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Common hyperkinetic movements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A9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48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19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Uncommon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8C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BC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Frequent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F4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Frequent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7C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White matter changes, basal ganglia involvement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7D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6E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Feeding difficulties</w:t>
            </w:r>
          </w:p>
        </w:tc>
      </w:tr>
      <w:tr w:rsidR="00B03C48" w:rsidRPr="006F458B" w14:paraId="3135BEF7" w14:textId="77777777" w:rsidTr="00D430AB">
        <w:trPr>
          <w:trHeight w:val="90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582" w14:textId="3A2E3822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SDHA</w:t>
            </w:r>
            <w:r w:rsidR="00B03C4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39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AR/AD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C01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Frequently associated with biallelic mutations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6D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Myoclonus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B3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66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gait ataxia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ED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Muscle weakness, sensory neuropathy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AD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15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DC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atrophy (both AR and AD)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74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atrophy, Leigh-like pattern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19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B5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Cardiomyopathy</w:t>
            </w:r>
          </w:p>
        </w:tc>
      </w:tr>
      <w:tr w:rsidR="00D430AB" w:rsidRPr="006F458B" w14:paraId="251267BB" w14:textId="77777777" w:rsidTr="00D430AB">
        <w:trPr>
          <w:trHeight w:val="900"/>
        </w:trPr>
        <w:tc>
          <w:tcPr>
            <w:tcW w:w="15388" w:type="dxa"/>
            <w:gridSpan w:val="1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3172EB" w14:textId="77777777" w:rsidR="00D430AB" w:rsidRPr="006F458B" w:rsidRDefault="00D430AB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430AB" w:rsidRPr="006F458B" w14:paraId="37730259" w14:textId="77777777" w:rsidTr="00D430AB">
        <w:trPr>
          <w:trHeight w:val="709"/>
        </w:trPr>
        <w:tc>
          <w:tcPr>
            <w:tcW w:w="15388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57840" w14:textId="77777777" w:rsidR="00D430AB" w:rsidRPr="006F458B" w:rsidRDefault="00D430AB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03C48" w:rsidRPr="006F458B" w14:paraId="5CC10A63" w14:textId="77777777" w:rsidTr="00D430AB">
        <w:trPr>
          <w:trHeight w:val="30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4D9" w14:textId="77777777" w:rsidR="00B03C48" w:rsidRPr="006F458B" w:rsidRDefault="00B03C48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disease genes associated with dystonia and/or optic atrophy</w:t>
            </w:r>
          </w:p>
        </w:tc>
      </w:tr>
      <w:tr w:rsidR="00B03C48" w:rsidRPr="006F458B" w14:paraId="553A73E9" w14:textId="77777777" w:rsidTr="00D430AB">
        <w:trPr>
          <w:trHeight w:val="114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FDC7" w14:textId="21B25AE1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AUH</w:t>
            </w:r>
            <w:r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AD4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32" w14:textId="1C4885FB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E43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Choreoathetoid movements variably present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4AD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Variable (spasticity, quadriplegia)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D7F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 (gait and dysarthria)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A5E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474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 (variably present)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D2C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Mental retardation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B18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4B4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Diffuse white matter lesions or basal ganglia involvement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731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890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744904C2" w14:textId="77777777" w:rsidTr="00D430AB">
        <w:trPr>
          <w:trHeight w:val="114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EA4B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TSFM</w:t>
            </w: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DC6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2631" w14:textId="26BA5EC5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Dystonic posturing reported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7A8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Tremor, hyperkinetic movement disorder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A6A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AF1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F80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Axonal sensorimotor neuropathy 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413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6D3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Global developmental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FCA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atrophy/ neuropathy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8A2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Basal ganglia involvement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6F0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EA0" w14:textId="77777777" w:rsidR="00B03C48" w:rsidRPr="006F458B" w:rsidRDefault="00B03C48" w:rsidP="0007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Dilated cardiomyopathy</w:t>
            </w:r>
          </w:p>
        </w:tc>
      </w:tr>
      <w:tr w:rsidR="00B03C48" w:rsidRPr="006F458B" w14:paraId="3223E4B1" w14:textId="77777777" w:rsidTr="00D430AB">
        <w:trPr>
          <w:trHeight w:val="9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64D5" w14:textId="54B2C50D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bookmarkStart w:id="0" w:name="RANGE!A12"/>
            <w:bookmarkStart w:id="1" w:name="_Hlk88388280" w:colFirst="1" w:colLast="12"/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MT-ND6</w:t>
            </w:r>
            <w:bookmarkEnd w:id="0"/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CA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EDD9" w14:textId="7E6048E9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Alone or in association with pathogenic MT-ND4</w:t>
            </w:r>
            <w:r w:rsidRPr="006F458B"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  <w:u w:val="single"/>
                <w:lang w:eastAsia="en-GB"/>
              </w:rPr>
              <w:t xml:space="preserve"> </w:t>
            </w: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point mutation</w:t>
            </w:r>
            <w:r w:rsidR="00074998"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10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82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Tremor, myoclonus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99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B0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C7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atrophy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1A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7D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Psychomotor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E6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Leber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hereditary optic neuropathy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4D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Typical Leigh syndrome pattern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ED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63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</w:tr>
      <w:bookmarkEnd w:id="1"/>
      <w:tr w:rsidR="00B03C48" w:rsidRPr="006F458B" w14:paraId="2DB3E134" w14:textId="77777777" w:rsidTr="00D430AB">
        <w:trPr>
          <w:trHeight w:val="204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CB0" w14:textId="3A36909B" w:rsidR="00074998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AFG3L2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33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AD/AR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995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0D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Myoclonus, parkinsonism in concurrence with SPG7 mutation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99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C9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Main phenotype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F6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36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Homozygous mutations linked to intractable seizures.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85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Homozygous mutations linked to regression of developmental milestones, heterozygous associated with mild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97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Isolated or syndromic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6A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Variable, from cerebellar atrophy to basal ganglia involvement, “eye-of-the tiger” sign.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C4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16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Uncommon</w:t>
            </w:r>
          </w:p>
        </w:tc>
      </w:tr>
      <w:tr w:rsidR="00B03C48" w:rsidRPr="006F458B" w14:paraId="73C569FB" w14:textId="77777777" w:rsidTr="00D430AB">
        <w:trPr>
          <w:trHeight w:val="13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7FD" w14:textId="4716D343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DNM1L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12,13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656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AD/AR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91E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 few de novo, dystonia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1E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Myoclonus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76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Mild spasticity in one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94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Yes. de 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F6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 few de novo, muscle atrophy and sensory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23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 novo, also status epilepticus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D9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Mild to moderate developmental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85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 Novo missense variant isolated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7C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Variable involvement of basal ganglia, thalamus, hippocampus, frontal, and temporal lobe.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08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22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67B33FF7" w14:textId="77777777" w:rsidTr="00D430AB">
        <w:trPr>
          <w:trHeight w:val="58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C6E1" w14:textId="4DDDBFE3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MFF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99F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4F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Dystonia of the foot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58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AA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E8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7A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weakness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E5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 myoclonic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88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Developmental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66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Temporal disc pallor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10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atrophy, basal ganglia involvement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74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15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177EC268" w14:textId="77777777" w:rsidTr="00D430AB">
        <w:trPr>
          <w:trHeight w:val="10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AC2" w14:textId="26B87701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OPA1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12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AR/AD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AA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 one case cervical dystonia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A0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Syndromic parkinsonism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E1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F7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B8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Mitochondrial myopathy and peripheral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4E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Rare, focal occipital epilepsy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4C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Developmental delay or dementia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39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Bilateral optic atrophy, external ophthalmoplegia.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DD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White matter abnormalities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E0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Deafness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0F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44272830" w14:textId="77777777" w:rsidTr="00D430AB">
        <w:trPr>
          <w:trHeight w:val="10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5FC" w14:textId="6956D8F8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bookmarkStart w:id="2" w:name="RANGE!A17"/>
            <w:bookmarkStart w:id="3" w:name="_Hlk88388365" w:colFirst="1" w:colLast="12"/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OPA3</w:t>
            </w:r>
            <w:r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</w:t>
            </w:r>
            <w:bookmarkEnd w:id="2"/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5-17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C5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AR/AD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E5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EA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Choreatetosis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, extrapyramidal signs, variably present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7B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Pyramidal sign always present, 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19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Dysarthria, gait, and limb ataxia.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08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present, axonal peripheral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5F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D4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Not usually impaired, but possible developmental delay or regression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AE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optic disc atrophy, nystagmus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AF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Chiasmal thinning and cerebellar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CF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1A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Gastrointestinal dysmotility</w:t>
            </w:r>
          </w:p>
        </w:tc>
      </w:tr>
      <w:bookmarkEnd w:id="3"/>
      <w:tr w:rsidR="00B03C48" w:rsidRPr="006F458B" w14:paraId="1C27CA04" w14:textId="77777777" w:rsidTr="00D430AB">
        <w:trPr>
          <w:trHeight w:val="6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813" w14:textId="178C8AA3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SPG7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D43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13A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0F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44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Spasticity, Babinski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BC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ataxia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41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weakness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64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F2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4C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85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atrophy in half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5E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E5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Bladder and anal sphincter dysfunction </w:t>
            </w:r>
          </w:p>
        </w:tc>
      </w:tr>
      <w:tr w:rsidR="00B03C48" w:rsidRPr="006F458B" w14:paraId="182D8E26" w14:textId="77777777" w:rsidTr="00D430AB">
        <w:trPr>
          <w:trHeight w:val="4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4F5" w14:textId="3DA4FDC9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bookmarkStart w:id="4" w:name="RANGE!A19"/>
            <w:bookmarkStart w:id="5" w:name="_Hlk88388390" w:colFirst="1" w:colLast="12"/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ATAD3A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19,20</w:t>
            </w:r>
            <w:bookmarkEnd w:id="4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C1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AD, 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799" w14:textId="6B72DECD" w:rsidR="005E07C1" w:rsidRPr="006F458B" w:rsidRDefault="00B03C48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Reported</w:t>
            </w:r>
            <w:r w:rsidR="005E07C1"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1D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77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 paraplegia in some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5D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ataxia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AE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wasting in some cases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05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Uncommon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0A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 developmental delay, from mild to 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2B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Congenital cataracts, variable presence of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C2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Pontocerebellar hypoplasia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2E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E8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Hypertrophic cardiomyopathy</w:t>
            </w:r>
          </w:p>
        </w:tc>
      </w:tr>
      <w:bookmarkEnd w:id="5"/>
      <w:tr w:rsidR="00B03C48" w:rsidRPr="006F458B" w14:paraId="481EB695" w14:textId="77777777" w:rsidTr="00D430AB">
        <w:trPr>
          <w:trHeight w:val="135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0C1" w14:textId="156E609F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FDXR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16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26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Uncommon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2C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Involuntary movements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66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 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AD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DA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Axial weakness, uncommon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19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DD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Common developmental delay/ regression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5B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Optic atrophy, cataracts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C2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Cerebral atrophy, basal ganglia involvement, delayed myelination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FD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Acoustic neuropathy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91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Microcephaly and facial dysmorphisms</w:t>
            </w:r>
          </w:p>
        </w:tc>
      </w:tr>
      <w:tr w:rsidR="00B03C48" w:rsidRPr="006F458B" w14:paraId="110E3784" w14:textId="77777777" w:rsidTr="00D430AB">
        <w:trPr>
          <w:trHeight w:val="24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C4D" w14:textId="6B92CB7F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POLG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E9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AR/AD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6C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Rarely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3A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Parkinsonism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29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33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Sensory or cerebellar ataxia, variably present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52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Common muscle weakness, peripheral neuropathy, less frequent isolated distal myopathy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1F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Uncommon in neonatal onset phenotypes, common intractable seizure in childhood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onset ,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RHADS on EEG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B5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Common developmental delay or developmental regression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C6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Uncommon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Cataracts ,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ophthalmoplegia,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6E5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Stroke-like lesions, less commonly thalamic, basal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ganglia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and cerebellar involvement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55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FE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Hepatic impairment with liver failure, renal dysfunction </w:t>
            </w:r>
          </w:p>
        </w:tc>
      </w:tr>
      <w:tr w:rsidR="00B03C48" w:rsidRPr="006F458B" w14:paraId="07F44139" w14:textId="77777777" w:rsidTr="00D430AB">
        <w:trPr>
          <w:trHeight w:val="225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ED2" w14:textId="34376AE6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ALG3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23,24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D2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2F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27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9D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65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A4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Muscular hypotonia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DD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8F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Frequent developmental delay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DA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Common, including strabismus and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8A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Cerebral anomalies (dysmorphic hemisphere, dysplasia, atrophy, rarely Dandy Walker)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EC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B6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Craniofacial abnormalities, feeding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problems ,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cardiac anomalies.</w:t>
            </w:r>
          </w:p>
        </w:tc>
      </w:tr>
      <w:tr w:rsidR="00B03C48" w:rsidRPr="006F458B" w14:paraId="2F1598E1" w14:textId="77777777" w:rsidTr="00D430AB">
        <w:trPr>
          <w:trHeight w:val="135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80A" w14:textId="048438CC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DNAJC19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BCA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347C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14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5C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47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Non progressive cerebellar ataxia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BC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 muscular atrophy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0B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Rare/ uncommon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11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Variably present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A2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Variably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BE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basal ganglia involvement or cerebellar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F0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2C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Dilated cardiomyopathy, facial dysmorphisms</w:t>
            </w:r>
          </w:p>
        </w:tc>
      </w:tr>
      <w:tr w:rsidR="00B03C48" w:rsidRPr="006F458B" w14:paraId="3791F0AB" w14:textId="77777777" w:rsidTr="00D430AB">
        <w:trPr>
          <w:trHeight w:val="9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AF20" w14:textId="62AE859E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FXN</w:t>
            </w:r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21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2A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Rare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laringeal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dystonia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3EA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34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Extensor plantar responses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10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Frequent ataxia,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dysarthia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12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weakness, sensory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0B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BD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E2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tract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96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0B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Deafness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40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Foot deformities</w:t>
            </w:r>
          </w:p>
        </w:tc>
      </w:tr>
      <w:tr w:rsidR="00B03C48" w:rsidRPr="006F458B" w14:paraId="1746BD48" w14:textId="77777777" w:rsidTr="00D430AB">
        <w:trPr>
          <w:trHeight w:val="17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2F4" w14:textId="2950BEBC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bookmarkStart w:id="6" w:name="RANGE!A25"/>
            <w:bookmarkStart w:id="7" w:name="_Hlk88388451" w:colFirst="1" w:colLast="12"/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NDUFS3</w:t>
            </w:r>
            <w:bookmarkEnd w:id="6"/>
            <w:r w:rsidR="0007499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BB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0A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Axial dystonia in few cases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F0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E2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Pyramidalsigns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9A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93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hypotonia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C2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Febrile seizures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44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28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65B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 T2 signal intensity in the putamen, the white matter, and the brain 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58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FA9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Dysphagia</w:t>
            </w:r>
          </w:p>
        </w:tc>
      </w:tr>
      <w:bookmarkEnd w:id="7"/>
      <w:tr w:rsidR="00B03C48" w:rsidRPr="006F458B" w14:paraId="4EF3D46D" w14:textId="77777777" w:rsidTr="00D430AB">
        <w:trPr>
          <w:trHeight w:val="112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5CE" w14:textId="1E0EC94C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MTPAP</w:t>
            </w:r>
            <w:r w:rsidR="00B03C4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28,29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5AB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EE6" w14:textId="78F27754" w:rsidR="005E07C1" w:rsidRPr="006F458B" w:rsidRDefault="00B03C48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Rarely d</w:t>
            </w:r>
            <w:r w:rsidR="005E07C1"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ystonic posturing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D1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E5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B2D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Spastic ataxia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E9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5C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F73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Lethal encephalopathy in 3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EC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80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Diffuse T2 white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matter  hyperintensities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74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C20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03C48" w:rsidRPr="006F458B" w14:paraId="47E4C1F3" w14:textId="77777777" w:rsidTr="00D430AB">
        <w:trPr>
          <w:trHeight w:val="6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3A67" w14:textId="7A79A2D5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NDUFS2</w:t>
            </w:r>
            <w:r w:rsidR="00B03C4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7554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7B9" w14:textId="36D6D6B3" w:rsidR="005E07C1" w:rsidRPr="006F458B" w:rsidRDefault="00B03C48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Rarely dystonic posturing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F9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43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Pyramidal signs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C16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41E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Muscle hypotonia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1B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C1F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Developmental regression, uncommon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7A7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Optic neuropathy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C11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Leukodystrophy, brain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F52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9C8" w14:textId="77777777" w:rsidR="005E07C1" w:rsidRPr="006F458B" w:rsidRDefault="005E07C1" w:rsidP="005E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Cardiomyopathy</w:t>
            </w:r>
          </w:p>
        </w:tc>
      </w:tr>
      <w:tr w:rsidR="00B03C48" w:rsidRPr="006F458B" w14:paraId="111080B6" w14:textId="77777777" w:rsidTr="00D430AB">
        <w:trPr>
          <w:trHeight w:val="151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F25C" w14:textId="71B6D8BF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SLC25A462</w:t>
            </w:r>
            <w:r w:rsidR="00B03C48" w:rsidRPr="006F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31-34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99A0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5FAD" w14:textId="3237FEEA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Cervical dystonia</w:t>
            </w:r>
            <w:r w:rsidR="00B03C48"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reported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2D70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Tremor and myoclonus variably present, also associated with Parkinson.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075D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6749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Gait ataxia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0F98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Motor and/or sensory neuropathy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D46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537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Uncommon, associated with </w:t>
            </w:r>
            <w:proofErr w:type="gramStart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Pontocerebellar  Hypoplasia</w:t>
            </w:r>
            <w:proofErr w:type="gramEnd"/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type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034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Bilateral optic atrophy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0D6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Cerebellar atrophy and diffuse cerebellar hyperintensities, but in some cases MRI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3255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062" w14:textId="77777777" w:rsidR="002604C6" w:rsidRPr="006F458B" w:rsidRDefault="002604C6" w:rsidP="000727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6F4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Probably associated with Hashimoto’s thyroiditis </w:t>
            </w:r>
          </w:p>
        </w:tc>
      </w:tr>
    </w:tbl>
    <w:p w14:paraId="1B629743" w14:textId="69A846C7" w:rsidR="00306F9F" w:rsidRPr="006F458B" w:rsidRDefault="006F458B">
      <w:pPr>
        <w:rPr>
          <w:rFonts w:ascii="Times New Roman" w:hAnsi="Times New Roman" w:cs="Times New Roman"/>
          <w:sz w:val="16"/>
          <w:szCs w:val="16"/>
        </w:rPr>
      </w:pPr>
    </w:p>
    <w:p w14:paraId="77B03EB2" w14:textId="27B6C418" w:rsidR="00A813FE" w:rsidRPr="006F458B" w:rsidRDefault="00A813FE" w:rsidP="00A8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Remiche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Vandernoot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I, Sadeghi-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Meibodi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Desmyter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L. SPG43 and ALS-like syndrome in the same family due to compound heterozygous mutations of the C19orf12 gene: a case description and brief review. Neurogenetics. 2021 Mar;22(1):95-101.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10.1007/s10048-020-00631-4.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2021 Jan 4. PMID: 33394258.</w:t>
      </w:r>
    </w:p>
    <w:p w14:paraId="07E68072" w14:textId="77777777" w:rsidR="00A813FE" w:rsidRPr="006F458B" w:rsidRDefault="00A813FE" w:rsidP="00A8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Heimer G, Gregory A, Hogarth P, Hayflick S, Ben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Zeev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B. MECR-Related Neurologic Disorder. 2019 May 9. In: Adam MP,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Ardinger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Pagon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RA, Wallace SE, Bean LJH,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Mirzaa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Amemiya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editors.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GeneReviews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>® [Internet]. Seattle (WA): University of Washington, Seattle; 1993–2021. PMID: 31070877.</w:t>
      </w:r>
    </w:p>
    <w:p w14:paraId="3714444E" w14:textId="77777777" w:rsidR="00A813FE" w:rsidRPr="006F458B" w:rsidRDefault="00A813FE" w:rsidP="00A8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Ha AD, Parratt KL,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Rendtorff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ND, Lodahl M, Ng K, Rowe DB, Sue CM, Hayes MW,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Tranebjaerg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Fung VS. The phenotypic spectrum of dystonia in Mohr-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Tranebjaerg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syndrome. Mov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Disord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2012 Jul;27(8):1034-40.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10.1002/mds.25033.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2012 Jun 26. PMID: 22736418.</w:t>
      </w:r>
    </w:p>
    <w:p w14:paraId="0D1EEBEA" w14:textId="77777777" w:rsidR="00B03C48" w:rsidRPr="006F458B" w:rsidRDefault="00B03C48" w:rsidP="00B03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Björkman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Sofou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Darin N, Holme 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Kollberg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Asin-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Cayuela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J, Holmberg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Dahle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Oldfors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Moslemi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Tulinius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M. Broad phenotypic variability in patients with complex I deficiency due to mutations in NDUFS1 and NDUFV1. Mitochondrion. 2015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Mar;21:33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-40.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10.1016/j.mito.2015.01.003.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2015 Jan 20. PMID: 25615419.</w:t>
      </w:r>
    </w:p>
    <w:p w14:paraId="764D36D0" w14:textId="77777777" w:rsidR="00B03C48" w:rsidRPr="006F458B" w:rsidRDefault="00B03C48" w:rsidP="00B03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Zehavi Y,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Saada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Jabaly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-Habib H, Dessau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Shaag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Elpeleg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O, Spiegel R. A novel de novo heterozygous pathogenic variant in the SDHA gene results in childhood onset bilateral optic atrophy and cognitive impairment.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Metab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Brain Dis. 2021 Apr;36(4):581-588.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10.1007/s11011-021-00671-1.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2021 Jan 20. PMID: 33471299.</w:t>
      </w:r>
    </w:p>
    <w:p w14:paraId="616982C3" w14:textId="77777777" w:rsidR="00A813FE" w:rsidRPr="006F458B" w:rsidRDefault="00A813FE" w:rsidP="00A8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Wortmann SB,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Kluijtmans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Engelke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UF,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Wevers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RA, Morava E. The 3-methylglutaconic acidurias: what's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new?.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 J Inherit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Metab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Dis. 2012;35(1):13-22. doi:10.1007/s10545-010-9210-7</w:t>
      </w:r>
    </w:p>
    <w:p w14:paraId="27CA53F3" w14:textId="77777777" w:rsidR="00A813FE" w:rsidRPr="006F458B" w:rsidRDefault="00A813FE" w:rsidP="00A813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Tavasoli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AR, Shervin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Badv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Zschocke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J, Ashrafi MR, Rostami P. Early infantile presentation of 3-methylglutaconic aciduria type 1 with a novel mutation in AUH gene: A case report and literature review. Brain Dev. 2017 Sep;39(8):714-716.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10.1016/j.braindev.2017.04.007.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2017 Apr 21. PMID: 28438368.</w:t>
      </w:r>
    </w:p>
    <w:p w14:paraId="60BD379F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van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Riesen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Biskup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Kühn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Kaindl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AM, van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Riesen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C. Novel Mutation in the TSFM Gene Causes an Early-Onset Complex Chorea without Basal Ganglia Lesions. Mov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Disord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Clin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Pract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2021 Feb 5;8(3):453-455.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10.1002/mdc3.13144. PMID: 33816677; PMCID: PMC8015916. </w:t>
      </w:r>
    </w:p>
    <w:p w14:paraId="5BA9C7A5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Karaarslan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Leber's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Hereditary Optic Neuropathy as a Promising Disease for Gene Therapy Development. Adv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Ther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2019 Dec;36(12):3299-3307.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10.1007/s12325-019-01113-2.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2019 Oct 11. PMID: 31605306; PMCID: PMC6860503.</w:t>
      </w:r>
    </w:p>
    <w:p w14:paraId="22B4BB92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Berardo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Emmanuele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V, Vargas W,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Tanji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Naini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Hirano M.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Leber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hereditary optic neuropathy plus dystonia, and transverse myelitis due to double mutations in MT-ND4 and MT-ND6. J Neurol. 2020 Mar;267(3):823-829.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10.1007/s00415-019-09619-z.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2019 Nov 27. PMID: 31776719; PMCID: PMC7362294.</w:t>
      </w:r>
    </w:p>
    <w:p w14:paraId="6F9310E6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lastRenderedPageBreak/>
        <w:t>Eskandrani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AlHashem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Ali ES,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AlShahwan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Tlili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Hundallah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Tabarki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B. Recessive AFG3L2 Mutation Causes Progressive Microcephaly, Early Onset Seizures, Spasticity, and Basal Ganglia Involvement.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Pediatr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Neurol. 2017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Jun;71:24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-28.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10.1016/j.pediatrneurol.2017.03.019.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2017 Apr 5. PMID: 28449981.</w:t>
      </w:r>
    </w:p>
    <w:p w14:paraId="1F56362C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Pan Z, Wu TH, Chen C, Peng P, He YW, Yi WZ, Yin F, Peng J. [DNM1L gene variant caused encephalopathy, lethal, due to defective mitochondrial peroxisomal fission 1: three cases report and literature review].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Zhonghua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Er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Ke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Za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Zhi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. 2021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May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2;59(5):400-406.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Chinese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: 10.3760/cma.j.cn112140-20200921-00893. </w:t>
      </w:r>
      <w:r w:rsidRPr="006F458B">
        <w:rPr>
          <w:rFonts w:ascii="Times New Roman" w:hAnsi="Times New Roman" w:cs="Times New Roman"/>
          <w:sz w:val="16"/>
          <w:szCs w:val="16"/>
        </w:rPr>
        <w:t>PMID: 33902225.</w:t>
      </w:r>
    </w:p>
    <w:p w14:paraId="4968FEE4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Keller N,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Paketci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Edem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P, Thiele 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Yis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U, Wirth B,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Karakaya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M. De novo DNM1L variant presenting with severe muscular atrophy,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dystonia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 and sensory neuropathy. Eur J Med Genet. 2021 Feb;64(2):104134.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10.1016/j.ejmg.2020.104134.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2020 Dec 31. PMID: 33387674.</w:t>
      </w:r>
    </w:p>
    <w:p w14:paraId="1BB93B2F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Panda I, Ahmad I, Sagar S, Zahra S, Shamim U, Sharma S, Faruq M. Encephalopathy due to defective mitochondrial and peroxisomal fission 2 caused by a novel MFF gene mutation in a young child. Clin Genet. 2020 Jun;97(6):933-937.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10.1111/cge.13740.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2020 Mar 24. PMID: 32181496.</w:t>
      </w:r>
    </w:p>
    <w:p w14:paraId="3D740FC3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Del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Dotto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V,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Fogazza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Lenaers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Rugolo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Carelli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V, Zanna C. OPA1: How much do we know to approach therapy?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Pharmacol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Res. 2018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May;131:199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-210.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10.1016/j.phrs.2018.02.018.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2018 Feb 15. PMID: 29454676.</w:t>
      </w:r>
    </w:p>
    <w:p w14:paraId="288D7618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Yahalom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Anikster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Y, Huna-Baron R, Hoffmann C, Blumkin L, Lev D,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Tsabari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Nitsan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Z,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Lerman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SF, Ben-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Zeev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Pode-Shakked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Sofer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Schweiger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Lerman-Sagie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Hassin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-Baer S.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Costeff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syndrome: clinical features and natural history. J Neurol. 2014 Dec;261(12):2275-82.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10.1007/s00415-014-7481-x.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2014 Sep 9. PMID: 25201222.</w:t>
      </w:r>
    </w:p>
    <w:p w14:paraId="55F850C8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Horga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Bugiardini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Manole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Bremner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F,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Jaunmuktane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Z,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Dankwa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Rebelo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AP, Woodward CE, Hargreaves IP, Cortese A, Pittman AM,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Brandner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Polke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Pitceathly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RDS,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Züchner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Hanna MG, Scherer SS, Houlden H, Reilly MM. Autosomal dominant optic atrophy and cataract "plus" phenotype including axonal neuropathy.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Neurol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Genet. 2019 Apr 1;5(2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):e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322.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>: 10.1212/NXG.0000000000000322. PMID: 31119193; PMCID: PMC6501639.</w:t>
      </w:r>
    </w:p>
    <w:p w14:paraId="3728D668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van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Gassen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KL, van der Heijden CD, de Bot ST, den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Dunnen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WF, van den Berg LH,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Verschuuren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-Bemelmans CC, Kremer HP,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Veldink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Kamsteeg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Scheffer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H, van de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Warrenburg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BP. Genotype-phenotype correlations in spastic paraplegia type 7: a study in a large Dutch cohort. Brain. 2012 Oct;135(Pt 10):2994-3004.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10.1093/brain/aws224.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2012 Sep 10. PMID: 22964162.</w:t>
      </w:r>
    </w:p>
    <w:p w14:paraId="64B5C248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de Heredia ML,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Clèries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Nunes V. Genotypic classification of patients with Wolfram syndrome: insights into the natural history of the disease and correlation with phenotype. Genet Med. 2013 Jul;15(7):497-506.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10.1038/gim.2012.180.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2013 Feb 21. PMID: 23429432.</w:t>
      </w:r>
    </w:p>
    <w:p w14:paraId="2BEB2A83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Harel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T, Yoon WH,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Garone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C, Gu S, Coban-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Akdemir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Z,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Eldomery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MK, Posey JE,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Jhangiani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SN, Rosenfeld JA, Cho MT, Fox S, Withers M, Brooks SM, Chiang 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Duraine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Erdin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Yuan B, Shao Y,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Moussallem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Lamperti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Donati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MA, Smith JD, McLaughlin HM,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Eng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Walkiewicz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Xia F,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Pippucci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Magini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P, Seri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Zeviani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Hirano M, Hunter JV,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Srour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Zanigni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Lewis RA,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Muzny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DM,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Lotze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TE, Boerwinkle E; Baylor-Hopkins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Center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for Mendelian Genomics; University of Washington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Center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for Mendelian Genomics, Gibbs RA, Hickey SE, Graham BH, Yang Y,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Buhas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D, Martin DM,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Potocki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Graziano C,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Bellen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Lupski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JR. Recurrent De Novo and Biallelic Variation of ATAD3A, Encoding a Mitochondrial Membrane Protein, Results in Distinct Neurological Syndromes. Am J Hum Genet. 2016 Oct 6;99(4):831-845.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10.1016/j.ajhg.2016.08.007.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2016 Sep 15. PMID: 27640307; PMCID: PMC5065660.</w:t>
      </w:r>
    </w:p>
    <w:p w14:paraId="3FC95F9D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Stenton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Piekutowska-Abramczuk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D,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Kulterer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Kopajtich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Claeys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KG, Ciara E, Eisen 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Płoski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Pronicka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Malczyk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Wagner M, Wortmann SB,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Prokisch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H. Expanding the clinical and genetic spectrum of FDXR deficiency by functional validation of variants of uncertain significance. Hum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Mutat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2021 Mar;42(3):310-319.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10.1002/humu.24160.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2021 Jan 3. PMID: 33348459.</w:t>
      </w:r>
    </w:p>
    <w:p w14:paraId="5474C6C1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Rahman S, Copeland WC. POLG-related disorders and their neurological manifestations. Nat Rev Neurol. 2019 Jan;15(1):40-52.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>: 10.1038/s41582-018-0101-0. PMID: 30451971.</w:t>
      </w:r>
    </w:p>
    <w:p w14:paraId="624C758C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Himmelreich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N, Dimitrov B, Geiger V,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Zielonka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Hutter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Beedgen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Hüllen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Breuer M, Peters V, Thiemann KC, Hoffmann GF, Sinning I, Dupré 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Vuillaumier-Barrot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Barrey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Denecke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Kölfen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W,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Düker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Ganschow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Lentze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MJ, Moore S, Seta N, Ziegler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Thiel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C. Novel variants and clinical symptoms in four new ALG3-CDG patients, review of the literature, and identification of AAGRP-ALG3 as a novel ALG3 variant with alanine and glycine-rich N-terminus. Hum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Mutat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2019 Jul;40(7):938-951.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10.1002/humu.23764.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2019 May 8. PMID: 31067009.</w:t>
      </w:r>
    </w:p>
    <w:p w14:paraId="2A46691B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Alsharhan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H, Ng BG, Daniel EJP, Friedman 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Pivnick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EK, Al-Hashem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Faqeih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EA, Liu P, Engelhardt NM, Keller KN, Chen J,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Mazzeo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PA; University of Washington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Center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for Mendelian Genomics (UW-CMG), Rosenfeld JA,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Bamshad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MJ, Nickerson DA, Raymond KM, Freeze HH, He M, Edmondson AC, Lam C. Expanding the phenotype,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genotype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 and biochemical knowledge of ALG3-CDG. J Inherit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Metab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Dis. 2021 Feb 13.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10.1002/jimd.12367.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ahead of print. PMID: 33583022.</w:t>
      </w:r>
    </w:p>
    <w:p w14:paraId="6A3B0434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Ucar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SK, Mayr JA,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Feichtinger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Canda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Çoker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Wortmann SB. Previously Unreported Biallelic Mutation in DNAJC19: Are Sensorineural Hearing Loss and Basal Ganglia Lesions Additional Features of Dilated Cardiomyopathy and Ataxia (DCMA) Syndrome? JIMD Rep.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2017;35:39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-45.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10.1007/8904_2016_23.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2016 Dec 8. PMID: 27928778; PMCID: PMC5585102.</w:t>
      </w:r>
    </w:p>
    <w:p w14:paraId="751D1F18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Williams CT, De Jesus O. Friedreich Ataxia. 2021 May 19. In: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StatPearls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[Internet]. Treasure Island (FL):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StatPearls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Publishing; 2021 Jan–. PMID: 33085346.</w:t>
      </w:r>
    </w:p>
    <w:p w14:paraId="3A96AA60" w14:textId="77777777" w:rsidR="00074998" w:rsidRPr="006F458B" w:rsidRDefault="00074998" w:rsidP="00074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Rahman S, Thorburn D. Nuclear Gene-Encoded Leigh Syndrome Spectrum Overview. 2015 Oct 1 [updated 2020 Jul 16]. In: Adam MP,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Ardinger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Pagon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RA, Wallace SE, Bean LJH,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Mirzaa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Amemiya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editors.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GeneReviews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® [Internet]. Seattle (WA): University of Washington, Seattle; 1993–2021. PMID: 26425749. </w:t>
      </w:r>
    </w:p>
    <w:p w14:paraId="19DEC2EA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Crosby AH, Patel 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Chioza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BA,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Proukakis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Gurtz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K, Patton MA, Sharifi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Harlalka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G, Simpson MA, Dick K, Reed JA, Al-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Memar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Chrzanowska-Lightowlers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ZM, Cross HE,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Lightowlers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RN. Defective mitochondrial mRNA maturation is associated with spastic ataxia. Am J Hum Genet. 2010 Nov 12;87(5):655-60.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10.1016/j.ajhg.2010.09.013.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2010 Oct 21. PMID: 20970105; PMCID: PMC2978972.</w:t>
      </w:r>
    </w:p>
    <w:p w14:paraId="11E85617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Van Eyck L, Bruni F, Ronan A, Briggs TA,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Roscioli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T, Rice GI, Vassallo G,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Rodero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MP, He L, Taylor RW, Livingston JH,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Chrzanowska-Lightowlers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ZMA, Crow YJ. Biallelic Mutations in MTPAP Associated with a Lethal Encephalopathy.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Neuropediatrics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2020 Jun;51(3):178-184.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10.1055/s-0039-3400979.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2019 Nov 28. PMID: 31779033.</w:t>
      </w:r>
    </w:p>
    <w:p w14:paraId="64835807" w14:textId="4126892E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Gerber S, Ding MG, Gérard X, Zwicker K,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Zanlonghi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X, Rio M, Serre V,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Hanein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Munnich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Rotig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Bianchi L, Amati-Bonneau P,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Elpeleg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O, Kaplan J, Brandt U,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Rozet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JM. Compound heterozygosity for severe and hypomorphic NDUFS2 mutations cause non-syndromic LHON-like optic neuropathy. J Med Genet. 2017 May;54(5):346-356.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10.1136/jmedgenet-2016-104212.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2016 Dec 28. PMID: 28031252.</w:t>
      </w:r>
    </w:p>
    <w:p w14:paraId="1D7FEA45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t xml:space="preserve">Raju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Medarametla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Boraiah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N. Dystonia and Hereditary Motor Sensory Neuropathy 6B Due to SLC25A46 Gene Mutations. Mov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Disord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Clin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Pract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2021 Jan 29;8(3):480-482.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>: 10.1002/mdc3.13139. PMID: 33816684; PMCID: PMC8015911.</w:t>
      </w:r>
    </w:p>
    <w:p w14:paraId="4F4B2A5D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Bitetto G, Malaguti MC, Ceravolo R,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Monfrini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E, Straniero L, Morini A, Di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Giacopo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R, Frosini D, Palermo G, Biella F, Ronchi D,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Duga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Taroni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F, Corti S, Comi GP,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Bresolin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N,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Giometto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B, Di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Fonzo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A. SLC25A46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mutations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in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patients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with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Parkinson's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Disease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and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optic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Pr="006F458B">
        <w:rPr>
          <w:rFonts w:ascii="Times New Roman" w:hAnsi="Times New Roman" w:cs="Times New Roman"/>
          <w:sz w:val="16"/>
          <w:szCs w:val="16"/>
          <w:lang w:val="it-IT"/>
        </w:rPr>
        <w:t>atrophy</w:t>
      </w:r>
      <w:proofErr w:type="spellEnd"/>
      <w:r w:rsidRPr="006F458B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r w:rsidRPr="006F458B">
        <w:rPr>
          <w:rFonts w:ascii="Times New Roman" w:hAnsi="Times New Roman" w:cs="Times New Roman"/>
          <w:sz w:val="16"/>
          <w:szCs w:val="16"/>
        </w:rPr>
        <w:t xml:space="preserve">Parkinsonism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Relat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Disord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. 2020 </w:t>
      </w:r>
      <w:proofErr w:type="gramStart"/>
      <w:r w:rsidRPr="006F458B">
        <w:rPr>
          <w:rFonts w:ascii="Times New Roman" w:hAnsi="Times New Roman" w:cs="Times New Roman"/>
          <w:sz w:val="16"/>
          <w:szCs w:val="16"/>
        </w:rPr>
        <w:t>May;74:1</w:t>
      </w:r>
      <w:proofErr w:type="gramEnd"/>
      <w:r w:rsidRPr="006F458B">
        <w:rPr>
          <w:rFonts w:ascii="Times New Roman" w:hAnsi="Times New Roman" w:cs="Times New Roman"/>
          <w:sz w:val="16"/>
          <w:szCs w:val="16"/>
        </w:rPr>
        <w:t xml:space="preserve">-5.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10.1016/j.parkreldis.2020.03.018.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2020 Apr 2. PMID: 32259769.</w:t>
      </w:r>
    </w:p>
    <w:p w14:paraId="11A50EB3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Sulaiman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RA, Patel N,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Alsharif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Arold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Alkuraya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FS. A novel mutation in SLC25A46 causes optic atrophy and progressive limb spasticity, with no cerebellar atrophy or axonal neuropathy. Clin Genet. 2017 Aug;92(2):230-231.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10.1111/cge.12963.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2017 Mar 30. PMID: 28369803.</w:t>
      </w:r>
    </w:p>
    <w:p w14:paraId="0431A580" w14:textId="77777777" w:rsidR="002604C6" w:rsidRPr="006F458B" w:rsidRDefault="002604C6" w:rsidP="0026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F458B">
        <w:rPr>
          <w:rFonts w:ascii="Times New Roman" w:hAnsi="Times New Roman" w:cs="Times New Roman"/>
          <w:sz w:val="16"/>
          <w:szCs w:val="16"/>
        </w:rPr>
        <w:lastRenderedPageBreak/>
        <w:t xml:space="preserve">Ivanov I, Atkinson D, Litvinenko I,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Angelova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L,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Andonova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Mumdjiev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H,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Pacheva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I,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Panova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Yordanova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R,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Belovejdov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V,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Petrova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Bosheva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M,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Shmilev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T,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Savov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A,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Jordanova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A. Pontocerebellar hypoplasia type 1 for the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neuropediatrician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Genotype-phenotype correlations and diagnostic guidelines based on new cases and overview of the literature. Eur J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Paediatr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Neurol. 2018 Jul;22(4):674-681.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: 10.1016/j.ejpn.2018.03.011. </w:t>
      </w:r>
      <w:proofErr w:type="spellStart"/>
      <w:r w:rsidRPr="006F458B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6F458B">
        <w:rPr>
          <w:rFonts w:ascii="Times New Roman" w:hAnsi="Times New Roman" w:cs="Times New Roman"/>
          <w:sz w:val="16"/>
          <w:szCs w:val="16"/>
        </w:rPr>
        <w:t xml:space="preserve"> 2018 Apr 3. PMID: 29656927.</w:t>
      </w:r>
    </w:p>
    <w:p w14:paraId="499301BE" w14:textId="77777777" w:rsidR="00A813FE" w:rsidRPr="006F458B" w:rsidRDefault="00A813FE" w:rsidP="002604C6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sectPr w:rsidR="00A813FE" w:rsidRPr="006F458B" w:rsidSect="00343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941"/>
    <w:multiLevelType w:val="hybridMultilevel"/>
    <w:tmpl w:val="F4724A40"/>
    <w:lvl w:ilvl="0" w:tplc="97668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9E"/>
    <w:rsid w:val="00021ED8"/>
    <w:rsid w:val="00074998"/>
    <w:rsid w:val="001E0EB1"/>
    <w:rsid w:val="002604C6"/>
    <w:rsid w:val="0029004D"/>
    <w:rsid w:val="0034369E"/>
    <w:rsid w:val="005603BE"/>
    <w:rsid w:val="005E07C1"/>
    <w:rsid w:val="006F458B"/>
    <w:rsid w:val="00830AF2"/>
    <w:rsid w:val="008841CC"/>
    <w:rsid w:val="008F687B"/>
    <w:rsid w:val="0094153B"/>
    <w:rsid w:val="00974014"/>
    <w:rsid w:val="00A813FE"/>
    <w:rsid w:val="00B03C48"/>
    <w:rsid w:val="00B42CF4"/>
    <w:rsid w:val="00B7481C"/>
    <w:rsid w:val="00C36031"/>
    <w:rsid w:val="00CC3A07"/>
    <w:rsid w:val="00CF25F5"/>
    <w:rsid w:val="00D430AB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99C9"/>
  <w15:chartTrackingRefBased/>
  <w15:docId w15:val="{D0D1E93D-C954-41F0-A44D-F36C19E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3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9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813F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B3FE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688E-F620-41B7-A98C-966F175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Cali, Elisa</dc:creator>
  <cp:keywords/>
  <dc:description/>
  <cp:lastModifiedBy>Magrinelli, Francesca</cp:lastModifiedBy>
  <cp:revision>2</cp:revision>
  <dcterms:created xsi:type="dcterms:W3CDTF">2021-12-14T17:47:00Z</dcterms:created>
  <dcterms:modified xsi:type="dcterms:W3CDTF">2021-12-14T17:47:00Z</dcterms:modified>
</cp:coreProperties>
</file>