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07" w:rsidRDefault="00075C07" w:rsidP="002A3752">
      <w:pPr>
        <w:spacing w:after="0"/>
        <w:jc w:val="both"/>
        <w:rPr>
          <w:lang w:val="en-US"/>
        </w:rPr>
      </w:pPr>
      <w:bookmarkStart w:id="0" w:name="_GoBack"/>
      <w:bookmarkEnd w:id="0"/>
    </w:p>
    <w:p w:rsidR="00075C07" w:rsidRPr="00083719" w:rsidRDefault="00075C07" w:rsidP="00075C07">
      <w:pPr>
        <w:spacing w:after="0"/>
        <w:ind w:left="-426" w:hanging="425"/>
        <w:jc w:val="both"/>
        <w:rPr>
          <w:sz w:val="32"/>
          <w:szCs w:val="32"/>
        </w:rPr>
      </w:pPr>
      <w:r w:rsidRPr="00083719">
        <w:rPr>
          <w:sz w:val="32"/>
          <w:szCs w:val="32"/>
        </w:rPr>
        <w:t>The 22 Strobe Items and their sub-items</w:t>
      </w:r>
    </w:p>
    <w:p w:rsidR="00075C07" w:rsidRPr="00083719" w:rsidRDefault="00075C07" w:rsidP="00075C07">
      <w:pPr>
        <w:spacing w:after="0"/>
        <w:ind w:left="-426" w:hanging="425"/>
        <w:jc w:val="both"/>
      </w:pPr>
    </w:p>
    <w:p w:rsidR="00075C07" w:rsidRPr="00083719" w:rsidRDefault="00075C07" w:rsidP="00075C07">
      <w:pPr>
        <w:spacing w:after="0"/>
        <w:ind w:left="-851"/>
        <w:jc w:val="both"/>
      </w:pPr>
      <w:r w:rsidRPr="00083719">
        <w:t xml:space="preserve">Items are labelled as XX# where XX represents the STROBE section [TA (title and abstract), IN (introduction), ME (methods), RE (results), DI (discussion)] and where # represents the STROBE item [1-22]. The text is extracted from the STROBE explanatory article </w:t>
      </w:r>
      <w:r w:rsidRPr="00083719">
        <w:fldChar w:fldCharType="begin"/>
      </w:r>
      <w:r w:rsidRPr="00083719">
        <w:instrText xml:space="preserve"> ADDIN ZOTERO_ITEM CSL_CITATION {"citationID":"yChglOM8","properties":{"formattedCitation":"\\super 15\\nosupersub{}","plainCitation":"15","noteIndex":0},"citationItems":[{"id":"Za7rlFi8/oGLwHeTG","uris":["http://zotero.org/users/local/5AXwAsbe/items/XMAUAJYM"],"uri":["http://zotero.org/users/local/5AXwAsbe/items/XMAUAJYM"],"itemData":{"id":320,"type":"article-journal","title":"Strengthening the Reporting of Observational Studies in Epidemiology (STROBE): explanation and elaboration","container-title":"Annals of Internal Medicine","page":"W163-194","volume":"147","issue":"8","source":"PubMed","abstract":"Much medical research is observational. The reporting of observational studies is often of insufficient quality. Poor reporting hampers the assessment of the strengths and weaknesses of a study and the generalizability of its results. Taking into account empirical evidence and theoretical considerations, a group of methodologists, researchers, and editors developed the Strengthening the Reporting of Observational Studies in Epidemiology (STROBE) recommendations to improve the quality of reporting of observational studies. The STROBE Statement consists of a checklist of 22 items, which relate to the title, abstract, introduction, methods, results, and discussion sections of articles. Eighteen items are common to cohort studies, case-control studies, and cross-sectional studies, and 4 are specific to each of the 3 study designs. The STROBE Statement provides guidance to authors about how to improve the reporting of observational studies and facilitates critical appraisal and interpretation of studies by reviewers, journal editors, and readers. This explanatory and elaboration document is intended to enhance the use, understanding, and dissemination of the STROBE Statement. The meaning and rationale for each checklist item are presented. For each item, 1 or several published examples and, where possible, references to relevant empirical studies and methodological literature are provided. Examples of useful flow diagrams are also included. The STROBE Statement, this document, and the associated Web site (www.strobe-statement.org) should be helpful resources to improve reporting of observational research.","DOI":"10.7326/0003-4819-147-8-200710160-00010-w1","ISSN":"1539-3704","note":"PMID: 17938389","title-short":"Strengthening the Reporting of Observational Studies in Epidemiology (STROBE)","journalAbbreviation":"Ann. Intern. Med.","language":"eng","author":[{"family":"Vandenbroucke","given":"Jan P."},{"family":"Elm","given":"Erik","non-dropping-particle":"von"},{"family":"Altman","given":"Douglas G."},{"family":"Gøtzsche","given":"Peter C."},{"family":"Mulrow","given":"Cynthia D."},{"family":"Pocock","given":"Stuart J."},{"family":"Poole","given":"Charles"},{"family":"Schlesselman","given":"James J."},{"family":"Egger","given":"Matthias"},{"literal":"STROBE initiative"}],"issued":{"date-parts":[["2007"]],"season":"16"}}}],"schema":"https://github.com/citation-style-language/schema/raw/master/csl-citation.json"} </w:instrText>
      </w:r>
      <w:r w:rsidRPr="00083719">
        <w:fldChar w:fldCharType="separate"/>
      </w:r>
      <w:r w:rsidRPr="00083719">
        <w:rPr>
          <w:rFonts w:ascii="Calibri" w:hAnsi="Calibri" w:cs="Calibri"/>
          <w:szCs w:val="24"/>
          <w:vertAlign w:val="superscript"/>
        </w:rPr>
        <w:t>15</w:t>
      </w:r>
      <w:r w:rsidRPr="00083719">
        <w:fldChar w:fldCharType="end"/>
      </w:r>
      <w:r>
        <w:t xml:space="preserve"> </w:t>
      </w:r>
      <w:r w:rsidRPr="00083719">
        <w:t>and the lowercase alphanumerical listing [(a), (b), (c), …] indicates the sub-items.</w:t>
      </w:r>
    </w:p>
    <w:p w:rsidR="00075C07" w:rsidRPr="00083719" w:rsidRDefault="00075C07" w:rsidP="00075C07">
      <w:pPr>
        <w:spacing w:after="0"/>
        <w:ind w:left="-426" w:hanging="425"/>
        <w:jc w:val="both"/>
      </w:pPr>
    </w:p>
    <w:p w:rsidR="00075C07" w:rsidRPr="00083719" w:rsidRDefault="00075C07" w:rsidP="00075C07">
      <w:pPr>
        <w:pStyle w:val="ListParagraph"/>
        <w:numPr>
          <w:ilvl w:val="0"/>
          <w:numId w:val="1"/>
        </w:numPr>
        <w:spacing w:after="0"/>
        <w:ind w:left="-426" w:hanging="425"/>
        <w:jc w:val="both"/>
      </w:pPr>
      <w:r w:rsidRPr="00083719">
        <w:rPr>
          <w:b/>
        </w:rPr>
        <w:t xml:space="preserve">TA1 </w:t>
      </w:r>
      <w:r w:rsidRPr="00083719">
        <w:t>Title and abstract. (a) Indicate the study’s design with a commonly used term in the title or the abstract. (b) Provide in the abstract an informative and balanced summary of what was done and what was found.</w:t>
      </w:r>
    </w:p>
    <w:p w:rsidR="00075C07" w:rsidRPr="00083719" w:rsidRDefault="00075C07" w:rsidP="00075C07">
      <w:pPr>
        <w:pStyle w:val="ListParagraph"/>
        <w:spacing w:after="0"/>
        <w:ind w:left="-426"/>
        <w:jc w:val="both"/>
      </w:pPr>
    </w:p>
    <w:p w:rsidR="00075C07" w:rsidRPr="00083719" w:rsidRDefault="00075C07" w:rsidP="00075C07">
      <w:pPr>
        <w:pStyle w:val="ListParagraph"/>
        <w:numPr>
          <w:ilvl w:val="0"/>
          <w:numId w:val="1"/>
        </w:numPr>
        <w:spacing w:before="120" w:after="0"/>
        <w:ind w:left="-426" w:hanging="425"/>
        <w:jc w:val="both"/>
      </w:pPr>
      <w:r w:rsidRPr="00083719">
        <w:rPr>
          <w:b/>
        </w:rPr>
        <w:t xml:space="preserve">IN2 </w:t>
      </w:r>
      <w:r w:rsidRPr="00083719">
        <w:t>Background/rationale. Explain the scientific background and rationale for the investigation being reported.</w:t>
      </w:r>
    </w:p>
    <w:p w:rsidR="00075C07" w:rsidRPr="00083719" w:rsidRDefault="00075C07" w:rsidP="00075C07">
      <w:pPr>
        <w:pStyle w:val="ListParagraph"/>
      </w:pPr>
    </w:p>
    <w:p w:rsidR="00075C07" w:rsidRPr="00083719" w:rsidRDefault="00075C07" w:rsidP="00075C07">
      <w:pPr>
        <w:pStyle w:val="ListParagraph"/>
        <w:numPr>
          <w:ilvl w:val="0"/>
          <w:numId w:val="1"/>
        </w:numPr>
        <w:spacing w:before="120" w:after="0"/>
        <w:ind w:left="-426" w:hanging="425"/>
        <w:jc w:val="both"/>
      </w:pPr>
      <w:r w:rsidRPr="00083719">
        <w:rPr>
          <w:b/>
        </w:rPr>
        <w:t xml:space="preserve">IN3 </w:t>
      </w:r>
      <w:r w:rsidRPr="00083719">
        <w:t>Objectives. State</w:t>
      </w:r>
      <w:r>
        <w:t>-</w:t>
      </w:r>
      <w:r w:rsidRPr="00083719">
        <w:t xml:space="preserve">specific objectives, including any </w:t>
      </w:r>
      <w:proofErr w:type="spellStart"/>
      <w:r w:rsidRPr="00083719">
        <w:t>prespecified</w:t>
      </w:r>
      <w:proofErr w:type="spellEnd"/>
      <w:r w:rsidRPr="00083719">
        <w:t xml:space="preserve"> hypotheses.(a) specific population, (b) exposures, (c) outcomes, (d) parameter to be estimated.</w:t>
      </w:r>
    </w:p>
    <w:p w:rsidR="00075C07" w:rsidRPr="00083719" w:rsidRDefault="00075C07" w:rsidP="00075C07">
      <w:pPr>
        <w:spacing w:before="120" w:after="0"/>
        <w:jc w:val="both"/>
      </w:pPr>
    </w:p>
    <w:p w:rsidR="00075C07" w:rsidRPr="00083719" w:rsidRDefault="00075C07" w:rsidP="00075C07">
      <w:pPr>
        <w:pStyle w:val="ListParagraph"/>
        <w:numPr>
          <w:ilvl w:val="0"/>
          <w:numId w:val="1"/>
        </w:numPr>
        <w:spacing w:after="0"/>
        <w:ind w:left="-426" w:hanging="425"/>
      </w:pPr>
      <w:r w:rsidRPr="00083719">
        <w:rPr>
          <w:b/>
        </w:rPr>
        <w:t xml:space="preserve">ME4 </w:t>
      </w:r>
      <w:r w:rsidRPr="00083719">
        <w:t>Methods. Study design. Present key elements of study design early in the paper.</w:t>
      </w:r>
      <w:r w:rsidRPr="00083719">
        <w:br/>
        <w:t>Cohort: (a1) cohort, (a2) time period, (a3) exposure status;</w:t>
      </w:r>
      <w:r w:rsidRPr="00083719">
        <w:br/>
        <w:t>Case-control: (b1) case description, (b2) control description, (b3) source, (b4) population;</w:t>
      </w:r>
      <w:r w:rsidRPr="00083719">
        <w:br/>
        <w:t>Cross-sectional: (c1) population, (c2) timing.</w:t>
      </w:r>
    </w:p>
    <w:p w:rsidR="00075C07" w:rsidRPr="00083719" w:rsidRDefault="00075C07" w:rsidP="00075C07">
      <w:pPr>
        <w:pStyle w:val="ListParagraph"/>
        <w:spacing w:after="0"/>
        <w:ind w:left="-426"/>
        <w:jc w:val="both"/>
      </w:pPr>
    </w:p>
    <w:p w:rsidR="00075C07" w:rsidRPr="00083719" w:rsidRDefault="00075C07" w:rsidP="00075C07">
      <w:pPr>
        <w:pStyle w:val="ListParagraph"/>
        <w:numPr>
          <w:ilvl w:val="0"/>
          <w:numId w:val="1"/>
        </w:numPr>
        <w:spacing w:after="0"/>
        <w:ind w:left="-426" w:hanging="425"/>
        <w:jc w:val="both"/>
      </w:pPr>
      <w:r w:rsidRPr="00083719">
        <w:rPr>
          <w:b/>
        </w:rPr>
        <w:t xml:space="preserve">ME5 </w:t>
      </w:r>
      <w:r w:rsidRPr="00083719">
        <w:t>Setting. Describe the setting, locations, and relevant dates, including periods of recruitment, exposure, follow-up, and data collection.</w:t>
      </w:r>
    </w:p>
    <w:p w:rsidR="00075C07" w:rsidRPr="00083719" w:rsidRDefault="00075C07" w:rsidP="00075C07">
      <w:pPr>
        <w:pStyle w:val="ListParagraph"/>
        <w:rPr>
          <w:b/>
        </w:rPr>
      </w:pPr>
    </w:p>
    <w:p w:rsidR="00075C07" w:rsidRPr="00083719" w:rsidRDefault="00075C07" w:rsidP="00075C07">
      <w:pPr>
        <w:pStyle w:val="ListParagraph"/>
        <w:numPr>
          <w:ilvl w:val="0"/>
          <w:numId w:val="1"/>
        </w:numPr>
        <w:spacing w:after="0"/>
        <w:ind w:left="-426" w:hanging="425"/>
      </w:pPr>
      <w:r w:rsidRPr="00083719">
        <w:rPr>
          <w:b/>
        </w:rPr>
        <w:t>ME6</w:t>
      </w:r>
      <w:r w:rsidRPr="00083719">
        <w:t xml:space="preserve"> Participants.</w:t>
      </w:r>
      <w:r w:rsidRPr="00083719">
        <w:br/>
        <w:t>Cohort: (a1) eligibility criteria, (a2) selection sources, (a3) selection method, (a4) methods of follow-up</w:t>
      </w:r>
      <w:r w:rsidRPr="00083719">
        <w:br/>
        <w:t>Matched Cohort: (a5) For matched studies, give matching criteria and number of exposed and unexposed. Case-Controls: (b1) eligibility criteria, (b2) selection sources, (b3) selection method, (b4) rationale for the choice of cases and controls.</w:t>
      </w:r>
      <w:r w:rsidRPr="00083719">
        <w:br/>
        <w:t>Matched Case-control study: (b5)For matched studies, give matching criteria and the number of controls per case</w:t>
      </w:r>
      <w:r w:rsidRPr="00083719">
        <w:br/>
        <w:t>Cross-sectional (c1) eligibility criteria, (c2) selection sources, (c3) selection method</w:t>
      </w:r>
    </w:p>
    <w:p w:rsidR="00075C07" w:rsidRPr="00083719" w:rsidRDefault="00075C07" w:rsidP="00075C07">
      <w:pPr>
        <w:spacing w:after="0"/>
        <w:jc w:val="both"/>
      </w:pPr>
    </w:p>
    <w:p w:rsidR="00075C07" w:rsidRPr="00083719" w:rsidRDefault="00075C07" w:rsidP="00075C07">
      <w:pPr>
        <w:pStyle w:val="ListParagraph"/>
        <w:numPr>
          <w:ilvl w:val="0"/>
          <w:numId w:val="1"/>
        </w:numPr>
        <w:spacing w:after="0"/>
        <w:ind w:left="-426" w:hanging="425"/>
        <w:jc w:val="both"/>
      </w:pPr>
      <w:r w:rsidRPr="00083719">
        <w:rPr>
          <w:b/>
        </w:rPr>
        <w:t xml:space="preserve">ME7 </w:t>
      </w:r>
      <w:r w:rsidRPr="00083719">
        <w:t>Variables. Clearly define all (a) outcomes, (b) exposures and predictors, (c) potential confounders and effect modifiers. Give (d) diagnostic criteria, if applicable.</w:t>
      </w:r>
    </w:p>
    <w:p w:rsidR="00075C07" w:rsidRPr="00083719" w:rsidRDefault="00075C07" w:rsidP="00075C07">
      <w:pPr>
        <w:spacing w:after="0"/>
        <w:jc w:val="both"/>
      </w:pPr>
    </w:p>
    <w:p w:rsidR="00075C07" w:rsidRPr="00083719" w:rsidRDefault="00075C07" w:rsidP="00075C07">
      <w:pPr>
        <w:pStyle w:val="ListParagraph"/>
        <w:numPr>
          <w:ilvl w:val="0"/>
          <w:numId w:val="1"/>
        </w:numPr>
        <w:spacing w:after="0"/>
        <w:ind w:left="-426" w:hanging="425"/>
        <w:jc w:val="both"/>
      </w:pPr>
      <w:r w:rsidRPr="00083719">
        <w:rPr>
          <w:b/>
        </w:rPr>
        <w:t xml:space="preserve">ME8 </w:t>
      </w:r>
      <w:r w:rsidRPr="00083719">
        <w:t>Data sources/measurement. For each variable of interest, give (a) sources of data</w:t>
      </w:r>
      <w:r>
        <w:t xml:space="preserve"> </w:t>
      </w:r>
      <w:r w:rsidRPr="00083719">
        <w:t>and (b) details of methods of assessment (measurement). Describe (c) comparability of assessment methods if there is more than one group.</w:t>
      </w:r>
    </w:p>
    <w:p w:rsidR="00075C07" w:rsidRPr="00083719" w:rsidRDefault="00075C07" w:rsidP="00075C07">
      <w:pPr>
        <w:pStyle w:val="ListParagraph"/>
        <w:spacing w:after="0"/>
        <w:ind w:left="-426"/>
        <w:jc w:val="both"/>
      </w:pPr>
    </w:p>
    <w:p w:rsidR="00075C07" w:rsidRPr="00083719" w:rsidRDefault="00075C07" w:rsidP="00075C07">
      <w:pPr>
        <w:pStyle w:val="ListParagraph"/>
        <w:numPr>
          <w:ilvl w:val="0"/>
          <w:numId w:val="1"/>
        </w:numPr>
        <w:spacing w:after="0"/>
        <w:ind w:left="-426" w:hanging="425"/>
        <w:jc w:val="both"/>
      </w:pPr>
      <w:r w:rsidRPr="00083719">
        <w:rPr>
          <w:b/>
        </w:rPr>
        <w:t>ME9</w:t>
      </w:r>
      <w:r w:rsidRPr="00083719">
        <w:t xml:space="preserve"> Bias. Describe any efforts to address potential sources of bias.</w:t>
      </w:r>
    </w:p>
    <w:p w:rsidR="00075C07" w:rsidRPr="00083719" w:rsidRDefault="00075C07" w:rsidP="00075C07">
      <w:pPr>
        <w:spacing w:after="0"/>
        <w:jc w:val="both"/>
      </w:pPr>
    </w:p>
    <w:p w:rsidR="00075C07" w:rsidRPr="00083719" w:rsidRDefault="00075C07" w:rsidP="00075C07">
      <w:pPr>
        <w:pStyle w:val="ListParagraph"/>
        <w:numPr>
          <w:ilvl w:val="0"/>
          <w:numId w:val="1"/>
        </w:numPr>
        <w:spacing w:after="0"/>
        <w:ind w:left="-426" w:hanging="425"/>
        <w:jc w:val="both"/>
      </w:pPr>
      <w:r w:rsidRPr="00083719">
        <w:rPr>
          <w:b/>
        </w:rPr>
        <w:t xml:space="preserve">ME10 </w:t>
      </w:r>
      <w:r w:rsidRPr="00083719">
        <w:t>Study size. Explain how the study size was arrived at.</w:t>
      </w:r>
    </w:p>
    <w:p w:rsidR="00075C07" w:rsidRPr="00083719" w:rsidRDefault="00075C07" w:rsidP="00075C07">
      <w:pPr>
        <w:pStyle w:val="ListParagraph"/>
        <w:spacing w:after="0"/>
        <w:ind w:left="-426"/>
        <w:jc w:val="both"/>
      </w:pPr>
    </w:p>
    <w:p w:rsidR="00075C07" w:rsidRPr="00083719" w:rsidRDefault="00075C07" w:rsidP="00075C07">
      <w:pPr>
        <w:pStyle w:val="ListParagraph"/>
        <w:numPr>
          <w:ilvl w:val="0"/>
          <w:numId w:val="1"/>
        </w:numPr>
        <w:spacing w:after="0"/>
        <w:ind w:left="-426" w:hanging="425"/>
        <w:jc w:val="both"/>
      </w:pPr>
      <w:r w:rsidRPr="00083719">
        <w:rPr>
          <w:b/>
        </w:rPr>
        <w:t>ME11</w:t>
      </w:r>
      <w:r w:rsidRPr="00083719">
        <w:t xml:space="preserve"> Quantitative variables. Explain how quantitative variables were (a) handled</w:t>
      </w:r>
      <w:r>
        <w:t xml:space="preserve"> </w:t>
      </w:r>
      <w:r w:rsidRPr="00083719">
        <w:t>in the analyses. If applicable, describe (b) which groupings were chosen and why.</w:t>
      </w:r>
    </w:p>
    <w:p w:rsidR="00075C07" w:rsidRPr="00083719" w:rsidRDefault="00075C07" w:rsidP="00075C07">
      <w:pPr>
        <w:pStyle w:val="ListParagraph"/>
        <w:rPr>
          <w:b/>
        </w:rPr>
      </w:pPr>
    </w:p>
    <w:p w:rsidR="00075C07" w:rsidRPr="00083719" w:rsidRDefault="00075C07" w:rsidP="00075C07">
      <w:pPr>
        <w:pStyle w:val="ListParagraph"/>
        <w:numPr>
          <w:ilvl w:val="0"/>
          <w:numId w:val="1"/>
        </w:numPr>
        <w:spacing w:after="0"/>
        <w:ind w:left="-426" w:hanging="425"/>
      </w:pPr>
      <w:r w:rsidRPr="00083719">
        <w:rPr>
          <w:b/>
        </w:rPr>
        <w:t xml:space="preserve">ME12 </w:t>
      </w:r>
      <w:r w:rsidRPr="00083719">
        <w:t>Describe (a1)</w:t>
      </w:r>
      <w:r>
        <w:t xml:space="preserve"> </w:t>
      </w:r>
      <w:r w:rsidRPr="00083719">
        <w:t>all statistical methods, including (a2) those used to control for confounding. (b) Describe any methods used to examine subgroups and interactions. (c) Explain how missing data were addressed.</w:t>
      </w:r>
      <w:r w:rsidRPr="00083719">
        <w:br/>
        <w:t>Cohort: (d1) If applicable, explain how loss to follow-up was addressed.</w:t>
      </w:r>
      <w:r w:rsidRPr="00083719">
        <w:br/>
        <w:t>Case-control: (d2) If applicable, explain how matching of cases and controls was addressed.</w:t>
      </w:r>
      <w:r w:rsidRPr="00083719">
        <w:br/>
        <w:t>Cross-sectional: (d3) If applicable, describe analytical methods taking account of sampling strategy.</w:t>
      </w:r>
      <w:r w:rsidRPr="00083719">
        <w:br/>
        <w:t>(e) Describe any sensitivity analyses.</w:t>
      </w:r>
    </w:p>
    <w:p w:rsidR="00075C07" w:rsidRPr="00083719" w:rsidRDefault="00075C07" w:rsidP="00075C07">
      <w:pPr>
        <w:pStyle w:val="ListParagraph"/>
        <w:rPr>
          <w:b/>
        </w:rPr>
      </w:pPr>
    </w:p>
    <w:p w:rsidR="00075C07" w:rsidRPr="00083719" w:rsidRDefault="00075C07" w:rsidP="00075C07">
      <w:pPr>
        <w:pStyle w:val="ListParagraph"/>
        <w:numPr>
          <w:ilvl w:val="0"/>
          <w:numId w:val="1"/>
        </w:numPr>
        <w:spacing w:after="0"/>
        <w:ind w:left="-426" w:hanging="425"/>
        <w:jc w:val="both"/>
      </w:pPr>
      <w:r w:rsidRPr="00083719">
        <w:rPr>
          <w:b/>
        </w:rPr>
        <w:t>RE13</w:t>
      </w:r>
      <w:r w:rsidRPr="00083719">
        <w:t>(a) Report numbers of individuals at each stage of study—</w:t>
      </w:r>
      <w:r>
        <w:t>for example,</w:t>
      </w:r>
      <w:r w:rsidRPr="00083719">
        <w:t xml:space="preserve"> numbers potentially eligible, examined for eligibility, confirmed eligible, included in the study, completing follow-up, and analysed. (b) Give reasons for non-participation at each stage. (c) Consider use of a flow diagram.</w:t>
      </w:r>
    </w:p>
    <w:p w:rsidR="00075C07" w:rsidRPr="00083719" w:rsidRDefault="00075C07" w:rsidP="00075C07">
      <w:pPr>
        <w:pStyle w:val="ListParagraph"/>
        <w:rPr>
          <w:b/>
        </w:rPr>
      </w:pPr>
    </w:p>
    <w:p w:rsidR="00075C07" w:rsidRPr="00083719" w:rsidRDefault="00075C07" w:rsidP="00075C07">
      <w:pPr>
        <w:pStyle w:val="ListParagraph"/>
        <w:numPr>
          <w:ilvl w:val="0"/>
          <w:numId w:val="1"/>
        </w:numPr>
        <w:spacing w:after="0"/>
        <w:ind w:left="-426" w:hanging="425"/>
      </w:pPr>
      <w:r w:rsidRPr="00083719">
        <w:rPr>
          <w:b/>
        </w:rPr>
        <w:t xml:space="preserve">RE14 </w:t>
      </w:r>
      <w:r w:rsidRPr="00083719">
        <w:t>Give characteristics of (a1) study participants (demographic, clinical, social) and information on (a2) exposures and (a3) potential confounders. (b) Indicate number of participants with missing data for each variable of interest.</w:t>
      </w:r>
      <w:r w:rsidRPr="00083719">
        <w:br/>
        <w:t>Cohort: (c) Summarise follow-up time (</w:t>
      </w:r>
      <w:proofErr w:type="spellStart"/>
      <w:r w:rsidRPr="00083719">
        <w:t>eg</w:t>
      </w:r>
      <w:proofErr w:type="spellEnd"/>
      <w:r w:rsidRPr="00083719">
        <w:t>, average and total amount)</w:t>
      </w:r>
    </w:p>
    <w:p w:rsidR="00075C07" w:rsidRPr="00083719" w:rsidRDefault="00075C07" w:rsidP="00075C07">
      <w:pPr>
        <w:pStyle w:val="ListParagraph"/>
        <w:rPr>
          <w:b/>
        </w:rPr>
      </w:pPr>
    </w:p>
    <w:p w:rsidR="00075C07" w:rsidRPr="00083719" w:rsidRDefault="00075C07" w:rsidP="00075C07">
      <w:pPr>
        <w:pStyle w:val="ListParagraph"/>
        <w:numPr>
          <w:ilvl w:val="0"/>
          <w:numId w:val="1"/>
        </w:numPr>
        <w:spacing w:after="0"/>
        <w:ind w:left="-426" w:hanging="425"/>
      </w:pPr>
      <w:r w:rsidRPr="00083719">
        <w:rPr>
          <w:b/>
        </w:rPr>
        <w:t xml:space="preserve">RE15 </w:t>
      </w:r>
      <w:r w:rsidRPr="00083719">
        <w:t>Numbers</w:t>
      </w:r>
      <w:r w:rsidRPr="00083719">
        <w:br/>
        <w:t>Cohort: (a) Report numbers of outcome events or summary measures over time.</w:t>
      </w:r>
      <w:r w:rsidRPr="00083719">
        <w:br/>
        <w:t>Case-control: (b) Report numbers in each exposure category or summary measures of exposure.</w:t>
      </w:r>
      <w:r w:rsidRPr="00083719">
        <w:br/>
        <w:t>Cross-sectional: (c) Report numbers of outcome events or summary measures</w:t>
      </w:r>
    </w:p>
    <w:p w:rsidR="00075C07" w:rsidRPr="00083719" w:rsidRDefault="00075C07" w:rsidP="00075C07">
      <w:pPr>
        <w:pStyle w:val="ListParagraph"/>
        <w:rPr>
          <w:b/>
        </w:rPr>
      </w:pPr>
    </w:p>
    <w:p w:rsidR="00075C07" w:rsidRPr="00083719" w:rsidRDefault="00075C07" w:rsidP="00075C07">
      <w:pPr>
        <w:pStyle w:val="ListParagraph"/>
        <w:numPr>
          <w:ilvl w:val="0"/>
          <w:numId w:val="1"/>
        </w:numPr>
        <w:spacing w:after="0"/>
        <w:ind w:left="-426" w:hanging="425"/>
        <w:jc w:val="both"/>
      </w:pPr>
      <w:r w:rsidRPr="00083719">
        <w:rPr>
          <w:b/>
        </w:rPr>
        <w:t>RE16</w:t>
      </w:r>
      <w:r w:rsidRPr="00083719">
        <w:t>(a1) Give unadjusted estimates and, if applicable, (a2) confounder-adjusted estimates and (a3) their precision (</w:t>
      </w:r>
      <w:proofErr w:type="spellStart"/>
      <w:r w:rsidRPr="00083719">
        <w:t>eg</w:t>
      </w:r>
      <w:proofErr w:type="spellEnd"/>
      <w:r w:rsidRPr="00083719">
        <w:t>, 95% confidence interval). (a4) Make clear which confounders were adjusted for and why they were included. (b) Report category boundaries when continuous variables were categori</w:t>
      </w:r>
      <w:r>
        <w:t>s</w:t>
      </w:r>
      <w:r w:rsidRPr="00083719">
        <w:t>ed. (c) If relevant, consider translating estimates of relative risk into absolute risk for a meaningful time period.</w:t>
      </w:r>
    </w:p>
    <w:p w:rsidR="00075C07" w:rsidRPr="00083719" w:rsidRDefault="00075C07" w:rsidP="00075C07">
      <w:pPr>
        <w:spacing w:after="0"/>
        <w:jc w:val="both"/>
      </w:pPr>
    </w:p>
    <w:p w:rsidR="00075C07" w:rsidRPr="00083719" w:rsidRDefault="00075C07" w:rsidP="00075C07">
      <w:pPr>
        <w:pStyle w:val="ListParagraph"/>
        <w:numPr>
          <w:ilvl w:val="0"/>
          <w:numId w:val="1"/>
        </w:numPr>
        <w:spacing w:after="0"/>
        <w:ind w:left="-426" w:hanging="425"/>
        <w:jc w:val="both"/>
      </w:pPr>
      <w:r w:rsidRPr="00083719">
        <w:rPr>
          <w:b/>
        </w:rPr>
        <w:t xml:space="preserve">RE17 </w:t>
      </w:r>
      <w:r w:rsidRPr="00083719">
        <w:t>Other analyses. Report other analyses done—</w:t>
      </w:r>
      <w:r>
        <w:t>for example,</w:t>
      </w:r>
      <w:r w:rsidRPr="00083719">
        <w:t xml:space="preserve"> analyses of subgroups and interactions and sensitivity analyses</w:t>
      </w:r>
    </w:p>
    <w:p w:rsidR="00075C07" w:rsidRPr="00083719" w:rsidRDefault="00075C07" w:rsidP="00075C07">
      <w:pPr>
        <w:pStyle w:val="ListParagraph"/>
        <w:spacing w:after="0"/>
        <w:ind w:left="-426"/>
        <w:jc w:val="both"/>
      </w:pPr>
    </w:p>
    <w:p w:rsidR="00075C07" w:rsidRPr="00083719" w:rsidRDefault="00075C07" w:rsidP="00075C07">
      <w:pPr>
        <w:pStyle w:val="ListParagraph"/>
        <w:numPr>
          <w:ilvl w:val="0"/>
          <w:numId w:val="1"/>
        </w:numPr>
        <w:spacing w:after="0"/>
        <w:ind w:left="-426" w:hanging="425"/>
        <w:jc w:val="both"/>
      </w:pPr>
      <w:r w:rsidRPr="00083719">
        <w:rPr>
          <w:b/>
        </w:rPr>
        <w:t xml:space="preserve">DI18 </w:t>
      </w:r>
      <w:r w:rsidRPr="00083719">
        <w:t>Discussion Key results. Summarise key results with reference to study objectives.</w:t>
      </w:r>
    </w:p>
    <w:p w:rsidR="00075C07" w:rsidRPr="00083719" w:rsidRDefault="00075C07" w:rsidP="00075C07">
      <w:pPr>
        <w:pStyle w:val="ListParagraph"/>
        <w:spacing w:after="0"/>
        <w:ind w:left="-426"/>
        <w:jc w:val="both"/>
      </w:pPr>
    </w:p>
    <w:p w:rsidR="00075C07" w:rsidRPr="00083719" w:rsidRDefault="00075C07" w:rsidP="00075C07">
      <w:pPr>
        <w:pStyle w:val="ListParagraph"/>
        <w:numPr>
          <w:ilvl w:val="0"/>
          <w:numId w:val="1"/>
        </w:numPr>
        <w:spacing w:after="0"/>
        <w:ind w:left="-426" w:hanging="425"/>
        <w:jc w:val="both"/>
      </w:pPr>
      <w:r w:rsidRPr="00083719">
        <w:rPr>
          <w:b/>
        </w:rPr>
        <w:t xml:space="preserve">DI19 </w:t>
      </w:r>
      <w:r w:rsidRPr="00083719">
        <w:t>Limitations. Discuss limitations of the study, taking into account sources of potential bias or imprecision. Discuss both direction and magnitude of any potential bias.</w:t>
      </w:r>
    </w:p>
    <w:p w:rsidR="00075C07" w:rsidRPr="00083719" w:rsidRDefault="00075C07" w:rsidP="00075C07">
      <w:pPr>
        <w:pStyle w:val="ListParagraph"/>
        <w:spacing w:after="0"/>
        <w:ind w:left="-426"/>
        <w:jc w:val="both"/>
      </w:pPr>
    </w:p>
    <w:p w:rsidR="00075C07" w:rsidRPr="00083719" w:rsidRDefault="00075C07" w:rsidP="00075C07">
      <w:pPr>
        <w:pStyle w:val="ListParagraph"/>
        <w:numPr>
          <w:ilvl w:val="0"/>
          <w:numId w:val="1"/>
        </w:numPr>
        <w:spacing w:after="0"/>
        <w:ind w:left="-426" w:hanging="425"/>
        <w:jc w:val="both"/>
      </w:pPr>
      <w:r w:rsidRPr="00083719">
        <w:rPr>
          <w:b/>
        </w:rPr>
        <w:t xml:space="preserve">DI20 </w:t>
      </w:r>
      <w:r w:rsidRPr="00083719">
        <w:t>Interpretation. Give a cautious overall interpretation of results considering objectives, limitations, multiplicity of analyses, results from similar studies and other relevant evidence.</w:t>
      </w:r>
    </w:p>
    <w:p w:rsidR="00075C07" w:rsidRPr="00083719" w:rsidRDefault="00075C07" w:rsidP="00075C07">
      <w:pPr>
        <w:spacing w:after="0"/>
        <w:jc w:val="both"/>
      </w:pPr>
    </w:p>
    <w:p w:rsidR="00075C07" w:rsidRPr="00083719" w:rsidRDefault="00075C07" w:rsidP="00075C07">
      <w:pPr>
        <w:pStyle w:val="ListParagraph"/>
        <w:numPr>
          <w:ilvl w:val="0"/>
          <w:numId w:val="1"/>
        </w:numPr>
        <w:spacing w:after="0"/>
        <w:ind w:left="-426" w:hanging="425"/>
        <w:jc w:val="both"/>
      </w:pPr>
      <w:r w:rsidRPr="00083719">
        <w:rPr>
          <w:b/>
        </w:rPr>
        <w:t xml:space="preserve">DI21 </w:t>
      </w:r>
      <w:r w:rsidRPr="00083719">
        <w:t>Generalisability. Discuss the generalisability (external validity) of the study results.</w:t>
      </w:r>
    </w:p>
    <w:p w:rsidR="00075C07" w:rsidRPr="00083719" w:rsidRDefault="00075C07" w:rsidP="00075C07">
      <w:pPr>
        <w:pStyle w:val="ListParagraph"/>
        <w:spacing w:after="0"/>
        <w:ind w:left="-426"/>
        <w:jc w:val="both"/>
      </w:pPr>
    </w:p>
    <w:p w:rsidR="00075C07" w:rsidRDefault="00075C07" w:rsidP="00075C07">
      <w:pPr>
        <w:spacing w:after="0"/>
        <w:jc w:val="both"/>
        <w:rPr>
          <w:lang w:val="en-US"/>
        </w:rPr>
      </w:pPr>
      <w:r w:rsidRPr="00083719">
        <w:rPr>
          <w:b/>
        </w:rPr>
        <w:t>DI22</w:t>
      </w:r>
      <w:r w:rsidRPr="00083719">
        <w:t xml:space="preserve"> Funding. Give the source of funding and the role of the funders for the present study and, if applicable, for the original study on which the present article is based.</w:t>
      </w:r>
    </w:p>
    <w:p w:rsidR="00075C07" w:rsidRDefault="00075C07" w:rsidP="002A3752">
      <w:pPr>
        <w:spacing w:after="0"/>
        <w:jc w:val="both"/>
        <w:rPr>
          <w:lang w:val="en-US"/>
        </w:rPr>
      </w:pPr>
    </w:p>
    <w:p w:rsidR="002A3752" w:rsidRDefault="002A3752" w:rsidP="002A3752">
      <w:pPr>
        <w:spacing w:after="0"/>
        <w:jc w:val="both"/>
        <w:rPr>
          <w:lang w:val="en-US"/>
        </w:rPr>
      </w:pPr>
      <w:r>
        <w:rPr>
          <w:lang w:val="en-US"/>
        </w:rPr>
        <w:t xml:space="preserve">Supplementary table 1. Variables and rate of reporting where applicable </w:t>
      </w:r>
    </w:p>
    <w:p w:rsidR="002A3752" w:rsidRDefault="002A3752" w:rsidP="002A3752">
      <w:pPr>
        <w:spacing w:after="0"/>
        <w:jc w:val="both"/>
        <w:rPr>
          <w:lang w:val="en-US"/>
        </w:rPr>
      </w:pPr>
    </w:p>
    <w:p w:rsidR="002A3752" w:rsidRDefault="002A3752" w:rsidP="002A3752">
      <w:pPr>
        <w:spacing w:after="0"/>
        <w:jc w:val="both"/>
        <w:rPr>
          <w:lang w:val="en-US"/>
        </w:rPr>
      </w:pPr>
      <w:r>
        <w:rPr>
          <w:lang w:val="en-US"/>
        </w:rPr>
        <w:t xml:space="preserve">Items are labelled as </w:t>
      </w:r>
      <w:proofErr w:type="spellStart"/>
      <w:r>
        <w:rPr>
          <w:lang w:val="en-US"/>
        </w:rPr>
        <w:t>XX#_y</w:t>
      </w:r>
      <w:proofErr w:type="spellEnd"/>
      <w:r>
        <w:rPr>
          <w:lang w:val="en-US"/>
        </w:rPr>
        <w:t xml:space="preserve"> where XX represents the STROBE section [TA (title and abstract), IN (introduction), ME (methods), RE (results), DI (discussion)], where # represents the STROBE item [1-22], and where y is the lowercase alphanumerical listing [(a), (b), (c), …] indicating the sub-items defined in the section above.</w:t>
      </w:r>
    </w:p>
    <w:p w:rsidR="002A3752" w:rsidRDefault="002A3752" w:rsidP="002A3752">
      <w:pPr>
        <w:spacing w:after="0"/>
        <w:jc w:val="both"/>
        <w:rPr>
          <w:lang w:val="en-US"/>
        </w:rPr>
      </w:pPr>
    </w:p>
    <w:p w:rsidR="002A3752" w:rsidRDefault="002A3752" w:rsidP="002A3752">
      <w:pPr>
        <w:spacing w:after="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gridCol w:w="1134"/>
        <w:gridCol w:w="1134"/>
      </w:tblGrid>
      <w:tr w:rsidR="002A3752" w:rsidRPr="00E11452" w:rsidTr="00786306">
        <w:tc>
          <w:tcPr>
            <w:tcW w:w="1134" w:type="dxa"/>
            <w:tcBorders>
              <w:top w:val="single" w:sz="4" w:space="0" w:color="auto"/>
              <w:bottom w:val="single" w:sz="4" w:space="0" w:color="auto"/>
            </w:tcBorders>
          </w:tcPr>
          <w:p w:rsidR="002A3752" w:rsidRPr="00E11452" w:rsidRDefault="002A3752" w:rsidP="00786306">
            <w:pPr>
              <w:spacing w:before="80" w:after="80"/>
              <w:jc w:val="both"/>
              <w:rPr>
                <w:b/>
                <w:lang w:val="en-US"/>
              </w:rPr>
            </w:pPr>
            <w:r w:rsidRPr="00E11452">
              <w:rPr>
                <w:b/>
                <w:lang w:val="en-US"/>
              </w:rPr>
              <w:t>Item</w:t>
            </w:r>
          </w:p>
        </w:tc>
        <w:tc>
          <w:tcPr>
            <w:tcW w:w="1134" w:type="dxa"/>
            <w:tcBorders>
              <w:top w:val="single" w:sz="4" w:space="0" w:color="auto"/>
              <w:bottom w:val="single" w:sz="4" w:space="0" w:color="auto"/>
            </w:tcBorders>
          </w:tcPr>
          <w:p w:rsidR="002A3752" w:rsidRPr="00E11452" w:rsidRDefault="002A3752" w:rsidP="00786306">
            <w:pPr>
              <w:spacing w:before="80" w:after="80"/>
              <w:jc w:val="both"/>
              <w:rPr>
                <w:b/>
                <w:lang w:val="en-US"/>
              </w:rPr>
            </w:pPr>
            <w:r w:rsidRPr="00E11452">
              <w:rPr>
                <w:b/>
                <w:lang w:val="en-US"/>
              </w:rPr>
              <w:t xml:space="preserve">Reporting </w:t>
            </w:r>
          </w:p>
        </w:tc>
        <w:tc>
          <w:tcPr>
            <w:tcW w:w="1134" w:type="dxa"/>
            <w:tcBorders>
              <w:top w:val="single" w:sz="4" w:space="0" w:color="auto"/>
              <w:bottom w:val="single" w:sz="4" w:space="0" w:color="auto"/>
            </w:tcBorders>
          </w:tcPr>
          <w:p w:rsidR="002A3752" w:rsidRPr="00E11452" w:rsidRDefault="002A3752" w:rsidP="00786306">
            <w:pPr>
              <w:spacing w:before="80" w:after="80"/>
              <w:jc w:val="both"/>
              <w:rPr>
                <w:b/>
                <w:lang w:val="en-US"/>
              </w:rPr>
            </w:pPr>
            <w:r w:rsidRPr="00E11452">
              <w:rPr>
                <w:b/>
                <w:lang w:val="en-US"/>
              </w:rPr>
              <w:t>Item</w:t>
            </w:r>
          </w:p>
        </w:tc>
        <w:tc>
          <w:tcPr>
            <w:tcW w:w="1134" w:type="dxa"/>
            <w:tcBorders>
              <w:top w:val="single" w:sz="4" w:space="0" w:color="auto"/>
              <w:bottom w:val="single" w:sz="4" w:space="0" w:color="auto"/>
            </w:tcBorders>
          </w:tcPr>
          <w:p w:rsidR="002A3752" w:rsidRPr="00E11452" w:rsidRDefault="002A3752" w:rsidP="00786306">
            <w:pPr>
              <w:spacing w:before="80" w:after="80"/>
              <w:jc w:val="both"/>
              <w:rPr>
                <w:b/>
                <w:lang w:val="en-US"/>
              </w:rPr>
            </w:pPr>
            <w:r w:rsidRPr="00E11452">
              <w:rPr>
                <w:b/>
                <w:lang w:val="en-US"/>
              </w:rPr>
              <w:t xml:space="preserve">Reporting </w:t>
            </w:r>
          </w:p>
        </w:tc>
        <w:tc>
          <w:tcPr>
            <w:tcW w:w="1134" w:type="dxa"/>
            <w:tcBorders>
              <w:top w:val="single" w:sz="4" w:space="0" w:color="auto"/>
              <w:bottom w:val="single" w:sz="4" w:space="0" w:color="auto"/>
            </w:tcBorders>
          </w:tcPr>
          <w:p w:rsidR="002A3752" w:rsidRPr="00E11452" w:rsidRDefault="002A3752" w:rsidP="00786306">
            <w:pPr>
              <w:spacing w:before="80" w:after="80"/>
              <w:jc w:val="both"/>
              <w:rPr>
                <w:b/>
                <w:lang w:val="en-US"/>
              </w:rPr>
            </w:pPr>
            <w:r w:rsidRPr="00E11452">
              <w:rPr>
                <w:b/>
                <w:lang w:val="en-US"/>
              </w:rPr>
              <w:t>Item</w:t>
            </w:r>
          </w:p>
        </w:tc>
        <w:tc>
          <w:tcPr>
            <w:tcW w:w="1134" w:type="dxa"/>
            <w:tcBorders>
              <w:top w:val="single" w:sz="4" w:space="0" w:color="auto"/>
              <w:bottom w:val="single" w:sz="4" w:space="0" w:color="auto"/>
            </w:tcBorders>
          </w:tcPr>
          <w:p w:rsidR="002A3752" w:rsidRPr="00E11452" w:rsidRDefault="002A3752" w:rsidP="00786306">
            <w:pPr>
              <w:spacing w:before="80" w:after="80"/>
              <w:jc w:val="both"/>
              <w:rPr>
                <w:b/>
                <w:lang w:val="en-US"/>
              </w:rPr>
            </w:pPr>
            <w:r w:rsidRPr="00E11452">
              <w:rPr>
                <w:b/>
                <w:lang w:val="en-US"/>
              </w:rPr>
              <w:t xml:space="preserve">Reporting </w:t>
            </w:r>
          </w:p>
        </w:tc>
      </w:tr>
      <w:tr w:rsidR="002A3752" w:rsidRPr="00E11452" w:rsidTr="00786306">
        <w:tc>
          <w:tcPr>
            <w:tcW w:w="1134" w:type="dxa"/>
            <w:tcBorders>
              <w:top w:val="single" w:sz="4" w:space="0" w:color="auto"/>
            </w:tcBorders>
            <w:vAlign w:val="bottom"/>
          </w:tcPr>
          <w:p w:rsidR="002A3752" w:rsidRPr="00E11452" w:rsidRDefault="002A3752" w:rsidP="00786306">
            <w:pPr>
              <w:spacing w:before="60"/>
              <w:rPr>
                <w:rFonts w:ascii="Calibri" w:hAnsi="Calibri" w:cs="Calibri"/>
                <w:color w:val="000000"/>
              </w:rPr>
            </w:pPr>
            <w:r w:rsidRPr="00E11452">
              <w:rPr>
                <w:rFonts w:ascii="Calibri" w:hAnsi="Calibri" w:cs="Calibri"/>
                <w:color w:val="000000"/>
              </w:rPr>
              <w:t xml:space="preserve">TA1     </w:t>
            </w:r>
          </w:p>
        </w:tc>
        <w:tc>
          <w:tcPr>
            <w:tcW w:w="1134" w:type="dxa"/>
            <w:tcBorders>
              <w:top w:val="single" w:sz="4" w:space="0" w:color="auto"/>
            </w:tcBorders>
            <w:vAlign w:val="bottom"/>
          </w:tcPr>
          <w:p w:rsidR="002A3752" w:rsidRPr="00E11452" w:rsidRDefault="002A3752" w:rsidP="00786306">
            <w:pPr>
              <w:spacing w:before="60"/>
              <w:jc w:val="right"/>
              <w:rPr>
                <w:rFonts w:ascii="Calibri" w:hAnsi="Calibri" w:cs="Calibri"/>
                <w:color w:val="000000"/>
              </w:rPr>
            </w:pPr>
            <w:r w:rsidRPr="00E11452">
              <w:rPr>
                <w:rFonts w:ascii="Calibri" w:hAnsi="Calibri" w:cs="Calibri"/>
                <w:color w:val="000000"/>
              </w:rPr>
              <w:t>28.3%</w:t>
            </w:r>
          </w:p>
        </w:tc>
        <w:tc>
          <w:tcPr>
            <w:tcW w:w="1134" w:type="dxa"/>
            <w:tcBorders>
              <w:top w:val="single" w:sz="4" w:space="0" w:color="auto"/>
            </w:tcBorders>
            <w:shd w:val="clear" w:color="auto" w:fill="auto"/>
            <w:vAlign w:val="bottom"/>
          </w:tcPr>
          <w:p w:rsidR="002A3752" w:rsidRPr="00E11452" w:rsidRDefault="002A3752" w:rsidP="00786306">
            <w:pPr>
              <w:spacing w:before="60"/>
              <w:rPr>
                <w:rFonts w:ascii="Calibri" w:hAnsi="Calibri" w:cs="Calibri"/>
                <w:color w:val="000000"/>
              </w:rPr>
            </w:pPr>
            <w:r w:rsidRPr="00E11452">
              <w:rPr>
                <w:rFonts w:ascii="Calibri" w:hAnsi="Calibri" w:cs="Calibri"/>
                <w:color w:val="000000"/>
              </w:rPr>
              <w:t xml:space="preserve">ME6_b3   </w:t>
            </w:r>
          </w:p>
        </w:tc>
        <w:tc>
          <w:tcPr>
            <w:tcW w:w="1134" w:type="dxa"/>
            <w:tcBorders>
              <w:top w:val="single" w:sz="4" w:space="0" w:color="auto"/>
            </w:tcBorders>
            <w:vAlign w:val="bottom"/>
          </w:tcPr>
          <w:p w:rsidR="002A3752" w:rsidRPr="00E11452" w:rsidRDefault="002A3752" w:rsidP="00786306">
            <w:pPr>
              <w:spacing w:before="60"/>
              <w:jc w:val="right"/>
              <w:rPr>
                <w:rFonts w:ascii="Calibri" w:hAnsi="Calibri" w:cs="Calibri"/>
                <w:color w:val="000000"/>
              </w:rPr>
            </w:pPr>
            <w:r w:rsidRPr="00E11452">
              <w:rPr>
                <w:rFonts w:ascii="Calibri" w:hAnsi="Calibri" w:cs="Calibri"/>
                <w:color w:val="000000"/>
              </w:rPr>
              <w:t>56.9%</w:t>
            </w:r>
          </w:p>
        </w:tc>
        <w:tc>
          <w:tcPr>
            <w:tcW w:w="1134" w:type="dxa"/>
            <w:tcBorders>
              <w:top w:val="single" w:sz="4" w:space="0" w:color="auto"/>
            </w:tcBorders>
            <w:vAlign w:val="bottom"/>
          </w:tcPr>
          <w:p w:rsidR="002A3752" w:rsidRPr="00E11452" w:rsidRDefault="002A3752" w:rsidP="00786306">
            <w:pPr>
              <w:spacing w:before="60"/>
              <w:rPr>
                <w:rFonts w:ascii="Calibri" w:hAnsi="Calibri" w:cs="Calibri"/>
                <w:color w:val="000000"/>
              </w:rPr>
            </w:pPr>
            <w:r w:rsidRPr="00E11452">
              <w:rPr>
                <w:rFonts w:ascii="Calibri" w:hAnsi="Calibri" w:cs="Calibri"/>
                <w:color w:val="000000"/>
              </w:rPr>
              <w:t xml:space="preserve">ME12_e   </w:t>
            </w:r>
          </w:p>
        </w:tc>
        <w:tc>
          <w:tcPr>
            <w:tcW w:w="1134" w:type="dxa"/>
            <w:tcBorders>
              <w:top w:val="single" w:sz="4" w:space="0" w:color="auto"/>
            </w:tcBorders>
            <w:vAlign w:val="bottom"/>
          </w:tcPr>
          <w:p w:rsidR="002A3752" w:rsidRPr="00E11452" w:rsidRDefault="002A3752" w:rsidP="00786306">
            <w:pPr>
              <w:spacing w:before="60"/>
              <w:jc w:val="right"/>
              <w:rPr>
                <w:rFonts w:ascii="Calibri" w:hAnsi="Calibri" w:cs="Calibri"/>
                <w:color w:val="000000"/>
              </w:rPr>
            </w:pPr>
            <w:r w:rsidRPr="00E11452">
              <w:rPr>
                <w:rFonts w:ascii="Calibri" w:hAnsi="Calibri" w:cs="Calibri"/>
                <w:color w:val="000000"/>
              </w:rPr>
              <w:t>22.0%</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TA1_b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91.0%</w:t>
            </w:r>
          </w:p>
        </w:tc>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ME6_b4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91.2%</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RE13_a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47.5%</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IN2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50.0%</w:t>
            </w:r>
          </w:p>
        </w:tc>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ME6_b5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26.3%</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RE13_b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27.8%</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IN3_a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94.2%</w:t>
            </w:r>
          </w:p>
        </w:tc>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ME6_c1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82.5%</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RE13_c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17.5%</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IN3_b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92.8%</w:t>
            </w:r>
          </w:p>
        </w:tc>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ME6_c2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38.6%</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RE14_a1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84.8%</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IN3_c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99.1%</w:t>
            </w:r>
          </w:p>
        </w:tc>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ME6_c3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14.0%</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RE14_a2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91.0%</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IN3_d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88.8%</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ME7_a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90.6%</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RE14_a3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46.6%</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ME4_a1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50.0%</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ME7_b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85.7%</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RE14_b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27.4%</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ME4_a2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93.0%</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ME7_c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37.2%</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RE14_c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57.9%</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ME4_a3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93.0%</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ME7_d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58.3%</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RE15_a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96.5%</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ME4_b1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50.0%</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ME8_a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94.2%</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RE15_b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96.5%</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ME4_b2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94.7%</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ME8_b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98.7%</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RE15_c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98.2%</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ME4_b3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80.7%</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ME8_c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31.4%</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RE16_a1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90.6%</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ME4_b4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96.5%</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ME9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34.5%</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RE16_a2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18.8%</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ME4_c1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50.0%</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ME10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42.2%</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RE16_a3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44.4%</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ME4_c2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78.9%</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ME11_a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31.4%</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RE16_a4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52.9%</w:t>
            </w:r>
          </w:p>
        </w:tc>
      </w:tr>
      <w:tr w:rsidR="002A3752" w:rsidRPr="00E11452" w:rsidTr="00786306">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ME5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93.3%</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ME11_b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31.4%</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RE16_b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42.6%</w:t>
            </w:r>
          </w:p>
        </w:tc>
      </w:tr>
      <w:tr w:rsidR="002A3752" w:rsidRPr="00E11452" w:rsidTr="00786306">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ME6_a1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14.0%</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ME12_a1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33.6%</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RE16_c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0.9%</w:t>
            </w:r>
          </w:p>
        </w:tc>
      </w:tr>
      <w:tr w:rsidR="002A3752" w:rsidRPr="00E11452" w:rsidTr="00786306">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ME6_a2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1.8%</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ME12_a2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50.7%</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RE17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72.2%</w:t>
            </w:r>
          </w:p>
        </w:tc>
      </w:tr>
      <w:tr w:rsidR="002A3752" w:rsidRPr="00E11452" w:rsidTr="00786306">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ME6_a3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10.5%</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ME12_b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57.4%</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DI18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99.6%</w:t>
            </w:r>
          </w:p>
        </w:tc>
      </w:tr>
      <w:tr w:rsidR="002A3752" w:rsidRPr="00E11452" w:rsidTr="00786306">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ME6_a4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71.9%</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ME12_c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27.4%</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DI19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84.3%</w:t>
            </w:r>
          </w:p>
        </w:tc>
      </w:tr>
      <w:tr w:rsidR="002A3752" w:rsidRPr="00E11452" w:rsidTr="00786306">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ME6_a5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8.8%</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ME12_d1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24.6%</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DI20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94.6%</w:t>
            </w:r>
          </w:p>
        </w:tc>
      </w:tr>
      <w:tr w:rsidR="002A3752" w:rsidRPr="00E11452" w:rsidTr="00786306">
        <w:tc>
          <w:tcPr>
            <w:tcW w:w="1134" w:type="dxa"/>
            <w:shd w:val="clear" w:color="auto" w:fill="auto"/>
            <w:vAlign w:val="bottom"/>
          </w:tcPr>
          <w:p w:rsidR="002A3752" w:rsidRPr="00E11452" w:rsidRDefault="002A3752" w:rsidP="00786306">
            <w:pPr>
              <w:rPr>
                <w:rFonts w:ascii="Calibri" w:hAnsi="Calibri" w:cs="Calibri"/>
                <w:color w:val="000000"/>
              </w:rPr>
            </w:pPr>
            <w:r w:rsidRPr="00E11452">
              <w:rPr>
                <w:rFonts w:ascii="Calibri" w:hAnsi="Calibri" w:cs="Calibri"/>
                <w:color w:val="000000"/>
              </w:rPr>
              <w:lastRenderedPageBreak/>
              <w:t xml:space="preserve">ME6_b1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71.6%</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ME12_d2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15.8%</w:t>
            </w:r>
          </w:p>
        </w:tc>
        <w:tc>
          <w:tcPr>
            <w:tcW w:w="1134" w:type="dxa"/>
            <w:vAlign w:val="bottom"/>
          </w:tcPr>
          <w:p w:rsidR="002A3752" w:rsidRPr="00E11452" w:rsidRDefault="002A3752" w:rsidP="00786306">
            <w:pPr>
              <w:rPr>
                <w:rFonts w:ascii="Calibri" w:hAnsi="Calibri" w:cs="Calibri"/>
                <w:color w:val="000000"/>
              </w:rPr>
            </w:pPr>
            <w:r w:rsidRPr="00E11452">
              <w:rPr>
                <w:rFonts w:ascii="Calibri" w:hAnsi="Calibri" w:cs="Calibri"/>
                <w:color w:val="000000"/>
              </w:rPr>
              <w:t xml:space="preserve">DI21     </w:t>
            </w:r>
          </w:p>
        </w:tc>
        <w:tc>
          <w:tcPr>
            <w:tcW w:w="1134" w:type="dxa"/>
            <w:vAlign w:val="bottom"/>
          </w:tcPr>
          <w:p w:rsidR="002A3752" w:rsidRPr="00E11452" w:rsidRDefault="002A3752" w:rsidP="00786306">
            <w:pPr>
              <w:jc w:val="right"/>
              <w:rPr>
                <w:rFonts w:ascii="Calibri" w:hAnsi="Calibri" w:cs="Calibri"/>
                <w:color w:val="000000"/>
              </w:rPr>
            </w:pPr>
            <w:r w:rsidRPr="00E11452">
              <w:rPr>
                <w:rFonts w:ascii="Calibri" w:hAnsi="Calibri" w:cs="Calibri"/>
                <w:color w:val="000000"/>
              </w:rPr>
              <w:t>60.5%</w:t>
            </w:r>
          </w:p>
        </w:tc>
      </w:tr>
      <w:tr w:rsidR="002A3752" w:rsidRPr="00E11452" w:rsidTr="00786306">
        <w:tc>
          <w:tcPr>
            <w:tcW w:w="1134" w:type="dxa"/>
            <w:tcBorders>
              <w:bottom w:val="single" w:sz="4" w:space="0" w:color="auto"/>
            </w:tcBorders>
            <w:shd w:val="clear" w:color="auto" w:fill="auto"/>
            <w:vAlign w:val="bottom"/>
          </w:tcPr>
          <w:p w:rsidR="002A3752" w:rsidRPr="00E11452" w:rsidRDefault="002A3752" w:rsidP="00786306">
            <w:pPr>
              <w:spacing w:after="60"/>
              <w:rPr>
                <w:rFonts w:ascii="Calibri" w:hAnsi="Calibri" w:cs="Calibri"/>
                <w:color w:val="000000"/>
              </w:rPr>
            </w:pPr>
            <w:r w:rsidRPr="00E11452">
              <w:rPr>
                <w:rFonts w:ascii="Calibri" w:hAnsi="Calibri" w:cs="Calibri"/>
                <w:color w:val="000000"/>
              </w:rPr>
              <w:t xml:space="preserve">ME6_b2   </w:t>
            </w:r>
          </w:p>
        </w:tc>
        <w:tc>
          <w:tcPr>
            <w:tcW w:w="1134" w:type="dxa"/>
            <w:tcBorders>
              <w:bottom w:val="single" w:sz="4" w:space="0" w:color="auto"/>
            </w:tcBorders>
            <w:vAlign w:val="bottom"/>
          </w:tcPr>
          <w:p w:rsidR="002A3752" w:rsidRPr="00E11452" w:rsidRDefault="002A3752" w:rsidP="00786306">
            <w:pPr>
              <w:spacing w:after="60"/>
              <w:jc w:val="right"/>
              <w:rPr>
                <w:rFonts w:ascii="Calibri" w:hAnsi="Calibri" w:cs="Calibri"/>
                <w:color w:val="000000"/>
              </w:rPr>
            </w:pPr>
            <w:r w:rsidRPr="00E11452">
              <w:rPr>
                <w:rFonts w:ascii="Calibri" w:hAnsi="Calibri" w:cs="Calibri"/>
                <w:color w:val="000000"/>
              </w:rPr>
              <w:t>97.2%</w:t>
            </w:r>
          </w:p>
        </w:tc>
        <w:tc>
          <w:tcPr>
            <w:tcW w:w="1134" w:type="dxa"/>
            <w:tcBorders>
              <w:bottom w:val="single" w:sz="4" w:space="0" w:color="auto"/>
            </w:tcBorders>
            <w:vAlign w:val="bottom"/>
          </w:tcPr>
          <w:p w:rsidR="002A3752" w:rsidRPr="00E11452" w:rsidRDefault="002A3752" w:rsidP="00786306">
            <w:pPr>
              <w:spacing w:after="60"/>
              <w:rPr>
                <w:rFonts w:ascii="Calibri" w:hAnsi="Calibri" w:cs="Calibri"/>
                <w:color w:val="000000"/>
              </w:rPr>
            </w:pPr>
            <w:r w:rsidRPr="00E11452">
              <w:rPr>
                <w:rFonts w:ascii="Calibri" w:hAnsi="Calibri" w:cs="Calibri"/>
                <w:color w:val="000000"/>
              </w:rPr>
              <w:t xml:space="preserve">ME12_d3  </w:t>
            </w:r>
          </w:p>
        </w:tc>
        <w:tc>
          <w:tcPr>
            <w:tcW w:w="1134" w:type="dxa"/>
            <w:tcBorders>
              <w:bottom w:val="single" w:sz="4" w:space="0" w:color="auto"/>
            </w:tcBorders>
            <w:vAlign w:val="bottom"/>
          </w:tcPr>
          <w:p w:rsidR="002A3752" w:rsidRPr="00E11452" w:rsidRDefault="002A3752" w:rsidP="00786306">
            <w:pPr>
              <w:spacing w:after="60"/>
              <w:jc w:val="right"/>
              <w:rPr>
                <w:rFonts w:ascii="Calibri" w:hAnsi="Calibri" w:cs="Calibri"/>
                <w:color w:val="000000"/>
              </w:rPr>
            </w:pPr>
            <w:r w:rsidRPr="00E11452">
              <w:rPr>
                <w:rFonts w:ascii="Calibri" w:hAnsi="Calibri" w:cs="Calibri"/>
                <w:color w:val="000000"/>
              </w:rPr>
              <w:t>35.8%</w:t>
            </w:r>
          </w:p>
        </w:tc>
        <w:tc>
          <w:tcPr>
            <w:tcW w:w="1134" w:type="dxa"/>
            <w:tcBorders>
              <w:bottom w:val="single" w:sz="4" w:space="0" w:color="auto"/>
            </w:tcBorders>
            <w:vAlign w:val="bottom"/>
          </w:tcPr>
          <w:p w:rsidR="002A3752" w:rsidRPr="00E11452" w:rsidRDefault="002A3752" w:rsidP="00786306">
            <w:pPr>
              <w:spacing w:after="60"/>
              <w:rPr>
                <w:rFonts w:ascii="Calibri" w:hAnsi="Calibri" w:cs="Calibri"/>
                <w:color w:val="000000"/>
              </w:rPr>
            </w:pPr>
            <w:r w:rsidRPr="00E11452">
              <w:rPr>
                <w:rFonts w:ascii="Calibri" w:hAnsi="Calibri" w:cs="Calibri"/>
                <w:color w:val="000000"/>
              </w:rPr>
              <w:t xml:space="preserve">DI22     </w:t>
            </w:r>
          </w:p>
        </w:tc>
        <w:tc>
          <w:tcPr>
            <w:tcW w:w="1134" w:type="dxa"/>
            <w:tcBorders>
              <w:bottom w:val="single" w:sz="4" w:space="0" w:color="auto"/>
            </w:tcBorders>
            <w:vAlign w:val="bottom"/>
          </w:tcPr>
          <w:p w:rsidR="002A3752" w:rsidRPr="00E11452" w:rsidRDefault="002A3752" w:rsidP="00786306">
            <w:pPr>
              <w:spacing w:after="60"/>
              <w:jc w:val="right"/>
              <w:rPr>
                <w:rFonts w:ascii="Calibri" w:hAnsi="Calibri" w:cs="Calibri"/>
                <w:color w:val="000000"/>
              </w:rPr>
            </w:pPr>
            <w:r w:rsidRPr="00E11452">
              <w:rPr>
                <w:rFonts w:ascii="Calibri" w:hAnsi="Calibri" w:cs="Calibri"/>
                <w:color w:val="000000"/>
              </w:rPr>
              <w:t>75.8%</w:t>
            </w:r>
          </w:p>
        </w:tc>
      </w:tr>
    </w:tbl>
    <w:p w:rsidR="002A3752" w:rsidRDefault="002A3752" w:rsidP="002A3752">
      <w:pPr>
        <w:rPr>
          <w:i/>
          <w:sz w:val="24"/>
          <w:szCs w:val="24"/>
          <w:lang w:val="en-US"/>
        </w:rPr>
      </w:pPr>
      <w:r>
        <w:rPr>
          <w:i/>
          <w:sz w:val="24"/>
          <w:szCs w:val="24"/>
          <w:lang w:val="en-US"/>
        </w:rPr>
        <w:br w:type="page"/>
      </w:r>
    </w:p>
    <w:p w:rsidR="003F6228" w:rsidRDefault="003F6228"/>
    <w:sectPr w:rsidR="003F6228" w:rsidSect="003F62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617B0"/>
    <w:multiLevelType w:val="hybridMultilevel"/>
    <w:tmpl w:val="85E07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oofState w:spelling="clean"/>
  <w:defaultTabStop w:val="720"/>
  <w:characterSpacingControl w:val="doNotCompress"/>
  <w:compat>
    <w:compatSetting w:name="compatibilityMode" w:uri="http://schemas.microsoft.com/office/word" w:val="12"/>
  </w:compat>
  <w:rsids>
    <w:rsidRoot w:val="002A3752"/>
    <w:rsid w:val="00075C07"/>
    <w:rsid w:val="002A3752"/>
    <w:rsid w:val="003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B0455-C11D-4B04-B8B1-328B09D7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5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752"/>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0016200</dc:creator>
  <cp:keywords/>
  <dc:description/>
  <cp:lastModifiedBy>Vinoth J.</cp:lastModifiedBy>
  <cp:revision>3</cp:revision>
  <dcterms:created xsi:type="dcterms:W3CDTF">2021-05-21T03:40:00Z</dcterms:created>
  <dcterms:modified xsi:type="dcterms:W3CDTF">2021-05-31T04:13:00Z</dcterms:modified>
</cp:coreProperties>
</file>