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1B9F0" w14:textId="72EE1FFC" w:rsidR="00694CD8" w:rsidRDefault="00694CD8" w:rsidP="000042CF">
      <w:pPr>
        <w:spacing w:line="276" w:lineRule="auto"/>
        <w:jc w:val="both"/>
      </w:pPr>
      <w:r>
        <w:t xml:space="preserve">We are grateful for Professor Cuckle’s interest in our work and his comment regarding the veracity of the manuscript’s concluding remark that </w:t>
      </w:r>
      <w:r w:rsidR="000D0771">
        <w:t>“</w:t>
      </w:r>
      <w:r>
        <w:t xml:space="preserve">PAPP-A is as clinically effective as PlGF in first-trimester combined </w:t>
      </w:r>
      <w:r w:rsidR="00C2299F">
        <w:t>preeclampsia (</w:t>
      </w:r>
      <w:r>
        <w:t>PE</w:t>
      </w:r>
      <w:r w:rsidR="00C2299F">
        <w:t>)</w:t>
      </w:r>
      <w:r>
        <w:t xml:space="preserve"> screening when used in combination with maternal characteristics, blood pressure and </w:t>
      </w:r>
      <w:r w:rsidR="000D0771">
        <w:t>uterine artery</w:t>
      </w:r>
      <w:r>
        <w:t xml:space="preserve"> Doppler</w:t>
      </w:r>
      <w:r w:rsidR="000D0771">
        <w:t>”</w:t>
      </w:r>
      <w:r>
        <w:t xml:space="preserve">. Professor Cuckle contends that this conclusion </w:t>
      </w:r>
      <w:r w:rsidR="00222576">
        <w:t xml:space="preserve">is </w:t>
      </w:r>
      <w:r>
        <w:t xml:space="preserve">not supported either by the </w:t>
      </w:r>
      <w:r w:rsidR="000D0771">
        <w:t xml:space="preserve">literature or the </w:t>
      </w:r>
      <w:r>
        <w:t xml:space="preserve">data </w:t>
      </w:r>
      <w:r w:rsidR="000D0771">
        <w:t xml:space="preserve">in </w:t>
      </w:r>
      <w:r>
        <w:t>the study.</w:t>
      </w:r>
    </w:p>
    <w:p w14:paraId="20B7001C" w14:textId="519A032A" w:rsidR="00694CD8" w:rsidRDefault="00694CD8" w:rsidP="000042CF">
      <w:pPr>
        <w:spacing w:line="276" w:lineRule="auto"/>
        <w:jc w:val="both"/>
      </w:pPr>
    </w:p>
    <w:p w14:paraId="1C784218" w14:textId="448303C2" w:rsidR="00694CD8" w:rsidRPr="00E62344" w:rsidRDefault="00E62344" w:rsidP="000042CF">
      <w:pPr>
        <w:spacing w:line="276" w:lineRule="auto"/>
        <w:jc w:val="both"/>
        <w:rPr>
          <w:u w:val="single"/>
        </w:rPr>
      </w:pPr>
      <w:r w:rsidRPr="00E62344">
        <w:rPr>
          <w:u w:val="single"/>
        </w:rPr>
        <w:t>Previous literature</w:t>
      </w:r>
    </w:p>
    <w:p w14:paraId="3F11EF39" w14:textId="608AFDCC" w:rsidR="00E62344" w:rsidRDefault="00E62344" w:rsidP="0039782A">
      <w:pPr>
        <w:spacing w:line="276" w:lineRule="auto"/>
        <w:jc w:val="both"/>
      </w:pPr>
      <w:r>
        <w:t xml:space="preserve">We concur with Professor Cuckle’s assertion when he states that the cited literature suggests that for a fixed 10% false-positive rate, there was </w:t>
      </w:r>
      <w:r w:rsidRPr="00E62344">
        <w:t>an observed 5</w:t>
      </w:r>
      <w:r>
        <w:t>-7</w:t>
      </w:r>
      <w:r w:rsidRPr="00E62344">
        <w:t>% higher detection rate using PlGF compared with PAPP-A</w:t>
      </w:r>
      <w:r w:rsidR="000042CF">
        <w:t xml:space="preserve"> </w:t>
      </w:r>
      <w:r w:rsidR="000042CF" w:rsidRPr="00C2299F">
        <w:t>for first trimester combined screening for preterm pre-eclampsi</w:t>
      </w:r>
      <w:r w:rsidR="00222576">
        <w:t>a.</w:t>
      </w:r>
      <w:r w:rsidR="00222576" w:rsidRPr="00C2299F">
        <w:rPr>
          <w:vertAlign w:val="superscript"/>
        </w:rPr>
        <w:t>1</w:t>
      </w:r>
      <w:r w:rsidR="00F7475E" w:rsidRPr="00C2299F">
        <w:t xml:space="preserve"> Although the literature is based on a larger population of pregnancies, many of the cited publications use the same cohorts and the actual totals are </w:t>
      </w:r>
      <w:r w:rsidR="00222576">
        <w:t>lower than</w:t>
      </w:r>
      <w:r w:rsidR="000042CF" w:rsidRPr="00C2299F">
        <w:t xml:space="preserve"> that claimed by Prof Cuckle</w:t>
      </w:r>
      <w:r w:rsidR="00F7475E" w:rsidRPr="00C2299F">
        <w:t xml:space="preserve">. </w:t>
      </w:r>
      <w:r w:rsidR="00222576">
        <w:t>He</w:t>
      </w:r>
      <w:r w:rsidR="00F7475E" w:rsidRPr="00C2299F">
        <w:t xml:space="preserve"> </w:t>
      </w:r>
      <w:r w:rsidRPr="00C2299F">
        <w:t>highlights the strength of th</w:t>
      </w:r>
      <w:r w:rsidR="00F7475E" w:rsidRPr="00C2299F">
        <w:t>es</w:t>
      </w:r>
      <w:r w:rsidRPr="00C2299F">
        <w:t xml:space="preserve">e studies as being </w:t>
      </w:r>
      <w:r w:rsidR="00F7475E" w:rsidRPr="00C2299F">
        <w:t xml:space="preserve">prospective, but </w:t>
      </w:r>
      <w:r w:rsidR="000042CF" w:rsidRPr="00C2299F">
        <w:t xml:space="preserve">unfortunately overlooked the impact of </w:t>
      </w:r>
      <w:r w:rsidR="000D0771" w:rsidRPr="00C2299F">
        <w:t xml:space="preserve">the authors </w:t>
      </w:r>
      <w:r w:rsidR="00F7475E" w:rsidRPr="00C2299F">
        <w:t>not correct</w:t>
      </w:r>
      <w:r w:rsidR="000042CF" w:rsidRPr="00C2299F">
        <w:t>ing</w:t>
      </w:r>
      <w:r w:rsidR="00F7475E" w:rsidRPr="00C2299F">
        <w:t xml:space="preserve"> for aspirin use in </w:t>
      </w:r>
      <w:r w:rsidR="00420342" w:rsidRPr="00C2299F">
        <w:t>pregnancy</w:t>
      </w:r>
      <w:r w:rsidR="00F7475E" w:rsidRPr="00C2299F">
        <w:t>.</w:t>
      </w:r>
      <w:r w:rsidR="000042CF" w:rsidRPr="00C2299F">
        <w:t xml:space="preserve"> In</w:t>
      </w:r>
      <w:r w:rsidR="000042CF">
        <w:t xml:space="preserve"> all of the </w:t>
      </w:r>
      <w:r w:rsidR="00420342">
        <w:t xml:space="preserve">cited </w:t>
      </w:r>
      <w:r w:rsidR="000042CF">
        <w:t xml:space="preserve">studies, PAPP-A was revealed to the clinicians and PlGF concealed – at a time when the prevailing clinical guidance in the UK was to prescribe aspirin prophylaxis to women with low PAPP-A levels. As such, one would expect a clear </w:t>
      </w:r>
      <w:r w:rsidR="000D0771">
        <w:t>effect</w:t>
      </w:r>
      <w:r w:rsidR="000042CF">
        <w:t xml:space="preserve"> of intervention bias </w:t>
      </w:r>
      <w:r w:rsidR="000D0771">
        <w:t xml:space="preserve">from aspirin use </w:t>
      </w:r>
      <w:r w:rsidR="000042CF">
        <w:t>in women with low PAPP-A</w:t>
      </w:r>
      <w:r w:rsidR="00C2299F">
        <w:t xml:space="preserve">, </w:t>
      </w:r>
      <w:r w:rsidR="000042CF">
        <w:t>but not low PlGF</w:t>
      </w:r>
      <w:r w:rsidR="00C2299F">
        <w:t xml:space="preserve"> </w:t>
      </w:r>
      <w:r w:rsidR="000042CF">
        <w:t xml:space="preserve">levels. </w:t>
      </w:r>
      <w:r w:rsidR="00420342">
        <w:t xml:space="preserve">The magnitude of the impact </w:t>
      </w:r>
      <w:r w:rsidR="000D0771">
        <w:t xml:space="preserve">of aspirin use </w:t>
      </w:r>
      <w:r w:rsidR="00420342">
        <w:t xml:space="preserve">was not apparent at the time the studies were conducted, but is now estimated to be a </w:t>
      </w:r>
      <w:r w:rsidR="00DE5D56">
        <w:t>6</w:t>
      </w:r>
      <w:r w:rsidR="00420342">
        <w:t>0% reduction in the rates of preterm pre-eclampsia.</w:t>
      </w:r>
      <w:r w:rsidR="00DE5D56" w:rsidRPr="00DE5D56">
        <w:rPr>
          <w:vertAlign w:val="superscript"/>
        </w:rPr>
        <w:t>2</w:t>
      </w:r>
      <w:r w:rsidR="000D0771">
        <w:t xml:space="preserve"> </w:t>
      </w:r>
      <w:r w:rsidR="0039782A">
        <w:t>To test the hypothesis of treatment paradox introduced by aspirin prophylaxis, we examined</w:t>
      </w:r>
      <w:r w:rsidR="000D0771">
        <w:t>,</w:t>
      </w:r>
      <w:r w:rsidR="0039782A">
        <w:t xml:space="preserve"> </w:t>
      </w:r>
      <w:r w:rsidR="000D0771">
        <w:t xml:space="preserve">in the literature cited by Professor Cuckle, </w:t>
      </w:r>
      <w:r w:rsidR="0039782A">
        <w:t xml:space="preserve">the comparisons between PAPP-A and PlGF in prediction of term pre-eclampsia where aspirin </w:t>
      </w:r>
      <w:r w:rsidR="000D0771">
        <w:t xml:space="preserve">is known to have </w:t>
      </w:r>
      <w:r w:rsidR="0039782A">
        <w:t xml:space="preserve">a negligible effect. Here, we found no difference </w:t>
      </w:r>
      <w:r w:rsidR="000D0771">
        <w:t xml:space="preserve">in the screening sensitivity </w:t>
      </w:r>
      <w:r w:rsidR="0039782A">
        <w:t>between first trimester combined screening using PAPP-A versus PlGF (</w:t>
      </w:r>
      <w:r w:rsidR="000D0771">
        <w:t xml:space="preserve">detection rates </w:t>
      </w:r>
      <w:r w:rsidR="0039782A">
        <w:t xml:space="preserve">42.3% versus 44%, </w:t>
      </w:r>
      <w:r w:rsidR="000D0771">
        <w:t xml:space="preserve">difference in detection 1.8 [0.0-3.6], </w:t>
      </w:r>
      <w:r w:rsidR="0039782A">
        <w:t>p=0.068).</w:t>
      </w:r>
      <w:r w:rsidR="0039782A" w:rsidRPr="00F7475E">
        <w:rPr>
          <w:vertAlign w:val="superscript"/>
        </w:rPr>
        <w:t>1</w:t>
      </w:r>
    </w:p>
    <w:p w14:paraId="06645D56" w14:textId="77777777" w:rsidR="00E62344" w:rsidRPr="00E62344" w:rsidRDefault="00E62344" w:rsidP="000042CF">
      <w:pPr>
        <w:spacing w:line="276" w:lineRule="auto"/>
        <w:jc w:val="both"/>
      </w:pPr>
    </w:p>
    <w:p w14:paraId="106B154C" w14:textId="06E5E8B6" w:rsidR="00694CD8" w:rsidRPr="00E62344" w:rsidRDefault="007169FD" w:rsidP="000042CF">
      <w:pPr>
        <w:spacing w:line="276" w:lineRule="auto"/>
        <w:jc w:val="both"/>
        <w:rPr>
          <w:u w:val="single"/>
        </w:rPr>
      </w:pPr>
      <w:r w:rsidRPr="00E62344">
        <w:rPr>
          <w:u w:val="single"/>
        </w:rPr>
        <w:t>Study too small</w:t>
      </w:r>
    </w:p>
    <w:p w14:paraId="47C3C734" w14:textId="04924B06" w:rsidR="00694CD8" w:rsidRDefault="00BC53B1" w:rsidP="00652B33">
      <w:pPr>
        <w:spacing w:line="276" w:lineRule="auto"/>
        <w:jc w:val="both"/>
      </w:pPr>
      <w:r>
        <w:t xml:space="preserve">On the matter of the size of our study, we acknowledged this </w:t>
      </w:r>
      <w:r w:rsidR="00DE5D56">
        <w:t xml:space="preserve">as a </w:t>
      </w:r>
      <w:r>
        <w:t xml:space="preserve">limitation, but offered mitigation by summarising the </w:t>
      </w:r>
      <w:r w:rsidR="00DE5D56">
        <w:t xml:space="preserve">existing </w:t>
      </w:r>
      <w:r>
        <w:t>high-quality</w:t>
      </w:r>
      <w:r w:rsidR="00DE5D56">
        <w:t xml:space="preserve"> published evidence from </w:t>
      </w:r>
      <w:r>
        <w:t xml:space="preserve">prospective </w:t>
      </w:r>
      <w:r w:rsidR="00DE5D56">
        <w:t xml:space="preserve">studies that either corrected </w:t>
      </w:r>
      <w:r w:rsidR="00774E1E">
        <w:t xml:space="preserve">the data </w:t>
      </w:r>
      <w:r w:rsidR="00DE5D56">
        <w:t xml:space="preserve">for aspirin use or where women were not </w:t>
      </w:r>
      <w:r w:rsidR="00774E1E">
        <w:t>prescribed</w:t>
      </w:r>
      <w:r w:rsidR="00DE5D56">
        <w:t xml:space="preserve"> aspirin (see Table).</w:t>
      </w:r>
      <w:r w:rsidR="00DE5D56" w:rsidRPr="00DE5D56">
        <w:rPr>
          <w:vertAlign w:val="superscript"/>
        </w:rPr>
        <w:t>3-5</w:t>
      </w:r>
      <w:r w:rsidR="00DE5D56">
        <w:t xml:space="preserve"> </w:t>
      </w:r>
      <w:r w:rsidR="00D83B20">
        <w:t>T</w:t>
      </w:r>
      <w:r w:rsidR="00DE5D56">
        <w:t xml:space="preserve">hese studies total </w:t>
      </w:r>
      <w:r w:rsidR="00D83B20">
        <w:t>28,7</w:t>
      </w:r>
      <w:r w:rsidR="00222576">
        <w:t>4</w:t>
      </w:r>
      <w:r w:rsidR="00D83B20">
        <w:t xml:space="preserve">0 pregnancies with 289 cases of preterm pre-eclampsia and all three </w:t>
      </w:r>
      <w:r w:rsidR="00DE5D56">
        <w:t xml:space="preserve">reported no </w:t>
      </w:r>
      <w:r w:rsidR="00774E1E">
        <w:t xml:space="preserve">statistical </w:t>
      </w:r>
      <w:r w:rsidR="00DE5D56">
        <w:t>difference between PAPP-A and PlGF in first trimester combined screening</w:t>
      </w:r>
      <w:r w:rsidR="00774E1E">
        <w:t xml:space="preserve"> for preterm pre-eclampsia</w:t>
      </w:r>
      <w:r w:rsidR="00DE5D56">
        <w:t>.</w:t>
      </w:r>
      <w:r w:rsidR="00774E1E">
        <w:t xml:space="preserve"> Of note, this includes the SPREE study where a prospective head-to-head comparison was made between routine antenatal care and the use of first trimester combined screening for pre-eclampsia (with various combinations of markers.</w:t>
      </w:r>
      <w:r w:rsidR="00774E1E" w:rsidRPr="00774E1E">
        <w:rPr>
          <w:vertAlign w:val="superscript"/>
        </w:rPr>
        <w:t>4</w:t>
      </w:r>
      <w:r w:rsidR="00774E1E">
        <w:t xml:space="preserve"> The authors of the SPREE study had not compared the use of PAPP-A to PlGF in the</w:t>
      </w:r>
      <w:r w:rsidR="002220AD">
        <w:t>ir</w:t>
      </w:r>
      <w:r w:rsidR="00774E1E">
        <w:t xml:space="preserve"> </w:t>
      </w:r>
      <w:r w:rsidR="002220AD">
        <w:t xml:space="preserve">original </w:t>
      </w:r>
      <w:r w:rsidR="00774E1E">
        <w:t xml:space="preserve">analysis, but very kindly conducted a post-hoc </w:t>
      </w:r>
      <w:r w:rsidR="00652B33">
        <w:t xml:space="preserve">analysis of their data using the </w:t>
      </w:r>
      <w:proofErr w:type="spellStart"/>
      <w:r w:rsidR="00652B33">
        <w:t>McNemar</w:t>
      </w:r>
      <w:proofErr w:type="spellEnd"/>
      <w:r w:rsidR="00652B33">
        <w:t xml:space="preserve"> test (p=0.10) for comparison of the screening using maternal characteristics, blood pressure, </w:t>
      </w:r>
      <w:proofErr w:type="spellStart"/>
      <w:r w:rsidR="00652B33">
        <w:t>UtA</w:t>
      </w:r>
      <w:proofErr w:type="spellEnd"/>
      <w:r w:rsidR="00652B33">
        <w:t xml:space="preserve"> Doppler and either PlGF or PAPP-A for detection of preterm PE at a 10% screen-positive rate.</w:t>
      </w:r>
    </w:p>
    <w:p w14:paraId="4EC823AC" w14:textId="77777777" w:rsidR="00652B33" w:rsidRDefault="00652B33" w:rsidP="00652B33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3119"/>
      </w:tblGrid>
      <w:tr w:rsidR="005A5556" w14:paraId="1B9227FB" w14:textId="77777777" w:rsidTr="005A5556">
        <w:tc>
          <w:tcPr>
            <w:tcW w:w="2263" w:type="dxa"/>
          </w:tcPr>
          <w:p w14:paraId="1B246CA1" w14:textId="77777777" w:rsidR="00694CD8" w:rsidRDefault="00694CD8" w:rsidP="000042CF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14:paraId="5F682F35" w14:textId="6947C284" w:rsidR="00694CD8" w:rsidRPr="00630C78" w:rsidRDefault="005A5556" w:rsidP="00DE5D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Pregnancies</w:t>
            </w:r>
          </w:p>
        </w:tc>
        <w:tc>
          <w:tcPr>
            <w:tcW w:w="1984" w:type="dxa"/>
          </w:tcPr>
          <w:p w14:paraId="3AE7F279" w14:textId="69769A40" w:rsidR="00694CD8" w:rsidRPr="00630C78" w:rsidRDefault="00694CD8" w:rsidP="00DE5D56">
            <w:pPr>
              <w:spacing w:line="276" w:lineRule="auto"/>
              <w:jc w:val="center"/>
              <w:rPr>
                <w:b/>
                <w:bCs/>
              </w:rPr>
            </w:pPr>
            <w:r w:rsidRPr="00630C78">
              <w:rPr>
                <w:b/>
                <w:bCs/>
              </w:rPr>
              <w:t>Preterm PE</w:t>
            </w:r>
          </w:p>
        </w:tc>
        <w:tc>
          <w:tcPr>
            <w:tcW w:w="3119" w:type="dxa"/>
          </w:tcPr>
          <w:p w14:paraId="6F4DED36" w14:textId="4F859615" w:rsidR="00694CD8" w:rsidRPr="00630C78" w:rsidRDefault="00630C78" w:rsidP="00DE5D56">
            <w:pPr>
              <w:spacing w:line="276" w:lineRule="auto"/>
              <w:jc w:val="center"/>
              <w:rPr>
                <w:b/>
                <w:bCs/>
              </w:rPr>
            </w:pPr>
            <w:r w:rsidRPr="00630C78">
              <w:rPr>
                <w:b/>
                <w:bCs/>
              </w:rPr>
              <w:t xml:space="preserve">PAPP-A vs </w:t>
            </w:r>
            <w:r w:rsidR="005A5556">
              <w:rPr>
                <w:b/>
                <w:bCs/>
              </w:rPr>
              <w:t>PlGF sensitivity</w:t>
            </w:r>
          </w:p>
        </w:tc>
      </w:tr>
      <w:tr w:rsidR="005A5556" w14:paraId="67C75FD3" w14:textId="77777777" w:rsidTr="005A5556">
        <w:tc>
          <w:tcPr>
            <w:tcW w:w="2263" w:type="dxa"/>
          </w:tcPr>
          <w:p w14:paraId="5114894C" w14:textId="1DFA1CEC" w:rsidR="00486DF6" w:rsidRPr="002220AD" w:rsidRDefault="005A5556" w:rsidP="000042CF">
            <w:pPr>
              <w:spacing w:line="276" w:lineRule="auto"/>
              <w:jc w:val="both"/>
              <w:rPr>
                <w:bCs/>
              </w:rPr>
            </w:pPr>
            <w:r w:rsidRPr="002220AD">
              <w:rPr>
                <w:bCs/>
              </w:rPr>
              <w:t>No</w:t>
            </w:r>
            <w:r w:rsidRPr="002220AD">
              <w:rPr>
                <w:rFonts w:cstheme="minorHAnsi"/>
                <w:bCs/>
              </w:rPr>
              <w:t>ë</w:t>
            </w:r>
            <w:r w:rsidRPr="002220AD">
              <w:rPr>
                <w:bCs/>
              </w:rPr>
              <w:t xml:space="preserve">l </w:t>
            </w:r>
            <w:r w:rsidRPr="002220AD">
              <w:rPr>
                <w:bCs/>
                <w:i/>
              </w:rPr>
              <w:t>et al.</w:t>
            </w:r>
            <w:r w:rsidRPr="002220AD">
              <w:rPr>
                <w:bCs/>
              </w:rPr>
              <w:t xml:space="preserve"> </w:t>
            </w:r>
            <w:r w:rsidR="00486DF6" w:rsidRPr="002220AD">
              <w:rPr>
                <w:bCs/>
              </w:rPr>
              <w:t>(2021)</w:t>
            </w:r>
            <w:r w:rsidR="00DE5D56" w:rsidRPr="002220AD">
              <w:rPr>
                <w:bCs/>
                <w:vertAlign w:val="superscript"/>
              </w:rPr>
              <w:t>3</w:t>
            </w:r>
          </w:p>
        </w:tc>
        <w:tc>
          <w:tcPr>
            <w:tcW w:w="1560" w:type="dxa"/>
          </w:tcPr>
          <w:p w14:paraId="1BE3FC88" w14:textId="0857C9CE" w:rsidR="00694CD8" w:rsidRDefault="00694CD8" w:rsidP="00DE5D56">
            <w:pPr>
              <w:spacing w:line="276" w:lineRule="auto"/>
              <w:jc w:val="center"/>
            </w:pPr>
            <w:r>
              <w:t>1</w:t>
            </w:r>
            <w:r w:rsidR="00D9635A">
              <w:t>,</w:t>
            </w:r>
            <w:r>
              <w:t>094</w:t>
            </w:r>
          </w:p>
        </w:tc>
        <w:tc>
          <w:tcPr>
            <w:tcW w:w="1984" w:type="dxa"/>
          </w:tcPr>
          <w:p w14:paraId="145BB1AB" w14:textId="196F20B6" w:rsidR="00694CD8" w:rsidRDefault="00D9635A" w:rsidP="00DE5D56">
            <w:pPr>
              <w:spacing w:line="276" w:lineRule="auto"/>
              <w:jc w:val="center"/>
            </w:pPr>
            <w:r>
              <w:t>n=</w:t>
            </w:r>
            <w:r w:rsidR="00694CD8">
              <w:t>3</w:t>
            </w:r>
            <w:r w:rsidR="00207D5C">
              <w:t>0</w:t>
            </w:r>
          </w:p>
        </w:tc>
        <w:tc>
          <w:tcPr>
            <w:tcW w:w="3119" w:type="dxa"/>
          </w:tcPr>
          <w:p w14:paraId="1CBBB2CF" w14:textId="1EE55C0C" w:rsidR="00694CD8" w:rsidRDefault="00630C78" w:rsidP="00DE5D56">
            <w:pPr>
              <w:spacing w:line="276" w:lineRule="auto"/>
              <w:jc w:val="center"/>
            </w:pPr>
            <w:r>
              <w:t>80</w:t>
            </w:r>
            <w:r w:rsidR="00486DF6">
              <w:t>.7</w:t>
            </w:r>
            <w:r w:rsidR="00207D5C">
              <w:t>%</w:t>
            </w:r>
            <w:r w:rsidR="00486DF6">
              <w:t xml:space="preserve"> vs </w:t>
            </w:r>
            <w:r>
              <w:t>72</w:t>
            </w:r>
            <w:r w:rsidR="00486DF6">
              <w:t>.7%</w:t>
            </w:r>
            <w:r>
              <w:t>*</w:t>
            </w:r>
          </w:p>
        </w:tc>
      </w:tr>
      <w:tr w:rsidR="005A5556" w14:paraId="1CD16CB9" w14:textId="77777777" w:rsidTr="005A5556">
        <w:tc>
          <w:tcPr>
            <w:tcW w:w="2263" w:type="dxa"/>
          </w:tcPr>
          <w:p w14:paraId="66B41D6F" w14:textId="2BBCD2A8" w:rsidR="00694CD8" w:rsidRPr="002220AD" w:rsidRDefault="00486DF6" w:rsidP="000042CF">
            <w:pPr>
              <w:spacing w:line="276" w:lineRule="auto"/>
              <w:jc w:val="both"/>
              <w:rPr>
                <w:bCs/>
              </w:rPr>
            </w:pPr>
            <w:r w:rsidRPr="002220AD">
              <w:rPr>
                <w:bCs/>
              </w:rPr>
              <w:t xml:space="preserve">Poon L </w:t>
            </w:r>
            <w:r w:rsidRPr="002220AD">
              <w:rPr>
                <w:bCs/>
                <w:i/>
              </w:rPr>
              <w:t>et al.</w:t>
            </w:r>
            <w:r w:rsidR="005A5556" w:rsidRPr="002220AD">
              <w:rPr>
                <w:bCs/>
                <w:i/>
              </w:rPr>
              <w:t xml:space="preserve"> </w:t>
            </w:r>
            <w:r w:rsidRPr="002220AD">
              <w:rPr>
                <w:bCs/>
              </w:rPr>
              <w:t>(2020)</w:t>
            </w:r>
            <w:r w:rsidR="00DE5D56" w:rsidRPr="002220AD">
              <w:rPr>
                <w:bCs/>
                <w:vertAlign w:val="superscript"/>
              </w:rPr>
              <w:t>4</w:t>
            </w:r>
          </w:p>
        </w:tc>
        <w:tc>
          <w:tcPr>
            <w:tcW w:w="1560" w:type="dxa"/>
          </w:tcPr>
          <w:p w14:paraId="26DA07DD" w14:textId="5585C808" w:rsidR="00694CD8" w:rsidRDefault="00D9635A" w:rsidP="00DE5D56">
            <w:pPr>
              <w:spacing w:line="276" w:lineRule="auto"/>
              <w:jc w:val="center"/>
            </w:pPr>
            <w:r>
              <w:t>16,747</w:t>
            </w:r>
          </w:p>
        </w:tc>
        <w:tc>
          <w:tcPr>
            <w:tcW w:w="1984" w:type="dxa"/>
          </w:tcPr>
          <w:p w14:paraId="156C6947" w14:textId="6495139E" w:rsidR="00694CD8" w:rsidRDefault="00D9635A" w:rsidP="00DE5D56">
            <w:pPr>
              <w:spacing w:line="276" w:lineRule="auto"/>
              <w:jc w:val="center"/>
            </w:pPr>
            <w:r>
              <w:t>n=</w:t>
            </w:r>
            <w:r w:rsidR="00207D5C">
              <w:t>142</w:t>
            </w:r>
          </w:p>
        </w:tc>
        <w:tc>
          <w:tcPr>
            <w:tcW w:w="3119" w:type="dxa"/>
          </w:tcPr>
          <w:p w14:paraId="7B0F80E9" w14:textId="5728A1A9" w:rsidR="00694CD8" w:rsidRDefault="00486DF6" w:rsidP="00DE5D56">
            <w:pPr>
              <w:spacing w:line="276" w:lineRule="auto"/>
              <w:jc w:val="center"/>
            </w:pPr>
            <w:r>
              <w:t>76.1% vs 81.7%*</w:t>
            </w:r>
          </w:p>
        </w:tc>
      </w:tr>
      <w:tr w:rsidR="005A5556" w14:paraId="202DC490" w14:textId="77777777" w:rsidTr="005A5556">
        <w:tc>
          <w:tcPr>
            <w:tcW w:w="2263" w:type="dxa"/>
          </w:tcPr>
          <w:p w14:paraId="2944B546" w14:textId="04A8BBCB" w:rsidR="00486DF6" w:rsidRPr="002220AD" w:rsidRDefault="00486DF6" w:rsidP="000042CF">
            <w:pPr>
              <w:spacing w:line="276" w:lineRule="auto"/>
              <w:jc w:val="both"/>
              <w:rPr>
                <w:bCs/>
              </w:rPr>
            </w:pPr>
            <w:r w:rsidRPr="002220AD">
              <w:rPr>
                <w:bCs/>
              </w:rPr>
              <w:t xml:space="preserve">Hu </w:t>
            </w:r>
            <w:r w:rsidR="005A5556" w:rsidRPr="002220AD">
              <w:rPr>
                <w:bCs/>
              </w:rPr>
              <w:t xml:space="preserve">J </w:t>
            </w:r>
            <w:r w:rsidRPr="002220AD">
              <w:rPr>
                <w:bCs/>
                <w:i/>
              </w:rPr>
              <w:t>et al</w:t>
            </w:r>
            <w:r w:rsidR="005A5556" w:rsidRPr="002220AD">
              <w:rPr>
                <w:bCs/>
                <w:i/>
              </w:rPr>
              <w:t xml:space="preserve">. </w:t>
            </w:r>
            <w:r w:rsidRPr="002220AD">
              <w:rPr>
                <w:bCs/>
              </w:rPr>
              <w:t>(2021)</w:t>
            </w:r>
            <w:r w:rsidR="00DE5D56" w:rsidRPr="002220AD">
              <w:rPr>
                <w:bCs/>
                <w:vertAlign w:val="superscript"/>
              </w:rPr>
              <w:t>5</w:t>
            </w:r>
          </w:p>
        </w:tc>
        <w:tc>
          <w:tcPr>
            <w:tcW w:w="1560" w:type="dxa"/>
          </w:tcPr>
          <w:p w14:paraId="4BEAFD85" w14:textId="2A9CEADC" w:rsidR="00694CD8" w:rsidRDefault="00207D5C" w:rsidP="00DE5D56">
            <w:pPr>
              <w:spacing w:line="276" w:lineRule="auto"/>
              <w:jc w:val="center"/>
            </w:pPr>
            <w:r>
              <w:t>10</w:t>
            </w:r>
            <w:r w:rsidR="00D9635A">
              <w:t>,</w:t>
            </w:r>
            <w:r>
              <w:t>899</w:t>
            </w:r>
          </w:p>
        </w:tc>
        <w:tc>
          <w:tcPr>
            <w:tcW w:w="1984" w:type="dxa"/>
          </w:tcPr>
          <w:p w14:paraId="110CAEE9" w14:textId="4C3B041D" w:rsidR="00694CD8" w:rsidRDefault="00D9635A" w:rsidP="00DE5D56">
            <w:pPr>
              <w:spacing w:line="276" w:lineRule="auto"/>
              <w:jc w:val="center"/>
            </w:pPr>
            <w:r>
              <w:t>n=</w:t>
            </w:r>
            <w:r w:rsidR="00207D5C">
              <w:t>117</w:t>
            </w:r>
          </w:p>
        </w:tc>
        <w:tc>
          <w:tcPr>
            <w:tcW w:w="3119" w:type="dxa"/>
          </w:tcPr>
          <w:p w14:paraId="2E9EE116" w14:textId="566B0771" w:rsidR="00694CD8" w:rsidRDefault="00486DF6" w:rsidP="00DE5D56">
            <w:pPr>
              <w:spacing w:line="276" w:lineRule="auto"/>
              <w:jc w:val="center"/>
            </w:pPr>
            <w:r>
              <w:t>65.0</w:t>
            </w:r>
            <w:r w:rsidR="00207D5C">
              <w:t>%</w:t>
            </w:r>
            <w:r>
              <w:t xml:space="preserve"> vs 56.4%</w:t>
            </w:r>
            <w:r w:rsidR="00630C78" w:rsidRPr="00630C78">
              <w:rPr>
                <w:vertAlign w:val="superscript"/>
              </w:rPr>
              <w:t>#</w:t>
            </w:r>
          </w:p>
        </w:tc>
      </w:tr>
      <w:tr w:rsidR="005A5556" w14:paraId="7B542D1F" w14:textId="77777777" w:rsidTr="005A5556">
        <w:tc>
          <w:tcPr>
            <w:tcW w:w="2263" w:type="dxa"/>
          </w:tcPr>
          <w:p w14:paraId="1BAA7CA8" w14:textId="5DE10E32" w:rsidR="00D9635A" w:rsidRPr="002220AD" w:rsidRDefault="00D9635A" w:rsidP="000042CF">
            <w:pPr>
              <w:spacing w:line="276" w:lineRule="auto"/>
              <w:jc w:val="both"/>
              <w:rPr>
                <w:b/>
                <w:bCs/>
              </w:rPr>
            </w:pPr>
            <w:r w:rsidRPr="002220AD">
              <w:rPr>
                <w:b/>
                <w:bCs/>
              </w:rPr>
              <w:t>Total</w:t>
            </w:r>
          </w:p>
        </w:tc>
        <w:tc>
          <w:tcPr>
            <w:tcW w:w="1560" w:type="dxa"/>
          </w:tcPr>
          <w:p w14:paraId="767CEDB4" w14:textId="14F8F840" w:rsidR="00D9635A" w:rsidRPr="002220AD" w:rsidRDefault="00D9635A" w:rsidP="00222576">
            <w:pPr>
              <w:spacing w:line="276" w:lineRule="auto"/>
              <w:jc w:val="center"/>
              <w:rPr>
                <w:b/>
              </w:rPr>
            </w:pPr>
            <w:r w:rsidRPr="002220AD">
              <w:rPr>
                <w:b/>
              </w:rPr>
              <w:t>28,7</w:t>
            </w:r>
            <w:r w:rsidR="00222576">
              <w:rPr>
                <w:b/>
              </w:rPr>
              <w:t>4</w:t>
            </w:r>
            <w:r w:rsidRPr="002220AD">
              <w:rPr>
                <w:b/>
              </w:rPr>
              <w:t>0</w:t>
            </w:r>
          </w:p>
        </w:tc>
        <w:tc>
          <w:tcPr>
            <w:tcW w:w="1984" w:type="dxa"/>
          </w:tcPr>
          <w:p w14:paraId="31B806D5" w14:textId="7440CA4C" w:rsidR="00D9635A" w:rsidRPr="002220AD" w:rsidRDefault="00D9635A" w:rsidP="00DE5D56">
            <w:pPr>
              <w:spacing w:line="276" w:lineRule="auto"/>
              <w:jc w:val="center"/>
              <w:rPr>
                <w:b/>
              </w:rPr>
            </w:pPr>
            <w:r w:rsidRPr="002220AD">
              <w:rPr>
                <w:b/>
              </w:rPr>
              <w:t>n=289</w:t>
            </w:r>
          </w:p>
        </w:tc>
        <w:tc>
          <w:tcPr>
            <w:tcW w:w="3119" w:type="dxa"/>
          </w:tcPr>
          <w:p w14:paraId="7BEAD757" w14:textId="72937DE2" w:rsidR="00630C78" w:rsidRPr="002220AD" w:rsidRDefault="00630C78" w:rsidP="00DE5D56">
            <w:pPr>
              <w:spacing w:line="276" w:lineRule="auto"/>
              <w:jc w:val="center"/>
              <w:rPr>
                <w:b/>
              </w:rPr>
            </w:pPr>
            <w:r w:rsidRPr="002220AD">
              <w:rPr>
                <w:b/>
              </w:rPr>
              <w:t>72.0% vs 70.6%</w:t>
            </w:r>
          </w:p>
        </w:tc>
      </w:tr>
    </w:tbl>
    <w:p w14:paraId="5E71A14B" w14:textId="241E58B9" w:rsidR="00694CD8" w:rsidRDefault="00D9635A" w:rsidP="000042CF">
      <w:pPr>
        <w:spacing w:line="276" w:lineRule="auto"/>
        <w:jc w:val="both"/>
      </w:pPr>
      <w:r>
        <w:t>*</w:t>
      </w:r>
      <w:r w:rsidR="00486DF6">
        <w:t>Corrected for aspirin use</w:t>
      </w:r>
      <w:r>
        <w:t xml:space="preserve">, </w:t>
      </w:r>
      <w:r w:rsidR="00630C78" w:rsidRPr="00630C78">
        <w:rPr>
          <w:vertAlign w:val="superscript"/>
        </w:rPr>
        <w:t>#</w:t>
      </w:r>
      <w:r w:rsidR="00630C78">
        <w:t>Very low a</w:t>
      </w:r>
      <w:r>
        <w:t xml:space="preserve">spirin use </w:t>
      </w:r>
      <w:r w:rsidR="00630C78">
        <w:t>(</w:t>
      </w:r>
      <w:r>
        <w:t>n=85</w:t>
      </w:r>
      <w:r w:rsidR="00630C78">
        <w:t xml:space="preserve">, </w:t>
      </w:r>
      <w:r>
        <w:t>0.75%)</w:t>
      </w:r>
    </w:p>
    <w:p w14:paraId="7D4DB7E7" w14:textId="77B178D1" w:rsidR="00694CD8" w:rsidRDefault="00694CD8" w:rsidP="000042CF">
      <w:pPr>
        <w:spacing w:line="276" w:lineRule="auto"/>
        <w:jc w:val="both"/>
      </w:pPr>
    </w:p>
    <w:p w14:paraId="6E74CF27" w14:textId="05ED1F97" w:rsidR="00652B33" w:rsidRPr="00652B33" w:rsidRDefault="00652B33" w:rsidP="000042CF">
      <w:pPr>
        <w:spacing w:line="276" w:lineRule="auto"/>
        <w:jc w:val="both"/>
        <w:rPr>
          <w:u w:val="single"/>
        </w:rPr>
      </w:pPr>
      <w:r>
        <w:rPr>
          <w:u w:val="single"/>
        </w:rPr>
        <w:t>Avoiding a d</w:t>
      </w:r>
      <w:r w:rsidRPr="00652B33">
        <w:rPr>
          <w:u w:val="single"/>
        </w:rPr>
        <w:t xml:space="preserve">ogmatic approach to absence of evidence </w:t>
      </w:r>
    </w:p>
    <w:p w14:paraId="4CD402BA" w14:textId="7001AA20" w:rsidR="00694CD8" w:rsidRDefault="002220AD" w:rsidP="000D0771">
      <w:pPr>
        <w:spacing w:line="276" w:lineRule="auto"/>
        <w:jc w:val="both"/>
      </w:pPr>
      <w:r w:rsidRPr="002220AD">
        <w:t xml:space="preserve">Professor Cuckle opines that our study represents </w:t>
      </w:r>
      <w:r w:rsidR="00694CD8" w:rsidRPr="002220AD">
        <w:t xml:space="preserve">a classic example of </w:t>
      </w:r>
      <w:r w:rsidR="000D0771" w:rsidRPr="002220AD">
        <w:t xml:space="preserve">an absence of evidence </w:t>
      </w:r>
      <w:r w:rsidR="00222576">
        <w:t xml:space="preserve">of a difference </w:t>
      </w:r>
      <w:r w:rsidRPr="002220AD">
        <w:t xml:space="preserve">being assumed to be </w:t>
      </w:r>
      <w:r w:rsidR="000D0771" w:rsidRPr="002220AD">
        <w:t>evidence of absence</w:t>
      </w:r>
      <w:r w:rsidR="007E1A55">
        <w:t xml:space="preserve"> of an effect</w:t>
      </w:r>
      <w:r w:rsidR="000D0771" w:rsidRPr="002220AD">
        <w:t>.</w:t>
      </w:r>
      <w:r>
        <w:t xml:space="preserve"> This is an </w:t>
      </w:r>
      <w:r w:rsidR="00C2299F">
        <w:t>often-used</w:t>
      </w:r>
      <w:r>
        <w:t xml:space="preserve"> statement to question the value of studies with negative finding</w:t>
      </w:r>
      <w:r w:rsidR="00C2299F">
        <w:t>s</w:t>
      </w:r>
      <w:r>
        <w:t xml:space="preserve">, </w:t>
      </w:r>
      <w:r w:rsidR="00C2299F">
        <w:t xml:space="preserve">contributing </w:t>
      </w:r>
      <w:r>
        <w:t xml:space="preserve">to </w:t>
      </w:r>
      <w:r w:rsidR="00C2299F">
        <w:t>the</w:t>
      </w:r>
      <w:r w:rsidR="008D706A">
        <w:t xml:space="preserve"> acknowledged</w:t>
      </w:r>
      <w:r>
        <w:t xml:space="preserve"> systematic </w:t>
      </w:r>
      <w:r w:rsidR="007E1A55">
        <w:t>bias</w:t>
      </w:r>
      <w:r>
        <w:t xml:space="preserve"> </w:t>
      </w:r>
      <w:r w:rsidR="008D706A">
        <w:t xml:space="preserve">of academic </w:t>
      </w:r>
      <w:r w:rsidR="00C2299F">
        <w:t>journals</w:t>
      </w:r>
      <w:r w:rsidR="008D706A">
        <w:t xml:space="preserve"> to publish studies with </w:t>
      </w:r>
      <w:r>
        <w:t>positive findings.</w:t>
      </w:r>
      <w:r w:rsidR="008D706A" w:rsidRPr="008D706A">
        <w:t xml:space="preserve"> </w:t>
      </w:r>
      <w:r w:rsidR="00C2299F">
        <w:t>Professor Cuckle’s</w:t>
      </w:r>
      <w:r w:rsidR="008D706A">
        <w:t xml:space="preserve"> slogan sounds cautionary and plausible, to avoid hasty inferences drawn from a paucity of evidence, but there are significant concerns when this is deployed as an indisputable methodological principle. </w:t>
      </w:r>
      <w:r>
        <w:t xml:space="preserve">The same </w:t>
      </w:r>
      <w:r w:rsidR="00C2299F">
        <w:t xml:space="preserve">slogan </w:t>
      </w:r>
      <w:r>
        <w:t xml:space="preserve">was used by </w:t>
      </w:r>
      <w:r w:rsidR="000D0771">
        <w:t xml:space="preserve">the then US </w:t>
      </w:r>
      <w:r>
        <w:t>Defence</w:t>
      </w:r>
      <w:r w:rsidR="000D0771">
        <w:t xml:space="preserve"> </w:t>
      </w:r>
      <w:r>
        <w:t>S</w:t>
      </w:r>
      <w:r w:rsidR="000D0771">
        <w:t xml:space="preserve">ecretary Donald Rumsfeld </w:t>
      </w:r>
      <w:r>
        <w:t xml:space="preserve">in 2002 to declare </w:t>
      </w:r>
      <w:r w:rsidR="000D0771">
        <w:t>war in Iraq</w:t>
      </w:r>
      <w:r w:rsidR="00222576" w:rsidRPr="00222576">
        <w:t xml:space="preserve"> </w:t>
      </w:r>
      <w:r w:rsidR="00222576">
        <w:t xml:space="preserve">for possessing </w:t>
      </w:r>
      <w:r w:rsidR="00222576">
        <w:t>weapons of mass destruction</w:t>
      </w:r>
      <w:r w:rsidR="00222576">
        <w:t>, despite the lack of e</w:t>
      </w:r>
      <w:r w:rsidR="000D0771">
        <w:t xml:space="preserve">vidence </w:t>
      </w:r>
      <w:r w:rsidR="00222576">
        <w:t>that this was the case</w:t>
      </w:r>
      <w:r>
        <w:t>.</w:t>
      </w:r>
      <w:r w:rsidRPr="002220AD">
        <w:t xml:space="preserve"> </w:t>
      </w:r>
      <w:r>
        <w:t>If th</w:t>
      </w:r>
      <w:r w:rsidR="008D706A">
        <w:t>e latter</w:t>
      </w:r>
      <w:r>
        <w:t xml:space="preserve"> is </w:t>
      </w:r>
      <w:r w:rsidR="00C2299F">
        <w:t xml:space="preserve">a consequence of the dogmatic application of Professor Cuckle’s statement, </w:t>
      </w:r>
      <w:r>
        <w:t xml:space="preserve">why would </w:t>
      </w:r>
      <w:r w:rsidR="00C2299F">
        <w:t xml:space="preserve">anyone believe it to be </w:t>
      </w:r>
      <w:r w:rsidR="008D706A">
        <w:t xml:space="preserve">a </w:t>
      </w:r>
      <w:r>
        <w:t>compelling</w:t>
      </w:r>
      <w:r w:rsidR="008D706A">
        <w:t xml:space="preserve"> argument</w:t>
      </w:r>
      <w:r>
        <w:t>?</w:t>
      </w:r>
      <w:r w:rsidR="008D706A">
        <w:t xml:space="preserve"> </w:t>
      </w:r>
      <w:r w:rsidR="000D0771">
        <w:t>W</w:t>
      </w:r>
      <w:r w:rsidR="008D706A">
        <w:t>e argue that we are justified</w:t>
      </w:r>
      <w:r w:rsidR="000D0771">
        <w:t xml:space="preserve"> to infer an absence </w:t>
      </w:r>
      <w:r w:rsidR="00222576">
        <w:t>of an effect</w:t>
      </w:r>
      <w:bookmarkStart w:id="0" w:name="_GoBack"/>
      <w:bookmarkEnd w:id="0"/>
      <w:r w:rsidR="008D706A">
        <w:t xml:space="preserve"> </w:t>
      </w:r>
      <w:r w:rsidR="000D0771">
        <w:t>where we could reasonably expect to find evidence if our hypothesis were true, our methodology sound, and whe</w:t>
      </w:r>
      <w:r w:rsidR="007E1A55">
        <w:t>n</w:t>
      </w:r>
      <w:r w:rsidR="000D0771">
        <w:t xml:space="preserve"> we do not obtain positive results.</w:t>
      </w:r>
      <w:r w:rsidR="008D706A">
        <w:t xml:space="preserve"> However, t</w:t>
      </w:r>
      <w:r w:rsidR="000D0771">
        <w:t>his is not how the burden of proof works.</w:t>
      </w:r>
      <w:r w:rsidR="008D706A">
        <w:t xml:space="preserve"> </w:t>
      </w:r>
      <w:r w:rsidR="000D0771">
        <w:t xml:space="preserve">If </w:t>
      </w:r>
      <w:r w:rsidR="008D706A">
        <w:t>we did not find a difference between the use of PAPP-A and PlGF in first trimester combined screening for preterm pre-eclampsia, we</w:t>
      </w:r>
      <w:r w:rsidR="000D0771">
        <w:t xml:space="preserve"> do not have the burden of proving that </w:t>
      </w:r>
      <w:r w:rsidR="008D706A">
        <w:t>we</w:t>
      </w:r>
      <w:r w:rsidR="000D0771">
        <w:t xml:space="preserve"> are right. The burden rests with those who </w:t>
      </w:r>
      <w:r w:rsidR="007E1A55">
        <w:t xml:space="preserve">conduct </w:t>
      </w:r>
      <w:r w:rsidR="00C2299F">
        <w:t xml:space="preserve">equally rigorous </w:t>
      </w:r>
      <w:r w:rsidR="007E1A55">
        <w:t xml:space="preserve">studies to produce data to justify their findings </w:t>
      </w:r>
      <w:r w:rsidR="000D0771">
        <w:t xml:space="preserve">are probable enough to be </w:t>
      </w:r>
      <w:r w:rsidR="008D706A">
        <w:t xml:space="preserve">used in clinical </w:t>
      </w:r>
      <w:r w:rsidR="007E1A55">
        <w:t>practice</w:t>
      </w:r>
      <w:r w:rsidR="008D706A">
        <w:t>.</w:t>
      </w:r>
    </w:p>
    <w:p w14:paraId="4B56D7DA" w14:textId="24895C7B" w:rsidR="007169FD" w:rsidRDefault="007169FD" w:rsidP="000042CF">
      <w:pPr>
        <w:spacing w:line="276" w:lineRule="auto"/>
        <w:jc w:val="both"/>
      </w:pPr>
    </w:p>
    <w:p w14:paraId="44ADAE3B" w14:textId="6AF6D7A0" w:rsidR="000D578E" w:rsidRDefault="000D578E" w:rsidP="000042CF">
      <w:pPr>
        <w:spacing w:line="276" w:lineRule="auto"/>
        <w:jc w:val="both"/>
      </w:pPr>
      <w:r>
        <w:t>Laure</w:t>
      </w:r>
      <w:r w:rsidRPr="000D578E">
        <w:rPr>
          <w:rFonts w:ascii="ƒM@â˛" w:hAnsi="ƒM@â˛" w:cs="ƒM@â˛"/>
          <w:color w:val="212121"/>
        </w:rPr>
        <w:t xml:space="preserve"> </w:t>
      </w:r>
      <w:r w:rsidRPr="00DE5D56">
        <w:rPr>
          <w:rFonts w:ascii="ƒM@â˛" w:hAnsi="ƒM@â˛" w:cs="ƒM@â˛"/>
          <w:color w:val="212121"/>
        </w:rPr>
        <w:t>Noël</w:t>
      </w:r>
    </w:p>
    <w:p w14:paraId="5DB8DF40" w14:textId="55569A23" w:rsidR="000D578E" w:rsidRDefault="000D578E" w:rsidP="000042CF">
      <w:pPr>
        <w:spacing w:line="276" w:lineRule="auto"/>
        <w:jc w:val="both"/>
      </w:pPr>
      <w:r>
        <w:t>Basky Thilaganathan</w:t>
      </w:r>
    </w:p>
    <w:p w14:paraId="766425FA" w14:textId="77777777" w:rsidR="000D578E" w:rsidRDefault="000D578E">
      <w:r>
        <w:br w:type="page"/>
      </w:r>
    </w:p>
    <w:p w14:paraId="5934B026" w14:textId="77777777" w:rsidR="000D578E" w:rsidRDefault="000D578E" w:rsidP="000042CF">
      <w:pPr>
        <w:spacing w:line="276" w:lineRule="auto"/>
        <w:jc w:val="both"/>
      </w:pPr>
    </w:p>
    <w:p w14:paraId="6ACB787D" w14:textId="1A0F951A" w:rsidR="00694CD8" w:rsidRPr="007169FD" w:rsidRDefault="005A5556" w:rsidP="000042C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169FD">
        <w:rPr>
          <w:b/>
          <w:bCs/>
        </w:rPr>
        <w:t>REFERENCES</w:t>
      </w:r>
    </w:p>
    <w:p w14:paraId="1C975875" w14:textId="77777777" w:rsidR="007169FD" w:rsidRDefault="007169FD" w:rsidP="000042CF">
      <w:pPr>
        <w:autoSpaceDE w:val="0"/>
        <w:autoSpaceDN w:val="0"/>
        <w:adjustRightInd w:val="0"/>
        <w:spacing w:line="276" w:lineRule="auto"/>
        <w:jc w:val="both"/>
      </w:pPr>
    </w:p>
    <w:p w14:paraId="5615A177" w14:textId="1690DEDF" w:rsidR="00F7475E" w:rsidRDefault="00F7475E" w:rsidP="000042CF">
      <w:pPr>
        <w:pStyle w:val="ListParagraph"/>
        <w:numPr>
          <w:ilvl w:val="0"/>
          <w:numId w:val="2"/>
        </w:numPr>
        <w:ind w:left="426" w:hanging="426"/>
        <w:jc w:val="both"/>
        <w:rPr>
          <w:rFonts w:ascii="ƒM@â˛" w:hAnsi="ƒM@â˛" w:cs="ƒM@â˛"/>
          <w:color w:val="212121"/>
        </w:rPr>
      </w:pPr>
      <w:r w:rsidRPr="00F7475E">
        <w:rPr>
          <w:rFonts w:ascii="ƒM@â˛" w:hAnsi="ƒM@â˛" w:cs="ƒM@â˛"/>
          <w:color w:val="212121"/>
        </w:rPr>
        <w:t xml:space="preserve">Mazer Zumaeta A, Wright A, </w:t>
      </w:r>
      <w:proofErr w:type="spellStart"/>
      <w:r w:rsidRPr="00F7475E">
        <w:rPr>
          <w:rFonts w:ascii="ƒM@â˛" w:hAnsi="ƒM@â˛" w:cs="ƒM@â˛"/>
          <w:color w:val="212121"/>
        </w:rPr>
        <w:t>Syngelaki</w:t>
      </w:r>
      <w:proofErr w:type="spellEnd"/>
      <w:r w:rsidRPr="00F7475E">
        <w:rPr>
          <w:rFonts w:ascii="ƒM@â˛" w:hAnsi="ƒM@â˛" w:cs="ƒM@â˛"/>
          <w:color w:val="212121"/>
        </w:rPr>
        <w:t xml:space="preserve"> A, Maritsa VA, Da Silva AB, Nicolaides KH. Screening for pre-eclampsia at 11–13 weeks’ gestation: use of pregnancy-associated plasma protein-A, placental growth factor or both. Ultrasound </w:t>
      </w:r>
      <w:proofErr w:type="spellStart"/>
      <w:r w:rsidRPr="00F7475E">
        <w:rPr>
          <w:rFonts w:ascii="ƒM@â˛" w:hAnsi="ƒM@â˛" w:cs="ƒM@â˛"/>
          <w:color w:val="212121"/>
        </w:rPr>
        <w:t>Obstet</w:t>
      </w:r>
      <w:proofErr w:type="spellEnd"/>
      <w:r w:rsidRPr="00F7475E">
        <w:rPr>
          <w:rFonts w:ascii="ƒM@â˛" w:hAnsi="ƒM@â˛" w:cs="ƒM@â˛"/>
          <w:color w:val="212121"/>
        </w:rPr>
        <w:t xml:space="preserve"> </w:t>
      </w:r>
      <w:proofErr w:type="spellStart"/>
      <w:r w:rsidRPr="00F7475E">
        <w:rPr>
          <w:rFonts w:ascii="ƒM@â˛" w:hAnsi="ƒM@â˛" w:cs="ƒM@â˛"/>
          <w:color w:val="212121"/>
        </w:rPr>
        <w:t>Gynecol</w:t>
      </w:r>
      <w:proofErr w:type="spellEnd"/>
      <w:r w:rsidRPr="00F7475E">
        <w:rPr>
          <w:rFonts w:ascii="ƒM@â˛" w:hAnsi="ƒM@â˛" w:cs="ƒM@â˛"/>
          <w:color w:val="212121"/>
        </w:rPr>
        <w:t xml:space="preserve"> 2020; 56: 400–407.</w:t>
      </w:r>
    </w:p>
    <w:p w14:paraId="4EC2D9FE" w14:textId="77777777" w:rsidR="00F7475E" w:rsidRPr="00F7475E" w:rsidRDefault="00F7475E" w:rsidP="000042CF">
      <w:pPr>
        <w:jc w:val="both"/>
        <w:rPr>
          <w:rFonts w:ascii="ƒM@â˛" w:hAnsi="ƒM@â˛" w:cs="ƒM@â˛"/>
          <w:color w:val="212121"/>
        </w:rPr>
      </w:pPr>
    </w:p>
    <w:p w14:paraId="4F22D1D5" w14:textId="77777777" w:rsidR="00DE5D56" w:rsidRDefault="00DE5D56" w:rsidP="003848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ƒM@â˛" w:hAnsi="ƒM@â˛" w:cs="ƒM@â˛"/>
          <w:color w:val="212121"/>
        </w:rPr>
      </w:pPr>
      <w:r w:rsidRPr="00DE5D56">
        <w:rPr>
          <w:rFonts w:ascii="ƒM@â˛" w:hAnsi="ƒM@â˛" w:cs="ƒM@â˛"/>
          <w:color w:val="212121"/>
        </w:rPr>
        <w:t xml:space="preserve">Rolnik DL, Wright D, Poon LC, O’Gorman N, </w:t>
      </w:r>
      <w:proofErr w:type="spellStart"/>
      <w:r w:rsidRPr="00DE5D56">
        <w:rPr>
          <w:rFonts w:ascii="ƒM@â˛" w:hAnsi="ƒM@â˛" w:cs="ƒM@â˛"/>
          <w:color w:val="212121"/>
        </w:rPr>
        <w:t>Syngelaki</w:t>
      </w:r>
      <w:proofErr w:type="spellEnd"/>
      <w:r w:rsidRPr="00DE5D56">
        <w:rPr>
          <w:rFonts w:ascii="ƒM@â˛" w:hAnsi="ƒM@â˛" w:cs="ƒM@â˛"/>
          <w:color w:val="212121"/>
        </w:rPr>
        <w:t xml:space="preserve"> A, de </w:t>
      </w:r>
      <w:proofErr w:type="spellStart"/>
      <w:r w:rsidRPr="00DE5D56">
        <w:rPr>
          <w:rFonts w:ascii="ƒM@â˛" w:hAnsi="ƒM@â˛" w:cs="ƒM@â˛"/>
          <w:color w:val="212121"/>
        </w:rPr>
        <w:t>Paco</w:t>
      </w:r>
      <w:proofErr w:type="spellEnd"/>
      <w:r w:rsidRPr="00DE5D56">
        <w:rPr>
          <w:rFonts w:ascii="ƒM@â˛" w:hAnsi="ƒM@â˛" w:cs="ƒM@â˛"/>
          <w:color w:val="212121"/>
        </w:rPr>
        <w:t xml:space="preserve"> </w:t>
      </w:r>
      <w:proofErr w:type="spellStart"/>
      <w:r w:rsidRPr="00DE5D56">
        <w:rPr>
          <w:rFonts w:ascii="ƒM@â˛" w:hAnsi="ƒM@â˛" w:cs="ƒM@â˛"/>
          <w:color w:val="212121"/>
        </w:rPr>
        <w:t>Matallana</w:t>
      </w:r>
      <w:proofErr w:type="spellEnd"/>
      <w:r w:rsidRPr="00DE5D56">
        <w:rPr>
          <w:rFonts w:ascii="ƒM@â˛" w:hAnsi="ƒM@â˛" w:cs="ƒM@â˛"/>
          <w:color w:val="212121"/>
        </w:rPr>
        <w:t xml:space="preserve"> C, Akolekar R, Cicero S, </w:t>
      </w:r>
      <w:proofErr w:type="spellStart"/>
      <w:r w:rsidRPr="00DE5D56">
        <w:rPr>
          <w:rFonts w:ascii="ƒM@â˛" w:hAnsi="ƒM@â˛" w:cs="ƒM@â˛"/>
          <w:color w:val="212121"/>
        </w:rPr>
        <w:t>Janga</w:t>
      </w:r>
      <w:proofErr w:type="spellEnd"/>
      <w:r w:rsidRPr="00DE5D56">
        <w:rPr>
          <w:rFonts w:ascii="ƒM@â˛" w:hAnsi="ƒM@â˛" w:cs="ƒM@â˛"/>
          <w:color w:val="212121"/>
        </w:rPr>
        <w:t xml:space="preserve"> D, </w:t>
      </w:r>
      <w:proofErr w:type="spellStart"/>
      <w:proofErr w:type="gramStart"/>
      <w:r w:rsidRPr="00DE5D56">
        <w:rPr>
          <w:rFonts w:ascii="ƒM@â˛" w:hAnsi="ƒM@â˛" w:cs="ƒM@â˛"/>
          <w:color w:val="212121"/>
        </w:rPr>
        <w:t>SinghM,Molina</w:t>
      </w:r>
      <w:proofErr w:type="spellEnd"/>
      <w:proofErr w:type="gramEnd"/>
      <w:r w:rsidRPr="00DE5D56">
        <w:rPr>
          <w:rFonts w:ascii="ƒM@â˛" w:hAnsi="ƒM@â˛" w:cs="ƒM@â˛"/>
          <w:color w:val="212121"/>
        </w:rPr>
        <w:t xml:space="preserve"> FS, Persico N, </w:t>
      </w:r>
      <w:proofErr w:type="spellStart"/>
      <w:r w:rsidRPr="00DE5D56">
        <w:rPr>
          <w:rFonts w:ascii="ƒM@â˛" w:hAnsi="ƒM@â˛" w:cs="ƒM@â˛"/>
          <w:color w:val="212121"/>
        </w:rPr>
        <w:t>Jani</w:t>
      </w:r>
      <w:proofErr w:type="spellEnd"/>
      <w:r w:rsidRPr="00DE5D56">
        <w:rPr>
          <w:rFonts w:ascii="ƒM@â˛" w:hAnsi="ƒM@â˛" w:cs="ƒM@â˛"/>
          <w:color w:val="212121"/>
        </w:rPr>
        <w:t xml:space="preserve"> JC, </w:t>
      </w:r>
      <w:proofErr w:type="spellStart"/>
      <w:r w:rsidRPr="00DE5D56">
        <w:rPr>
          <w:rFonts w:ascii="ƒM@â˛" w:hAnsi="ƒM@â˛" w:cs="ƒM@â˛"/>
          <w:color w:val="212121"/>
        </w:rPr>
        <w:t>Plasencia</w:t>
      </w:r>
      <w:proofErr w:type="spellEnd"/>
      <w:r w:rsidRPr="00DE5D56">
        <w:rPr>
          <w:rFonts w:ascii="ƒM@â˛" w:hAnsi="ƒM@â˛" w:cs="ƒM@â˛"/>
          <w:color w:val="212121"/>
        </w:rPr>
        <w:t xml:space="preserve"> W, </w:t>
      </w:r>
      <w:proofErr w:type="spellStart"/>
      <w:r w:rsidRPr="00DE5D56">
        <w:rPr>
          <w:rFonts w:ascii="ƒM@â˛" w:hAnsi="ƒM@â˛" w:cs="ƒM@â˛"/>
          <w:color w:val="212121"/>
        </w:rPr>
        <w:t>Papaioannou</w:t>
      </w:r>
      <w:proofErr w:type="spellEnd"/>
      <w:r w:rsidRPr="00DE5D56">
        <w:rPr>
          <w:rFonts w:ascii="ƒM@â˛" w:hAnsi="ƒM@â˛" w:cs="ƒM@â˛"/>
          <w:color w:val="212121"/>
        </w:rPr>
        <w:t xml:space="preserve"> G, </w:t>
      </w:r>
      <w:proofErr w:type="spellStart"/>
      <w:r w:rsidRPr="00DE5D56">
        <w:rPr>
          <w:rFonts w:ascii="ƒM@â˛" w:hAnsi="ƒM@â˛" w:cs="ƒM@â˛"/>
          <w:color w:val="212121"/>
        </w:rPr>
        <w:t>Tenenbaum-Gavish</w:t>
      </w:r>
      <w:proofErr w:type="spellEnd"/>
      <w:r w:rsidRPr="00DE5D56">
        <w:rPr>
          <w:rFonts w:ascii="ƒM@â˛" w:hAnsi="ƒM@â˛" w:cs="ƒM@â˛"/>
          <w:color w:val="212121"/>
        </w:rPr>
        <w:t xml:space="preserve"> K, </w:t>
      </w:r>
      <w:proofErr w:type="spellStart"/>
      <w:r w:rsidRPr="00DE5D56">
        <w:rPr>
          <w:rFonts w:ascii="ƒM@â˛" w:hAnsi="ƒM@â˛" w:cs="ƒM@â˛"/>
          <w:color w:val="212121"/>
        </w:rPr>
        <w:t>Meiri</w:t>
      </w:r>
      <w:proofErr w:type="spellEnd"/>
      <w:r w:rsidRPr="00DE5D56">
        <w:rPr>
          <w:rFonts w:ascii="ƒM@â˛" w:hAnsi="ƒM@â˛" w:cs="ƒM@â˛"/>
          <w:color w:val="212121"/>
        </w:rPr>
        <w:t xml:space="preserve"> H, </w:t>
      </w:r>
      <w:proofErr w:type="spellStart"/>
      <w:r w:rsidRPr="00DE5D56">
        <w:rPr>
          <w:rFonts w:ascii="ƒM@â˛" w:hAnsi="ƒM@â˛" w:cs="ƒM@â˛"/>
          <w:color w:val="212121"/>
        </w:rPr>
        <w:t>Gizurarson</w:t>
      </w:r>
      <w:proofErr w:type="spellEnd"/>
      <w:r w:rsidRPr="00DE5D56">
        <w:rPr>
          <w:rFonts w:ascii="ƒM@â˛" w:hAnsi="ƒM@â˛" w:cs="ƒM@â˛"/>
          <w:color w:val="212121"/>
        </w:rPr>
        <w:t xml:space="preserve"> S, Maclagan K, Nicolaides KH. Aspirin versus Placebo in Pregnancies at High Risk for Preterm Preeclampsia. N </w:t>
      </w:r>
      <w:proofErr w:type="spellStart"/>
      <w:r w:rsidRPr="00DE5D56">
        <w:rPr>
          <w:rFonts w:ascii="ƒM@â˛" w:hAnsi="ƒM@â˛" w:cs="ƒM@â˛"/>
          <w:color w:val="212121"/>
        </w:rPr>
        <w:t>Engl</w:t>
      </w:r>
      <w:proofErr w:type="spellEnd"/>
      <w:r w:rsidRPr="00DE5D56">
        <w:rPr>
          <w:rFonts w:ascii="ƒM@â˛" w:hAnsi="ƒM@â˛" w:cs="ƒM@â˛"/>
          <w:color w:val="212121"/>
        </w:rPr>
        <w:t xml:space="preserve"> J Med 2017; 377: 613–622.</w:t>
      </w:r>
    </w:p>
    <w:p w14:paraId="687E5A61" w14:textId="77777777" w:rsidR="00DE5D56" w:rsidRDefault="00DE5D56" w:rsidP="00DE5D56">
      <w:pPr>
        <w:pStyle w:val="ListParagraph"/>
        <w:autoSpaceDE w:val="0"/>
        <w:autoSpaceDN w:val="0"/>
        <w:adjustRightInd w:val="0"/>
        <w:spacing w:line="276" w:lineRule="auto"/>
        <w:ind w:left="426"/>
        <w:jc w:val="both"/>
        <w:rPr>
          <w:rFonts w:ascii="ƒM@â˛" w:hAnsi="ƒM@â˛" w:cs="ƒM@â˛"/>
          <w:color w:val="212121"/>
        </w:rPr>
      </w:pPr>
    </w:p>
    <w:p w14:paraId="6F618276" w14:textId="05D8C807" w:rsidR="00694CD8" w:rsidRPr="00DE5D56" w:rsidRDefault="007169FD" w:rsidP="003848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ƒM@â˛" w:hAnsi="ƒM@â˛" w:cs="ƒM@â˛"/>
          <w:color w:val="212121"/>
        </w:rPr>
      </w:pPr>
      <w:r w:rsidRPr="00DE5D56">
        <w:rPr>
          <w:rFonts w:ascii="ƒM@â˛" w:hAnsi="ƒM@â˛" w:cs="ƒM@â˛"/>
          <w:color w:val="212121"/>
        </w:rPr>
        <w:t xml:space="preserve">Noël L, Guy GP, Jones S, </w:t>
      </w:r>
      <w:proofErr w:type="spellStart"/>
      <w:r w:rsidRPr="00DE5D56">
        <w:rPr>
          <w:rFonts w:ascii="ƒM@â˛" w:hAnsi="ƒM@â˛" w:cs="ƒM@â˛"/>
          <w:color w:val="212121"/>
        </w:rPr>
        <w:t>Forenc</w:t>
      </w:r>
      <w:proofErr w:type="spellEnd"/>
      <w:r w:rsidRPr="00DE5D56">
        <w:rPr>
          <w:rFonts w:ascii="ƒM@â˛" w:hAnsi="ƒM@â˛" w:cs="ƒM@â˛"/>
          <w:color w:val="212121"/>
        </w:rPr>
        <w:t xml:space="preserve"> K, Buck E, Papageorghiou AT, Thilaganathan B. </w:t>
      </w:r>
      <w:r w:rsidR="00694CD8" w:rsidRPr="00DE5D56">
        <w:rPr>
          <w:rFonts w:ascii="ƒM@â˛" w:hAnsi="ƒM@â˛" w:cs="ƒM@â˛"/>
          <w:color w:val="212121"/>
        </w:rPr>
        <w:t xml:space="preserve">Routine first-trimester combined screening for pre-eclampsia: pregnancy-associated plasma protein-A or placental growth factor? </w:t>
      </w:r>
      <w:r w:rsidRPr="00DE5D56">
        <w:rPr>
          <w:rFonts w:ascii="ƒM@â˛" w:hAnsi="ƒM@â˛" w:cs="ƒM@â˛"/>
          <w:color w:val="212121"/>
        </w:rPr>
        <w:t xml:space="preserve"> </w:t>
      </w:r>
      <w:r w:rsidR="00694CD8" w:rsidRPr="00DE5D56">
        <w:rPr>
          <w:rFonts w:ascii="ƒM@â˛" w:hAnsi="ƒM@â˛" w:cs="ƒM@â˛"/>
          <w:color w:val="231F20"/>
        </w:rPr>
        <w:t xml:space="preserve">Ultrasound </w:t>
      </w:r>
      <w:proofErr w:type="spellStart"/>
      <w:r w:rsidR="00694CD8" w:rsidRPr="00DE5D56">
        <w:rPr>
          <w:rFonts w:ascii="ƒM@â˛" w:hAnsi="ƒM@â˛" w:cs="ƒM@â˛"/>
          <w:color w:val="231F20"/>
        </w:rPr>
        <w:t>Obstet</w:t>
      </w:r>
      <w:proofErr w:type="spellEnd"/>
      <w:r w:rsidR="00694CD8" w:rsidRPr="00DE5D56">
        <w:rPr>
          <w:rFonts w:ascii="ƒM@â˛" w:hAnsi="ƒM@â˛" w:cs="ƒM@â˛"/>
          <w:color w:val="231F20"/>
        </w:rPr>
        <w:t xml:space="preserve"> </w:t>
      </w:r>
      <w:proofErr w:type="spellStart"/>
      <w:r w:rsidR="00694CD8" w:rsidRPr="00DE5D56">
        <w:rPr>
          <w:rFonts w:ascii="ƒM@â˛" w:hAnsi="ƒM@â˛" w:cs="ƒM@â˛"/>
          <w:color w:val="231F20"/>
        </w:rPr>
        <w:t>Gynecol</w:t>
      </w:r>
      <w:proofErr w:type="spellEnd"/>
      <w:r w:rsidR="00694CD8" w:rsidRPr="00DE5D56">
        <w:rPr>
          <w:rFonts w:ascii="ƒM@â˛" w:hAnsi="ƒM@â˛" w:cs="ƒM@â˛"/>
          <w:color w:val="231F20"/>
        </w:rPr>
        <w:t xml:space="preserve"> 2021; 58(4): </w:t>
      </w:r>
      <w:r w:rsidR="00694CD8" w:rsidRPr="00DE5D56">
        <w:rPr>
          <w:rFonts w:ascii="ƒM@â˛" w:hAnsi="ƒM@â˛" w:cs="ƒM@â˛"/>
          <w:color w:val="212121"/>
        </w:rPr>
        <w:t>540-545.</w:t>
      </w:r>
    </w:p>
    <w:p w14:paraId="5DE83B97" w14:textId="77777777" w:rsidR="005A5556" w:rsidRDefault="005A5556" w:rsidP="000042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ƒM@â˛" w:hAnsi="ƒM@â˛" w:cs="ƒM@â˛"/>
          <w:color w:val="212121"/>
        </w:rPr>
      </w:pPr>
    </w:p>
    <w:p w14:paraId="5C526405" w14:textId="6B0A2759" w:rsidR="005A5556" w:rsidRPr="005A5556" w:rsidRDefault="005A5556" w:rsidP="000042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ƒM@â˛" w:hAnsi="ƒM@â˛" w:cs="ƒM@â˛"/>
          <w:color w:val="000000"/>
        </w:rPr>
      </w:pPr>
      <w:r w:rsidRPr="005A5556">
        <w:rPr>
          <w:rFonts w:ascii="ƒM@â˛" w:hAnsi="ƒM@â˛" w:cs="ƒM@â˛"/>
          <w:color w:val="000000"/>
        </w:rPr>
        <w:t xml:space="preserve">Poon LC, Wright D, Thornton S, Akolekar R, </w:t>
      </w:r>
      <w:proofErr w:type="spellStart"/>
      <w:r w:rsidRPr="005A5556">
        <w:rPr>
          <w:rFonts w:ascii="ƒM@â˛" w:hAnsi="ƒM@â˛" w:cs="ƒM@â˛"/>
          <w:color w:val="000000"/>
        </w:rPr>
        <w:t>Brocklehurst</w:t>
      </w:r>
      <w:proofErr w:type="spellEnd"/>
      <w:r w:rsidRPr="005A5556">
        <w:rPr>
          <w:rFonts w:ascii="ƒM@â˛" w:hAnsi="ƒM@â˛" w:cs="ƒM@â˛"/>
          <w:color w:val="000000"/>
        </w:rPr>
        <w:t xml:space="preserve"> P, Nicolaides KH. Mini-combined test compared with NICE guidelines for early risk-assessment for pre-eclampsia: the SPREE diagnostic accuracy study. Efficacy Mech Eval 2020; 7, Issue: 8, Published in November 2020</w:t>
      </w:r>
      <w:r>
        <w:rPr>
          <w:rFonts w:ascii="ƒM@â˛" w:hAnsi="ƒM@â˛" w:cs="ƒM@â˛"/>
          <w:color w:val="000000"/>
        </w:rPr>
        <w:t>.</w:t>
      </w:r>
    </w:p>
    <w:p w14:paraId="5FD40B7A" w14:textId="77777777" w:rsidR="005A5556" w:rsidRDefault="005A5556" w:rsidP="000042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ƒM@â˛" w:hAnsi="ƒM@â˛" w:cs="ƒM@â˛"/>
          <w:color w:val="000000"/>
        </w:rPr>
      </w:pPr>
    </w:p>
    <w:p w14:paraId="64C9329E" w14:textId="1E819F1C" w:rsidR="005A5556" w:rsidRPr="005A5556" w:rsidRDefault="005A5556" w:rsidP="000042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ƒM@â˛" w:hAnsi="ƒM@â˛" w:cs="ƒM@â˛"/>
          <w:color w:val="000000"/>
        </w:rPr>
      </w:pPr>
      <w:r w:rsidRPr="005A5556">
        <w:rPr>
          <w:rFonts w:ascii="ƒM@â˛" w:hAnsi="ƒM@â˛" w:cs="ƒM@â˛"/>
          <w:color w:val="000000"/>
        </w:rPr>
        <w:t xml:space="preserve">Hu J, Gao J, Liu J, Meng H, Hao N, Song Y, Ma L, Luo W, Sun J, Gao W, Meng W, Sun Y. Prospective evaluation of first-trimester screening strategy for preterm pre-eclampsia and its clinical applicability in China. Ultrasound </w:t>
      </w:r>
      <w:proofErr w:type="spellStart"/>
      <w:r w:rsidRPr="005A5556">
        <w:rPr>
          <w:rFonts w:ascii="ƒM@â˛" w:hAnsi="ƒM@â˛" w:cs="ƒM@â˛"/>
          <w:color w:val="000000"/>
        </w:rPr>
        <w:t>Obstet</w:t>
      </w:r>
      <w:proofErr w:type="spellEnd"/>
      <w:r w:rsidRPr="005A5556">
        <w:rPr>
          <w:rFonts w:ascii="ƒM@â˛" w:hAnsi="ƒM@â˛" w:cs="ƒM@â˛"/>
          <w:color w:val="000000"/>
        </w:rPr>
        <w:t xml:space="preserve"> </w:t>
      </w:r>
      <w:proofErr w:type="spellStart"/>
      <w:r w:rsidRPr="005A5556">
        <w:rPr>
          <w:rFonts w:ascii="ƒM@â˛" w:hAnsi="ƒM@â˛" w:cs="ƒM@â˛"/>
          <w:color w:val="000000"/>
        </w:rPr>
        <w:t>Gynecol</w:t>
      </w:r>
      <w:proofErr w:type="spellEnd"/>
      <w:r w:rsidRPr="005A5556">
        <w:rPr>
          <w:rFonts w:ascii="ƒM@â˛" w:hAnsi="ƒM@â˛" w:cs="ƒM@â˛"/>
          <w:color w:val="000000"/>
        </w:rPr>
        <w:t xml:space="preserve"> 2021; 58: 529– 539.</w:t>
      </w:r>
    </w:p>
    <w:p w14:paraId="625720EF" w14:textId="439763D7" w:rsidR="004512E4" w:rsidRDefault="004512E4" w:rsidP="000042CF">
      <w:pPr>
        <w:autoSpaceDE w:val="0"/>
        <w:autoSpaceDN w:val="0"/>
        <w:adjustRightInd w:val="0"/>
        <w:spacing w:line="276" w:lineRule="auto"/>
        <w:jc w:val="both"/>
        <w:rPr>
          <w:rFonts w:ascii="ƒM@â˛" w:hAnsi="ƒM@â˛" w:cs="ƒM@â˛"/>
          <w:color w:val="000000"/>
        </w:rPr>
      </w:pPr>
    </w:p>
    <w:sectPr w:rsidR="004512E4" w:rsidSect="00D60A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ƒM@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2F9"/>
    <w:multiLevelType w:val="hybridMultilevel"/>
    <w:tmpl w:val="8772C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A03EF"/>
    <w:multiLevelType w:val="hybridMultilevel"/>
    <w:tmpl w:val="49D4DB0A"/>
    <w:lvl w:ilvl="0" w:tplc="64CEAC3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D8"/>
    <w:rsid w:val="000042CF"/>
    <w:rsid w:val="00064563"/>
    <w:rsid w:val="0007190E"/>
    <w:rsid w:val="00075F4D"/>
    <w:rsid w:val="000B0792"/>
    <w:rsid w:val="000D0771"/>
    <w:rsid w:val="000D578E"/>
    <w:rsid w:val="000E4B16"/>
    <w:rsid w:val="001740B8"/>
    <w:rsid w:val="001D456B"/>
    <w:rsid w:val="001D5A03"/>
    <w:rsid w:val="00207D5C"/>
    <w:rsid w:val="002220AD"/>
    <w:rsid w:val="00222576"/>
    <w:rsid w:val="00224565"/>
    <w:rsid w:val="00274F2B"/>
    <w:rsid w:val="00283D56"/>
    <w:rsid w:val="0031054E"/>
    <w:rsid w:val="0039782A"/>
    <w:rsid w:val="003B5E07"/>
    <w:rsid w:val="00420342"/>
    <w:rsid w:val="00436095"/>
    <w:rsid w:val="004512E4"/>
    <w:rsid w:val="00486DF6"/>
    <w:rsid w:val="00532095"/>
    <w:rsid w:val="005A5556"/>
    <w:rsid w:val="00630C78"/>
    <w:rsid w:val="00634D74"/>
    <w:rsid w:val="00652B33"/>
    <w:rsid w:val="0067258C"/>
    <w:rsid w:val="00694CD8"/>
    <w:rsid w:val="0071001E"/>
    <w:rsid w:val="007169FD"/>
    <w:rsid w:val="00731FCF"/>
    <w:rsid w:val="00774E1E"/>
    <w:rsid w:val="007D7DD1"/>
    <w:rsid w:val="007E1A55"/>
    <w:rsid w:val="00886520"/>
    <w:rsid w:val="008D706A"/>
    <w:rsid w:val="00964481"/>
    <w:rsid w:val="00AC01FB"/>
    <w:rsid w:val="00AE4298"/>
    <w:rsid w:val="00B24C2A"/>
    <w:rsid w:val="00B33C4D"/>
    <w:rsid w:val="00BC53B1"/>
    <w:rsid w:val="00C2299F"/>
    <w:rsid w:val="00C30ABE"/>
    <w:rsid w:val="00C56AC6"/>
    <w:rsid w:val="00CB55ED"/>
    <w:rsid w:val="00D60A5E"/>
    <w:rsid w:val="00D83B20"/>
    <w:rsid w:val="00D9635A"/>
    <w:rsid w:val="00DE5D56"/>
    <w:rsid w:val="00E62344"/>
    <w:rsid w:val="00F71520"/>
    <w:rsid w:val="00F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8499"/>
  <w15:chartTrackingRefBased/>
  <w15:docId w15:val="{8E697F32-A66B-5945-A1DE-CAFE319C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Basky Thilaganathan</dc:creator>
  <cp:keywords/>
  <dc:description/>
  <cp:lastModifiedBy>Baskaran Thilaganathan</cp:lastModifiedBy>
  <cp:revision>2</cp:revision>
  <dcterms:created xsi:type="dcterms:W3CDTF">2021-12-01T12:31:00Z</dcterms:created>
  <dcterms:modified xsi:type="dcterms:W3CDTF">2021-12-01T12:31:00Z</dcterms:modified>
</cp:coreProperties>
</file>