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86376" w14:textId="77777777" w:rsidR="002A5C42" w:rsidRDefault="002A5C42" w:rsidP="002A5C42">
      <w:pPr>
        <w:spacing w:line="360" w:lineRule="auto"/>
        <w:jc w:val="both"/>
        <w:rPr>
          <w:lang w:val="en-US"/>
        </w:rPr>
      </w:pPr>
    </w:p>
    <w:p w14:paraId="66BC92E3" w14:textId="77777777" w:rsidR="002A5C42" w:rsidRDefault="001C0617" w:rsidP="002A5C42">
      <w:pPr>
        <w:jc w:val="both"/>
        <w:rPr>
          <w:lang w:val="en-US"/>
        </w:rPr>
      </w:pPr>
      <w:r>
        <w:rPr>
          <w:noProof/>
        </w:rPr>
        <w:drawing>
          <wp:inline distT="0" distB="0" distL="0" distR="0" wp14:anchorId="2AC50FFF" wp14:editId="65036AE6">
            <wp:extent cx="5756910" cy="32670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1-10-15 à 10.42.1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256FF" w14:textId="77777777" w:rsidR="001C0617" w:rsidRDefault="001C0617" w:rsidP="002A5C42">
      <w:pPr>
        <w:jc w:val="both"/>
        <w:rPr>
          <w:b/>
          <w:bCs/>
          <w:lang w:val="en-US"/>
        </w:rPr>
      </w:pPr>
    </w:p>
    <w:p w14:paraId="2620561F" w14:textId="77777777" w:rsidR="002A5C42" w:rsidRPr="004D3090" w:rsidRDefault="002A5C42" w:rsidP="002A5C42">
      <w:pPr>
        <w:jc w:val="both"/>
        <w:rPr>
          <w:bCs/>
          <w:lang w:val="en-US"/>
        </w:rPr>
      </w:pPr>
      <w:r>
        <w:rPr>
          <w:b/>
          <w:bCs/>
          <w:lang w:val="en-US"/>
        </w:rPr>
        <w:t xml:space="preserve">Fig. S1. </w:t>
      </w:r>
      <w:r w:rsidRPr="004D3090">
        <w:rPr>
          <w:b/>
          <w:bCs/>
          <w:lang w:val="en-US"/>
        </w:rPr>
        <w:t xml:space="preserve">RNA expression </w:t>
      </w:r>
      <w:r>
        <w:rPr>
          <w:b/>
          <w:bCs/>
          <w:lang w:val="en-US"/>
        </w:rPr>
        <w:t xml:space="preserve">of </w:t>
      </w:r>
      <w:r w:rsidRPr="004D3090">
        <w:rPr>
          <w:b/>
          <w:bCs/>
          <w:i/>
          <w:lang w:val="en-US"/>
        </w:rPr>
        <w:t>TYMP</w:t>
      </w:r>
      <w:r>
        <w:rPr>
          <w:b/>
          <w:bCs/>
          <w:lang w:val="en-US"/>
        </w:rPr>
        <w:t xml:space="preserve"> </w:t>
      </w:r>
      <w:r w:rsidRPr="004D3090">
        <w:rPr>
          <w:b/>
          <w:bCs/>
          <w:lang w:val="en-US"/>
        </w:rPr>
        <w:t>within individual tissues</w:t>
      </w:r>
      <w:r>
        <w:rPr>
          <w:b/>
          <w:bCs/>
          <w:lang w:val="en-US"/>
        </w:rPr>
        <w:t>.</w:t>
      </w:r>
      <w:r>
        <w:rPr>
          <w:bCs/>
          <w:lang w:val="en-US"/>
        </w:rPr>
        <w:t xml:space="preserve"> Data were extracted from the </w:t>
      </w:r>
      <w:proofErr w:type="spellStart"/>
      <w:r>
        <w:rPr>
          <w:bCs/>
          <w:lang w:val="en-US"/>
        </w:rPr>
        <w:t>GTex</w:t>
      </w:r>
      <w:proofErr w:type="spellEnd"/>
      <w:r>
        <w:rPr>
          <w:bCs/>
          <w:lang w:val="en-US"/>
        </w:rPr>
        <w:t xml:space="preserve"> Portal (</w:t>
      </w:r>
      <w:hyperlink r:id="rId7" w:history="1">
        <w:r w:rsidRPr="0085151A">
          <w:rPr>
            <w:rStyle w:val="Lienhypertexte"/>
            <w:bCs/>
            <w:lang w:val="en-US"/>
          </w:rPr>
          <w:t>https://gtexportal.org</w:t>
        </w:r>
      </w:hyperlink>
      <w:r>
        <w:rPr>
          <w:bCs/>
          <w:lang w:val="en-US"/>
        </w:rPr>
        <w:t xml:space="preserve">), </w:t>
      </w:r>
      <w:r w:rsidRPr="00284A60">
        <w:rPr>
          <w:bCs/>
          <w:lang w:val="en-US"/>
        </w:rPr>
        <w:t xml:space="preserve">a </w:t>
      </w:r>
      <w:r>
        <w:rPr>
          <w:bCs/>
          <w:lang w:val="en-US"/>
        </w:rPr>
        <w:t xml:space="preserve">web </w:t>
      </w:r>
      <w:r w:rsidRPr="00284A60">
        <w:rPr>
          <w:bCs/>
          <w:lang w:val="en-US"/>
        </w:rPr>
        <w:t>resource study</w:t>
      </w:r>
      <w:r>
        <w:rPr>
          <w:bCs/>
          <w:lang w:val="en-US"/>
        </w:rPr>
        <w:t>ing</w:t>
      </w:r>
      <w:r w:rsidRPr="00284A60">
        <w:rPr>
          <w:bCs/>
          <w:lang w:val="en-US"/>
        </w:rPr>
        <w:t xml:space="preserve"> human gene expression and regulation</w:t>
      </w:r>
      <w:r>
        <w:rPr>
          <w:bCs/>
          <w:lang w:val="en-US"/>
        </w:rPr>
        <w:t>, and</w:t>
      </w:r>
      <w:r w:rsidRPr="00284A60">
        <w:rPr>
          <w:bCs/>
          <w:lang w:val="en-US"/>
        </w:rPr>
        <w:t xml:space="preserve"> sorted by decreasing expression rate</w:t>
      </w:r>
      <w:r>
        <w:rPr>
          <w:bCs/>
          <w:lang w:val="en-US"/>
        </w:rPr>
        <w:t>. The V8</w:t>
      </w:r>
      <w:r w:rsidRPr="00284A60">
        <w:rPr>
          <w:bCs/>
          <w:lang w:val="en-US"/>
        </w:rPr>
        <w:t xml:space="preserve"> Release </w:t>
      </w:r>
      <w:r>
        <w:rPr>
          <w:bCs/>
          <w:lang w:val="en-US"/>
        </w:rPr>
        <w:t xml:space="preserve">used for this analysis was based on data from </w:t>
      </w:r>
      <w:r w:rsidRPr="00284A60">
        <w:rPr>
          <w:bCs/>
          <w:lang w:val="en-US"/>
        </w:rPr>
        <w:t>17382</w:t>
      </w:r>
      <w:r>
        <w:rPr>
          <w:bCs/>
          <w:lang w:val="en-US"/>
        </w:rPr>
        <w:t xml:space="preserve"> samples, 54 tissues, and 948 donors. Tissues with a TPM value under 40 were not presented. TPM: transcripts per million.</w:t>
      </w:r>
    </w:p>
    <w:p w14:paraId="4194A2CD" w14:textId="77777777" w:rsidR="002A5C42" w:rsidRDefault="002A5C42" w:rsidP="002A5C42">
      <w:pPr>
        <w:jc w:val="both"/>
        <w:rPr>
          <w:lang w:val="en-US"/>
        </w:rPr>
      </w:pPr>
    </w:p>
    <w:p w14:paraId="7E366D82" w14:textId="77777777" w:rsidR="002A5C42" w:rsidRDefault="002A5C42" w:rsidP="002A5C42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091408AB" w14:textId="77777777" w:rsidR="002A5C42" w:rsidRDefault="002A5C42" w:rsidP="002A5C42">
      <w:pPr>
        <w:jc w:val="both"/>
        <w:rPr>
          <w:b/>
          <w:bCs/>
          <w:lang w:val="en-US"/>
        </w:rPr>
      </w:pPr>
    </w:p>
    <w:p w14:paraId="609D4616" w14:textId="77777777" w:rsidR="002A5C42" w:rsidRDefault="002A5C42" w:rsidP="002A5C42">
      <w:pPr>
        <w:jc w:val="both"/>
        <w:rPr>
          <w:b/>
          <w:bCs/>
          <w:lang w:val="en-US"/>
        </w:rPr>
      </w:pPr>
      <w:r>
        <w:rPr>
          <w:b/>
          <w:noProof/>
        </w:rPr>
        <w:drawing>
          <wp:inline distT="0" distB="0" distL="0" distR="0" wp14:anchorId="4F28DB69" wp14:editId="6D762D86">
            <wp:extent cx="5756910" cy="4608195"/>
            <wp:effectExtent l="0" t="0" r="0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 Fig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5C9FA" w14:textId="77777777" w:rsidR="002A5C42" w:rsidRDefault="002A5C42" w:rsidP="002A5C42">
      <w:pPr>
        <w:jc w:val="both"/>
        <w:rPr>
          <w:b/>
          <w:bCs/>
          <w:lang w:val="en-US"/>
        </w:rPr>
      </w:pPr>
    </w:p>
    <w:p w14:paraId="7B424D44" w14:textId="5CB22962" w:rsidR="002A5C42" w:rsidRPr="006C78F1" w:rsidRDefault="002A5C42" w:rsidP="002A5C42">
      <w:pPr>
        <w:jc w:val="both"/>
        <w:rPr>
          <w:lang w:val="en-US"/>
        </w:rPr>
      </w:pPr>
      <w:r w:rsidRPr="003805F0">
        <w:rPr>
          <w:b/>
          <w:bCs/>
          <w:lang w:val="en-US"/>
        </w:rPr>
        <w:t>Fig</w:t>
      </w:r>
      <w:r>
        <w:rPr>
          <w:b/>
          <w:bCs/>
          <w:lang w:val="en-US"/>
        </w:rPr>
        <w:t>.</w:t>
      </w:r>
      <w:r w:rsidRPr="003805F0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S</w:t>
      </w:r>
      <w:r w:rsidRPr="003805F0">
        <w:rPr>
          <w:b/>
          <w:bCs/>
          <w:lang w:val="en-US"/>
        </w:rPr>
        <w:t xml:space="preserve">2. </w:t>
      </w:r>
      <w:r>
        <w:rPr>
          <w:b/>
          <w:bCs/>
          <w:lang w:val="en-US"/>
        </w:rPr>
        <w:t>A</w:t>
      </w:r>
      <w:r w:rsidRPr="000403AB">
        <w:rPr>
          <w:b/>
          <w:bCs/>
          <w:lang w:val="en-US"/>
        </w:rPr>
        <w:t xml:space="preserve">ssessment of </w:t>
      </w:r>
      <w:r>
        <w:rPr>
          <w:b/>
          <w:bCs/>
          <w:lang w:val="en-US"/>
        </w:rPr>
        <w:t xml:space="preserve">CRISPR-Cas9 </w:t>
      </w:r>
      <w:r w:rsidRPr="000403AB">
        <w:rPr>
          <w:b/>
          <w:bCs/>
          <w:lang w:val="en-US"/>
        </w:rPr>
        <w:t xml:space="preserve">editing efficiency </w:t>
      </w:r>
      <w:r>
        <w:rPr>
          <w:b/>
          <w:bCs/>
          <w:lang w:val="en-US"/>
        </w:rPr>
        <w:t xml:space="preserve">with gRNA targeting </w:t>
      </w:r>
      <w:r w:rsidRPr="00F40298">
        <w:rPr>
          <w:b/>
          <w:bCs/>
          <w:i/>
          <w:lang w:val="en-US"/>
        </w:rPr>
        <w:t>TYMP</w:t>
      </w:r>
      <w:r>
        <w:rPr>
          <w:b/>
          <w:bCs/>
          <w:lang w:val="en-US"/>
        </w:rPr>
        <w:t xml:space="preserve"> exon 5 </w:t>
      </w:r>
      <w:r w:rsidRPr="00966EE0">
        <w:rPr>
          <w:b/>
          <w:bCs/>
          <w:lang w:val="en-US"/>
        </w:rPr>
        <w:t xml:space="preserve">in </w:t>
      </w:r>
      <w:r>
        <w:rPr>
          <w:b/>
          <w:bCs/>
          <w:lang w:val="en-US"/>
        </w:rPr>
        <w:t>control and edited ASC.</w:t>
      </w:r>
      <w:r>
        <w:rPr>
          <w:lang w:val="en-US"/>
        </w:rPr>
        <w:t xml:space="preserve"> </w:t>
      </w:r>
      <w:r w:rsidRPr="00966EE0">
        <w:rPr>
          <w:lang w:val="en-US"/>
        </w:rPr>
        <w:t>(</w:t>
      </w:r>
      <w:r w:rsidRPr="00A35FC9">
        <w:rPr>
          <w:b/>
          <w:lang w:val="en-US"/>
        </w:rPr>
        <w:t>A</w:t>
      </w:r>
      <w:r w:rsidRPr="00966EE0">
        <w:rPr>
          <w:lang w:val="en-US"/>
        </w:rPr>
        <w:t xml:space="preserve">) </w:t>
      </w:r>
      <w:r>
        <w:rPr>
          <w:lang w:val="en-US"/>
        </w:rPr>
        <w:t>Sanger sequencing of the target region</w:t>
      </w:r>
      <w:r w:rsidR="00A35FC9">
        <w:rPr>
          <w:lang w:val="en-US"/>
        </w:rPr>
        <w:t xml:space="preserve"> (exon 5)</w:t>
      </w:r>
      <w:r>
        <w:rPr>
          <w:lang w:val="en-US"/>
        </w:rPr>
        <w:t xml:space="preserve"> confirmed high level of recombination</w:t>
      </w:r>
      <w:r>
        <w:rPr>
          <w:color w:val="000000" w:themeColor="text1"/>
          <w:lang w:val="en-US"/>
        </w:rPr>
        <w:t xml:space="preserve">. </w:t>
      </w:r>
      <w:r w:rsidRPr="006C78F1">
        <w:rPr>
          <w:lang w:val="en-US"/>
        </w:rPr>
        <w:t xml:space="preserve">The expected break site </w:t>
      </w:r>
      <w:r>
        <w:rPr>
          <w:lang w:val="en-US"/>
        </w:rPr>
        <w:t xml:space="preserve">is indicated by a </w:t>
      </w:r>
      <w:r w:rsidRPr="006C78F1">
        <w:rPr>
          <w:lang w:val="en-US"/>
        </w:rPr>
        <w:t>vertical dotted line</w:t>
      </w:r>
      <w:r>
        <w:rPr>
          <w:lang w:val="en-US"/>
        </w:rPr>
        <w:t xml:space="preserve"> and the gRNA sequence is underlined.</w:t>
      </w:r>
      <w:r w:rsidRPr="006C78F1">
        <w:rPr>
          <w:lang w:val="en-US"/>
        </w:rPr>
        <w:t xml:space="preserve"> </w:t>
      </w:r>
      <w:r>
        <w:rPr>
          <w:lang w:val="en-US"/>
        </w:rPr>
        <w:t>(</w:t>
      </w:r>
      <w:r w:rsidRPr="00A35FC9">
        <w:rPr>
          <w:b/>
          <w:lang w:val="en-US"/>
        </w:rPr>
        <w:t>B</w:t>
      </w:r>
      <w:r w:rsidRPr="00F40298">
        <w:rPr>
          <w:lang w:val="en-US"/>
        </w:rPr>
        <w:t xml:space="preserve">) Determination of CRISPR indel pattern in control and edited ASC </w:t>
      </w:r>
      <w:r>
        <w:rPr>
          <w:lang w:val="en-US"/>
        </w:rPr>
        <w:t>by analyzing</w:t>
      </w:r>
      <w:r w:rsidRPr="00F40298">
        <w:rPr>
          <w:lang w:val="en-US"/>
        </w:rPr>
        <w:t xml:space="preserve"> </w:t>
      </w:r>
      <w:r>
        <w:rPr>
          <w:lang w:val="en-GB"/>
        </w:rPr>
        <w:t>Sanger sequencing data with the</w:t>
      </w:r>
      <w:r w:rsidRPr="00F40298">
        <w:rPr>
          <w:lang w:val="en-US"/>
        </w:rPr>
        <w:t xml:space="preserve"> </w:t>
      </w:r>
      <w:proofErr w:type="spellStart"/>
      <w:r w:rsidRPr="00F40298">
        <w:rPr>
          <w:lang w:val="en-US"/>
        </w:rPr>
        <w:t>Synthego</w:t>
      </w:r>
      <w:proofErr w:type="spellEnd"/>
      <w:r w:rsidRPr="00F40298">
        <w:rPr>
          <w:lang w:val="en-US"/>
        </w:rPr>
        <w:t xml:space="preserve"> software </w:t>
      </w:r>
      <w:r w:rsidRPr="00F40298">
        <w:rPr>
          <w:lang w:val="en-GB"/>
        </w:rPr>
        <w:t>(</w:t>
      </w:r>
      <w:hyperlink r:id="rId9" w:history="1">
        <w:r w:rsidRPr="00F40298">
          <w:rPr>
            <w:rStyle w:val="Lienhypertexte"/>
            <w:lang w:val="en-GB"/>
          </w:rPr>
          <w:t>https://ice.synthego.com</w:t>
        </w:r>
      </w:hyperlink>
      <w:r w:rsidRPr="00F40298">
        <w:rPr>
          <w:lang w:val="en-GB"/>
        </w:rPr>
        <w:t>)</w:t>
      </w:r>
      <w:r w:rsidRPr="00F40298">
        <w:rPr>
          <w:lang w:val="en-US"/>
        </w:rPr>
        <w:t>. Left panel:</w:t>
      </w:r>
      <w:r w:rsidRPr="008362FD">
        <w:rPr>
          <w:lang w:val="en-US"/>
        </w:rPr>
        <w:t xml:space="preserve"> </w:t>
      </w:r>
      <w:r>
        <w:rPr>
          <w:lang w:val="en-US"/>
        </w:rPr>
        <w:t>T</w:t>
      </w:r>
      <w:r w:rsidRPr="008362FD">
        <w:rPr>
          <w:lang w:val="en-US"/>
        </w:rPr>
        <w:t xml:space="preserve">he discordance plot details the </w:t>
      </w:r>
      <w:r>
        <w:rPr>
          <w:lang w:val="en-US"/>
        </w:rPr>
        <w:t>rate</w:t>
      </w:r>
      <w:r w:rsidRPr="008362FD">
        <w:rPr>
          <w:lang w:val="en-US"/>
        </w:rPr>
        <w:t xml:space="preserve"> of </w:t>
      </w:r>
      <w:r>
        <w:rPr>
          <w:lang w:val="en-US"/>
        </w:rPr>
        <w:t xml:space="preserve">sequence </w:t>
      </w:r>
      <w:r w:rsidRPr="008362FD">
        <w:rPr>
          <w:lang w:val="en-US"/>
        </w:rPr>
        <w:t xml:space="preserve">alignment per base between the control and edited samples in the inference window (i.e., the region around the </w:t>
      </w:r>
      <w:r>
        <w:rPr>
          <w:lang w:val="en-US"/>
        </w:rPr>
        <w:t>recombination</w:t>
      </w:r>
      <w:r w:rsidRPr="008362FD">
        <w:rPr>
          <w:lang w:val="en-US"/>
        </w:rPr>
        <w:t xml:space="preserve"> site). </w:t>
      </w:r>
      <w:r>
        <w:rPr>
          <w:lang w:val="en-US"/>
        </w:rPr>
        <w:t>B</w:t>
      </w:r>
      <w:r w:rsidRPr="008362FD">
        <w:rPr>
          <w:lang w:val="en-US"/>
        </w:rPr>
        <w:t xml:space="preserve">efore </w:t>
      </w:r>
      <w:r>
        <w:rPr>
          <w:lang w:val="en-US"/>
        </w:rPr>
        <w:t>the gRNA target site, t</w:t>
      </w:r>
      <w:r w:rsidRPr="008362FD">
        <w:rPr>
          <w:lang w:val="en-US"/>
        </w:rPr>
        <w:t>he green line (edited sample) and the orange line (control sample) are close together</w:t>
      </w:r>
      <w:r>
        <w:rPr>
          <w:lang w:val="en-US"/>
        </w:rPr>
        <w:t>. After the gRNA target site,</w:t>
      </w:r>
      <w:r w:rsidRPr="008362FD">
        <w:rPr>
          <w:lang w:val="en-US"/>
        </w:rPr>
        <w:t xml:space="preserve"> a jump is observed, </w:t>
      </w:r>
      <w:r>
        <w:rPr>
          <w:lang w:val="en-US"/>
        </w:rPr>
        <w:t>corresponding to</w:t>
      </w:r>
      <w:r w:rsidRPr="008362FD">
        <w:rPr>
          <w:lang w:val="en-US"/>
        </w:rPr>
        <w:t xml:space="preserve"> a high level of sequence </w:t>
      </w:r>
      <w:r>
        <w:rPr>
          <w:lang w:val="en-US"/>
        </w:rPr>
        <w:t>misalignment</w:t>
      </w:r>
      <w:r w:rsidRPr="00F40298">
        <w:rPr>
          <w:lang w:val="en-US"/>
        </w:rPr>
        <w:t>. Right panel: The graph displays the</w:t>
      </w:r>
      <w:r w:rsidRPr="004A47F0">
        <w:rPr>
          <w:lang w:val="en-US"/>
        </w:rPr>
        <w:t xml:space="preserve"> frequency of indels in relationship with the indel</w:t>
      </w:r>
      <w:r>
        <w:rPr>
          <w:lang w:val="en-US"/>
        </w:rPr>
        <w:t xml:space="preserve"> size</w:t>
      </w:r>
      <w:r w:rsidRPr="004A47F0">
        <w:rPr>
          <w:lang w:val="en-US"/>
        </w:rPr>
        <w:t>. The editing efficiency corresponding to the recombination rate was evaluated at 91%.</w:t>
      </w:r>
    </w:p>
    <w:p w14:paraId="399B148D" w14:textId="77777777" w:rsidR="002A5C42" w:rsidRDefault="002A5C42" w:rsidP="002A5C42">
      <w:pPr>
        <w:spacing w:line="360" w:lineRule="auto"/>
        <w:jc w:val="both"/>
        <w:rPr>
          <w:lang w:val="en-US"/>
        </w:rPr>
      </w:pPr>
    </w:p>
    <w:p w14:paraId="0D703FF7" w14:textId="04D568C9" w:rsidR="002A5C42" w:rsidRDefault="002A5C42" w:rsidP="002A5C42">
      <w:pPr>
        <w:rPr>
          <w:lang w:val="en-US"/>
        </w:rPr>
      </w:pPr>
      <w:r w:rsidRPr="00045CAD">
        <w:rPr>
          <w:lang w:val="en-US"/>
        </w:rPr>
        <w:br w:type="page"/>
      </w:r>
    </w:p>
    <w:p w14:paraId="0A219062" w14:textId="4935631C" w:rsidR="008322B0" w:rsidRDefault="008322B0" w:rsidP="002A5C4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027F7C6" wp14:editId="5256E547">
            <wp:extent cx="3827377" cy="692229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455" cy="693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FD900" w14:textId="59C8EA59" w:rsidR="008322B0" w:rsidRDefault="008322B0" w:rsidP="002A5C42">
      <w:pPr>
        <w:rPr>
          <w:lang w:val="en-US"/>
        </w:rPr>
      </w:pPr>
    </w:p>
    <w:p w14:paraId="43EAF46B" w14:textId="62839598" w:rsidR="008322B0" w:rsidRDefault="008322B0" w:rsidP="008322B0">
      <w:pPr>
        <w:jc w:val="both"/>
        <w:rPr>
          <w:lang w:val="en-US"/>
        </w:rPr>
      </w:pPr>
      <w:r w:rsidRPr="00FB69A5">
        <w:rPr>
          <w:b/>
          <w:bCs/>
          <w:lang w:val="en-US"/>
        </w:rPr>
        <w:t>Fig. S</w:t>
      </w:r>
      <w:r>
        <w:rPr>
          <w:b/>
          <w:bCs/>
          <w:lang w:val="en-US"/>
        </w:rPr>
        <w:t>3</w:t>
      </w:r>
      <w:r w:rsidRPr="00FB69A5">
        <w:rPr>
          <w:b/>
          <w:bCs/>
          <w:lang w:val="en-US"/>
        </w:rPr>
        <w:t xml:space="preserve">. </w:t>
      </w:r>
      <w:r>
        <w:rPr>
          <w:b/>
          <w:bCs/>
          <w:lang w:val="en-US"/>
        </w:rPr>
        <w:t>Quantification</w:t>
      </w:r>
      <w:r w:rsidRPr="00FB69A5">
        <w:rPr>
          <w:b/>
          <w:bCs/>
          <w:lang w:val="en-US"/>
        </w:rPr>
        <w:t xml:space="preserve"> of </w:t>
      </w:r>
      <w:r>
        <w:rPr>
          <w:b/>
          <w:bCs/>
          <w:lang w:val="en-US"/>
        </w:rPr>
        <w:t>osteo</w:t>
      </w:r>
      <w:r w:rsidR="0054081F">
        <w:rPr>
          <w:b/>
          <w:bCs/>
          <w:lang w:val="en-US"/>
        </w:rPr>
        <w:t>genic</w:t>
      </w:r>
      <w:r w:rsidRPr="00FB69A5">
        <w:rPr>
          <w:b/>
          <w:bCs/>
          <w:lang w:val="en-US"/>
        </w:rPr>
        <w:t xml:space="preserve"> markers in control and edited ASC.</w:t>
      </w:r>
      <w:r w:rsidRPr="00FB69A5">
        <w:rPr>
          <w:lang w:val="en-US"/>
        </w:rPr>
        <w:t xml:space="preserve"> Data were obtained in ASC, ASC with a CRISPR-Cas9-mediated </w:t>
      </w:r>
      <w:r w:rsidRPr="00FB69A5">
        <w:rPr>
          <w:iCs/>
          <w:u w:val="single"/>
          <w:lang w:val="en-US"/>
        </w:rPr>
        <w:t>TP</w:t>
      </w:r>
      <w:r w:rsidRPr="00FB69A5">
        <w:rPr>
          <w:lang w:val="en-US"/>
        </w:rPr>
        <w:t>-knockout (KO), and ASC transduced with a Cas9/scramble gRNA plasmid corresponding to control (CTL) cells.</w:t>
      </w:r>
      <w:r w:rsidRPr="00FB69A5">
        <w:rPr>
          <w:lang w:val="en"/>
        </w:rPr>
        <w:t xml:space="preserve"> The Western blots of adipocyte markers related to Fig. </w:t>
      </w:r>
      <w:r>
        <w:rPr>
          <w:lang w:val="en"/>
        </w:rPr>
        <w:t>3G</w:t>
      </w:r>
      <w:r w:rsidRPr="00FB69A5">
        <w:rPr>
          <w:lang w:val="en"/>
        </w:rPr>
        <w:t xml:space="preserve"> were quantified using FIJI software</w:t>
      </w:r>
      <w:r>
        <w:rPr>
          <w:lang w:val="en"/>
        </w:rPr>
        <w:t xml:space="preserve"> and normalized to the value of CTL cells at D</w:t>
      </w:r>
      <w:r w:rsidR="00AB1106">
        <w:rPr>
          <w:lang w:val="en"/>
        </w:rPr>
        <w:t>14</w:t>
      </w:r>
      <w:r w:rsidRPr="00FB69A5">
        <w:rPr>
          <w:lang w:val="en"/>
        </w:rPr>
        <w:t xml:space="preserve">. </w:t>
      </w:r>
      <w:r w:rsidRPr="00FB69A5">
        <w:rPr>
          <w:i/>
          <w:iCs/>
          <w:lang w:val="en-US"/>
        </w:rPr>
        <w:t>p</w:t>
      </w:r>
      <w:r w:rsidRPr="00FB69A5">
        <w:rPr>
          <w:lang w:val="en-US"/>
        </w:rPr>
        <w:t xml:space="preserve">-values were determined by analysis of variance (ANOVA) with Bonferroni’s </w:t>
      </w:r>
      <w:r w:rsidRPr="00FB69A5">
        <w:rPr>
          <w:i/>
          <w:iCs/>
          <w:lang w:val="en-US"/>
        </w:rPr>
        <w:t>post hoc</w:t>
      </w:r>
      <w:r w:rsidRPr="00FB69A5">
        <w:rPr>
          <w:lang w:val="en-US"/>
        </w:rPr>
        <w:t xml:space="preserve"> multiple comparison test.</w:t>
      </w:r>
      <w:r w:rsidRPr="00FB69A5">
        <w:rPr>
          <w:lang w:val="en"/>
        </w:rPr>
        <w:t xml:space="preserve"> </w:t>
      </w:r>
      <w:proofErr w:type="spellStart"/>
      <w:r w:rsidRPr="00FB69A5">
        <w:rPr>
          <w:lang w:val="en"/>
        </w:rPr>
        <w:t>n.s</w:t>
      </w:r>
      <w:proofErr w:type="spellEnd"/>
      <w:r w:rsidRPr="00FB69A5">
        <w:rPr>
          <w:lang w:val="en"/>
        </w:rPr>
        <w:t>., non-significant</w:t>
      </w:r>
      <w:r w:rsidRPr="00FB69A5">
        <w:rPr>
          <w:lang w:val="en-US"/>
        </w:rPr>
        <w:t>.</w:t>
      </w:r>
    </w:p>
    <w:p w14:paraId="6A908334" w14:textId="196DF2A5" w:rsidR="008322B0" w:rsidRDefault="008322B0" w:rsidP="002A5C42">
      <w:pPr>
        <w:rPr>
          <w:lang w:val="en-US"/>
        </w:rPr>
      </w:pPr>
      <w:r>
        <w:rPr>
          <w:lang w:val="en-US"/>
        </w:rPr>
        <w:br w:type="page"/>
      </w:r>
    </w:p>
    <w:p w14:paraId="1B3CDB71" w14:textId="382D7FB0" w:rsidR="00FB69A5" w:rsidRDefault="00FB69A5" w:rsidP="002A5C4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488567C" wp14:editId="6C4D3274">
            <wp:extent cx="5756910" cy="65551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94EDB" w14:textId="2A32D9B0" w:rsidR="00FB69A5" w:rsidRDefault="00FB69A5" w:rsidP="002A5C42">
      <w:pPr>
        <w:rPr>
          <w:lang w:val="en-US"/>
        </w:rPr>
      </w:pPr>
    </w:p>
    <w:p w14:paraId="298934B6" w14:textId="55B889C7" w:rsidR="00FB69A5" w:rsidRDefault="00FB69A5" w:rsidP="00FB69A5">
      <w:pPr>
        <w:jc w:val="both"/>
        <w:rPr>
          <w:lang w:val="en-US"/>
        </w:rPr>
      </w:pPr>
      <w:r w:rsidRPr="00FB69A5">
        <w:rPr>
          <w:b/>
          <w:bCs/>
          <w:lang w:val="en-US"/>
        </w:rPr>
        <w:t>Fig. S</w:t>
      </w:r>
      <w:r w:rsidR="008322B0">
        <w:rPr>
          <w:b/>
          <w:bCs/>
          <w:lang w:val="en-US"/>
        </w:rPr>
        <w:t>4</w:t>
      </w:r>
      <w:r w:rsidRPr="00FB69A5">
        <w:rPr>
          <w:b/>
          <w:bCs/>
          <w:lang w:val="en-US"/>
        </w:rPr>
        <w:t xml:space="preserve">. </w:t>
      </w:r>
      <w:r w:rsidR="000515FD">
        <w:rPr>
          <w:b/>
          <w:bCs/>
          <w:lang w:val="en-US"/>
        </w:rPr>
        <w:t>Quantification</w:t>
      </w:r>
      <w:r w:rsidR="000515FD" w:rsidRPr="00FB69A5">
        <w:rPr>
          <w:b/>
          <w:bCs/>
          <w:lang w:val="en-US"/>
        </w:rPr>
        <w:t xml:space="preserve"> </w:t>
      </w:r>
      <w:r w:rsidRPr="00FB69A5">
        <w:rPr>
          <w:b/>
          <w:bCs/>
          <w:lang w:val="en-US"/>
        </w:rPr>
        <w:t>of adipocyte markers in control and edited ASC.</w:t>
      </w:r>
      <w:r w:rsidRPr="00FB69A5">
        <w:rPr>
          <w:lang w:val="en-US"/>
        </w:rPr>
        <w:t xml:space="preserve"> Data were obtained in ASC, ASC with a CRISPR-Cas9-mediated </w:t>
      </w:r>
      <w:r w:rsidRPr="00FB69A5">
        <w:rPr>
          <w:iCs/>
          <w:u w:val="single"/>
          <w:lang w:val="en-US"/>
        </w:rPr>
        <w:t>TP</w:t>
      </w:r>
      <w:r w:rsidRPr="00FB69A5">
        <w:rPr>
          <w:lang w:val="en-US"/>
        </w:rPr>
        <w:t>-knockout (KO), and ASC transduced with a Cas9/scramble gRNA plasmid corresponding to control (CTL) cells.</w:t>
      </w:r>
      <w:r w:rsidRPr="00FB69A5">
        <w:rPr>
          <w:lang w:val="en"/>
        </w:rPr>
        <w:t xml:space="preserve"> The Western blots of adipocyte markers related to Fig. 4A were quantified using FIJI software</w:t>
      </w:r>
      <w:r w:rsidR="000515FD">
        <w:rPr>
          <w:lang w:val="en"/>
        </w:rPr>
        <w:t xml:space="preserve"> and normalized to the value of CTL cells at D20</w:t>
      </w:r>
      <w:r w:rsidRPr="00FB69A5">
        <w:rPr>
          <w:lang w:val="en"/>
        </w:rPr>
        <w:t xml:space="preserve">. </w:t>
      </w:r>
      <w:r w:rsidRPr="00FB69A5">
        <w:rPr>
          <w:i/>
          <w:iCs/>
          <w:lang w:val="en-US"/>
        </w:rPr>
        <w:t>p</w:t>
      </w:r>
      <w:r w:rsidRPr="00FB69A5">
        <w:rPr>
          <w:lang w:val="en-US"/>
        </w:rPr>
        <w:t xml:space="preserve">-values were determined by analysis of variance (ANOVA) with Bonferroni’s </w:t>
      </w:r>
      <w:r w:rsidRPr="00FB69A5">
        <w:rPr>
          <w:i/>
          <w:iCs/>
          <w:lang w:val="en-US"/>
        </w:rPr>
        <w:t>post hoc</w:t>
      </w:r>
      <w:r w:rsidRPr="00FB69A5">
        <w:rPr>
          <w:lang w:val="en-US"/>
        </w:rPr>
        <w:t xml:space="preserve"> multiple comparison test.</w:t>
      </w:r>
      <w:r w:rsidRPr="00FB69A5">
        <w:rPr>
          <w:lang w:val="en"/>
        </w:rPr>
        <w:t xml:space="preserve"> </w:t>
      </w:r>
      <w:r w:rsidRPr="00FB69A5">
        <w:rPr>
          <w:lang w:val="en-US"/>
        </w:rPr>
        <w:t>*</w:t>
      </w:r>
      <w:r w:rsidRPr="00FB69A5">
        <w:rPr>
          <w:i/>
          <w:iCs/>
          <w:lang w:val="en-US"/>
        </w:rPr>
        <w:t>p</w:t>
      </w:r>
      <w:r w:rsidRPr="00FB69A5">
        <w:rPr>
          <w:lang w:val="en-US"/>
        </w:rPr>
        <w:t> &lt; 0.05, **</w:t>
      </w:r>
      <w:r w:rsidRPr="00FB69A5">
        <w:rPr>
          <w:i/>
          <w:iCs/>
          <w:lang w:val="en-US"/>
        </w:rPr>
        <w:t>p</w:t>
      </w:r>
      <w:r w:rsidRPr="00FB69A5">
        <w:rPr>
          <w:lang w:val="en-US"/>
        </w:rPr>
        <w:t> &lt; 0.01, ***</w:t>
      </w:r>
      <w:r w:rsidRPr="00FB69A5">
        <w:rPr>
          <w:i/>
          <w:iCs/>
          <w:lang w:val="en-US"/>
        </w:rPr>
        <w:t>p</w:t>
      </w:r>
      <w:r w:rsidRPr="00FB69A5">
        <w:rPr>
          <w:lang w:val="en-US"/>
        </w:rPr>
        <w:t> &lt; 0.001 and ****</w:t>
      </w:r>
      <w:r w:rsidRPr="00FB69A5">
        <w:rPr>
          <w:i/>
          <w:iCs/>
          <w:lang w:val="en-US"/>
        </w:rPr>
        <w:t>p</w:t>
      </w:r>
      <w:r w:rsidRPr="00FB69A5">
        <w:rPr>
          <w:lang w:val="en-US"/>
        </w:rPr>
        <w:t xml:space="preserve"> &lt; 0.0001. </w:t>
      </w:r>
    </w:p>
    <w:p w14:paraId="74D7F018" w14:textId="1B22C4F4" w:rsidR="00FB69A5" w:rsidRDefault="00FB69A5">
      <w:pPr>
        <w:rPr>
          <w:lang w:val="en-US"/>
        </w:rPr>
      </w:pPr>
      <w:r>
        <w:rPr>
          <w:lang w:val="en-US"/>
        </w:rPr>
        <w:br w:type="page"/>
      </w:r>
    </w:p>
    <w:p w14:paraId="1FEA7E6A" w14:textId="149B3331" w:rsidR="00FB69A5" w:rsidRPr="00FB69A5" w:rsidRDefault="00FB69A5" w:rsidP="00FB69A5">
      <w:pPr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1079D38" wp14:editId="2BA54C98">
            <wp:extent cx="5756910" cy="65424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54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FC44" w14:textId="5B3BB9E8" w:rsidR="00FB69A5" w:rsidRDefault="00FB69A5" w:rsidP="002A5C42">
      <w:pPr>
        <w:rPr>
          <w:lang w:val="en-US"/>
        </w:rPr>
      </w:pPr>
    </w:p>
    <w:p w14:paraId="6BCA9691" w14:textId="54828365" w:rsidR="00FB69A5" w:rsidRPr="00FB69A5" w:rsidRDefault="00FB69A5" w:rsidP="00FB69A5">
      <w:pPr>
        <w:jc w:val="both"/>
        <w:rPr>
          <w:lang w:val="en-US"/>
        </w:rPr>
      </w:pPr>
      <w:r w:rsidRPr="00FB69A5">
        <w:rPr>
          <w:b/>
          <w:bCs/>
          <w:lang w:val="en-US"/>
        </w:rPr>
        <w:t>Fig. S</w:t>
      </w:r>
      <w:r w:rsidR="008322B0">
        <w:rPr>
          <w:b/>
          <w:bCs/>
          <w:lang w:val="en-US"/>
        </w:rPr>
        <w:t>5</w:t>
      </w:r>
      <w:r w:rsidRPr="00FB69A5">
        <w:rPr>
          <w:b/>
          <w:bCs/>
          <w:lang w:val="en-US"/>
        </w:rPr>
        <w:t xml:space="preserve">. </w:t>
      </w:r>
      <w:r w:rsidR="000515FD">
        <w:rPr>
          <w:b/>
          <w:bCs/>
          <w:lang w:val="en-US"/>
        </w:rPr>
        <w:t>Quantification</w:t>
      </w:r>
      <w:r w:rsidR="000515FD" w:rsidRPr="00FB69A5">
        <w:rPr>
          <w:b/>
          <w:bCs/>
          <w:lang w:val="en-US"/>
        </w:rPr>
        <w:t xml:space="preserve"> </w:t>
      </w:r>
      <w:r w:rsidRPr="00FB69A5">
        <w:rPr>
          <w:b/>
          <w:bCs/>
          <w:lang w:val="en-US"/>
        </w:rPr>
        <w:t xml:space="preserve">of insulin signaling </w:t>
      </w:r>
      <w:r w:rsidR="000515FD">
        <w:rPr>
          <w:b/>
          <w:bCs/>
          <w:lang w:val="en-US"/>
        </w:rPr>
        <w:t>markers</w:t>
      </w:r>
      <w:r w:rsidR="000515FD" w:rsidRPr="00FB69A5">
        <w:rPr>
          <w:b/>
          <w:bCs/>
          <w:lang w:val="en-US"/>
        </w:rPr>
        <w:t xml:space="preserve"> </w:t>
      </w:r>
      <w:r w:rsidRPr="00FB69A5">
        <w:rPr>
          <w:b/>
          <w:bCs/>
          <w:lang w:val="en-US"/>
        </w:rPr>
        <w:t>in control and edited ASC.</w:t>
      </w:r>
      <w:r w:rsidRPr="00FB69A5">
        <w:rPr>
          <w:lang w:val="en-US"/>
        </w:rPr>
        <w:t xml:space="preserve"> Data were obtained in ASC, ASC with a CRISPR-Cas9-mediated </w:t>
      </w:r>
      <w:r w:rsidRPr="00FB69A5">
        <w:rPr>
          <w:iCs/>
          <w:u w:val="single"/>
          <w:lang w:val="en-US"/>
        </w:rPr>
        <w:t>TP</w:t>
      </w:r>
      <w:r w:rsidRPr="00FB69A5">
        <w:rPr>
          <w:lang w:val="en-US"/>
        </w:rPr>
        <w:t>-knockout (KO), and ASC transduced with a Cas9/scramble gRNA plasmid corresponding to control (CTL) cells.</w:t>
      </w:r>
      <w:r w:rsidRPr="00FB69A5">
        <w:rPr>
          <w:lang w:val="en"/>
        </w:rPr>
        <w:t xml:space="preserve"> </w:t>
      </w:r>
      <w:r w:rsidRPr="00FB69A5">
        <w:rPr>
          <w:b/>
          <w:bCs/>
          <w:lang w:val="en"/>
        </w:rPr>
        <w:t>(A)</w:t>
      </w:r>
      <w:r w:rsidRPr="00FB69A5">
        <w:rPr>
          <w:lang w:val="en"/>
        </w:rPr>
        <w:t xml:space="preserve"> The Western blots of insulin markers related to Fig. 4B were quantified using FIJI software</w:t>
      </w:r>
      <w:r w:rsidR="000515FD">
        <w:rPr>
          <w:lang w:val="en"/>
        </w:rPr>
        <w:t xml:space="preserve"> and normalized to the value of CTL cells at D20</w:t>
      </w:r>
      <w:r w:rsidRPr="00FB69A5">
        <w:rPr>
          <w:lang w:val="en"/>
        </w:rPr>
        <w:t xml:space="preserve">. </w:t>
      </w:r>
      <w:r w:rsidRPr="00FB69A5">
        <w:rPr>
          <w:b/>
          <w:bCs/>
          <w:lang w:val="en"/>
        </w:rPr>
        <w:t>(B)</w:t>
      </w:r>
      <w:r w:rsidRPr="00FB69A5">
        <w:rPr>
          <w:lang w:val="en"/>
        </w:rPr>
        <w:t xml:space="preserve"> The Western blots of insulin markers related to Fig. 4C were quantified using FIJI software</w:t>
      </w:r>
      <w:r w:rsidR="000515FD">
        <w:rPr>
          <w:lang w:val="en"/>
        </w:rPr>
        <w:t xml:space="preserve"> and normalized to the value of CTL cells at D0</w:t>
      </w:r>
      <w:r w:rsidRPr="00FB69A5">
        <w:rPr>
          <w:lang w:val="en"/>
        </w:rPr>
        <w:t xml:space="preserve">. </w:t>
      </w:r>
      <w:r w:rsidRPr="00FB69A5">
        <w:rPr>
          <w:i/>
          <w:iCs/>
          <w:lang w:val="en-US"/>
        </w:rPr>
        <w:t>p</w:t>
      </w:r>
      <w:r w:rsidRPr="00FB69A5">
        <w:rPr>
          <w:lang w:val="en-US"/>
        </w:rPr>
        <w:t xml:space="preserve">-values were determined by analysis of variance (ANOVA) with Bonferroni’s </w:t>
      </w:r>
      <w:r w:rsidRPr="00FB69A5">
        <w:rPr>
          <w:i/>
          <w:iCs/>
          <w:lang w:val="en-US"/>
        </w:rPr>
        <w:t>post hoc</w:t>
      </w:r>
      <w:r w:rsidRPr="00FB69A5">
        <w:rPr>
          <w:lang w:val="en-US"/>
        </w:rPr>
        <w:t xml:space="preserve"> multiple comparison test.</w:t>
      </w:r>
      <w:r w:rsidRPr="00FB69A5">
        <w:rPr>
          <w:lang w:val="en"/>
        </w:rPr>
        <w:t xml:space="preserve"> </w:t>
      </w:r>
      <w:r w:rsidRPr="00FB69A5">
        <w:rPr>
          <w:lang w:val="en-US"/>
        </w:rPr>
        <w:t>**</w:t>
      </w:r>
      <w:r w:rsidRPr="00FB69A5">
        <w:rPr>
          <w:i/>
          <w:iCs/>
          <w:lang w:val="en-US"/>
        </w:rPr>
        <w:t>p</w:t>
      </w:r>
      <w:r w:rsidRPr="00FB69A5">
        <w:rPr>
          <w:lang w:val="en-US"/>
        </w:rPr>
        <w:t> &lt; 0.01, ***</w:t>
      </w:r>
      <w:r w:rsidRPr="00FB69A5">
        <w:rPr>
          <w:i/>
          <w:iCs/>
          <w:lang w:val="en-US"/>
        </w:rPr>
        <w:t>p</w:t>
      </w:r>
      <w:r w:rsidRPr="00FB69A5">
        <w:rPr>
          <w:lang w:val="en-US"/>
        </w:rPr>
        <w:t> &lt; 0.001, ****</w:t>
      </w:r>
      <w:r w:rsidRPr="00FB69A5">
        <w:rPr>
          <w:i/>
          <w:iCs/>
          <w:lang w:val="en-US"/>
        </w:rPr>
        <w:t>p</w:t>
      </w:r>
      <w:r w:rsidRPr="00FB69A5">
        <w:rPr>
          <w:lang w:val="en-US"/>
        </w:rPr>
        <w:t> &lt; 0.0001</w:t>
      </w:r>
      <w:r w:rsidRPr="00FB69A5">
        <w:rPr>
          <w:lang w:val="en"/>
        </w:rPr>
        <w:t xml:space="preserve">, </w:t>
      </w:r>
      <w:proofErr w:type="spellStart"/>
      <w:r w:rsidRPr="00FB69A5">
        <w:rPr>
          <w:lang w:val="en"/>
        </w:rPr>
        <w:t>n.s</w:t>
      </w:r>
      <w:proofErr w:type="spellEnd"/>
      <w:r w:rsidRPr="00FB69A5">
        <w:rPr>
          <w:lang w:val="en"/>
        </w:rPr>
        <w:t>., non-significant</w:t>
      </w:r>
      <w:r w:rsidRPr="00FB69A5">
        <w:rPr>
          <w:lang w:val="en-US"/>
        </w:rPr>
        <w:t xml:space="preserve">. </w:t>
      </w:r>
    </w:p>
    <w:p w14:paraId="1D57E734" w14:textId="12694253" w:rsidR="00FB69A5" w:rsidRDefault="00FB69A5">
      <w:pPr>
        <w:rPr>
          <w:lang w:val="en-US"/>
        </w:rPr>
      </w:pPr>
      <w:r>
        <w:rPr>
          <w:lang w:val="en-US"/>
        </w:rPr>
        <w:br w:type="page"/>
      </w:r>
    </w:p>
    <w:p w14:paraId="6B2215E8" w14:textId="332A41D0" w:rsidR="00FB69A5" w:rsidRDefault="00FB69A5" w:rsidP="00FB69A5">
      <w:pPr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72B8C98" wp14:editId="3010947B">
            <wp:extent cx="5756910" cy="170243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EAD13" w14:textId="77777777" w:rsidR="00FB69A5" w:rsidRDefault="00FB69A5" w:rsidP="002A5C42">
      <w:pPr>
        <w:rPr>
          <w:lang w:val="en-US"/>
        </w:rPr>
      </w:pPr>
    </w:p>
    <w:p w14:paraId="7BDE3DB4" w14:textId="4C6740E9" w:rsidR="00FB69A5" w:rsidRPr="00FB69A5" w:rsidRDefault="00FB69A5" w:rsidP="00FB69A5">
      <w:pPr>
        <w:jc w:val="both"/>
        <w:rPr>
          <w:lang w:val="en-US"/>
        </w:rPr>
      </w:pPr>
      <w:r w:rsidRPr="00FB69A5">
        <w:rPr>
          <w:b/>
          <w:bCs/>
          <w:lang w:val="en-US"/>
        </w:rPr>
        <w:t>Fig. S</w:t>
      </w:r>
      <w:r w:rsidR="008322B0">
        <w:rPr>
          <w:b/>
          <w:bCs/>
          <w:lang w:val="en-US"/>
        </w:rPr>
        <w:t>6</w:t>
      </w:r>
      <w:r w:rsidRPr="00FB69A5">
        <w:rPr>
          <w:b/>
          <w:bCs/>
          <w:lang w:val="en-US"/>
        </w:rPr>
        <w:t xml:space="preserve">. </w:t>
      </w:r>
      <w:r w:rsidR="000515FD">
        <w:rPr>
          <w:b/>
          <w:bCs/>
          <w:lang w:val="en-US"/>
        </w:rPr>
        <w:t>Quantification</w:t>
      </w:r>
      <w:r w:rsidR="000515FD" w:rsidRPr="00FB69A5">
        <w:rPr>
          <w:b/>
          <w:bCs/>
          <w:lang w:val="en-US"/>
        </w:rPr>
        <w:t xml:space="preserve"> </w:t>
      </w:r>
      <w:r w:rsidRPr="00FB69A5">
        <w:rPr>
          <w:b/>
          <w:bCs/>
          <w:lang w:val="en-US"/>
        </w:rPr>
        <w:t>of senescence markers in control and edited ASC.</w:t>
      </w:r>
      <w:r w:rsidRPr="00FB69A5">
        <w:rPr>
          <w:lang w:val="en-US"/>
        </w:rPr>
        <w:t xml:space="preserve"> Data were obtained in ASC, ASC with a CRISPR-Cas9-mediated </w:t>
      </w:r>
      <w:r w:rsidRPr="00FB69A5">
        <w:rPr>
          <w:iCs/>
          <w:u w:val="single"/>
          <w:lang w:val="en-US"/>
        </w:rPr>
        <w:t>TP</w:t>
      </w:r>
      <w:r w:rsidRPr="00FB69A5">
        <w:rPr>
          <w:lang w:val="en-US"/>
        </w:rPr>
        <w:t>-knockout (KO), and ASC transduced with a Cas9/scramble gRNA plasmid corresponding to control (CTL) cells.</w:t>
      </w:r>
      <w:r w:rsidRPr="00FB69A5">
        <w:rPr>
          <w:lang w:val="en"/>
        </w:rPr>
        <w:t xml:space="preserve"> The Western blots of senescence markers related to Fig. 6B were quantified using FIJI software</w:t>
      </w:r>
      <w:r w:rsidR="000515FD">
        <w:rPr>
          <w:lang w:val="en"/>
        </w:rPr>
        <w:t xml:space="preserve"> and normalized to the value of CTL cells at D0</w:t>
      </w:r>
      <w:r w:rsidRPr="00FB69A5">
        <w:rPr>
          <w:lang w:val="en"/>
        </w:rPr>
        <w:t xml:space="preserve">. </w:t>
      </w:r>
      <w:r w:rsidRPr="00FB69A5">
        <w:rPr>
          <w:i/>
          <w:iCs/>
          <w:lang w:val="en-US"/>
        </w:rPr>
        <w:t>p</w:t>
      </w:r>
      <w:r w:rsidRPr="00FB69A5">
        <w:rPr>
          <w:lang w:val="en-US"/>
        </w:rPr>
        <w:t xml:space="preserve">-values were determined by analysis of variance (ANOVA) with Bonferroni’s </w:t>
      </w:r>
      <w:r w:rsidRPr="00FB69A5">
        <w:rPr>
          <w:i/>
          <w:iCs/>
          <w:lang w:val="en-US"/>
        </w:rPr>
        <w:t>post hoc</w:t>
      </w:r>
      <w:r w:rsidRPr="00FB69A5">
        <w:rPr>
          <w:lang w:val="en-US"/>
        </w:rPr>
        <w:t xml:space="preserve"> multiple comparison test.</w:t>
      </w:r>
      <w:r w:rsidRPr="00FB69A5">
        <w:rPr>
          <w:lang w:val="en"/>
        </w:rPr>
        <w:t xml:space="preserve"> </w:t>
      </w:r>
      <w:r w:rsidRPr="00FB69A5">
        <w:rPr>
          <w:lang w:val="en-US"/>
        </w:rPr>
        <w:t>**</w:t>
      </w:r>
      <w:r w:rsidRPr="00FB69A5">
        <w:rPr>
          <w:i/>
          <w:iCs/>
          <w:lang w:val="en-US"/>
        </w:rPr>
        <w:t>p</w:t>
      </w:r>
      <w:r w:rsidRPr="00FB69A5">
        <w:rPr>
          <w:lang w:val="en-US"/>
        </w:rPr>
        <w:t> &lt; 0.01 and ****</w:t>
      </w:r>
      <w:r w:rsidRPr="00FB69A5">
        <w:rPr>
          <w:i/>
          <w:iCs/>
          <w:lang w:val="en-US"/>
        </w:rPr>
        <w:t>p</w:t>
      </w:r>
      <w:r w:rsidRPr="00FB69A5">
        <w:rPr>
          <w:lang w:val="en-US"/>
        </w:rPr>
        <w:t xml:space="preserve"> &lt; 0.0001. </w:t>
      </w:r>
    </w:p>
    <w:p w14:paraId="39682B0E" w14:textId="375F3CB6" w:rsidR="00430B18" w:rsidRPr="00015D3C" w:rsidRDefault="00430B18" w:rsidP="00015D3C">
      <w:pPr>
        <w:rPr>
          <w:b/>
          <w:lang w:val="en-US"/>
        </w:rPr>
      </w:pPr>
    </w:p>
    <w:sectPr w:rsidR="00430B18" w:rsidRPr="00015D3C" w:rsidSect="00F758EF">
      <w:footerReference w:type="even" r:id="rId14"/>
      <w:footerReference w:type="default" r:id="rId1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0B6C3" w14:textId="77777777" w:rsidR="00D45565" w:rsidRDefault="00D45565" w:rsidP="0074358F">
      <w:r>
        <w:separator/>
      </w:r>
    </w:p>
  </w:endnote>
  <w:endnote w:type="continuationSeparator" w:id="0">
    <w:p w14:paraId="3132F07D" w14:textId="77777777" w:rsidR="00D45565" w:rsidRDefault="00D45565" w:rsidP="00743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58294575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E7911EC" w14:textId="77777777" w:rsidR="0074358F" w:rsidRDefault="0074358F" w:rsidP="00796446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75B14CE5" w14:textId="77777777" w:rsidR="0074358F" w:rsidRDefault="0074358F" w:rsidP="0074358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474599135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F1F55FD" w14:textId="7D529A16" w:rsidR="0074358F" w:rsidRDefault="0074358F" w:rsidP="00796446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2D2913"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7032CA23" w14:textId="77777777" w:rsidR="0074358F" w:rsidRDefault="0074358F" w:rsidP="0074358F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266B1" w14:textId="77777777" w:rsidR="00D45565" w:rsidRDefault="00D45565" w:rsidP="0074358F">
      <w:r>
        <w:separator/>
      </w:r>
    </w:p>
  </w:footnote>
  <w:footnote w:type="continuationSeparator" w:id="0">
    <w:p w14:paraId="127B8B21" w14:textId="77777777" w:rsidR="00D45565" w:rsidRDefault="00D45565" w:rsidP="007435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E1D"/>
    <w:rsid w:val="00000DDB"/>
    <w:rsid w:val="00015D3C"/>
    <w:rsid w:val="000203CC"/>
    <w:rsid w:val="00023F2B"/>
    <w:rsid w:val="00024CF0"/>
    <w:rsid w:val="00045694"/>
    <w:rsid w:val="000515FD"/>
    <w:rsid w:val="00057152"/>
    <w:rsid w:val="0006145D"/>
    <w:rsid w:val="000614F1"/>
    <w:rsid w:val="00062C8B"/>
    <w:rsid w:val="00070F21"/>
    <w:rsid w:val="00076283"/>
    <w:rsid w:val="00085E21"/>
    <w:rsid w:val="00085EE8"/>
    <w:rsid w:val="00093459"/>
    <w:rsid w:val="00095847"/>
    <w:rsid w:val="00095B1D"/>
    <w:rsid w:val="000A51A3"/>
    <w:rsid w:val="000B0AD0"/>
    <w:rsid w:val="000B24D8"/>
    <w:rsid w:val="000B4AC1"/>
    <w:rsid w:val="000C0BD2"/>
    <w:rsid w:val="000C3820"/>
    <w:rsid w:val="000C4927"/>
    <w:rsid w:val="000C49FA"/>
    <w:rsid w:val="000E0CE4"/>
    <w:rsid w:val="000E621E"/>
    <w:rsid w:val="000F14FB"/>
    <w:rsid w:val="000F2C38"/>
    <w:rsid w:val="000F47C0"/>
    <w:rsid w:val="000F625D"/>
    <w:rsid w:val="001007BF"/>
    <w:rsid w:val="0010602C"/>
    <w:rsid w:val="001107AF"/>
    <w:rsid w:val="00113C47"/>
    <w:rsid w:val="00125568"/>
    <w:rsid w:val="00140553"/>
    <w:rsid w:val="00147345"/>
    <w:rsid w:val="001541FB"/>
    <w:rsid w:val="001609D2"/>
    <w:rsid w:val="00164655"/>
    <w:rsid w:val="00180E84"/>
    <w:rsid w:val="001852B6"/>
    <w:rsid w:val="0018585B"/>
    <w:rsid w:val="0018625C"/>
    <w:rsid w:val="00190FBF"/>
    <w:rsid w:val="00197854"/>
    <w:rsid w:val="001A5788"/>
    <w:rsid w:val="001B30D5"/>
    <w:rsid w:val="001B4352"/>
    <w:rsid w:val="001C0617"/>
    <w:rsid w:val="001C4402"/>
    <w:rsid w:val="001C59B1"/>
    <w:rsid w:val="001D0251"/>
    <w:rsid w:val="001E6FA1"/>
    <w:rsid w:val="002015D9"/>
    <w:rsid w:val="00205759"/>
    <w:rsid w:val="00221A2E"/>
    <w:rsid w:val="00224690"/>
    <w:rsid w:val="002444F3"/>
    <w:rsid w:val="00247F12"/>
    <w:rsid w:val="00247F64"/>
    <w:rsid w:val="00253643"/>
    <w:rsid w:val="00253E41"/>
    <w:rsid w:val="00256C51"/>
    <w:rsid w:val="002656AC"/>
    <w:rsid w:val="00266386"/>
    <w:rsid w:val="0027006C"/>
    <w:rsid w:val="00274002"/>
    <w:rsid w:val="00276932"/>
    <w:rsid w:val="002826D6"/>
    <w:rsid w:val="00287B8C"/>
    <w:rsid w:val="00292AE1"/>
    <w:rsid w:val="002966B8"/>
    <w:rsid w:val="00297179"/>
    <w:rsid w:val="0029737E"/>
    <w:rsid w:val="00297F58"/>
    <w:rsid w:val="002A2FBC"/>
    <w:rsid w:val="002A5C42"/>
    <w:rsid w:val="002B0964"/>
    <w:rsid w:val="002B3B0B"/>
    <w:rsid w:val="002C6A8C"/>
    <w:rsid w:val="002D2913"/>
    <w:rsid w:val="002E4549"/>
    <w:rsid w:val="002E4F28"/>
    <w:rsid w:val="002E683F"/>
    <w:rsid w:val="002E6B1F"/>
    <w:rsid w:val="002F0A13"/>
    <w:rsid w:val="002F2E91"/>
    <w:rsid w:val="002F637A"/>
    <w:rsid w:val="0030118C"/>
    <w:rsid w:val="00305823"/>
    <w:rsid w:val="00316658"/>
    <w:rsid w:val="003171DB"/>
    <w:rsid w:val="003229E0"/>
    <w:rsid w:val="00326371"/>
    <w:rsid w:val="00335909"/>
    <w:rsid w:val="0034127B"/>
    <w:rsid w:val="003417B5"/>
    <w:rsid w:val="003435EE"/>
    <w:rsid w:val="00351D72"/>
    <w:rsid w:val="00352455"/>
    <w:rsid w:val="003706A2"/>
    <w:rsid w:val="00371550"/>
    <w:rsid w:val="00375B49"/>
    <w:rsid w:val="0037714B"/>
    <w:rsid w:val="00382BBA"/>
    <w:rsid w:val="00382EB2"/>
    <w:rsid w:val="003842B2"/>
    <w:rsid w:val="00387A6E"/>
    <w:rsid w:val="003932CA"/>
    <w:rsid w:val="00395438"/>
    <w:rsid w:val="00397CF7"/>
    <w:rsid w:val="003A2B09"/>
    <w:rsid w:val="003B3310"/>
    <w:rsid w:val="003B5DFD"/>
    <w:rsid w:val="003B6A93"/>
    <w:rsid w:val="003C1B41"/>
    <w:rsid w:val="003C42F5"/>
    <w:rsid w:val="003C6DF2"/>
    <w:rsid w:val="003D73B2"/>
    <w:rsid w:val="003E4A5D"/>
    <w:rsid w:val="003E76AD"/>
    <w:rsid w:val="003F62EA"/>
    <w:rsid w:val="004032F0"/>
    <w:rsid w:val="004116DD"/>
    <w:rsid w:val="00415BAC"/>
    <w:rsid w:val="00416A0F"/>
    <w:rsid w:val="00425602"/>
    <w:rsid w:val="00426981"/>
    <w:rsid w:val="00430B18"/>
    <w:rsid w:val="00430E20"/>
    <w:rsid w:val="004312AB"/>
    <w:rsid w:val="004362EC"/>
    <w:rsid w:val="0044065F"/>
    <w:rsid w:val="004503ED"/>
    <w:rsid w:val="00454F52"/>
    <w:rsid w:val="00457D0A"/>
    <w:rsid w:val="004607B0"/>
    <w:rsid w:val="004616B3"/>
    <w:rsid w:val="004765B3"/>
    <w:rsid w:val="00487563"/>
    <w:rsid w:val="004945BE"/>
    <w:rsid w:val="004B3F4A"/>
    <w:rsid w:val="004B439F"/>
    <w:rsid w:val="004B60BD"/>
    <w:rsid w:val="004B73D1"/>
    <w:rsid w:val="004C07DB"/>
    <w:rsid w:val="004C5B63"/>
    <w:rsid w:val="004C7DE0"/>
    <w:rsid w:val="004D2712"/>
    <w:rsid w:val="004D6BBF"/>
    <w:rsid w:val="004E3416"/>
    <w:rsid w:val="004E4740"/>
    <w:rsid w:val="004F0D18"/>
    <w:rsid w:val="00502775"/>
    <w:rsid w:val="005115CF"/>
    <w:rsid w:val="00513280"/>
    <w:rsid w:val="00513F41"/>
    <w:rsid w:val="00520F9F"/>
    <w:rsid w:val="00521295"/>
    <w:rsid w:val="00522BA3"/>
    <w:rsid w:val="00532A75"/>
    <w:rsid w:val="0054081F"/>
    <w:rsid w:val="00542BBF"/>
    <w:rsid w:val="00553972"/>
    <w:rsid w:val="005634ED"/>
    <w:rsid w:val="00564965"/>
    <w:rsid w:val="00567754"/>
    <w:rsid w:val="00570266"/>
    <w:rsid w:val="0058749E"/>
    <w:rsid w:val="00592CD7"/>
    <w:rsid w:val="005C341C"/>
    <w:rsid w:val="005C6CE9"/>
    <w:rsid w:val="005D29C6"/>
    <w:rsid w:val="005F1343"/>
    <w:rsid w:val="005F259A"/>
    <w:rsid w:val="00627149"/>
    <w:rsid w:val="00631B9B"/>
    <w:rsid w:val="00633B50"/>
    <w:rsid w:val="00640A45"/>
    <w:rsid w:val="0065236C"/>
    <w:rsid w:val="00653D3E"/>
    <w:rsid w:val="00653E34"/>
    <w:rsid w:val="006624E5"/>
    <w:rsid w:val="00670CA9"/>
    <w:rsid w:val="00677956"/>
    <w:rsid w:val="0069788C"/>
    <w:rsid w:val="006A13DE"/>
    <w:rsid w:val="006A5FBE"/>
    <w:rsid w:val="006A6C2E"/>
    <w:rsid w:val="006B2BB6"/>
    <w:rsid w:val="006B3F38"/>
    <w:rsid w:val="006C3923"/>
    <w:rsid w:val="006C435F"/>
    <w:rsid w:val="006D295E"/>
    <w:rsid w:val="006D2C2F"/>
    <w:rsid w:val="006D32D9"/>
    <w:rsid w:val="006D49FA"/>
    <w:rsid w:val="006D6CD2"/>
    <w:rsid w:val="006D7395"/>
    <w:rsid w:val="006D7561"/>
    <w:rsid w:val="006F1C64"/>
    <w:rsid w:val="006F5CC5"/>
    <w:rsid w:val="00701E65"/>
    <w:rsid w:val="007025E3"/>
    <w:rsid w:val="0070378D"/>
    <w:rsid w:val="00715E92"/>
    <w:rsid w:val="0073437A"/>
    <w:rsid w:val="00735FD1"/>
    <w:rsid w:val="0074358F"/>
    <w:rsid w:val="0074400E"/>
    <w:rsid w:val="00746DE8"/>
    <w:rsid w:val="0075419C"/>
    <w:rsid w:val="00761319"/>
    <w:rsid w:val="0078263A"/>
    <w:rsid w:val="00783E65"/>
    <w:rsid w:val="00787865"/>
    <w:rsid w:val="007A0A02"/>
    <w:rsid w:val="007A255A"/>
    <w:rsid w:val="007C1A5F"/>
    <w:rsid w:val="007C342C"/>
    <w:rsid w:val="007D03B9"/>
    <w:rsid w:val="007D3D74"/>
    <w:rsid w:val="007E5DB4"/>
    <w:rsid w:val="007E6AC3"/>
    <w:rsid w:val="008005AF"/>
    <w:rsid w:val="008025A2"/>
    <w:rsid w:val="00814EE2"/>
    <w:rsid w:val="00823475"/>
    <w:rsid w:val="008322B0"/>
    <w:rsid w:val="00836881"/>
    <w:rsid w:val="00852EE2"/>
    <w:rsid w:val="00853995"/>
    <w:rsid w:val="00865932"/>
    <w:rsid w:val="00867762"/>
    <w:rsid w:val="008701C4"/>
    <w:rsid w:val="0087164A"/>
    <w:rsid w:val="00875138"/>
    <w:rsid w:val="00877C8E"/>
    <w:rsid w:val="00894DC6"/>
    <w:rsid w:val="00896569"/>
    <w:rsid w:val="0089738F"/>
    <w:rsid w:val="008A44F9"/>
    <w:rsid w:val="008B7B5F"/>
    <w:rsid w:val="008C093A"/>
    <w:rsid w:val="008C16F6"/>
    <w:rsid w:val="008C1839"/>
    <w:rsid w:val="008C7047"/>
    <w:rsid w:val="008D0011"/>
    <w:rsid w:val="008D4EA4"/>
    <w:rsid w:val="008E00B2"/>
    <w:rsid w:val="008E01D5"/>
    <w:rsid w:val="008E2E33"/>
    <w:rsid w:val="008E32B7"/>
    <w:rsid w:val="008E4EDF"/>
    <w:rsid w:val="008E583B"/>
    <w:rsid w:val="008E7AC1"/>
    <w:rsid w:val="008F3407"/>
    <w:rsid w:val="008F668A"/>
    <w:rsid w:val="00903CB2"/>
    <w:rsid w:val="00912AF9"/>
    <w:rsid w:val="00913B6C"/>
    <w:rsid w:val="00915FEC"/>
    <w:rsid w:val="00924F13"/>
    <w:rsid w:val="009312D4"/>
    <w:rsid w:val="00935E44"/>
    <w:rsid w:val="0093783D"/>
    <w:rsid w:val="00954E41"/>
    <w:rsid w:val="00956DEE"/>
    <w:rsid w:val="0096297C"/>
    <w:rsid w:val="00965C92"/>
    <w:rsid w:val="00974D65"/>
    <w:rsid w:val="0097509A"/>
    <w:rsid w:val="0098272C"/>
    <w:rsid w:val="00984CD1"/>
    <w:rsid w:val="009862E3"/>
    <w:rsid w:val="00991426"/>
    <w:rsid w:val="00994A05"/>
    <w:rsid w:val="009A585F"/>
    <w:rsid w:val="009A6748"/>
    <w:rsid w:val="009D5A84"/>
    <w:rsid w:val="009E3EE9"/>
    <w:rsid w:val="009F30B1"/>
    <w:rsid w:val="009F398A"/>
    <w:rsid w:val="009F7D41"/>
    <w:rsid w:val="00A062C4"/>
    <w:rsid w:val="00A10EE1"/>
    <w:rsid w:val="00A30B12"/>
    <w:rsid w:val="00A35FC9"/>
    <w:rsid w:val="00A471A0"/>
    <w:rsid w:val="00A47971"/>
    <w:rsid w:val="00A616B1"/>
    <w:rsid w:val="00A70284"/>
    <w:rsid w:val="00A721C2"/>
    <w:rsid w:val="00A8160F"/>
    <w:rsid w:val="00A824A5"/>
    <w:rsid w:val="00A8681B"/>
    <w:rsid w:val="00A90F45"/>
    <w:rsid w:val="00A913C7"/>
    <w:rsid w:val="00A94F16"/>
    <w:rsid w:val="00A95FBD"/>
    <w:rsid w:val="00AB1106"/>
    <w:rsid w:val="00AC0809"/>
    <w:rsid w:val="00AC1C0D"/>
    <w:rsid w:val="00AC69D2"/>
    <w:rsid w:val="00AD7261"/>
    <w:rsid w:val="00AE4638"/>
    <w:rsid w:val="00AF0D50"/>
    <w:rsid w:val="00AF5A14"/>
    <w:rsid w:val="00AF721C"/>
    <w:rsid w:val="00B10419"/>
    <w:rsid w:val="00B1091A"/>
    <w:rsid w:val="00B13C16"/>
    <w:rsid w:val="00B1483D"/>
    <w:rsid w:val="00B170C5"/>
    <w:rsid w:val="00B26737"/>
    <w:rsid w:val="00B26FA3"/>
    <w:rsid w:val="00B320D2"/>
    <w:rsid w:val="00B350C8"/>
    <w:rsid w:val="00B36944"/>
    <w:rsid w:val="00B36952"/>
    <w:rsid w:val="00B41C06"/>
    <w:rsid w:val="00B442C3"/>
    <w:rsid w:val="00B44FB0"/>
    <w:rsid w:val="00B4673E"/>
    <w:rsid w:val="00B506C2"/>
    <w:rsid w:val="00B6154A"/>
    <w:rsid w:val="00B62DE9"/>
    <w:rsid w:val="00B66B43"/>
    <w:rsid w:val="00BA1FBB"/>
    <w:rsid w:val="00BA6D93"/>
    <w:rsid w:val="00BB04A0"/>
    <w:rsid w:val="00BC467E"/>
    <w:rsid w:val="00BC4F23"/>
    <w:rsid w:val="00BC7466"/>
    <w:rsid w:val="00BD3819"/>
    <w:rsid w:val="00BD58BB"/>
    <w:rsid w:val="00BD7FD5"/>
    <w:rsid w:val="00BE2181"/>
    <w:rsid w:val="00BE2347"/>
    <w:rsid w:val="00BE5907"/>
    <w:rsid w:val="00BF3FF7"/>
    <w:rsid w:val="00BF5293"/>
    <w:rsid w:val="00C04504"/>
    <w:rsid w:val="00C059FF"/>
    <w:rsid w:val="00C13057"/>
    <w:rsid w:val="00C160BB"/>
    <w:rsid w:val="00C31B45"/>
    <w:rsid w:val="00C328F8"/>
    <w:rsid w:val="00C54A9E"/>
    <w:rsid w:val="00C60B5B"/>
    <w:rsid w:val="00C60FCE"/>
    <w:rsid w:val="00C67262"/>
    <w:rsid w:val="00C77C5D"/>
    <w:rsid w:val="00C87DE5"/>
    <w:rsid w:val="00C96540"/>
    <w:rsid w:val="00CA26D8"/>
    <w:rsid w:val="00CB3B51"/>
    <w:rsid w:val="00CC3F9F"/>
    <w:rsid w:val="00CD5B80"/>
    <w:rsid w:val="00CE2364"/>
    <w:rsid w:val="00CE4E1D"/>
    <w:rsid w:val="00D10804"/>
    <w:rsid w:val="00D2605C"/>
    <w:rsid w:val="00D321B7"/>
    <w:rsid w:val="00D36E47"/>
    <w:rsid w:val="00D45565"/>
    <w:rsid w:val="00D51669"/>
    <w:rsid w:val="00D55673"/>
    <w:rsid w:val="00D56175"/>
    <w:rsid w:val="00D7079D"/>
    <w:rsid w:val="00D77D25"/>
    <w:rsid w:val="00D85B9C"/>
    <w:rsid w:val="00D9374D"/>
    <w:rsid w:val="00D9418C"/>
    <w:rsid w:val="00D97B0C"/>
    <w:rsid w:val="00DA3A77"/>
    <w:rsid w:val="00DA3AA0"/>
    <w:rsid w:val="00DA6E21"/>
    <w:rsid w:val="00DB40F9"/>
    <w:rsid w:val="00DB58E6"/>
    <w:rsid w:val="00DC007C"/>
    <w:rsid w:val="00DC489A"/>
    <w:rsid w:val="00DC58FD"/>
    <w:rsid w:val="00DD2CDF"/>
    <w:rsid w:val="00DD5664"/>
    <w:rsid w:val="00DD5F8E"/>
    <w:rsid w:val="00DF29AB"/>
    <w:rsid w:val="00DF4E0E"/>
    <w:rsid w:val="00DF786C"/>
    <w:rsid w:val="00E01AD8"/>
    <w:rsid w:val="00E069A3"/>
    <w:rsid w:val="00E11459"/>
    <w:rsid w:val="00E14910"/>
    <w:rsid w:val="00E2039C"/>
    <w:rsid w:val="00E27C11"/>
    <w:rsid w:val="00E452AE"/>
    <w:rsid w:val="00E52316"/>
    <w:rsid w:val="00E5279B"/>
    <w:rsid w:val="00E57789"/>
    <w:rsid w:val="00E62BDF"/>
    <w:rsid w:val="00E655E2"/>
    <w:rsid w:val="00E77AAB"/>
    <w:rsid w:val="00E86017"/>
    <w:rsid w:val="00E93B4A"/>
    <w:rsid w:val="00E94639"/>
    <w:rsid w:val="00EB0597"/>
    <w:rsid w:val="00EB77AC"/>
    <w:rsid w:val="00EC683E"/>
    <w:rsid w:val="00EC6D0A"/>
    <w:rsid w:val="00ED219A"/>
    <w:rsid w:val="00ED3169"/>
    <w:rsid w:val="00ED5A1B"/>
    <w:rsid w:val="00F0314F"/>
    <w:rsid w:val="00F050C2"/>
    <w:rsid w:val="00F0593E"/>
    <w:rsid w:val="00F05A53"/>
    <w:rsid w:val="00F14EC9"/>
    <w:rsid w:val="00F17C47"/>
    <w:rsid w:val="00F20019"/>
    <w:rsid w:val="00F221B5"/>
    <w:rsid w:val="00F316AD"/>
    <w:rsid w:val="00F341CA"/>
    <w:rsid w:val="00F34280"/>
    <w:rsid w:val="00F3484E"/>
    <w:rsid w:val="00F45617"/>
    <w:rsid w:val="00F463A8"/>
    <w:rsid w:val="00F467C0"/>
    <w:rsid w:val="00F5119F"/>
    <w:rsid w:val="00F56E90"/>
    <w:rsid w:val="00F61B4E"/>
    <w:rsid w:val="00F72686"/>
    <w:rsid w:val="00F758EF"/>
    <w:rsid w:val="00F8110B"/>
    <w:rsid w:val="00F85CE0"/>
    <w:rsid w:val="00F92AED"/>
    <w:rsid w:val="00F96949"/>
    <w:rsid w:val="00FB69A5"/>
    <w:rsid w:val="00FC1B89"/>
    <w:rsid w:val="00FC2FC9"/>
    <w:rsid w:val="00FD333B"/>
    <w:rsid w:val="00FD3E50"/>
    <w:rsid w:val="00FD498A"/>
    <w:rsid w:val="00FD539C"/>
    <w:rsid w:val="00FE34FA"/>
    <w:rsid w:val="00FE45B8"/>
    <w:rsid w:val="00FE59AB"/>
    <w:rsid w:val="00FF1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8E705"/>
  <w15:chartTrackingRefBased/>
  <w15:docId w15:val="{087925A5-8992-034A-94A7-3B3819D20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1A0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471A0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A471A0"/>
    <w:pPr>
      <w:spacing w:before="120"/>
      <w:ind w:firstLine="720"/>
    </w:pPr>
    <w:rPr>
      <w:lang w:val="en-US" w:eastAsia="en-US"/>
    </w:rPr>
  </w:style>
  <w:style w:type="table" w:customStyle="1" w:styleId="Grilledutableau1">
    <w:name w:val="Grille du tableau1"/>
    <w:basedOn w:val="TableauNormal"/>
    <w:next w:val="Grilledutableau"/>
    <w:uiPriority w:val="39"/>
    <w:rsid w:val="002A5C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39"/>
    <w:rsid w:val="002A5C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74358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4358F"/>
    <w:rPr>
      <w:rFonts w:ascii="Times New Roman" w:eastAsia="Times New Roman" w:hAnsi="Times New Roman" w:cs="Times New Roman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74358F"/>
  </w:style>
  <w:style w:type="paragraph" w:styleId="Rvision">
    <w:name w:val="Revision"/>
    <w:hidden/>
    <w:uiPriority w:val="99"/>
    <w:semiHidden/>
    <w:rsid w:val="00894DC6"/>
    <w:rPr>
      <w:rFonts w:ascii="Times New Roman" w:eastAsia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E2E33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2E33"/>
    <w:rPr>
      <w:rFonts w:ascii="Times New Roman" w:eastAsia="Times New Roman" w:hAnsi="Times New Roman" w:cs="Times New Roman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gtexportal.org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ice.synthego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598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Jérémie Gautheron</cp:lastModifiedBy>
  <cp:revision>14</cp:revision>
  <cp:lastPrinted>2022-01-05T16:10:00Z</cp:lastPrinted>
  <dcterms:created xsi:type="dcterms:W3CDTF">2022-01-05T16:11:00Z</dcterms:created>
  <dcterms:modified xsi:type="dcterms:W3CDTF">2022-02-08T21:25:00Z</dcterms:modified>
</cp:coreProperties>
</file>