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61"/>
        <w:gridCol w:w="15895"/>
        <w:gridCol w:w="277"/>
      </w:tblGrid>
      <w:tr>
        <w:trPr/>
        <w:tc>
          <w:tcPr>
            <w:tcW w:w="161" w:type="dxa"/>
          </w:tcPr>
          <w:p>
            <w:pPr>
              <w:pStyle w:val="EmptyCellLayoutStyle"/>
              <w:spacing w:after="0" w:line="240" w:lineRule="auto"/>
            </w:pPr>
          </w:p>
        </w:tc>
        <w:tc>
          <w:tcPr>
            <w:tcW w:w="15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72"/>
              <w:gridCol w:w="697"/>
              <w:gridCol w:w="12626"/>
            </w:tblGrid>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Ackerman Michael</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Anumana : AI ECG algorithms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Consulting</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ARMGO Pharma : Consulting - CPVT therapy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 Consulting - devices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Consulting - devices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Consulting - drug induced QT prolongation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Invitae : Consulting - genetic testing</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UpToDate : Consulting - LQTS content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LQT Therapeutics : Consulting - LQTS drug therapy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AliveCor : K and QT meter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AliveCor : QT Detection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Receipt of royalties for intellectual property.For yourself</w:t>
                  </w:r>
                  <w:r>
                    <w:rPr>
                      <w:rFonts w:ascii="Arial" w:hAnsi="Arial" w:eastAsia="Arial"/>
                      <w:color w:val="000000"/>
                      <w:sz w:val="20"/>
                    </w:rPr>
                    <w:br/>
                    <w:t xml:space="preserve">     - AliveCor : QT Detection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LQT Therapeutics : Novel LQTS Therapeutics</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Ashley Euan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Apple Inc. : Digital health</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ownership of shares or direct financial interest in healthcare, media, education companies or in companies related to (suppliers), or in competition with the ESC and its mission: to reduce the burden of cardiovascular disease.For yourself</w:t>
                  </w:r>
                  <w:r>
                    <w:rPr>
                      <w:rFonts w:ascii="Arial" w:hAnsi="Arial" w:eastAsia="Arial"/>
                      <w:color w:val="000000"/>
                      <w:sz w:val="20"/>
                    </w:rPr>
                    <w:br/>
                    <w:t xml:space="preserve">     - Healthcare - OTHER - AstraZeneca (therapeutics only, no diagnostics (the subject of this paper))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Any other interest (financial or otherwise) that should be declared in view of holding an ESC position.For yourself</w:t>
                  </w:r>
                  <w:r>
                    <w:rPr>
                      <w:rFonts w:ascii="Arial" w:hAnsi="Arial" w:eastAsia="Arial"/>
                      <w:color w:val="000000"/>
                      <w:sz w:val="20"/>
                    </w:rPr>
                    <w:br/>
                    <w:t xml:space="preserve">     - Here are my up to date medical disclosures: Founder, advisor, ownership: Personalis Inc. (supplier of genomic immuno-oncology products, no products related to cardiovascular disease) Founder, advisor, ownership, DeepCell Inc. (biotechnology company doing single cell AI, no products related to cardiovascular disease) Non-executive director, ownership, Astra Zeneca (pharmaceutical company, therapies targeted at cardiovascular disease, no involvement in genetic testing, the subject of this paper) Advisor, Apple Inc. (digital health including cardiovascular, no involvement in genetic testing, the subject of this paper)</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Barajas Hector</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Behr Elijah</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Boston Scientific : ICD implants</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Bezzina Connie R</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Breckpot Jeroen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Charron Philippe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Pfizer : Cardiomyopathies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Amicus : Lysosomal diseases</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Membership or affiliation in political, advocacy or patients organisations working in the field of cardiology.For yourself</w:t>
                  </w:r>
                  <w:r>
                    <w:rPr>
                      <w:rFonts w:ascii="Arial" w:hAnsi="Arial" w:eastAsia="Arial"/>
                      <w:color w:val="000000"/>
                      <w:sz w:val="20"/>
                    </w:rPr>
                    <w:br/>
                    <w:t xml:space="preserve">     - Head scientific committee of the association of patients: Ligue contre la Cardiomyopathie</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Chockalingam Priya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ownership of shares or direct financial interest in healthcare, media, education companies or in companies related to (suppliers), or in competition with the ESC and its mission: to reduce the burden of cardiovascular disease.For yourself</w:t>
                  </w:r>
                  <w:r>
                    <w:rPr>
                      <w:rFonts w:ascii="Arial" w:hAnsi="Arial" w:eastAsia="Arial"/>
                      <w:color w:val="000000"/>
                      <w:sz w:val="20"/>
                    </w:rPr>
                    <w:br/>
                    <w:t xml:space="preserve">     - Healthcare - RISK FACTORS, PREVENTION, REHABILITATION, SPORTS CARDIOLOGY - Designated partner in LLP </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Crotti Lia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Gollob Michael H</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Hu Yufeng</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Kaufman Elizabeth</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Lubitz Steven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Bristol Myers-Squibb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Blackstone Life Sciences : Cardiovascular medicine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Boehringer-Ingelheim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Fitbit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AG : Cardiovascular medicine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IBM : Cardiovascular medicine</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Employment in healthcare industry (including part time) during the year for which you are declaring.For yourself</w:t>
                  </w:r>
                  <w:r>
                    <w:rPr>
                      <w:rFonts w:ascii="Arial" w:hAnsi="Arial" w:eastAsia="Arial"/>
                      <w:color w:val="000000"/>
                      <w:sz w:val="20"/>
                    </w:rPr>
                    <w:br/>
                    <w:t xml:space="preserve">     - I am a practicing cardiologist at the Massachusetts General Hospital</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Makita Naomasa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Marquez Murillo Manlio Fabio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Ohno Seiko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Ortiz Martin Federico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Health in Code SL : Cardiovascular Genetics</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Sacilotto Luciana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Schulze-Bahr Eric</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Semsarian Christopher</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Sepehri Shamloo Alireza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Shimizu Wataru</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Ono Pharmtheutical Co. : beta-blocker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Byer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Ono Pharmtheutical Co. : beta-blocker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Device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Medical : Device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Otsuka Pharmaceuticals Development and Commercialization (consultancy) : Diuretics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Byer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Boehringer-Ingelheim : DOAC</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DOAC</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Sotoodehnia Nona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Sternick Eduardo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Medtronic : Clinical Cardiac Electrophysiology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Johnson &amp; Johnson : Clinical Cardiac Electrophysiology</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Tadros Rafik</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Ware James</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MyoKardia : Advisory Board</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Foresite Labs : Consultancy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MyoKardia : Investigator for sponsored clinical trial</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Array BioPharma (now Pfizer) : Industry sponsored clinical trial</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MyoKardia (now BMS) : Research Support</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Membership or affiliation in political, advocacy or patients organisations working in the field of cardiology.For yourself</w:t>
                  </w:r>
                  <w:r>
                    <w:rPr>
                      <w:rFonts w:ascii="Arial" w:hAnsi="Arial" w:eastAsia="Arial"/>
                      <w:color w:val="000000"/>
                      <w:sz w:val="20"/>
                    </w:rPr>
                    <w:br/>
                    <w:t xml:space="preserve">     - Member of Clinical Advisory Board for Cardiomyopathy UK (patient support charity)</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Winlaw David</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c>
                <w:tcPr>
                  <w:tcW w:w="2572" w:type="dxa"/>
                  <w:tcBorders>
                    <w:top w:val="nil" w:color="000000" w:sz="7"/>
                    <w:left w:val="single" w:color="000000" w:sz="7"/>
                    <w:bottom w:val="single" w:color="000000" w:sz="7"/>
                    <w:right w:val="single" w:color="000000" w:sz="3"/>
                  </w:tcBorders>
                  <w:tcMar>
                    <w:top w:w="39" w:type="dxa"/>
                    <w:left w:w="39" w:type="dxa"/>
                    <w:bottom w:w="39" w:type="dxa"/>
                    <w:right w:w="39" w:type="dxa"/>
                  </w:tcMar>
                </w:tcPr>
                <w:tbl>
                  <w:tblPr>
                    <w:tblCellMar>
                      <w:top w:w="0" w:type="dxa"/>
                      <w:left w:w="0" w:type="dxa"/>
                      <w:bottom w:w="0" w:type="dxa"/>
                      <w:right w:w="0" w:type="dxa"/>
                    </w:tblCellMar>
                  </w:tblPr>
                  <w:tblGrid>
                    <w:gridCol w:w="2492"/>
                  </w:tblGrid>
                  <w:tr>
                    <w:trPr/>
                    <w:tc>
                      <w:tcPr>
                        <w:tcW w:w="2492" w:type="dxa"/>
                        <w:tcMar>
                          <w:top w:w="0" w:type="dxa"/>
                          <w:left w:w="0" w:type="dxa"/>
                          <w:bottom w:w="0" w:type="dxa"/>
                          <w:right w:w="0" w:type="dxa"/>
                        </w:tcMar>
                      </w:tcPr>
                      <w:p>
                        <w:pPr>
                          <w:spacing w:after="0" w:line="240" w:lineRule="auto"/>
                          <w:rPr>
                            <w:sz w:val="0"/>
                          </w:rPr>
                        </w:pPr>
                      </w:p>
                    </w:tc>
                  </w:tr>
                </w:tbl>
                <w:p>
                  <w:pPr>
                    <w:spacing w:after="0" w:line="240" w:lineRule="auto"/>
                  </w:pPr>
                </w:p>
              </w:tc>
              <w:tc>
                <w:tcPr>
                  <w:tcW w:w="697" w:type="dxa"/>
                  <w:tcBorders>
                    <w:top w:val="nil" w:color="000000" w:sz="7"/>
                    <w:left w:val="nil" w:color="000000" w:sz="7"/>
                    <w:bottom w:val="single"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17"/>
                  </w:tblGrid>
                  <w:tr>
                    <w:trPr/>
                    <w:tc>
                      <w:tcPr>
                        <w:tcW w:w="617" w:type="dxa"/>
                        <w:tcMar>
                          <w:top w:w="0" w:type="dxa"/>
                          <w:left w:w="0" w:type="dxa"/>
                          <w:bottom w:w="0" w:type="dxa"/>
                          <w:right w:w="0" w:type="dxa"/>
                        </w:tcMar>
                      </w:tcPr>
                      <w:p>
                        <w:pPr>
                          <w:spacing w:after="0" w:line="240" w:lineRule="auto"/>
                          <w:rPr>
                            <w:sz w:val="0"/>
                          </w:rPr>
                        </w:pPr>
                      </w:p>
                    </w:tc>
                  </w:tr>
                </w:tbl>
                <w:p>
                  <w:pPr>
                    <w:spacing w:after="0" w:line="240" w:lineRule="auto"/>
                  </w:pPr>
                </w:p>
              </w:tc>
              <w:tc>
                <w:tcPr>
                  <w:tcW w:w="12626" w:type="dxa"/>
                  <w:tcBorders>
                    <w:top w:val="nil" w:color="000000" w:sz="7"/>
                    <w:left w:val="nil" w:color="000000" w:sz="7"/>
                    <w:bottom w:val="single" w:color="000000" w:sz="7"/>
                    <w:right w:val="single" w:color="000000" w:sz="7"/>
                  </w:tcBorders>
                  <w:tcMar>
                    <w:top w:w="39" w:type="dxa"/>
                    <w:left w:w="39" w:type="dxa"/>
                    <w:bottom w:w="39" w:type="dxa"/>
                    <w:right w:w="39" w:type="dxa"/>
                  </w:tcMar>
                </w:tcPr>
                <w:tbl>
                  <w:tblPr>
                    <w:tblCellMar>
                      <w:top w:w="0" w:type="dxa"/>
                      <w:left w:w="0" w:type="dxa"/>
                      <w:bottom w:w="0" w:type="dxa"/>
                      <w:right w:w="0" w:type="dxa"/>
                    </w:tblCellMar>
                  </w:tblPr>
                  <w:tblGrid>
                    <w:gridCol w:w="12546"/>
                  </w:tblGrid>
                  <w:tr>
                    <w:trPr/>
                    <w:tc>
                      <w:tcPr>
                        <w:tcW w:w="12546" w:type="dxa"/>
                        <w:tcMar>
                          <w:top w:w="0" w:type="dxa"/>
                          <w:left w:w="0" w:type="dxa"/>
                          <w:bottom w:w="0" w:type="dxa"/>
                          <w:right w:w="0" w:type="dxa"/>
                        </w:tcMar>
                      </w:tcPr>
                      <w:p>
                        <w:pPr>
                          <w:spacing w:after="0" w:line="240" w:lineRule="auto"/>
                          <w:rPr>
                            <w:sz w:val="0"/>
                          </w:rPr>
                        </w:pPr>
                      </w:p>
                    </w:tc>
                  </w:tr>
                </w:tbl>
                <w:p>
                  <w:pPr>
                    <w:spacing w:after="0" w:line="240" w:lineRule="auto"/>
                  </w:pPr>
                </w:p>
              </w:tc>
            </w:tr>
          </w:tbl>
          <w:p>
            <w:pPr>
              <w:spacing w:after="0" w:line="240" w:lineRule="auto"/>
            </w:pPr>
          </w:p>
        </w:tc>
        <w:tc>
          <w:tcPr>
            <w:tcW w:w="277"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6837" w:h="11905" w:orient="landscape"/>
      <w:pgMar w:top="2908" w:right="170" w:bottom="1003" w:left="170" w:header="283" w:footer="28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45"/>
      <w:gridCol w:w="4529"/>
      <w:gridCol w:w="9460"/>
      <w:gridCol w:w="1921"/>
      <w:gridCol w:w="277"/>
    </w:tblGrid>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tbl>
          <w:tblPr>
            <w:tblCellMar>
              <w:top w:w="0" w:type="dxa"/>
              <w:left w:w="0" w:type="dxa"/>
              <w:bottom w:w="0" w:type="dxa"/>
              <w:right w:w="0" w:type="dxa"/>
            </w:tblCellMar>
          </w:tblPr>
          <w:tblGrid>
            <w:gridCol w:w="4529"/>
          </w:tblGrid>
          <w:tr>
            <w:trPr>
              <w:trHeight w:val="262" w:hRule="atLeast"/>
            </w:trPr>
            <w:tc>
              <w:tcPr>
                <w:tcW w:w="452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04/02/2022</w:t>
                </w:r>
              </w:p>
            </w:tc>
          </w:tr>
        </w:tbl>
        <w:p>
          <w:pPr>
            <w:spacing w:after="0" w:line="240" w:lineRule="auto"/>
          </w:pPr>
        </w:p>
      </w:tc>
      <w:tc>
        <w:tcPr>
          <w:tcW w:w="9460" w:type="dxa"/>
        </w:tcPr>
        <w:p>
          <w:pPr>
            <w:pStyle w:val="EmptyCellLayoutStyle"/>
            <w:spacing w:after="0" w:line="240" w:lineRule="auto"/>
          </w:pPr>
        </w:p>
      </w:tc>
      <w:tc>
        <w:tcPr>
          <w:tcW w:w="1921" w:type="dxa"/>
        </w:tcPr>
        <w:tbl>
          <w:tblPr>
            <w:tblCellMar>
              <w:top w:w="0" w:type="dxa"/>
              <w:left w:w="0" w:type="dxa"/>
              <w:bottom w:w="0" w:type="dxa"/>
              <w:right w:w="0" w:type="dxa"/>
            </w:tblCellMar>
          </w:tblPr>
          <w:tblGrid>
            <w:gridCol w:w="1921"/>
          </w:tblGrid>
          <w:tr>
            <w:trPr>
              <w:trHeight w:val="262" w:hRule="atLeast"/>
            </w:trPr>
            <w:tc>
              <w:tcPr>
                <w:tcW w:w="192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i/>
                    <w:color w:val="000000"/>
                    <w:sz w:val="20"/>
                  </w:rPr>
                  <w:fldChar w:fldCharType="begin" w:fldLock="0" w:dirty="0"/>
                </w:r>
                <w:r>
                  <w:rPr>
                    <w:rFonts w:ascii="Arial" w:hAnsi="Arial" w:eastAsia="Arial"/>
                    <w:i/>
                    <w:noProof/>
                    <w:color w:val="000000"/>
                    <w:sz w:val="20"/>
                  </w:rPr>
                  <w:instrText xml:space="preserve"> PAGE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r>
                  <w:rPr>
                    <w:rFonts w:ascii="Arial" w:hAnsi="Arial" w:eastAsia="Arial"/>
                    <w:i/>
                    <w:color w:val="000000"/>
                    <w:sz w:val="20"/>
                  </w:rPr>
                  <w:t xml:space="preserve">/</w:t>
                </w:r>
                <w:r>
                  <w:rPr>
                    <w:rFonts w:ascii="Arial" w:hAnsi="Arial" w:eastAsia="Arial"/>
                    <w:i/>
                    <w:color w:val="000000"/>
                    <w:sz w:val="20"/>
                  </w:rPr>
                  <w:fldChar w:fldCharType="begin" w:fldLock="0" w:dirty="0"/>
                </w:r>
                <w:r>
                  <w:rPr>
                    <w:rFonts w:ascii="Arial" w:hAnsi="Arial" w:eastAsia="Arial"/>
                    <w:i/>
                    <w:noProof/>
                    <w:color w:val="000000"/>
                    <w:sz w:val="20"/>
                  </w:rPr>
                  <w:instrText xml:space="preserve"> NUMPAGES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p>
            </w:tc>
          </w:tr>
        </w:tbl>
        <w:p>
          <w:pPr>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61"/>
      <w:gridCol w:w="18"/>
      <w:gridCol w:w="2550"/>
      <w:gridCol w:w="448"/>
      <w:gridCol w:w="12874"/>
      <w:gridCol w:w="277"/>
    </w:tblGrid>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619250" cy="7620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619250" cy="762000"/>
                        </a:xfrm>
                        <a:prstGeom prst="rect">
                          <a:avLst/>
                        </a:prstGeom>
                      </pic:spPr>
                    </pic:pic>
                  </a:graphicData>
                </a:graphic>
              </wp:inline>
            </w:drawing>
          </w:r>
        </w:p>
      </w:tc>
      <w:tc>
        <w:tcPr>
          <w:tcW w:w="448" w:type="dxa"/>
        </w:tcPr>
        <w:p>
          <w:pPr>
            <w:pStyle w:val="EmptyCellLayoutStyle"/>
            <w:spacing w:after="0" w:line="240" w:lineRule="auto"/>
          </w:pPr>
        </w:p>
      </w:tc>
      <w:tc>
        <w:tcPr>
          <w:tcW w:w="12874" w:type="dxa"/>
        </w:tcPr>
        <w:tbl>
          <w:tblPr>
            <w:tblCellMar>
              <w:top w:w="0" w:type="dxa"/>
              <w:left w:w="0" w:type="dxa"/>
              <w:bottom w:w="0" w:type="dxa"/>
              <w:right w:w="0" w:type="dxa"/>
            </w:tblCellMar>
          </w:tblPr>
          <w:tblGrid>
            <w:gridCol w:w="12874"/>
          </w:tblGrid>
          <w:tr>
            <w:trPr>
              <w:trHeight w:val="292"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EHRA/HRS/APHRS/LAHRS: cons. doc. on the State of Genetic Testing- Writers 2021 </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vMerge w:val="restart"/>
        </w:tcPr>
        <w:tbl>
          <w:tblPr>
            <w:tblCellMar>
              <w:top w:w="0" w:type="dxa"/>
              <w:left w:w="0" w:type="dxa"/>
              <w:bottom w:w="0" w:type="dxa"/>
              <w:right w:w="0" w:type="dxa"/>
            </w:tblCellMar>
          </w:tblPr>
          <w:tblGrid>
            <w:gridCol w:w="12874"/>
          </w:tblGrid>
          <w:tr>
            <w:trPr>
              <w:trHeight w:val="985"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For ESC Guidelines: The report below lists declarations of interest as reported to the ESC by the experts during the yearly call for declaration conducted every January covering the previous calendar year. The calls for declaration are conducted during the period of development of these guidelines up to and including 2020.</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v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hMerge w:val="restart"/>
        </w:tcPr>
        <w:tbl>
          <w:tblPr>
            <w:tblCellMar>
              <w:top w:w="0" w:type="dxa"/>
              <w:left w:w="0" w:type="dxa"/>
              <w:bottom w:w="0" w:type="dxa"/>
              <w:right w:w="0" w:type="dxa"/>
            </w:tblCellMar>
          </w:tblPr>
          <w:tblGrid>
            <w:gridCol w:w="2572"/>
          </w:tblGrid>
          <w:tr>
            <w:trPr>
              <w:trHeight w:val="517" w:hRule="atLeast"/>
            </w:trPr>
            <w:tc>
              <w:tcPr>
                <w:tcW w:w="257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Expert</w:t>
                </w:r>
              </w:p>
            </w:tc>
          </w:tr>
        </w:tbl>
        <w:p>
          <w:pPr>
            <w:spacing w:after="0" w:line="240" w:lineRule="auto"/>
          </w:pPr>
        </w:p>
      </w:tc>
      <w:tc>
        <w:tcPr>
          <w:tcW w:w="2550" w:type="dxa"/>
          <w:hMerge w:val="continue"/>
        </w:tcPr>
        <w:p>
          <w:pPr>
            <w:pStyle w:val="EmptyCellLayoutStyle"/>
            <w:spacing w:after="0" w:line="240" w:lineRule="auto"/>
          </w:pPr>
        </w:p>
      </w:tc>
      <w:tc>
        <w:tcPr>
          <w:tcW w:w="448" w:type="dxa"/>
          <w:hMerge w:val="restart"/>
        </w:tcPr>
        <w:tbl>
          <w:tblPr>
            <w:tblCellMar>
              <w:top w:w="0" w:type="dxa"/>
              <w:left w:w="0" w:type="dxa"/>
              <w:bottom w:w="0" w:type="dxa"/>
              <w:right w:w="0" w:type="dxa"/>
            </w:tblCellMar>
          </w:tblPr>
          <w:tblGrid>
            <w:gridCol w:w="13323"/>
          </w:tblGrid>
          <w:tr>
            <w:trPr>
              <w:trHeight w:val="517" w:hRule="atLeast"/>
            </w:trPr>
            <w:tc>
              <w:tcPr>
                <w:tcW w:w="133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Type of Relationship with Industry</w:t>
                </w:r>
              </w:p>
            </w:tc>
          </w:tr>
        </w:tbl>
        <w:p>
          <w:pPr>
            <w:spacing w:after="0" w:line="240" w:lineRule="auto"/>
          </w:pPr>
        </w:p>
      </w:tc>
      <w:tc>
        <w:tcPr>
          <w:tcW w:w="12874" w:type="dxa"/>
          <w:h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DOI_ReviewedDoiSummary</dc:title>
</cp:coreProperties>
</file>