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7CC8" w14:textId="77777777" w:rsidR="00EB3C81" w:rsidRPr="00E83BB9" w:rsidRDefault="00906017" w:rsidP="00EB3C81">
      <w:pPr>
        <w:spacing w:after="0" w:line="240" w:lineRule="auto"/>
        <w:jc w:val="center"/>
        <w:rPr>
          <w:rFonts w:ascii="Arial" w:eastAsia="Times New Roman" w:hAnsi="Arial" w:cs="Arial"/>
          <w:sz w:val="32"/>
          <w:szCs w:val="32"/>
          <w:lang w:eastAsia="en-GB"/>
        </w:rPr>
      </w:pP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sz w:val="24"/>
          <w:szCs w:val="24"/>
          <w:lang w:eastAsia="en-GB"/>
        </w:rPr>
        <w:br/>
      </w:r>
      <w:r w:rsidR="00640760">
        <w:rPr>
          <w:rFonts w:ascii="Arial" w:eastAsiaTheme="majorEastAsia" w:hAnsi="Arial" w:cs="Arial"/>
          <w:b/>
          <w:bCs/>
          <w:color w:val="000000" w:themeColor="text1"/>
          <w:kern w:val="24"/>
          <w:sz w:val="32"/>
          <w:szCs w:val="32"/>
        </w:rPr>
        <w:t>The osteoarthritis bone</w:t>
      </w:r>
      <w:r w:rsidR="0057174E">
        <w:rPr>
          <w:rFonts w:ascii="Arial" w:eastAsiaTheme="majorEastAsia" w:hAnsi="Arial" w:cs="Arial"/>
          <w:b/>
          <w:bCs/>
          <w:color w:val="000000" w:themeColor="text1"/>
          <w:kern w:val="24"/>
          <w:sz w:val="32"/>
          <w:szCs w:val="32"/>
        </w:rPr>
        <w:t xml:space="preserve"> </w:t>
      </w:r>
      <w:r w:rsidR="00640760">
        <w:rPr>
          <w:rFonts w:ascii="Arial" w:eastAsiaTheme="majorEastAsia" w:hAnsi="Arial" w:cs="Arial"/>
          <w:b/>
          <w:bCs/>
          <w:color w:val="000000" w:themeColor="text1"/>
          <w:kern w:val="24"/>
          <w:sz w:val="32"/>
          <w:szCs w:val="32"/>
        </w:rPr>
        <w:t>score</w:t>
      </w:r>
      <w:r w:rsidR="00A673DA">
        <w:rPr>
          <w:rFonts w:ascii="Arial" w:eastAsiaTheme="majorEastAsia" w:hAnsi="Arial" w:cs="Arial"/>
          <w:b/>
          <w:bCs/>
          <w:color w:val="000000" w:themeColor="text1"/>
          <w:kern w:val="24"/>
          <w:sz w:val="32"/>
          <w:szCs w:val="32"/>
        </w:rPr>
        <w:t xml:space="preserve"> (OABS)</w:t>
      </w:r>
      <w:r w:rsidR="00640760">
        <w:rPr>
          <w:rFonts w:ascii="Arial" w:eastAsiaTheme="majorEastAsia" w:hAnsi="Arial" w:cs="Arial"/>
          <w:b/>
          <w:bCs/>
          <w:color w:val="000000" w:themeColor="text1"/>
          <w:kern w:val="24"/>
          <w:sz w:val="32"/>
          <w:szCs w:val="32"/>
        </w:rPr>
        <w:t>: a new histological scoring system for the characterisation of bone marrow lesions</w:t>
      </w:r>
      <w:r w:rsidR="00A673DA">
        <w:rPr>
          <w:rFonts w:ascii="Arial" w:eastAsiaTheme="majorEastAsia" w:hAnsi="Arial" w:cs="Arial"/>
          <w:b/>
          <w:bCs/>
          <w:color w:val="000000" w:themeColor="text1"/>
          <w:kern w:val="24"/>
          <w:sz w:val="32"/>
          <w:szCs w:val="32"/>
        </w:rPr>
        <w:t xml:space="preserve"> in osteoarthritis</w:t>
      </w:r>
    </w:p>
    <w:p w14:paraId="312DD402" w14:textId="77777777" w:rsidR="00EB3C81" w:rsidRDefault="00EB3C81" w:rsidP="00EB3C81">
      <w:pPr>
        <w:spacing w:after="0" w:line="240" w:lineRule="auto"/>
        <w:jc w:val="center"/>
        <w:rPr>
          <w:rFonts w:ascii="Arial" w:eastAsia="Times New Roman" w:hAnsi="Arial" w:cs="Arial"/>
          <w:sz w:val="28"/>
          <w:szCs w:val="28"/>
          <w:lang w:eastAsia="en-GB"/>
        </w:rPr>
      </w:pPr>
    </w:p>
    <w:p w14:paraId="462B11EA" w14:textId="77777777" w:rsidR="00190A5E" w:rsidRPr="00827C90" w:rsidRDefault="00906017" w:rsidP="00752C8E">
      <w:pPr>
        <w:spacing w:after="0" w:line="240" w:lineRule="auto"/>
        <w:ind w:left="720"/>
        <w:jc w:val="center"/>
        <w:rPr>
          <w:rFonts w:ascii="Times New Roman" w:eastAsia="Times New Roman" w:hAnsi="Times New Roman" w:cs="Times New Roman"/>
          <w:bCs/>
          <w:sz w:val="24"/>
          <w:szCs w:val="24"/>
          <w:lang w:eastAsia="en-GB"/>
        </w:rPr>
      </w:pPr>
      <w:r w:rsidRPr="00BB0E2B">
        <w:rPr>
          <w:rFonts w:ascii="Arial" w:eastAsia="Times New Roman" w:hAnsi="Arial" w:cs="Arial"/>
          <w:sz w:val="28"/>
          <w:szCs w:val="28"/>
          <w:lang w:eastAsia="en-GB"/>
        </w:rPr>
        <w:br/>
      </w:r>
      <w:r w:rsidR="00190A5E" w:rsidRPr="00827C90">
        <w:rPr>
          <w:rFonts w:ascii="Arial" w:eastAsia="Times New Roman" w:hAnsi="Arial" w:cs="Arial"/>
          <w:bCs/>
          <w:sz w:val="24"/>
          <w:szCs w:val="24"/>
          <w:lang w:eastAsia="en-GB"/>
        </w:rPr>
        <w:t>Koushesh S</w:t>
      </w:r>
      <w:r w:rsidR="00A673DA" w:rsidRPr="00A673DA">
        <w:rPr>
          <w:rFonts w:ascii="Arial" w:eastAsia="Times New Roman" w:hAnsi="Arial" w:cs="Arial"/>
          <w:bCs/>
          <w:sz w:val="24"/>
          <w:szCs w:val="24"/>
          <w:vertAlign w:val="superscript"/>
          <w:lang w:eastAsia="en-GB"/>
        </w:rPr>
        <w:t>1</w:t>
      </w:r>
      <w:r w:rsidR="00190A5E" w:rsidRPr="00827C90">
        <w:rPr>
          <w:rFonts w:ascii="Arial" w:eastAsia="Times New Roman" w:hAnsi="Arial" w:cs="Arial"/>
          <w:bCs/>
          <w:sz w:val="24"/>
          <w:szCs w:val="24"/>
          <w:lang w:eastAsia="en-GB"/>
        </w:rPr>
        <w:t xml:space="preserve">, </w:t>
      </w:r>
      <w:bookmarkStart w:id="0" w:name="_Hlk58332205"/>
      <w:r w:rsidR="00754D46">
        <w:rPr>
          <w:rFonts w:ascii="Arial" w:eastAsia="Times New Roman" w:hAnsi="Arial" w:cs="Arial"/>
          <w:bCs/>
          <w:sz w:val="24"/>
          <w:szCs w:val="24"/>
          <w:lang w:eastAsia="en-GB"/>
        </w:rPr>
        <w:t>Shahtaheri S</w:t>
      </w:r>
      <w:r w:rsidR="00037AEB">
        <w:rPr>
          <w:rFonts w:ascii="Arial" w:eastAsia="Times New Roman" w:hAnsi="Arial" w:cs="Arial"/>
          <w:bCs/>
          <w:sz w:val="24"/>
          <w:szCs w:val="24"/>
          <w:lang w:eastAsia="en-GB"/>
        </w:rPr>
        <w:t>M</w:t>
      </w:r>
      <w:r w:rsidR="00754D46" w:rsidRPr="00A46605">
        <w:rPr>
          <w:rFonts w:ascii="Arial" w:eastAsia="Times New Roman" w:hAnsi="Arial" w:cs="Arial"/>
          <w:bCs/>
          <w:sz w:val="24"/>
          <w:szCs w:val="24"/>
          <w:vertAlign w:val="superscript"/>
          <w:lang w:eastAsia="en-GB"/>
        </w:rPr>
        <w:t>2</w:t>
      </w:r>
      <w:bookmarkEnd w:id="0"/>
      <w:r w:rsidR="00640760">
        <w:rPr>
          <w:rFonts w:ascii="Arial" w:eastAsia="Times New Roman" w:hAnsi="Arial" w:cs="Arial"/>
          <w:bCs/>
          <w:sz w:val="24"/>
          <w:szCs w:val="24"/>
          <w:lang w:eastAsia="en-GB"/>
        </w:rPr>
        <w:t xml:space="preserve">, </w:t>
      </w:r>
      <w:r w:rsidR="00190A5E" w:rsidRPr="00827C90">
        <w:rPr>
          <w:rFonts w:ascii="Arial" w:eastAsia="Times New Roman" w:hAnsi="Arial" w:cs="Arial"/>
          <w:bCs/>
          <w:sz w:val="24"/>
          <w:szCs w:val="24"/>
          <w:lang w:eastAsia="en-GB"/>
        </w:rPr>
        <w:t>McWilliams D</w:t>
      </w:r>
      <w:r w:rsidR="009A7BEA">
        <w:rPr>
          <w:rFonts w:ascii="Arial" w:eastAsia="Times New Roman" w:hAnsi="Arial" w:cs="Arial"/>
          <w:bCs/>
          <w:sz w:val="24"/>
          <w:szCs w:val="24"/>
          <w:lang w:eastAsia="en-GB"/>
        </w:rPr>
        <w:t>F</w:t>
      </w:r>
      <w:r w:rsidR="00A673DA" w:rsidRPr="00A673DA">
        <w:rPr>
          <w:rFonts w:ascii="Arial" w:eastAsia="Times New Roman" w:hAnsi="Arial" w:cs="Arial"/>
          <w:bCs/>
          <w:sz w:val="24"/>
          <w:szCs w:val="24"/>
          <w:vertAlign w:val="superscript"/>
          <w:lang w:eastAsia="en-GB"/>
        </w:rPr>
        <w:t>2</w:t>
      </w:r>
      <w:r w:rsidR="00190A5E" w:rsidRPr="00827C90">
        <w:rPr>
          <w:rFonts w:ascii="Arial" w:eastAsia="Times New Roman" w:hAnsi="Arial" w:cs="Arial"/>
          <w:bCs/>
          <w:sz w:val="24"/>
          <w:szCs w:val="24"/>
          <w:lang w:eastAsia="en-GB"/>
        </w:rPr>
        <w:t>, Walsh DA</w:t>
      </w:r>
      <w:r w:rsidR="00A673DA" w:rsidRPr="00A673DA">
        <w:rPr>
          <w:rFonts w:ascii="Arial" w:eastAsia="Times New Roman" w:hAnsi="Arial" w:cs="Arial"/>
          <w:bCs/>
          <w:sz w:val="24"/>
          <w:szCs w:val="24"/>
          <w:vertAlign w:val="superscript"/>
          <w:lang w:eastAsia="en-GB"/>
        </w:rPr>
        <w:t>2</w:t>
      </w:r>
      <w:r w:rsidR="00190A5E" w:rsidRPr="00827C90">
        <w:rPr>
          <w:rFonts w:ascii="Arial" w:eastAsia="Times New Roman" w:hAnsi="Arial" w:cs="Arial"/>
          <w:bCs/>
          <w:sz w:val="24"/>
          <w:szCs w:val="24"/>
          <w:lang w:eastAsia="en-GB"/>
        </w:rPr>
        <w:t>, Sheppard M</w:t>
      </w:r>
      <w:r w:rsidR="004D66E4">
        <w:rPr>
          <w:rFonts w:ascii="Arial" w:eastAsia="Times New Roman" w:hAnsi="Arial" w:cs="Arial"/>
          <w:bCs/>
          <w:sz w:val="24"/>
          <w:szCs w:val="24"/>
          <w:lang w:eastAsia="en-GB"/>
        </w:rPr>
        <w:t>N</w:t>
      </w:r>
      <w:r w:rsidR="00A673DA" w:rsidRPr="003F782A">
        <w:rPr>
          <w:rFonts w:ascii="Arial" w:eastAsia="Times New Roman" w:hAnsi="Arial" w:cs="Arial"/>
          <w:bCs/>
          <w:sz w:val="24"/>
          <w:szCs w:val="24"/>
          <w:vertAlign w:val="superscript"/>
          <w:lang w:eastAsia="en-GB"/>
        </w:rPr>
        <w:t>3</w:t>
      </w:r>
      <w:r w:rsidR="00190A5E" w:rsidRPr="00827C90">
        <w:rPr>
          <w:rFonts w:ascii="Arial" w:eastAsia="Times New Roman" w:hAnsi="Arial" w:cs="Arial"/>
          <w:bCs/>
          <w:sz w:val="24"/>
          <w:szCs w:val="24"/>
          <w:lang w:eastAsia="en-GB"/>
        </w:rPr>
        <w:t>, Westaby J</w:t>
      </w:r>
      <w:r w:rsidR="00A673DA" w:rsidRPr="00A673DA">
        <w:rPr>
          <w:rFonts w:ascii="Arial" w:eastAsia="Times New Roman" w:hAnsi="Arial" w:cs="Arial"/>
          <w:bCs/>
          <w:sz w:val="24"/>
          <w:szCs w:val="24"/>
          <w:vertAlign w:val="superscript"/>
          <w:lang w:eastAsia="en-GB"/>
        </w:rPr>
        <w:t>3</w:t>
      </w:r>
      <w:r w:rsidR="00190A5E" w:rsidRPr="00827C90">
        <w:rPr>
          <w:rFonts w:ascii="Arial" w:eastAsia="Times New Roman" w:hAnsi="Arial" w:cs="Arial"/>
          <w:bCs/>
          <w:sz w:val="24"/>
          <w:szCs w:val="24"/>
          <w:lang w:eastAsia="en-GB"/>
        </w:rPr>
        <w:t xml:space="preserve">, </w:t>
      </w:r>
      <w:r w:rsidR="00754D46">
        <w:rPr>
          <w:rFonts w:ascii="Arial" w:eastAsia="Times New Roman" w:hAnsi="Arial" w:cs="Arial"/>
          <w:bCs/>
          <w:sz w:val="24"/>
          <w:szCs w:val="24"/>
          <w:lang w:eastAsia="en-GB"/>
        </w:rPr>
        <w:t>Haybatollahi S</w:t>
      </w:r>
      <w:r w:rsidR="00264B6A">
        <w:rPr>
          <w:rFonts w:ascii="Arial" w:eastAsia="Times New Roman" w:hAnsi="Arial" w:cs="Arial"/>
          <w:bCs/>
          <w:sz w:val="24"/>
          <w:szCs w:val="24"/>
          <w:lang w:eastAsia="en-GB"/>
        </w:rPr>
        <w:t>M</w:t>
      </w:r>
      <w:r w:rsidR="00754D46" w:rsidRPr="00A673DA">
        <w:rPr>
          <w:rFonts w:ascii="Arial" w:eastAsia="Times New Roman" w:hAnsi="Arial" w:cs="Arial"/>
          <w:bCs/>
          <w:sz w:val="24"/>
          <w:szCs w:val="24"/>
          <w:vertAlign w:val="superscript"/>
          <w:lang w:eastAsia="en-GB"/>
        </w:rPr>
        <w:t>2</w:t>
      </w:r>
      <w:r w:rsidR="00264B6A">
        <w:rPr>
          <w:rFonts w:ascii="Arial" w:eastAsia="Times New Roman" w:hAnsi="Arial" w:cs="Arial"/>
          <w:bCs/>
          <w:sz w:val="24"/>
          <w:szCs w:val="24"/>
          <w:vertAlign w:val="superscript"/>
          <w:lang w:eastAsia="en-GB"/>
        </w:rPr>
        <w:t>&amp;4</w:t>
      </w:r>
      <w:r w:rsidR="00754D46" w:rsidRPr="00754D46">
        <w:rPr>
          <w:rFonts w:ascii="Arial" w:eastAsia="Times New Roman" w:hAnsi="Arial" w:cs="Arial"/>
          <w:bCs/>
          <w:sz w:val="24"/>
          <w:szCs w:val="24"/>
          <w:lang w:eastAsia="en-GB"/>
        </w:rPr>
        <w:t xml:space="preserve">, </w:t>
      </w:r>
      <w:r w:rsidR="00190A5E" w:rsidRPr="00827C90">
        <w:rPr>
          <w:rFonts w:ascii="Arial" w:eastAsia="Times New Roman" w:hAnsi="Arial" w:cs="Arial"/>
          <w:bCs/>
          <w:sz w:val="24"/>
          <w:szCs w:val="24"/>
          <w:lang w:eastAsia="en-GB"/>
        </w:rPr>
        <w:t>Howe FA</w:t>
      </w:r>
      <w:r w:rsidR="00A673DA" w:rsidRPr="00A673DA">
        <w:rPr>
          <w:rFonts w:ascii="Arial" w:eastAsia="Times New Roman" w:hAnsi="Arial" w:cs="Arial"/>
          <w:bCs/>
          <w:sz w:val="24"/>
          <w:szCs w:val="24"/>
          <w:vertAlign w:val="superscript"/>
          <w:lang w:eastAsia="en-GB"/>
        </w:rPr>
        <w:t>3</w:t>
      </w:r>
      <w:r w:rsidR="009378E8">
        <w:rPr>
          <w:rFonts w:ascii="Arial" w:eastAsia="Times New Roman" w:hAnsi="Arial" w:cs="Arial"/>
          <w:bCs/>
          <w:sz w:val="24"/>
          <w:szCs w:val="24"/>
          <w:lang w:eastAsia="en-GB"/>
        </w:rPr>
        <w:t>, S</w:t>
      </w:r>
      <w:r w:rsidR="009378E8" w:rsidRPr="00827C90">
        <w:rPr>
          <w:rFonts w:ascii="Arial" w:eastAsia="Times New Roman" w:hAnsi="Arial" w:cs="Arial"/>
          <w:bCs/>
          <w:sz w:val="24"/>
          <w:szCs w:val="24"/>
          <w:lang w:eastAsia="en-GB"/>
        </w:rPr>
        <w:t>ofat N</w:t>
      </w:r>
      <w:r w:rsidR="009378E8" w:rsidRPr="00A673DA">
        <w:rPr>
          <w:rFonts w:ascii="Arial" w:eastAsia="Times New Roman" w:hAnsi="Arial" w:cs="Arial"/>
          <w:bCs/>
          <w:sz w:val="24"/>
          <w:szCs w:val="24"/>
          <w:vertAlign w:val="superscript"/>
          <w:lang w:eastAsia="en-GB"/>
        </w:rPr>
        <w:t>1</w:t>
      </w:r>
    </w:p>
    <w:p w14:paraId="7D5B18E4" w14:textId="77777777" w:rsidR="00190A5E" w:rsidRDefault="009378E8" w:rsidP="009378E8">
      <w:pPr>
        <w:tabs>
          <w:tab w:val="left" w:pos="7463"/>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14:paraId="2AD6EFB2" w14:textId="77777777" w:rsidR="00190A5E" w:rsidRDefault="00190A5E" w:rsidP="00906017">
      <w:pPr>
        <w:spacing w:after="0" w:line="240" w:lineRule="auto"/>
        <w:rPr>
          <w:rFonts w:ascii="Times New Roman" w:eastAsia="Times New Roman" w:hAnsi="Times New Roman" w:cs="Times New Roman"/>
          <w:sz w:val="24"/>
          <w:szCs w:val="24"/>
          <w:lang w:eastAsia="en-GB"/>
        </w:rPr>
      </w:pPr>
    </w:p>
    <w:p w14:paraId="12B645BA" w14:textId="77777777" w:rsidR="00190A5E" w:rsidRPr="00A673DA" w:rsidRDefault="00190A5E" w:rsidP="00906017">
      <w:pPr>
        <w:spacing w:after="0" w:line="240" w:lineRule="auto"/>
        <w:rPr>
          <w:rFonts w:ascii="Arial" w:eastAsia="Times New Roman" w:hAnsi="Arial" w:cs="Arial"/>
          <w:sz w:val="24"/>
          <w:szCs w:val="24"/>
          <w:lang w:eastAsia="en-GB"/>
        </w:rPr>
      </w:pPr>
      <w:r w:rsidRPr="00A673DA">
        <w:rPr>
          <w:rFonts w:ascii="Arial" w:eastAsia="Times New Roman" w:hAnsi="Arial" w:cs="Arial"/>
          <w:sz w:val="24"/>
          <w:szCs w:val="24"/>
          <w:lang w:eastAsia="en-GB"/>
        </w:rPr>
        <w:t>Affiliations:</w:t>
      </w:r>
    </w:p>
    <w:p w14:paraId="759D9DAD" w14:textId="77777777" w:rsidR="00190A5E" w:rsidRPr="00A673DA" w:rsidRDefault="00190A5E" w:rsidP="00906017">
      <w:pPr>
        <w:spacing w:after="0" w:line="240" w:lineRule="auto"/>
        <w:rPr>
          <w:rFonts w:ascii="Arial" w:eastAsia="Times New Roman" w:hAnsi="Arial" w:cs="Arial"/>
          <w:sz w:val="24"/>
          <w:szCs w:val="24"/>
          <w:lang w:eastAsia="en-GB"/>
        </w:rPr>
      </w:pPr>
    </w:p>
    <w:p w14:paraId="3AB6DD06" w14:textId="77777777" w:rsidR="00190A5E" w:rsidRPr="00A673DA" w:rsidRDefault="00190A5E" w:rsidP="00190A5E">
      <w:pPr>
        <w:pStyle w:val="ListParagraph"/>
        <w:numPr>
          <w:ilvl w:val="0"/>
          <w:numId w:val="1"/>
        </w:numPr>
        <w:spacing w:after="0" w:line="240" w:lineRule="auto"/>
        <w:rPr>
          <w:rFonts w:ascii="Arial" w:hAnsi="Arial" w:cs="Arial"/>
        </w:rPr>
      </w:pPr>
      <w:r w:rsidRPr="00A673DA">
        <w:rPr>
          <w:rFonts w:ascii="Arial" w:eastAsia="Times New Roman" w:hAnsi="Arial" w:cs="Arial"/>
          <w:sz w:val="24"/>
          <w:szCs w:val="24"/>
          <w:lang w:eastAsia="en-GB"/>
        </w:rPr>
        <w:t>Institute for Infection and Immunity, St George’s, University of London, Cranmer Terrace, London, SW17 ORE</w:t>
      </w:r>
    </w:p>
    <w:p w14:paraId="144A0DAB" w14:textId="77777777" w:rsidR="00BF20BE" w:rsidRPr="00A673DA" w:rsidRDefault="00BF20BE" w:rsidP="00BF20BE">
      <w:pPr>
        <w:pStyle w:val="ListParagraph"/>
        <w:numPr>
          <w:ilvl w:val="0"/>
          <w:numId w:val="1"/>
        </w:numPr>
        <w:spacing w:after="0" w:line="240" w:lineRule="auto"/>
        <w:rPr>
          <w:rFonts w:ascii="Arial" w:hAnsi="Arial" w:cs="Arial"/>
        </w:rPr>
      </w:pPr>
      <w:r w:rsidRPr="00A673DA">
        <w:rPr>
          <w:rFonts w:ascii="Arial" w:eastAsia="Times New Roman" w:hAnsi="Arial" w:cs="Arial"/>
          <w:sz w:val="24"/>
          <w:szCs w:val="24"/>
          <w:lang w:eastAsia="en-GB"/>
        </w:rPr>
        <w:t>Pain Centre</w:t>
      </w:r>
      <w:r>
        <w:rPr>
          <w:rFonts w:ascii="Arial" w:eastAsia="Times New Roman" w:hAnsi="Arial" w:cs="Arial"/>
          <w:sz w:val="24"/>
          <w:szCs w:val="24"/>
          <w:lang w:eastAsia="en-GB"/>
        </w:rPr>
        <w:t xml:space="preserve"> Versus Arthritis and NIHR Nottingham BRC, Academic Rheumatology</w:t>
      </w:r>
      <w:r w:rsidRPr="00A673DA">
        <w:rPr>
          <w:rFonts w:ascii="Arial" w:eastAsia="Times New Roman" w:hAnsi="Arial" w:cs="Arial"/>
          <w:sz w:val="24"/>
          <w:szCs w:val="24"/>
          <w:lang w:eastAsia="en-GB"/>
        </w:rPr>
        <w:t>, University of Nottingham</w:t>
      </w:r>
      <w:r>
        <w:rPr>
          <w:rFonts w:ascii="Arial" w:eastAsia="Times New Roman" w:hAnsi="Arial" w:cs="Arial"/>
          <w:sz w:val="24"/>
          <w:szCs w:val="24"/>
          <w:lang w:eastAsia="en-GB"/>
        </w:rPr>
        <w:t xml:space="preserve"> Clinical Sciences Building, City Hospital, Hucknall Road</w:t>
      </w:r>
      <w:r w:rsidRPr="00A673DA">
        <w:rPr>
          <w:rFonts w:ascii="Arial" w:eastAsia="Times New Roman" w:hAnsi="Arial" w:cs="Arial"/>
          <w:sz w:val="24"/>
          <w:szCs w:val="24"/>
          <w:lang w:eastAsia="en-GB"/>
        </w:rPr>
        <w:t xml:space="preserve">, Nottingham, </w:t>
      </w:r>
      <w:r>
        <w:rPr>
          <w:rFonts w:ascii="Arial" w:eastAsia="Times New Roman" w:hAnsi="Arial" w:cs="Arial"/>
          <w:sz w:val="24"/>
          <w:szCs w:val="24"/>
          <w:lang w:eastAsia="en-GB"/>
        </w:rPr>
        <w:t>NG5 1PB</w:t>
      </w:r>
    </w:p>
    <w:p w14:paraId="77FB0E78" w14:textId="77777777" w:rsidR="00A673DA" w:rsidRPr="00264B6A" w:rsidRDefault="00A673DA" w:rsidP="00A673DA">
      <w:pPr>
        <w:pStyle w:val="ListParagraph"/>
        <w:numPr>
          <w:ilvl w:val="0"/>
          <w:numId w:val="1"/>
        </w:numPr>
        <w:spacing w:after="0" w:line="240" w:lineRule="auto"/>
        <w:rPr>
          <w:rFonts w:ascii="Arial" w:hAnsi="Arial" w:cs="Arial"/>
        </w:rPr>
      </w:pPr>
      <w:r w:rsidRPr="00A673DA">
        <w:rPr>
          <w:rFonts w:ascii="Arial" w:eastAsia="Times New Roman" w:hAnsi="Arial" w:cs="Arial"/>
          <w:sz w:val="24"/>
          <w:szCs w:val="24"/>
          <w:lang w:eastAsia="en-GB"/>
        </w:rPr>
        <w:t>Molecular and Clinical Sciences Research Institute, St George’s, University of London, Cranmer Terrace, London, SW17 ORE</w:t>
      </w:r>
    </w:p>
    <w:p w14:paraId="7566F805" w14:textId="77777777" w:rsidR="00264B6A" w:rsidRPr="00A673DA" w:rsidRDefault="00264B6A" w:rsidP="00A673DA">
      <w:pPr>
        <w:pStyle w:val="ListParagraph"/>
        <w:numPr>
          <w:ilvl w:val="0"/>
          <w:numId w:val="1"/>
        </w:numPr>
        <w:spacing w:after="0" w:line="240" w:lineRule="auto"/>
        <w:rPr>
          <w:rFonts w:ascii="Arial" w:hAnsi="Arial" w:cs="Arial"/>
        </w:rPr>
      </w:pPr>
      <w:r>
        <w:rPr>
          <w:rFonts w:ascii="Arial" w:eastAsia="Times New Roman" w:hAnsi="Arial" w:cs="Arial"/>
          <w:sz w:val="24"/>
          <w:szCs w:val="24"/>
          <w:lang w:eastAsia="en-GB"/>
        </w:rPr>
        <w:t>School of Psychology, University of Nottingham, University Park, Nottingham, NG7 2RD</w:t>
      </w:r>
    </w:p>
    <w:p w14:paraId="0A45BD59" w14:textId="77777777" w:rsidR="00A673DA" w:rsidRPr="00BB0E2B" w:rsidRDefault="00A673DA" w:rsidP="00A673DA">
      <w:pPr>
        <w:pStyle w:val="ListParagraph"/>
        <w:spacing w:after="0" w:line="240" w:lineRule="auto"/>
        <w:ind w:left="360"/>
        <w:rPr>
          <w:rFonts w:ascii="Arial" w:hAnsi="Arial" w:cs="Arial"/>
        </w:rPr>
      </w:pPr>
    </w:p>
    <w:p w14:paraId="307DB79B" w14:textId="77777777" w:rsidR="00190A5E" w:rsidRDefault="00190A5E" w:rsidP="00190A5E">
      <w:pPr>
        <w:pStyle w:val="ListParagraph"/>
        <w:spacing w:after="0" w:line="240" w:lineRule="auto"/>
        <w:ind w:left="360"/>
      </w:pPr>
    </w:p>
    <w:p w14:paraId="61F97898" w14:textId="77777777" w:rsidR="00190A5E" w:rsidRDefault="00190A5E" w:rsidP="00190A5E">
      <w:pPr>
        <w:pStyle w:val="ListParagraph"/>
        <w:spacing w:after="0" w:line="240" w:lineRule="auto"/>
        <w:ind w:left="360"/>
      </w:pPr>
    </w:p>
    <w:p w14:paraId="3A943D67" w14:textId="77777777" w:rsidR="00190A5E"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Contact emails</w:t>
      </w:r>
    </w:p>
    <w:p w14:paraId="64047E9E" w14:textId="77777777" w:rsidR="00621F96" w:rsidRPr="00621F96" w:rsidRDefault="00621F96" w:rsidP="00190A5E">
      <w:pPr>
        <w:pStyle w:val="ListParagraph"/>
        <w:spacing w:after="0" w:line="240" w:lineRule="auto"/>
        <w:ind w:left="360"/>
        <w:rPr>
          <w:rFonts w:ascii="Arial" w:hAnsi="Arial" w:cs="Arial"/>
          <w:sz w:val="24"/>
          <w:szCs w:val="24"/>
        </w:rPr>
      </w:pPr>
    </w:p>
    <w:p w14:paraId="1B7A6A50" w14:textId="77777777" w:rsid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 xml:space="preserve">Soraya Koushesh: </w:t>
      </w:r>
      <w:hyperlink r:id="rId8" w:history="1">
        <w:r w:rsidRPr="00121CCD">
          <w:rPr>
            <w:rStyle w:val="Hyperlink"/>
            <w:rFonts w:ascii="Arial" w:hAnsi="Arial" w:cs="Arial"/>
            <w:sz w:val="24"/>
            <w:szCs w:val="24"/>
          </w:rPr>
          <w:t>skoushes@sgul.ac.uk</w:t>
        </w:r>
      </w:hyperlink>
    </w:p>
    <w:p w14:paraId="424D3CA7" w14:textId="77777777" w:rsidR="00621F96" w:rsidRPr="00621F96" w:rsidRDefault="00621F96" w:rsidP="00190A5E">
      <w:pPr>
        <w:pStyle w:val="ListParagraph"/>
        <w:spacing w:after="0" w:line="240" w:lineRule="auto"/>
        <w:ind w:left="360"/>
        <w:rPr>
          <w:rFonts w:ascii="Arial" w:hAnsi="Arial" w:cs="Arial"/>
          <w:sz w:val="24"/>
          <w:szCs w:val="24"/>
        </w:rPr>
      </w:pPr>
    </w:p>
    <w:p w14:paraId="281CB859" w14:textId="77777777" w:rsid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 xml:space="preserve">Seyed Mohsen Shahtaheri: </w:t>
      </w:r>
      <w:hyperlink r:id="rId9" w:history="1">
        <w:r w:rsidRPr="00121CCD">
          <w:rPr>
            <w:rStyle w:val="Hyperlink"/>
            <w:rFonts w:ascii="Arial" w:hAnsi="Arial" w:cs="Arial"/>
            <w:sz w:val="24"/>
            <w:szCs w:val="24"/>
          </w:rPr>
          <w:t>Seyed.Shahtaheri@nottingham.ac.uk</w:t>
        </w:r>
      </w:hyperlink>
    </w:p>
    <w:p w14:paraId="70D8F476" w14:textId="77777777" w:rsidR="00621F96" w:rsidRPr="00621F96" w:rsidRDefault="00621F96" w:rsidP="00190A5E">
      <w:pPr>
        <w:pStyle w:val="ListParagraph"/>
        <w:spacing w:after="0" w:line="240" w:lineRule="auto"/>
        <w:ind w:left="360"/>
        <w:rPr>
          <w:rFonts w:ascii="Arial" w:hAnsi="Arial" w:cs="Arial"/>
          <w:sz w:val="24"/>
          <w:szCs w:val="24"/>
        </w:rPr>
      </w:pPr>
    </w:p>
    <w:p w14:paraId="4E2753AB" w14:textId="77777777" w:rsid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 xml:space="preserve">Daniel McWilliams: </w:t>
      </w:r>
      <w:hyperlink r:id="rId10" w:history="1">
        <w:r w:rsidRPr="00121CCD">
          <w:rPr>
            <w:rStyle w:val="Hyperlink"/>
            <w:rFonts w:ascii="Arial" w:hAnsi="Arial" w:cs="Arial"/>
            <w:sz w:val="24"/>
            <w:szCs w:val="24"/>
          </w:rPr>
          <w:t>Dan.McWilliams@nottingham.ac.uk</w:t>
        </w:r>
      </w:hyperlink>
    </w:p>
    <w:p w14:paraId="55C1AA40" w14:textId="77777777" w:rsidR="00621F96" w:rsidRDefault="00621F96" w:rsidP="00190A5E">
      <w:pPr>
        <w:pStyle w:val="ListParagraph"/>
        <w:spacing w:after="0" w:line="240" w:lineRule="auto"/>
        <w:ind w:left="360"/>
        <w:rPr>
          <w:rFonts w:ascii="Arial" w:hAnsi="Arial" w:cs="Arial"/>
          <w:sz w:val="24"/>
          <w:szCs w:val="24"/>
        </w:rPr>
      </w:pPr>
    </w:p>
    <w:p w14:paraId="01AD3F02" w14:textId="77777777" w:rsid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 xml:space="preserve">David </w:t>
      </w:r>
      <w:r w:rsidR="00945883">
        <w:rPr>
          <w:rFonts w:ascii="Arial" w:hAnsi="Arial" w:cs="Arial"/>
          <w:sz w:val="24"/>
          <w:szCs w:val="24"/>
        </w:rPr>
        <w:t xml:space="preserve">Andrew </w:t>
      </w:r>
      <w:r w:rsidRPr="00621F96">
        <w:rPr>
          <w:rFonts w:ascii="Arial" w:hAnsi="Arial" w:cs="Arial"/>
          <w:sz w:val="24"/>
          <w:szCs w:val="24"/>
        </w:rPr>
        <w:t xml:space="preserve">Walsh: </w:t>
      </w:r>
      <w:hyperlink r:id="rId11" w:history="1">
        <w:r w:rsidRPr="00121CCD">
          <w:rPr>
            <w:rStyle w:val="Hyperlink"/>
            <w:rFonts w:ascii="Arial" w:hAnsi="Arial" w:cs="Arial"/>
            <w:sz w:val="24"/>
            <w:szCs w:val="24"/>
          </w:rPr>
          <w:t>David.Walsh@nottingham.ac.uk</w:t>
        </w:r>
      </w:hyperlink>
    </w:p>
    <w:p w14:paraId="6E56D676" w14:textId="77777777" w:rsidR="00621F96" w:rsidRPr="00621F96" w:rsidRDefault="00621F96" w:rsidP="00190A5E">
      <w:pPr>
        <w:pStyle w:val="ListParagraph"/>
        <w:spacing w:after="0" w:line="240" w:lineRule="auto"/>
        <w:ind w:left="360"/>
        <w:rPr>
          <w:rFonts w:ascii="Arial" w:hAnsi="Arial" w:cs="Arial"/>
          <w:sz w:val="24"/>
          <w:szCs w:val="24"/>
        </w:rPr>
      </w:pPr>
    </w:p>
    <w:p w14:paraId="146E698E" w14:textId="77777777" w:rsid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 xml:space="preserve">Mary Sheppard: </w:t>
      </w:r>
      <w:hyperlink r:id="rId12" w:history="1">
        <w:r w:rsidRPr="00121CCD">
          <w:rPr>
            <w:rStyle w:val="Hyperlink"/>
            <w:rFonts w:ascii="Arial" w:hAnsi="Arial" w:cs="Arial"/>
            <w:sz w:val="24"/>
            <w:szCs w:val="24"/>
          </w:rPr>
          <w:t>msheppar@sgul.ac.uk</w:t>
        </w:r>
      </w:hyperlink>
    </w:p>
    <w:p w14:paraId="6AD41A5D" w14:textId="77777777" w:rsidR="00621F96" w:rsidRPr="00621F96" w:rsidRDefault="00621F96" w:rsidP="00190A5E">
      <w:pPr>
        <w:pStyle w:val="ListParagraph"/>
        <w:spacing w:after="0" w:line="240" w:lineRule="auto"/>
        <w:ind w:left="360"/>
        <w:rPr>
          <w:rFonts w:ascii="Arial" w:hAnsi="Arial" w:cs="Arial"/>
          <w:sz w:val="24"/>
          <w:szCs w:val="24"/>
        </w:rPr>
      </w:pPr>
    </w:p>
    <w:p w14:paraId="66046150" w14:textId="77777777" w:rsid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 xml:space="preserve">Jo Westaby: </w:t>
      </w:r>
      <w:hyperlink r:id="rId13" w:history="1">
        <w:r w:rsidRPr="00121CCD">
          <w:rPr>
            <w:rStyle w:val="Hyperlink"/>
            <w:rFonts w:ascii="Arial" w:hAnsi="Arial" w:cs="Arial"/>
            <w:sz w:val="24"/>
            <w:szCs w:val="24"/>
          </w:rPr>
          <w:t>jwestaby@sgul.ac.uk</w:t>
        </w:r>
      </w:hyperlink>
    </w:p>
    <w:p w14:paraId="511619E5" w14:textId="77777777" w:rsidR="00621F96" w:rsidRPr="00621F96" w:rsidRDefault="00621F96" w:rsidP="00190A5E">
      <w:pPr>
        <w:pStyle w:val="ListParagraph"/>
        <w:spacing w:after="0" w:line="240" w:lineRule="auto"/>
        <w:ind w:left="360"/>
        <w:rPr>
          <w:rFonts w:ascii="Arial" w:hAnsi="Arial" w:cs="Arial"/>
          <w:sz w:val="24"/>
          <w:szCs w:val="24"/>
        </w:rPr>
      </w:pPr>
    </w:p>
    <w:p w14:paraId="57EC4C3E" w14:textId="77777777" w:rsid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 xml:space="preserve">Sayyed Haybatollahi: </w:t>
      </w:r>
      <w:hyperlink r:id="rId14" w:history="1">
        <w:r w:rsidRPr="00121CCD">
          <w:rPr>
            <w:rStyle w:val="Hyperlink"/>
            <w:rFonts w:ascii="Arial" w:hAnsi="Arial" w:cs="Arial"/>
            <w:sz w:val="24"/>
            <w:szCs w:val="24"/>
          </w:rPr>
          <w:t>Sayyed.Haybatollahi@nottingham.ac.uk</w:t>
        </w:r>
      </w:hyperlink>
    </w:p>
    <w:p w14:paraId="1F35CF80" w14:textId="77777777" w:rsidR="00621F96" w:rsidRPr="00621F96" w:rsidRDefault="00621F96" w:rsidP="00190A5E">
      <w:pPr>
        <w:pStyle w:val="ListParagraph"/>
        <w:spacing w:after="0" w:line="240" w:lineRule="auto"/>
        <w:ind w:left="360"/>
        <w:rPr>
          <w:rFonts w:ascii="Arial" w:hAnsi="Arial" w:cs="Arial"/>
          <w:sz w:val="24"/>
          <w:szCs w:val="24"/>
        </w:rPr>
      </w:pPr>
    </w:p>
    <w:p w14:paraId="6E662755" w14:textId="77777777" w:rsid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 xml:space="preserve">Franklyn Howe: </w:t>
      </w:r>
      <w:hyperlink r:id="rId15" w:history="1">
        <w:r w:rsidRPr="00121CCD">
          <w:rPr>
            <w:rStyle w:val="Hyperlink"/>
            <w:rFonts w:ascii="Arial" w:hAnsi="Arial" w:cs="Arial"/>
            <w:sz w:val="24"/>
            <w:szCs w:val="24"/>
          </w:rPr>
          <w:t>howefa@sgul.ac.uk</w:t>
        </w:r>
      </w:hyperlink>
    </w:p>
    <w:p w14:paraId="5FFFCCCE" w14:textId="77777777" w:rsidR="00621F96" w:rsidRPr="00621F96" w:rsidRDefault="00621F96" w:rsidP="00190A5E">
      <w:pPr>
        <w:pStyle w:val="ListParagraph"/>
        <w:spacing w:after="0" w:line="240" w:lineRule="auto"/>
        <w:ind w:left="360"/>
        <w:rPr>
          <w:rFonts w:ascii="Arial" w:hAnsi="Arial" w:cs="Arial"/>
          <w:sz w:val="24"/>
          <w:szCs w:val="24"/>
        </w:rPr>
      </w:pPr>
    </w:p>
    <w:p w14:paraId="7360EE73" w14:textId="77777777" w:rsid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 xml:space="preserve">Nidhi Sofat: </w:t>
      </w:r>
      <w:hyperlink r:id="rId16" w:history="1">
        <w:r w:rsidRPr="00121CCD">
          <w:rPr>
            <w:rStyle w:val="Hyperlink"/>
            <w:rFonts w:ascii="Arial" w:hAnsi="Arial" w:cs="Arial"/>
            <w:sz w:val="24"/>
            <w:szCs w:val="24"/>
          </w:rPr>
          <w:t>nsofat@sgul.ac.uk</w:t>
        </w:r>
      </w:hyperlink>
    </w:p>
    <w:p w14:paraId="68A89607" w14:textId="77777777" w:rsidR="00621F96" w:rsidRPr="00621F96" w:rsidRDefault="00621F96" w:rsidP="00190A5E">
      <w:pPr>
        <w:pStyle w:val="ListParagraph"/>
        <w:spacing w:after="0" w:line="240" w:lineRule="auto"/>
        <w:ind w:left="360"/>
        <w:rPr>
          <w:rFonts w:ascii="Arial" w:hAnsi="Arial" w:cs="Arial"/>
          <w:sz w:val="24"/>
          <w:szCs w:val="24"/>
        </w:rPr>
      </w:pPr>
    </w:p>
    <w:p w14:paraId="26908C3F" w14:textId="77777777" w:rsidR="00621F96" w:rsidRPr="00621F96" w:rsidRDefault="00621F96" w:rsidP="00190A5E">
      <w:pPr>
        <w:pStyle w:val="ListParagraph"/>
        <w:spacing w:after="0" w:line="240" w:lineRule="auto"/>
        <w:ind w:left="360"/>
        <w:rPr>
          <w:rFonts w:ascii="Arial" w:hAnsi="Arial" w:cs="Arial"/>
          <w:sz w:val="24"/>
          <w:szCs w:val="24"/>
        </w:rPr>
      </w:pPr>
    </w:p>
    <w:p w14:paraId="1261107A" w14:textId="77777777" w:rsidR="00621F96" w:rsidRPr="00621F96" w:rsidRDefault="00621F96" w:rsidP="00190A5E">
      <w:pPr>
        <w:pStyle w:val="ListParagraph"/>
        <w:spacing w:after="0" w:line="240" w:lineRule="auto"/>
        <w:ind w:left="360"/>
        <w:rPr>
          <w:rFonts w:ascii="Arial" w:hAnsi="Arial" w:cs="Arial"/>
          <w:sz w:val="24"/>
          <w:szCs w:val="24"/>
        </w:rPr>
      </w:pPr>
    </w:p>
    <w:p w14:paraId="30C1C5A7" w14:textId="77777777" w:rsidR="00621F96" w:rsidRPr="00621F96" w:rsidRDefault="00621F96" w:rsidP="00190A5E">
      <w:pPr>
        <w:pStyle w:val="ListParagraph"/>
        <w:spacing w:after="0" w:line="240" w:lineRule="auto"/>
        <w:ind w:left="360"/>
        <w:rPr>
          <w:rFonts w:ascii="Arial" w:hAnsi="Arial" w:cs="Arial"/>
          <w:sz w:val="24"/>
          <w:szCs w:val="24"/>
        </w:rPr>
      </w:pPr>
      <w:r w:rsidRPr="00621F96">
        <w:rPr>
          <w:rFonts w:ascii="Arial" w:hAnsi="Arial" w:cs="Arial"/>
          <w:sz w:val="24"/>
          <w:szCs w:val="24"/>
        </w:rPr>
        <w:t>Corresponding Author: Nidhi Sofat</w:t>
      </w:r>
    </w:p>
    <w:p w14:paraId="14C86D64" w14:textId="77777777" w:rsidR="00190A5E" w:rsidRDefault="00190A5E" w:rsidP="00190A5E">
      <w:pPr>
        <w:pStyle w:val="ListParagraph"/>
        <w:spacing w:after="0" w:line="240" w:lineRule="auto"/>
        <w:ind w:left="360"/>
      </w:pPr>
    </w:p>
    <w:p w14:paraId="68194102" w14:textId="77777777" w:rsidR="00190A5E" w:rsidRDefault="00190A5E" w:rsidP="00190A5E">
      <w:pPr>
        <w:pStyle w:val="ListParagraph"/>
        <w:spacing w:after="0" w:line="240" w:lineRule="auto"/>
        <w:ind w:left="360"/>
      </w:pPr>
    </w:p>
    <w:p w14:paraId="2BDFE5F6" w14:textId="77777777" w:rsidR="00C239F8" w:rsidRPr="00C239F8" w:rsidRDefault="008F38E8" w:rsidP="008F38E8">
      <w:pPr>
        <w:spacing w:after="0" w:line="240" w:lineRule="auto"/>
        <w:rPr>
          <w:rFonts w:ascii="Arial" w:eastAsiaTheme="minorEastAsia" w:hAnsi="Arial" w:cs="Arial"/>
          <w:b/>
          <w:bCs/>
          <w:color w:val="000000" w:themeColor="text1"/>
          <w:kern w:val="24"/>
          <w:sz w:val="24"/>
          <w:szCs w:val="24"/>
          <w:lang w:eastAsia="en-GB"/>
        </w:rPr>
      </w:pPr>
      <w:r w:rsidRPr="00C239F8">
        <w:rPr>
          <w:rFonts w:ascii="Arial" w:eastAsiaTheme="minorEastAsia" w:hAnsi="Arial" w:cs="Arial"/>
          <w:b/>
          <w:bCs/>
          <w:color w:val="000000" w:themeColor="text1"/>
          <w:kern w:val="24"/>
          <w:sz w:val="24"/>
          <w:szCs w:val="24"/>
          <w:lang w:eastAsia="en-GB"/>
        </w:rPr>
        <w:t>Abstract:</w:t>
      </w:r>
      <w:r w:rsidR="0091776A">
        <w:rPr>
          <w:rFonts w:ascii="Arial" w:eastAsiaTheme="minorEastAsia" w:hAnsi="Arial" w:cs="Arial"/>
          <w:b/>
          <w:bCs/>
          <w:color w:val="000000" w:themeColor="text1"/>
          <w:kern w:val="24"/>
          <w:sz w:val="24"/>
          <w:szCs w:val="24"/>
          <w:lang w:eastAsia="en-GB"/>
        </w:rPr>
        <w:t xml:space="preserve"> (2</w:t>
      </w:r>
      <w:r w:rsidR="00A809D7">
        <w:rPr>
          <w:rFonts w:ascii="Arial" w:eastAsiaTheme="minorEastAsia" w:hAnsi="Arial" w:cs="Arial"/>
          <w:b/>
          <w:bCs/>
          <w:color w:val="000000" w:themeColor="text1"/>
          <w:kern w:val="24"/>
          <w:sz w:val="24"/>
          <w:szCs w:val="24"/>
          <w:lang w:eastAsia="en-GB"/>
        </w:rPr>
        <w:t>50</w:t>
      </w:r>
      <w:r w:rsidR="0091776A">
        <w:rPr>
          <w:rFonts w:ascii="Arial" w:eastAsiaTheme="minorEastAsia" w:hAnsi="Arial" w:cs="Arial"/>
          <w:b/>
          <w:bCs/>
          <w:color w:val="000000" w:themeColor="text1"/>
          <w:kern w:val="24"/>
          <w:sz w:val="24"/>
          <w:szCs w:val="24"/>
          <w:lang w:eastAsia="en-GB"/>
        </w:rPr>
        <w:t xml:space="preserve"> words)</w:t>
      </w:r>
    </w:p>
    <w:p w14:paraId="4785C7FD" w14:textId="77777777" w:rsidR="00E83BB9" w:rsidRDefault="008F38E8" w:rsidP="00B46362">
      <w:pPr>
        <w:spacing w:after="0" w:line="240" w:lineRule="auto"/>
        <w:jc w:val="both"/>
        <w:rPr>
          <w:rFonts w:ascii="Arial" w:eastAsiaTheme="minorEastAsia" w:hAnsi="Arial" w:cs="Arial"/>
          <w:color w:val="000000" w:themeColor="text1"/>
          <w:kern w:val="24"/>
          <w:sz w:val="24"/>
          <w:szCs w:val="24"/>
          <w:lang w:eastAsia="en-GB"/>
        </w:rPr>
      </w:pPr>
      <w:r w:rsidRPr="00C239F8">
        <w:rPr>
          <w:rFonts w:ascii="Arial" w:eastAsiaTheme="minorEastAsia" w:hAnsi="Arial" w:cs="Arial"/>
          <w:color w:val="000000" w:themeColor="text1"/>
          <w:kern w:val="24"/>
          <w:sz w:val="24"/>
          <w:szCs w:val="24"/>
          <w:lang w:eastAsia="en-GB"/>
        </w:rPr>
        <w:br/>
      </w:r>
    </w:p>
    <w:p w14:paraId="72560288" w14:textId="77777777" w:rsidR="00B46362" w:rsidRDefault="00B46362" w:rsidP="00C03FC2">
      <w:pPr>
        <w:spacing w:after="0" w:line="240" w:lineRule="auto"/>
        <w:jc w:val="both"/>
        <w:rPr>
          <w:rFonts w:ascii="Arial" w:eastAsiaTheme="minorEastAsia" w:hAnsi="Arial" w:cs="Arial"/>
          <w:color w:val="000000" w:themeColor="text1"/>
          <w:kern w:val="24"/>
          <w:sz w:val="24"/>
          <w:szCs w:val="24"/>
          <w:lang w:eastAsia="en-GB"/>
        </w:rPr>
      </w:pPr>
    </w:p>
    <w:p w14:paraId="68AC2280" w14:textId="77777777" w:rsidR="00B46362" w:rsidRPr="00C239F8" w:rsidRDefault="00A67A9C" w:rsidP="0044499C">
      <w:pPr>
        <w:spacing w:after="0" w:line="480" w:lineRule="auto"/>
        <w:jc w:val="both"/>
        <w:rPr>
          <w:rFonts w:ascii="Arial" w:eastAsia="Times New Roman" w:hAnsi="Arial" w:cs="Arial"/>
          <w:sz w:val="24"/>
          <w:szCs w:val="24"/>
          <w:lang w:eastAsia="en-GB"/>
        </w:rPr>
      </w:pPr>
      <w:r>
        <w:rPr>
          <w:rFonts w:ascii="Arial" w:eastAsiaTheme="minorEastAsia" w:hAnsi="Arial" w:cs="Arial"/>
          <w:b/>
          <w:bCs/>
          <w:color w:val="000000" w:themeColor="text1"/>
          <w:kern w:val="24"/>
          <w:sz w:val="24"/>
          <w:szCs w:val="24"/>
          <w:lang w:eastAsia="en-GB"/>
        </w:rPr>
        <w:t>Objectives</w:t>
      </w:r>
      <w:r w:rsidR="00B46362" w:rsidRPr="00C239F8">
        <w:rPr>
          <w:rFonts w:ascii="Arial" w:eastAsiaTheme="minorEastAsia" w:hAnsi="Arial" w:cs="Arial"/>
          <w:b/>
          <w:bCs/>
          <w:color w:val="000000" w:themeColor="text1"/>
          <w:kern w:val="24"/>
          <w:sz w:val="24"/>
          <w:szCs w:val="24"/>
          <w:lang w:eastAsia="en-GB"/>
        </w:rPr>
        <w:t>:</w:t>
      </w:r>
      <w:r w:rsidR="00B46362" w:rsidRPr="00C239F8">
        <w:rPr>
          <w:rFonts w:ascii="Arial" w:eastAsiaTheme="minorEastAsia" w:hAnsi="Arial" w:cs="Arial"/>
          <w:color w:val="000000" w:themeColor="text1"/>
          <w:kern w:val="24"/>
          <w:sz w:val="24"/>
          <w:szCs w:val="24"/>
          <w:lang w:eastAsia="en-GB"/>
        </w:rPr>
        <w:t xml:space="preserve"> Bone marrow lesions (BMLs) are a</w:t>
      </w:r>
      <w:r w:rsidR="00B46362">
        <w:rPr>
          <w:rFonts w:ascii="Arial" w:eastAsiaTheme="minorEastAsia" w:hAnsi="Arial" w:cs="Arial"/>
          <w:color w:val="000000" w:themeColor="text1"/>
          <w:kern w:val="24"/>
          <w:sz w:val="24"/>
          <w:szCs w:val="24"/>
          <w:lang w:eastAsia="en-GB"/>
        </w:rPr>
        <w:t xml:space="preserve">ssociated with pain in </w:t>
      </w:r>
      <w:r w:rsidR="00B46362" w:rsidRPr="00C239F8">
        <w:rPr>
          <w:rFonts w:ascii="Arial" w:eastAsiaTheme="minorEastAsia" w:hAnsi="Arial" w:cs="Arial"/>
          <w:color w:val="000000" w:themeColor="text1"/>
          <w:kern w:val="24"/>
          <w:sz w:val="24"/>
          <w:szCs w:val="24"/>
          <w:lang w:eastAsia="en-GB"/>
        </w:rPr>
        <w:t xml:space="preserve">osteoarthritis (OA), but histological </w:t>
      </w:r>
      <w:r w:rsidR="00F6088D">
        <w:rPr>
          <w:rFonts w:ascii="Arial" w:eastAsiaTheme="minorEastAsia" w:hAnsi="Arial" w:cs="Arial"/>
          <w:color w:val="000000" w:themeColor="text1"/>
          <w:kern w:val="24"/>
          <w:sz w:val="24"/>
          <w:szCs w:val="24"/>
          <w:lang w:eastAsia="en-GB"/>
        </w:rPr>
        <w:t>scores for OA focus on cartilage pathology</w:t>
      </w:r>
      <w:r w:rsidR="00B46362" w:rsidRPr="00C239F8">
        <w:rPr>
          <w:rFonts w:ascii="Arial" w:eastAsiaTheme="minorEastAsia" w:hAnsi="Arial" w:cs="Arial"/>
          <w:color w:val="000000" w:themeColor="text1"/>
          <w:kern w:val="24"/>
          <w:sz w:val="24"/>
          <w:szCs w:val="24"/>
          <w:lang w:eastAsia="en-GB"/>
        </w:rPr>
        <w:t xml:space="preserve">. We developed a new scoring system, the Osteoarthritis Bone </w:t>
      </w:r>
      <w:r w:rsidR="001D0C57">
        <w:rPr>
          <w:rFonts w:ascii="Arial" w:eastAsiaTheme="minorEastAsia" w:hAnsi="Arial" w:cs="Arial"/>
          <w:color w:val="000000" w:themeColor="text1"/>
          <w:kern w:val="24"/>
          <w:sz w:val="24"/>
          <w:szCs w:val="24"/>
          <w:lang w:eastAsia="en-GB"/>
        </w:rPr>
        <w:t xml:space="preserve">Score </w:t>
      </w:r>
      <w:r w:rsidR="00B46362" w:rsidRPr="00C239F8">
        <w:rPr>
          <w:rFonts w:ascii="Arial" w:eastAsiaTheme="minorEastAsia" w:hAnsi="Arial" w:cs="Arial"/>
          <w:color w:val="000000" w:themeColor="text1"/>
          <w:kern w:val="24"/>
          <w:sz w:val="24"/>
          <w:szCs w:val="24"/>
          <w:lang w:eastAsia="en-GB"/>
        </w:rPr>
        <w:t>(OABS)</w:t>
      </w:r>
      <w:r w:rsidR="00CE61C5">
        <w:rPr>
          <w:rFonts w:ascii="Arial" w:eastAsiaTheme="minorEastAsia" w:hAnsi="Arial" w:cs="Arial"/>
          <w:color w:val="000000" w:themeColor="text1"/>
          <w:kern w:val="24"/>
          <w:sz w:val="24"/>
          <w:szCs w:val="24"/>
          <w:lang w:eastAsia="en-GB"/>
        </w:rPr>
        <w:t>,</w:t>
      </w:r>
      <w:r w:rsidR="007A7F82">
        <w:rPr>
          <w:rFonts w:ascii="Arial" w:eastAsiaTheme="minorEastAsia" w:hAnsi="Arial" w:cs="Arial"/>
          <w:color w:val="000000" w:themeColor="text1"/>
          <w:kern w:val="24"/>
          <w:sz w:val="24"/>
          <w:szCs w:val="24"/>
          <w:lang w:eastAsia="en-GB"/>
        </w:rPr>
        <w:t xml:space="preserve"> to characterise OA-related BMLs</w:t>
      </w:r>
      <w:r w:rsidR="00B46362" w:rsidRPr="00C239F8">
        <w:rPr>
          <w:rFonts w:ascii="Arial" w:eastAsiaTheme="minorEastAsia" w:hAnsi="Arial" w:cs="Arial"/>
          <w:color w:val="000000" w:themeColor="text1"/>
          <w:kern w:val="24"/>
          <w:sz w:val="24"/>
          <w:szCs w:val="24"/>
          <w:lang w:eastAsia="en-GB"/>
        </w:rPr>
        <w:t>.</w:t>
      </w:r>
    </w:p>
    <w:p w14:paraId="2EB47586" w14:textId="68892077" w:rsidR="00B46362" w:rsidRPr="00D533AE" w:rsidRDefault="00B46362" w:rsidP="0044499C">
      <w:pPr>
        <w:spacing w:after="0" w:line="480" w:lineRule="auto"/>
        <w:jc w:val="both"/>
        <w:rPr>
          <w:rFonts w:ascii="Arial" w:eastAsiaTheme="minorEastAsia" w:hAnsi="Arial" w:cs="Arial"/>
          <w:color w:val="000000" w:themeColor="text1"/>
          <w:kern w:val="24"/>
          <w:sz w:val="24"/>
          <w:szCs w:val="24"/>
          <w:lang w:eastAsia="en-GB"/>
        </w:rPr>
      </w:pPr>
      <w:r w:rsidRPr="00C239F8">
        <w:rPr>
          <w:rFonts w:ascii="Arial" w:eastAsiaTheme="minorEastAsia" w:hAnsi="Arial" w:cs="Arial"/>
          <w:color w:val="000000" w:themeColor="text1"/>
          <w:kern w:val="24"/>
          <w:sz w:val="24"/>
          <w:szCs w:val="24"/>
          <w:lang w:eastAsia="en-GB"/>
        </w:rPr>
        <w:br/>
      </w:r>
      <w:r w:rsidRPr="00C239F8">
        <w:rPr>
          <w:rFonts w:ascii="Arial" w:eastAsiaTheme="minorEastAsia" w:hAnsi="Arial" w:cs="Arial"/>
          <w:b/>
          <w:bCs/>
          <w:color w:val="000000" w:themeColor="text1"/>
          <w:kern w:val="24"/>
          <w:sz w:val="24"/>
          <w:szCs w:val="24"/>
          <w:lang w:eastAsia="en-GB"/>
        </w:rPr>
        <w:t>Methods:</w:t>
      </w:r>
      <w:r w:rsidRPr="00C239F8">
        <w:rPr>
          <w:rFonts w:ascii="Arial" w:eastAsiaTheme="minorEastAsia" w:hAnsi="Arial" w:cs="Arial"/>
          <w:color w:val="000000" w:themeColor="text1"/>
          <w:kern w:val="24"/>
          <w:sz w:val="24"/>
          <w:szCs w:val="24"/>
          <w:lang w:eastAsia="en-GB"/>
        </w:rPr>
        <w:t xml:space="preserve"> BML</w:t>
      </w:r>
      <w:r w:rsidR="007A7F82">
        <w:rPr>
          <w:rFonts w:ascii="Arial" w:eastAsiaTheme="minorEastAsia" w:hAnsi="Arial" w:cs="Arial"/>
          <w:color w:val="000000" w:themeColor="text1"/>
          <w:kern w:val="24"/>
          <w:sz w:val="24"/>
          <w:szCs w:val="24"/>
          <w:lang w:eastAsia="en-GB"/>
        </w:rPr>
        <w:t>/</w:t>
      </w:r>
      <w:r w:rsidR="00053D03">
        <w:rPr>
          <w:rFonts w:ascii="Arial" w:eastAsiaTheme="minorEastAsia" w:hAnsi="Arial" w:cs="Arial"/>
          <w:color w:val="000000" w:themeColor="text1"/>
          <w:kern w:val="24"/>
          <w:sz w:val="24"/>
          <w:szCs w:val="24"/>
          <w:lang w:eastAsia="en-GB"/>
        </w:rPr>
        <w:t xml:space="preserve">non-BML </w:t>
      </w:r>
      <w:r>
        <w:rPr>
          <w:rFonts w:ascii="Arial" w:eastAsiaTheme="minorEastAsia" w:hAnsi="Arial" w:cs="Arial"/>
          <w:color w:val="000000" w:themeColor="text1"/>
          <w:kern w:val="24"/>
          <w:sz w:val="24"/>
          <w:szCs w:val="24"/>
          <w:lang w:eastAsia="en-GB"/>
        </w:rPr>
        <w:t>tissue</w:t>
      </w:r>
      <w:r w:rsidR="00053D03">
        <w:rPr>
          <w:rFonts w:ascii="Arial" w:eastAsiaTheme="minorEastAsia" w:hAnsi="Arial" w:cs="Arial"/>
          <w:color w:val="000000" w:themeColor="text1"/>
          <w:kern w:val="24"/>
          <w:sz w:val="24"/>
          <w:szCs w:val="24"/>
          <w:lang w:eastAsia="en-GB"/>
        </w:rPr>
        <w:t>s</w:t>
      </w:r>
      <w:r>
        <w:rPr>
          <w:rFonts w:ascii="Arial" w:eastAsiaTheme="minorEastAsia" w:hAnsi="Arial" w:cs="Arial"/>
          <w:color w:val="000000" w:themeColor="text1"/>
          <w:kern w:val="24"/>
          <w:sz w:val="24"/>
          <w:szCs w:val="24"/>
          <w:lang w:eastAsia="en-GB"/>
        </w:rPr>
        <w:t xml:space="preserve"> </w:t>
      </w:r>
      <w:r w:rsidRPr="00C239F8">
        <w:rPr>
          <w:rFonts w:ascii="Arial" w:eastAsiaTheme="minorEastAsia" w:hAnsi="Arial" w:cs="Arial"/>
          <w:color w:val="000000" w:themeColor="text1"/>
          <w:kern w:val="24"/>
          <w:sz w:val="24"/>
          <w:szCs w:val="24"/>
          <w:lang w:eastAsia="en-GB"/>
        </w:rPr>
        <w:t>identified by M</w:t>
      </w:r>
      <w:r>
        <w:rPr>
          <w:rFonts w:ascii="Arial" w:eastAsiaTheme="minorEastAsia" w:hAnsi="Arial" w:cs="Arial"/>
          <w:color w:val="000000" w:themeColor="text1"/>
          <w:kern w:val="24"/>
          <w:sz w:val="24"/>
          <w:szCs w:val="24"/>
          <w:lang w:eastAsia="en-GB"/>
        </w:rPr>
        <w:t xml:space="preserve">agnetic </w:t>
      </w:r>
      <w:r w:rsidRPr="00C239F8">
        <w:rPr>
          <w:rFonts w:ascii="Arial" w:eastAsiaTheme="minorEastAsia" w:hAnsi="Arial" w:cs="Arial"/>
          <w:color w:val="000000" w:themeColor="text1"/>
          <w:kern w:val="24"/>
          <w:sz w:val="24"/>
          <w:szCs w:val="24"/>
          <w:lang w:eastAsia="en-GB"/>
        </w:rPr>
        <w:t>R</w:t>
      </w:r>
      <w:r>
        <w:rPr>
          <w:rFonts w:ascii="Arial" w:eastAsiaTheme="minorEastAsia" w:hAnsi="Arial" w:cs="Arial"/>
          <w:color w:val="000000" w:themeColor="text1"/>
          <w:kern w:val="24"/>
          <w:sz w:val="24"/>
          <w:szCs w:val="24"/>
          <w:lang w:eastAsia="en-GB"/>
        </w:rPr>
        <w:t xml:space="preserve">esonance </w:t>
      </w:r>
      <w:r w:rsidRPr="00C239F8">
        <w:rPr>
          <w:rFonts w:ascii="Arial" w:eastAsiaTheme="minorEastAsia" w:hAnsi="Arial" w:cs="Arial"/>
          <w:color w:val="000000" w:themeColor="text1"/>
          <w:kern w:val="24"/>
          <w:sz w:val="24"/>
          <w:szCs w:val="24"/>
          <w:lang w:eastAsia="en-GB"/>
        </w:rPr>
        <w:t>I</w:t>
      </w:r>
      <w:r>
        <w:rPr>
          <w:rFonts w:ascii="Arial" w:eastAsiaTheme="minorEastAsia" w:hAnsi="Arial" w:cs="Arial"/>
          <w:color w:val="000000" w:themeColor="text1"/>
          <w:kern w:val="24"/>
          <w:sz w:val="24"/>
          <w:szCs w:val="24"/>
          <w:lang w:eastAsia="en-GB"/>
        </w:rPr>
        <w:t>maging (MRI)</w:t>
      </w:r>
      <w:r w:rsidRPr="00C239F8">
        <w:rPr>
          <w:rFonts w:ascii="Arial" w:eastAsiaTheme="minorEastAsia" w:hAnsi="Arial" w:cs="Arial"/>
          <w:color w:val="000000" w:themeColor="text1"/>
          <w:kern w:val="24"/>
          <w:sz w:val="24"/>
          <w:szCs w:val="24"/>
          <w:lang w:eastAsia="en-GB"/>
        </w:rPr>
        <w:t xml:space="preserve"> in </w:t>
      </w:r>
      <w:r w:rsidR="00053D03">
        <w:rPr>
          <w:rFonts w:ascii="Arial" w:eastAsiaTheme="minorEastAsia" w:hAnsi="Arial" w:cs="Arial"/>
          <w:color w:val="000000" w:themeColor="text1"/>
          <w:kern w:val="24"/>
          <w:sz w:val="24"/>
          <w:szCs w:val="24"/>
          <w:lang w:eastAsia="en-GB"/>
        </w:rPr>
        <w:t xml:space="preserve">10 </w:t>
      </w:r>
      <w:r w:rsidRPr="00C239F8">
        <w:rPr>
          <w:rFonts w:ascii="Arial" w:eastAsiaTheme="minorEastAsia" w:hAnsi="Arial" w:cs="Arial"/>
          <w:color w:val="000000" w:themeColor="text1"/>
          <w:kern w:val="24"/>
          <w:sz w:val="24"/>
          <w:szCs w:val="24"/>
          <w:lang w:eastAsia="en-GB"/>
        </w:rPr>
        <w:t xml:space="preserve">knee OA </w:t>
      </w:r>
      <w:r w:rsidR="007A7F82">
        <w:rPr>
          <w:rFonts w:ascii="Arial" w:eastAsiaTheme="minorEastAsia" w:hAnsi="Arial" w:cs="Arial"/>
          <w:color w:val="000000" w:themeColor="text1"/>
          <w:kern w:val="24"/>
          <w:sz w:val="24"/>
          <w:szCs w:val="24"/>
          <w:lang w:eastAsia="en-GB"/>
        </w:rPr>
        <w:t xml:space="preserve">subjects </w:t>
      </w:r>
      <w:r>
        <w:rPr>
          <w:rFonts w:ascii="Arial" w:eastAsiaTheme="minorEastAsia" w:hAnsi="Arial" w:cs="Arial"/>
          <w:color w:val="000000" w:themeColor="text1"/>
          <w:kern w:val="24"/>
          <w:sz w:val="24"/>
          <w:szCs w:val="24"/>
          <w:lang w:eastAsia="en-GB"/>
        </w:rPr>
        <w:t>w</w:t>
      </w:r>
      <w:r w:rsidR="00632725">
        <w:rPr>
          <w:rFonts w:ascii="Arial" w:eastAsiaTheme="minorEastAsia" w:hAnsi="Arial" w:cs="Arial"/>
          <w:color w:val="000000" w:themeColor="text1"/>
          <w:kern w:val="24"/>
          <w:sz w:val="24"/>
          <w:szCs w:val="24"/>
          <w:lang w:eastAsia="en-GB"/>
        </w:rPr>
        <w:t>ere</w:t>
      </w:r>
      <w:r>
        <w:rPr>
          <w:rFonts w:ascii="Arial" w:eastAsiaTheme="minorEastAsia" w:hAnsi="Arial" w:cs="Arial"/>
          <w:color w:val="000000" w:themeColor="text1"/>
          <w:kern w:val="24"/>
          <w:sz w:val="24"/>
          <w:szCs w:val="24"/>
          <w:lang w:eastAsia="en-GB"/>
        </w:rPr>
        <w:t xml:space="preserve"> harvested at total knee replacement (TKR)</w:t>
      </w:r>
      <w:r w:rsidR="002F39BB">
        <w:rPr>
          <w:rFonts w:ascii="Arial" w:eastAsiaTheme="minorEastAsia" w:hAnsi="Arial" w:cs="Arial"/>
          <w:color w:val="000000" w:themeColor="text1"/>
          <w:kern w:val="24"/>
          <w:sz w:val="24"/>
          <w:szCs w:val="24"/>
          <w:lang w:eastAsia="en-GB"/>
        </w:rPr>
        <w:t xml:space="preserve">. </w:t>
      </w:r>
      <w:r w:rsidR="007A7F82">
        <w:rPr>
          <w:rFonts w:ascii="Arial" w:eastAsiaTheme="minorEastAsia" w:hAnsi="Arial" w:cs="Arial"/>
          <w:color w:val="000000" w:themeColor="text1"/>
          <w:kern w:val="24"/>
          <w:sz w:val="24"/>
          <w:szCs w:val="24"/>
          <w:lang w:eastAsia="en-GB"/>
        </w:rPr>
        <w:t>O</w:t>
      </w:r>
      <w:r w:rsidR="002F39BB" w:rsidRPr="00284AE5">
        <w:rPr>
          <w:rFonts w:ascii="Arial" w:eastAsiaTheme="minorEastAsia" w:hAnsi="Arial" w:cs="Arial"/>
          <w:color w:val="000000" w:themeColor="text1"/>
          <w:kern w:val="24"/>
          <w:sz w:val="24"/>
          <w:szCs w:val="24"/>
          <w:lang w:eastAsia="en-GB"/>
        </w:rPr>
        <w:t xml:space="preserve">steochondral tissue from </w:t>
      </w:r>
      <w:r w:rsidR="00053D03" w:rsidRPr="00284AE5">
        <w:rPr>
          <w:rFonts w:ascii="Arial" w:eastAsiaTheme="minorEastAsia" w:hAnsi="Arial" w:cs="Arial"/>
          <w:color w:val="000000" w:themeColor="text1"/>
          <w:kern w:val="24"/>
          <w:sz w:val="24"/>
          <w:szCs w:val="24"/>
          <w:lang w:eastAsia="en-GB"/>
        </w:rPr>
        <w:t xml:space="preserve">a further </w:t>
      </w:r>
      <w:r w:rsidR="001B1063">
        <w:rPr>
          <w:rFonts w:ascii="Arial" w:eastAsiaTheme="minorEastAsia" w:hAnsi="Arial" w:cs="Arial"/>
          <w:color w:val="000000" w:themeColor="text1"/>
          <w:kern w:val="24"/>
          <w:sz w:val="24"/>
          <w:szCs w:val="24"/>
          <w:lang w:eastAsia="en-GB"/>
        </w:rPr>
        <w:t>140</w:t>
      </w:r>
      <w:r w:rsidR="002F39BB" w:rsidRPr="00284AE5">
        <w:rPr>
          <w:rFonts w:ascii="Arial" w:eastAsiaTheme="minorEastAsia" w:hAnsi="Arial" w:cs="Arial"/>
          <w:color w:val="000000" w:themeColor="text1"/>
          <w:kern w:val="24"/>
          <w:sz w:val="24"/>
          <w:szCs w:val="24"/>
          <w:lang w:eastAsia="en-GB"/>
        </w:rPr>
        <w:t xml:space="preserve"> TKR and </w:t>
      </w:r>
      <w:r w:rsidR="001B1063">
        <w:rPr>
          <w:rFonts w:ascii="Arial" w:eastAsiaTheme="minorEastAsia" w:hAnsi="Arial" w:cs="Arial"/>
          <w:color w:val="000000" w:themeColor="text1"/>
          <w:kern w:val="24"/>
          <w:sz w:val="24"/>
          <w:szCs w:val="24"/>
          <w:lang w:eastAsia="en-GB"/>
        </w:rPr>
        <w:t>2</w:t>
      </w:r>
      <w:r w:rsidR="002F39BB" w:rsidRPr="00284AE5">
        <w:rPr>
          <w:rFonts w:ascii="Arial" w:eastAsiaTheme="minorEastAsia" w:hAnsi="Arial" w:cs="Arial"/>
          <w:color w:val="000000" w:themeColor="text1"/>
          <w:kern w:val="24"/>
          <w:sz w:val="24"/>
          <w:szCs w:val="24"/>
          <w:lang w:eastAsia="en-GB"/>
        </w:rPr>
        <w:t xml:space="preserve">3 </w:t>
      </w:r>
      <w:r w:rsidR="00632725" w:rsidRPr="00284AE5">
        <w:rPr>
          <w:rFonts w:ascii="Arial" w:eastAsiaTheme="minorEastAsia" w:hAnsi="Arial" w:cs="Arial"/>
          <w:color w:val="000000" w:themeColor="text1"/>
          <w:kern w:val="24"/>
          <w:sz w:val="24"/>
          <w:szCs w:val="24"/>
          <w:lang w:eastAsia="en-GB"/>
        </w:rPr>
        <w:t>post</w:t>
      </w:r>
      <w:r w:rsidR="007A7F82">
        <w:rPr>
          <w:rFonts w:ascii="Arial" w:eastAsiaTheme="minorEastAsia" w:hAnsi="Arial" w:cs="Arial"/>
          <w:color w:val="000000" w:themeColor="text1"/>
          <w:kern w:val="24"/>
          <w:sz w:val="24"/>
          <w:szCs w:val="24"/>
          <w:lang w:eastAsia="en-GB"/>
        </w:rPr>
        <w:t>-</w:t>
      </w:r>
      <w:r w:rsidR="00632725" w:rsidRPr="00284AE5">
        <w:rPr>
          <w:rFonts w:ascii="Arial" w:eastAsiaTheme="minorEastAsia" w:hAnsi="Arial" w:cs="Arial"/>
          <w:color w:val="000000" w:themeColor="text1"/>
          <w:kern w:val="24"/>
          <w:sz w:val="24"/>
          <w:szCs w:val="24"/>
          <w:lang w:eastAsia="en-GB"/>
        </w:rPr>
        <w:t>mortem</w:t>
      </w:r>
      <w:r w:rsidR="0081036D" w:rsidRPr="00284AE5">
        <w:rPr>
          <w:rFonts w:ascii="Arial" w:eastAsiaTheme="minorEastAsia" w:hAnsi="Arial" w:cs="Arial"/>
          <w:color w:val="000000" w:themeColor="text1"/>
          <w:kern w:val="24"/>
          <w:sz w:val="24"/>
          <w:szCs w:val="24"/>
          <w:lang w:eastAsia="en-GB"/>
        </w:rPr>
        <w:t xml:space="preserve"> </w:t>
      </w:r>
      <w:r w:rsidR="00CE61C5">
        <w:rPr>
          <w:rFonts w:ascii="Arial" w:eastAsiaTheme="minorEastAsia" w:hAnsi="Arial" w:cs="Arial"/>
          <w:color w:val="000000" w:themeColor="text1"/>
          <w:kern w:val="24"/>
          <w:sz w:val="24"/>
          <w:szCs w:val="24"/>
          <w:lang w:eastAsia="en-GB"/>
        </w:rPr>
        <w:t xml:space="preserve">(PM) </w:t>
      </w:r>
      <w:r w:rsidR="002F39BB" w:rsidRPr="00284AE5">
        <w:rPr>
          <w:rFonts w:ascii="Arial" w:eastAsiaTheme="minorEastAsia" w:hAnsi="Arial" w:cs="Arial"/>
          <w:color w:val="000000" w:themeColor="text1"/>
          <w:kern w:val="24"/>
          <w:sz w:val="24"/>
          <w:szCs w:val="24"/>
          <w:lang w:eastAsia="en-GB"/>
        </w:rPr>
        <w:t>cases</w:t>
      </w:r>
      <w:r w:rsidR="007A7F82">
        <w:rPr>
          <w:rFonts w:ascii="Arial" w:eastAsiaTheme="minorEastAsia" w:hAnsi="Arial" w:cs="Arial"/>
          <w:color w:val="000000" w:themeColor="text1"/>
          <w:kern w:val="24"/>
          <w:sz w:val="24"/>
          <w:szCs w:val="24"/>
          <w:lang w:eastAsia="en-GB"/>
        </w:rPr>
        <w:t xml:space="preserve"> was assessed</w:t>
      </w:r>
      <w:r w:rsidR="002F39BB" w:rsidRPr="00284AE5">
        <w:rPr>
          <w:rFonts w:ascii="Arial" w:eastAsiaTheme="minorEastAsia" w:hAnsi="Arial" w:cs="Arial"/>
          <w:color w:val="000000" w:themeColor="text1"/>
          <w:kern w:val="24"/>
          <w:sz w:val="24"/>
          <w:szCs w:val="24"/>
          <w:lang w:eastAsia="en-GB"/>
        </w:rPr>
        <w:t>.</w:t>
      </w:r>
      <w:r w:rsidR="0063191B">
        <w:rPr>
          <w:rFonts w:ascii="Arial" w:eastAsiaTheme="minorEastAsia" w:hAnsi="Arial" w:cs="Arial"/>
          <w:color w:val="000000" w:themeColor="text1"/>
          <w:kern w:val="24"/>
          <w:sz w:val="24"/>
          <w:szCs w:val="24"/>
          <w:lang w:eastAsia="en-GB"/>
        </w:rPr>
        <w:t xml:space="preserve"> </w:t>
      </w:r>
      <w:r>
        <w:rPr>
          <w:rFonts w:ascii="Arial" w:eastAsiaTheme="minorEastAsia" w:hAnsi="Arial" w:cs="Arial"/>
          <w:color w:val="000000" w:themeColor="text1"/>
          <w:kern w:val="24"/>
          <w:sz w:val="24"/>
          <w:szCs w:val="24"/>
          <w:lang w:eastAsia="en-GB"/>
        </w:rPr>
        <w:t xml:space="preserve">Histological features distinguishing </w:t>
      </w:r>
      <w:r w:rsidR="000208EA">
        <w:rPr>
          <w:rFonts w:ascii="Arial" w:eastAsiaTheme="minorEastAsia" w:hAnsi="Arial" w:cs="Arial"/>
          <w:color w:val="000000" w:themeColor="text1"/>
          <w:kern w:val="24"/>
          <w:sz w:val="24"/>
          <w:szCs w:val="24"/>
          <w:lang w:eastAsia="en-GB"/>
        </w:rPr>
        <w:t xml:space="preserve">MRI-defined </w:t>
      </w:r>
      <w:r>
        <w:rPr>
          <w:rFonts w:ascii="Arial" w:eastAsiaTheme="minorEastAsia" w:hAnsi="Arial" w:cs="Arial"/>
          <w:color w:val="000000" w:themeColor="text1"/>
          <w:kern w:val="24"/>
          <w:sz w:val="24"/>
          <w:szCs w:val="24"/>
          <w:lang w:eastAsia="en-GB"/>
        </w:rPr>
        <w:t>BML</w:t>
      </w:r>
      <w:r w:rsidR="007A7F82">
        <w:rPr>
          <w:rFonts w:ascii="Arial" w:eastAsiaTheme="minorEastAsia" w:hAnsi="Arial" w:cs="Arial"/>
          <w:color w:val="000000" w:themeColor="text1"/>
          <w:kern w:val="24"/>
          <w:sz w:val="24"/>
          <w:szCs w:val="24"/>
          <w:lang w:eastAsia="en-GB"/>
        </w:rPr>
        <w:t>/</w:t>
      </w:r>
      <w:r>
        <w:rPr>
          <w:rFonts w:ascii="Arial" w:eastAsiaTheme="minorEastAsia" w:hAnsi="Arial" w:cs="Arial"/>
          <w:color w:val="000000" w:themeColor="text1"/>
          <w:kern w:val="24"/>
          <w:sz w:val="24"/>
          <w:szCs w:val="24"/>
          <w:lang w:eastAsia="en-GB"/>
        </w:rPr>
        <w:t>non-BML tissues on qualitative analysis were classified as present (0) or absent (1)</w:t>
      </w:r>
      <w:r w:rsidR="004C1CA8">
        <w:rPr>
          <w:rFonts w:ascii="Arial" w:eastAsiaTheme="minorEastAsia" w:hAnsi="Arial" w:cs="Arial"/>
          <w:color w:val="000000" w:themeColor="text1"/>
          <w:kern w:val="24"/>
          <w:sz w:val="24"/>
          <w:szCs w:val="24"/>
          <w:lang w:eastAsia="en-GB"/>
        </w:rPr>
        <w:t xml:space="preserve">, </w:t>
      </w:r>
      <w:r>
        <w:rPr>
          <w:rFonts w:ascii="Arial" w:eastAsiaTheme="minorEastAsia" w:hAnsi="Arial" w:cs="Arial"/>
          <w:color w:val="000000" w:themeColor="text1"/>
          <w:kern w:val="24"/>
          <w:sz w:val="24"/>
          <w:szCs w:val="24"/>
          <w:lang w:eastAsia="en-GB"/>
        </w:rPr>
        <w:t xml:space="preserve">summated </w:t>
      </w:r>
      <w:r w:rsidR="007A7F82">
        <w:rPr>
          <w:rFonts w:ascii="Arial" w:eastAsiaTheme="minorEastAsia" w:hAnsi="Arial" w:cs="Arial"/>
          <w:color w:val="000000" w:themeColor="text1"/>
          <w:kern w:val="24"/>
          <w:sz w:val="24"/>
          <w:szCs w:val="24"/>
          <w:lang w:eastAsia="en-GB"/>
        </w:rPr>
        <w:t>for</w:t>
      </w:r>
      <w:r>
        <w:rPr>
          <w:rFonts w:ascii="Arial" w:eastAsiaTheme="minorEastAsia" w:hAnsi="Arial" w:cs="Arial"/>
          <w:color w:val="000000" w:themeColor="text1"/>
          <w:kern w:val="24"/>
          <w:sz w:val="24"/>
          <w:szCs w:val="24"/>
          <w:lang w:eastAsia="en-GB"/>
        </w:rPr>
        <w:t xml:space="preserve"> </w:t>
      </w:r>
      <w:r w:rsidR="00F6088D">
        <w:rPr>
          <w:rFonts w:ascii="Arial" w:eastAsiaTheme="minorEastAsia" w:hAnsi="Arial" w:cs="Arial"/>
          <w:color w:val="000000" w:themeColor="text1"/>
          <w:kern w:val="24"/>
          <w:sz w:val="24"/>
          <w:szCs w:val="24"/>
          <w:lang w:eastAsia="en-GB"/>
        </w:rPr>
        <w:t>the</w:t>
      </w:r>
      <w:r>
        <w:rPr>
          <w:rFonts w:ascii="Arial" w:eastAsiaTheme="minorEastAsia" w:hAnsi="Arial" w:cs="Arial"/>
          <w:color w:val="000000" w:themeColor="text1"/>
          <w:kern w:val="24"/>
          <w:sz w:val="24"/>
          <w:szCs w:val="24"/>
          <w:lang w:eastAsia="en-GB"/>
        </w:rPr>
        <w:t xml:space="preserve"> </w:t>
      </w:r>
      <w:r w:rsidRPr="00C239F8">
        <w:rPr>
          <w:rFonts w:ascii="Arial" w:eastAsiaTheme="minorEastAsia" w:hAnsi="Arial" w:cs="Arial"/>
          <w:color w:val="000000" w:themeColor="text1"/>
          <w:kern w:val="24"/>
          <w:sz w:val="24"/>
          <w:szCs w:val="24"/>
          <w:lang w:eastAsia="en-GB"/>
        </w:rPr>
        <w:t>OABS</w:t>
      </w:r>
      <w:r w:rsidR="00F6088D">
        <w:rPr>
          <w:rFonts w:ascii="Arial" w:eastAsiaTheme="minorEastAsia" w:hAnsi="Arial" w:cs="Arial"/>
          <w:color w:val="000000" w:themeColor="text1"/>
          <w:kern w:val="24"/>
          <w:sz w:val="24"/>
          <w:szCs w:val="24"/>
          <w:lang w:eastAsia="en-GB"/>
        </w:rPr>
        <w:t xml:space="preserve">, validated by Rasch analysis and sensitivity to distinguish </w:t>
      </w:r>
      <w:r w:rsidR="00945883" w:rsidRPr="00D533AE">
        <w:rPr>
          <w:rFonts w:ascii="Arial" w:eastAsiaTheme="minorEastAsia" w:hAnsi="Arial" w:cs="Arial"/>
          <w:color w:val="000000" w:themeColor="text1"/>
          <w:kern w:val="24"/>
          <w:sz w:val="24"/>
          <w:szCs w:val="24"/>
          <w:lang w:eastAsia="en-GB"/>
        </w:rPr>
        <w:t>between sample groups</w:t>
      </w:r>
      <w:r w:rsidRPr="00D533AE">
        <w:rPr>
          <w:rFonts w:ascii="Arial" w:eastAsiaTheme="minorEastAsia" w:hAnsi="Arial" w:cs="Arial"/>
          <w:color w:val="000000" w:themeColor="text1"/>
          <w:kern w:val="24"/>
          <w:sz w:val="24"/>
          <w:szCs w:val="24"/>
          <w:lang w:eastAsia="en-GB"/>
        </w:rPr>
        <w:t>. Immunohistochemistry for PGP9.5 assess</w:t>
      </w:r>
      <w:r w:rsidR="0081036D" w:rsidRPr="00D533AE">
        <w:rPr>
          <w:rFonts w:ascii="Arial" w:eastAsiaTheme="minorEastAsia" w:hAnsi="Arial" w:cs="Arial"/>
          <w:color w:val="000000" w:themeColor="text1"/>
          <w:kern w:val="24"/>
          <w:sz w:val="24"/>
          <w:szCs w:val="24"/>
          <w:lang w:eastAsia="en-GB"/>
        </w:rPr>
        <w:t>ed</w:t>
      </w:r>
      <w:r w:rsidRPr="00D533AE">
        <w:rPr>
          <w:rFonts w:ascii="Arial" w:eastAsiaTheme="minorEastAsia" w:hAnsi="Arial" w:cs="Arial"/>
          <w:color w:val="000000" w:themeColor="text1"/>
          <w:kern w:val="24"/>
          <w:sz w:val="24"/>
          <w:szCs w:val="24"/>
          <w:lang w:eastAsia="en-GB"/>
        </w:rPr>
        <w:t xml:space="preserve"> innervation.</w:t>
      </w:r>
    </w:p>
    <w:p w14:paraId="5C0D542B" w14:textId="77777777" w:rsidR="00B46362" w:rsidRPr="00D533AE" w:rsidRDefault="00B46362" w:rsidP="0044499C">
      <w:pPr>
        <w:spacing w:after="0" w:line="480" w:lineRule="auto"/>
        <w:jc w:val="both"/>
        <w:rPr>
          <w:rFonts w:ascii="Arial" w:eastAsiaTheme="minorEastAsia" w:hAnsi="Arial" w:cs="Arial"/>
          <w:color w:val="000000" w:themeColor="text1"/>
          <w:kern w:val="24"/>
          <w:sz w:val="24"/>
          <w:szCs w:val="24"/>
          <w:lang w:eastAsia="en-GB"/>
        </w:rPr>
      </w:pPr>
    </w:p>
    <w:p w14:paraId="1BB36DF9" w14:textId="01DE4411" w:rsidR="002324DD" w:rsidRPr="00D533AE" w:rsidRDefault="00B46362" w:rsidP="002324DD">
      <w:pPr>
        <w:spacing w:after="0" w:line="480" w:lineRule="auto"/>
        <w:jc w:val="both"/>
        <w:rPr>
          <w:rFonts w:ascii="Arial" w:eastAsiaTheme="minorEastAsia" w:hAnsi="Arial" w:cs="Arial"/>
          <w:color w:val="000000" w:themeColor="text1"/>
          <w:kern w:val="24"/>
          <w:sz w:val="24"/>
          <w:szCs w:val="24"/>
          <w:lang w:eastAsia="en-GB"/>
        </w:rPr>
      </w:pPr>
      <w:r w:rsidRPr="00D533AE">
        <w:rPr>
          <w:rFonts w:ascii="Arial" w:eastAsiaTheme="minorEastAsia" w:hAnsi="Arial" w:cs="Arial"/>
          <w:b/>
          <w:bCs/>
          <w:color w:val="000000" w:themeColor="text1"/>
          <w:kern w:val="24"/>
          <w:sz w:val="24"/>
          <w:szCs w:val="24"/>
          <w:lang w:eastAsia="en-GB"/>
        </w:rPr>
        <w:t>Results</w:t>
      </w:r>
      <w:r w:rsidRPr="00D533AE">
        <w:rPr>
          <w:rFonts w:ascii="Arial" w:eastAsiaTheme="minorEastAsia" w:hAnsi="Arial" w:cs="Arial"/>
          <w:color w:val="000000" w:themeColor="text1"/>
          <w:kern w:val="24"/>
          <w:sz w:val="24"/>
          <w:szCs w:val="24"/>
          <w:lang w:eastAsia="en-GB"/>
        </w:rPr>
        <w:t xml:space="preserve">: </w:t>
      </w:r>
      <w:r w:rsidR="002324DD" w:rsidRPr="00D533AE">
        <w:rPr>
          <w:rFonts w:ascii="Arial" w:eastAsiaTheme="minorEastAsia" w:hAnsi="Arial" w:cs="Arial"/>
          <w:color w:val="000000" w:themeColor="text1"/>
          <w:kern w:val="24"/>
          <w:sz w:val="24"/>
          <w:szCs w:val="24"/>
          <w:lang w:eastAsia="en-GB"/>
        </w:rPr>
        <w:t>Subchondral characteristics associated with BML tissues were cysts, fibrosis, hypervascularity, cartilage islands, trabecular thickening, loss of tidemark integrity and inflammatory cell infiltration. PGP9.5 immunoreactive perivascular nerves were associated with BMLs. OABS performed well as a measurement tool, displayed good reliability (Cronbach alpha=0.68), had a 2-factor structure (trabecular/non-trabecular), with moderate correlation between the 2 factors (r=0.56</w:t>
      </w:r>
      <w:r w:rsidR="00E938BC" w:rsidRPr="00D533AE">
        <w:rPr>
          <w:rFonts w:ascii="Arial" w:eastAsiaTheme="minorEastAsia" w:hAnsi="Arial" w:cs="Arial"/>
          <w:color w:val="000000" w:themeColor="text1"/>
          <w:kern w:val="24"/>
          <w:sz w:val="24"/>
          <w:szCs w:val="24"/>
          <w:lang w:eastAsia="en-GB"/>
        </w:rPr>
        <w:t>,</w:t>
      </w:r>
      <w:r w:rsidR="002324DD" w:rsidRPr="00D533AE">
        <w:rPr>
          <w:rFonts w:ascii="Arial" w:eastAsiaTheme="minorEastAsia" w:hAnsi="Arial" w:cs="Arial"/>
          <w:color w:val="000000" w:themeColor="text1"/>
          <w:kern w:val="24"/>
          <w:sz w:val="24"/>
          <w:szCs w:val="24"/>
          <w:lang w:eastAsia="en-GB"/>
        </w:rPr>
        <w:t xml:space="preserve"> 95% CI 0.46, 0.65). OABS scores were higher in TKR than PM cases with </w:t>
      </w:r>
      <w:proofErr w:type="spellStart"/>
      <w:r w:rsidR="002324DD" w:rsidRPr="00D533AE">
        <w:rPr>
          <w:rFonts w:ascii="Arial" w:eastAsiaTheme="minorEastAsia" w:hAnsi="Arial" w:cs="Arial"/>
          <w:color w:val="000000" w:themeColor="text1"/>
          <w:kern w:val="24"/>
          <w:sz w:val="24"/>
          <w:szCs w:val="24"/>
          <w:lang w:eastAsia="en-GB"/>
        </w:rPr>
        <w:t>chondropathy</w:t>
      </w:r>
      <w:proofErr w:type="spellEnd"/>
      <w:r w:rsidR="002324DD" w:rsidRPr="00D533AE">
        <w:rPr>
          <w:rFonts w:ascii="Arial" w:eastAsiaTheme="minorEastAsia" w:hAnsi="Arial" w:cs="Arial"/>
          <w:color w:val="000000" w:themeColor="text1"/>
          <w:kern w:val="24"/>
          <w:sz w:val="24"/>
          <w:szCs w:val="24"/>
          <w:lang w:eastAsia="en-GB"/>
        </w:rPr>
        <w:t>,</w:t>
      </w:r>
      <w:r w:rsidR="002324DD" w:rsidRPr="00D533AE">
        <w:rPr>
          <w:rFonts w:ascii="Arial" w:hAnsi="Arial" w:cs="Arial"/>
          <w:sz w:val="24"/>
          <w:szCs w:val="24"/>
        </w:rPr>
        <w:t xml:space="preserve"> median difference 1.5 (95% CI -2, 0). </w:t>
      </w:r>
      <w:r w:rsidR="002324DD" w:rsidRPr="00D533AE">
        <w:rPr>
          <w:rFonts w:ascii="Arial" w:eastAsiaTheme="minorEastAsia" w:hAnsi="Arial" w:cs="Arial"/>
          <w:color w:val="000000" w:themeColor="text1"/>
          <w:kern w:val="24"/>
          <w:sz w:val="24"/>
          <w:szCs w:val="24"/>
          <w:lang w:eastAsia="en-GB"/>
        </w:rPr>
        <w:t xml:space="preserve">OABS and </w:t>
      </w:r>
      <w:proofErr w:type="spellStart"/>
      <w:r w:rsidR="002324DD" w:rsidRPr="00D533AE">
        <w:rPr>
          <w:rFonts w:ascii="Arial" w:eastAsiaTheme="minorEastAsia" w:hAnsi="Arial" w:cs="Arial"/>
          <w:color w:val="000000" w:themeColor="text1"/>
          <w:kern w:val="24"/>
          <w:sz w:val="24"/>
          <w:szCs w:val="24"/>
          <w:lang w:eastAsia="en-GB"/>
        </w:rPr>
        <w:t>Mankin</w:t>
      </w:r>
      <w:proofErr w:type="spellEnd"/>
      <w:r w:rsidR="002324DD" w:rsidRPr="00D533AE">
        <w:rPr>
          <w:rFonts w:ascii="Arial" w:eastAsiaTheme="minorEastAsia" w:hAnsi="Arial" w:cs="Arial"/>
          <w:color w:val="000000" w:themeColor="text1"/>
          <w:kern w:val="24"/>
          <w:sz w:val="24"/>
          <w:szCs w:val="24"/>
          <w:lang w:eastAsia="en-GB"/>
        </w:rPr>
        <w:t xml:space="preserve"> scores similarly distinguished TKR from non-OA controls, but only OABS was higher in BML than non-BML tissues, median difference -4 (95% CI -5 to -2).</w:t>
      </w:r>
      <w:r w:rsidR="002324DD" w:rsidRPr="00D533AE">
        <w:t xml:space="preserve"> </w:t>
      </w:r>
    </w:p>
    <w:p w14:paraId="0662E232" w14:textId="263A4230" w:rsidR="00B46362" w:rsidRPr="00D533AE" w:rsidRDefault="00B46362" w:rsidP="0044499C">
      <w:pPr>
        <w:spacing w:after="0" w:line="480" w:lineRule="auto"/>
        <w:jc w:val="both"/>
        <w:rPr>
          <w:rFonts w:ascii="Arial" w:eastAsiaTheme="minorEastAsia" w:hAnsi="Arial" w:cs="Arial"/>
          <w:color w:val="000000" w:themeColor="text1"/>
          <w:kern w:val="24"/>
          <w:sz w:val="24"/>
          <w:szCs w:val="24"/>
          <w:lang w:eastAsia="en-GB"/>
        </w:rPr>
      </w:pPr>
    </w:p>
    <w:p w14:paraId="1A8C5336" w14:textId="77777777" w:rsidR="00B46362" w:rsidRPr="00D533AE" w:rsidRDefault="00B46362" w:rsidP="0044499C">
      <w:pPr>
        <w:spacing w:after="0" w:line="480" w:lineRule="auto"/>
        <w:jc w:val="both"/>
        <w:rPr>
          <w:rFonts w:ascii="Arial" w:eastAsia="Times New Roman" w:hAnsi="Arial" w:cs="Arial"/>
          <w:sz w:val="24"/>
          <w:szCs w:val="24"/>
          <w:lang w:eastAsia="en-GB"/>
        </w:rPr>
      </w:pPr>
    </w:p>
    <w:p w14:paraId="1460F731" w14:textId="77777777" w:rsidR="00B46362" w:rsidRPr="00D533AE" w:rsidRDefault="00B46362" w:rsidP="0044499C">
      <w:pPr>
        <w:spacing w:after="0" w:line="480" w:lineRule="auto"/>
        <w:jc w:val="both"/>
        <w:rPr>
          <w:rFonts w:ascii="Arial" w:eastAsiaTheme="minorEastAsia" w:hAnsi="Arial" w:cs="Arial"/>
          <w:color w:val="000000" w:themeColor="text1"/>
          <w:kern w:val="24"/>
          <w:sz w:val="24"/>
          <w:szCs w:val="24"/>
          <w:lang w:eastAsia="en-GB"/>
        </w:rPr>
      </w:pPr>
      <w:r w:rsidRPr="00D533AE">
        <w:rPr>
          <w:rFonts w:ascii="Arial" w:eastAsiaTheme="minorEastAsia" w:hAnsi="Arial" w:cs="Arial"/>
          <w:b/>
          <w:bCs/>
          <w:color w:val="000000" w:themeColor="text1"/>
          <w:kern w:val="24"/>
          <w:sz w:val="24"/>
          <w:szCs w:val="24"/>
          <w:lang w:eastAsia="en-GB"/>
        </w:rPr>
        <w:t>Conclusions:</w:t>
      </w:r>
      <w:r w:rsidRPr="00D533AE">
        <w:rPr>
          <w:rFonts w:ascii="Arial" w:eastAsiaTheme="minorEastAsia" w:hAnsi="Arial" w:cs="Arial"/>
          <w:color w:val="000000" w:themeColor="text1"/>
          <w:kern w:val="24"/>
          <w:sz w:val="24"/>
          <w:szCs w:val="24"/>
          <w:lang w:eastAsia="en-GB"/>
        </w:rPr>
        <w:t xml:space="preserve"> </w:t>
      </w:r>
      <w:bookmarkStart w:id="1" w:name="_Hlk88564696"/>
      <w:r w:rsidRPr="00D533AE">
        <w:rPr>
          <w:rFonts w:ascii="Arial" w:eastAsiaTheme="minorEastAsia" w:hAnsi="Arial" w:cs="Arial"/>
          <w:color w:val="000000" w:themeColor="text1"/>
          <w:kern w:val="24"/>
          <w:sz w:val="24"/>
          <w:szCs w:val="24"/>
          <w:lang w:eastAsia="en-GB"/>
        </w:rPr>
        <w:t>OABS identif</w:t>
      </w:r>
      <w:r w:rsidR="002F39BB" w:rsidRPr="00D533AE">
        <w:rPr>
          <w:rFonts w:ascii="Arial" w:eastAsiaTheme="minorEastAsia" w:hAnsi="Arial" w:cs="Arial"/>
          <w:color w:val="000000" w:themeColor="text1"/>
          <w:kern w:val="24"/>
          <w:sz w:val="24"/>
          <w:szCs w:val="24"/>
          <w:lang w:eastAsia="en-GB"/>
        </w:rPr>
        <w:t>ies</w:t>
      </w:r>
      <w:r w:rsidRPr="00D533AE">
        <w:rPr>
          <w:rFonts w:ascii="Arial" w:eastAsiaTheme="minorEastAsia" w:hAnsi="Arial" w:cs="Arial"/>
          <w:color w:val="000000" w:themeColor="text1"/>
          <w:kern w:val="24"/>
          <w:sz w:val="24"/>
          <w:szCs w:val="24"/>
          <w:lang w:eastAsia="en-GB"/>
        </w:rPr>
        <w:t xml:space="preserve"> and </w:t>
      </w:r>
      <w:r w:rsidR="0091776A" w:rsidRPr="00D533AE">
        <w:rPr>
          <w:rFonts w:ascii="Arial" w:eastAsiaTheme="minorEastAsia" w:hAnsi="Arial" w:cs="Arial"/>
          <w:color w:val="000000" w:themeColor="text1"/>
          <w:kern w:val="24"/>
          <w:sz w:val="24"/>
          <w:szCs w:val="24"/>
          <w:lang w:eastAsia="en-GB"/>
        </w:rPr>
        <w:t xml:space="preserve">validly </w:t>
      </w:r>
      <w:r w:rsidRPr="00D533AE">
        <w:rPr>
          <w:rFonts w:ascii="Arial" w:eastAsiaTheme="minorEastAsia" w:hAnsi="Arial" w:cs="Arial"/>
          <w:color w:val="000000" w:themeColor="text1"/>
          <w:kern w:val="24"/>
          <w:sz w:val="24"/>
          <w:szCs w:val="24"/>
          <w:lang w:eastAsia="en-GB"/>
        </w:rPr>
        <w:t>quantif</w:t>
      </w:r>
      <w:r w:rsidR="002F39BB" w:rsidRPr="00D533AE">
        <w:rPr>
          <w:rFonts w:ascii="Arial" w:eastAsiaTheme="minorEastAsia" w:hAnsi="Arial" w:cs="Arial"/>
          <w:color w:val="000000" w:themeColor="text1"/>
          <w:kern w:val="24"/>
          <w:sz w:val="24"/>
          <w:szCs w:val="24"/>
          <w:lang w:eastAsia="en-GB"/>
        </w:rPr>
        <w:t>ies</w:t>
      </w:r>
      <w:r w:rsidRPr="00D533AE">
        <w:rPr>
          <w:rFonts w:ascii="Arial" w:eastAsiaTheme="minorEastAsia" w:hAnsi="Arial" w:cs="Arial"/>
          <w:color w:val="000000" w:themeColor="text1"/>
          <w:kern w:val="24"/>
          <w:sz w:val="24"/>
          <w:szCs w:val="24"/>
          <w:lang w:eastAsia="en-GB"/>
        </w:rPr>
        <w:t xml:space="preserve"> histopathological changes </w:t>
      </w:r>
      <w:r w:rsidR="00EC0827" w:rsidRPr="00D533AE">
        <w:rPr>
          <w:rFonts w:ascii="Arial" w:eastAsiaTheme="minorEastAsia" w:hAnsi="Arial" w:cs="Arial"/>
          <w:color w:val="000000" w:themeColor="text1"/>
          <w:kern w:val="24"/>
          <w:sz w:val="24"/>
          <w:szCs w:val="24"/>
          <w:lang w:eastAsia="en-GB"/>
        </w:rPr>
        <w:t xml:space="preserve">associated with </w:t>
      </w:r>
      <w:r w:rsidR="007A7F82" w:rsidRPr="00D533AE">
        <w:rPr>
          <w:rFonts w:ascii="Arial" w:eastAsiaTheme="minorEastAsia" w:hAnsi="Arial" w:cs="Arial"/>
          <w:color w:val="000000" w:themeColor="text1"/>
          <w:kern w:val="24"/>
          <w:sz w:val="24"/>
          <w:szCs w:val="24"/>
          <w:lang w:eastAsia="en-GB"/>
        </w:rPr>
        <w:t xml:space="preserve">OA </w:t>
      </w:r>
      <w:r w:rsidRPr="00D533AE">
        <w:rPr>
          <w:rFonts w:ascii="Arial" w:eastAsiaTheme="minorEastAsia" w:hAnsi="Arial" w:cs="Arial"/>
          <w:color w:val="000000" w:themeColor="text1"/>
          <w:kern w:val="24"/>
          <w:sz w:val="24"/>
          <w:szCs w:val="24"/>
          <w:lang w:eastAsia="en-GB"/>
        </w:rPr>
        <w:t>BMLs</w:t>
      </w:r>
      <w:bookmarkEnd w:id="1"/>
      <w:r w:rsidRPr="00D533AE">
        <w:rPr>
          <w:rFonts w:ascii="Arial" w:eastAsiaTheme="minorEastAsia" w:hAnsi="Arial" w:cs="Arial"/>
          <w:color w:val="000000" w:themeColor="text1"/>
          <w:kern w:val="24"/>
          <w:sz w:val="24"/>
          <w:szCs w:val="24"/>
          <w:lang w:eastAsia="en-GB"/>
        </w:rPr>
        <w:t>. Histopatholog</w:t>
      </w:r>
      <w:r w:rsidR="00FF3A0E" w:rsidRPr="00D533AE">
        <w:rPr>
          <w:rFonts w:ascii="Arial" w:eastAsiaTheme="minorEastAsia" w:hAnsi="Arial" w:cs="Arial"/>
          <w:color w:val="000000" w:themeColor="text1"/>
          <w:kern w:val="24"/>
          <w:sz w:val="24"/>
          <w:szCs w:val="24"/>
          <w:lang w:eastAsia="en-GB"/>
        </w:rPr>
        <w:t>y</w:t>
      </w:r>
      <w:r w:rsidRPr="00D533AE">
        <w:rPr>
          <w:rFonts w:ascii="Arial" w:eastAsiaTheme="minorEastAsia" w:hAnsi="Arial" w:cs="Arial"/>
          <w:color w:val="000000" w:themeColor="text1"/>
          <w:kern w:val="24"/>
          <w:sz w:val="24"/>
          <w:szCs w:val="24"/>
          <w:lang w:eastAsia="en-GB"/>
        </w:rPr>
        <w:t xml:space="preserve"> underlying BMLs m</w:t>
      </w:r>
      <w:r w:rsidR="007A7F82" w:rsidRPr="00D533AE">
        <w:rPr>
          <w:rFonts w:ascii="Arial" w:eastAsiaTheme="minorEastAsia" w:hAnsi="Arial" w:cs="Arial"/>
          <w:color w:val="000000" w:themeColor="text1"/>
          <w:kern w:val="24"/>
          <w:sz w:val="24"/>
          <w:szCs w:val="24"/>
          <w:lang w:eastAsia="en-GB"/>
        </w:rPr>
        <w:t>ay</w:t>
      </w:r>
      <w:r w:rsidRPr="00D533AE">
        <w:rPr>
          <w:rFonts w:ascii="Arial" w:eastAsiaTheme="minorEastAsia" w:hAnsi="Arial" w:cs="Arial"/>
          <w:color w:val="000000" w:themeColor="text1"/>
          <w:kern w:val="24"/>
          <w:sz w:val="24"/>
          <w:szCs w:val="24"/>
          <w:lang w:eastAsia="en-GB"/>
        </w:rPr>
        <w:t xml:space="preserve"> represent 2 inter-related pathological processes affecting trabecular</w:t>
      </w:r>
      <w:r w:rsidR="007A7F82" w:rsidRPr="00D533AE">
        <w:rPr>
          <w:rFonts w:ascii="Arial" w:eastAsiaTheme="minorEastAsia" w:hAnsi="Arial" w:cs="Arial"/>
          <w:color w:val="000000" w:themeColor="text1"/>
          <w:kern w:val="24"/>
          <w:sz w:val="24"/>
          <w:szCs w:val="24"/>
          <w:lang w:eastAsia="en-GB"/>
        </w:rPr>
        <w:t>/</w:t>
      </w:r>
      <w:r w:rsidRPr="00D533AE">
        <w:rPr>
          <w:rFonts w:ascii="Arial" w:eastAsiaTheme="minorEastAsia" w:hAnsi="Arial" w:cs="Arial"/>
          <w:color w:val="000000" w:themeColor="text1"/>
          <w:kern w:val="24"/>
          <w:sz w:val="24"/>
          <w:szCs w:val="24"/>
          <w:lang w:eastAsia="en-GB"/>
        </w:rPr>
        <w:t xml:space="preserve">non-trabecular structures. </w:t>
      </w:r>
      <w:r w:rsidR="00D10FAA" w:rsidRPr="00D533AE">
        <w:rPr>
          <w:rFonts w:ascii="Arial" w:eastAsiaTheme="minorEastAsia" w:hAnsi="Arial" w:cs="Arial"/>
          <w:color w:val="000000" w:themeColor="text1"/>
          <w:kern w:val="24"/>
          <w:sz w:val="24"/>
          <w:szCs w:val="24"/>
          <w:lang w:eastAsia="en-GB"/>
        </w:rPr>
        <w:t xml:space="preserve">Increased </w:t>
      </w:r>
      <w:r w:rsidR="000A4058" w:rsidRPr="00D533AE">
        <w:rPr>
          <w:rFonts w:ascii="Arial" w:eastAsiaTheme="minorEastAsia" w:hAnsi="Arial" w:cs="Arial"/>
          <w:color w:val="000000" w:themeColor="text1"/>
          <w:kern w:val="24"/>
          <w:sz w:val="24"/>
          <w:szCs w:val="24"/>
          <w:lang w:eastAsia="en-GB"/>
        </w:rPr>
        <w:t>vascularity</w:t>
      </w:r>
      <w:r w:rsidR="008118E0" w:rsidRPr="00D533AE">
        <w:rPr>
          <w:rFonts w:ascii="Arial" w:eastAsiaTheme="minorEastAsia" w:hAnsi="Arial" w:cs="Arial"/>
          <w:color w:val="000000" w:themeColor="text1"/>
          <w:kern w:val="24"/>
          <w:sz w:val="24"/>
          <w:szCs w:val="24"/>
          <w:lang w:eastAsia="en-GB"/>
        </w:rPr>
        <w:t>/</w:t>
      </w:r>
      <w:r w:rsidR="00D10FAA" w:rsidRPr="00D533AE">
        <w:rPr>
          <w:rFonts w:ascii="Arial" w:eastAsiaTheme="minorEastAsia" w:hAnsi="Arial" w:cs="Arial"/>
          <w:color w:val="000000" w:themeColor="text1"/>
          <w:kern w:val="24"/>
          <w:sz w:val="24"/>
          <w:szCs w:val="24"/>
          <w:lang w:eastAsia="en-GB"/>
        </w:rPr>
        <w:t>perivascular innervation in BML</w:t>
      </w:r>
      <w:r w:rsidR="0091776A" w:rsidRPr="00D533AE">
        <w:rPr>
          <w:rFonts w:ascii="Arial" w:eastAsiaTheme="minorEastAsia" w:hAnsi="Arial" w:cs="Arial"/>
          <w:color w:val="000000" w:themeColor="text1"/>
          <w:kern w:val="24"/>
          <w:sz w:val="24"/>
          <w:szCs w:val="24"/>
          <w:lang w:eastAsia="en-GB"/>
        </w:rPr>
        <w:t>s</w:t>
      </w:r>
      <w:r w:rsidR="00D10FAA" w:rsidRPr="00D533AE">
        <w:rPr>
          <w:rFonts w:ascii="Arial" w:eastAsiaTheme="minorEastAsia" w:hAnsi="Arial" w:cs="Arial"/>
          <w:color w:val="000000" w:themeColor="text1"/>
          <w:kern w:val="24"/>
          <w:sz w:val="24"/>
          <w:szCs w:val="24"/>
          <w:lang w:eastAsia="en-GB"/>
        </w:rPr>
        <w:t xml:space="preserve"> might contribute to pain.</w:t>
      </w:r>
    </w:p>
    <w:p w14:paraId="66F7CB98" w14:textId="77777777" w:rsidR="009655EC" w:rsidRPr="00D533AE" w:rsidRDefault="009655EC" w:rsidP="00B46362">
      <w:pPr>
        <w:spacing w:after="0" w:line="240" w:lineRule="auto"/>
        <w:jc w:val="both"/>
        <w:rPr>
          <w:rFonts w:ascii="Arial" w:eastAsia="Times New Roman" w:hAnsi="Arial" w:cs="Arial"/>
          <w:b/>
          <w:sz w:val="24"/>
          <w:szCs w:val="24"/>
          <w:lang w:eastAsia="en-GB"/>
        </w:rPr>
      </w:pPr>
    </w:p>
    <w:p w14:paraId="4B4A7A48" w14:textId="77777777" w:rsidR="009655EC" w:rsidRPr="00D533AE" w:rsidRDefault="009655EC" w:rsidP="00B46362">
      <w:pPr>
        <w:spacing w:after="0" w:line="240" w:lineRule="auto"/>
        <w:jc w:val="both"/>
        <w:rPr>
          <w:rFonts w:ascii="Arial" w:eastAsia="Times New Roman" w:hAnsi="Arial" w:cs="Arial"/>
          <w:b/>
          <w:sz w:val="24"/>
          <w:szCs w:val="24"/>
          <w:lang w:eastAsia="en-GB"/>
        </w:rPr>
      </w:pPr>
    </w:p>
    <w:p w14:paraId="034203DC" w14:textId="77777777" w:rsidR="009655EC" w:rsidRPr="00D533AE" w:rsidRDefault="009655EC" w:rsidP="00B46362">
      <w:pPr>
        <w:spacing w:after="0" w:line="240" w:lineRule="auto"/>
        <w:jc w:val="both"/>
        <w:rPr>
          <w:rFonts w:ascii="Arial" w:eastAsia="Times New Roman" w:hAnsi="Arial" w:cs="Arial"/>
          <w:b/>
          <w:sz w:val="24"/>
          <w:szCs w:val="24"/>
          <w:lang w:eastAsia="en-GB"/>
        </w:rPr>
      </w:pPr>
    </w:p>
    <w:p w14:paraId="169AD163" w14:textId="77777777" w:rsidR="009655EC" w:rsidRPr="00D533AE" w:rsidRDefault="009655EC" w:rsidP="00B46362">
      <w:pPr>
        <w:spacing w:after="0" w:line="240" w:lineRule="auto"/>
        <w:jc w:val="both"/>
        <w:rPr>
          <w:rFonts w:ascii="Arial" w:eastAsia="Times New Roman" w:hAnsi="Arial" w:cs="Arial"/>
          <w:b/>
          <w:sz w:val="24"/>
          <w:szCs w:val="24"/>
          <w:lang w:eastAsia="en-GB"/>
        </w:rPr>
      </w:pPr>
    </w:p>
    <w:p w14:paraId="4C5F7ADD" w14:textId="77777777" w:rsidR="009655EC" w:rsidRPr="00D533AE" w:rsidRDefault="009655EC" w:rsidP="00B46362">
      <w:pPr>
        <w:spacing w:after="0" w:line="240" w:lineRule="auto"/>
        <w:jc w:val="both"/>
        <w:rPr>
          <w:rFonts w:ascii="Arial" w:eastAsia="Times New Roman" w:hAnsi="Arial" w:cs="Arial"/>
          <w:b/>
          <w:sz w:val="24"/>
          <w:szCs w:val="24"/>
          <w:lang w:eastAsia="en-GB"/>
        </w:rPr>
      </w:pPr>
    </w:p>
    <w:p w14:paraId="05F94E19" w14:textId="77777777" w:rsidR="009655EC" w:rsidRPr="00D533AE" w:rsidRDefault="009655EC" w:rsidP="00B46362">
      <w:pPr>
        <w:spacing w:after="0" w:line="240" w:lineRule="auto"/>
        <w:jc w:val="both"/>
        <w:rPr>
          <w:rFonts w:ascii="Arial" w:eastAsia="Times New Roman" w:hAnsi="Arial" w:cs="Arial"/>
          <w:b/>
          <w:sz w:val="24"/>
          <w:szCs w:val="24"/>
          <w:lang w:eastAsia="en-GB"/>
        </w:rPr>
      </w:pPr>
    </w:p>
    <w:p w14:paraId="4835D871" w14:textId="77777777" w:rsidR="009655EC" w:rsidRPr="00D533AE" w:rsidRDefault="0019394A" w:rsidP="00B46362">
      <w:pPr>
        <w:spacing w:after="0" w:line="240" w:lineRule="auto"/>
        <w:jc w:val="both"/>
        <w:rPr>
          <w:rFonts w:ascii="Arial" w:eastAsia="Times New Roman" w:hAnsi="Arial" w:cs="Arial"/>
          <w:b/>
          <w:sz w:val="24"/>
          <w:szCs w:val="24"/>
          <w:lang w:eastAsia="en-GB"/>
        </w:rPr>
      </w:pPr>
      <w:r w:rsidRPr="00D533AE">
        <w:rPr>
          <w:rFonts w:ascii="Arial" w:eastAsia="Times New Roman" w:hAnsi="Arial" w:cs="Arial"/>
          <w:b/>
          <w:sz w:val="24"/>
          <w:szCs w:val="24"/>
          <w:lang w:eastAsia="en-GB"/>
        </w:rPr>
        <w:t xml:space="preserve">Key words: </w:t>
      </w:r>
      <w:r w:rsidRPr="00D533AE">
        <w:rPr>
          <w:rFonts w:ascii="Arial" w:hAnsi="Arial" w:cs="Arial"/>
          <w:sz w:val="24"/>
          <w:szCs w:val="24"/>
        </w:rPr>
        <w:t>osteoarthritis, bone marrow lesions, magnetic resonance imaging, histology, grading, scoring system</w:t>
      </w:r>
    </w:p>
    <w:p w14:paraId="54BD4C34" w14:textId="77777777" w:rsidR="009655EC" w:rsidRPr="00D533AE" w:rsidRDefault="009655EC" w:rsidP="00B46362">
      <w:pPr>
        <w:spacing w:after="0" w:line="240" w:lineRule="auto"/>
        <w:jc w:val="both"/>
        <w:rPr>
          <w:rFonts w:ascii="Arial" w:eastAsia="Times New Roman" w:hAnsi="Arial" w:cs="Arial"/>
          <w:b/>
          <w:sz w:val="24"/>
          <w:szCs w:val="24"/>
          <w:lang w:eastAsia="en-GB"/>
        </w:rPr>
      </w:pPr>
    </w:p>
    <w:p w14:paraId="7D2148F8" w14:textId="77777777" w:rsidR="009655EC" w:rsidRPr="00D533AE" w:rsidRDefault="009655EC" w:rsidP="00B46362">
      <w:pPr>
        <w:spacing w:after="0" w:line="240" w:lineRule="auto"/>
        <w:jc w:val="both"/>
        <w:rPr>
          <w:rFonts w:ascii="Arial" w:eastAsia="Times New Roman" w:hAnsi="Arial" w:cs="Arial"/>
          <w:b/>
          <w:sz w:val="24"/>
          <w:szCs w:val="24"/>
          <w:lang w:eastAsia="en-GB"/>
        </w:rPr>
      </w:pPr>
    </w:p>
    <w:p w14:paraId="00F94962" w14:textId="77777777" w:rsidR="00045FBC" w:rsidRPr="00D533AE" w:rsidRDefault="00045FBC">
      <w:pPr>
        <w:rPr>
          <w:rFonts w:ascii="Arial" w:eastAsia="Times New Roman" w:hAnsi="Arial" w:cs="Arial"/>
          <w:b/>
          <w:sz w:val="24"/>
          <w:szCs w:val="24"/>
          <w:lang w:eastAsia="en-GB"/>
        </w:rPr>
      </w:pPr>
      <w:r w:rsidRPr="00D533AE">
        <w:rPr>
          <w:rFonts w:ascii="Arial" w:eastAsia="Times New Roman" w:hAnsi="Arial" w:cs="Arial"/>
          <w:b/>
          <w:sz w:val="24"/>
          <w:szCs w:val="24"/>
          <w:lang w:eastAsia="en-GB"/>
        </w:rPr>
        <w:br w:type="page"/>
      </w:r>
    </w:p>
    <w:p w14:paraId="7680EEAB" w14:textId="77777777" w:rsidR="00BB0E2B" w:rsidRPr="00D533AE" w:rsidRDefault="00BB0E2B" w:rsidP="009655EC">
      <w:pPr>
        <w:rPr>
          <w:rFonts w:ascii="Arial" w:eastAsia="Times New Roman" w:hAnsi="Arial" w:cs="Arial"/>
          <w:b/>
          <w:sz w:val="24"/>
          <w:szCs w:val="24"/>
          <w:lang w:eastAsia="en-GB"/>
        </w:rPr>
      </w:pPr>
      <w:r w:rsidRPr="00D533AE">
        <w:rPr>
          <w:rFonts w:ascii="Arial" w:eastAsia="Times New Roman" w:hAnsi="Arial" w:cs="Arial"/>
          <w:b/>
          <w:sz w:val="24"/>
          <w:szCs w:val="24"/>
          <w:lang w:eastAsia="en-GB"/>
        </w:rPr>
        <w:lastRenderedPageBreak/>
        <w:t>Introduction</w:t>
      </w:r>
    </w:p>
    <w:p w14:paraId="4B510D8F" w14:textId="77777777" w:rsidR="005325F2" w:rsidRPr="00D533AE" w:rsidRDefault="00BB0E2B" w:rsidP="00C239F8">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 xml:space="preserve">Pain is </w:t>
      </w:r>
      <w:r w:rsidR="00672207" w:rsidRPr="00D533AE">
        <w:rPr>
          <w:rFonts w:ascii="Arial" w:eastAsia="Times New Roman" w:hAnsi="Arial" w:cs="Arial"/>
          <w:sz w:val="24"/>
          <w:szCs w:val="24"/>
          <w:lang w:eastAsia="en-GB"/>
        </w:rPr>
        <w:t xml:space="preserve">one of the most </w:t>
      </w:r>
      <w:r w:rsidR="00F927FC" w:rsidRPr="00D533AE">
        <w:rPr>
          <w:rFonts w:ascii="Arial" w:eastAsia="Times New Roman" w:hAnsi="Arial" w:cs="Arial"/>
          <w:sz w:val="24"/>
          <w:szCs w:val="24"/>
          <w:lang w:eastAsia="en-GB"/>
        </w:rPr>
        <w:t>prominen</w:t>
      </w:r>
      <w:r w:rsidR="00023BE7" w:rsidRPr="00D533AE">
        <w:rPr>
          <w:rFonts w:ascii="Arial" w:eastAsia="Times New Roman" w:hAnsi="Arial" w:cs="Arial"/>
          <w:sz w:val="24"/>
          <w:szCs w:val="24"/>
          <w:lang w:eastAsia="en-GB"/>
        </w:rPr>
        <w:t>t symptom</w:t>
      </w:r>
      <w:r w:rsidR="00672207" w:rsidRPr="00D533AE">
        <w:rPr>
          <w:rFonts w:ascii="Arial" w:eastAsia="Times New Roman" w:hAnsi="Arial" w:cs="Arial"/>
          <w:sz w:val="24"/>
          <w:szCs w:val="24"/>
          <w:lang w:eastAsia="en-GB"/>
        </w:rPr>
        <w:t>s</w:t>
      </w:r>
      <w:r w:rsidR="00023BE7" w:rsidRPr="00D533AE">
        <w:rPr>
          <w:rFonts w:ascii="Arial" w:eastAsia="Times New Roman" w:hAnsi="Arial" w:cs="Arial"/>
          <w:sz w:val="24"/>
          <w:szCs w:val="24"/>
          <w:lang w:eastAsia="en-GB"/>
        </w:rPr>
        <w:t xml:space="preserve"> in osteoarthritis</w:t>
      </w:r>
      <w:r w:rsidR="00F927FC" w:rsidRPr="00D533AE">
        <w:rPr>
          <w:rFonts w:ascii="Arial" w:eastAsia="Times New Roman" w:hAnsi="Arial" w:cs="Arial"/>
          <w:sz w:val="24"/>
          <w:szCs w:val="24"/>
          <w:lang w:eastAsia="en-GB"/>
        </w:rPr>
        <w:t xml:space="preserve"> (OA)</w:t>
      </w:r>
      <w:r w:rsidR="006F259F" w:rsidRPr="00D533AE">
        <w:rPr>
          <w:rFonts w:ascii="Arial" w:eastAsia="Times New Roman" w:hAnsi="Arial" w:cs="Arial"/>
          <w:sz w:val="24"/>
          <w:szCs w:val="24"/>
          <w:lang w:eastAsia="en-GB"/>
        </w:rPr>
        <w:t xml:space="preserve">. OA affects </w:t>
      </w:r>
      <w:r w:rsidR="00593504" w:rsidRPr="00D533AE">
        <w:rPr>
          <w:rFonts w:ascii="Arial" w:eastAsia="Times New Roman" w:hAnsi="Arial" w:cs="Arial"/>
          <w:sz w:val="24"/>
          <w:szCs w:val="24"/>
          <w:lang w:eastAsia="en-GB"/>
        </w:rPr>
        <w:t xml:space="preserve">large </w:t>
      </w:r>
      <w:r w:rsidR="006F259F" w:rsidRPr="00D533AE">
        <w:rPr>
          <w:rFonts w:ascii="Arial" w:eastAsia="Times New Roman" w:hAnsi="Arial" w:cs="Arial"/>
          <w:sz w:val="24"/>
          <w:szCs w:val="24"/>
          <w:lang w:eastAsia="en-GB"/>
        </w:rPr>
        <w:t xml:space="preserve">numbers of people </w:t>
      </w:r>
      <w:r w:rsidR="000B68DA" w:rsidRPr="00D533AE">
        <w:rPr>
          <w:rFonts w:ascii="Arial" w:eastAsia="Times New Roman" w:hAnsi="Arial" w:cs="Arial"/>
          <w:sz w:val="24"/>
          <w:szCs w:val="24"/>
          <w:lang w:eastAsia="en-GB"/>
        </w:rPr>
        <w:t>internationally, w</w:t>
      </w:r>
      <w:r w:rsidR="006F259F" w:rsidRPr="00D533AE">
        <w:rPr>
          <w:rFonts w:ascii="Arial" w:eastAsia="Times New Roman" w:hAnsi="Arial" w:cs="Arial"/>
          <w:sz w:val="24"/>
          <w:szCs w:val="24"/>
          <w:lang w:eastAsia="en-GB"/>
        </w:rPr>
        <w:t xml:space="preserve">ith a reported prevalence of </w:t>
      </w:r>
      <w:r w:rsidR="00DD1887" w:rsidRPr="00D533AE">
        <w:rPr>
          <w:rFonts w:ascii="Arial" w:hAnsi="Arial" w:cs="Arial"/>
          <w:sz w:val="24"/>
          <w:szCs w:val="24"/>
        </w:rPr>
        <w:t xml:space="preserve">over 30.8 million US adults </w:t>
      </w:r>
      <w:r w:rsidR="006F259F" w:rsidRPr="00D533AE">
        <w:rPr>
          <w:rFonts w:ascii="Arial" w:hAnsi="Arial" w:cs="Arial"/>
          <w:sz w:val="24"/>
          <w:szCs w:val="24"/>
        </w:rPr>
        <w:t xml:space="preserve">alone suffering from </w:t>
      </w:r>
      <w:r w:rsidR="00DD1887" w:rsidRPr="00D533AE">
        <w:rPr>
          <w:rFonts w:ascii="Arial" w:hAnsi="Arial" w:cs="Arial"/>
          <w:sz w:val="24"/>
          <w:szCs w:val="24"/>
        </w:rPr>
        <w:t>OA</w:t>
      </w:r>
      <w:r w:rsidR="00DD1887" w:rsidRPr="00D533AE">
        <w:rPr>
          <w:rFonts w:ascii="Arial" w:hAnsi="Arial" w:cs="Arial"/>
          <w:sz w:val="24"/>
          <w:szCs w:val="24"/>
          <w:shd w:val="clear" w:color="auto" w:fill="FFFFFF"/>
        </w:rPr>
        <w:t xml:space="preserve"> (1). </w:t>
      </w:r>
      <w:r w:rsidR="000042E3" w:rsidRPr="00D533AE">
        <w:rPr>
          <w:rFonts w:ascii="Arial" w:hAnsi="Arial" w:cs="Arial"/>
          <w:sz w:val="24"/>
          <w:szCs w:val="24"/>
          <w:shd w:val="clear" w:color="auto" w:fill="FFFFFF"/>
        </w:rPr>
        <w:t xml:space="preserve">It is now </w:t>
      </w:r>
      <w:r w:rsidR="005325F2" w:rsidRPr="00D533AE">
        <w:rPr>
          <w:rFonts w:ascii="Arial" w:eastAsia="Times New Roman" w:hAnsi="Arial" w:cs="Arial"/>
          <w:sz w:val="24"/>
          <w:szCs w:val="24"/>
          <w:lang w:eastAsia="en-GB"/>
        </w:rPr>
        <w:t>widely recognised that OA is a heterogeneous disease that affects several distinct components of the joint, including cartilage</w:t>
      </w:r>
      <w:r w:rsidR="0097529C" w:rsidRPr="00D533AE">
        <w:rPr>
          <w:rFonts w:ascii="Arial" w:eastAsia="Times New Roman" w:hAnsi="Arial" w:cs="Arial"/>
          <w:sz w:val="24"/>
          <w:szCs w:val="24"/>
          <w:lang w:eastAsia="en-GB"/>
        </w:rPr>
        <w:t xml:space="preserve"> (2)</w:t>
      </w:r>
      <w:r w:rsidR="005325F2" w:rsidRPr="00D533AE">
        <w:rPr>
          <w:rFonts w:ascii="Arial" w:eastAsia="Times New Roman" w:hAnsi="Arial" w:cs="Arial"/>
          <w:sz w:val="24"/>
          <w:szCs w:val="24"/>
          <w:lang w:eastAsia="en-GB"/>
        </w:rPr>
        <w:t>, synovi</w:t>
      </w:r>
      <w:r w:rsidR="0097529C" w:rsidRPr="00D533AE">
        <w:rPr>
          <w:rFonts w:ascii="Arial" w:eastAsia="Times New Roman" w:hAnsi="Arial" w:cs="Arial"/>
          <w:sz w:val="24"/>
          <w:szCs w:val="24"/>
          <w:lang w:eastAsia="en-GB"/>
        </w:rPr>
        <w:t xml:space="preserve">um (3) and </w:t>
      </w:r>
      <w:r w:rsidR="005325F2" w:rsidRPr="00D533AE">
        <w:rPr>
          <w:rFonts w:ascii="Arial" w:eastAsia="Times New Roman" w:hAnsi="Arial" w:cs="Arial"/>
          <w:sz w:val="24"/>
          <w:szCs w:val="24"/>
          <w:lang w:eastAsia="en-GB"/>
        </w:rPr>
        <w:t>bone</w:t>
      </w:r>
      <w:r w:rsidR="0097529C" w:rsidRPr="00D533AE">
        <w:rPr>
          <w:rFonts w:ascii="Arial" w:eastAsia="Times New Roman" w:hAnsi="Arial" w:cs="Arial"/>
          <w:sz w:val="24"/>
          <w:szCs w:val="24"/>
          <w:lang w:eastAsia="en-GB"/>
        </w:rPr>
        <w:t xml:space="preserve"> (4)</w:t>
      </w:r>
      <w:r w:rsidR="005325F2" w:rsidRPr="00D533AE">
        <w:rPr>
          <w:rFonts w:ascii="Arial" w:eastAsia="Times New Roman" w:hAnsi="Arial" w:cs="Arial"/>
          <w:sz w:val="24"/>
          <w:szCs w:val="24"/>
          <w:lang w:eastAsia="en-GB"/>
        </w:rPr>
        <w:t>. OA present</w:t>
      </w:r>
      <w:r w:rsidR="0097529C" w:rsidRPr="00D533AE">
        <w:rPr>
          <w:rFonts w:ascii="Arial" w:eastAsia="Times New Roman" w:hAnsi="Arial" w:cs="Arial"/>
          <w:sz w:val="24"/>
          <w:szCs w:val="24"/>
          <w:lang w:eastAsia="en-GB"/>
        </w:rPr>
        <w:t>s</w:t>
      </w:r>
      <w:r w:rsidR="005325F2" w:rsidRPr="00D533AE">
        <w:rPr>
          <w:rFonts w:ascii="Arial" w:eastAsia="Times New Roman" w:hAnsi="Arial" w:cs="Arial"/>
          <w:sz w:val="24"/>
          <w:szCs w:val="24"/>
          <w:lang w:eastAsia="en-GB"/>
        </w:rPr>
        <w:t xml:space="preserve"> clinically </w:t>
      </w:r>
      <w:r w:rsidR="00593504" w:rsidRPr="00D533AE">
        <w:rPr>
          <w:rFonts w:ascii="Arial" w:eastAsia="Times New Roman" w:hAnsi="Arial" w:cs="Arial"/>
          <w:sz w:val="24"/>
          <w:szCs w:val="24"/>
          <w:lang w:eastAsia="en-GB"/>
        </w:rPr>
        <w:t xml:space="preserve">across </w:t>
      </w:r>
      <w:r w:rsidR="005325F2" w:rsidRPr="00D533AE">
        <w:rPr>
          <w:rFonts w:ascii="Arial" w:eastAsia="Times New Roman" w:hAnsi="Arial" w:cs="Arial"/>
          <w:sz w:val="24"/>
          <w:szCs w:val="24"/>
          <w:lang w:eastAsia="en-GB"/>
        </w:rPr>
        <w:t xml:space="preserve">many </w:t>
      </w:r>
      <w:r w:rsidR="000042E3" w:rsidRPr="00D533AE">
        <w:rPr>
          <w:rFonts w:ascii="Arial" w:eastAsia="Times New Roman" w:hAnsi="Arial" w:cs="Arial"/>
          <w:sz w:val="24"/>
          <w:szCs w:val="24"/>
          <w:lang w:eastAsia="en-GB"/>
        </w:rPr>
        <w:t>endotypes</w:t>
      </w:r>
      <w:r w:rsidR="005325F2" w:rsidRPr="00D533AE">
        <w:rPr>
          <w:rFonts w:ascii="Arial" w:eastAsia="Times New Roman" w:hAnsi="Arial" w:cs="Arial"/>
          <w:sz w:val="24"/>
          <w:szCs w:val="24"/>
          <w:lang w:eastAsia="en-GB"/>
        </w:rPr>
        <w:t xml:space="preserve"> </w:t>
      </w:r>
      <w:r w:rsidR="00E742CC" w:rsidRPr="00D533AE">
        <w:rPr>
          <w:rFonts w:ascii="Arial" w:eastAsia="Times New Roman" w:hAnsi="Arial" w:cs="Arial"/>
          <w:sz w:val="24"/>
          <w:szCs w:val="24"/>
          <w:lang w:eastAsia="en-GB"/>
        </w:rPr>
        <w:t xml:space="preserve">e.g. post-traumatic, large joint, small joint or related to obesity and metabolic factors, </w:t>
      </w:r>
      <w:r w:rsidR="00593504" w:rsidRPr="00D533AE">
        <w:rPr>
          <w:rFonts w:ascii="Arial" w:eastAsia="Times New Roman" w:hAnsi="Arial" w:cs="Arial"/>
          <w:sz w:val="24"/>
          <w:szCs w:val="24"/>
          <w:lang w:eastAsia="en-GB"/>
        </w:rPr>
        <w:t>each of which might involve different joint tissues to different extents. M</w:t>
      </w:r>
      <w:r w:rsidR="005325F2" w:rsidRPr="00D533AE">
        <w:rPr>
          <w:rFonts w:ascii="Arial" w:eastAsia="Times New Roman" w:hAnsi="Arial" w:cs="Arial"/>
          <w:sz w:val="24"/>
          <w:szCs w:val="24"/>
          <w:lang w:eastAsia="en-GB"/>
        </w:rPr>
        <w:t>ethods t</w:t>
      </w:r>
      <w:r w:rsidR="00593504" w:rsidRPr="00D533AE">
        <w:rPr>
          <w:rFonts w:ascii="Arial" w:eastAsia="Times New Roman" w:hAnsi="Arial" w:cs="Arial"/>
          <w:sz w:val="24"/>
          <w:szCs w:val="24"/>
          <w:lang w:eastAsia="en-GB"/>
        </w:rPr>
        <w:t>hat</w:t>
      </w:r>
      <w:r w:rsidR="005325F2" w:rsidRPr="00D533AE">
        <w:rPr>
          <w:rFonts w:ascii="Arial" w:eastAsia="Times New Roman" w:hAnsi="Arial" w:cs="Arial"/>
          <w:sz w:val="24"/>
          <w:szCs w:val="24"/>
          <w:lang w:eastAsia="en-GB"/>
        </w:rPr>
        <w:t xml:space="preserve"> quantify changes observed in distinct joint compartments</w:t>
      </w:r>
      <w:r w:rsidR="0097529C" w:rsidRPr="00D533AE">
        <w:rPr>
          <w:rFonts w:ascii="Arial" w:eastAsia="Times New Roman" w:hAnsi="Arial" w:cs="Arial"/>
          <w:sz w:val="24"/>
          <w:szCs w:val="24"/>
          <w:lang w:eastAsia="en-GB"/>
        </w:rPr>
        <w:t xml:space="preserve"> </w:t>
      </w:r>
      <w:r w:rsidR="00593504" w:rsidRPr="00D533AE">
        <w:rPr>
          <w:rFonts w:ascii="Arial" w:eastAsia="Times New Roman" w:hAnsi="Arial" w:cs="Arial"/>
          <w:sz w:val="24"/>
          <w:szCs w:val="24"/>
          <w:lang w:eastAsia="en-GB"/>
        </w:rPr>
        <w:t>would help</w:t>
      </w:r>
      <w:r w:rsidR="0097529C" w:rsidRPr="00D533AE">
        <w:rPr>
          <w:rFonts w:ascii="Arial" w:eastAsia="Times New Roman" w:hAnsi="Arial" w:cs="Arial"/>
          <w:sz w:val="24"/>
          <w:szCs w:val="24"/>
          <w:lang w:eastAsia="en-GB"/>
        </w:rPr>
        <w:t xml:space="preserve"> stratify OA by pathophysiology</w:t>
      </w:r>
      <w:r w:rsidR="0081036D" w:rsidRPr="00D533AE">
        <w:rPr>
          <w:rFonts w:ascii="Arial" w:eastAsia="Times New Roman" w:hAnsi="Arial" w:cs="Arial"/>
          <w:sz w:val="24"/>
          <w:szCs w:val="24"/>
          <w:lang w:eastAsia="en-GB"/>
        </w:rPr>
        <w:t>, and a</w:t>
      </w:r>
      <w:r w:rsidR="00B877C3" w:rsidRPr="00D533AE">
        <w:rPr>
          <w:rFonts w:ascii="Arial" w:eastAsia="Times New Roman" w:hAnsi="Arial" w:cs="Arial"/>
          <w:sz w:val="24"/>
          <w:szCs w:val="24"/>
          <w:lang w:eastAsia="en-GB"/>
        </w:rPr>
        <w:t xml:space="preserve">n improved </w:t>
      </w:r>
      <w:r w:rsidR="00E742CC" w:rsidRPr="00D533AE">
        <w:rPr>
          <w:rFonts w:ascii="Arial" w:eastAsia="Times New Roman" w:hAnsi="Arial" w:cs="Arial"/>
          <w:sz w:val="24"/>
          <w:szCs w:val="24"/>
          <w:lang w:eastAsia="en-GB"/>
        </w:rPr>
        <w:t xml:space="preserve">understanding of OA pathophysiology </w:t>
      </w:r>
      <w:r w:rsidR="00F319ED" w:rsidRPr="00D533AE">
        <w:rPr>
          <w:rFonts w:ascii="Arial" w:eastAsia="Times New Roman" w:hAnsi="Arial" w:cs="Arial"/>
          <w:sz w:val="24"/>
          <w:szCs w:val="24"/>
          <w:lang w:eastAsia="en-GB"/>
        </w:rPr>
        <w:t>will help</w:t>
      </w:r>
      <w:r w:rsidR="006F259F" w:rsidRPr="00D533AE">
        <w:rPr>
          <w:rFonts w:ascii="Arial" w:eastAsia="Times New Roman" w:hAnsi="Arial" w:cs="Arial"/>
          <w:sz w:val="24"/>
          <w:szCs w:val="24"/>
          <w:lang w:eastAsia="en-GB"/>
        </w:rPr>
        <w:t xml:space="preserve"> lead to a </w:t>
      </w:r>
      <w:r w:rsidR="00E742CC" w:rsidRPr="00D533AE">
        <w:rPr>
          <w:rFonts w:ascii="Arial" w:eastAsia="Times New Roman" w:hAnsi="Arial" w:cs="Arial"/>
          <w:sz w:val="24"/>
          <w:szCs w:val="24"/>
          <w:lang w:eastAsia="en-GB"/>
        </w:rPr>
        <w:t xml:space="preserve">deeper understanding of </w:t>
      </w:r>
      <w:r w:rsidR="005325F2" w:rsidRPr="00D533AE">
        <w:rPr>
          <w:rFonts w:ascii="Arial" w:eastAsia="Times New Roman" w:hAnsi="Arial" w:cs="Arial"/>
          <w:sz w:val="24"/>
          <w:szCs w:val="24"/>
          <w:lang w:eastAsia="en-GB"/>
        </w:rPr>
        <w:t xml:space="preserve">which mediators are involved in driving tissue damage and pain in the </w:t>
      </w:r>
      <w:r w:rsidR="0097529C" w:rsidRPr="00D533AE">
        <w:rPr>
          <w:rFonts w:ascii="Arial" w:eastAsia="Times New Roman" w:hAnsi="Arial" w:cs="Arial"/>
          <w:sz w:val="24"/>
          <w:szCs w:val="24"/>
          <w:lang w:eastAsia="en-GB"/>
        </w:rPr>
        <w:t xml:space="preserve">distinct </w:t>
      </w:r>
      <w:r w:rsidR="005325F2" w:rsidRPr="00D533AE">
        <w:rPr>
          <w:rFonts w:ascii="Arial" w:eastAsia="Times New Roman" w:hAnsi="Arial" w:cs="Arial"/>
          <w:sz w:val="24"/>
          <w:szCs w:val="24"/>
          <w:lang w:eastAsia="en-GB"/>
        </w:rPr>
        <w:t xml:space="preserve">joint compartments </w:t>
      </w:r>
      <w:r w:rsidR="00E742CC" w:rsidRPr="00D533AE">
        <w:rPr>
          <w:rFonts w:ascii="Arial" w:eastAsia="Times New Roman" w:hAnsi="Arial" w:cs="Arial"/>
          <w:sz w:val="24"/>
          <w:szCs w:val="24"/>
          <w:lang w:eastAsia="en-GB"/>
        </w:rPr>
        <w:t>during OA</w:t>
      </w:r>
      <w:r w:rsidR="005325F2" w:rsidRPr="00D533AE">
        <w:rPr>
          <w:rFonts w:ascii="Arial" w:eastAsia="Times New Roman" w:hAnsi="Arial" w:cs="Arial"/>
          <w:sz w:val="24"/>
          <w:szCs w:val="24"/>
          <w:lang w:eastAsia="en-GB"/>
        </w:rPr>
        <w:t>.</w:t>
      </w:r>
    </w:p>
    <w:p w14:paraId="7F81FA7E" w14:textId="77777777" w:rsidR="00A673DA" w:rsidRPr="00D533AE" w:rsidRDefault="005325F2" w:rsidP="00A56C08">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 xml:space="preserve">Previous </w:t>
      </w:r>
      <w:r w:rsidR="006F259F" w:rsidRPr="00D533AE">
        <w:rPr>
          <w:rFonts w:ascii="Arial" w:eastAsia="Times New Roman" w:hAnsi="Arial" w:cs="Arial"/>
          <w:sz w:val="24"/>
          <w:szCs w:val="24"/>
          <w:lang w:eastAsia="en-GB"/>
        </w:rPr>
        <w:t xml:space="preserve">histological </w:t>
      </w:r>
      <w:r w:rsidRPr="00D533AE">
        <w:rPr>
          <w:rFonts w:ascii="Arial" w:eastAsia="Times New Roman" w:hAnsi="Arial" w:cs="Arial"/>
          <w:sz w:val="24"/>
          <w:szCs w:val="24"/>
          <w:lang w:eastAsia="en-GB"/>
        </w:rPr>
        <w:t xml:space="preserve">scoring systems have been developed </w:t>
      </w:r>
      <w:r w:rsidR="003B2734" w:rsidRPr="00D533AE">
        <w:rPr>
          <w:rFonts w:ascii="Arial" w:eastAsia="Times New Roman" w:hAnsi="Arial" w:cs="Arial"/>
          <w:sz w:val="24"/>
          <w:szCs w:val="24"/>
          <w:lang w:eastAsia="en-GB"/>
        </w:rPr>
        <w:t xml:space="preserve">primarily </w:t>
      </w:r>
      <w:r w:rsidRPr="00D533AE">
        <w:rPr>
          <w:rFonts w:ascii="Arial" w:eastAsia="Times New Roman" w:hAnsi="Arial" w:cs="Arial"/>
          <w:sz w:val="24"/>
          <w:szCs w:val="24"/>
          <w:lang w:eastAsia="en-GB"/>
        </w:rPr>
        <w:t xml:space="preserve">to quantify changes </w:t>
      </w:r>
      <w:r w:rsidR="00593504" w:rsidRPr="00D533AE">
        <w:rPr>
          <w:rFonts w:ascii="Arial" w:eastAsia="Times New Roman" w:hAnsi="Arial" w:cs="Arial"/>
          <w:sz w:val="24"/>
          <w:szCs w:val="24"/>
          <w:lang w:eastAsia="en-GB"/>
        </w:rPr>
        <w:t>in</w:t>
      </w:r>
      <w:r w:rsidRPr="00D533AE">
        <w:rPr>
          <w:rFonts w:ascii="Arial" w:eastAsia="Times New Roman" w:hAnsi="Arial" w:cs="Arial"/>
          <w:sz w:val="24"/>
          <w:szCs w:val="24"/>
          <w:lang w:eastAsia="en-GB"/>
        </w:rPr>
        <w:t xml:space="preserve"> </w:t>
      </w:r>
      <w:r w:rsidR="003B2734" w:rsidRPr="00D533AE">
        <w:rPr>
          <w:rFonts w:ascii="Arial" w:eastAsia="Times New Roman" w:hAnsi="Arial" w:cs="Arial"/>
          <w:sz w:val="24"/>
          <w:szCs w:val="24"/>
          <w:lang w:eastAsia="en-GB"/>
        </w:rPr>
        <w:t xml:space="preserve">articular </w:t>
      </w:r>
      <w:r w:rsidRPr="00D533AE">
        <w:rPr>
          <w:rFonts w:ascii="Arial" w:eastAsia="Times New Roman" w:hAnsi="Arial" w:cs="Arial"/>
          <w:sz w:val="24"/>
          <w:szCs w:val="24"/>
          <w:lang w:eastAsia="en-GB"/>
        </w:rPr>
        <w:t>cartilage</w:t>
      </w:r>
      <w:r w:rsidR="003B2734" w:rsidRPr="00D533AE">
        <w:rPr>
          <w:rFonts w:ascii="Arial" w:eastAsia="Times New Roman" w:hAnsi="Arial" w:cs="Arial"/>
          <w:sz w:val="24"/>
          <w:szCs w:val="24"/>
          <w:lang w:eastAsia="en-GB"/>
        </w:rPr>
        <w:t xml:space="preserve"> in OA</w:t>
      </w:r>
      <w:r w:rsidRPr="00D533AE">
        <w:rPr>
          <w:rFonts w:ascii="Arial" w:eastAsia="Times New Roman" w:hAnsi="Arial" w:cs="Arial"/>
          <w:sz w:val="24"/>
          <w:szCs w:val="24"/>
          <w:lang w:eastAsia="en-GB"/>
        </w:rPr>
        <w:t>, such as the OARSI</w:t>
      </w:r>
      <w:r w:rsidR="0097529C" w:rsidRPr="00D533AE">
        <w:rPr>
          <w:rFonts w:ascii="Arial" w:eastAsia="Times New Roman" w:hAnsi="Arial" w:cs="Arial"/>
          <w:sz w:val="24"/>
          <w:szCs w:val="24"/>
          <w:lang w:eastAsia="en-GB"/>
        </w:rPr>
        <w:t xml:space="preserve"> grade (5)</w:t>
      </w:r>
      <w:r w:rsidRPr="00D533AE">
        <w:rPr>
          <w:rFonts w:ascii="Arial" w:eastAsia="Times New Roman" w:hAnsi="Arial" w:cs="Arial"/>
          <w:sz w:val="24"/>
          <w:szCs w:val="24"/>
          <w:lang w:eastAsia="en-GB"/>
        </w:rPr>
        <w:t xml:space="preserve"> and </w:t>
      </w:r>
      <w:r w:rsidR="003B2734" w:rsidRPr="00D533AE">
        <w:rPr>
          <w:rFonts w:ascii="Arial" w:eastAsia="Times New Roman" w:hAnsi="Arial" w:cs="Arial"/>
          <w:sz w:val="24"/>
          <w:szCs w:val="24"/>
          <w:lang w:eastAsia="en-GB"/>
        </w:rPr>
        <w:t xml:space="preserve">chondropathy </w:t>
      </w:r>
      <w:r w:rsidRPr="00D533AE">
        <w:rPr>
          <w:rFonts w:ascii="Arial" w:eastAsia="Times New Roman" w:hAnsi="Arial" w:cs="Arial"/>
          <w:sz w:val="24"/>
          <w:szCs w:val="24"/>
          <w:lang w:eastAsia="en-GB"/>
        </w:rPr>
        <w:t>score</w:t>
      </w:r>
      <w:r w:rsidR="0097529C" w:rsidRPr="00D533AE">
        <w:rPr>
          <w:rFonts w:ascii="Arial" w:eastAsia="Times New Roman" w:hAnsi="Arial" w:cs="Arial"/>
          <w:sz w:val="24"/>
          <w:szCs w:val="24"/>
          <w:lang w:eastAsia="en-GB"/>
        </w:rPr>
        <w:t xml:space="preserve"> </w:t>
      </w:r>
      <w:r w:rsidR="00401D0C" w:rsidRPr="00D533AE">
        <w:rPr>
          <w:rFonts w:ascii="Arial" w:eastAsia="Times New Roman" w:hAnsi="Arial" w:cs="Arial"/>
          <w:sz w:val="24"/>
          <w:szCs w:val="24"/>
          <w:lang w:eastAsia="en-GB"/>
        </w:rPr>
        <w:t xml:space="preserve">reported by Mankin </w:t>
      </w:r>
      <w:r w:rsidRPr="00D533AE">
        <w:rPr>
          <w:rFonts w:ascii="Arial" w:eastAsia="Times New Roman" w:hAnsi="Arial" w:cs="Arial"/>
          <w:sz w:val="24"/>
          <w:szCs w:val="24"/>
          <w:lang w:eastAsia="en-GB"/>
        </w:rPr>
        <w:t>(</w:t>
      </w:r>
      <w:r w:rsidR="0097529C" w:rsidRPr="00D533AE">
        <w:rPr>
          <w:rFonts w:ascii="Arial" w:eastAsia="Times New Roman" w:hAnsi="Arial" w:cs="Arial"/>
          <w:sz w:val="24"/>
          <w:szCs w:val="24"/>
          <w:lang w:eastAsia="en-GB"/>
        </w:rPr>
        <w:t>6</w:t>
      </w:r>
      <w:r w:rsidRPr="00D533AE">
        <w:rPr>
          <w:rFonts w:ascii="Arial" w:eastAsia="Times New Roman" w:hAnsi="Arial" w:cs="Arial"/>
          <w:sz w:val="24"/>
          <w:szCs w:val="24"/>
          <w:lang w:eastAsia="en-GB"/>
        </w:rPr>
        <w:t xml:space="preserve">). </w:t>
      </w:r>
      <w:r w:rsidR="00A06D39" w:rsidRPr="00D533AE">
        <w:rPr>
          <w:rFonts w:ascii="Arial" w:eastAsia="Times New Roman" w:hAnsi="Arial" w:cs="Arial"/>
          <w:sz w:val="24"/>
          <w:szCs w:val="24"/>
          <w:lang w:eastAsia="en-GB"/>
        </w:rPr>
        <w:t xml:space="preserve">Other histological scoring methods for OA have focused on synovium, or, in subchondral bone on trabecular changes (10). </w:t>
      </w:r>
      <w:r w:rsidRPr="00D533AE">
        <w:rPr>
          <w:rFonts w:ascii="Arial" w:eastAsia="Times New Roman" w:hAnsi="Arial" w:cs="Arial"/>
          <w:sz w:val="24"/>
          <w:szCs w:val="24"/>
          <w:lang w:eastAsia="en-GB"/>
        </w:rPr>
        <w:t xml:space="preserve">More recently, attempts have been made to establish the frequency of specific histological changes in </w:t>
      </w:r>
      <w:r w:rsidR="001E7D79" w:rsidRPr="00D533AE">
        <w:rPr>
          <w:rFonts w:ascii="Arial" w:eastAsia="Times New Roman" w:hAnsi="Arial" w:cs="Arial"/>
          <w:sz w:val="24"/>
          <w:szCs w:val="24"/>
          <w:lang w:eastAsia="en-GB"/>
        </w:rPr>
        <w:t>cartilage, synovium and bone</w:t>
      </w:r>
      <w:r w:rsidR="00B31BDA" w:rsidRPr="00D533AE">
        <w:rPr>
          <w:rFonts w:ascii="Arial" w:eastAsia="Times New Roman" w:hAnsi="Arial" w:cs="Arial"/>
          <w:sz w:val="24"/>
          <w:szCs w:val="24"/>
          <w:lang w:eastAsia="en-GB"/>
        </w:rPr>
        <w:t xml:space="preserve">. </w:t>
      </w:r>
      <w:r w:rsidR="00D55781" w:rsidRPr="00D533AE">
        <w:rPr>
          <w:rFonts w:ascii="Arial" w:eastAsia="Times New Roman" w:hAnsi="Arial" w:cs="Arial"/>
          <w:sz w:val="24"/>
          <w:szCs w:val="24"/>
          <w:lang w:eastAsia="en-GB"/>
        </w:rPr>
        <w:t xml:space="preserve">Wyatt </w:t>
      </w:r>
      <w:r w:rsidR="00D55781" w:rsidRPr="00D533AE">
        <w:rPr>
          <w:rFonts w:ascii="Arial" w:eastAsia="Times New Roman" w:hAnsi="Arial" w:cs="Arial"/>
          <w:i/>
          <w:iCs/>
          <w:sz w:val="24"/>
          <w:szCs w:val="24"/>
          <w:lang w:eastAsia="en-GB"/>
        </w:rPr>
        <w:t>et al.</w:t>
      </w:r>
      <w:r w:rsidR="00D55781" w:rsidRPr="00D533AE">
        <w:rPr>
          <w:rFonts w:ascii="Arial" w:eastAsia="Times New Roman" w:hAnsi="Arial" w:cs="Arial"/>
          <w:sz w:val="24"/>
          <w:szCs w:val="24"/>
          <w:lang w:eastAsia="en-GB"/>
        </w:rPr>
        <w:t xml:space="preserve"> (7)</w:t>
      </w:r>
      <w:r w:rsidR="00B31BDA" w:rsidRPr="00D533AE">
        <w:rPr>
          <w:rFonts w:ascii="Arial" w:eastAsia="Times New Roman" w:hAnsi="Arial" w:cs="Arial"/>
          <w:sz w:val="24"/>
          <w:szCs w:val="24"/>
          <w:lang w:eastAsia="en-GB"/>
        </w:rPr>
        <w:t>, using</w:t>
      </w:r>
      <w:r w:rsidR="00D55781" w:rsidRPr="00D533AE">
        <w:rPr>
          <w:rFonts w:ascii="Arial" w:eastAsia="Times New Roman" w:hAnsi="Arial" w:cs="Arial"/>
          <w:sz w:val="24"/>
          <w:szCs w:val="24"/>
          <w:lang w:eastAsia="en-GB"/>
        </w:rPr>
        <w:t xml:space="preserve"> a repository of </w:t>
      </w:r>
      <w:r w:rsidR="00B31BDA" w:rsidRPr="00D533AE">
        <w:rPr>
          <w:rFonts w:ascii="Arial" w:eastAsia="Times New Roman" w:hAnsi="Arial" w:cs="Arial"/>
          <w:sz w:val="24"/>
          <w:szCs w:val="24"/>
          <w:lang w:eastAsia="en-GB"/>
        </w:rPr>
        <w:t xml:space="preserve">TKR and </w:t>
      </w:r>
      <w:r w:rsidR="00D55781" w:rsidRPr="00D533AE">
        <w:rPr>
          <w:rFonts w:ascii="Arial" w:eastAsia="Times New Roman" w:hAnsi="Arial" w:cs="Arial"/>
          <w:sz w:val="24"/>
          <w:szCs w:val="24"/>
          <w:lang w:eastAsia="en-GB"/>
        </w:rPr>
        <w:t>post-mortem (PM) tissue</w:t>
      </w:r>
      <w:r w:rsidR="00B31BDA" w:rsidRPr="00D533AE">
        <w:rPr>
          <w:rFonts w:ascii="Arial" w:eastAsia="Times New Roman" w:hAnsi="Arial" w:cs="Arial"/>
          <w:sz w:val="24"/>
          <w:szCs w:val="24"/>
          <w:lang w:eastAsia="en-GB"/>
        </w:rPr>
        <w:t>s, identified discrete OA subgroups characterised by subchondral bone changes or synovitis.</w:t>
      </w:r>
      <w:r w:rsidRPr="00D533AE">
        <w:rPr>
          <w:rFonts w:ascii="Arial" w:eastAsia="Times New Roman" w:hAnsi="Arial" w:cs="Arial"/>
          <w:sz w:val="24"/>
          <w:szCs w:val="24"/>
          <w:lang w:eastAsia="en-GB"/>
        </w:rPr>
        <w:t xml:space="preserve"> </w:t>
      </w:r>
    </w:p>
    <w:p w14:paraId="3873A1EB" w14:textId="77777777" w:rsidR="005B215D" w:rsidRPr="00D533AE" w:rsidRDefault="00A673DA" w:rsidP="00A56C08">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B</w:t>
      </w:r>
      <w:r w:rsidR="00392436" w:rsidRPr="00D533AE">
        <w:rPr>
          <w:rFonts w:ascii="Arial" w:eastAsia="Times New Roman" w:hAnsi="Arial" w:cs="Arial"/>
          <w:sz w:val="24"/>
          <w:szCs w:val="24"/>
          <w:lang w:eastAsia="en-GB"/>
        </w:rPr>
        <w:t>one marrow lesions (BMLs) are a known feature of</w:t>
      </w:r>
      <w:r w:rsidRPr="00D533AE">
        <w:rPr>
          <w:rFonts w:ascii="Arial" w:eastAsia="Times New Roman" w:hAnsi="Arial" w:cs="Arial"/>
          <w:sz w:val="24"/>
          <w:szCs w:val="24"/>
          <w:lang w:eastAsia="en-GB"/>
        </w:rPr>
        <w:t xml:space="preserve"> OA bone </w:t>
      </w:r>
      <w:r w:rsidR="00392436" w:rsidRPr="00D533AE">
        <w:rPr>
          <w:rFonts w:ascii="Arial" w:eastAsia="Times New Roman" w:hAnsi="Arial" w:cs="Arial"/>
          <w:sz w:val="24"/>
          <w:szCs w:val="24"/>
          <w:lang w:eastAsia="en-GB"/>
        </w:rPr>
        <w:t xml:space="preserve">and </w:t>
      </w:r>
      <w:r w:rsidR="005B215D" w:rsidRPr="00D533AE">
        <w:rPr>
          <w:rFonts w:ascii="Arial" w:eastAsia="Times New Roman" w:hAnsi="Arial" w:cs="Arial"/>
          <w:sz w:val="24"/>
          <w:szCs w:val="24"/>
          <w:lang w:eastAsia="en-GB"/>
        </w:rPr>
        <w:t>their extent</w:t>
      </w:r>
      <w:r w:rsidR="00593504" w:rsidRPr="00D533AE">
        <w:rPr>
          <w:rFonts w:ascii="Arial" w:eastAsia="Times New Roman" w:hAnsi="Arial" w:cs="Arial"/>
          <w:sz w:val="24"/>
          <w:szCs w:val="24"/>
          <w:lang w:eastAsia="en-GB"/>
        </w:rPr>
        <w:t xml:space="preserve">, as </w:t>
      </w:r>
      <w:r w:rsidR="005B215D" w:rsidRPr="00D533AE">
        <w:rPr>
          <w:rFonts w:ascii="Arial" w:eastAsia="Times New Roman" w:hAnsi="Arial" w:cs="Arial"/>
          <w:sz w:val="24"/>
          <w:szCs w:val="24"/>
          <w:lang w:eastAsia="en-GB"/>
        </w:rPr>
        <w:t xml:space="preserve">scored using </w:t>
      </w:r>
      <w:r w:rsidR="00392436" w:rsidRPr="00D533AE">
        <w:rPr>
          <w:rFonts w:ascii="Arial" w:eastAsia="Times New Roman" w:hAnsi="Arial" w:cs="Arial"/>
          <w:sz w:val="24"/>
          <w:szCs w:val="24"/>
          <w:lang w:eastAsia="en-GB"/>
        </w:rPr>
        <w:t>Magnetic Resonance Imaging (MRI)</w:t>
      </w:r>
      <w:r w:rsidR="00593504" w:rsidRPr="00D533AE">
        <w:rPr>
          <w:rFonts w:ascii="Arial" w:eastAsia="Times New Roman" w:hAnsi="Arial" w:cs="Arial"/>
          <w:sz w:val="24"/>
          <w:szCs w:val="24"/>
          <w:lang w:eastAsia="en-GB"/>
        </w:rPr>
        <w:t>, is associated with OA pain</w:t>
      </w:r>
      <w:r w:rsidR="00392436" w:rsidRPr="00D533AE">
        <w:rPr>
          <w:rFonts w:ascii="Arial" w:eastAsia="Times New Roman" w:hAnsi="Arial" w:cs="Arial"/>
          <w:sz w:val="24"/>
          <w:szCs w:val="24"/>
          <w:lang w:eastAsia="en-GB"/>
        </w:rPr>
        <w:t xml:space="preserve"> </w:t>
      </w:r>
      <w:r w:rsidR="001E7D79" w:rsidRPr="00D533AE">
        <w:rPr>
          <w:rFonts w:ascii="Arial" w:eastAsia="Times New Roman" w:hAnsi="Arial" w:cs="Arial"/>
          <w:sz w:val="24"/>
          <w:szCs w:val="24"/>
          <w:lang w:eastAsia="en-GB"/>
        </w:rPr>
        <w:t>(8, 9)</w:t>
      </w:r>
      <w:r w:rsidR="00392436" w:rsidRPr="00D533AE">
        <w:rPr>
          <w:rFonts w:ascii="Arial" w:eastAsia="Times New Roman" w:hAnsi="Arial" w:cs="Arial"/>
          <w:sz w:val="24"/>
          <w:szCs w:val="24"/>
          <w:lang w:eastAsia="en-GB"/>
        </w:rPr>
        <w:t xml:space="preserve">. However, histological changes in </w:t>
      </w:r>
      <w:r w:rsidR="00441F62" w:rsidRPr="00D533AE">
        <w:rPr>
          <w:rFonts w:ascii="Arial" w:eastAsia="Times New Roman" w:hAnsi="Arial" w:cs="Arial"/>
          <w:sz w:val="24"/>
          <w:szCs w:val="24"/>
          <w:lang w:eastAsia="en-GB"/>
        </w:rPr>
        <w:t>subchondral bone in OA</w:t>
      </w:r>
      <w:r w:rsidR="00BE59D1" w:rsidRPr="00D533AE">
        <w:rPr>
          <w:rFonts w:ascii="Arial" w:eastAsia="Times New Roman" w:hAnsi="Arial" w:cs="Arial"/>
          <w:sz w:val="24"/>
          <w:szCs w:val="24"/>
          <w:lang w:eastAsia="en-GB"/>
        </w:rPr>
        <w:t xml:space="preserve"> BMLs </w:t>
      </w:r>
      <w:r w:rsidR="005B215D" w:rsidRPr="00D533AE">
        <w:rPr>
          <w:rFonts w:ascii="Arial" w:eastAsia="Times New Roman" w:hAnsi="Arial" w:cs="Arial"/>
          <w:sz w:val="24"/>
          <w:szCs w:val="24"/>
          <w:lang w:eastAsia="en-GB"/>
        </w:rPr>
        <w:t>are incompletely understood</w:t>
      </w:r>
      <w:r w:rsidR="00593504" w:rsidRPr="00D533AE">
        <w:rPr>
          <w:rFonts w:ascii="Arial" w:eastAsia="Times New Roman" w:hAnsi="Arial" w:cs="Arial"/>
          <w:sz w:val="24"/>
          <w:szCs w:val="24"/>
          <w:lang w:eastAsia="en-GB"/>
        </w:rPr>
        <w:t xml:space="preserve">. </w:t>
      </w:r>
      <w:bookmarkStart w:id="2" w:name="_Hlk82354943"/>
      <w:r w:rsidR="00392436" w:rsidRPr="00D533AE">
        <w:rPr>
          <w:rFonts w:ascii="Arial" w:eastAsia="Times New Roman" w:hAnsi="Arial" w:cs="Arial"/>
          <w:sz w:val="24"/>
          <w:szCs w:val="24"/>
          <w:lang w:eastAsia="en-GB"/>
        </w:rPr>
        <w:t xml:space="preserve">BMLs are highly metabolically active structures, with features of </w:t>
      </w:r>
      <w:r w:rsidR="00392436" w:rsidRPr="00D533AE">
        <w:rPr>
          <w:rFonts w:ascii="Arial" w:eastAsia="Times New Roman" w:hAnsi="Arial" w:cs="Arial"/>
          <w:sz w:val="24"/>
          <w:szCs w:val="24"/>
          <w:lang w:eastAsia="en-GB"/>
        </w:rPr>
        <w:lastRenderedPageBreak/>
        <w:t xml:space="preserve">angiogenesis, </w:t>
      </w:r>
      <w:r w:rsidR="003B2734" w:rsidRPr="00D533AE">
        <w:rPr>
          <w:rFonts w:ascii="Arial" w:eastAsia="Times New Roman" w:hAnsi="Arial" w:cs="Arial"/>
          <w:sz w:val="24"/>
          <w:szCs w:val="24"/>
          <w:lang w:eastAsia="en-GB"/>
        </w:rPr>
        <w:t xml:space="preserve">increased </w:t>
      </w:r>
      <w:r w:rsidR="00392436" w:rsidRPr="00D533AE">
        <w:rPr>
          <w:rFonts w:ascii="Arial" w:eastAsia="Times New Roman" w:hAnsi="Arial" w:cs="Arial"/>
          <w:sz w:val="24"/>
          <w:szCs w:val="24"/>
          <w:lang w:eastAsia="en-GB"/>
        </w:rPr>
        <w:t xml:space="preserve">fibrous connective tissue, </w:t>
      </w:r>
      <w:r w:rsidR="008759B0" w:rsidRPr="00D533AE">
        <w:rPr>
          <w:rFonts w:ascii="Arial" w:hAnsi="Arial" w:cs="Arial"/>
          <w:sz w:val="24"/>
          <w:szCs w:val="24"/>
        </w:rPr>
        <w:t>gene expression indicative of cartilage formation and bone resorption</w:t>
      </w:r>
      <w:r w:rsidR="008759B0" w:rsidRPr="00D533AE">
        <w:rPr>
          <w:rFonts w:ascii="Arial" w:eastAsia="Times New Roman" w:hAnsi="Arial" w:cs="Arial"/>
          <w:sz w:val="24"/>
          <w:szCs w:val="24"/>
          <w:lang w:eastAsia="en-GB"/>
        </w:rPr>
        <w:t xml:space="preserve"> (11, 12)</w:t>
      </w:r>
      <w:bookmarkEnd w:id="2"/>
      <w:r w:rsidR="00392436" w:rsidRPr="00D533AE">
        <w:rPr>
          <w:rFonts w:ascii="Arial" w:eastAsia="Times New Roman" w:hAnsi="Arial" w:cs="Arial"/>
          <w:sz w:val="24"/>
          <w:szCs w:val="24"/>
          <w:lang w:eastAsia="en-GB"/>
        </w:rPr>
        <w:t xml:space="preserve">. </w:t>
      </w:r>
      <w:proofErr w:type="spellStart"/>
      <w:r w:rsidR="00A93483" w:rsidRPr="00D533AE">
        <w:rPr>
          <w:rFonts w:ascii="Arial" w:eastAsia="Times New Roman" w:hAnsi="Arial" w:cs="Arial"/>
          <w:sz w:val="24"/>
          <w:szCs w:val="24"/>
          <w:lang w:eastAsia="en-GB"/>
        </w:rPr>
        <w:t>Muratovic</w:t>
      </w:r>
      <w:proofErr w:type="spellEnd"/>
      <w:r w:rsidR="00A93483" w:rsidRPr="00D533AE">
        <w:rPr>
          <w:rFonts w:ascii="Arial" w:eastAsia="Times New Roman" w:hAnsi="Arial" w:cs="Arial"/>
          <w:sz w:val="24"/>
          <w:szCs w:val="24"/>
          <w:lang w:eastAsia="en-GB"/>
        </w:rPr>
        <w:t xml:space="preserve"> </w:t>
      </w:r>
      <w:r w:rsidR="00A93483" w:rsidRPr="00D533AE">
        <w:rPr>
          <w:rFonts w:ascii="Arial" w:eastAsia="Times New Roman" w:hAnsi="Arial" w:cs="Arial"/>
          <w:i/>
          <w:sz w:val="24"/>
          <w:szCs w:val="24"/>
          <w:lang w:eastAsia="en-GB"/>
        </w:rPr>
        <w:t>et al.</w:t>
      </w:r>
      <w:r w:rsidR="00A93483" w:rsidRPr="00D533AE">
        <w:rPr>
          <w:rFonts w:ascii="Arial" w:eastAsia="Times New Roman" w:hAnsi="Arial" w:cs="Arial"/>
          <w:sz w:val="24"/>
          <w:szCs w:val="24"/>
          <w:lang w:eastAsia="en-GB"/>
        </w:rPr>
        <w:t xml:space="preserve"> (1</w:t>
      </w:r>
      <w:r w:rsidR="007F4437" w:rsidRPr="00D533AE">
        <w:rPr>
          <w:rFonts w:ascii="Arial" w:eastAsia="Times New Roman" w:hAnsi="Arial" w:cs="Arial"/>
          <w:sz w:val="24"/>
          <w:szCs w:val="24"/>
          <w:lang w:eastAsia="en-GB"/>
        </w:rPr>
        <w:t>3</w:t>
      </w:r>
      <w:r w:rsidR="00A93483" w:rsidRPr="00D533AE">
        <w:rPr>
          <w:rFonts w:ascii="Arial" w:eastAsia="Times New Roman" w:hAnsi="Arial" w:cs="Arial"/>
          <w:sz w:val="24"/>
          <w:szCs w:val="24"/>
          <w:lang w:eastAsia="en-GB"/>
        </w:rPr>
        <w:t xml:space="preserve">) also </w:t>
      </w:r>
      <w:r w:rsidR="00725FEF" w:rsidRPr="00D533AE">
        <w:rPr>
          <w:rFonts w:ascii="Arial" w:eastAsia="Times New Roman" w:hAnsi="Arial" w:cs="Arial"/>
          <w:sz w:val="24"/>
          <w:szCs w:val="24"/>
          <w:lang w:eastAsia="en-GB"/>
        </w:rPr>
        <w:t xml:space="preserve">showed </w:t>
      </w:r>
      <w:r w:rsidR="00A93483" w:rsidRPr="00D533AE">
        <w:rPr>
          <w:rFonts w:ascii="Arial" w:eastAsia="Times New Roman" w:hAnsi="Arial" w:cs="Arial"/>
          <w:sz w:val="24"/>
          <w:szCs w:val="24"/>
          <w:lang w:eastAsia="en-GB"/>
        </w:rPr>
        <w:t>increased bone matrix microdamage and altered vasculature in the bone of BMLs</w:t>
      </w:r>
      <w:r w:rsidR="00725FEF" w:rsidRPr="00D533AE">
        <w:rPr>
          <w:rFonts w:ascii="Arial" w:eastAsia="Times New Roman" w:hAnsi="Arial" w:cs="Arial"/>
          <w:sz w:val="24"/>
          <w:szCs w:val="24"/>
          <w:lang w:eastAsia="en-GB"/>
        </w:rPr>
        <w:t xml:space="preserve"> harvested </w:t>
      </w:r>
      <w:r w:rsidR="00C61CDD" w:rsidRPr="00D533AE">
        <w:rPr>
          <w:rFonts w:ascii="Arial" w:eastAsia="Times New Roman" w:hAnsi="Arial" w:cs="Arial"/>
          <w:sz w:val="24"/>
          <w:szCs w:val="24"/>
          <w:lang w:eastAsia="en-GB"/>
        </w:rPr>
        <w:t>at</w:t>
      </w:r>
      <w:r w:rsidR="00725FEF" w:rsidRPr="00D533AE">
        <w:rPr>
          <w:rFonts w:ascii="Arial" w:eastAsia="Times New Roman" w:hAnsi="Arial" w:cs="Arial"/>
          <w:sz w:val="24"/>
          <w:szCs w:val="24"/>
          <w:lang w:eastAsia="en-GB"/>
        </w:rPr>
        <w:t xml:space="preserve"> joint replacement surgery</w:t>
      </w:r>
      <w:r w:rsidR="00A93483" w:rsidRPr="00D533AE">
        <w:rPr>
          <w:rFonts w:ascii="Arial" w:eastAsia="Times New Roman" w:hAnsi="Arial" w:cs="Arial"/>
          <w:sz w:val="24"/>
          <w:szCs w:val="24"/>
          <w:lang w:eastAsia="en-GB"/>
        </w:rPr>
        <w:t xml:space="preserve">. </w:t>
      </w:r>
      <w:r w:rsidR="00C61CDD" w:rsidRPr="00D533AE">
        <w:rPr>
          <w:rFonts w:ascii="Arial" w:eastAsia="Times New Roman" w:hAnsi="Arial" w:cs="Arial"/>
          <w:sz w:val="24"/>
          <w:szCs w:val="24"/>
          <w:lang w:eastAsia="en-GB"/>
        </w:rPr>
        <w:t>BML innervation is currently unknown,</w:t>
      </w:r>
      <w:r w:rsidR="008E4C8F" w:rsidRPr="00D533AE">
        <w:rPr>
          <w:rFonts w:ascii="Arial" w:eastAsia="Times New Roman" w:hAnsi="Arial" w:cs="Arial"/>
          <w:sz w:val="24"/>
          <w:szCs w:val="24"/>
          <w:lang w:eastAsia="en-GB"/>
        </w:rPr>
        <w:t xml:space="preserve"> </w:t>
      </w:r>
      <w:r w:rsidR="00C61CDD" w:rsidRPr="00D533AE">
        <w:rPr>
          <w:rFonts w:ascii="Arial" w:eastAsia="Times New Roman" w:hAnsi="Arial" w:cs="Arial"/>
          <w:sz w:val="24"/>
          <w:szCs w:val="24"/>
          <w:lang w:eastAsia="en-GB"/>
        </w:rPr>
        <w:t>but would be a prerequisite for BMLs to be a direct anatomical source of OA pain</w:t>
      </w:r>
      <w:r w:rsidR="005B215D" w:rsidRPr="00D533AE">
        <w:rPr>
          <w:rFonts w:ascii="Arial" w:eastAsia="Times New Roman" w:hAnsi="Arial" w:cs="Arial"/>
          <w:sz w:val="24"/>
          <w:szCs w:val="24"/>
          <w:lang w:eastAsia="en-GB"/>
        </w:rPr>
        <w:t>.</w:t>
      </w:r>
      <w:r w:rsidR="0081036D" w:rsidRPr="00D533AE">
        <w:rPr>
          <w:rFonts w:ascii="Arial" w:eastAsia="Times New Roman" w:hAnsi="Arial" w:cs="Arial"/>
          <w:sz w:val="24"/>
          <w:szCs w:val="24"/>
          <w:lang w:eastAsia="en-GB"/>
        </w:rPr>
        <w:t xml:space="preserve"> Measurement of key histopathological features of BMLs would facilitate understanding of </w:t>
      </w:r>
      <w:proofErr w:type="spellStart"/>
      <w:proofErr w:type="gramStart"/>
      <w:r w:rsidR="0081036D" w:rsidRPr="00D533AE">
        <w:rPr>
          <w:rFonts w:ascii="Arial" w:eastAsia="Times New Roman" w:hAnsi="Arial" w:cs="Arial"/>
          <w:sz w:val="24"/>
          <w:szCs w:val="24"/>
          <w:lang w:eastAsia="en-GB"/>
        </w:rPr>
        <w:t>structure:symptom</w:t>
      </w:r>
      <w:proofErr w:type="spellEnd"/>
      <w:proofErr w:type="gramEnd"/>
      <w:r w:rsidR="0081036D" w:rsidRPr="00D533AE">
        <w:rPr>
          <w:rFonts w:ascii="Arial" w:eastAsia="Times New Roman" w:hAnsi="Arial" w:cs="Arial"/>
          <w:sz w:val="24"/>
          <w:szCs w:val="24"/>
          <w:lang w:eastAsia="en-GB"/>
        </w:rPr>
        <w:t xml:space="preserve"> relationships, and help direct future therapeutic development aiming to both maintain joint structure and to improve pain in OA.</w:t>
      </w:r>
    </w:p>
    <w:p w14:paraId="47178ECF" w14:textId="77777777" w:rsidR="00A673DA" w:rsidRPr="00D533AE" w:rsidRDefault="00526083" w:rsidP="00A56C08">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In th</w:t>
      </w:r>
      <w:r w:rsidR="005B215D" w:rsidRPr="00D533AE">
        <w:rPr>
          <w:rFonts w:ascii="Arial" w:eastAsia="Times New Roman" w:hAnsi="Arial" w:cs="Arial"/>
          <w:sz w:val="24"/>
          <w:szCs w:val="24"/>
          <w:lang w:eastAsia="en-GB"/>
        </w:rPr>
        <w:t>e current</w:t>
      </w:r>
      <w:r w:rsidRPr="00D533AE">
        <w:rPr>
          <w:rFonts w:ascii="Arial" w:eastAsia="Times New Roman" w:hAnsi="Arial" w:cs="Arial"/>
          <w:sz w:val="24"/>
          <w:szCs w:val="24"/>
          <w:lang w:eastAsia="en-GB"/>
        </w:rPr>
        <w:t xml:space="preserve"> study, we</w:t>
      </w:r>
      <w:r w:rsidR="00392436" w:rsidRPr="00D533AE">
        <w:rPr>
          <w:rFonts w:ascii="Arial" w:eastAsia="Times New Roman" w:hAnsi="Arial" w:cs="Arial"/>
          <w:sz w:val="24"/>
          <w:szCs w:val="24"/>
          <w:lang w:eastAsia="en-GB"/>
        </w:rPr>
        <w:t xml:space="preserve"> aimed to develop a novel</w:t>
      </w:r>
      <w:r w:rsidRPr="00D533AE">
        <w:rPr>
          <w:rFonts w:ascii="Arial" w:eastAsia="Times New Roman" w:hAnsi="Arial" w:cs="Arial"/>
          <w:sz w:val="24"/>
          <w:szCs w:val="24"/>
          <w:lang w:eastAsia="en-GB"/>
        </w:rPr>
        <w:t xml:space="preserve"> and robust </w:t>
      </w:r>
      <w:r w:rsidR="00392436" w:rsidRPr="00D533AE">
        <w:rPr>
          <w:rFonts w:ascii="Arial" w:eastAsia="Times New Roman" w:hAnsi="Arial" w:cs="Arial"/>
          <w:sz w:val="24"/>
          <w:szCs w:val="24"/>
          <w:lang w:eastAsia="en-GB"/>
        </w:rPr>
        <w:t xml:space="preserve">histological scoring system for </w:t>
      </w:r>
      <w:r w:rsidR="003B2734" w:rsidRPr="00D533AE">
        <w:rPr>
          <w:rFonts w:ascii="Arial" w:eastAsia="Times New Roman" w:hAnsi="Arial" w:cs="Arial"/>
          <w:sz w:val="24"/>
          <w:szCs w:val="24"/>
          <w:lang w:eastAsia="en-GB"/>
        </w:rPr>
        <w:t xml:space="preserve">human OA </w:t>
      </w:r>
      <w:r w:rsidR="00392436" w:rsidRPr="00D533AE">
        <w:rPr>
          <w:rFonts w:ascii="Arial" w:eastAsia="Times New Roman" w:hAnsi="Arial" w:cs="Arial"/>
          <w:sz w:val="24"/>
          <w:szCs w:val="24"/>
          <w:lang w:eastAsia="en-GB"/>
        </w:rPr>
        <w:t>BML</w:t>
      </w:r>
      <w:r w:rsidR="00C61CDD" w:rsidRPr="00D533AE">
        <w:rPr>
          <w:rFonts w:ascii="Arial" w:eastAsia="Times New Roman" w:hAnsi="Arial" w:cs="Arial"/>
          <w:sz w:val="24"/>
          <w:szCs w:val="24"/>
          <w:lang w:eastAsia="en-GB"/>
        </w:rPr>
        <w:t xml:space="preserve">-like subchondral pathology and to explore </w:t>
      </w:r>
      <w:r w:rsidR="00916E1D" w:rsidRPr="00D533AE">
        <w:rPr>
          <w:rFonts w:ascii="Arial" w:eastAsia="Times New Roman" w:hAnsi="Arial" w:cs="Arial"/>
          <w:sz w:val="24"/>
          <w:szCs w:val="24"/>
          <w:lang w:eastAsia="en-GB"/>
        </w:rPr>
        <w:t xml:space="preserve">BML </w:t>
      </w:r>
      <w:r w:rsidR="005B215D" w:rsidRPr="00D533AE">
        <w:rPr>
          <w:rFonts w:ascii="Arial" w:eastAsia="Times New Roman" w:hAnsi="Arial" w:cs="Arial"/>
          <w:sz w:val="24"/>
          <w:szCs w:val="24"/>
          <w:lang w:eastAsia="en-GB"/>
        </w:rPr>
        <w:t>inn</w:t>
      </w:r>
      <w:r w:rsidR="001E7D79" w:rsidRPr="00D533AE">
        <w:rPr>
          <w:rFonts w:ascii="Arial" w:eastAsia="Times New Roman" w:hAnsi="Arial" w:cs="Arial"/>
          <w:sz w:val="24"/>
          <w:szCs w:val="24"/>
          <w:lang w:eastAsia="en-GB"/>
        </w:rPr>
        <w:t>erv</w:t>
      </w:r>
      <w:r w:rsidR="005B215D" w:rsidRPr="00D533AE">
        <w:rPr>
          <w:rFonts w:ascii="Arial" w:eastAsia="Times New Roman" w:hAnsi="Arial" w:cs="Arial"/>
          <w:sz w:val="24"/>
          <w:szCs w:val="24"/>
          <w:lang w:eastAsia="en-GB"/>
        </w:rPr>
        <w:t xml:space="preserve">ation </w:t>
      </w:r>
      <w:r w:rsidR="006B7E8A" w:rsidRPr="00D533AE">
        <w:rPr>
          <w:rFonts w:ascii="Arial" w:eastAsia="Times New Roman" w:hAnsi="Arial" w:cs="Arial"/>
          <w:sz w:val="24"/>
          <w:szCs w:val="24"/>
          <w:lang w:eastAsia="en-GB"/>
        </w:rPr>
        <w:t>using</w:t>
      </w:r>
      <w:r w:rsidR="001E7D79" w:rsidRPr="00D533AE">
        <w:rPr>
          <w:rFonts w:ascii="Arial" w:eastAsia="Times New Roman" w:hAnsi="Arial" w:cs="Arial"/>
          <w:sz w:val="24"/>
          <w:szCs w:val="24"/>
          <w:lang w:eastAsia="en-GB"/>
        </w:rPr>
        <w:t xml:space="preserve"> PGP9.5</w:t>
      </w:r>
      <w:r w:rsidR="005B215D" w:rsidRPr="00D533AE">
        <w:rPr>
          <w:rFonts w:ascii="Arial" w:eastAsia="Times New Roman" w:hAnsi="Arial" w:cs="Arial"/>
          <w:sz w:val="24"/>
          <w:szCs w:val="24"/>
          <w:lang w:eastAsia="en-GB"/>
        </w:rPr>
        <w:t>-immunoreactivity</w:t>
      </w:r>
      <w:r w:rsidR="00C61CDD" w:rsidRPr="00D533AE">
        <w:rPr>
          <w:rFonts w:ascii="Arial" w:eastAsia="Times New Roman" w:hAnsi="Arial" w:cs="Arial"/>
          <w:sz w:val="24"/>
          <w:szCs w:val="24"/>
          <w:lang w:eastAsia="en-GB"/>
        </w:rPr>
        <w:t xml:space="preserve"> (1</w:t>
      </w:r>
      <w:r w:rsidR="007F4437" w:rsidRPr="00D533AE">
        <w:rPr>
          <w:rFonts w:ascii="Arial" w:eastAsia="Times New Roman" w:hAnsi="Arial" w:cs="Arial"/>
          <w:sz w:val="24"/>
          <w:szCs w:val="24"/>
          <w:lang w:eastAsia="en-GB"/>
        </w:rPr>
        <w:t>4</w:t>
      </w:r>
      <w:r w:rsidR="00C61CDD" w:rsidRPr="00D533AE">
        <w:rPr>
          <w:rFonts w:ascii="Arial" w:eastAsia="Times New Roman" w:hAnsi="Arial" w:cs="Arial"/>
          <w:sz w:val="24"/>
          <w:szCs w:val="24"/>
          <w:lang w:eastAsia="en-GB"/>
        </w:rPr>
        <w:t>)</w:t>
      </w:r>
      <w:r w:rsidR="00DC418C" w:rsidRPr="00D533AE">
        <w:rPr>
          <w:rFonts w:ascii="Arial" w:eastAsia="Times New Roman" w:hAnsi="Arial" w:cs="Arial"/>
          <w:sz w:val="24"/>
          <w:szCs w:val="24"/>
          <w:lang w:eastAsia="en-GB"/>
        </w:rPr>
        <w:t xml:space="preserve">. Our findings </w:t>
      </w:r>
      <w:r w:rsidR="005B215D" w:rsidRPr="00D533AE">
        <w:rPr>
          <w:rFonts w:ascii="Arial" w:eastAsia="Times New Roman" w:hAnsi="Arial" w:cs="Arial"/>
          <w:sz w:val="24"/>
          <w:szCs w:val="24"/>
          <w:lang w:eastAsia="en-GB"/>
        </w:rPr>
        <w:t>extend</w:t>
      </w:r>
      <w:r w:rsidR="00DC418C" w:rsidRPr="00D533AE">
        <w:rPr>
          <w:rFonts w:ascii="Arial" w:eastAsia="Times New Roman" w:hAnsi="Arial" w:cs="Arial"/>
          <w:sz w:val="24"/>
          <w:szCs w:val="24"/>
          <w:lang w:eastAsia="en-GB"/>
        </w:rPr>
        <w:t xml:space="preserve"> understanding of</w:t>
      </w:r>
      <w:r w:rsidR="006B7E8A" w:rsidRPr="00D533AE">
        <w:rPr>
          <w:rFonts w:ascii="Arial" w:eastAsia="Times New Roman" w:hAnsi="Arial" w:cs="Arial"/>
          <w:sz w:val="24"/>
          <w:szCs w:val="24"/>
          <w:lang w:eastAsia="en-GB"/>
        </w:rPr>
        <w:t xml:space="preserve"> underlying pathophysiology of BMLs</w:t>
      </w:r>
      <w:r w:rsidR="00E85063" w:rsidRPr="00D533AE">
        <w:rPr>
          <w:rFonts w:ascii="Arial" w:eastAsia="Times New Roman" w:hAnsi="Arial" w:cs="Arial"/>
          <w:sz w:val="24"/>
          <w:szCs w:val="24"/>
          <w:lang w:eastAsia="en-GB"/>
        </w:rPr>
        <w:t>,</w:t>
      </w:r>
      <w:r w:rsidR="006B7E8A" w:rsidRPr="00D533AE">
        <w:rPr>
          <w:rFonts w:ascii="Arial" w:eastAsia="Times New Roman" w:hAnsi="Arial" w:cs="Arial"/>
          <w:sz w:val="24"/>
          <w:szCs w:val="24"/>
          <w:lang w:eastAsia="en-GB"/>
        </w:rPr>
        <w:t xml:space="preserve"> evaluated with the new Osteoarthritis Bone</w:t>
      </w:r>
      <w:r w:rsidR="004327CC" w:rsidRPr="00D533AE">
        <w:rPr>
          <w:rFonts w:ascii="Arial" w:eastAsia="Times New Roman" w:hAnsi="Arial" w:cs="Arial"/>
          <w:sz w:val="24"/>
          <w:szCs w:val="24"/>
          <w:lang w:eastAsia="en-GB"/>
        </w:rPr>
        <w:t xml:space="preserve"> </w:t>
      </w:r>
      <w:r w:rsidR="006B7E8A" w:rsidRPr="00D533AE">
        <w:rPr>
          <w:rFonts w:ascii="Arial" w:eastAsia="Times New Roman" w:hAnsi="Arial" w:cs="Arial"/>
          <w:sz w:val="24"/>
          <w:szCs w:val="24"/>
          <w:lang w:eastAsia="en-GB"/>
        </w:rPr>
        <w:t>Score (OABS)</w:t>
      </w:r>
      <w:r w:rsidR="000042E3" w:rsidRPr="00D533AE">
        <w:rPr>
          <w:rFonts w:ascii="Arial" w:eastAsia="Times New Roman" w:hAnsi="Arial" w:cs="Arial"/>
          <w:sz w:val="24"/>
          <w:szCs w:val="24"/>
          <w:lang w:eastAsia="en-GB"/>
        </w:rPr>
        <w:t>.</w:t>
      </w:r>
    </w:p>
    <w:p w14:paraId="6DCE7E40" w14:textId="77777777" w:rsidR="00A673DA" w:rsidRPr="00D533AE" w:rsidRDefault="00A673DA" w:rsidP="00F5391D">
      <w:pPr>
        <w:pStyle w:val="ListParagraph"/>
        <w:spacing w:after="0" w:line="480" w:lineRule="auto"/>
        <w:ind w:left="357"/>
        <w:jc w:val="both"/>
        <w:rPr>
          <w:rFonts w:ascii="Arial" w:eastAsia="Times New Roman" w:hAnsi="Arial" w:cs="Arial"/>
          <w:sz w:val="24"/>
          <w:szCs w:val="24"/>
          <w:lang w:eastAsia="en-GB"/>
        </w:rPr>
      </w:pPr>
    </w:p>
    <w:p w14:paraId="25CE6266" w14:textId="77777777" w:rsidR="00392436" w:rsidRPr="00D533AE" w:rsidRDefault="00392436" w:rsidP="00A56C08">
      <w:pPr>
        <w:spacing w:after="0" w:line="480" w:lineRule="auto"/>
        <w:jc w:val="both"/>
        <w:rPr>
          <w:rFonts w:ascii="Arial" w:eastAsia="Times New Roman" w:hAnsi="Arial" w:cs="Arial"/>
          <w:b/>
          <w:bCs/>
          <w:sz w:val="24"/>
          <w:szCs w:val="24"/>
          <w:lang w:eastAsia="en-GB"/>
        </w:rPr>
      </w:pPr>
      <w:r w:rsidRPr="00D533AE">
        <w:rPr>
          <w:rFonts w:ascii="Arial" w:eastAsia="Times New Roman" w:hAnsi="Arial" w:cs="Arial"/>
          <w:b/>
          <w:bCs/>
          <w:sz w:val="24"/>
          <w:szCs w:val="24"/>
          <w:lang w:eastAsia="en-GB"/>
        </w:rPr>
        <w:t>Methods</w:t>
      </w:r>
    </w:p>
    <w:p w14:paraId="79A1B459" w14:textId="77777777" w:rsidR="00FE5630" w:rsidRPr="00D533AE" w:rsidRDefault="00BA48D2" w:rsidP="00BA48D2">
      <w:pPr>
        <w:pStyle w:val="PlainText"/>
        <w:spacing w:line="480" w:lineRule="auto"/>
        <w:jc w:val="both"/>
        <w:rPr>
          <w:rFonts w:asciiTheme="minorHAnsi" w:hAnsiTheme="minorHAnsi" w:cstheme="minorHAnsi"/>
          <w:b/>
          <w:bCs/>
          <w:szCs w:val="22"/>
        </w:rPr>
      </w:pPr>
      <w:r w:rsidRPr="00D533AE">
        <w:rPr>
          <w:rFonts w:ascii="Arial" w:hAnsi="Arial" w:cs="Arial"/>
          <w:sz w:val="24"/>
          <w:szCs w:val="24"/>
        </w:rPr>
        <w:t>In this study we analysed 10 cases for wh</w:t>
      </w:r>
      <w:r w:rsidR="00A06D39" w:rsidRPr="00D533AE">
        <w:rPr>
          <w:rFonts w:ascii="Arial" w:hAnsi="Arial" w:cs="Arial"/>
          <w:sz w:val="24"/>
          <w:szCs w:val="24"/>
        </w:rPr>
        <w:t>om</w:t>
      </w:r>
      <w:r w:rsidRPr="00D533AE">
        <w:rPr>
          <w:rFonts w:ascii="Arial" w:hAnsi="Arial" w:cs="Arial"/>
          <w:sz w:val="24"/>
          <w:szCs w:val="24"/>
        </w:rPr>
        <w:t xml:space="preserve"> we had clinical and MRI data to define BML versus non-BML tissue by MRI co-</w:t>
      </w:r>
      <w:r w:rsidR="0015199E" w:rsidRPr="00D533AE">
        <w:rPr>
          <w:rFonts w:ascii="Arial" w:hAnsi="Arial" w:cs="Arial"/>
          <w:sz w:val="24"/>
          <w:szCs w:val="24"/>
        </w:rPr>
        <w:t xml:space="preserve">localisation </w:t>
      </w:r>
      <w:r w:rsidRPr="00D533AE">
        <w:rPr>
          <w:rFonts w:ascii="Arial" w:hAnsi="Arial" w:cs="Arial"/>
          <w:sz w:val="24"/>
          <w:szCs w:val="24"/>
        </w:rPr>
        <w:t>with tissue biops</w:t>
      </w:r>
      <w:r w:rsidR="00A06D39" w:rsidRPr="00D533AE">
        <w:rPr>
          <w:rFonts w:ascii="Arial" w:hAnsi="Arial" w:cs="Arial"/>
          <w:sz w:val="24"/>
          <w:szCs w:val="24"/>
        </w:rPr>
        <w:t>ies</w:t>
      </w:r>
      <w:r w:rsidRPr="00D533AE">
        <w:rPr>
          <w:rFonts w:ascii="Arial" w:hAnsi="Arial" w:cs="Arial"/>
          <w:sz w:val="24"/>
          <w:szCs w:val="24"/>
        </w:rPr>
        <w:t xml:space="preserve">. </w:t>
      </w:r>
      <w:r w:rsidR="00E2155C" w:rsidRPr="00D533AE">
        <w:rPr>
          <w:rFonts w:ascii="Arial" w:hAnsi="Arial" w:cs="Arial"/>
          <w:sz w:val="24"/>
          <w:szCs w:val="24"/>
        </w:rPr>
        <w:t>W</w:t>
      </w:r>
      <w:r w:rsidR="00FE5630" w:rsidRPr="00D533AE">
        <w:rPr>
          <w:rFonts w:ascii="Arial" w:hAnsi="Arial" w:cs="Arial"/>
          <w:sz w:val="24"/>
          <w:szCs w:val="24"/>
        </w:rPr>
        <w:t xml:space="preserve">e defined a semi-quantitative scale </w:t>
      </w:r>
      <w:r w:rsidR="00E2155C" w:rsidRPr="00D533AE">
        <w:rPr>
          <w:rFonts w:ascii="Arial" w:hAnsi="Arial" w:cs="Arial"/>
          <w:sz w:val="24"/>
          <w:szCs w:val="24"/>
        </w:rPr>
        <w:t>from</w:t>
      </w:r>
      <w:r w:rsidR="00FE5630" w:rsidRPr="00D533AE">
        <w:rPr>
          <w:rFonts w:ascii="Arial" w:hAnsi="Arial" w:cs="Arial"/>
          <w:sz w:val="24"/>
          <w:szCs w:val="24"/>
        </w:rPr>
        <w:t xml:space="preserve"> 7 typical histological features observed in the</w:t>
      </w:r>
      <w:r w:rsidR="00E2155C" w:rsidRPr="00D533AE">
        <w:rPr>
          <w:rFonts w:ascii="Arial" w:hAnsi="Arial" w:cs="Arial"/>
          <w:sz w:val="24"/>
          <w:szCs w:val="24"/>
        </w:rPr>
        <w:t>se</w:t>
      </w:r>
      <w:r w:rsidR="00FE5630" w:rsidRPr="00D533AE">
        <w:rPr>
          <w:rFonts w:ascii="Arial" w:hAnsi="Arial" w:cs="Arial"/>
          <w:sz w:val="24"/>
          <w:szCs w:val="24"/>
        </w:rPr>
        <w:t xml:space="preserve"> cases. We then tested this newly defined Osteo</w:t>
      </w:r>
      <w:r w:rsidR="00E2155C" w:rsidRPr="00D533AE">
        <w:rPr>
          <w:rFonts w:ascii="Arial" w:hAnsi="Arial" w:cs="Arial"/>
          <w:sz w:val="24"/>
          <w:szCs w:val="24"/>
        </w:rPr>
        <w:t>a</w:t>
      </w:r>
      <w:r w:rsidR="00FE5630" w:rsidRPr="00D533AE">
        <w:rPr>
          <w:rFonts w:ascii="Arial" w:hAnsi="Arial" w:cs="Arial"/>
          <w:sz w:val="24"/>
          <w:szCs w:val="24"/>
        </w:rPr>
        <w:t xml:space="preserve">rthritis Bone Score (OABS) in a larger archive of OA tissue harvested at knee replacement surgery </w:t>
      </w:r>
      <w:r w:rsidR="00806AB0" w:rsidRPr="00D533AE">
        <w:rPr>
          <w:rFonts w:ascii="Arial" w:hAnsi="Arial" w:cs="Arial"/>
          <w:sz w:val="24"/>
          <w:szCs w:val="24"/>
        </w:rPr>
        <w:t xml:space="preserve">or </w:t>
      </w:r>
      <w:r w:rsidR="00FE5630" w:rsidRPr="00D533AE">
        <w:rPr>
          <w:rFonts w:ascii="Arial" w:hAnsi="Arial" w:cs="Arial"/>
          <w:sz w:val="24"/>
          <w:szCs w:val="24"/>
        </w:rPr>
        <w:t>post-mortem. Here we outline how the OABS performed at identifying bone/subchondral changes in OA versus control samples.</w:t>
      </w:r>
    </w:p>
    <w:p w14:paraId="4B90BD9B" w14:textId="77777777" w:rsidR="00FE5630" w:rsidRPr="00D533AE" w:rsidRDefault="00FE5630" w:rsidP="00A56C08">
      <w:pPr>
        <w:spacing w:after="0" w:line="480" w:lineRule="auto"/>
        <w:jc w:val="both"/>
        <w:rPr>
          <w:rFonts w:ascii="Arial" w:eastAsia="Times New Roman" w:hAnsi="Arial" w:cs="Arial"/>
          <w:sz w:val="24"/>
          <w:szCs w:val="24"/>
          <w:lang w:eastAsia="en-GB"/>
        </w:rPr>
      </w:pPr>
    </w:p>
    <w:p w14:paraId="0AC6C625" w14:textId="77777777" w:rsidR="00CB262E" w:rsidRPr="00D533AE" w:rsidRDefault="00F81B68" w:rsidP="00CB262E">
      <w:pPr>
        <w:spacing w:after="0" w:line="480" w:lineRule="auto"/>
        <w:jc w:val="both"/>
        <w:rPr>
          <w:rFonts w:ascii="Arial" w:eastAsia="Times New Roman" w:hAnsi="Arial" w:cs="Arial"/>
          <w:i/>
          <w:iCs/>
          <w:sz w:val="24"/>
          <w:szCs w:val="24"/>
          <w:lang w:eastAsia="en-GB"/>
        </w:rPr>
      </w:pPr>
      <w:r w:rsidRPr="00D533AE">
        <w:rPr>
          <w:rFonts w:ascii="Arial" w:eastAsia="Times New Roman" w:hAnsi="Arial" w:cs="Arial"/>
          <w:i/>
          <w:iCs/>
          <w:sz w:val="24"/>
          <w:szCs w:val="24"/>
          <w:lang w:eastAsia="en-GB"/>
        </w:rPr>
        <w:t>Human osteochondral tissues</w:t>
      </w:r>
    </w:p>
    <w:p w14:paraId="06AC1CF6" w14:textId="77777777" w:rsidR="00180330" w:rsidRPr="00D533AE" w:rsidRDefault="00324E17" w:rsidP="00110759">
      <w:pPr>
        <w:pStyle w:val="PlainText"/>
        <w:spacing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In order to characterise BML tissues, osteochondral samples</w:t>
      </w:r>
      <w:r w:rsidR="00F5391D" w:rsidRPr="00D533AE">
        <w:rPr>
          <w:rFonts w:ascii="Arial" w:eastAsia="Times New Roman" w:hAnsi="Arial" w:cs="Arial"/>
          <w:sz w:val="24"/>
          <w:szCs w:val="24"/>
          <w:lang w:eastAsia="en-GB"/>
        </w:rPr>
        <w:t xml:space="preserve"> w</w:t>
      </w:r>
      <w:r w:rsidR="00DE6278" w:rsidRPr="00D533AE">
        <w:rPr>
          <w:rFonts w:ascii="Arial" w:eastAsia="Times New Roman" w:hAnsi="Arial" w:cs="Arial"/>
          <w:sz w:val="24"/>
          <w:szCs w:val="24"/>
          <w:lang w:eastAsia="en-GB"/>
        </w:rPr>
        <w:t>ere</w:t>
      </w:r>
      <w:r w:rsidR="00F5391D" w:rsidRPr="00D533AE">
        <w:rPr>
          <w:rFonts w:ascii="Arial" w:eastAsia="Times New Roman" w:hAnsi="Arial" w:cs="Arial"/>
          <w:sz w:val="24"/>
          <w:szCs w:val="24"/>
          <w:lang w:eastAsia="en-GB"/>
        </w:rPr>
        <w:t xml:space="preserve"> harvested with full informed consent </w:t>
      </w:r>
      <w:r w:rsidR="00F81B68" w:rsidRPr="00D533AE">
        <w:rPr>
          <w:rFonts w:ascii="Arial" w:eastAsia="Times New Roman" w:hAnsi="Arial" w:cs="Arial"/>
          <w:sz w:val="24"/>
          <w:szCs w:val="24"/>
          <w:lang w:eastAsia="en-GB"/>
        </w:rPr>
        <w:t xml:space="preserve">as previously described (11) </w:t>
      </w:r>
      <w:r w:rsidR="00F5391D" w:rsidRPr="00D533AE">
        <w:rPr>
          <w:rFonts w:ascii="Arial" w:eastAsia="Times New Roman" w:hAnsi="Arial" w:cs="Arial"/>
          <w:sz w:val="24"/>
          <w:szCs w:val="24"/>
          <w:lang w:eastAsia="en-GB"/>
        </w:rPr>
        <w:t xml:space="preserve">from participants </w:t>
      </w:r>
      <w:r w:rsidR="00D628DA" w:rsidRPr="00D533AE">
        <w:rPr>
          <w:rFonts w:ascii="Arial" w:eastAsia="Times New Roman" w:hAnsi="Arial" w:cs="Arial"/>
          <w:sz w:val="24"/>
          <w:szCs w:val="24"/>
          <w:lang w:eastAsia="en-GB"/>
        </w:rPr>
        <w:t xml:space="preserve">at </w:t>
      </w:r>
      <w:r w:rsidR="00F5391D" w:rsidRPr="00D533AE">
        <w:rPr>
          <w:rFonts w:ascii="Arial" w:eastAsia="Times New Roman" w:hAnsi="Arial" w:cs="Arial"/>
          <w:sz w:val="24"/>
          <w:szCs w:val="24"/>
          <w:lang w:eastAsia="en-GB"/>
        </w:rPr>
        <w:t>TKR</w:t>
      </w:r>
      <w:r w:rsidR="00A673DA" w:rsidRPr="00D533AE">
        <w:rPr>
          <w:rFonts w:ascii="Arial" w:eastAsia="Times New Roman" w:hAnsi="Arial" w:cs="Arial"/>
          <w:sz w:val="24"/>
          <w:szCs w:val="24"/>
          <w:lang w:eastAsia="en-GB"/>
        </w:rPr>
        <w:t xml:space="preserve"> </w:t>
      </w:r>
      <w:r w:rsidR="00F81B68" w:rsidRPr="00D533AE">
        <w:rPr>
          <w:rFonts w:ascii="Arial" w:eastAsia="Times New Roman" w:hAnsi="Arial" w:cs="Arial"/>
          <w:sz w:val="24"/>
          <w:szCs w:val="24"/>
          <w:lang w:eastAsia="en-GB"/>
        </w:rPr>
        <w:t xml:space="preserve">for knee OA </w:t>
      </w:r>
      <w:r w:rsidR="00D628DA" w:rsidRPr="00D533AE">
        <w:rPr>
          <w:rFonts w:ascii="Arial" w:eastAsia="Times New Roman" w:hAnsi="Arial" w:cs="Arial"/>
          <w:sz w:val="24"/>
          <w:szCs w:val="24"/>
          <w:lang w:eastAsia="en-GB"/>
        </w:rPr>
        <w:lastRenderedPageBreak/>
        <w:t xml:space="preserve">within 6 weeks </w:t>
      </w:r>
      <w:r w:rsidR="00F81B68" w:rsidRPr="00D533AE">
        <w:rPr>
          <w:rFonts w:ascii="Arial" w:eastAsia="Times New Roman" w:hAnsi="Arial" w:cs="Arial"/>
          <w:sz w:val="24"/>
          <w:szCs w:val="24"/>
          <w:lang w:eastAsia="en-GB"/>
        </w:rPr>
        <w:t>after undergoing MRI scan of the target knee</w:t>
      </w:r>
      <w:r w:rsidR="00F81B68" w:rsidRPr="00D533AE" w:rsidDel="00F81B68">
        <w:rPr>
          <w:rFonts w:ascii="Arial" w:eastAsia="Times New Roman" w:hAnsi="Arial" w:cs="Arial"/>
          <w:sz w:val="24"/>
          <w:szCs w:val="24"/>
          <w:lang w:eastAsia="en-GB"/>
        </w:rPr>
        <w:t xml:space="preserve"> </w:t>
      </w:r>
      <w:r w:rsidR="005D2744" w:rsidRPr="00D533AE">
        <w:rPr>
          <w:rFonts w:ascii="Arial" w:eastAsia="Times New Roman" w:hAnsi="Arial" w:cs="Arial"/>
          <w:sz w:val="24"/>
          <w:szCs w:val="24"/>
          <w:lang w:eastAsia="en-GB"/>
        </w:rPr>
        <w:t xml:space="preserve">(Ethical Approval </w:t>
      </w:r>
      <w:r w:rsidR="0026014A" w:rsidRPr="00D533AE">
        <w:rPr>
          <w:rFonts w:ascii="Arial" w:eastAsia="Times New Roman" w:hAnsi="Arial" w:cs="Arial"/>
          <w:sz w:val="24"/>
          <w:szCs w:val="24"/>
          <w:lang w:eastAsia="en-GB"/>
        </w:rPr>
        <w:t xml:space="preserve">was granted </w:t>
      </w:r>
      <w:r w:rsidR="005D2744" w:rsidRPr="00D533AE">
        <w:rPr>
          <w:rFonts w:ascii="Arial" w:eastAsia="Times New Roman" w:hAnsi="Arial" w:cs="Arial"/>
          <w:sz w:val="24"/>
          <w:szCs w:val="24"/>
          <w:lang w:eastAsia="en-GB"/>
        </w:rPr>
        <w:t>from the London Central REC, study number 1</w:t>
      </w:r>
      <w:r w:rsidR="005D2744" w:rsidRPr="00D533AE">
        <w:rPr>
          <w:rFonts w:ascii="Arial" w:hAnsi="Arial" w:cs="Arial"/>
          <w:sz w:val="24"/>
          <w:szCs w:val="24"/>
        </w:rPr>
        <w:t>2/LO/1970)</w:t>
      </w:r>
      <w:r w:rsidR="00495539" w:rsidRPr="00D533AE">
        <w:rPr>
          <w:rFonts w:ascii="Arial" w:eastAsia="Times New Roman" w:hAnsi="Arial" w:cs="Arial"/>
          <w:sz w:val="24"/>
          <w:szCs w:val="24"/>
          <w:lang w:eastAsia="en-GB"/>
        </w:rPr>
        <w:t xml:space="preserve">. </w:t>
      </w:r>
      <w:r w:rsidR="00180330" w:rsidRPr="00D533AE">
        <w:rPr>
          <w:rFonts w:ascii="Arial" w:eastAsia="Times New Roman" w:hAnsi="Arial" w:cs="Arial"/>
          <w:sz w:val="24"/>
          <w:szCs w:val="24"/>
          <w:lang w:eastAsia="en-GB"/>
        </w:rPr>
        <w:t>The ≤6-week time period was chosen to minimise any changes in BMLs between imaging and tissue collection.</w:t>
      </w:r>
    </w:p>
    <w:p w14:paraId="13DFC098" w14:textId="77777777" w:rsidR="00877E67" w:rsidRPr="00D533AE" w:rsidRDefault="00F5391D" w:rsidP="00752C8E">
      <w:pPr>
        <w:pStyle w:val="PlainText"/>
        <w:spacing w:line="480" w:lineRule="auto"/>
        <w:jc w:val="both"/>
        <w:rPr>
          <w:rFonts w:ascii="Arial" w:hAnsi="Arial" w:cs="Arial"/>
          <w:i/>
          <w:sz w:val="24"/>
          <w:szCs w:val="24"/>
        </w:rPr>
      </w:pPr>
      <w:r w:rsidRPr="00D533AE">
        <w:rPr>
          <w:rFonts w:ascii="Arial" w:eastAsia="Times New Roman" w:hAnsi="Arial" w:cs="Arial"/>
          <w:sz w:val="24"/>
          <w:szCs w:val="24"/>
          <w:lang w:eastAsia="en-GB"/>
        </w:rPr>
        <w:t>Regions within the tibia demonstrating BML</w:t>
      </w:r>
      <w:r w:rsidR="009A6C6D" w:rsidRPr="00D533AE">
        <w:rPr>
          <w:rFonts w:ascii="Arial" w:eastAsia="Times New Roman" w:hAnsi="Arial" w:cs="Arial"/>
          <w:sz w:val="24"/>
          <w:szCs w:val="24"/>
          <w:lang w:eastAsia="en-GB"/>
        </w:rPr>
        <w:t>s</w:t>
      </w:r>
      <w:r w:rsidRPr="00D533AE">
        <w:rPr>
          <w:rFonts w:ascii="Arial" w:eastAsia="Times New Roman" w:hAnsi="Arial" w:cs="Arial"/>
          <w:sz w:val="24"/>
          <w:szCs w:val="24"/>
          <w:lang w:eastAsia="en-GB"/>
        </w:rPr>
        <w:t xml:space="preserve"> were confirmed independently by two Consultant Radiologists </w:t>
      </w:r>
      <w:r w:rsidR="000208EA" w:rsidRPr="00D533AE">
        <w:rPr>
          <w:rFonts w:ascii="Arial" w:eastAsia="Times New Roman" w:hAnsi="Arial" w:cs="Arial"/>
          <w:sz w:val="24"/>
          <w:szCs w:val="24"/>
          <w:lang w:eastAsia="en-GB"/>
        </w:rPr>
        <w:t xml:space="preserve">(Dr Christine Heron and Dr Vivian Ejindu) </w:t>
      </w:r>
      <w:r w:rsidRPr="00D533AE">
        <w:rPr>
          <w:rFonts w:ascii="Arial" w:eastAsia="Times New Roman" w:hAnsi="Arial" w:cs="Arial"/>
          <w:sz w:val="24"/>
          <w:szCs w:val="24"/>
          <w:lang w:eastAsia="en-GB"/>
        </w:rPr>
        <w:t>using the MRI Knee Osteoarthritis Score (MOAKS)</w:t>
      </w:r>
      <w:r w:rsidR="00070DD8" w:rsidRPr="00D533AE">
        <w:rPr>
          <w:rFonts w:ascii="Arial" w:eastAsia="Times New Roman" w:hAnsi="Arial" w:cs="Arial"/>
          <w:sz w:val="24"/>
          <w:szCs w:val="24"/>
          <w:lang w:eastAsia="en-GB"/>
        </w:rPr>
        <w:t xml:space="preserve"> </w:t>
      </w:r>
      <w:r w:rsidR="00495539" w:rsidRPr="00D533AE">
        <w:rPr>
          <w:rFonts w:ascii="Arial" w:eastAsia="Times New Roman" w:hAnsi="Arial" w:cs="Arial"/>
          <w:sz w:val="24"/>
          <w:szCs w:val="24"/>
          <w:lang w:eastAsia="en-GB"/>
        </w:rPr>
        <w:t>(</w:t>
      </w:r>
      <w:r w:rsidR="007F4437" w:rsidRPr="00D533AE">
        <w:rPr>
          <w:rFonts w:ascii="Arial" w:eastAsia="Times New Roman" w:hAnsi="Arial" w:cs="Arial"/>
          <w:sz w:val="24"/>
          <w:szCs w:val="24"/>
          <w:lang w:eastAsia="en-GB"/>
        </w:rPr>
        <w:t>8</w:t>
      </w:r>
      <w:r w:rsidR="00495539" w:rsidRPr="00D533AE">
        <w:rPr>
          <w:rFonts w:ascii="Arial" w:eastAsia="Times New Roman" w:hAnsi="Arial" w:cs="Arial"/>
          <w:sz w:val="24"/>
          <w:szCs w:val="24"/>
          <w:lang w:eastAsia="en-GB"/>
        </w:rPr>
        <w:t>)</w:t>
      </w:r>
      <w:r w:rsidR="002E5054" w:rsidRPr="00D533AE">
        <w:rPr>
          <w:rFonts w:ascii="Arial" w:hAnsi="Arial" w:cs="Arial"/>
          <w:sz w:val="24"/>
          <w:szCs w:val="24"/>
        </w:rPr>
        <w:t>; a semi-quantitative scoring system which shows particula</w:t>
      </w:r>
      <w:r w:rsidR="00DE6278" w:rsidRPr="00D533AE">
        <w:rPr>
          <w:rFonts w:ascii="Arial" w:hAnsi="Arial" w:cs="Arial"/>
          <w:sz w:val="24"/>
          <w:szCs w:val="24"/>
        </w:rPr>
        <w:t xml:space="preserve">r </w:t>
      </w:r>
      <w:r w:rsidR="002E5054" w:rsidRPr="00D533AE">
        <w:rPr>
          <w:rFonts w:ascii="Arial" w:hAnsi="Arial" w:cs="Arial"/>
          <w:sz w:val="24"/>
          <w:szCs w:val="24"/>
        </w:rPr>
        <w:t xml:space="preserve">refinement when scoring BMLs -providing regional delineation and grading across subchondral regions. Only the tibial non-cystic BML scores were considered when locating and dissecting lesions as the tibial plateau is the only structure which remains intact during surgery. During scoring the joint was divided into three equal medial and lateral sub-regions (anterior, central and posterior) and the sub-spinous sub-region identified by the tibial spines. The size of the lesion (0: none, 1: &lt;33% of sub-regional volume, 2: 33-66% of sub-regional volume, 3: &gt;66% of sub-regional volume) and number of BMLs per sub-region was used to identify the BMLs which had a non-cystic delineation. The percentage of volume of BML vs cyst (0: none, 1: &lt;33%, 2: 33-66%, 3: &gt;66%) was used to eliminate the cystic lesions from analysis. </w:t>
      </w:r>
      <w:r w:rsidR="00BA48D2" w:rsidRPr="00D533AE">
        <w:rPr>
          <w:rFonts w:ascii="Arial" w:hAnsi="Arial" w:cs="Arial"/>
          <w:sz w:val="24"/>
          <w:szCs w:val="24"/>
        </w:rPr>
        <w:t>If a cyst was present without an associated BML the cyst was scored as a 0. Only lesions with a percentage volume score of 3 were considered for analysis.</w:t>
      </w:r>
      <w:r w:rsidR="00BA48D2" w:rsidRPr="00D533AE">
        <w:rPr>
          <w:rFonts w:cs="Calibri"/>
          <w:sz w:val="24"/>
          <w:szCs w:val="24"/>
        </w:rPr>
        <w:t xml:space="preserve"> </w:t>
      </w:r>
      <w:r w:rsidR="002E5054" w:rsidRPr="00D533AE">
        <w:rPr>
          <w:rFonts w:ascii="Arial" w:hAnsi="Arial" w:cs="Arial"/>
          <w:sz w:val="24"/>
          <w:szCs w:val="24"/>
        </w:rPr>
        <w:t xml:space="preserve">Each sub-region was graded for size of any cartilage loss (partial and full-thickness loss) (0: none, 1: &lt;10% of region of cartilage and surface area, 2: 10-75% of region of cartilage surface area, 3: &gt;75% of region of cartilage surface area). All images were given a score for the degree of synovitis (0 = normal; 1 = mild; 2 = moderate; 3 = severe). </w:t>
      </w:r>
    </w:p>
    <w:p w14:paraId="09EC35AE" w14:textId="77777777" w:rsidR="00877E67" w:rsidRPr="00D533AE" w:rsidRDefault="00877E67" w:rsidP="00877E67">
      <w:pPr>
        <w:spacing w:after="0" w:line="480" w:lineRule="auto"/>
        <w:jc w:val="both"/>
        <w:rPr>
          <w:rFonts w:ascii="Arial" w:eastAsia="Times New Roman" w:hAnsi="Arial" w:cs="Arial"/>
          <w:sz w:val="24"/>
          <w:szCs w:val="24"/>
          <w:lang w:eastAsia="en-GB"/>
        </w:rPr>
      </w:pPr>
    </w:p>
    <w:p w14:paraId="45D3F900" w14:textId="77777777" w:rsidR="00D628DA" w:rsidRPr="00D533AE" w:rsidRDefault="00877E67" w:rsidP="00752C8E">
      <w:pPr>
        <w:spacing w:line="480" w:lineRule="auto"/>
        <w:jc w:val="both"/>
      </w:pPr>
      <w:r w:rsidRPr="00D533AE">
        <w:rPr>
          <w:rFonts w:ascii="Arial" w:hAnsi="Arial" w:cs="Arial"/>
          <w:sz w:val="24"/>
          <w:szCs w:val="24"/>
        </w:rPr>
        <w:lastRenderedPageBreak/>
        <w:t>MRI data w</w:t>
      </w:r>
      <w:r w:rsidR="006D1008" w:rsidRPr="00D533AE">
        <w:rPr>
          <w:rFonts w:ascii="Arial" w:hAnsi="Arial" w:cs="Arial"/>
          <w:sz w:val="24"/>
          <w:szCs w:val="24"/>
        </w:rPr>
        <w:t>ere</w:t>
      </w:r>
      <w:r w:rsidRPr="00D533AE">
        <w:rPr>
          <w:rFonts w:ascii="Arial" w:hAnsi="Arial" w:cs="Arial"/>
          <w:sz w:val="24"/>
          <w:szCs w:val="24"/>
        </w:rPr>
        <w:t xml:space="preserve"> acquired with a Philips 3T </w:t>
      </w:r>
      <w:proofErr w:type="spellStart"/>
      <w:r w:rsidRPr="00D533AE">
        <w:rPr>
          <w:rFonts w:ascii="Arial" w:hAnsi="Arial" w:cs="Arial"/>
          <w:sz w:val="24"/>
          <w:szCs w:val="24"/>
        </w:rPr>
        <w:t>Achieva</w:t>
      </w:r>
      <w:proofErr w:type="spellEnd"/>
      <w:r w:rsidRPr="00D533AE">
        <w:rPr>
          <w:rFonts w:ascii="Arial" w:hAnsi="Arial" w:cs="Arial"/>
          <w:sz w:val="24"/>
          <w:szCs w:val="24"/>
        </w:rPr>
        <w:t xml:space="preserve"> using a dedicated 8 channel knee coil (Figure 1). Pulse sequences were turbo spin echo acquisition of sagittal, coronal and axial intermediate-weighted (IW) images with TE 30ms, TR 5000ms, with Spectral Attenuated Inversion Recovery (SPAIR) fat-saturation and sagittal T1-weighted with TE 15ms, TR 600ms.</w:t>
      </w:r>
      <w:r w:rsidR="00180330" w:rsidRPr="00D533AE">
        <w:rPr>
          <w:rFonts w:ascii="Arial" w:hAnsi="Arial" w:cs="Arial"/>
          <w:sz w:val="24"/>
          <w:szCs w:val="24"/>
        </w:rPr>
        <w:t xml:space="preserve"> </w:t>
      </w:r>
      <w:r w:rsidRPr="00D533AE">
        <w:rPr>
          <w:rFonts w:ascii="Arial" w:hAnsi="Arial" w:cs="Arial"/>
          <w:sz w:val="24"/>
          <w:szCs w:val="24"/>
        </w:rPr>
        <w:t>Other parameters were: a) IW sagittal images with a 160 by 160 mm field of view (FOV) and 0.35mm in plane resolution reconstructed to 0.25mm resolution, acquired with thirty two 3mm slices and 0.3mm slice gap; the turbo spin echo sequence had 30 echoes acquired with SENSE factor 1.6 leading to a 4’ 50” acquisition time; b) IW coronal images with a 160 by 160 mm FOV and 0.35mm in plane resolution reconstructed to 0.25mm resolution acquired with twenty-two 3mm slices and 0.3mm slice gap; the turbo spin echo sequence had 30 echoes acquired with SENSE factor 1.4 leading to a 4’ 50” acquisition time; c) IW coronal images with a 160 by 160 mm FOV and 0.35mm in plane resolution, reconstructed to 0.2mm resolution, acquired with thirty-two 3mm slices and 0.25mm slice gap; the turbo spin echo sequence had 20 echoes acquired with SENSE factor 1.4 leading to a 5’ 30” acquisition time; c) T1w sagittal images with a 150 by 137 mm FOV, 0.3mm in plane resolution reconstructed to 0.15mm resolution, acquired with thirty-five 3mm slices and 0.25mm slice gap; the turbo spin echo sequence had 8 echoes acquired with SENSE factor 1.6 leading to a 6’ 34” acquisition time. Within the IW images, SPAIR fat-saturation was applied with the manufacturer’s parameters of “strong” fat-suppression with a power level 1 and an automatically determined inversion time.</w:t>
      </w:r>
      <w:bookmarkStart w:id="3" w:name="_Hlk75443467"/>
    </w:p>
    <w:p w14:paraId="700455F4" w14:textId="77777777" w:rsidR="00D628DA" w:rsidRPr="00D533AE" w:rsidRDefault="00D628DA" w:rsidP="00D628DA">
      <w:pPr>
        <w:pStyle w:val="PlainText"/>
        <w:spacing w:line="480" w:lineRule="auto"/>
        <w:jc w:val="both"/>
        <w:rPr>
          <w:rFonts w:ascii="Arial" w:hAnsi="Arial" w:cs="Arial"/>
          <w:sz w:val="24"/>
          <w:szCs w:val="24"/>
        </w:rPr>
      </w:pPr>
    </w:p>
    <w:p w14:paraId="7162737D" w14:textId="77777777" w:rsidR="00D628DA" w:rsidRPr="00D533AE" w:rsidRDefault="00D628DA" w:rsidP="00752C8E">
      <w:pPr>
        <w:spacing w:after="0" w:line="480" w:lineRule="auto"/>
        <w:jc w:val="both"/>
        <w:rPr>
          <w:rFonts w:ascii="Arial" w:hAnsi="Arial" w:cs="Arial"/>
          <w:i/>
          <w:sz w:val="24"/>
          <w:szCs w:val="24"/>
        </w:rPr>
      </w:pPr>
      <w:r w:rsidRPr="00D533AE">
        <w:rPr>
          <w:rFonts w:ascii="Arial" w:hAnsi="Arial" w:cs="Arial"/>
          <w:i/>
          <w:sz w:val="24"/>
          <w:szCs w:val="24"/>
        </w:rPr>
        <w:t>Co-</w:t>
      </w:r>
      <w:r w:rsidR="009E2F02" w:rsidRPr="00D533AE">
        <w:rPr>
          <w:rFonts w:ascii="Arial" w:hAnsi="Arial" w:cs="Arial"/>
          <w:i/>
          <w:sz w:val="24"/>
          <w:szCs w:val="24"/>
        </w:rPr>
        <w:t>localisation</w:t>
      </w:r>
      <w:r w:rsidRPr="00D533AE">
        <w:rPr>
          <w:rFonts w:ascii="Arial" w:hAnsi="Arial" w:cs="Arial"/>
          <w:i/>
          <w:sz w:val="24"/>
          <w:szCs w:val="24"/>
        </w:rPr>
        <w:t xml:space="preserve"> with MRI scans and tissue biopsy</w:t>
      </w:r>
    </w:p>
    <w:p w14:paraId="68F57A5E" w14:textId="77777777" w:rsidR="002E5054" w:rsidRPr="00D533AE" w:rsidRDefault="00182F79" w:rsidP="00182F79">
      <w:pPr>
        <w:pStyle w:val="PlainText"/>
        <w:spacing w:line="480" w:lineRule="auto"/>
        <w:jc w:val="both"/>
        <w:rPr>
          <w:rFonts w:ascii="Arial" w:eastAsia="Times New Roman" w:hAnsi="Arial" w:cs="Arial"/>
          <w:sz w:val="24"/>
          <w:szCs w:val="24"/>
          <w:lang w:eastAsia="en-GB"/>
        </w:rPr>
      </w:pPr>
      <w:r w:rsidRPr="00D533AE">
        <w:rPr>
          <w:rFonts w:ascii="Arial" w:hAnsi="Arial" w:cs="Arial"/>
          <w:sz w:val="24"/>
          <w:szCs w:val="24"/>
        </w:rPr>
        <w:t>T</w:t>
      </w:r>
      <w:r w:rsidR="003F25B6" w:rsidRPr="00D533AE">
        <w:rPr>
          <w:rFonts w:ascii="Arial" w:hAnsi="Arial" w:cs="Arial"/>
          <w:sz w:val="24"/>
          <w:szCs w:val="24"/>
        </w:rPr>
        <w:t>he Orthopaedic Surgeon provide</w:t>
      </w:r>
      <w:r w:rsidR="004E4C27" w:rsidRPr="00D533AE">
        <w:rPr>
          <w:rFonts w:ascii="Arial" w:hAnsi="Arial" w:cs="Arial"/>
          <w:sz w:val="24"/>
          <w:szCs w:val="24"/>
        </w:rPr>
        <w:t>d</w:t>
      </w:r>
      <w:r w:rsidR="003F25B6" w:rsidRPr="00D533AE">
        <w:rPr>
          <w:rFonts w:ascii="Arial" w:hAnsi="Arial" w:cs="Arial"/>
          <w:sz w:val="24"/>
          <w:szCs w:val="24"/>
        </w:rPr>
        <w:t xml:space="preserve"> a bespoke procedure during joint replacement surgery by harvesting the </w:t>
      </w:r>
      <w:r w:rsidR="004E4C27" w:rsidRPr="00D533AE">
        <w:rPr>
          <w:rFonts w:ascii="Arial" w:hAnsi="Arial" w:cs="Arial"/>
          <w:sz w:val="24"/>
          <w:szCs w:val="24"/>
        </w:rPr>
        <w:t xml:space="preserve">intact </w:t>
      </w:r>
      <w:r w:rsidR="003F25B6" w:rsidRPr="00D533AE">
        <w:rPr>
          <w:rFonts w:ascii="Arial" w:hAnsi="Arial" w:cs="Arial"/>
          <w:sz w:val="24"/>
          <w:szCs w:val="24"/>
        </w:rPr>
        <w:t>tibia</w:t>
      </w:r>
      <w:r w:rsidR="004E4C27" w:rsidRPr="00D533AE">
        <w:rPr>
          <w:rFonts w:ascii="Arial" w:hAnsi="Arial" w:cs="Arial"/>
          <w:sz w:val="24"/>
          <w:szCs w:val="24"/>
        </w:rPr>
        <w:t>l plateau</w:t>
      </w:r>
      <w:r w:rsidR="003F25B6" w:rsidRPr="00D533AE">
        <w:rPr>
          <w:rFonts w:ascii="Arial" w:hAnsi="Arial" w:cs="Arial"/>
          <w:sz w:val="24"/>
          <w:szCs w:val="24"/>
        </w:rPr>
        <w:t xml:space="preserve">. </w:t>
      </w:r>
      <w:r w:rsidRPr="00D533AE">
        <w:rPr>
          <w:rFonts w:ascii="Arial" w:hAnsi="Arial" w:cs="Arial"/>
          <w:sz w:val="24"/>
          <w:szCs w:val="24"/>
        </w:rPr>
        <w:t xml:space="preserve">After removal, BML and non-BML tissue </w:t>
      </w:r>
      <w:r w:rsidRPr="00D533AE">
        <w:rPr>
          <w:rFonts w:ascii="Arial" w:hAnsi="Arial" w:cs="Arial"/>
          <w:sz w:val="24"/>
          <w:szCs w:val="24"/>
        </w:rPr>
        <w:lastRenderedPageBreak/>
        <w:t>w</w:t>
      </w:r>
      <w:r w:rsidR="006C0FE1" w:rsidRPr="00D533AE">
        <w:rPr>
          <w:rFonts w:ascii="Arial" w:hAnsi="Arial" w:cs="Arial"/>
          <w:sz w:val="24"/>
          <w:szCs w:val="24"/>
        </w:rPr>
        <w:t>ere</w:t>
      </w:r>
      <w:r w:rsidRPr="00D533AE">
        <w:rPr>
          <w:rFonts w:ascii="Arial" w:hAnsi="Arial" w:cs="Arial"/>
          <w:sz w:val="24"/>
          <w:szCs w:val="24"/>
        </w:rPr>
        <w:t xml:space="preserve"> approximately </w:t>
      </w:r>
      <w:r w:rsidR="006C0FE1" w:rsidRPr="00D533AE">
        <w:rPr>
          <w:rFonts w:ascii="Arial" w:hAnsi="Arial" w:cs="Arial"/>
          <w:sz w:val="24"/>
          <w:szCs w:val="24"/>
        </w:rPr>
        <w:t>co-</w:t>
      </w:r>
      <w:r w:rsidR="009E2F02" w:rsidRPr="00D533AE">
        <w:rPr>
          <w:rFonts w:ascii="Arial" w:hAnsi="Arial" w:cs="Arial"/>
          <w:sz w:val="24"/>
          <w:szCs w:val="24"/>
        </w:rPr>
        <w:t>localised</w:t>
      </w:r>
      <w:r w:rsidR="006C0FE1" w:rsidRPr="00D533AE">
        <w:rPr>
          <w:rFonts w:ascii="Arial" w:hAnsi="Arial" w:cs="Arial"/>
          <w:sz w:val="24"/>
          <w:szCs w:val="24"/>
        </w:rPr>
        <w:t xml:space="preserve"> by the surgeon with</w:t>
      </w:r>
      <w:r w:rsidR="004E4C27" w:rsidRPr="00D533AE">
        <w:rPr>
          <w:rFonts w:ascii="Arial" w:eastAsia="Times New Roman" w:hAnsi="Arial" w:cs="Arial"/>
          <w:sz w:val="24"/>
          <w:szCs w:val="24"/>
          <w:lang w:eastAsia="en-GB"/>
        </w:rPr>
        <w:t xml:space="preserve"> MOAKS-defined</w:t>
      </w:r>
      <w:r w:rsidR="00AB3832" w:rsidRPr="00D533AE">
        <w:rPr>
          <w:rFonts w:ascii="Arial" w:hAnsi="Arial" w:cs="Arial"/>
          <w:sz w:val="24"/>
          <w:szCs w:val="24"/>
        </w:rPr>
        <w:t xml:space="preserve"> BML</w:t>
      </w:r>
      <w:r w:rsidR="006C0FE1" w:rsidRPr="00D533AE">
        <w:rPr>
          <w:rFonts w:ascii="Arial" w:hAnsi="Arial" w:cs="Arial"/>
          <w:sz w:val="24"/>
          <w:szCs w:val="24"/>
        </w:rPr>
        <w:t>s,</w:t>
      </w:r>
      <w:r w:rsidR="00AB3832" w:rsidRPr="00D533AE">
        <w:rPr>
          <w:rFonts w:ascii="Arial" w:hAnsi="Arial" w:cs="Arial"/>
          <w:sz w:val="24"/>
          <w:szCs w:val="24"/>
        </w:rPr>
        <w:t xml:space="preserve"> labelled with a marker for further dissection </w:t>
      </w:r>
      <w:r w:rsidR="006C0FE1" w:rsidRPr="00D533AE">
        <w:rPr>
          <w:rFonts w:ascii="Arial" w:hAnsi="Arial" w:cs="Arial"/>
          <w:sz w:val="24"/>
          <w:szCs w:val="24"/>
        </w:rPr>
        <w:t>and processing</w:t>
      </w:r>
      <w:r w:rsidR="003F25B6" w:rsidRPr="00D533AE">
        <w:rPr>
          <w:rFonts w:ascii="Arial" w:hAnsi="Arial" w:cs="Arial"/>
          <w:sz w:val="24"/>
          <w:szCs w:val="24"/>
        </w:rPr>
        <w:t>. In addition to BML regions, a</w:t>
      </w:r>
      <w:r w:rsidR="00F5391D" w:rsidRPr="00D533AE">
        <w:rPr>
          <w:rFonts w:ascii="Arial" w:eastAsia="Times New Roman" w:hAnsi="Arial" w:cs="Arial"/>
          <w:sz w:val="24"/>
          <w:szCs w:val="24"/>
          <w:lang w:eastAsia="en-GB"/>
        </w:rPr>
        <w:t xml:space="preserve"> comparator non-BML region from the same </w:t>
      </w:r>
      <w:r w:rsidR="00495539" w:rsidRPr="00D533AE">
        <w:rPr>
          <w:rFonts w:ascii="Arial" w:eastAsia="Times New Roman" w:hAnsi="Arial" w:cs="Arial"/>
          <w:sz w:val="24"/>
          <w:szCs w:val="24"/>
          <w:lang w:eastAsia="en-GB"/>
        </w:rPr>
        <w:t>participant</w:t>
      </w:r>
      <w:r w:rsidR="00F5391D" w:rsidRPr="00D533AE">
        <w:rPr>
          <w:rFonts w:ascii="Arial" w:eastAsia="Times New Roman" w:hAnsi="Arial" w:cs="Arial"/>
          <w:sz w:val="24"/>
          <w:szCs w:val="24"/>
          <w:lang w:eastAsia="en-GB"/>
        </w:rPr>
        <w:t xml:space="preserve"> was also </w:t>
      </w:r>
      <w:r w:rsidR="00F00040" w:rsidRPr="00D533AE">
        <w:rPr>
          <w:rFonts w:ascii="Arial" w:eastAsia="Times New Roman" w:hAnsi="Arial" w:cs="Arial"/>
          <w:sz w:val="24"/>
          <w:szCs w:val="24"/>
          <w:lang w:eastAsia="en-GB"/>
        </w:rPr>
        <w:t>labelled</w:t>
      </w:r>
      <w:r w:rsidR="00F5391D" w:rsidRPr="00D533AE">
        <w:rPr>
          <w:rFonts w:ascii="Arial" w:eastAsia="Times New Roman" w:hAnsi="Arial" w:cs="Arial"/>
          <w:sz w:val="24"/>
          <w:szCs w:val="24"/>
          <w:lang w:eastAsia="en-GB"/>
        </w:rPr>
        <w:t>.</w:t>
      </w:r>
      <w:r w:rsidR="00F00040" w:rsidRPr="00D533AE">
        <w:rPr>
          <w:rFonts w:ascii="Arial" w:eastAsia="Times New Roman" w:hAnsi="Arial" w:cs="Arial"/>
          <w:sz w:val="24"/>
          <w:szCs w:val="24"/>
          <w:lang w:eastAsia="en-GB"/>
        </w:rPr>
        <w:t xml:space="preserve"> Figure 1 illustrates co-</w:t>
      </w:r>
      <w:r w:rsidR="009E2F02" w:rsidRPr="00D533AE">
        <w:rPr>
          <w:rFonts w:ascii="Arial" w:eastAsia="Times New Roman" w:hAnsi="Arial" w:cs="Arial"/>
          <w:sz w:val="24"/>
          <w:szCs w:val="24"/>
          <w:lang w:eastAsia="en-GB"/>
        </w:rPr>
        <w:t>localisation</w:t>
      </w:r>
      <w:r w:rsidR="00F00040" w:rsidRPr="00D533AE">
        <w:rPr>
          <w:rFonts w:ascii="Arial" w:eastAsia="Times New Roman" w:hAnsi="Arial" w:cs="Arial"/>
          <w:sz w:val="24"/>
          <w:szCs w:val="24"/>
          <w:lang w:eastAsia="en-GB"/>
        </w:rPr>
        <w:t xml:space="preserve"> of</w:t>
      </w:r>
      <w:r w:rsidR="00644FA9" w:rsidRPr="00D533AE">
        <w:rPr>
          <w:rFonts w:ascii="Arial" w:eastAsia="Times New Roman" w:hAnsi="Arial" w:cs="Arial"/>
          <w:sz w:val="24"/>
          <w:szCs w:val="24"/>
          <w:lang w:eastAsia="en-GB"/>
        </w:rPr>
        <w:t xml:space="preserve"> </w:t>
      </w:r>
      <w:r w:rsidR="00F00040" w:rsidRPr="00D533AE">
        <w:rPr>
          <w:rFonts w:ascii="Arial" w:eastAsia="Times New Roman" w:hAnsi="Arial" w:cs="Arial"/>
          <w:sz w:val="24"/>
          <w:szCs w:val="24"/>
          <w:lang w:eastAsia="en-GB"/>
        </w:rPr>
        <w:t>MRI images and pathological samples</w:t>
      </w:r>
      <w:r w:rsidR="00F00040" w:rsidRPr="00D533AE">
        <w:rPr>
          <w:rFonts w:ascii="Arial" w:hAnsi="Arial" w:cs="Arial"/>
          <w:sz w:val="24"/>
          <w:szCs w:val="24"/>
        </w:rPr>
        <w:t xml:space="preserve">. </w:t>
      </w:r>
      <w:r w:rsidR="00AB3832" w:rsidRPr="00D533AE">
        <w:rPr>
          <w:rFonts w:ascii="Arial" w:hAnsi="Arial" w:cs="Arial"/>
          <w:sz w:val="24"/>
          <w:szCs w:val="24"/>
        </w:rPr>
        <w:t xml:space="preserve">The 10 BML and 10 non-BML samples were used to </w:t>
      </w:r>
      <w:r w:rsidR="00942255" w:rsidRPr="00D533AE">
        <w:rPr>
          <w:rFonts w:ascii="Arial" w:hAnsi="Arial" w:cs="Arial"/>
          <w:sz w:val="24"/>
          <w:szCs w:val="24"/>
        </w:rPr>
        <w:t xml:space="preserve">develop the OABS </w:t>
      </w:r>
      <w:r w:rsidR="00AB3832" w:rsidRPr="00D533AE">
        <w:rPr>
          <w:rFonts w:ascii="Arial" w:hAnsi="Arial" w:cs="Arial"/>
          <w:sz w:val="24"/>
          <w:szCs w:val="24"/>
        </w:rPr>
        <w:t xml:space="preserve">histological scoring system. </w:t>
      </w:r>
      <w:bookmarkEnd w:id="3"/>
      <w:r w:rsidR="00AB3832" w:rsidRPr="00D533AE">
        <w:rPr>
          <w:rFonts w:ascii="Arial" w:eastAsia="Times New Roman" w:hAnsi="Arial" w:cs="Arial"/>
          <w:sz w:val="24"/>
          <w:szCs w:val="24"/>
          <w:lang w:eastAsia="en-GB"/>
        </w:rPr>
        <w:t>For sample processing please see Supplementary methods.</w:t>
      </w:r>
    </w:p>
    <w:p w14:paraId="2C646102" w14:textId="77777777" w:rsidR="00F81B68" w:rsidRPr="00D533AE" w:rsidRDefault="00110759" w:rsidP="00B832F2">
      <w:pPr>
        <w:pStyle w:val="PlainText"/>
        <w:spacing w:line="480" w:lineRule="auto"/>
        <w:jc w:val="both"/>
        <w:rPr>
          <w:rFonts w:ascii="Arial" w:eastAsia="Times New Roman" w:hAnsi="Arial" w:cs="Arial"/>
          <w:sz w:val="24"/>
          <w:szCs w:val="24"/>
          <w:lang w:eastAsia="en-GB"/>
        </w:rPr>
      </w:pPr>
      <w:r w:rsidRPr="00D533AE">
        <w:rPr>
          <w:rFonts w:ascii="Arial" w:hAnsi="Arial" w:cs="Arial"/>
          <w:sz w:val="24"/>
          <w:szCs w:val="24"/>
        </w:rPr>
        <w:t xml:space="preserve">In order to then </w:t>
      </w:r>
      <w:r w:rsidR="00A56F8D" w:rsidRPr="00D533AE">
        <w:rPr>
          <w:rFonts w:ascii="Arial" w:hAnsi="Arial" w:cs="Arial"/>
          <w:sz w:val="24"/>
          <w:szCs w:val="24"/>
        </w:rPr>
        <w:t xml:space="preserve">further develop and validate </w:t>
      </w:r>
      <w:r w:rsidRPr="00D533AE">
        <w:rPr>
          <w:rFonts w:ascii="Arial" w:hAnsi="Arial" w:cs="Arial"/>
          <w:sz w:val="24"/>
          <w:szCs w:val="24"/>
        </w:rPr>
        <w:t>the histological scoring system in an independent dataset of subchondral bone samples, tissue was assessed in post-mortem samples and subchondral bone from knee joint replacement surgeries.</w:t>
      </w:r>
      <w:r w:rsidR="00B832F2" w:rsidRPr="00D533AE">
        <w:rPr>
          <w:rFonts w:ascii="Arial" w:hAnsi="Arial" w:cs="Arial"/>
          <w:sz w:val="24"/>
          <w:szCs w:val="24"/>
        </w:rPr>
        <w:t xml:space="preserve"> </w:t>
      </w:r>
      <w:r w:rsidR="003A7FD8" w:rsidRPr="00D533AE">
        <w:rPr>
          <w:rFonts w:ascii="Arial" w:eastAsia="Times New Roman" w:hAnsi="Arial" w:cs="Arial"/>
          <w:sz w:val="24"/>
          <w:szCs w:val="24"/>
          <w:lang w:eastAsia="en-GB"/>
        </w:rPr>
        <w:t>Subchondral bone from the mid-coronal section of medial tibial plateau from a</w:t>
      </w:r>
      <w:r w:rsidR="00495539" w:rsidRPr="00D533AE">
        <w:rPr>
          <w:rFonts w:ascii="Arial" w:eastAsia="Times New Roman" w:hAnsi="Arial" w:cs="Arial"/>
          <w:sz w:val="24"/>
          <w:szCs w:val="24"/>
          <w:lang w:eastAsia="en-GB"/>
        </w:rPr>
        <w:t xml:space="preserve">dditional </w:t>
      </w:r>
      <w:r w:rsidR="003A7FD8" w:rsidRPr="00D533AE">
        <w:rPr>
          <w:rFonts w:ascii="Arial" w:eastAsia="Times New Roman" w:hAnsi="Arial" w:cs="Arial"/>
          <w:sz w:val="24"/>
          <w:szCs w:val="24"/>
          <w:lang w:eastAsia="en-GB"/>
        </w:rPr>
        <w:t xml:space="preserve">cases were donated </w:t>
      </w:r>
      <w:r w:rsidR="00F81B68" w:rsidRPr="00D533AE">
        <w:rPr>
          <w:rFonts w:ascii="Arial" w:eastAsia="Times New Roman" w:hAnsi="Arial" w:cs="Arial"/>
          <w:sz w:val="24"/>
          <w:szCs w:val="24"/>
          <w:lang w:eastAsia="en-GB"/>
        </w:rPr>
        <w:t>without MRI</w:t>
      </w:r>
      <w:r w:rsidR="006D1008" w:rsidRPr="00D533AE">
        <w:rPr>
          <w:rFonts w:ascii="Arial" w:eastAsia="Times New Roman" w:hAnsi="Arial" w:cs="Arial"/>
          <w:sz w:val="24"/>
          <w:szCs w:val="24"/>
          <w:lang w:eastAsia="en-GB"/>
        </w:rPr>
        <w:t>,</w:t>
      </w:r>
      <w:r w:rsidR="00F81B68" w:rsidRPr="00D533AE">
        <w:rPr>
          <w:rFonts w:ascii="Arial" w:eastAsia="Times New Roman" w:hAnsi="Arial" w:cs="Arial"/>
          <w:sz w:val="24"/>
          <w:szCs w:val="24"/>
          <w:lang w:eastAsia="en-GB"/>
        </w:rPr>
        <w:t xml:space="preserve"> </w:t>
      </w:r>
      <w:r w:rsidR="003A7FD8" w:rsidRPr="00D533AE">
        <w:rPr>
          <w:rFonts w:ascii="Arial" w:eastAsia="Times New Roman" w:hAnsi="Arial" w:cs="Arial"/>
          <w:sz w:val="24"/>
          <w:szCs w:val="24"/>
          <w:lang w:eastAsia="en-GB"/>
        </w:rPr>
        <w:t xml:space="preserve">at TKR for </w:t>
      </w:r>
      <w:r w:rsidR="0027510F" w:rsidRPr="00D533AE">
        <w:rPr>
          <w:rFonts w:ascii="Arial" w:eastAsia="Times New Roman" w:hAnsi="Arial" w:cs="Arial"/>
          <w:sz w:val="24"/>
          <w:szCs w:val="24"/>
          <w:lang w:eastAsia="en-GB"/>
        </w:rPr>
        <w:t>OA</w:t>
      </w:r>
      <w:r w:rsidR="00F81B68" w:rsidRPr="00D533AE">
        <w:rPr>
          <w:rFonts w:ascii="Arial" w:eastAsia="Times New Roman" w:hAnsi="Arial" w:cs="Arial"/>
          <w:sz w:val="24"/>
          <w:szCs w:val="24"/>
          <w:lang w:eastAsia="en-GB"/>
        </w:rPr>
        <w:t>,</w:t>
      </w:r>
      <w:r w:rsidR="003A7FD8" w:rsidRPr="00D533AE">
        <w:rPr>
          <w:rFonts w:ascii="Arial" w:eastAsia="Times New Roman" w:hAnsi="Arial" w:cs="Arial"/>
          <w:sz w:val="24"/>
          <w:szCs w:val="24"/>
          <w:lang w:eastAsia="en-GB"/>
        </w:rPr>
        <w:t xml:space="preserve"> or post mortem</w:t>
      </w:r>
      <w:r w:rsidR="00F81B68" w:rsidRPr="00D533AE">
        <w:rPr>
          <w:rFonts w:ascii="Arial" w:eastAsia="Times New Roman" w:hAnsi="Arial" w:cs="Arial"/>
          <w:sz w:val="24"/>
          <w:szCs w:val="24"/>
          <w:lang w:eastAsia="en-GB"/>
        </w:rPr>
        <w:t>,</w:t>
      </w:r>
      <w:r w:rsidR="003A7FD8" w:rsidRPr="00D533AE">
        <w:rPr>
          <w:rFonts w:ascii="Arial" w:eastAsia="Times New Roman" w:hAnsi="Arial" w:cs="Arial"/>
          <w:sz w:val="24"/>
          <w:szCs w:val="24"/>
          <w:lang w:eastAsia="en-GB"/>
        </w:rPr>
        <w:t xml:space="preserve"> </w:t>
      </w:r>
      <w:r w:rsidR="00D00201" w:rsidRPr="00D533AE">
        <w:rPr>
          <w:rFonts w:ascii="Arial" w:eastAsia="Times New Roman" w:hAnsi="Arial" w:cs="Arial"/>
          <w:sz w:val="24"/>
          <w:szCs w:val="24"/>
          <w:lang w:eastAsia="en-GB"/>
        </w:rPr>
        <w:t>as previously described</w:t>
      </w:r>
      <w:r w:rsidR="00F81B68" w:rsidRPr="00D533AE">
        <w:rPr>
          <w:rFonts w:ascii="Arial" w:eastAsia="Times New Roman" w:hAnsi="Arial" w:cs="Arial"/>
          <w:sz w:val="24"/>
          <w:szCs w:val="24"/>
          <w:lang w:eastAsia="en-GB"/>
        </w:rPr>
        <w:t xml:space="preserve"> (Ethical Approval</w:t>
      </w:r>
      <w:r w:rsidR="00EE68AE" w:rsidRPr="00D533AE">
        <w:rPr>
          <w:rFonts w:ascii="Arial" w:eastAsia="Times New Roman" w:hAnsi="Arial" w:cs="Arial"/>
          <w:sz w:val="24"/>
          <w:szCs w:val="24"/>
          <w:lang w:eastAsia="en-GB"/>
        </w:rPr>
        <w:t>s</w:t>
      </w:r>
      <w:r w:rsidR="00F81B68" w:rsidRPr="00D533AE">
        <w:rPr>
          <w:rFonts w:ascii="Arial" w:eastAsia="Times New Roman" w:hAnsi="Arial" w:cs="Arial"/>
          <w:sz w:val="24"/>
          <w:szCs w:val="24"/>
          <w:lang w:eastAsia="en-GB"/>
        </w:rPr>
        <w:t xml:space="preserve"> from the East Midlands Derby REC, study number 16/EM/0026</w:t>
      </w:r>
      <w:r w:rsidR="00EE68AE" w:rsidRPr="00D533AE">
        <w:rPr>
          <w:rFonts w:ascii="Arial" w:eastAsia="Times New Roman" w:hAnsi="Arial" w:cs="Arial"/>
          <w:sz w:val="24"/>
          <w:szCs w:val="24"/>
          <w:lang w:eastAsia="en-GB"/>
        </w:rPr>
        <w:t xml:space="preserve"> and Nottingham Research Ethics Committee 1 (05/Q2403/24) and Derby Research Ethics Committee 1 (11/H0405/2)</w:t>
      </w:r>
      <w:r w:rsidR="00594C48" w:rsidRPr="00D533AE">
        <w:rPr>
          <w:rFonts w:ascii="Arial" w:eastAsia="Times New Roman" w:hAnsi="Arial" w:cs="Arial"/>
          <w:sz w:val="24"/>
          <w:szCs w:val="24"/>
          <w:lang w:eastAsia="en-GB"/>
        </w:rPr>
        <w:t xml:space="preserve"> </w:t>
      </w:r>
      <w:r w:rsidR="00D00201" w:rsidRPr="00D533AE">
        <w:rPr>
          <w:rFonts w:ascii="Arial" w:eastAsia="Times New Roman" w:hAnsi="Arial" w:cs="Arial"/>
          <w:sz w:val="24"/>
          <w:szCs w:val="24"/>
          <w:lang w:eastAsia="en-GB"/>
        </w:rPr>
        <w:t>(7)</w:t>
      </w:r>
      <w:r w:rsidR="00324E17" w:rsidRPr="00D533AE">
        <w:rPr>
          <w:rFonts w:ascii="Arial" w:eastAsia="Times New Roman" w:hAnsi="Arial" w:cs="Arial"/>
          <w:sz w:val="24"/>
          <w:szCs w:val="24"/>
          <w:lang w:eastAsia="en-GB"/>
        </w:rPr>
        <w:t xml:space="preserve">. </w:t>
      </w:r>
      <w:r w:rsidR="00BB6DD1" w:rsidRPr="00D533AE">
        <w:rPr>
          <w:rFonts w:ascii="Arial" w:eastAsia="Times New Roman" w:hAnsi="Arial" w:cs="Arial"/>
          <w:sz w:val="24"/>
          <w:szCs w:val="24"/>
          <w:lang w:eastAsia="en-GB"/>
        </w:rPr>
        <w:t>In the development study, n</w:t>
      </w:r>
      <w:r w:rsidR="00F81B68" w:rsidRPr="00D533AE">
        <w:rPr>
          <w:rFonts w:ascii="Arial" w:eastAsia="Times New Roman" w:hAnsi="Arial" w:cs="Arial"/>
          <w:sz w:val="24"/>
          <w:szCs w:val="24"/>
          <w:lang w:eastAsia="en-GB"/>
        </w:rPr>
        <w:t xml:space="preserve">on-arthritic post mortem cases had no known history </w:t>
      </w:r>
      <w:r w:rsidR="00BB6DD1" w:rsidRPr="00D533AE">
        <w:rPr>
          <w:rFonts w:ascii="Arial" w:eastAsia="Times New Roman" w:hAnsi="Arial" w:cs="Arial"/>
          <w:sz w:val="24"/>
          <w:szCs w:val="24"/>
          <w:lang w:eastAsia="en-GB"/>
        </w:rPr>
        <w:t xml:space="preserve">nor macroscopic appearances </w:t>
      </w:r>
      <w:r w:rsidR="00F81B68" w:rsidRPr="00D533AE">
        <w:rPr>
          <w:rFonts w:ascii="Arial" w:eastAsia="Times New Roman" w:hAnsi="Arial" w:cs="Arial"/>
          <w:sz w:val="24"/>
          <w:szCs w:val="24"/>
          <w:lang w:eastAsia="en-GB"/>
        </w:rPr>
        <w:t xml:space="preserve">of OA, were age and sex matched to OA </w:t>
      </w:r>
      <w:r w:rsidR="00324E17" w:rsidRPr="00D533AE">
        <w:rPr>
          <w:rFonts w:ascii="Arial" w:eastAsia="Times New Roman" w:hAnsi="Arial" w:cs="Arial"/>
          <w:sz w:val="24"/>
          <w:szCs w:val="24"/>
          <w:lang w:eastAsia="en-GB"/>
        </w:rPr>
        <w:t>cases</w:t>
      </w:r>
      <w:r w:rsidR="006D1008" w:rsidRPr="00D533AE">
        <w:rPr>
          <w:rFonts w:ascii="Arial" w:eastAsia="Times New Roman" w:hAnsi="Arial" w:cs="Arial"/>
          <w:sz w:val="24"/>
          <w:szCs w:val="24"/>
          <w:lang w:eastAsia="en-GB"/>
        </w:rPr>
        <w:t>, and had not undergone knee MRI</w:t>
      </w:r>
      <w:r w:rsidR="00324E17" w:rsidRPr="00D533AE">
        <w:rPr>
          <w:rFonts w:ascii="Arial" w:eastAsia="Times New Roman" w:hAnsi="Arial" w:cs="Arial"/>
          <w:sz w:val="24"/>
          <w:szCs w:val="24"/>
          <w:lang w:eastAsia="en-GB"/>
        </w:rPr>
        <w:t>.</w:t>
      </w:r>
      <w:r w:rsidR="00A56F8D" w:rsidRPr="00D533AE">
        <w:rPr>
          <w:rFonts w:ascii="Arial" w:eastAsia="Times New Roman" w:hAnsi="Arial" w:cs="Arial"/>
          <w:sz w:val="24"/>
          <w:szCs w:val="24"/>
          <w:lang w:eastAsia="en-GB"/>
        </w:rPr>
        <w:t xml:space="preserve"> In the validation study, TKR and post mortem cases were consecutive cases from the Sherwood Forest Hospitals NHS Foundation Trust Joint Tissue Repository.</w:t>
      </w:r>
    </w:p>
    <w:p w14:paraId="21EA630B" w14:textId="77777777" w:rsidR="005D2744" w:rsidRPr="00D533AE" w:rsidRDefault="005D2744" w:rsidP="008518A1">
      <w:pPr>
        <w:spacing w:after="0" w:line="480" w:lineRule="auto"/>
        <w:jc w:val="both"/>
        <w:rPr>
          <w:rFonts w:ascii="Arial" w:eastAsia="Times New Roman" w:hAnsi="Arial" w:cs="Arial"/>
          <w:sz w:val="24"/>
          <w:szCs w:val="24"/>
          <w:lang w:eastAsia="en-GB"/>
        </w:rPr>
      </w:pPr>
    </w:p>
    <w:p w14:paraId="37E66441" w14:textId="77777777" w:rsidR="008518A1" w:rsidRPr="00D533AE" w:rsidRDefault="008518A1" w:rsidP="008518A1">
      <w:pPr>
        <w:spacing w:after="0" w:line="480" w:lineRule="auto"/>
        <w:jc w:val="both"/>
        <w:rPr>
          <w:rFonts w:ascii="Arial" w:eastAsia="Times New Roman" w:hAnsi="Arial" w:cs="Arial"/>
          <w:i/>
          <w:iCs/>
          <w:sz w:val="24"/>
          <w:szCs w:val="24"/>
          <w:lang w:eastAsia="en-GB"/>
        </w:rPr>
      </w:pPr>
      <w:r w:rsidRPr="00D533AE">
        <w:rPr>
          <w:rFonts w:ascii="Arial" w:eastAsia="Times New Roman" w:hAnsi="Arial" w:cs="Arial"/>
          <w:i/>
          <w:iCs/>
          <w:sz w:val="24"/>
          <w:szCs w:val="24"/>
          <w:lang w:eastAsia="en-GB"/>
        </w:rPr>
        <w:t>Tissue preparation histolog</w:t>
      </w:r>
      <w:r w:rsidR="002F2C3B" w:rsidRPr="00D533AE">
        <w:rPr>
          <w:rFonts w:ascii="Arial" w:eastAsia="Times New Roman" w:hAnsi="Arial" w:cs="Arial"/>
          <w:i/>
          <w:iCs/>
          <w:sz w:val="24"/>
          <w:szCs w:val="24"/>
          <w:lang w:eastAsia="en-GB"/>
        </w:rPr>
        <w:t>ical analysis</w:t>
      </w:r>
    </w:p>
    <w:p w14:paraId="1CA0E17D" w14:textId="77777777" w:rsidR="00D541FB" w:rsidRPr="00D533AE" w:rsidRDefault="008518A1" w:rsidP="00146BCE">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 xml:space="preserve">Tissue sections were stained with haematoxylin and eosin </w:t>
      </w:r>
      <w:r w:rsidR="00F81B68" w:rsidRPr="00D533AE">
        <w:rPr>
          <w:rFonts w:ascii="Arial" w:eastAsia="Times New Roman" w:hAnsi="Arial" w:cs="Arial"/>
          <w:sz w:val="24"/>
          <w:szCs w:val="24"/>
          <w:lang w:eastAsia="en-GB"/>
        </w:rPr>
        <w:t xml:space="preserve">or </w:t>
      </w:r>
      <w:r w:rsidRPr="00D533AE">
        <w:rPr>
          <w:rFonts w:ascii="Arial" w:eastAsia="Times New Roman" w:hAnsi="Arial" w:cs="Arial"/>
          <w:sz w:val="24"/>
          <w:szCs w:val="24"/>
          <w:lang w:eastAsia="en-GB"/>
        </w:rPr>
        <w:t>Safranin O/Fast green</w:t>
      </w:r>
      <w:r w:rsidR="006C3C31" w:rsidRPr="00D533AE">
        <w:rPr>
          <w:rFonts w:ascii="Arial" w:eastAsia="Times New Roman" w:hAnsi="Arial" w:cs="Arial"/>
          <w:sz w:val="24"/>
          <w:szCs w:val="24"/>
          <w:lang w:eastAsia="en-GB"/>
        </w:rPr>
        <w:t xml:space="preserve"> using standard protocols</w:t>
      </w:r>
      <w:r w:rsidR="00A56F8D" w:rsidRPr="00D533AE">
        <w:rPr>
          <w:rFonts w:ascii="Arial" w:eastAsia="Times New Roman" w:hAnsi="Arial" w:cs="Arial"/>
          <w:sz w:val="24"/>
          <w:szCs w:val="24"/>
          <w:lang w:eastAsia="en-GB"/>
        </w:rPr>
        <w:t xml:space="preserve"> (one of each per case)</w:t>
      </w:r>
      <w:r w:rsidRPr="00D533AE">
        <w:rPr>
          <w:rFonts w:ascii="Arial" w:eastAsia="Times New Roman" w:hAnsi="Arial" w:cs="Arial"/>
          <w:sz w:val="24"/>
          <w:szCs w:val="24"/>
          <w:lang w:eastAsia="en-GB"/>
        </w:rPr>
        <w:t xml:space="preserve">. A standardised chondropathy score for each participant was obtained using the Mankin chondropathy grading system (0-14) (6). </w:t>
      </w:r>
    </w:p>
    <w:p w14:paraId="62F74403" w14:textId="77777777" w:rsidR="00745FA8" w:rsidRPr="00D533AE" w:rsidRDefault="00534332" w:rsidP="00146BCE">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lastRenderedPageBreak/>
        <w:t>Subchondral feature</w:t>
      </w:r>
      <w:r w:rsidR="00240E2B" w:rsidRPr="00D533AE">
        <w:rPr>
          <w:rFonts w:ascii="Arial" w:eastAsia="Times New Roman" w:hAnsi="Arial" w:cs="Arial"/>
          <w:sz w:val="24"/>
          <w:szCs w:val="24"/>
          <w:lang w:eastAsia="en-GB"/>
        </w:rPr>
        <w:t>s</w:t>
      </w:r>
      <w:r w:rsidRPr="00D533AE">
        <w:rPr>
          <w:rFonts w:ascii="Arial" w:eastAsia="Times New Roman" w:hAnsi="Arial" w:cs="Arial"/>
          <w:sz w:val="24"/>
          <w:szCs w:val="24"/>
          <w:lang w:eastAsia="en-GB"/>
        </w:rPr>
        <w:t xml:space="preserve"> associated with BMLs were identified using an iterative process of analysing the histological changes observed independently (by SK, NS and MS)</w:t>
      </w:r>
      <w:r w:rsidR="00745FA8" w:rsidRPr="00D533AE">
        <w:rPr>
          <w:rFonts w:ascii="Arial" w:eastAsia="Times New Roman" w:hAnsi="Arial" w:cs="Arial"/>
          <w:sz w:val="24"/>
          <w:szCs w:val="24"/>
          <w:lang w:eastAsia="en-GB"/>
        </w:rPr>
        <w:t>.</w:t>
      </w:r>
    </w:p>
    <w:p w14:paraId="42F90B7E" w14:textId="77777777" w:rsidR="00745FA8" w:rsidRPr="00D533AE" w:rsidRDefault="004B5D50" w:rsidP="00146BCE">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There were 5 groups of histological samples tested in our study, namely Group 1: TKR for OA (development set with MRI co-</w:t>
      </w:r>
      <w:r w:rsidR="0015199E" w:rsidRPr="00D533AE">
        <w:rPr>
          <w:rFonts w:ascii="Arial" w:eastAsia="Times New Roman" w:hAnsi="Arial" w:cs="Arial"/>
          <w:sz w:val="24"/>
          <w:szCs w:val="24"/>
          <w:lang w:eastAsia="en-GB"/>
        </w:rPr>
        <w:t>localis</w:t>
      </w:r>
      <w:r w:rsidRPr="00D533AE">
        <w:rPr>
          <w:rFonts w:ascii="Arial" w:eastAsia="Times New Roman" w:hAnsi="Arial" w:cs="Arial"/>
          <w:sz w:val="24"/>
          <w:szCs w:val="24"/>
          <w:lang w:eastAsia="en-GB"/>
        </w:rPr>
        <w:t xml:space="preserve">ation for BML and histology); Group 2: Post-mortem non-arthritic controls (development set); Group 3: TKR for OA (development set); Group 4: TKR for OA (validation set); Group 5: Post-mortem samples with </w:t>
      </w:r>
      <w:proofErr w:type="spellStart"/>
      <w:r w:rsidRPr="00D533AE">
        <w:rPr>
          <w:rFonts w:ascii="Arial" w:eastAsia="Times New Roman" w:hAnsi="Arial" w:cs="Arial"/>
          <w:sz w:val="24"/>
          <w:szCs w:val="24"/>
          <w:lang w:eastAsia="en-GB"/>
        </w:rPr>
        <w:t>chondropathy</w:t>
      </w:r>
      <w:proofErr w:type="spellEnd"/>
      <w:r w:rsidRPr="00D533AE">
        <w:rPr>
          <w:rFonts w:ascii="Arial" w:eastAsia="Times New Roman" w:hAnsi="Arial" w:cs="Arial"/>
          <w:sz w:val="24"/>
          <w:szCs w:val="24"/>
          <w:lang w:eastAsia="en-GB"/>
        </w:rPr>
        <w:t xml:space="preserve"> (validation set)</w:t>
      </w:r>
      <w:r w:rsidR="00011A96" w:rsidRPr="00D533AE">
        <w:rPr>
          <w:rFonts w:ascii="Arial" w:eastAsia="Times New Roman" w:hAnsi="Arial" w:cs="Arial"/>
          <w:sz w:val="24"/>
          <w:szCs w:val="24"/>
          <w:lang w:eastAsia="en-GB"/>
        </w:rPr>
        <w:t>.</w:t>
      </w:r>
    </w:p>
    <w:p w14:paraId="673AC9E5" w14:textId="77777777" w:rsidR="00634FC1" w:rsidRPr="00D533AE" w:rsidRDefault="00634FC1" w:rsidP="00146BCE">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Seven domains of pathological change were identified associated with BMLs; cysts, subchondral fibrosis, hypervascularity, cartilage islands indicating new cartilage within the bone, thickened trabeculae, breaching of the tidemark between the cartilage and bone interface by blood vessels, and cellular infiltrates suggesting inflammation (Figure 2 &amp; 3).</w:t>
      </w:r>
    </w:p>
    <w:p w14:paraId="55605053" w14:textId="3B1851CF" w:rsidR="000E43DC" w:rsidRPr="00D533AE" w:rsidRDefault="002F2C3B" w:rsidP="00146BCE">
      <w:pPr>
        <w:spacing w:after="0" w:line="480" w:lineRule="auto"/>
        <w:jc w:val="both"/>
        <w:rPr>
          <w:rFonts w:ascii="Arial" w:eastAsia="Times New Roman" w:hAnsi="Arial" w:cs="Arial"/>
          <w:sz w:val="24"/>
          <w:szCs w:val="24"/>
          <w:lang w:eastAsia="en-GB"/>
        </w:rPr>
      </w:pPr>
      <w:bookmarkStart w:id="4" w:name="_Hlk84340572"/>
      <w:bookmarkStart w:id="5" w:name="_Hlk82506060"/>
      <w:bookmarkStart w:id="6" w:name="_Hlk82422879"/>
      <w:r w:rsidRPr="00D533AE">
        <w:rPr>
          <w:rFonts w:ascii="Arial" w:eastAsia="Times New Roman" w:hAnsi="Arial" w:cs="Arial"/>
          <w:sz w:val="24"/>
          <w:szCs w:val="24"/>
          <w:lang w:eastAsia="en-GB"/>
        </w:rPr>
        <w:t>Each feature was categorised as 0 (absent) or 1 (present) in order to develop a simple, semiquantitative scoring method, suitable for application using readily available laboratory equipment</w:t>
      </w:r>
      <w:r w:rsidR="00BE61C0" w:rsidRPr="00D533AE">
        <w:rPr>
          <w:rFonts w:ascii="Arial" w:eastAsia="Times New Roman" w:hAnsi="Arial" w:cs="Arial"/>
          <w:sz w:val="24"/>
          <w:szCs w:val="24"/>
          <w:lang w:eastAsia="en-GB"/>
        </w:rPr>
        <w:t xml:space="preserve"> (Table 1)</w:t>
      </w:r>
      <w:r w:rsidRPr="00D533AE">
        <w:rPr>
          <w:rFonts w:ascii="Arial" w:eastAsia="Times New Roman" w:hAnsi="Arial" w:cs="Arial"/>
          <w:sz w:val="24"/>
          <w:szCs w:val="24"/>
          <w:lang w:eastAsia="en-GB"/>
        </w:rPr>
        <w:t xml:space="preserve">. </w:t>
      </w:r>
      <w:r w:rsidR="00FA5E0B" w:rsidRPr="00D533AE">
        <w:rPr>
          <w:rFonts w:ascii="Arial" w:eastAsia="Times New Roman" w:hAnsi="Arial" w:cs="Arial"/>
          <w:sz w:val="24"/>
          <w:szCs w:val="24"/>
          <w:lang w:eastAsia="en-GB"/>
        </w:rPr>
        <w:t>Except where otherwise stated, e</w:t>
      </w:r>
      <w:r w:rsidR="00FA5020" w:rsidRPr="00D533AE">
        <w:rPr>
          <w:rFonts w:ascii="Arial" w:eastAsia="Times New Roman" w:hAnsi="Arial" w:cs="Arial"/>
          <w:sz w:val="24"/>
          <w:szCs w:val="24"/>
          <w:lang w:eastAsia="en-GB"/>
        </w:rPr>
        <w:t xml:space="preserve">ach feature was assessed within a standardised depth of tissue 7.2mm from the osteochondral junction into the bone and width of 15.5mm was analysed for each section. </w:t>
      </w:r>
      <w:bookmarkStart w:id="7" w:name="_Hlk87983861"/>
      <w:r w:rsidR="00FA5E0B" w:rsidRPr="00D533AE">
        <w:rPr>
          <w:rFonts w:ascii="Arial" w:eastAsia="Times New Roman" w:hAnsi="Arial" w:cs="Arial"/>
          <w:sz w:val="24"/>
          <w:szCs w:val="24"/>
          <w:lang w:eastAsia="en-GB"/>
        </w:rPr>
        <w:t xml:space="preserve">Trabecular thickness was evaluated by reference to microscopic field size in any trabeculae within 1mm below the chondro-osseous junction </w:t>
      </w:r>
      <w:r w:rsidR="00FA5E0B" w:rsidRPr="00D533AE">
        <w:rPr>
          <w:rFonts w:ascii="Arial" w:hAnsi="Arial" w:cs="Arial"/>
          <w:sz w:val="24"/>
          <w:szCs w:val="24"/>
        </w:rPr>
        <w:t xml:space="preserve">(15). </w:t>
      </w:r>
      <w:r w:rsidR="00240E2B" w:rsidRPr="00D533AE">
        <w:rPr>
          <w:rFonts w:ascii="Arial" w:eastAsia="Times New Roman" w:hAnsi="Arial" w:cs="Arial"/>
          <w:sz w:val="24"/>
          <w:szCs w:val="24"/>
          <w:lang w:eastAsia="en-GB"/>
        </w:rPr>
        <w:t xml:space="preserve">Trabecular thickening was classified if trabecular thickness was greater than 200 µm at its widest point in at least 2 trabeculae per section per case. </w:t>
      </w:r>
      <w:bookmarkEnd w:id="4"/>
      <w:bookmarkEnd w:id="5"/>
      <w:bookmarkEnd w:id="6"/>
      <w:r w:rsidR="00F0183E" w:rsidRPr="00D533AE">
        <w:rPr>
          <w:rFonts w:ascii="Arial" w:hAnsi="Arial" w:cs="Arial"/>
          <w:sz w:val="24"/>
          <w:szCs w:val="24"/>
        </w:rPr>
        <w:t xml:space="preserve">Inflammation was classified as </w:t>
      </w:r>
      <w:r w:rsidR="00141AB2" w:rsidRPr="00D533AE">
        <w:rPr>
          <w:rFonts w:ascii="Arial" w:hAnsi="Arial" w:cs="Arial"/>
          <w:sz w:val="24"/>
          <w:szCs w:val="24"/>
        </w:rPr>
        <w:t xml:space="preserve">hypercellular </w:t>
      </w:r>
      <w:r w:rsidR="00F0183E" w:rsidRPr="00D533AE">
        <w:rPr>
          <w:rFonts w:ascii="Arial" w:eastAsia="Times New Roman" w:hAnsi="Arial" w:cs="Arial"/>
          <w:sz w:val="24"/>
          <w:szCs w:val="24"/>
          <w:lang w:eastAsia="en-GB"/>
        </w:rPr>
        <w:t xml:space="preserve">fibrovascular infiltration </w:t>
      </w:r>
      <w:r w:rsidR="00175873" w:rsidRPr="00D533AE">
        <w:rPr>
          <w:rFonts w:ascii="Arial" w:eastAsia="Times New Roman" w:hAnsi="Arial" w:cs="Arial"/>
          <w:sz w:val="24"/>
          <w:szCs w:val="24"/>
          <w:lang w:eastAsia="en-GB"/>
        </w:rPr>
        <w:t>of marrow spaces</w:t>
      </w:r>
      <w:r w:rsidR="00175873" w:rsidRPr="00D533AE">
        <w:t xml:space="preserve"> </w:t>
      </w:r>
      <w:r w:rsidR="00175873" w:rsidRPr="00D533AE">
        <w:rPr>
          <w:rFonts w:ascii="Arial" w:eastAsia="Times New Roman" w:hAnsi="Arial" w:cs="Arial"/>
          <w:sz w:val="24"/>
          <w:szCs w:val="24"/>
          <w:lang w:eastAsia="en-GB"/>
        </w:rPr>
        <w:t xml:space="preserve">in at least </w:t>
      </w:r>
      <w:r w:rsidR="00D4324F" w:rsidRPr="00D533AE">
        <w:rPr>
          <w:rFonts w:ascii="Arial" w:eastAsia="Times New Roman" w:hAnsi="Arial" w:cs="Arial"/>
          <w:sz w:val="24"/>
          <w:szCs w:val="24"/>
          <w:lang w:eastAsia="en-GB"/>
        </w:rPr>
        <w:t>1</w:t>
      </w:r>
      <w:r w:rsidR="00175873" w:rsidRPr="00D533AE">
        <w:rPr>
          <w:rFonts w:ascii="Arial" w:eastAsia="Times New Roman" w:hAnsi="Arial" w:cs="Arial"/>
          <w:sz w:val="24"/>
          <w:szCs w:val="24"/>
          <w:lang w:eastAsia="en-GB"/>
        </w:rPr>
        <w:t xml:space="preserve"> region per section, containing any or all of the following: macrophages, lymphocytes, neutrophils, eosinophils, plasma cells, or histiocytes, </w:t>
      </w:r>
      <w:r w:rsidR="00141AB2" w:rsidRPr="00D533AE">
        <w:rPr>
          <w:rFonts w:ascii="Arial" w:eastAsia="Times New Roman" w:hAnsi="Arial" w:cs="Arial"/>
          <w:sz w:val="24"/>
          <w:szCs w:val="24"/>
          <w:lang w:eastAsia="en-GB"/>
        </w:rPr>
        <w:t>with or without multinuclear osteoclasts</w:t>
      </w:r>
      <w:r w:rsidR="00F0183E" w:rsidRPr="00D533AE">
        <w:rPr>
          <w:rFonts w:ascii="Arial" w:eastAsia="Times New Roman" w:hAnsi="Arial" w:cs="Arial"/>
          <w:sz w:val="24"/>
          <w:szCs w:val="24"/>
          <w:lang w:eastAsia="en-GB"/>
        </w:rPr>
        <w:t xml:space="preserve">. </w:t>
      </w:r>
      <w:bookmarkStart w:id="8" w:name="_Hlk82423101"/>
      <w:r w:rsidR="000775CD" w:rsidRPr="00D533AE">
        <w:rPr>
          <w:rFonts w:ascii="Arial" w:eastAsia="Times New Roman" w:hAnsi="Arial" w:cs="Arial"/>
          <w:sz w:val="24"/>
          <w:szCs w:val="24"/>
          <w:lang w:eastAsia="en-GB"/>
        </w:rPr>
        <w:t xml:space="preserve">Osteoclasts were identified </w:t>
      </w:r>
      <w:r w:rsidR="00D13B89" w:rsidRPr="00D533AE">
        <w:rPr>
          <w:rFonts w:ascii="Arial" w:eastAsia="Times New Roman" w:hAnsi="Arial" w:cs="Arial"/>
          <w:sz w:val="24"/>
          <w:szCs w:val="24"/>
          <w:lang w:eastAsia="en-GB"/>
        </w:rPr>
        <w:t>in</w:t>
      </w:r>
      <w:r w:rsidR="000775CD" w:rsidRPr="00D533AE">
        <w:rPr>
          <w:rFonts w:ascii="Arial" w:eastAsia="Times New Roman" w:hAnsi="Arial" w:cs="Arial"/>
          <w:sz w:val="24"/>
          <w:szCs w:val="24"/>
          <w:lang w:eastAsia="en-GB"/>
        </w:rPr>
        <w:t xml:space="preserve"> </w:t>
      </w:r>
      <w:r w:rsidR="00FA5020" w:rsidRPr="00D533AE">
        <w:rPr>
          <w:rFonts w:ascii="Arial" w:hAnsi="Arial" w:cs="Arial"/>
          <w:sz w:val="24"/>
          <w:szCs w:val="24"/>
        </w:rPr>
        <w:t>haematoxylin and eosin</w:t>
      </w:r>
      <w:r w:rsidR="000775CD" w:rsidRPr="00D533AE">
        <w:rPr>
          <w:rFonts w:ascii="Arial" w:hAnsi="Arial" w:cs="Arial"/>
          <w:sz w:val="24"/>
          <w:szCs w:val="24"/>
        </w:rPr>
        <w:t xml:space="preserve"> stain</w:t>
      </w:r>
      <w:r w:rsidR="00D13B89" w:rsidRPr="00D533AE">
        <w:rPr>
          <w:rFonts w:ascii="Arial" w:hAnsi="Arial" w:cs="Arial"/>
          <w:sz w:val="24"/>
          <w:szCs w:val="24"/>
        </w:rPr>
        <w:t>ed sections by</w:t>
      </w:r>
      <w:r w:rsidR="000775CD" w:rsidRPr="00D533AE">
        <w:rPr>
          <w:rFonts w:ascii="Arial" w:hAnsi="Arial" w:cs="Arial"/>
          <w:sz w:val="24"/>
          <w:szCs w:val="24"/>
        </w:rPr>
        <w:t xml:space="preserve"> the presence of multinucleated giant cells.</w:t>
      </w:r>
      <w:r w:rsidR="00F918B7" w:rsidRPr="00D533AE">
        <w:rPr>
          <w:rFonts w:ascii="Arial" w:hAnsi="Arial" w:cs="Arial"/>
          <w:sz w:val="24"/>
          <w:szCs w:val="24"/>
        </w:rPr>
        <w:t xml:space="preserve"> </w:t>
      </w:r>
      <w:r w:rsidR="00F918B7" w:rsidRPr="00D533AE">
        <w:rPr>
          <w:rFonts w:ascii="Arial" w:hAnsi="Arial" w:cs="Arial"/>
          <w:sz w:val="24"/>
          <w:szCs w:val="24"/>
        </w:rPr>
        <w:lastRenderedPageBreak/>
        <w:t>It is appreciated that the accuracy of identifying osteoclasts by H&amp;E and not TRAP staining has some limitations.</w:t>
      </w:r>
      <w:r w:rsidR="000775CD" w:rsidRPr="00D533AE">
        <w:rPr>
          <w:sz w:val="24"/>
          <w:szCs w:val="24"/>
        </w:rPr>
        <w:t xml:space="preserve"> </w:t>
      </w:r>
      <w:bookmarkEnd w:id="8"/>
      <w:r w:rsidR="00F0183E" w:rsidRPr="00D533AE">
        <w:rPr>
          <w:rFonts w:ascii="Arial" w:eastAsia="Times New Roman" w:hAnsi="Arial" w:cs="Arial"/>
          <w:sz w:val="24"/>
          <w:szCs w:val="24"/>
          <w:lang w:eastAsia="en-GB"/>
        </w:rPr>
        <w:t xml:space="preserve">Each </w:t>
      </w:r>
      <w:r w:rsidR="00146BCE" w:rsidRPr="00D533AE">
        <w:rPr>
          <w:rFonts w:ascii="Arial" w:eastAsia="Times New Roman" w:hAnsi="Arial" w:cs="Arial"/>
          <w:sz w:val="24"/>
          <w:szCs w:val="24"/>
          <w:lang w:eastAsia="en-GB"/>
        </w:rPr>
        <w:t>BML-associated feature</w:t>
      </w:r>
      <w:r w:rsidR="00F0183E" w:rsidRPr="00D533AE">
        <w:rPr>
          <w:rFonts w:ascii="Arial" w:eastAsia="Times New Roman" w:hAnsi="Arial" w:cs="Arial"/>
          <w:sz w:val="24"/>
          <w:szCs w:val="24"/>
          <w:lang w:eastAsia="en-GB"/>
        </w:rPr>
        <w:t xml:space="preserve"> was</w:t>
      </w:r>
      <w:r w:rsidR="00146BCE" w:rsidRPr="00D533AE">
        <w:rPr>
          <w:rFonts w:ascii="Arial" w:eastAsia="Times New Roman" w:hAnsi="Arial" w:cs="Arial"/>
          <w:sz w:val="24"/>
          <w:szCs w:val="24"/>
          <w:lang w:eastAsia="en-GB"/>
        </w:rPr>
        <w:t xml:space="preserve"> scored 0 (absent) or 1 (present)</w:t>
      </w:r>
      <w:bookmarkEnd w:id="7"/>
      <w:r w:rsidR="00146BCE" w:rsidRPr="00D533AE">
        <w:rPr>
          <w:rFonts w:ascii="Arial" w:eastAsia="Times New Roman" w:hAnsi="Arial" w:cs="Arial"/>
          <w:sz w:val="24"/>
          <w:szCs w:val="24"/>
          <w:lang w:eastAsia="en-GB"/>
        </w:rPr>
        <w:t xml:space="preserve"> and a total </w:t>
      </w:r>
      <w:r w:rsidR="008518A1" w:rsidRPr="00D533AE">
        <w:rPr>
          <w:rFonts w:ascii="Arial" w:eastAsia="Times New Roman" w:hAnsi="Arial" w:cs="Arial"/>
          <w:sz w:val="24"/>
          <w:szCs w:val="24"/>
          <w:lang w:eastAsia="en-GB"/>
        </w:rPr>
        <w:t xml:space="preserve">Osteoarthritis Bone Score (OABS) </w:t>
      </w:r>
      <w:r w:rsidR="00146BCE" w:rsidRPr="00D533AE">
        <w:rPr>
          <w:rFonts w:ascii="Arial" w:eastAsia="Times New Roman" w:hAnsi="Arial" w:cs="Arial"/>
          <w:sz w:val="24"/>
          <w:szCs w:val="24"/>
          <w:lang w:eastAsia="en-GB"/>
        </w:rPr>
        <w:t xml:space="preserve">was derived by summing individual characteristics. The OABS </w:t>
      </w:r>
      <w:r w:rsidR="008518A1" w:rsidRPr="00D533AE">
        <w:rPr>
          <w:rFonts w:ascii="Arial" w:eastAsia="Times New Roman" w:hAnsi="Arial" w:cs="Arial"/>
          <w:sz w:val="24"/>
          <w:szCs w:val="24"/>
          <w:lang w:eastAsia="en-GB"/>
        </w:rPr>
        <w:t>system was applied to all sections</w:t>
      </w:r>
      <w:r w:rsidR="00E22657" w:rsidRPr="00D533AE">
        <w:rPr>
          <w:rFonts w:ascii="Arial" w:eastAsia="Times New Roman" w:hAnsi="Arial" w:cs="Arial"/>
          <w:sz w:val="24"/>
          <w:szCs w:val="24"/>
          <w:lang w:eastAsia="en-GB"/>
        </w:rPr>
        <w:t xml:space="preserve"> (Table 1 &amp; 2</w:t>
      </w:r>
      <w:r w:rsidR="00DF527D" w:rsidRPr="00D533AE">
        <w:rPr>
          <w:rFonts w:ascii="Arial" w:eastAsia="Times New Roman" w:hAnsi="Arial" w:cs="Arial"/>
          <w:sz w:val="24"/>
          <w:szCs w:val="24"/>
          <w:lang w:eastAsia="en-GB"/>
        </w:rPr>
        <w:t xml:space="preserve">, </w:t>
      </w:r>
      <w:r w:rsidR="0061138A" w:rsidRPr="00D533AE">
        <w:rPr>
          <w:rFonts w:ascii="Arial" w:eastAsia="Times New Roman" w:hAnsi="Arial" w:cs="Arial"/>
          <w:sz w:val="24"/>
          <w:szCs w:val="24"/>
          <w:lang w:eastAsia="en-GB"/>
        </w:rPr>
        <w:t xml:space="preserve">Figure </w:t>
      </w:r>
      <w:r w:rsidR="00F56AFD" w:rsidRPr="00D533AE">
        <w:rPr>
          <w:rFonts w:ascii="Arial" w:eastAsia="Times New Roman" w:hAnsi="Arial" w:cs="Arial"/>
          <w:sz w:val="24"/>
          <w:szCs w:val="24"/>
          <w:lang w:eastAsia="en-GB"/>
        </w:rPr>
        <w:t>2</w:t>
      </w:r>
      <w:r w:rsidR="0061138A" w:rsidRPr="00D533AE">
        <w:rPr>
          <w:rFonts w:ascii="Arial" w:eastAsia="Times New Roman" w:hAnsi="Arial" w:cs="Arial"/>
          <w:sz w:val="24"/>
          <w:szCs w:val="24"/>
          <w:lang w:eastAsia="en-GB"/>
        </w:rPr>
        <w:t>)</w:t>
      </w:r>
      <w:r w:rsidR="008518A1" w:rsidRPr="00D533AE">
        <w:rPr>
          <w:rFonts w:ascii="Arial" w:eastAsia="Times New Roman" w:hAnsi="Arial" w:cs="Arial"/>
          <w:sz w:val="24"/>
          <w:szCs w:val="24"/>
          <w:lang w:eastAsia="en-GB"/>
        </w:rPr>
        <w:t>.</w:t>
      </w:r>
    </w:p>
    <w:p w14:paraId="6AF65CD6" w14:textId="7B66E425" w:rsidR="00AC1A2C" w:rsidRPr="00D533AE" w:rsidRDefault="00F6088D" w:rsidP="00DA76F9">
      <w:pPr>
        <w:pStyle w:val="NormalWeb"/>
        <w:spacing w:before="0" w:beforeAutospacing="0" w:after="0" w:afterAutospacing="0" w:line="480" w:lineRule="auto"/>
        <w:jc w:val="both"/>
        <w:rPr>
          <w:rFonts w:ascii="Arial" w:hAnsi="Arial" w:cs="Arial"/>
        </w:rPr>
      </w:pPr>
      <w:r w:rsidRPr="00D533AE">
        <w:rPr>
          <w:rFonts w:ascii="Arial" w:hAnsi="Arial" w:cs="Arial"/>
        </w:rPr>
        <w:t xml:space="preserve">The OABS was developed using samples from </w:t>
      </w:r>
      <w:r w:rsidR="00DA76F9" w:rsidRPr="00D533AE">
        <w:rPr>
          <w:rFonts w:ascii="Arial" w:hAnsi="Arial" w:cs="Arial"/>
        </w:rPr>
        <w:t xml:space="preserve">40 </w:t>
      </w:r>
      <w:r w:rsidR="002836F1" w:rsidRPr="00D533AE">
        <w:rPr>
          <w:rFonts w:ascii="Arial" w:hAnsi="Arial" w:cs="Arial"/>
        </w:rPr>
        <w:t>subjects</w:t>
      </w:r>
      <w:r w:rsidR="009D617B" w:rsidRPr="00D533AE">
        <w:rPr>
          <w:rFonts w:ascii="Arial" w:hAnsi="Arial" w:cs="Arial"/>
        </w:rPr>
        <w:t xml:space="preserve"> </w:t>
      </w:r>
      <w:r w:rsidR="00641A3A" w:rsidRPr="00D533AE">
        <w:rPr>
          <w:rFonts w:ascii="Arial" w:hAnsi="Arial" w:cs="Arial"/>
        </w:rPr>
        <w:t>(Groups 1-3)</w:t>
      </w:r>
      <w:r w:rsidR="002E5512" w:rsidRPr="00D533AE">
        <w:rPr>
          <w:rFonts w:ascii="Arial" w:hAnsi="Arial" w:cs="Arial"/>
        </w:rPr>
        <w:t xml:space="preserve"> and validated </w:t>
      </w:r>
      <w:r w:rsidR="004A5585" w:rsidRPr="00D533AE">
        <w:rPr>
          <w:rFonts w:ascii="Arial" w:hAnsi="Arial" w:cs="Arial"/>
        </w:rPr>
        <w:t>with</w:t>
      </w:r>
      <w:r w:rsidR="002E5512" w:rsidRPr="00D533AE">
        <w:rPr>
          <w:rFonts w:ascii="Arial" w:hAnsi="Arial" w:cs="Arial"/>
        </w:rPr>
        <w:t xml:space="preserve"> samples from 1</w:t>
      </w:r>
      <w:r w:rsidR="002836F1" w:rsidRPr="00D533AE">
        <w:rPr>
          <w:rFonts w:ascii="Arial" w:hAnsi="Arial" w:cs="Arial"/>
        </w:rPr>
        <w:t>63</w:t>
      </w:r>
      <w:r w:rsidR="002E5512" w:rsidRPr="00D533AE">
        <w:rPr>
          <w:rFonts w:ascii="Arial" w:hAnsi="Arial" w:cs="Arial"/>
        </w:rPr>
        <w:t xml:space="preserve"> </w:t>
      </w:r>
      <w:r w:rsidR="002836F1" w:rsidRPr="00D533AE">
        <w:rPr>
          <w:rFonts w:ascii="Arial" w:hAnsi="Arial" w:cs="Arial"/>
        </w:rPr>
        <w:t>subjects</w:t>
      </w:r>
      <w:r w:rsidR="00641A3A" w:rsidRPr="00D533AE">
        <w:rPr>
          <w:rFonts w:ascii="Arial" w:hAnsi="Arial" w:cs="Arial"/>
        </w:rPr>
        <w:t xml:space="preserve"> (Groups 4-5)</w:t>
      </w:r>
      <w:r w:rsidR="002E5512" w:rsidRPr="00D533AE">
        <w:rPr>
          <w:rFonts w:ascii="Arial" w:hAnsi="Arial" w:cs="Arial"/>
        </w:rPr>
        <w:t>.</w:t>
      </w:r>
      <w:r w:rsidR="00DA76F9" w:rsidRPr="00D533AE">
        <w:rPr>
          <w:rFonts w:ascii="Arial" w:hAnsi="Arial" w:cs="Arial"/>
        </w:rPr>
        <w:t xml:space="preserve"> </w:t>
      </w:r>
      <w:r w:rsidR="004A5585" w:rsidRPr="00D533AE">
        <w:rPr>
          <w:rFonts w:ascii="Arial" w:hAnsi="Arial" w:cs="Arial"/>
        </w:rPr>
        <w:t>OABS development used p</w:t>
      </w:r>
      <w:r w:rsidR="002E5512" w:rsidRPr="00D533AE">
        <w:rPr>
          <w:rFonts w:ascii="Arial" w:hAnsi="Arial" w:cs="Arial"/>
        </w:rPr>
        <w:t xml:space="preserve">aired samples of </w:t>
      </w:r>
      <w:r w:rsidR="00DA76F9" w:rsidRPr="00D533AE">
        <w:rPr>
          <w:rFonts w:ascii="Arial" w:hAnsi="Arial" w:cs="Arial"/>
        </w:rPr>
        <w:t xml:space="preserve">BML </w:t>
      </w:r>
      <w:r w:rsidR="002E5512" w:rsidRPr="00D533AE">
        <w:rPr>
          <w:rFonts w:ascii="Arial" w:hAnsi="Arial" w:cs="Arial"/>
        </w:rPr>
        <w:t xml:space="preserve">and non-BML </w:t>
      </w:r>
      <w:r w:rsidR="00DA76F9" w:rsidRPr="00D533AE">
        <w:rPr>
          <w:rFonts w:ascii="Arial" w:hAnsi="Arial" w:cs="Arial"/>
        </w:rPr>
        <w:t xml:space="preserve">tissue </w:t>
      </w:r>
      <w:r w:rsidR="002E5512" w:rsidRPr="00D533AE">
        <w:rPr>
          <w:rFonts w:ascii="Arial" w:hAnsi="Arial" w:cs="Arial"/>
        </w:rPr>
        <w:t xml:space="preserve">obtained at </w:t>
      </w:r>
      <w:r w:rsidR="00DA76F9" w:rsidRPr="00D533AE">
        <w:rPr>
          <w:rFonts w:ascii="Arial" w:hAnsi="Arial" w:cs="Arial"/>
        </w:rPr>
        <w:t xml:space="preserve">TKR </w:t>
      </w:r>
      <w:r w:rsidR="002E5512" w:rsidRPr="00D533AE">
        <w:rPr>
          <w:rFonts w:ascii="Arial" w:hAnsi="Arial" w:cs="Arial"/>
        </w:rPr>
        <w:t>from 10 people with OA</w:t>
      </w:r>
      <w:r w:rsidR="00C06E7E" w:rsidRPr="00D533AE">
        <w:rPr>
          <w:rFonts w:ascii="Arial" w:hAnsi="Arial" w:cs="Arial"/>
        </w:rPr>
        <w:t xml:space="preserve"> (Group 1)</w:t>
      </w:r>
      <w:r w:rsidR="002E5512" w:rsidRPr="00D533AE">
        <w:rPr>
          <w:rFonts w:ascii="Arial" w:hAnsi="Arial" w:cs="Arial"/>
        </w:rPr>
        <w:t xml:space="preserve">, and </w:t>
      </w:r>
      <w:r w:rsidR="004A5585" w:rsidRPr="00D533AE">
        <w:rPr>
          <w:rFonts w:ascii="Arial" w:hAnsi="Arial" w:cs="Arial"/>
        </w:rPr>
        <w:t xml:space="preserve">from 10 </w:t>
      </w:r>
      <w:r w:rsidR="00641A3A" w:rsidRPr="00D533AE">
        <w:rPr>
          <w:rFonts w:ascii="Arial" w:hAnsi="Arial" w:cs="Arial"/>
        </w:rPr>
        <w:t>non-</w:t>
      </w:r>
      <w:proofErr w:type="spellStart"/>
      <w:r w:rsidR="00641A3A" w:rsidRPr="00D533AE">
        <w:rPr>
          <w:rFonts w:ascii="Arial" w:hAnsi="Arial" w:cs="Arial"/>
        </w:rPr>
        <w:t>lesional</w:t>
      </w:r>
      <w:proofErr w:type="spellEnd"/>
      <w:r w:rsidR="00641A3A" w:rsidRPr="00D533AE">
        <w:rPr>
          <w:rFonts w:ascii="Arial" w:hAnsi="Arial" w:cs="Arial"/>
        </w:rPr>
        <w:t xml:space="preserve"> samples from </w:t>
      </w:r>
      <w:r w:rsidR="002E5512" w:rsidRPr="00D533AE">
        <w:rPr>
          <w:rFonts w:ascii="Arial" w:hAnsi="Arial" w:cs="Arial"/>
        </w:rPr>
        <w:t xml:space="preserve">post-mortem </w:t>
      </w:r>
      <w:r w:rsidR="00DA76F9" w:rsidRPr="00D533AE">
        <w:rPr>
          <w:rFonts w:ascii="Arial" w:hAnsi="Arial" w:cs="Arial"/>
        </w:rPr>
        <w:t xml:space="preserve">control subjects </w:t>
      </w:r>
      <w:r w:rsidR="00C06E7E" w:rsidRPr="00D533AE">
        <w:rPr>
          <w:rFonts w:ascii="Arial" w:hAnsi="Arial" w:cs="Arial"/>
        </w:rPr>
        <w:t xml:space="preserve">(Group 2) </w:t>
      </w:r>
      <w:r w:rsidR="002E5512" w:rsidRPr="00D533AE">
        <w:rPr>
          <w:rFonts w:ascii="Arial" w:hAnsi="Arial" w:cs="Arial"/>
        </w:rPr>
        <w:t>with</w:t>
      </w:r>
      <w:r w:rsidR="004A5585" w:rsidRPr="00D533AE">
        <w:rPr>
          <w:rFonts w:ascii="Arial" w:hAnsi="Arial" w:cs="Arial"/>
        </w:rPr>
        <w:t xml:space="preserve"> no</w:t>
      </w:r>
      <w:r w:rsidR="002E5512" w:rsidRPr="00D533AE">
        <w:rPr>
          <w:rFonts w:ascii="Arial" w:hAnsi="Arial" w:cs="Arial"/>
        </w:rPr>
        <w:t xml:space="preserve"> known clinical history </w:t>
      </w:r>
      <w:r w:rsidR="004A5585" w:rsidRPr="00D533AE">
        <w:rPr>
          <w:rFonts w:ascii="Arial" w:hAnsi="Arial" w:cs="Arial"/>
        </w:rPr>
        <w:t>n</w:t>
      </w:r>
      <w:r w:rsidR="002E5512" w:rsidRPr="00D533AE">
        <w:rPr>
          <w:rFonts w:ascii="Arial" w:hAnsi="Arial" w:cs="Arial"/>
        </w:rPr>
        <w:t xml:space="preserve">or macroscopic bone or cartilage appearances of </w:t>
      </w:r>
      <w:r w:rsidR="00DA76F9" w:rsidRPr="00D533AE">
        <w:rPr>
          <w:rFonts w:ascii="Arial" w:hAnsi="Arial" w:cs="Arial"/>
        </w:rPr>
        <w:t xml:space="preserve">OA (2). </w:t>
      </w:r>
      <w:r w:rsidR="004A5585" w:rsidRPr="00D533AE">
        <w:rPr>
          <w:rFonts w:ascii="Arial" w:hAnsi="Arial" w:cs="Arial"/>
        </w:rPr>
        <w:t>S</w:t>
      </w:r>
      <w:r w:rsidR="002E5512" w:rsidRPr="00D533AE">
        <w:rPr>
          <w:rFonts w:ascii="Arial" w:hAnsi="Arial" w:cs="Arial"/>
        </w:rPr>
        <w:t xml:space="preserve">amples from </w:t>
      </w:r>
      <w:r w:rsidR="00DA76F9" w:rsidRPr="00D533AE">
        <w:rPr>
          <w:rFonts w:ascii="Arial" w:hAnsi="Arial" w:cs="Arial"/>
        </w:rPr>
        <w:t xml:space="preserve">a further 20 </w:t>
      </w:r>
      <w:r w:rsidR="002E5512" w:rsidRPr="00D533AE">
        <w:rPr>
          <w:rFonts w:ascii="Arial" w:hAnsi="Arial" w:cs="Arial"/>
        </w:rPr>
        <w:t>pa</w:t>
      </w:r>
      <w:r w:rsidR="009278FD" w:rsidRPr="00D533AE">
        <w:rPr>
          <w:rFonts w:ascii="Arial" w:hAnsi="Arial" w:cs="Arial"/>
        </w:rPr>
        <w:t>rticipan</w:t>
      </w:r>
      <w:r w:rsidR="002E5512" w:rsidRPr="00D533AE">
        <w:rPr>
          <w:rFonts w:ascii="Arial" w:hAnsi="Arial" w:cs="Arial"/>
        </w:rPr>
        <w:t xml:space="preserve">ts </w:t>
      </w:r>
      <w:r w:rsidR="00641A3A" w:rsidRPr="00D533AE">
        <w:rPr>
          <w:rFonts w:ascii="Arial" w:hAnsi="Arial" w:cs="Arial"/>
        </w:rPr>
        <w:t xml:space="preserve">without MRI were </w:t>
      </w:r>
      <w:r w:rsidR="002E5512" w:rsidRPr="00D533AE">
        <w:rPr>
          <w:rFonts w:ascii="Arial" w:hAnsi="Arial" w:cs="Arial"/>
        </w:rPr>
        <w:t xml:space="preserve">collected at </w:t>
      </w:r>
      <w:r w:rsidR="00DA76F9" w:rsidRPr="00D533AE">
        <w:rPr>
          <w:rFonts w:ascii="Arial" w:hAnsi="Arial" w:cs="Arial"/>
        </w:rPr>
        <w:t>TKR</w:t>
      </w:r>
      <w:r w:rsidR="002E5512" w:rsidRPr="00D533AE">
        <w:rPr>
          <w:rFonts w:ascii="Arial" w:hAnsi="Arial" w:cs="Arial"/>
        </w:rPr>
        <w:t xml:space="preserve"> for OA</w:t>
      </w:r>
      <w:r w:rsidR="00C06E7E" w:rsidRPr="00D533AE">
        <w:rPr>
          <w:rFonts w:ascii="Arial" w:hAnsi="Arial" w:cs="Arial"/>
        </w:rPr>
        <w:t xml:space="preserve"> to assess if histological changes defined from Group 1 were detectable in TKR samples </w:t>
      </w:r>
      <w:r w:rsidR="00647267" w:rsidRPr="00D533AE">
        <w:rPr>
          <w:rFonts w:ascii="Arial" w:hAnsi="Arial" w:cs="Arial"/>
        </w:rPr>
        <w:t>from people with knee OA who had not been selected according to MRI appearances</w:t>
      </w:r>
      <w:r w:rsidR="00C06E7E" w:rsidRPr="00D533AE">
        <w:rPr>
          <w:rFonts w:ascii="Arial" w:hAnsi="Arial" w:cs="Arial"/>
        </w:rPr>
        <w:t xml:space="preserve"> (Group 3)</w:t>
      </w:r>
      <w:r w:rsidR="00462866" w:rsidRPr="00D533AE">
        <w:rPr>
          <w:rFonts w:ascii="Arial" w:hAnsi="Arial" w:cs="Arial"/>
        </w:rPr>
        <w:t xml:space="preserve"> (Figure </w:t>
      </w:r>
      <w:r w:rsidR="00F56AFD" w:rsidRPr="00D533AE">
        <w:rPr>
          <w:rFonts w:ascii="Arial" w:hAnsi="Arial" w:cs="Arial"/>
        </w:rPr>
        <w:t>3</w:t>
      </w:r>
      <w:r w:rsidR="00462866" w:rsidRPr="00D533AE">
        <w:rPr>
          <w:rFonts w:ascii="Arial" w:hAnsi="Arial" w:cs="Arial"/>
        </w:rPr>
        <w:t>)</w:t>
      </w:r>
      <w:r w:rsidR="00641A3A" w:rsidRPr="00D533AE">
        <w:rPr>
          <w:rFonts w:ascii="Arial" w:hAnsi="Arial" w:cs="Arial"/>
        </w:rPr>
        <w:t xml:space="preserve">. </w:t>
      </w:r>
      <w:r w:rsidR="00CA5608" w:rsidRPr="00D533AE">
        <w:rPr>
          <w:rFonts w:ascii="Arial" w:hAnsi="Arial" w:cs="Arial"/>
        </w:rPr>
        <w:t xml:space="preserve">All </w:t>
      </w:r>
      <w:r w:rsidR="007C16D1" w:rsidRPr="00D533AE">
        <w:rPr>
          <w:rFonts w:ascii="Arial" w:hAnsi="Arial" w:cs="Arial"/>
        </w:rPr>
        <w:t xml:space="preserve">developmental </w:t>
      </w:r>
      <w:r w:rsidR="00CA5608" w:rsidRPr="00D533AE">
        <w:rPr>
          <w:rFonts w:ascii="Arial" w:hAnsi="Arial" w:cs="Arial"/>
        </w:rPr>
        <w:t xml:space="preserve">cases were scored by at least 2 readers </w:t>
      </w:r>
      <w:r w:rsidR="00DA76F9" w:rsidRPr="00D533AE">
        <w:rPr>
          <w:rFonts w:ascii="Arial" w:hAnsi="Arial" w:cs="Arial"/>
        </w:rPr>
        <w:t>(SK and NS)</w:t>
      </w:r>
      <w:r w:rsidR="00165021" w:rsidRPr="00D533AE">
        <w:rPr>
          <w:rFonts w:ascii="Arial" w:hAnsi="Arial" w:cs="Arial"/>
        </w:rPr>
        <w:t xml:space="preserve"> and</w:t>
      </w:r>
      <w:r w:rsidR="00DA76F9" w:rsidRPr="00D533AE">
        <w:rPr>
          <w:rFonts w:ascii="Arial" w:hAnsi="Arial" w:cs="Arial"/>
        </w:rPr>
        <w:t xml:space="preserve"> blinded </w:t>
      </w:r>
      <w:r w:rsidR="002E5512" w:rsidRPr="00D533AE">
        <w:rPr>
          <w:rFonts w:ascii="Arial" w:hAnsi="Arial" w:cs="Arial"/>
        </w:rPr>
        <w:t>to diagnostic group</w:t>
      </w:r>
      <w:r w:rsidR="00165021" w:rsidRPr="00D533AE">
        <w:rPr>
          <w:rFonts w:ascii="Arial" w:hAnsi="Arial" w:cs="Arial"/>
        </w:rPr>
        <w:t xml:space="preserve">. After scoring, </w:t>
      </w:r>
      <w:r w:rsidR="00DA76F9" w:rsidRPr="00D533AE">
        <w:rPr>
          <w:rFonts w:ascii="Arial" w:hAnsi="Arial" w:cs="Arial"/>
        </w:rPr>
        <w:t>a final consensus score was reached</w:t>
      </w:r>
      <w:r w:rsidR="00ED5C89" w:rsidRPr="00D533AE">
        <w:rPr>
          <w:rFonts w:ascii="Arial" w:hAnsi="Arial" w:cs="Arial"/>
        </w:rPr>
        <w:t xml:space="preserve"> following review of histology items for which there </w:t>
      </w:r>
      <w:r w:rsidR="00895778" w:rsidRPr="00D533AE">
        <w:rPr>
          <w:rFonts w:ascii="Arial" w:hAnsi="Arial" w:cs="Arial"/>
        </w:rPr>
        <w:t xml:space="preserve">was any </w:t>
      </w:r>
      <w:r w:rsidR="00ED5C89" w:rsidRPr="00D533AE">
        <w:rPr>
          <w:rFonts w:ascii="Arial" w:hAnsi="Arial" w:cs="Arial"/>
        </w:rPr>
        <w:t>disagreement by the two readers</w:t>
      </w:r>
      <w:r w:rsidR="00641A3A" w:rsidRPr="00D533AE">
        <w:rPr>
          <w:rFonts w:ascii="Arial" w:hAnsi="Arial" w:cs="Arial"/>
        </w:rPr>
        <w:t>.</w:t>
      </w:r>
      <w:r w:rsidR="00DA76F9" w:rsidRPr="00D533AE">
        <w:rPr>
          <w:rFonts w:ascii="Arial" w:hAnsi="Arial" w:cs="Arial"/>
        </w:rPr>
        <w:t xml:space="preserve"> </w:t>
      </w:r>
      <w:r w:rsidR="004A5585" w:rsidRPr="00D533AE">
        <w:rPr>
          <w:rFonts w:ascii="Arial" w:hAnsi="Arial" w:cs="Arial"/>
        </w:rPr>
        <w:t xml:space="preserve">For validation of </w:t>
      </w:r>
      <w:r w:rsidR="00A33C41" w:rsidRPr="00D533AE">
        <w:rPr>
          <w:rFonts w:ascii="Arial" w:hAnsi="Arial" w:cs="Arial"/>
        </w:rPr>
        <w:t>OABS</w:t>
      </w:r>
      <w:r w:rsidR="004A5585" w:rsidRPr="00D533AE">
        <w:rPr>
          <w:rFonts w:ascii="Arial" w:hAnsi="Arial" w:cs="Arial"/>
        </w:rPr>
        <w:t xml:space="preserve">, </w:t>
      </w:r>
      <w:r w:rsidR="00A33C41" w:rsidRPr="00D533AE">
        <w:rPr>
          <w:rFonts w:ascii="Arial" w:hAnsi="Arial" w:cs="Arial"/>
        </w:rPr>
        <w:t>t</w:t>
      </w:r>
      <w:r w:rsidR="002E5512" w:rsidRPr="00D533AE">
        <w:rPr>
          <w:rFonts w:ascii="Arial" w:hAnsi="Arial" w:cs="Arial"/>
        </w:rPr>
        <w:t xml:space="preserve">issue samples </w:t>
      </w:r>
      <w:r w:rsidR="004A5585" w:rsidRPr="00D533AE">
        <w:rPr>
          <w:rFonts w:ascii="Arial" w:hAnsi="Arial" w:cs="Arial"/>
        </w:rPr>
        <w:t xml:space="preserve">were scored </w:t>
      </w:r>
      <w:r w:rsidR="007C16D1" w:rsidRPr="00D533AE">
        <w:rPr>
          <w:rFonts w:ascii="Arial" w:hAnsi="Arial" w:cs="Arial"/>
        </w:rPr>
        <w:t xml:space="preserve">(by MS) </w:t>
      </w:r>
      <w:r w:rsidR="002E5512" w:rsidRPr="00D533AE">
        <w:rPr>
          <w:rFonts w:ascii="Arial" w:hAnsi="Arial" w:cs="Arial"/>
        </w:rPr>
        <w:t>from a</w:t>
      </w:r>
      <w:r w:rsidR="00DA76F9" w:rsidRPr="00D533AE">
        <w:rPr>
          <w:rFonts w:ascii="Arial" w:hAnsi="Arial" w:cs="Arial"/>
        </w:rPr>
        <w:t xml:space="preserve"> further 163 </w:t>
      </w:r>
      <w:r w:rsidR="002E5512" w:rsidRPr="00D533AE">
        <w:rPr>
          <w:rFonts w:ascii="Arial" w:hAnsi="Arial" w:cs="Arial"/>
        </w:rPr>
        <w:t>cases</w:t>
      </w:r>
      <w:r w:rsidR="00DA76F9" w:rsidRPr="00D533AE">
        <w:rPr>
          <w:rFonts w:ascii="Arial" w:hAnsi="Arial" w:cs="Arial"/>
        </w:rPr>
        <w:t xml:space="preserve"> (140 </w:t>
      </w:r>
      <w:r w:rsidR="002E5512" w:rsidRPr="00D533AE">
        <w:rPr>
          <w:rFonts w:ascii="Arial" w:hAnsi="Arial" w:cs="Arial"/>
        </w:rPr>
        <w:t>TKR</w:t>
      </w:r>
      <w:r w:rsidR="00DA76F9" w:rsidRPr="00D533AE">
        <w:rPr>
          <w:rFonts w:ascii="Arial" w:hAnsi="Arial" w:cs="Arial"/>
        </w:rPr>
        <w:t xml:space="preserve"> </w:t>
      </w:r>
      <w:r w:rsidR="002E5512" w:rsidRPr="00D533AE">
        <w:rPr>
          <w:rFonts w:ascii="Arial" w:hAnsi="Arial" w:cs="Arial"/>
        </w:rPr>
        <w:t>for OA</w:t>
      </w:r>
      <w:r w:rsidR="007C16D1" w:rsidRPr="00D533AE">
        <w:rPr>
          <w:rFonts w:ascii="Arial" w:hAnsi="Arial" w:cs="Arial"/>
        </w:rPr>
        <w:t xml:space="preserve"> (group 4)</w:t>
      </w:r>
      <w:r w:rsidR="002E5512" w:rsidRPr="00D533AE">
        <w:rPr>
          <w:rFonts w:ascii="Arial" w:hAnsi="Arial" w:cs="Arial"/>
        </w:rPr>
        <w:t xml:space="preserve"> plus </w:t>
      </w:r>
      <w:r w:rsidR="00DA76F9" w:rsidRPr="00D533AE">
        <w:rPr>
          <w:rFonts w:ascii="Arial" w:hAnsi="Arial" w:cs="Arial"/>
        </w:rPr>
        <w:t xml:space="preserve">23 post-mortem samples </w:t>
      </w:r>
      <w:r w:rsidR="002E5512" w:rsidRPr="00D533AE">
        <w:rPr>
          <w:rFonts w:ascii="Arial" w:hAnsi="Arial" w:cs="Arial"/>
        </w:rPr>
        <w:t xml:space="preserve">with macroscopic </w:t>
      </w:r>
      <w:r w:rsidR="00DA76F9" w:rsidRPr="00D533AE">
        <w:rPr>
          <w:rFonts w:ascii="Arial" w:hAnsi="Arial" w:cs="Arial"/>
        </w:rPr>
        <w:t>OA appearances</w:t>
      </w:r>
      <w:r w:rsidR="002E5512" w:rsidRPr="00D533AE">
        <w:rPr>
          <w:rFonts w:ascii="Arial" w:hAnsi="Arial" w:cs="Arial"/>
        </w:rPr>
        <w:t xml:space="preserve">; </w:t>
      </w:r>
      <w:r w:rsidR="00ED332C" w:rsidRPr="00D533AE">
        <w:rPr>
          <w:rFonts w:ascii="Arial" w:hAnsi="Arial" w:cs="Arial"/>
        </w:rPr>
        <w:t xml:space="preserve">osteophytes (22/23), grade III chondropathy (19/23) and/or grade IV </w:t>
      </w:r>
      <w:proofErr w:type="spellStart"/>
      <w:r w:rsidR="00ED332C" w:rsidRPr="00D533AE">
        <w:rPr>
          <w:rFonts w:ascii="Arial" w:hAnsi="Arial" w:cs="Arial"/>
        </w:rPr>
        <w:t>chondropathy</w:t>
      </w:r>
      <w:proofErr w:type="spellEnd"/>
      <w:r w:rsidR="00ED332C" w:rsidRPr="00D533AE">
        <w:rPr>
          <w:rFonts w:ascii="Arial" w:hAnsi="Arial" w:cs="Arial"/>
        </w:rPr>
        <w:t xml:space="preserve"> (9/</w:t>
      </w:r>
      <w:proofErr w:type="gramStart"/>
      <w:r w:rsidR="00ED332C" w:rsidRPr="00D533AE">
        <w:rPr>
          <w:rFonts w:ascii="Arial" w:hAnsi="Arial" w:cs="Arial"/>
        </w:rPr>
        <w:t>23)(</w:t>
      </w:r>
      <w:proofErr w:type="gramEnd"/>
      <w:r w:rsidR="00ED332C" w:rsidRPr="00D533AE">
        <w:rPr>
          <w:rFonts w:ascii="Arial" w:hAnsi="Arial" w:cs="Arial"/>
        </w:rPr>
        <w:t xml:space="preserve">Group 5) </w:t>
      </w:r>
      <w:r w:rsidR="00A33C41" w:rsidRPr="00D533AE">
        <w:rPr>
          <w:rFonts w:ascii="Arial" w:hAnsi="Arial" w:cs="Arial"/>
        </w:rPr>
        <w:t>(</w:t>
      </w:r>
      <w:r w:rsidR="000B36E8" w:rsidRPr="00D533AE">
        <w:rPr>
          <w:rFonts w:ascii="Arial" w:hAnsi="Arial" w:cs="Arial"/>
        </w:rPr>
        <w:t>1</w:t>
      </w:r>
      <w:r w:rsidR="00912355" w:rsidRPr="00D533AE">
        <w:rPr>
          <w:rFonts w:ascii="Arial" w:hAnsi="Arial" w:cs="Arial"/>
        </w:rPr>
        <w:t>6</w:t>
      </w:r>
      <w:r w:rsidR="00DA76F9" w:rsidRPr="00D533AE">
        <w:rPr>
          <w:rFonts w:ascii="Arial" w:hAnsi="Arial" w:cs="Arial"/>
        </w:rPr>
        <w:t>).</w:t>
      </w:r>
      <w:r w:rsidR="00A33C41" w:rsidRPr="00D533AE">
        <w:rPr>
          <w:rFonts w:ascii="Arial" w:hAnsi="Arial" w:cs="Arial"/>
        </w:rPr>
        <w:t xml:space="preserve"> </w:t>
      </w:r>
      <w:r w:rsidR="004A5585" w:rsidRPr="00D533AE">
        <w:rPr>
          <w:rFonts w:ascii="Arial" w:hAnsi="Arial" w:cs="Arial"/>
        </w:rPr>
        <w:t xml:space="preserve">Psychometric properties were determined by </w:t>
      </w:r>
      <w:r w:rsidR="00A33C41" w:rsidRPr="00D533AE">
        <w:rPr>
          <w:rFonts w:ascii="Arial" w:hAnsi="Arial" w:cs="Arial"/>
        </w:rPr>
        <w:t xml:space="preserve">Rasch analysis, </w:t>
      </w:r>
      <w:r w:rsidR="004A5585" w:rsidRPr="00D533AE">
        <w:rPr>
          <w:rFonts w:ascii="Arial" w:hAnsi="Arial" w:cs="Arial"/>
        </w:rPr>
        <w:t xml:space="preserve">and </w:t>
      </w:r>
      <w:r w:rsidR="00A33C41" w:rsidRPr="00D533AE">
        <w:rPr>
          <w:rFonts w:ascii="Arial" w:hAnsi="Arial" w:cs="Arial"/>
        </w:rPr>
        <w:t>ability to discriminate between TKR and PM cases</w:t>
      </w:r>
      <w:r w:rsidR="004A5585" w:rsidRPr="00D533AE">
        <w:rPr>
          <w:rFonts w:ascii="Arial" w:hAnsi="Arial" w:cs="Arial"/>
        </w:rPr>
        <w:t xml:space="preserve"> </w:t>
      </w:r>
      <w:r w:rsidR="00415BD2" w:rsidRPr="00D533AE">
        <w:rPr>
          <w:rFonts w:ascii="Arial" w:hAnsi="Arial" w:cs="Arial"/>
        </w:rPr>
        <w:t xml:space="preserve">was </w:t>
      </w:r>
      <w:r w:rsidR="004A5585" w:rsidRPr="00D533AE">
        <w:rPr>
          <w:rFonts w:ascii="Arial" w:hAnsi="Arial" w:cs="Arial"/>
        </w:rPr>
        <w:t>determined.</w:t>
      </w:r>
    </w:p>
    <w:p w14:paraId="08547209" w14:textId="38BD3557" w:rsidR="00183985" w:rsidRPr="00D533AE" w:rsidRDefault="00183985" w:rsidP="00DA76F9">
      <w:pPr>
        <w:pStyle w:val="NormalWeb"/>
        <w:spacing w:before="0" w:beforeAutospacing="0" w:after="0" w:afterAutospacing="0" w:line="480" w:lineRule="auto"/>
        <w:jc w:val="both"/>
        <w:rPr>
          <w:rFonts w:ascii="Arial" w:hAnsi="Arial" w:cs="Arial"/>
        </w:rPr>
      </w:pPr>
    </w:p>
    <w:p w14:paraId="2AA77326" w14:textId="77777777" w:rsidR="00AC1A2C" w:rsidRPr="00D533AE" w:rsidRDefault="00AC1A2C" w:rsidP="00DA76F9">
      <w:pPr>
        <w:pStyle w:val="NormalWeb"/>
        <w:spacing w:before="0" w:beforeAutospacing="0" w:after="0" w:afterAutospacing="0" w:line="480" w:lineRule="auto"/>
        <w:jc w:val="both"/>
        <w:rPr>
          <w:rFonts w:ascii="Arial" w:hAnsi="Arial" w:cs="Arial"/>
          <w:i/>
        </w:rPr>
      </w:pPr>
      <w:r w:rsidRPr="00D533AE">
        <w:rPr>
          <w:rFonts w:ascii="Arial" w:hAnsi="Arial" w:cs="Arial"/>
          <w:i/>
        </w:rPr>
        <w:t>Subchondral vascular density and innervation</w:t>
      </w:r>
    </w:p>
    <w:p w14:paraId="74F95543" w14:textId="77777777" w:rsidR="0061138A" w:rsidRPr="00D533AE" w:rsidRDefault="00AC1A2C" w:rsidP="00DA76F9">
      <w:pPr>
        <w:pStyle w:val="NormalWeb"/>
        <w:spacing w:before="0" w:beforeAutospacing="0" w:after="0" w:afterAutospacing="0" w:line="480" w:lineRule="auto"/>
        <w:jc w:val="both"/>
        <w:rPr>
          <w:rFonts w:ascii="Arial" w:hAnsi="Arial" w:cs="Arial"/>
        </w:rPr>
      </w:pPr>
      <w:r w:rsidRPr="00D533AE">
        <w:rPr>
          <w:rFonts w:ascii="Arial" w:hAnsi="Arial" w:cs="Arial"/>
        </w:rPr>
        <w:lastRenderedPageBreak/>
        <w:t xml:space="preserve">Number of blood vessels within subchondral bone spaces were counted manually to a depth of </w:t>
      </w:r>
      <w:r w:rsidR="0066339E" w:rsidRPr="00D533AE">
        <w:rPr>
          <w:rFonts w:ascii="Arial" w:hAnsi="Arial" w:cs="Arial"/>
        </w:rPr>
        <w:t>7.2</w:t>
      </w:r>
      <w:r w:rsidR="00586444" w:rsidRPr="00D533AE">
        <w:rPr>
          <w:rFonts w:ascii="Arial" w:hAnsi="Arial" w:cs="Arial"/>
        </w:rPr>
        <w:t xml:space="preserve"> m</w:t>
      </w:r>
      <w:r w:rsidRPr="00D533AE">
        <w:rPr>
          <w:rFonts w:ascii="Arial" w:hAnsi="Arial" w:cs="Arial"/>
        </w:rPr>
        <w:t xml:space="preserve">m from the articular surface </w:t>
      </w:r>
      <w:r w:rsidR="009D1471" w:rsidRPr="00D533AE">
        <w:rPr>
          <w:rFonts w:ascii="Arial" w:hAnsi="Arial" w:cs="Arial"/>
        </w:rPr>
        <w:t>across 15.5 mm of</w:t>
      </w:r>
      <w:r w:rsidRPr="00D533AE">
        <w:rPr>
          <w:rFonts w:ascii="Arial" w:hAnsi="Arial" w:cs="Arial"/>
        </w:rPr>
        <w:t xml:space="preserve"> one haematoxylin and eosin-stained section per sample. Number of blood vessel profiles associated or not associated with PGP9.5 immunoreactive nerves in subchondral bone were counted manually </w:t>
      </w:r>
      <w:r w:rsidR="0075140E" w:rsidRPr="00D533AE">
        <w:rPr>
          <w:rFonts w:ascii="Arial" w:hAnsi="Arial" w:cs="Arial"/>
        </w:rPr>
        <w:t xml:space="preserve">in sections stained for PGP9.5 using the </w:t>
      </w:r>
      <w:r w:rsidR="0066339E" w:rsidRPr="00D533AE">
        <w:rPr>
          <w:rFonts w:ascii="Arial" w:hAnsi="Arial" w:cs="Arial"/>
        </w:rPr>
        <w:t xml:space="preserve">DAB substrate kit (ab64238) without enhancer and counterstained with </w:t>
      </w:r>
      <w:r w:rsidR="00297513" w:rsidRPr="00D533AE">
        <w:rPr>
          <w:rFonts w:ascii="Arial" w:hAnsi="Arial" w:cs="Arial"/>
        </w:rPr>
        <w:t>h</w:t>
      </w:r>
      <w:r w:rsidR="0066339E" w:rsidRPr="00D533AE">
        <w:rPr>
          <w:rFonts w:ascii="Arial" w:hAnsi="Arial" w:cs="Arial"/>
        </w:rPr>
        <w:t xml:space="preserve">aematoxylin </w:t>
      </w:r>
      <w:r w:rsidR="0075140E" w:rsidRPr="00D533AE">
        <w:rPr>
          <w:rFonts w:ascii="Arial" w:hAnsi="Arial" w:cs="Arial"/>
        </w:rPr>
        <w:t>(</w:t>
      </w:r>
      <w:r w:rsidR="005D2744" w:rsidRPr="00D533AE">
        <w:rPr>
          <w:rFonts w:ascii="Arial" w:hAnsi="Arial" w:cs="Arial"/>
        </w:rPr>
        <w:t xml:space="preserve">see </w:t>
      </w:r>
      <w:r w:rsidR="001075E6" w:rsidRPr="00D533AE">
        <w:rPr>
          <w:rFonts w:ascii="Arial" w:hAnsi="Arial" w:cs="Arial"/>
        </w:rPr>
        <w:t>supplementary methods</w:t>
      </w:r>
      <w:r w:rsidR="0075140E" w:rsidRPr="00D533AE">
        <w:rPr>
          <w:rFonts w:ascii="Arial" w:hAnsi="Arial" w:cs="Arial"/>
        </w:rPr>
        <w:t>).</w:t>
      </w:r>
    </w:p>
    <w:p w14:paraId="1C48F117" w14:textId="77777777" w:rsidR="00183985" w:rsidRPr="00D533AE" w:rsidRDefault="00183985" w:rsidP="00DA76F9">
      <w:pPr>
        <w:pStyle w:val="NormalWeb"/>
        <w:spacing w:before="0" w:beforeAutospacing="0" w:after="0" w:afterAutospacing="0" w:line="480" w:lineRule="auto"/>
        <w:jc w:val="both"/>
        <w:rPr>
          <w:rFonts w:ascii="Arial" w:hAnsi="Arial" w:cs="Arial"/>
        </w:rPr>
      </w:pPr>
    </w:p>
    <w:p w14:paraId="3555BBAC" w14:textId="77777777" w:rsidR="008D5895" w:rsidRPr="00D533AE" w:rsidRDefault="008D5895" w:rsidP="00743A2C">
      <w:pPr>
        <w:pStyle w:val="NormalWeb"/>
        <w:spacing w:before="0" w:beforeAutospacing="0" w:after="0" w:afterAutospacing="0" w:line="480" w:lineRule="auto"/>
        <w:jc w:val="both"/>
        <w:rPr>
          <w:rFonts w:ascii="Arial" w:hAnsi="Arial" w:cs="Arial"/>
          <w:i/>
          <w:iCs/>
          <w:color w:val="000000"/>
          <w:shd w:val="clear" w:color="auto" w:fill="FFFFFF"/>
        </w:rPr>
      </w:pPr>
      <w:r w:rsidRPr="00D533AE">
        <w:rPr>
          <w:rFonts w:ascii="Arial" w:hAnsi="Arial" w:cs="Arial"/>
          <w:i/>
          <w:iCs/>
          <w:color w:val="000000"/>
          <w:shd w:val="clear" w:color="auto" w:fill="FFFFFF"/>
        </w:rPr>
        <w:t>Statistical Analysis</w:t>
      </w:r>
    </w:p>
    <w:p w14:paraId="350D97CB" w14:textId="77777777" w:rsidR="00D358D3" w:rsidRPr="00D533AE" w:rsidRDefault="0061138A" w:rsidP="00743A2C">
      <w:pPr>
        <w:spacing w:line="480" w:lineRule="auto"/>
        <w:jc w:val="both"/>
        <w:rPr>
          <w:rFonts w:ascii="Arial" w:hAnsi="Arial" w:cs="Arial"/>
          <w:sz w:val="24"/>
          <w:szCs w:val="24"/>
        </w:rPr>
      </w:pPr>
      <w:r w:rsidRPr="00D533AE">
        <w:rPr>
          <w:rFonts w:ascii="Arial" w:hAnsi="Arial" w:cs="Arial"/>
          <w:sz w:val="24"/>
          <w:szCs w:val="24"/>
        </w:rPr>
        <w:t xml:space="preserve">We used GraphPad Prism 11 (San Diego, California, USA) for </w:t>
      </w:r>
      <w:r w:rsidR="00D358D3" w:rsidRPr="00D533AE">
        <w:rPr>
          <w:rFonts w:ascii="Arial" w:hAnsi="Arial" w:cs="Arial"/>
          <w:sz w:val="24"/>
          <w:szCs w:val="24"/>
        </w:rPr>
        <w:t xml:space="preserve">descriptive, comparative and regression </w:t>
      </w:r>
      <w:r w:rsidRPr="00D533AE">
        <w:rPr>
          <w:rFonts w:ascii="Arial" w:hAnsi="Arial" w:cs="Arial"/>
          <w:sz w:val="24"/>
          <w:szCs w:val="24"/>
        </w:rPr>
        <w:t>analys</w:t>
      </w:r>
      <w:r w:rsidR="00D358D3" w:rsidRPr="00D533AE">
        <w:rPr>
          <w:rFonts w:ascii="Arial" w:hAnsi="Arial" w:cs="Arial"/>
          <w:sz w:val="24"/>
          <w:szCs w:val="24"/>
        </w:rPr>
        <w:t>e</w:t>
      </w:r>
      <w:r w:rsidRPr="00D533AE">
        <w:rPr>
          <w:rFonts w:ascii="Arial" w:hAnsi="Arial" w:cs="Arial"/>
          <w:sz w:val="24"/>
          <w:szCs w:val="24"/>
        </w:rPr>
        <w:t>s. Demographic data</w:t>
      </w:r>
      <w:r w:rsidR="0066339E" w:rsidRPr="00D533AE">
        <w:rPr>
          <w:rFonts w:ascii="Arial" w:hAnsi="Arial" w:cs="Arial"/>
          <w:sz w:val="24"/>
          <w:szCs w:val="24"/>
        </w:rPr>
        <w:t xml:space="preserve"> were </w:t>
      </w:r>
      <w:r w:rsidRPr="00D533AE">
        <w:rPr>
          <w:rFonts w:ascii="Arial" w:hAnsi="Arial" w:cs="Arial"/>
          <w:sz w:val="24"/>
          <w:szCs w:val="24"/>
        </w:rPr>
        <w:t xml:space="preserve">presented as mean and standard deviations, </w:t>
      </w:r>
      <w:r w:rsidR="00297513" w:rsidRPr="00D533AE">
        <w:rPr>
          <w:rFonts w:ascii="Arial" w:hAnsi="Arial" w:cs="Arial"/>
          <w:sz w:val="24"/>
          <w:szCs w:val="24"/>
        </w:rPr>
        <w:t xml:space="preserve">median and </w:t>
      </w:r>
      <w:r w:rsidRPr="00D533AE">
        <w:rPr>
          <w:rFonts w:ascii="Arial" w:hAnsi="Arial" w:cs="Arial"/>
          <w:sz w:val="24"/>
          <w:szCs w:val="24"/>
        </w:rPr>
        <w:t xml:space="preserve">interquartile range. </w:t>
      </w:r>
      <w:r w:rsidR="00D723D9" w:rsidRPr="00D533AE">
        <w:rPr>
          <w:rFonts w:ascii="Arial" w:hAnsi="Arial" w:cs="Arial"/>
          <w:sz w:val="24"/>
          <w:szCs w:val="24"/>
        </w:rPr>
        <w:t xml:space="preserve">A priori planned comparisons were made </w:t>
      </w:r>
      <w:r w:rsidR="00523B87" w:rsidRPr="00D533AE">
        <w:rPr>
          <w:rFonts w:ascii="Arial" w:hAnsi="Arial" w:cs="Arial"/>
          <w:sz w:val="24"/>
          <w:szCs w:val="24"/>
        </w:rPr>
        <w:t>between TKR BML and non-BML</w:t>
      </w:r>
      <w:r w:rsidR="00D723D9" w:rsidRPr="00D533AE">
        <w:rPr>
          <w:rFonts w:ascii="Arial" w:hAnsi="Arial" w:cs="Arial"/>
          <w:sz w:val="24"/>
          <w:szCs w:val="24"/>
        </w:rPr>
        <w:t xml:space="preserve"> regions</w:t>
      </w:r>
      <w:r w:rsidR="00523B87" w:rsidRPr="00D533AE">
        <w:rPr>
          <w:rFonts w:ascii="Arial" w:hAnsi="Arial" w:cs="Arial"/>
          <w:sz w:val="24"/>
          <w:szCs w:val="24"/>
        </w:rPr>
        <w:t xml:space="preserve"> </w:t>
      </w:r>
      <w:r w:rsidR="00D723D9" w:rsidRPr="00D533AE">
        <w:rPr>
          <w:rFonts w:ascii="Arial" w:hAnsi="Arial" w:cs="Arial"/>
          <w:sz w:val="24"/>
          <w:szCs w:val="24"/>
        </w:rPr>
        <w:t>using</w:t>
      </w:r>
      <w:r w:rsidR="00523B87" w:rsidRPr="00D533AE">
        <w:rPr>
          <w:rFonts w:ascii="Arial" w:hAnsi="Arial" w:cs="Arial"/>
          <w:sz w:val="24"/>
          <w:szCs w:val="24"/>
        </w:rPr>
        <w:t xml:space="preserve"> Wilcoxon signed-rank test</w:t>
      </w:r>
      <w:r w:rsidR="007D48F0" w:rsidRPr="00D533AE">
        <w:rPr>
          <w:rFonts w:ascii="Arial" w:hAnsi="Arial" w:cs="Arial"/>
          <w:sz w:val="24"/>
          <w:szCs w:val="24"/>
        </w:rPr>
        <w:t xml:space="preserve">, and between TKR OA cases and </w:t>
      </w:r>
      <w:r w:rsidR="00183985" w:rsidRPr="00D533AE">
        <w:rPr>
          <w:rFonts w:ascii="Arial" w:hAnsi="Arial" w:cs="Arial"/>
          <w:sz w:val="24"/>
          <w:szCs w:val="24"/>
        </w:rPr>
        <w:t xml:space="preserve">non-OA controls (groups 2, 3) and between TKR and </w:t>
      </w:r>
      <w:r w:rsidR="007D48F0" w:rsidRPr="00D533AE">
        <w:rPr>
          <w:rFonts w:ascii="Arial" w:hAnsi="Arial" w:cs="Arial"/>
          <w:sz w:val="24"/>
          <w:szCs w:val="24"/>
        </w:rPr>
        <w:t xml:space="preserve">PM cases </w:t>
      </w:r>
      <w:r w:rsidR="00183985" w:rsidRPr="00D533AE">
        <w:rPr>
          <w:rFonts w:ascii="Arial" w:hAnsi="Arial" w:cs="Arial"/>
          <w:sz w:val="24"/>
          <w:szCs w:val="24"/>
        </w:rPr>
        <w:t xml:space="preserve">with chondropathy (groups 4, 5) </w:t>
      </w:r>
      <w:r w:rsidR="007D48F0" w:rsidRPr="00D533AE">
        <w:rPr>
          <w:rFonts w:ascii="Arial" w:hAnsi="Arial" w:cs="Arial"/>
          <w:sz w:val="24"/>
          <w:szCs w:val="24"/>
        </w:rPr>
        <w:t xml:space="preserve">using Mann Whitney U. </w:t>
      </w:r>
      <w:r w:rsidR="00523B87" w:rsidRPr="00D533AE">
        <w:rPr>
          <w:rFonts w:ascii="Arial" w:hAnsi="Arial" w:cs="Arial"/>
          <w:sz w:val="24"/>
          <w:szCs w:val="24"/>
        </w:rPr>
        <w:t>Vascular densit</w:t>
      </w:r>
      <w:r w:rsidR="007D48F0" w:rsidRPr="00D533AE">
        <w:rPr>
          <w:rFonts w:ascii="Arial" w:hAnsi="Arial" w:cs="Arial"/>
          <w:sz w:val="24"/>
          <w:szCs w:val="24"/>
        </w:rPr>
        <w:t xml:space="preserve">ies were compared </w:t>
      </w:r>
      <w:r w:rsidR="00183985" w:rsidRPr="00D533AE">
        <w:rPr>
          <w:rFonts w:ascii="Arial" w:hAnsi="Arial" w:cs="Arial"/>
          <w:sz w:val="24"/>
          <w:szCs w:val="24"/>
        </w:rPr>
        <w:t xml:space="preserve">across groups 1-3 </w:t>
      </w:r>
      <w:r w:rsidR="007D48F0" w:rsidRPr="00D533AE">
        <w:rPr>
          <w:rFonts w:ascii="Arial" w:hAnsi="Arial" w:cs="Arial"/>
          <w:sz w:val="24"/>
          <w:szCs w:val="24"/>
        </w:rPr>
        <w:t xml:space="preserve">using </w:t>
      </w:r>
      <w:proofErr w:type="spellStart"/>
      <w:r w:rsidR="00523B87" w:rsidRPr="00D533AE">
        <w:rPr>
          <w:rFonts w:ascii="Arial" w:hAnsi="Arial" w:cs="Arial"/>
          <w:sz w:val="24"/>
          <w:szCs w:val="24"/>
        </w:rPr>
        <w:t>Kruskall</w:t>
      </w:r>
      <w:proofErr w:type="spellEnd"/>
      <w:r w:rsidR="00523B87" w:rsidRPr="00D533AE">
        <w:rPr>
          <w:rFonts w:ascii="Arial" w:hAnsi="Arial" w:cs="Arial"/>
          <w:sz w:val="24"/>
          <w:szCs w:val="24"/>
        </w:rPr>
        <w:t xml:space="preserve"> Wallis test. </w:t>
      </w:r>
      <w:r w:rsidRPr="00D533AE">
        <w:rPr>
          <w:rFonts w:ascii="Arial" w:hAnsi="Arial" w:cs="Arial"/>
          <w:sz w:val="24"/>
          <w:szCs w:val="24"/>
        </w:rPr>
        <w:t xml:space="preserve">Associations </w:t>
      </w:r>
      <w:r w:rsidR="00297513" w:rsidRPr="00D533AE">
        <w:rPr>
          <w:rFonts w:ascii="Arial" w:hAnsi="Arial" w:cs="Arial"/>
          <w:sz w:val="24"/>
          <w:szCs w:val="24"/>
        </w:rPr>
        <w:t xml:space="preserve">of case group (groups 4 v 5) </w:t>
      </w:r>
      <w:r w:rsidR="007D48F0" w:rsidRPr="00D533AE">
        <w:rPr>
          <w:rFonts w:ascii="Arial" w:hAnsi="Arial" w:cs="Arial"/>
          <w:sz w:val="24"/>
          <w:szCs w:val="24"/>
        </w:rPr>
        <w:t xml:space="preserve">with </w:t>
      </w:r>
      <w:r w:rsidR="00027550" w:rsidRPr="00D533AE">
        <w:rPr>
          <w:rFonts w:ascii="Arial" w:hAnsi="Arial" w:cs="Arial"/>
          <w:sz w:val="24"/>
          <w:szCs w:val="24"/>
        </w:rPr>
        <w:t xml:space="preserve">OABS or Mankin </w:t>
      </w:r>
      <w:r w:rsidR="007D48F0" w:rsidRPr="00D533AE">
        <w:rPr>
          <w:rFonts w:ascii="Arial" w:hAnsi="Arial" w:cs="Arial"/>
          <w:sz w:val="24"/>
          <w:szCs w:val="24"/>
        </w:rPr>
        <w:t xml:space="preserve">chondropathy </w:t>
      </w:r>
      <w:r w:rsidR="00027550" w:rsidRPr="00D533AE">
        <w:rPr>
          <w:rFonts w:ascii="Arial" w:hAnsi="Arial" w:cs="Arial"/>
          <w:sz w:val="24"/>
          <w:szCs w:val="24"/>
        </w:rPr>
        <w:t xml:space="preserve">score </w:t>
      </w:r>
      <w:r w:rsidRPr="00D533AE">
        <w:rPr>
          <w:rFonts w:ascii="Arial" w:hAnsi="Arial" w:cs="Arial"/>
          <w:sz w:val="24"/>
          <w:szCs w:val="24"/>
        </w:rPr>
        <w:t xml:space="preserve">are expressed as </w:t>
      </w:r>
      <w:r w:rsidR="0069712D" w:rsidRPr="00D533AE">
        <w:rPr>
          <w:rFonts w:ascii="Arial" w:hAnsi="Arial" w:cs="Arial"/>
          <w:sz w:val="24"/>
          <w:szCs w:val="24"/>
        </w:rPr>
        <w:t>Odds Ratios (OR) from logistic regression</w:t>
      </w:r>
      <w:r w:rsidR="00027550" w:rsidRPr="00D533AE">
        <w:rPr>
          <w:rFonts w:ascii="Arial" w:hAnsi="Arial" w:cs="Arial"/>
          <w:sz w:val="24"/>
          <w:szCs w:val="24"/>
        </w:rPr>
        <w:t xml:space="preserve">, and </w:t>
      </w:r>
      <w:r w:rsidR="001367EF" w:rsidRPr="00D533AE">
        <w:rPr>
          <w:rFonts w:ascii="Arial" w:hAnsi="Arial" w:cs="Arial"/>
          <w:sz w:val="24"/>
          <w:szCs w:val="24"/>
        </w:rPr>
        <w:t>strengths of association</w:t>
      </w:r>
      <w:r w:rsidR="00027550" w:rsidRPr="00D533AE">
        <w:rPr>
          <w:rFonts w:ascii="Arial" w:hAnsi="Arial" w:cs="Arial"/>
          <w:sz w:val="24"/>
          <w:szCs w:val="24"/>
        </w:rPr>
        <w:t xml:space="preserve"> compared</w:t>
      </w:r>
      <w:r w:rsidR="00AC1EC5" w:rsidRPr="00D533AE">
        <w:rPr>
          <w:rFonts w:ascii="Arial" w:hAnsi="Arial" w:cs="Arial"/>
          <w:sz w:val="24"/>
          <w:szCs w:val="24"/>
        </w:rPr>
        <w:t xml:space="preserve"> using Spearman’s rank correlation coefficients</w:t>
      </w:r>
      <w:r w:rsidRPr="00D533AE">
        <w:rPr>
          <w:rFonts w:ascii="Arial" w:hAnsi="Arial" w:cs="Arial"/>
          <w:sz w:val="24"/>
          <w:szCs w:val="24"/>
        </w:rPr>
        <w:t>.</w:t>
      </w:r>
      <w:r w:rsidR="00EE219D" w:rsidRPr="00D533AE">
        <w:t xml:space="preserve"> </w:t>
      </w:r>
      <w:r w:rsidR="00EE219D" w:rsidRPr="00D533AE">
        <w:rPr>
          <w:rFonts w:ascii="Arial" w:hAnsi="Arial" w:cs="Arial"/>
          <w:sz w:val="24"/>
          <w:szCs w:val="24"/>
        </w:rPr>
        <w:t xml:space="preserve">Comparisons between coefficients used Pearson correlations within the </w:t>
      </w:r>
      <w:proofErr w:type="spellStart"/>
      <w:r w:rsidR="00EE219D" w:rsidRPr="00D533AE">
        <w:rPr>
          <w:rFonts w:ascii="Arial" w:hAnsi="Arial" w:cs="Arial"/>
          <w:sz w:val="24"/>
          <w:szCs w:val="24"/>
        </w:rPr>
        <w:t>cocor</w:t>
      </w:r>
      <w:proofErr w:type="spellEnd"/>
      <w:r w:rsidR="00EE219D" w:rsidRPr="00D533AE">
        <w:rPr>
          <w:rFonts w:ascii="Arial" w:hAnsi="Arial" w:cs="Arial"/>
          <w:sz w:val="24"/>
          <w:szCs w:val="24"/>
        </w:rPr>
        <w:t xml:space="preserve"> package in R software, the analysis was adjusted for the overlapping dependency of the coefficients with r- to z-transformations to address non-normality of data</w:t>
      </w:r>
      <w:r w:rsidR="004B3E74" w:rsidRPr="00D533AE">
        <w:rPr>
          <w:rFonts w:ascii="Arial" w:hAnsi="Arial" w:cs="Arial"/>
          <w:sz w:val="24"/>
          <w:szCs w:val="24"/>
        </w:rPr>
        <w:t>.</w:t>
      </w:r>
    </w:p>
    <w:p w14:paraId="65850635" w14:textId="77777777" w:rsidR="00EA6303" w:rsidRPr="00D533AE" w:rsidRDefault="00ED1BB4" w:rsidP="00743A2C">
      <w:pPr>
        <w:spacing w:line="480" w:lineRule="auto"/>
        <w:jc w:val="both"/>
        <w:rPr>
          <w:rFonts w:ascii="Arial" w:hAnsi="Arial" w:cs="Arial"/>
          <w:sz w:val="24"/>
          <w:szCs w:val="24"/>
        </w:rPr>
      </w:pPr>
      <w:r w:rsidRPr="00D533AE">
        <w:rPr>
          <w:rFonts w:ascii="Arial" w:hAnsi="Arial" w:cs="Arial"/>
          <w:sz w:val="24"/>
          <w:szCs w:val="24"/>
        </w:rPr>
        <w:t xml:space="preserve">Factor analysis for binary data was undertaken to test OABS structure following creation of a </w:t>
      </w:r>
      <w:proofErr w:type="spellStart"/>
      <w:r w:rsidRPr="00D533AE">
        <w:rPr>
          <w:rFonts w:ascii="Arial" w:hAnsi="Arial" w:cs="Arial"/>
          <w:sz w:val="24"/>
          <w:szCs w:val="24"/>
        </w:rPr>
        <w:t>polychoric</w:t>
      </w:r>
      <w:proofErr w:type="spellEnd"/>
      <w:r w:rsidRPr="00D533AE">
        <w:rPr>
          <w:rFonts w:ascii="Arial" w:hAnsi="Arial" w:cs="Arial"/>
          <w:sz w:val="24"/>
          <w:szCs w:val="24"/>
        </w:rPr>
        <w:t xml:space="preserve"> correlation matrix, using Stata </w:t>
      </w:r>
      <w:r w:rsidR="00A27203" w:rsidRPr="00D533AE">
        <w:rPr>
          <w:rFonts w:ascii="Arial" w:hAnsi="Arial" w:cs="Arial"/>
          <w:sz w:val="24"/>
          <w:szCs w:val="24"/>
        </w:rPr>
        <w:t>(17)</w:t>
      </w:r>
      <w:r w:rsidRPr="00D533AE">
        <w:rPr>
          <w:rFonts w:ascii="Arial" w:hAnsi="Arial" w:cs="Arial"/>
          <w:sz w:val="24"/>
          <w:szCs w:val="24"/>
        </w:rPr>
        <w:t>. Promax rotation allowed correlation of emergent factors</w:t>
      </w:r>
      <w:r w:rsidR="00A35488" w:rsidRPr="00D533AE">
        <w:rPr>
          <w:rFonts w:ascii="Arial" w:hAnsi="Arial" w:cs="Arial"/>
          <w:sz w:val="24"/>
          <w:szCs w:val="24"/>
        </w:rPr>
        <w:t xml:space="preserve"> from dichotomous items within OABS</w:t>
      </w:r>
      <w:r w:rsidRPr="00D533AE">
        <w:rPr>
          <w:rFonts w:ascii="Arial" w:hAnsi="Arial" w:cs="Arial"/>
          <w:sz w:val="24"/>
          <w:szCs w:val="24"/>
        </w:rPr>
        <w:t>.</w:t>
      </w:r>
      <w:r w:rsidR="00A64B0E" w:rsidRPr="00D533AE">
        <w:rPr>
          <w:rFonts w:ascii="Arial" w:hAnsi="Arial" w:cs="Arial"/>
          <w:sz w:val="24"/>
          <w:szCs w:val="24"/>
        </w:rPr>
        <w:t xml:space="preserve"> Principal component analysis (PCA) examined the contribution of each domain to overall </w:t>
      </w:r>
      <w:r w:rsidR="00A64B0E" w:rsidRPr="00D533AE">
        <w:rPr>
          <w:rFonts w:ascii="Arial" w:hAnsi="Arial" w:cs="Arial"/>
          <w:sz w:val="24"/>
          <w:szCs w:val="24"/>
        </w:rPr>
        <w:lastRenderedPageBreak/>
        <w:t xml:space="preserve">subchondral pathology and the factor structure of OABS. </w:t>
      </w:r>
      <w:r w:rsidR="0061138A" w:rsidRPr="00D533AE">
        <w:rPr>
          <w:rFonts w:ascii="Arial" w:hAnsi="Arial" w:cs="Arial"/>
          <w:sz w:val="24"/>
          <w:szCs w:val="24"/>
        </w:rPr>
        <w:t>Rasch analysis examine</w:t>
      </w:r>
      <w:r w:rsidR="00A87D38" w:rsidRPr="00D533AE">
        <w:rPr>
          <w:rFonts w:ascii="Arial" w:hAnsi="Arial" w:cs="Arial"/>
          <w:sz w:val="24"/>
          <w:szCs w:val="24"/>
        </w:rPr>
        <w:t>d</w:t>
      </w:r>
      <w:r w:rsidR="0061138A" w:rsidRPr="00D533AE">
        <w:rPr>
          <w:rFonts w:ascii="Arial" w:hAnsi="Arial" w:cs="Arial"/>
          <w:sz w:val="24"/>
          <w:szCs w:val="24"/>
        </w:rPr>
        <w:t xml:space="preserve"> measurement properties of the OABS score using RUMM2030 software (</w:t>
      </w:r>
      <w:hyperlink r:id="rId17" w:history="1">
        <w:r w:rsidR="00912355" w:rsidRPr="00D533AE">
          <w:rPr>
            <w:rStyle w:val="Hyperlink"/>
            <w:rFonts w:ascii="Arial" w:hAnsi="Arial" w:cs="Arial"/>
            <w:sz w:val="24"/>
            <w:szCs w:val="24"/>
          </w:rPr>
          <w:t>http://www.rummlab.com.au/</w:t>
        </w:r>
      </w:hyperlink>
      <w:r w:rsidR="0061138A" w:rsidRPr="00D533AE">
        <w:rPr>
          <w:rFonts w:ascii="Arial" w:hAnsi="Arial" w:cs="Arial"/>
          <w:sz w:val="24"/>
          <w:szCs w:val="24"/>
        </w:rPr>
        <w:t>).</w:t>
      </w:r>
      <w:r w:rsidR="00D76F9F" w:rsidRPr="00D533AE">
        <w:rPr>
          <w:rFonts w:ascii="Arial" w:hAnsi="Arial" w:cs="Arial"/>
          <w:sz w:val="24"/>
          <w:szCs w:val="24"/>
        </w:rPr>
        <w:t xml:space="preserve"> Model fit was assessed by comparing the means and SD of items’ and persons’ (cases</w:t>
      </w:r>
      <w:r w:rsidR="00A87D38" w:rsidRPr="00D533AE">
        <w:rPr>
          <w:rFonts w:ascii="Arial" w:hAnsi="Arial" w:cs="Arial"/>
          <w:sz w:val="24"/>
          <w:szCs w:val="24"/>
        </w:rPr>
        <w:t>’</w:t>
      </w:r>
      <w:r w:rsidR="00D76F9F" w:rsidRPr="00D533AE">
        <w:rPr>
          <w:rFonts w:ascii="Arial" w:hAnsi="Arial" w:cs="Arial"/>
          <w:sz w:val="24"/>
          <w:szCs w:val="24"/>
        </w:rPr>
        <w:t>) locations with the theoretical values (see supplementary data).</w:t>
      </w:r>
      <w:r w:rsidR="00AC1EC5" w:rsidRPr="00D533AE">
        <w:rPr>
          <w:rFonts w:ascii="Arial" w:hAnsi="Arial" w:cs="Arial"/>
          <w:sz w:val="24"/>
          <w:szCs w:val="24"/>
        </w:rPr>
        <w:t xml:space="preserve"> Internal consistency was measured using Cronbach alpha.</w:t>
      </w:r>
    </w:p>
    <w:p w14:paraId="3B4C19B0" w14:textId="77777777" w:rsidR="007259A6" w:rsidRPr="00D533AE" w:rsidRDefault="007259A6" w:rsidP="00743A2C">
      <w:pPr>
        <w:spacing w:line="480" w:lineRule="auto"/>
        <w:jc w:val="both"/>
        <w:rPr>
          <w:rFonts w:ascii="Arial" w:hAnsi="Arial" w:cs="Arial"/>
          <w:sz w:val="24"/>
          <w:szCs w:val="24"/>
        </w:rPr>
      </w:pPr>
    </w:p>
    <w:p w14:paraId="71824722" w14:textId="4739E3D7" w:rsidR="00392436" w:rsidRPr="00D533AE" w:rsidRDefault="00F5391D" w:rsidP="00A56C08">
      <w:pPr>
        <w:spacing w:after="0" w:line="480" w:lineRule="auto"/>
        <w:jc w:val="both"/>
        <w:rPr>
          <w:rFonts w:ascii="Arial" w:eastAsia="Times New Roman" w:hAnsi="Arial" w:cs="Arial"/>
          <w:b/>
          <w:bCs/>
          <w:sz w:val="24"/>
          <w:szCs w:val="24"/>
          <w:lang w:eastAsia="en-GB"/>
        </w:rPr>
      </w:pPr>
      <w:r w:rsidRPr="00D533AE">
        <w:rPr>
          <w:rFonts w:ascii="Arial" w:eastAsia="Times New Roman" w:hAnsi="Arial" w:cs="Arial"/>
          <w:b/>
          <w:bCs/>
          <w:sz w:val="24"/>
          <w:szCs w:val="24"/>
          <w:lang w:eastAsia="en-GB"/>
        </w:rPr>
        <w:t>Results</w:t>
      </w:r>
      <w:r w:rsidR="00A71E36" w:rsidRPr="00D533AE">
        <w:rPr>
          <w:rFonts w:ascii="Arial" w:eastAsia="Times New Roman" w:hAnsi="Arial" w:cs="Arial"/>
          <w:b/>
          <w:bCs/>
          <w:sz w:val="24"/>
          <w:szCs w:val="24"/>
          <w:lang w:eastAsia="en-GB"/>
        </w:rPr>
        <w:t xml:space="preserve"> </w:t>
      </w:r>
    </w:p>
    <w:p w14:paraId="2DEFC728" w14:textId="77777777" w:rsidR="00AA547D" w:rsidRPr="00D533AE" w:rsidRDefault="00AA547D" w:rsidP="00AA547D">
      <w:pPr>
        <w:pStyle w:val="NormalWeb"/>
        <w:spacing w:before="0" w:beforeAutospacing="0" w:after="0" w:afterAutospacing="0" w:line="480" w:lineRule="auto"/>
        <w:jc w:val="both"/>
        <w:rPr>
          <w:rFonts w:ascii="Arial" w:hAnsi="Arial" w:cs="Arial"/>
          <w:b/>
          <w:bCs/>
          <w:i/>
          <w:iCs/>
        </w:rPr>
      </w:pPr>
      <w:r w:rsidRPr="00D533AE">
        <w:rPr>
          <w:rFonts w:ascii="Arial" w:hAnsi="Arial" w:cs="Arial"/>
          <w:b/>
          <w:bCs/>
          <w:i/>
          <w:iCs/>
        </w:rPr>
        <w:t>Histopathological characteristics of Bone Marrow Lesions</w:t>
      </w:r>
    </w:p>
    <w:p w14:paraId="62B82145" w14:textId="345900EC" w:rsidR="00AA547D" w:rsidRPr="00D533AE" w:rsidRDefault="00AA547D" w:rsidP="00AA547D">
      <w:pPr>
        <w:pStyle w:val="NormalWeb"/>
        <w:spacing w:before="0" w:beforeAutospacing="0" w:after="0" w:afterAutospacing="0" w:line="480" w:lineRule="auto"/>
        <w:jc w:val="both"/>
        <w:rPr>
          <w:rFonts w:ascii="Arial" w:hAnsi="Arial" w:cs="Arial"/>
        </w:rPr>
      </w:pPr>
      <w:r w:rsidRPr="00D533AE">
        <w:rPr>
          <w:rFonts w:ascii="Arial" w:hAnsi="Arial" w:cs="Arial"/>
        </w:rPr>
        <w:t>Table 2 gives participant details. Individual participant data for MRI MOAKs scores and bone pathology characteristics for Groups 1 and 2 are in Supplementary Table 1. Hypervascularity in BML tissue was most frequently observed in regions near the osteochondral junction, with other regions of increased blood vessels deep within the subchondral bone. Subchondral vascularity was higher in BML tissue 123.5 (SD 69.1) compared with non-BML tissue 53.2 (SD 21.4) and post-mortem controls 11.7 (SD 5.4)</w:t>
      </w:r>
      <w:r w:rsidR="003148FC" w:rsidRPr="00D533AE">
        <w:rPr>
          <w:rFonts w:ascii="Arial" w:hAnsi="Arial" w:cs="Arial"/>
        </w:rPr>
        <w:t xml:space="preserve"> p&lt;0.0001</w:t>
      </w:r>
      <w:r w:rsidRPr="00D533AE">
        <w:rPr>
          <w:rFonts w:ascii="Arial" w:hAnsi="Arial" w:cs="Arial"/>
        </w:rPr>
        <w:t xml:space="preserve"> (Figure 4C). </w:t>
      </w:r>
      <w:bookmarkStart w:id="9" w:name="_Hlk93486258"/>
      <w:r w:rsidRPr="00D533AE">
        <w:rPr>
          <w:rFonts w:ascii="Arial" w:hAnsi="Arial" w:cs="Arial"/>
        </w:rPr>
        <w:t>PGP9.5 immunoreactive nerve profiles were most frequently observed in a perivascular distribution at the osteochondral junction and deeper within subchondral bone</w:t>
      </w:r>
      <w:r w:rsidR="00165021" w:rsidRPr="00D533AE">
        <w:rPr>
          <w:rFonts w:ascii="Arial" w:hAnsi="Arial" w:cs="Arial"/>
        </w:rPr>
        <w:t xml:space="preserve"> (Figure 4A &amp; B)</w:t>
      </w:r>
      <w:bookmarkEnd w:id="9"/>
      <w:r w:rsidRPr="00D533AE">
        <w:rPr>
          <w:rFonts w:ascii="Arial" w:hAnsi="Arial" w:cs="Arial"/>
        </w:rPr>
        <w:t>. Mean percentage of blood vessels associated with PGP9.5 immunoreactivity was higher in BML (15.5, SD 13.2%) than in non-BML OA (4.4, SD 5.3%) or non-OA control (0.4, SD 0.69%) tissues</w:t>
      </w:r>
      <w:r w:rsidR="003C104F" w:rsidRPr="00D533AE">
        <w:rPr>
          <w:rFonts w:ascii="Arial" w:hAnsi="Arial" w:cs="Arial"/>
        </w:rPr>
        <w:t>,</w:t>
      </w:r>
      <w:r w:rsidRPr="00D533AE">
        <w:rPr>
          <w:rFonts w:ascii="Arial" w:hAnsi="Arial" w:cs="Arial"/>
        </w:rPr>
        <w:t xml:space="preserve"> </w:t>
      </w:r>
      <w:r w:rsidR="00C53E62" w:rsidRPr="00D533AE">
        <w:rPr>
          <w:rFonts w:ascii="Arial" w:hAnsi="Arial" w:cs="Arial"/>
        </w:rPr>
        <w:t xml:space="preserve">p=0.018 </w:t>
      </w:r>
      <w:r w:rsidRPr="00D533AE">
        <w:rPr>
          <w:rFonts w:ascii="Arial" w:hAnsi="Arial" w:cs="Arial"/>
        </w:rPr>
        <w:t>(Figure 4D).</w:t>
      </w:r>
    </w:p>
    <w:p w14:paraId="4CE148CE" w14:textId="77777777" w:rsidR="00AA547D" w:rsidRPr="00D533AE" w:rsidRDefault="00AA547D" w:rsidP="00AA547D">
      <w:pPr>
        <w:pStyle w:val="NormalWeb"/>
        <w:spacing w:before="0" w:beforeAutospacing="0" w:after="0" w:afterAutospacing="0" w:line="480" w:lineRule="auto"/>
        <w:jc w:val="both"/>
        <w:rPr>
          <w:rFonts w:ascii="Arial" w:hAnsi="Arial" w:cs="Arial"/>
          <w:b/>
          <w:bCs/>
          <w:i/>
          <w:iCs/>
        </w:rPr>
      </w:pPr>
      <w:r w:rsidRPr="00D533AE">
        <w:rPr>
          <w:rFonts w:ascii="Arial" w:hAnsi="Arial" w:cs="Arial"/>
          <w:b/>
          <w:bCs/>
          <w:i/>
          <w:iCs/>
        </w:rPr>
        <w:t>Development and internal validation of Osteoarthritis Bone Score</w:t>
      </w:r>
    </w:p>
    <w:p w14:paraId="79B2E086" w14:textId="77777777" w:rsidR="00AA547D" w:rsidRPr="00D533AE" w:rsidRDefault="00AA547D" w:rsidP="00AA547D">
      <w:pPr>
        <w:spacing w:after="0" w:line="480" w:lineRule="auto"/>
        <w:jc w:val="both"/>
        <w:rPr>
          <w:rFonts w:ascii="Arial" w:hAnsi="Arial" w:cs="Arial"/>
          <w:sz w:val="24"/>
          <w:szCs w:val="24"/>
        </w:rPr>
      </w:pPr>
      <w:r w:rsidRPr="00D533AE">
        <w:rPr>
          <w:rFonts w:ascii="Arial" w:hAnsi="Arial" w:cs="Arial"/>
          <w:sz w:val="24"/>
          <w:szCs w:val="24"/>
        </w:rPr>
        <w:t xml:space="preserve">Each of the 7 BML-associated features was classified as absent (0) or present (1), and summed to give an OABS ranging from 0- 7, with 0 showing no pathological change and 7 the greatest pathological change (Figure 2). We used Rasch analysis of OABS across all 203 cases, to investigate if our scoring system complies with the </w:t>
      </w:r>
      <w:r w:rsidRPr="00D533AE">
        <w:rPr>
          <w:rFonts w:ascii="Arial" w:hAnsi="Arial" w:cs="Arial"/>
          <w:sz w:val="24"/>
          <w:szCs w:val="24"/>
        </w:rPr>
        <w:lastRenderedPageBreak/>
        <w:t>principles of measurement development (Supplementary Tables 1 and 2). Item location fit was good (mean 0, SD 1.251), with the Cysts item displaying highest difficulty (location=2.211) and Trabeculae thickened the lowest difficulty (location = -1.575). Mean person (case) location was 1.196 (SD 1.430), close to the expected theoretical value of 1 for a good person location fit. The mean person fit residual (-0.225) was closer to the ideal value of 0 than was the item fit residual (-0.445), although with a high degree of uncertainty. Floor and ceiling effects for OABS were acceptable.</w:t>
      </w:r>
      <w:r w:rsidRPr="00D533AE">
        <w:t xml:space="preserve"> </w:t>
      </w:r>
      <w:r w:rsidRPr="00D533AE">
        <w:rPr>
          <w:rFonts w:ascii="Arial" w:hAnsi="Arial" w:cs="Arial"/>
          <w:sz w:val="24"/>
          <w:szCs w:val="24"/>
        </w:rPr>
        <w:t>Only one person (0.49%) had a score of 0 in all items, although 45 samples (22%) had an OABS score of 7.</w:t>
      </w:r>
    </w:p>
    <w:p w14:paraId="5E5C5EC7" w14:textId="77777777" w:rsidR="00AA547D" w:rsidRPr="00D533AE" w:rsidRDefault="00AA547D" w:rsidP="00AA547D">
      <w:pPr>
        <w:spacing w:after="0" w:line="480" w:lineRule="auto"/>
        <w:jc w:val="both"/>
        <w:rPr>
          <w:rFonts w:ascii="Arial" w:hAnsi="Arial" w:cs="Arial"/>
          <w:sz w:val="24"/>
          <w:szCs w:val="24"/>
        </w:rPr>
      </w:pPr>
      <w:r w:rsidRPr="00D533AE">
        <w:rPr>
          <w:rFonts w:ascii="Arial" w:hAnsi="Arial" w:cs="Arial"/>
          <w:sz w:val="24"/>
          <w:szCs w:val="24"/>
        </w:rPr>
        <w:t xml:space="preserve">Principal Component Analysis (PCA) examined OABS structure and the contribution of each domain to subchondral pathology. </w:t>
      </w:r>
      <w:proofErr w:type="spellStart"/>
      <w:r w:rsidRPr="00D533AE">
        <w:rPr>
          <w:rFonts w:ascii="Arial" w:hAnsi="Arial" w:cs="Arial"/>
          <w:sz w:val="24"/>
          <w:szCs w:val="24"/>
        </w:rPr>
        <w:t>Polychoric</w:t>
      </w:r>
      <w:proofErr w:type="spellEnd"/>
      <w:r w:rsidRPr="00D533AE">
        <w:rPr>
          <w:rFonts w:ascii="Arial" w:hAnsi="Arial" w:cs="Arial"/>
          <w:sz w:val="24"/>
          <w:szCs w:val="24"/>
        </w:rPr>
        <w:t xml:space="preserve"> correlation matrix indicated positive correlations between almost all item pairs (Supplementary Table </w:t>
      </w:r>
      <w:r w:rsidR="00FE3CC5" w:rsidRPr="00D533AE">
        <w:rPr>
          <w:rFonts w:ascii="Arial" w:hAnsi="Arial" w:cs="Arial"/>
          <w:sz w:val="24"/>
          <w:szCs w:val="24"/>
        </w:rPr>
        <w:t>3</w:t>
      </w:r>
      <w:r w:rsidRPr="00D533AE">
        <w:rPr>
          <w:rFonts w:ascii="Arial" w:hAnsi="Arial" w:cs="Arial"/>
          <w:sz w:val="24"/>
          <w:szCs w:val="24"/>
        </w:rPr>
        <w:t>). The 7 OABS items were significantly loaded on 2 factors (Eigenvalues 3.1 and 1.2) (supplementary Tables 2 and 4). All items except trabecular thickness were loaded on the first factor (loadings 0.47 to 0.91)</w:t>
      </w:r>
      <w:r w:rsidR="00C3323A" w:rsidRPr="00D533AE">
        <w:rPr>
          <w:rFonts w:ascii="Arial" w:hAnsi="Arial" w:cs="Arial"/>
          <w:sz w:val="24"/>
          <w:szCs w:val="24"/>
        </w:rPr>
        <w:t xml:space="preserve"> (Supplementary table 5)</w:t>
      </w:r>
      <w:r w:rsidRPr="00D533AE">
        <w:rPr>
          <w:rFonts w:ascii="Arial" w:hAnsi="Arial" w:cs="Arial"/>
          <w:sz w:val="24"/>
          <w:szCs w:val="24"/>
        </w:rPr>
        <w:t>, and the second factor included only one item: trabecular thickness (supplementary Table 3</w:t>
      </w:r>
      <w:r w:rsidR="005873C5" w:rsidRPr="00D533AE">
        <w:rPr>
          <w:rFonts w:ascii="Arial" w:hAnsi="Arial" w:cs="Arial"/>
          <w:sz w:val="24"/>
          <w:szCs w:val="24"/>
        </w:rPr>
        <w:t xml:space="preserve"> and 6</w:t>
      </w:r>
      <w:r w:rsidRPr="00D533AE">
        <w:rPr>
          <w:rFonts w:ascii="Arial" w:hAnsi="Arial" w:cs="Arial"/>
          <w:sz w:val="24"/>
          <w:szCs w:val="24"/>
        </w:rPr>
        <w:t>). The first factor explained 66%, and the 2 factors cumulatively explained 92% of the OABS variance. The 2 factors were intercorrelated (r=0.56), and Cronbach alpha for OABS was 0.676.</w:t>
      </w:r>
    </w:p>
    <w:p w14:paraId="18ACD9ED" w14:textId="77777777" w:rsidR="00AA547D" w:rsidRPr="00D533AE" w:rsidRDefault="00AA547D" w:rsidP="00AA547D">
      <w:pPr>
        <w:spacing w:after="0" w:line="480" w:lineRule="auto"/>
        <w:jc w:val="both"/>
        <w:rPr>
          <w:rFonts w:ascii="Arial" w:hAnsi="Arial" w:cs="Arial"/>
          <w:sz w:val="24"/>
          <w:szCs w:val="24"/>
        </w:rPr>
      </w:pPr>
    </w:p>
    <w:p w14:paraId="3A312693" w14:textId="77777777" w:rsidR="00AA547D" w:rsidRPr="00D533AE" w:rsidRDefault="00AA547D" w:rsidP="00AA547D">
      <w:pPr>
        <w:spacing w:line="480" w:lineRule="auto"/>
        <w:jc w:val="both"/>
        <w:rPr>
          <w:rFonts w:ascii="Arial" w:hAnsi="Arial" w:cs="Arial"/>
          <w:b/>
          <w:bCs/>
          <w:i/>
          <w:iCs/>
          <w:sz w:val="24"/>
          <w:szCs w:val="24"/>
        </w:rPr>
      </w:pPr>
      <w:r w:rsidRPr="00D533AE">
        <w:rPr>
          <w:rFonts w:ascii="Arial" w:hAnsi="Arial" w:cs="Arial"/>
          <w:b/>
          <w:bCs/>
          <w:i/>
          <w:iCs/>
          <w:sz w:val="24"/>
          <w:szCs w:val="24"/>
        </w:rPr>
        <w:t>Discriminative ability of OABS and Mankin chondropathy scores</w:t>
      </w:r>
    </w:p>
    <w:p w14:paraId="0AA1A834" w14:textId="77777777" w:rsidR="00AA547D" w:rsidRPr="00D533AE" w:rsidRDefault="00AA547D" w:rsidP="00AA547D">
      <w:pPr>
        <w:pStyle w:val="CommentText"/>
        <w:spacing w:line="480" w:lineRule="auto"/>
        <w:jc w:val="both"/>
        <w:rPr>
          <w:rFonts w:ascii="Arial" w:eastAsia="Times New Roman" w:hAnsi="Arial" w:cs="Arial"/>
          <w:sz w:val="24"/>
          <w:szCs w:val="24"/>
          <w:lang w:eastAsia="en-GB"/>
        </w:rPr>
      </w:pPr>
      <w:r w:rsidRPr="00D533AE">
        <w:rPr>
          <w:rFonts w:ascii="Arial" w:hAnsi="Arial" w:cs="Arial"/>
          <w:sz w:val="24"/>
          <w:szCs w:val="24"/>
        </w:rPr>
        <w:t>Mean OABS in BML regions (6.2, SD 1.5) was higher than in non-BML regions (2.9, SD 1.2) from OA cases (p=0.0039) and OABS in TKR cases (group 3; 5.4, SD 2.1) was higher than in age and sex matched non-arthritic controls (group 2; 1.1, SD 0.6, p</w:t>
      </w:r>
      <w:r w:rsidR="00602C48" w:rsidRPr="00D533AE">
        <w:rPr>
          <w:rFonts w:ascii="Arial" w:hAnsi="Arial" w:cs="Arial"/>
          <w:sz w:val="24"/>
          <w:szCs w:val="24"/>
        </w:rPr>
        <w:t>&lt;</w:t>
      </w:r>
      <w:proofErr w:type="gramStart"/>
      <w:r w:rsidR="00602C48" w:rsidRPr="00D533AE">
        <w:rPr>
          <w:rFonts w:ascii="Arial" w:hAnsi="Arial" w:cs="Arial"/>
          <w:sz w:val="24"/>
          <w:szCs w:val="24"/>
        </w:rPr>
        <w:t>0.00</w:t>
      </w:r>
      <w:r w:rsidR="00D013AF" w:rsidRPr="00D533AE">
        <w:rPr>
          <w:rFonts w:ascii="Arial" w:hAnsi="Arial" w:cs="Arial"/>
          <w:sz w:val="24"/>
          <w:szCs w:val="24"/>
        </w:rPr>
        <w:t>0</w:t>
      </w:r>
      <w:r w:rsidR="00602C48" w:rsidRPr="00D533AE">
        <w:rPr>
          <w:rFonts w:ascii="Arial" w:hAnsi="Arial" w:cs="Arial"/>
          <w:sz w:val="24"/>
          <w:szCs w:val="24"/>
        </w:rPr>
        <w:t>1</w:t>
      </w:r>
      <w:r w:rsidRPr="00D533AE">
        <w:rPr>
          <w:rFonts w:ascii="Arial" w:hAnsi="Arial" w:cs="Arial"/>
          <w:sz w:val="24"/>
          <w:szCs w:val="24"/>
        </w:rPr>
        <w:t>)(</w:t>
      </w:r>
      <w:proofErr w:type="gramEnd"/>
      <w:r w:rsidRPr="00D533AE">
        <w:rPr>
          <w:rFonts w:ascii="Arial" w:hAnsi="Arial" w:cs="Arial"/>
          <w:sz w:val="24"/>
          <w:szCs w:val="24"/>
        </w:rPr>
        <w:t xml:space="preserve">Table 2, Figure 5). OABS in TKR OA cases were similar to BML lesion </w:t>
      </w:r>
      <w:r w:rsidRPr="00D533AE">
        <w:rPr>
          <w:rFonts w:ascii="Arial" w:hAnsi="Arial" w:cs="Arial"/>
          <w:sz w:val="24"/>
          <w:szCs w:val="24"/>
        </w:rPr>
        <w:lastRenderedPageBreak/>
        <w:t>samples</w:t>
      </w:r>
      <w:r w:rsidRPr="00D533AE">
        <w:rPr>
          <w:rFonts w:ascii="Arial" w:eastAsia="Times New Roman" w:hAnsi="Arial" w:cs="Arial"/>
          <w:sz w:val="24"/>
          <w:szCs w:val="24"/>
          <w:lang w:eastAsia="en-GB"/>
        </w:rPr>
        <w:t xml:space="preserve">. OABS discriminated group 4 (OA TKR cases) from group 5 (post mortem chondropathy cases who had not undergone </w:t>
      </w:r>
      <w:proofErr w:type="gramStart"/>
      <w:r w:rsidRPr="00D533AE">
        <w:rPr>
          <w:rFonts w:ascii="Arial" w:eastAsia="Times New Roman" w:hAnsi="Arial" w:cs="Arial"/>
          <w:sz w:val="24"/>
          <w:szCs w:val="24"/>
          <w:lang w:eastAsia="en-GB"/>
        </w:rPr>
        <w:t>TKR)(</w:t>
      </w:r>
      <w:proofErr w:type="gramEnd"/>
      <w:r w:rsidRPr="00D533AE">
        <w:rPr>
          <w:rFonts w:ascii="Arial" w:eastAsia="Times New Roman" w:hAnsi="Arial" w:cs="Arial"/>
          <w:sz w:val="24"/>
          <w:szCs w:val="24"/>
          <w:lang w:eastAsia="en-GB"/>
        </w:rPr>
        <w:t xml:space="preserve">Table </w:t>
      </w:r>
      <w:r w:rsidR="005A7B51" w:rsidRPr="00D533AE">
        <w:rPr>
          <w:rFonts w:ascii="Arial" w:eastAsia="Times New Roman" w:hAnsi="Arial" w:cs="Arial"/>
          <w:sz w:val="24"/>
          <w:szCs w:val="24"/>
          <w:lang w:eastAsia="en-GB"/>
        </w:rPr>
        <w:t>2</w:t>
      </w:r>
      <w:r w:rsidRPr="00D533AE">
        <w:rPr>
          <w:rFonts w:ascii="Arial" w:eastAsia="Times New Roman" w:hAnsi="Arial" w:cs="Arial"/>
          <w:sz w:val="24"/>
          <w:szCs w:val="24"/>
          <w:lang w:eastAsia="en-GB"/>
        </w:rPr>
        <w:t>).</w:t>
      </w:r>
    </w:p>
    <w:p w14:paraId="76BE7B59" w14:textId="77777777" w:rsidR="00AA547D" w:rsidRPr="00D533AE" w:rsidRDefault="00AA547D" w:rsidP="00AA547D">
      <w:pPr>
        <w:pStyle w:val="CommentText"/>
        <w:spacing w:line="480" w:lineRule="auto"/>
        <w:jc w:val="both"/>
        <w:rPr>
          <w:rFonts w:ascii="Arial" w:eastAsia="Times New Roman" w:hAnsi="Arial" w:cs="Arial"/>
          <w:sz w:val="24"/>
          <w:szCs w:val="24"/>
          <w:lang w:eastAsia="en-GB"/>
        </w:rPr>
      </w:pPr>
      <w:r w:rsidRPr="00D533AE">
        <w:rPr>
          <w:rFonts w:ascii="Arial" w:hAnsi="Arial" w:cs="Arial"/>
          <w:sz w:val="24"/>
          <w:szCs w:val="24"/>
        </w:rPr>
        <w:t xml:space="preserve">OABS was significantly associated with Mankin chondropathy scores across </w:t>
      </w:r>
      <w:r w:rsidRPr="00D533AE">
        <w:rPr>
          <w:rFonts w:ascii="Arial" w:eastAsiaTheme="minorEastAsia" w:hAnsi="Arial" w:cs="Arial"/>
          <w:color w:val="000000" w:themeColor="text1"/>
          <w:kern w:val="24"/>
          <w:sz w:val="24"/>
          <w:szCs w:val="24"/>
        </w:rPr>
        <w:t>all cases (Spearman’s R=0.79, p&lt;0.0001), although h</w:t>
      </w:r>
      <w:r w:rsidRPr="00D533AE">
        <w:rPr>
          <w:rFonts w:ascii="Arial" w:hAnsi="Arial" w:cs="Arial"/>
          <w:sz w:val="24"/>
          <w:szCs w:val="24"/>
        </w:rPr>
        <w:t xml:space="preserve">igh </w:t>
      </w:r>
      <w:proofErr w:type="spellStart"/>
      <w:r w:rsidRPr="00D533AE">
        <w:rPr>
          <w:rFonts w:ascii="Arial" w:hAnsi="Arial" w:cs="Arial"/>
          <w:sz w:val="24"/>
          <w:szCs w:val="24"/>
        </w:rPr>
        <w:t>Mankin</w:t>
      </w:r>
      <w:proofErr w:type="spellEnd"/>
      <w:r w:rsidRPr="00D533AE">
        <w:rPr>
          <w:rFonts w:ascii="Arial" w:hAnsi="Arial" w:cs="Arial"/>
          <w:sz w:val="24"/>
          <w:szCs w:val="24"/>
        </w:rPr>
        <w:t xml:space="preserve"> scores were observed both in the BML and in non-BML OA samples (Table 2, Figure 5). As with </w:t>
      </w:r>
      <w:r w:rsidRPr="00D533AE">
        <w:rPr>
          <w:rFonts w:ascii="Arial" w:eastAsia="Times New Roman" w:hAnsi="Arial" w:cs="Arial"/>
          <w:sz w:val="24"/>
          <w:szCs w:val="24"/>
          <w:lang w:eastAsia="en-GB"/>
        </w:rPr>
        <w:t xml:space="preserve">OABS, Mankin scores discriminated </w:t>
      </w:r>
      <w:r w:rsidR="000E4970" w:rsidRPr="00D533AE">
        <w:rPr>
          <w:rFonts w:ascii="Arial" w:eastAsia="Times New Roman" w:hAnsi="Arial" w:cs="Arial"/>
          <w:sz w:val="24"/>
          <w:szCs w:val="24"/>
          <w:lang w:eastAsia="en-GB"/>
        </w:rPr>
        <w:t xml:space="preserve">BML </w:t>
      </w:r>
      <w:r w:rsidRPr="00D533AE">
        <w:rPr>
          <w:rFonts w:ascii="Arial" w:hAnsi="Arial" w:cs="Arial"/>
          <w:sz w:val="24"/>
          <w:szCs w:val="24"/>
        </w:rPr>
        <w:t>TKR OA cases</w:t>
      </w:r>
      <w:r w:rsidR="000E4970" w:rsidRPr="00D533AE">
        <w:rPr>
          <w:rFonts w:ascii="Arial" w:hAnsi="Arial" w:cs="Arial"/>
          <w:sz w:val="24"/>
          <w:szCs w:val="24"/>
        </w:rPr>
        <w:t xml:space="preserve"> (Group 1)</w:t>
      </w:r>
      <w:r w:rsidRPr="00D533AE">
        <w:rPr>
          <w:rFonts w:ascii="Arial" w:hAnsi="Arial" w:cs="Arial"/>
          <w:sz w:val="24"/>
          <w:szCs w:val="24"/>
        </w:rPr>
        <w:t xml:space="preserve"> from non-arthritic post-mortem controls</w:t>
      </w:r>
      <w:r w:rsidR="000E4970" w:rsidRPr="00D533AE">
        <w:rPr>
          <w:rFonts w:ascii="Arial" w:hAnsi="Arial" w:cs="Arial"/>
          <w:sz w:val="24"/>
          <w:szCs w:val="24"/>
        </w:rPr>
        <w:t xml:space="preserve"> (Group 2)</w:t>
      </w:r>
      <w:r w:rsidRPr="00D533AE">
        <w:rPr>
          <w:rFonts w:ascii="Arial" w:hAnsi="Arial" w:cs="Arial"/>
          <w:sz w:val="24"/>
          <w:szCs w:val="24"/>
        </w:rPr>
        <w:t xml:space="preserve"> (p=0.0003), and </w:t>
      </w:r>
      <w:r w:rsidRPr="00D533AE">
        <w:rPr>
          <w:rFonts w:ascii="Arial" w:eastAsia="Times New Roman" w:hAnsi="Arial" w:cs="Arial"/>
          <w:sz w:val="24"/>
          <w:szCs w:val="24"/>
          <w:lang w:eastAsia="en-GB"/>
        </w:rPr>
        <w:t xml:space="preserve">TKR </w:t>
      </w:r>
      <w:r w:rsidRPr="00D533AE">
        <w:rPr>
          <w:rFonts w:ascii="Arial" w:hAnsi="Arial" w:cs="Arial"/>
          <w:sz w:val="24"/>
          <w:szCs w:val="24"/>
        </w:rPr>
        <w:t>from post mortem chondropathy cases</w:t>
      </w:r>
      <w:r w:rsidR="000E4970" w:rsidRPr="00D533AE">
        <w:rPr>
          <w:rFonts w:ascii="Arial" w:hAnsi="Arial" w:cs="Arial"/>
          <w:sz w:val="24"/>
          <w:szCs w:val="24"/>
        </w:rPr>
        <w:t xml:space="preserve"> (p=0.038)</w:t>
      </w:r>
      <w:r w:rsidRPr="00D533AE">
        <w:rPr>
          <w:rFonts w:ascii="Arial" w:hAnsi="Arial" w:cs="Arial"/>
          <w:sz w:val="24"/>
          <w:szCs w:val="24"/>
        </w:rPr>
        <w:t xml:space="preserve"> (Table </w:t>
      </w:r>
      <w:r w:rsidR="002858B2" w:rsidRPr="00D533AE">
        <w:rPr>
          <w:rFonts w:ascii="Arial" w:hAnsi="Arial" w:cs="Arial"/>
          <w:sz w:val="24"/>
          <w:szCs w:val="24"/>
        </w:rPr>
        <w:t>2</w:t>
      </w:r>
      <w:r w:rsidRPr="00D533AE">
        <w:rPr>
          <w:rFonts w:ascii="Arial" w:hAnsi="Arial" w:cs="Arial"/>
          <w:sz w:val="24"/>
          <w:szCs w:val="24"/>
        </w:rPr>
        <w:t xml:space="preserve">). </w:t>
      </w:r>
      <w:bookmarkStart w:id="10" w:name="_Hlk88564491"/>
      <w:r w:rsidRPr="00D533AE">
        <w:rPr>
          <w:rFonts w:ascii="Arial" w:hAnsi="Arial" w:cs="Arial"/>
          <w:sz w:val="24"/>
          <w:szCs w:val="24"/>
        </w:rPr>
        <w:t xml:space="preserve">However, unlike with OABS, there was no significant difference in Mankin scores between BML and non-BML samples (p=0.22). </w:t>
      </w:r>
      <w:bookmarkEnd w:id="10"/>
    </w:p>
    <w:p w14:paraId="048F08D6" w14:textId="77777777" w:rsidR="00A37F19" w:rsidRPr="00D533AE" w:rsidRDefault="00A37F19" w:rsidP="00D76F9F">
      <w:pPr>
        <w:pStyle w:val="CommentText"/>
        <w:spacing w:line="480" w:lineRule="auto"/>
        <w:jc w:val="both"/>
        <w:rPr>
          <w:rFonts w:ascii="Arial" w:hAnsi="Arial" w:cs="Arial"/>
          <w:sz w:val="24"/>
          <w:szCs w:val="24"/>
        </w:rPr>
      </w:pPr>
    </w:p>
    <w:p w14:paraId="7E52A4D3" w14:textId="77777777" w:rsidR="00A56C08" w:rsidRPr="00D533AE" w:rsidRDefault="00A56C08" w:rsidP="00BE61BB">
      <w:pPr>
        <w:pStyle w:val="NormalWeb"/>
        <w:spacing w:before="0" w:beforeAutospacing="0" w:after="0" w:afterAutospacing="0"/>
        <w:rPr>
          <w:rFonts w:ascii="Arial" w:eastAsiaTheme="minorEastAsia" w:hAnsi="Arial" w:cs="Arial"/>
          <w:b/>
          <w:bCs/>
          <w:color w:val="000000" w:themeColor="text1"/>
          <w:kern w:val="24"/>
        </w:rPr>
      </w:pPr>
      <w:r w:rsidRPr="00D533AE">
        <w:rPr>
          <w:rFonts w:ascii="Arial" w:eastAsiaTheme="minorEastAsia" w:hAnsi="Arial" w:cs="Arial"/>
          <w:b/>
          <w:bCs/>
          <w:color w:val="000000" w:themeColor="text1"/>
          <w:kern w:val="24"/>
        </w:rPr>
        <w:t>Discussion</w:t>
      </w:r>
    </w:p>
    <w:p w14:paraId="438A1D80" w14:textId="77777777" w:rsidR="00A56C08" w:rsidRPr="00D533AE" w:rsidRDefault="00A56C08" w:rsidP="00BE61BB">
      <w:pPr>
        <w:pStyle w:val="NormalWeb"/>
        <w:spacing w:before="0" w:beforeAutospacing="0" w:after="0" w:afterAutospacing="0"/>
        <w:rPr>
          <w:rFonts w:ascii="Arial" w:eastAsiaTheme="minorEastAsia" w:hAnsi="Arial" w:cs="Arial"/>
          <w:color w:val="000000" w:themeColor="text1"/>
          <w:kern w:val="24"/>
        </w:rPr>
      </w:pPr>
    </w:p>
    <w:p w14:paraId="249A923D" w14:textId="77777777" w:rsidR="00CA1017" w:rsidRPr="00D533AE" w:rsidRDefault="00CA1017" w:rsidP="00A56C08">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 xml:space="preserve">In this study we identify 7 histopathological characteristics of BMLs; cysts, fibrosis, hypervascularity, cartilage islands, trabecular thickening, loss of tidemark integrity and inflammatory cell infiltration, and validate a composite scoring system, </w:t>
      </w:r>
      <w:r w:rsidR="005009E8" w:rsidRPr="00D533AE">
        <w:rPr>
          <w:rFonts w:ascii="Arial" w:eastAsia="Times New Roman" w:hAnsi="Arial" w:cs="Arial"/>
          <w:sz w:val="24"/>
          <w:szCs w:val="24"/>
          <w:lang w:eastAsia="en-GB"/>
        </w:rPr>
        <w:t>t</w:t>
      </w:r>
      <w:r w:rsidRPr="00D533AE">
        <w:rPr>
          <w:rFonts w:ascii="Arial" w:eastAsia="Times New Roman" w:hAnsi="Arial" w:cs="Arial"/>
          <w:sz w:val="24"/>
          <w:szCs w:val="24"/>
          <w:lang w:eastAsia="en-GB"/>
        </w:rPr>
        <w:t>he OABS. BML-like histopathological changes were associated with subchondral hypervascularity and innervation, consistent with a highly metabolic tissue change that is associated with OA pain.</w:t>
      </w:r>
    </w:p>
    <w:p w14:paraId="58E906B9" w14:textId="77777777" w:rsidR="00DE556A" w:rsidRDefault="00CA1017" w:rsidP="00462866">
      <w:pPr>
        <w:spacing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R</w:t>
      </w:r>
      <w:r w:rsidR="00A56C08" w:rsidRPr="00D533AE">
        <w:rPr>
          <w:rFonts w:ascii="Arial" w:eastAsia="Times New Roman" w:hAnsi="Arial" w:cs="Arial"/>
          <w:sz w:val="24"/>
          <w:szCs w:val="24"/>
          <w:lang w:eastAsia="en-GB"/>
        </w:rPr>
        <w:t>obust scoring system</w:t>
      </w:r>
      <w:r w:rsidRPr="00D533AE">
        <w:rPr>
          <w:rFonts w:ascii="Arial" w:eastAsia="Times New Roman" w:hAnsi="Arial" w:cs="Arial"/>
          <w:sz w:val="24"/>
          <w:szCs w:val="24"/>
          <w:lang w:eastAsia="en-GB"/>
        </w:rPr>
        <w:t>s</w:t>
      </w:r>
      <w:r w:rsidR="00A56C08" w:rsidRPr="00D533AE">
        <w:rPr>
          <w:rFonts w:ascii="Arial" w:eastAsia="Times New Roman" w:hAnsi="Arial" w:cs="Arial"/>
          <w:sz w:val="24"/>
          <w:szCs w:val="24"/>
          <w:lang w:eastAsia="en-GB"/>
        </w:rPr>
        <w:t xml:space="preserve"> for </w:t>
      </w:r>
      <w:r w:rsidRPr="00D533AE">
        <w:rPr>
          <w:rFonts w:ascii="Arial" w:eastAsia="Times New Roman" w:hAnsi="Arial" w:cs="Arial"/>
          <w:sz w:val="24"/>
          <w:szCs w:val="24"/>
          <w:lang w:eastAsia="en-GB"/>
        </w:rPr>
        <w:t>pathology</w:t>
      </w:r>
      <w:r w:rsidR="00D055EF" w:rsidRPr="00D533AE">
        <w:rPr>
          <w:rFonts w:ascii="Arial" w:eastAsia="Times New Roman" w:hAnsi="Arial" w:cs="Arial"/>
          <w:sz w:val="24"/>
          <w:szCs w:val="24"/>
          <w:lang w:eastAsia="en-GB"/>
        </w:rPr>
        <w:t xml:space="preserve"> in distinct compartments of the joint</w:t>
      </w:r>
      <w:r w:rsidRPr="00D533AE">
        <w:rPr>
          <w:rFonts w:ascii="Arial" w:eastAsia="Times New Roman" w:hAnsi="Arial" w:cs="Arial"/>
          <w:sz w:val="24"/>
          <w:szCs w:val="24"/>
          <w:lang w:eastAsia="en-GB"/>
        </w:rPr>
        <w:t xml:space="preserve"> can help elucidate </w:t>
      </w:r>
      <w:r w:rsidR="00435494" w:rsidRPr="00D533AE">
        <w:rPr>
          <w:rFonts w:ascii="Arial" w:eastAsia="Times New Roman" w:hAnsi="Arial" w:cs="Arial"/>
          <w:sz w:val="24"/>
          <w:szCs w:val="24"/>
          <w:lang w:eastAsia="en-GB"/>
        </w:rPr>
        <w:t xml:space="preserve">disease </w:t>
      </w:r>
      <w:r w:rsidRPr="00D533AE">
        <w:rPr>
          <w:rFonts w:ascii="Arial" w:eastAsia="Times New Roman" w:hAnsi="Arial" w:cs="Arial"/>
          <w:sz w:val="24"/>
          <w:szCs w:val="24"/>
          <w:lang w:eastAsia="en-GB"/>
        </w:rPr>
        <w:t xml:space="preserve">mechanisms and </w:t>
      </w:r>
      <w:r w:rsidR="00435494" w:rsidRPr="00D533AE">
        <w:rPr>
          <w:rFonts w:ascii="Arial" w:eastAsia="Times New Roman" w:hAnsi="Arial" w:cs="Arial"/>
          <w:sz w:val="24"/>
          <w:szCs w:val="24"/>
          <w:lang w:eastAsia="en-GB"/>
        </w:rPr>
        <w:t xml:space="preserve">support </w:t>
      </w:r>
      <w:r w:rsidRPr="00D533AE">
        <w:rPr>
          <w:rFonts w:ascii="Arial" w:eastAsia="Times New Roman" w:hAnsi="Arial" w:cs="Arial"/>
          <w:sz w:val="24"/>
          <w:szCs w:val="24"/>
          <w:lang w:eastAsia="en-GB"/>
        </w:rPr>
        <w:t>disease classification</w:t>
      </w:r>
      <w:r w:rsidR="00B34E38" w:rsidRPr="00D533AE">
        <w:rPr>
          <w:rFonts w:ascii="Arial" w:eastAsia="Times New Roman" w:hAnsi="Arial" w:cs="Arial"/>
          <w:sz w:val="24"/>
          <w:szCs w:val="24"/>
          <w:lang w:eastAsia="en-GB"/>
        </w:rPr>
        <w:t xml:space="preserve">. Although validated scoring systems exist for synovial changes (3) and cartilage damage (5, 6), previous </w:t>
      </w:r>
      <w:r w:rsidR="00DE556A" w:rsidRPr="00D533AE">
        <w:rPr>
          <w:rFonts w:ascii="Arial" w:eastAsia="Times New Roman" w:hAnsi="Arial" w:cs="Arial"/>
          <w:sz w:val="24"/>
          <w:szCs w:val="24"/>
          <w:lang w:eastAsia="en-GB"/>
        </w:rPr>
        <w:t xml:space="preserve">histological </w:t>
      </w:r>
      <w:r w:rsidRPr="00D533AE">
        <w:rPr>
          <w:rFonts w:ascii="Arial" w:eastAsia="Times New Roman" w:hAnsi="Arial" w:cs="Arial"/>
          <w:sz w:val="24"/>
          <w:szCs w:val="24"/>
          <w:lang w:eastAsia="en-GB"/>
        </w:rPr>
        <w:t xml:space="preserve">measurement of </w:t>
      </w:r>
      <w:r w:rsidR="00D055EF" w:rsidRPr="00D533AE">
        <w:rPr>
          <w:rFonts w:ascii="Arial" w:eastAsia="Times New Roman" w:hAnsi="Arial" w:cs="Arial"/>
          <w:sz w:val="24"/>
          <w:szCs w:val="24"/>
          <w:lang w:eastAsia="en-GB"/>
        </w:rPr>
        <w:t xml:space="preserve">bone </w:t>
      </w:r>
      <w:r w:rsidR="00DE556A" w:rsidRPr="00D533AE">
        <w:rPr>
          <w:rFonts w:ascii="Arial" w:eastAsia="Times New Roman" w:hAnsi="Arial" w:cs="Arial"/>
          <w:sz w:val="24"/>
          <w:szCs w:val="24"/>
          <w:lang w:eastAsia="en-GB"/>
        </w:rPr>
        <w:t>pathology</w:t>
      </w:r>
      <w:r w:rsidRPr="00D533AE">
        <w:rPr>
          <w:rFonts w:ascii="Arial" w:eastAsia="Times New Roman" w:hAnsi="Arial" w:cs="Arial"/>
          <w:sz w:val="24"/>
          <w:szCs w:val="24"/>
          <w:lang w:eastAsia="en-GB"/>
        </w:rPr>
        <w:t xml:space="preserve"> has focused on calcified </w:t>
      </w:r>
      <w:r w:rsidR="00435494" w:rsidRPr="00D533AE">
        <w:rPr>
          <w:rFonts w:ascii="Arial" w:eastAsia="Times New Roman" w:hAnsi="Arial" w:cs="Arial"/>
          <w:sz w:val="24"/>
          <w:szCs w:val="24"/>
          <w:lang w:eastAsia="en-GB"/>
        </w:rPr>
        <w:t>structural components</w:t>
      </w:r>
      <w:r w:rsidRPr="00D533AE">
        <w:rPr>
          <w:rFonts w:ascii="Arial" w:eastAsia="Times New Roman" w:hAnsi="Arial" w:cs="Arial"/>
          <w:sz w:val="24"/>
          <w:szCs w:val="24"/>
          <w:lang w:eastAsia="en-GB"/>
        </w:rPr>
        <w:t xml:space="preserve"> (e.g. trabecular morphology and subchondral </w:t>
      </w:r>
      <w:r w:rsidR="00435494" w:rsidRPr="00D533AE">
        <w:rPr>
          <w:rFonts w:ascii="Arial" w:eastAsia="Times New Roman" w:hAnsi="Arial" w:cs="Arial"/>
          <w:sz w:val="24"/>
          <w:szCs w:val="24"/>
          <w:lang w:eastAsia="en-GB"/>
        </w:rPr>
        <w:t xml:space="preserve">bone </w:t>
      </w:r>
      <w:r w:rsidRPr="00D533AE">
        <w:rPr>
          <w:rFonts w:ascii="Arial" w:eastAsia="Times New Roman" w:hAnsi="Arial" w:cs="Arial"/>
          <w:sz w:val="24"/>
          <w:szCs w:val="24"/>
          <w:lang w:eastAsia="en-GB"/>
        </w:rPr>
        <w:t>thickness)</w:t>
      </w:r>
      <w:r w:rsidR="009D2B5F" w:rsidRPr="00D533AE">
        <w:rPr>
          <w:rFonts w:ascii="Arial" w:eastAsia="Times New Roman" w:hAnsi="Arial" w:cs="Arial"/>
          <w:sz w:val="24"/>
          <w:szCs w:val="24"/>
          <w:lang w:eastAsia="en-GB"/>
        </w:rPr>
        <w:t xml:space="preserve"> (10)</w:t>
      </w:r>
      <w:r w:rsidRPr="00D533AE">
        <w:rPr>
          <w:rFonts w:ascii="Arial" w:eastAsia="Times New Roman" w:hAnsi="Arial" w:cs="Arial"/>
          <w:sz w:val="24"/>
          <w:szCs w:val="24"/>
          <w:lang w:eastAsia="en-GB"/>
        </w:rPr>
        <w:t>, whereas cellular and metabolic changes may make greater contributions to symptoms such as pain. In this respect</w:t>
      </w:r>
      <w:r w:rsidR="00D055EF" w:rsidRPr="00D533AE">
        <w:rPr>
          <w:rFonts w:ascii="Arial" w:eastAsia="Times New Roman" w:hAnsi="Arial" w:cs="Arial"/>
          <w:sz w:val="24"/>
          <w:szCs w:val="24"/>
          <w:lang w:eastAsia="en-GB"/>
        </w:rPr>
        <w:t xml:space="preserve">, </w:t>
      </w:r>
      <w:r w:rsidRPr="00D533AE">
        <w:rPr>
          <w:rFonts w:ascii="Arial" w:eastAsia="Times New Roman" w:hAnsi="Arial" w:cs="Arial"/>
          <w:sz w:val="24"/>
          <w:szCs w:val="24"/>
          <w:lang w:eastAsia="en-GB"/>
        </w:rPr>
        <w:t xml:space="preserve">histological correlates of </w:t>
      </w:r>
      <w:r w:rsidR="00A56C08" w:rsidRPr="00D533AE">
        <w:rPr>
          <w:rFonts w:ascii="Arial" w:eastAsia="Times New Roman" w:hAnsi="Arial" w:cs="Arial"/>
          <w:sz w:val="24"/>
          <w:szCs w:val="24"/>
          <w:lang w:eastAsia="en-GB"/>
        </w:rPr>
        <w:t>BMLs</w:t>
      </w:r>
      <w:r w:rsidRPr="00D533AE">
        <w:rPr>
          <w:rFonts w:ascii="Arial" w:eastAsia="Times New Roman" w:hAnsi="Arial" w:cs="Arial"/>
          <w:sz w:val="24"/>
          <w:szCs w:val="24"/>
          <w:lang w:eastAsia="en-GB"/>
        </w:rPr>
        <w:t xml:space="preserve"> are of particular interest </w:t>
      </w:r>
      <w:r w:rsidRPr="00D533AE">
        <w:rPr>
          <w:rFonts w:ascii="Arial" w:eastAsia="Times New Roman" w:hAnsi="Arial" w:cs="Arial"/>
          <w:sz w:val="24"/>
          <w:szCs w:val="24"/>
          <w:lang w:eastAsia="en-GB"/>
        </w:rPr>
        <w:lastRenderedPageBreak/>
        <w:t xml:space="preserve">because MRI evidence of BMLs has been consistently associated with OA </w:t>
      </w:r>
      <w:r w:rsidR="00646FF0" w:rsidRPr="00D533AE">
        <w:rPr>
          <w:rFonts w:ascii="Arial" w:eastAsia="Times New Roman" w:hAnsi="Arial" w:cs="Arial"/>
          <w:sz w:val="24"/>
          <w:szCs w:val="24"/>
          <w:lang w:eastAsia="en-GB"/>
        </w:rPr>
        <w:t>pai</w:t>
      </w:r>
      <w:r w:rsidR="00646FF0">
        <w:rPr>
          <w:rFonts w:ascii="Arial" w:eastAsia="Times New Roman" w:hAnsi="Arial" w:cs="Arial"/>
          <w:sz w:val="24"/>
          <w:szCs w:val="24"/>
          <w:lang w:eastAsia="en-GB"/>
        </w:rPr>
        <w:t>n</w:t>
      </w:r>
      <w:r w:rsidR="00646FF0" w:rsidRPr="001670AF">
        <w:rPr>
          <w:rFonts w:ascii="Arial" w:eastAsia="Times New Roman" w:hAnsi="Arial" w:cs="Arial"/>
          <w:sz w:val="24"/>
          <w:szCs w:val="24"/>
          <w:lang w:eastAsia="en-GB"/>
        </w:rPr>
        <w:t xml:space="preserve"> (8, 9)</w:t>
      </w:r>
      <w:r w:rsidR="00646FF0">
        <w:rPr>
          <w:rFonts w:ascii="Arial" w:eastAsia="Times New Roman" w:hAnsi="Arial" w:cs="Arial"/>
          <w:sz w:val="24"/>
          <w:szCs w:val="24"/>
          <w:lang w:eastAsia="en-GB"/>
        </w:rPr>
        <w:t>.</w:t>
      </w:r>
      <w:r w:rsidR="00646FF0" w:rsidRPr="001670AF">
        <w:rPr>
          <w:rFonts w:ascii="Arial" w:eastAsia="Times New Roman" w:hAnsi="Arial" w:cs="Arial"/>
          <w:sz w:val="24"/>
          <w:szCs w:val="24"/>
          <w:lang w:eastAsia="en-GB"/>
        </w:rPr>
        <w:t xml:space="preserve"> </w:t>
      </w:r>
      <w:r w:rsidR="00646FF0">
        <w:rPr>
          <w:rFonts w:ascii="Arial" w:eastAsia="Times New Roman" w:hAnsi="Arial" w:cs="Arial"/>
          <w:sz w:val="24"/>
          <w:szCs w:val="24"/>
          <w:lang w:eastAsia="en-GB"/>
        </w:rPr>
        <w:t>W</w:t>
      </w:r>
      <w:r w:rsidR="00FC76DC">
        <w:rPr>
          <w:rFonts w:ascii="Arial" w:eastAsia="Times New Roman" w:hAnsi="Arial" w:cs="Arial"/>
          <w:sz w:val="24"/>
          <w:szCs w:val="24"/>
          <w:lang w:eastAsia="en-GB"/>
        </w:rPr>
        <w:t xml:space="preserve">e </w:t>
      </w:r>
      <w:r w:rsidR="00067156">
        <w:rPr>
          <w:rFonts w:ascii="Arial" w:eastAsia="Times New Roman" w:hAnsi="Arial" w:cs="Arial"/>
          <w:sz w:val="24"/>
          <w:szCs w:val="24"/>
          <w:lang w:eastAsia="en-GB"/>
        </w:rPr>
        <w:t xml:space="preserve">have shown that </w:t>
      </w:r>
      <w:r w:rsidR="00646FF0">
        <w:rPr>
          <w:rFonts w:ascii="Arial" w:eastAsia="Times New Roman" w:hAnsi="Arial" w:cs="Arial"/>
          <w:sz w:val="24"/>
          <w:szCs w:val="24"/>
          <w:lang w:eastAsia="en-GB"/>
        </w:rPr>
        <w:t>the subchondral pathological features</w:t>
      </w:r>
      <w:r w:rsidR="00287F63">
        <w:rPr>
          <w:rFonts w:ascii="Arial" w:eastAsia="Times New Roman" w:hAnsi="Arial" w:cs="Arial"/>
          <w:sz w:val="24"/>
          <w:szCs w:val="24"/>
          <w:lang w:eastAsia="en-GB"/>
        </w:rPr>
        <w:t xml:space="preserve"> </w:t>
      </w:r>
      <w:r w:rsidR="00646FF0">
        <w:rPr>
          <w:rFonts w:ascii="Arial" w:eastAsia="Times New Roman" w:hAnsi="Arial" w:cs="Arial"/>
          <w:sz w:val="24"/>
          <w:szCs w:val="24"/>
          <w:lang w:eastAsia="en-GB"/>
        </w:rPr>
        <w:t>can be scored using</w:t>
      </w:r>
      <w:r w:rsidR="00287F63">
        <w:rPr>
          <w:rFonts w:ascii="Arial" w:eastAsia="Times New Roman" w:hAnsi="Arial" w:cs="Arial"/>
          <w:sz w:val="24"/>
          <w:szCs w:val="24"/>
          <w:lang w:eastAsia="en-GB"/>
        </w:rPr>
        <w:t xml:space="preserve"> </w:t>
      </w:r>
      <w:r w:rsidR="00067156">
        <w:rPr>
          <w:rFonts w:ascii="Arial" w:eastAsia="Times New Roman" w:hAnsi="Arial" w:cs="Arial"/>
          <w:sz w:val="24"/>
          <w:szCs w:val="24"/>
          <w:lang w:eastAsia="en-GB"/>
        </w:rPr>
        <w:t>the OABS</w:t>
      </w:r>
      <w:r w:rsidR="003119CA">
        <w:rPr>
          <w:rFonts w:ascii="Arial" w:eastAsia="Times New Roman" w:hAnsi="Arial" w:cs="Arial"/>
          <w:sz w:val="24"/>
          <w:szCs w:val="24"/>
          <w:lang w:eastAsia="en-GB"/>
        </w:rPr>
        <w:t xml:space="preserve">. </w:t>
      </w:r>
      <w:r w:rsidR="003119CA">
        <w:rPr>
          <w:rFonts w:ascii="Arial" w:hAnsi="Arial" w:cs="Arial"/>
          <w:sz w:val="24"/>
          <w:szCs w:val="24"/>
        </w:rPr>
        <w:t>OABS</w:t>
      </w:r>
      <w:r w:rsidR="003119CA" w:rsidRPr="00F71057">
        <w:rPr>
          <w:rFonts w:ascii="Arial" w:hAnsi="Arial" w:cs="Arial"/>
          <w:sz w:val="24"/>
          <w:szCs w:val="24"/>
        </w:rPr>
        <w:t xml:space="preserve"> was well targeted to a broad population of donors of tibial plateaux at TKR or post mortem, of whom only 22% displayed changes given the maximum score of 7 (ceiling effect).</w:t>
      </w:r>
      <w:r w:rsidR="003119CA">
        <w:rPr>
          <w:rFonts w:ascii="Arial" w:hAnsi="Arial" w:cs="Arial"/>
          <w:sz w:val="24"/>
          <w:szCs w:val="24"/>
        </w:rPr>
        <w:t xml:space="preserve"> OABS could</w:t>
      </w:r>
      <w:r w:rsidR="00646FF0">
        <w:rPr>
          <w:rFonts w:ascii="Arial" w:eastAsia="Times New Roman" w:hAnsi="Arial" w:cs="Arial"/>
          <w:sz w:val="24"/>
          <w:szCs w:val="24"/>
          <w:lang w:eastAsia="en-GB"/>
        </w:rPr>
        <w:t xml:space="preserve"> distinguish BML lesions from non-BML subchondral bone</w:t>
      </w:r>
      <w:r w:rsidR="003119CA">
        <w:rPr>
          <w:rFonts w:ascii="Arial" w:eastAsia="Times New Roman" w:hAnsi="Arial" w:cs="Arial"/>
          <w:sz w:val="24"/>
          <w:szCs w:val="24"/>
          <w:lang w:eastAsia="en-GB"/>
        </w:rPr>
        <w:t>,</w:t>
      </w:r>
      <w:r w:rsidR="00646FF0">
        <w:rPr>
          <w:rFonts w:ascii="Arial" w:eastAsia="Times New Roman" w:hAnsi="Arial" w:cs="Arial"/>
          <w:sz w:val="24"/>
          <w:szCs w:val="24"/>
          <w:lang w:eastAsia="en-GB"/>
        </w:rPr>
        <w:t xml:space="preserve"> </w:t>
      </w:r>
      <w:r w:rsidR="003119CA">
        <w:rPr>
          <w:rFonts w:ascii="Arial" w:eastAsia="Times New Roman" w:hAnsi="Arial" w:cs="Arial"/>
          <w:sz w:val="24"/>
          <w:szCs w:val="24"/>
          <w:lang w:eastAsia="en-GB"/>
        </w:rPr>
        <w:t>and could</w:t>
      </w:r>
      <w:r w:rsidR="00646FF0">
        <w:rPr>
          <w:rFonts w:ascii="Arial" w:eastAsia="Times New Roman" w:hAnsi="Arial" w:cs="Arial"/>
          <w:sz w:val="24"/>
          <w:szCs w:val="24"/>
          <w:lang w:eastAsia="en-GB"/>
        </w:rPr>
        <w:t xml:space="preserve"> distinguish between OA and non-OA cases, and between samples obtained at TKR </w:t>
      </w:r>
      <w:r w:rsidR="00CF7D18">
        <w:rPr>
          <w:rFonts w:ascii="Arial" w:eastAsia="Times New Roman" w:hAnsi="Arial" w:cs="Arial"/>
          <w:sz w:val="24"/>
          <w:szCs w:val="24"/>
          <w:lang w:eastAsia="en-GB"/>
        </w:rPr>
        <w:t>or</w:t>
      </w:r>
      <w:r w:rsidR="00646FF0">
        <w:rPr>
          <w:rFonts w:ascii="Arial" w:eastAsia="Times New Roman" w:hAnsi="Arial" w:cs="Arial"/>
          <w:sz w:val="24"/>
          <w:szCs w:val="24"/>
          <w:lang w:eastAsia="en-GB"/>
        </w:rPr>
        <w:t xml:space="preserve"> post mortem. </w:t>
      </w:r>
      <w:r w:rsidR="00FC76DC">
        <w:rPr>
          <w:rFonts w:ascii="Arial" w:eastAsia="Times New Roman" w:hAnsi="Arial" w:cs="Arial"/>
          <w:sz w:val="24"/>
          <w:szCs w:val="24"/>
          <w:lang w:eastAsia="en-GB"/>
        </w:rPr>
        <w:t xml:space="preserve">The OABS </w:t>
      </w:r>
      <w:r w:rsidR="001F46B9">
        <w:rPr>
          <w:rFonts w:ascii="Arial" w:eastAsia="Times New Roman" w:hAnsi="Arial" w:cs="Arial"/>
          <w:sz w:val="24"/>
          <w:szCs w:val="24"/>
          <w:lang w:eastAsia="en-GB"/>
        </w:rPr>
        <w:t>may</w:t>
      </w:r>
      <w:r w:rsidR="00FC76DC">
        <w:rPr>
          <w:rFonts w:ascii="Arial" w:eastAsia="Times New Roman" w:hAnsi="Arial" w:cs="Arial"/>
          <w:sz w:val="24"/>
          <w:szCs w:val="24"/>
          <w:lang w:eastAsia="en-GB"/>
        </w:rPr>
        <w:t xml:space="preserve"> be used </w:t>
      </w:r>
      <w:r w:rsidR="00067156">
        <w:rPr>
          <w:rFonts w:ascii="Arial" w:eastAsia="Times New Roman" w:hAnsi="Arial" w:cs="Arial"/>
          <w:sz w:val="24"/>
          <w:szCs w:val="24"/>
          <w:lang w:eastAsia="en-GB"/>
        </w:rPr>
        <w:t xml:space="preserve">in </w:t>
      </w:r>
      <w:r w:rsidR="00287F63">
        <w:rPr>
          <w:rFonts w:ascii="Arial" w:eastAsia="Times New Roman" w:hAnsi="Arial" w:cs="Arial"/>
          <w:sz w:val="24"/>
          <w:szCs w:val="24"/>
          <w:lang w:eastAsia="en-GB"/>
        </w:rPr>
        <w:t xml:space="preserve">conjunction with </w:t>
      </w:r>
      <w:r w:rsidR="00930F16">
        <w:rPr>
          <w:rFonts w:ascii="Arial" w:eastAsia="Times New Roman" w:hAnsi="Arial" w:cs="Arial"/>
          <w:sz w:val="24"/>
          <w:szCs w:val="24"/>
          <w:lang w:eastAsia="en-GB"/>
        </w:rPr>
        <w:t>established scoring systems for synovium and cartilage (3, 5, 6)</w:t>
      </w:r>
      <w:r w:rsidR="009B3553">
        <w:rPr>
          <w:rFonts w:ascii="Arial" w:eastAsia="Times New Roman" w:hAnsi="Arial" w:cs="Arial"/>
          <w:sz w:val="24"/>
          <w:szCs w:val="24"/>
          <w:lang w:eastAsia="en-GB"/>
        </w:rPr>
        <w:t xml:space="preserve"> to quantify structural changes in </w:t>
      </w:r>
      <w:r w:rsidR="00DE556A">
        <w:rPr>
          <w:rFonts w:ascii="Arial" w:eastAsia="Times New Roman" w:hAnsi="Arial" w:cs="Arial"/>
          <w:sz w:val="24"/>
          <w:szCs w:val="24"/>
          <w:lang w:eastAsia="en-GB"/>
        </w:rPr>
        <w:t xml:space="preserve">the 3 </w:t>
      </w:r>
      <w:r w:rsidR="00646FF0">
        <w:rPr>
          <w:rFonts w:ascii="Arial" w:eastAsia="Times New Roman" w:hAnsi="Arial" w:cs="Arial"/>
          <w:sz w:val="24"/>
          <w:szCs w:val="24"/>
          <w:lang w:eastAsia="en-GB"/>
        </w:rPr>
        <w:t>discrete</w:t>
      </w:r>
      <w:r w:rsidR="00DE556A">
        <w:rPr>
          <w:rFonts w:ascii="Arial" w:eastAsia="Times New Roman" w:hAnsi="Arial" w:cs="Arial"/>
          <w:sz w:val="24"/>
          <w:szCs w:val="24"/>
          <w:lang w:eastAsia="en-GB"/>
        </w:rPr>
        <w:t xml:space="preserve"> tissue </w:t>
      </w:r>
      <w:r w:rsidR="009B3553">
        <w:rPr>
          <w:rFonts w:ascii="Arial" w:eastAsia="Times New Roman" w:hAnsi="Arial" w:cs="Arial"/>
          <w:sz w:val="24"/>
          <w:szCs w:val="24"/>
          <w:lang w:eastAsia="en-GB"/>
        </w:rPr>
        <w:t>compartment</w:t>
      </w:r>
      <w:r w:rsidR="00DE556A">
        <w:rPr>
          <w:rFonts w:ascii="Arial" w:eastAsia="Times New Roman" w:hAnsi="Arial" w:cs="Arial"/>
          <w:sz w:val="24"/>
          <w:szCs w:val="24"/>
          <w:lang w:eastAsia="en-GB"/>
        </w:rPr>
        <w:t>s</w:t>
      </w:r>
      <w:r w:rsidR="009B3553">
        <w:rPr>
          <w:rFonts w:ascii="Arial" w:eastAsia="Times New Roman" w:hAnsi="Arial" w:cs="Arial"/>
          <w:sz w:val="24"/>
          <w:szCs w:val="24"/>
          <w:lang w:eastAsia="en-GB"/>
        </w:rPr>
        <w:t xml:space="preserve"> of the OA joint</w:t>
      </w:r>
      <w:r w:rsidR="00646FF0">
        <w:rPr>
          <w:rFonts w:ascii="Arial" w:eastAsia="Times New Roman" w:hAnsi="Arial" w:cs="Arial"/>
          <w:sz w:val="24"/>
          <w:szCs w:val="24"/>
          <w:lang w:eastAsia="en-GB"/>
        </w:rPr>
        <w:t>, each of which might be a source of OA pain</w:t>
      </w:r>
      <w:r w:rsidR="00930F16">
        <w:rPr>
          <w:rFonts w:ascii="Arial" w:eastAsia="Times New Roman" w:hAnsi="Arial" w:cs="Arial"/>
          <w:sz w:val="24"/>
          <w:szCs w:val="24"/>
          <w:lang w:eastAsia="en-GB"/>
        </w:rPr>
        <w:t>.</w:t>
      </w:r>
      <w:r w:rsidR="00A56C08" w:rsidRPr="001670AF">
        <w:rPr>
          <w:rFonts w:ascii="Arial" w:eastAsia="Times New Roman" w:hAnsi="Arial" w:cs="Arial"/>
          <w:sz w:val="24"/>
          <w:szCs w:val="24"/>
          <w:lang w:eastAsia="en-GB"/>
        </w:rPr>
        <w:t xml:space="preserve"> </w:t>
      </w:r>
    </w:p>
    <w:p w14:paraId="7EB3DBDE" w14:textId="77777777" w:rsidR="00D91F93" w:rsidRPr="00D533AE" w:rsidRDefault="009B4E0E" w:rsidP="00D91F93">
      <w:pPr>
        <w:spacing w:line="480" w:lineRule="auto"/>
        <w:jc w:val="both"/>
        <w:rPr>
          <w:color w:val="0070C0"/>
        </w:rPr>
      </w:pPr>
      <w:r w:rsidRPr="00D533AE">
        <w:rPr>
          <w:rFonts w:ascii="Arial" w:eastAsia="Times New Roman" w:hAnsi="Arial" w:cs="Arial"/>
          <w:sz w:val="24"/>
          <w:szCs w:val="24"/>
          <w:lang w:eastAsia="en-GB"/>
        </w:rPr>
        <w:t>As with MRI-based studies</w:t>
      </w:r>
      <w:r w:rsidR="00AA6330" w:rsidRPr="00D533AE">
        <w:rPr>
          <w:rFonts w:ascii="Arial" w:eastAsia="Times New Roman" w:hAnsi="Arial" w:cs="Arial"/>
          <w:sz w:val="24"/>
          <w:szCs w:val="24"/>
          <w:lang w:eastAsia="en-GB"/>
        </w:rPr>
        <w:t xml:space="preserve"> in knee OA</w:t>
      </w:r>
      <w:r w:rsidRPr="00D533AE">
        <w:rPr>
          <w:rFonts w:ascii="Arial" w:eastAsia="Times New Roman" w:hAnsi="Arial" w:cs="Arial"/>
          <w:sz w:val="24"/>
          <w:szCs w:val="24"/>
          <w:lang w:eastAsia="en-GB"/>
        </w:rPr>
        <w:t xml:space="preserve">, we found that areas of </w:t>
      </w:r>
      <w:r w:rsidR="002723AB" w:rsidRPr="00D533AE">
        <w:rPr>
          <w:rFonts w:ascii="Arial" w:eastAsia="Times New Roman" w:hAnsi="Arial" w:cs="Arial"/>
          <w:sz w:val="24"/>
          <w:szCs w:val="24"/>
          <w:lang w:eastAsia="en-GB"/>
        </w:rPr>
        <w:t xml:space="preserve">more extensive </w:t>
      </w:r>
      <w:r w:rsidR="00AA6330" w:rsidRPr="00D533AE">
        <w:rPr>
          <w:rFonts w:ascii="Arial" w:eastAsia="Times New Roman" w:hAnsi="Arial" w:cs="Arial"/>
          <w:sz w:val="24"/>
          <w:szCs w:val="24"/>
          <w:lang w:eastAsia="en-GB"/>
        </w:rPr>
        <w:t xml:space="preserve">histological </w:t>
      </w:r>
      <w:r w:rsidRPr="00D533AE">
        <w:rPr>
          <w:rFonts w:ascii="Arial" w:eastAsia="Times New Roman" w:hAnsi="Arial" w:cs="Arial"/>
          <w:sz w:val="24"/>
          <w:szCs w:val="24"/>
          <w:lang w:eastAsia="en-GB"/>
        </w:rPr>
        <w:t xml:space="preserve">cartilage damage were </w:t>
      </w:r>
      <w:r w:rsidR="00E23C13" w:rsidRPr="00D533AE">
        <w:rPr>
          <w:rFonts w:ascii="Arial" w:eastAsia="Times New Roman" w:hAnsi="Arial" w:cs="Arial"/>
          <w:sz w:val="24"/>
          <w:szCs w:val="24"/>
          <w:lang w:eastAsia="en-GB"/>
        </w:rPr>
        <w:t>associated with</w:t>
      </w:r>
      <w:r w:rsidRPr="00D533AE">
        <w:rPr>
          <w:rFonts w:ascii="Arial" w:eastAsia="Times New Roman" w:hAnsi="Arial" w:cs="Arial"/>
          <w:sz w:val="24"/>
          <w:szCs w:val="24"/>
          <w:lang w:eastAsia="en-GB"/>
        </w:rPr>
        <w:t xml:space="preserve"> areas of BML</w:t>
      </w:r>
      <w:r w:rsidR="00DE556A" w:rsidRPr="00D533AE">
        <w:rPr>
          <w:rFonts w:ascii="Arial" w:eastAsia="Times New Roman" w:hAnsi="Arial" w:cs="Arial"/>
          <w:sz w:val="24"/>
          <w:szCs w:val="24"/>
          <w:lang w:eastAsia="en-GB"/>
        </w:rPr>
        <w:t>-like subchondral pathology</w:t>
      </w:r>
      <w:r w:rsidRPr="00D533AE">
        <w:rPr>
          <w:rFonts w:ascii="Arial" w:eastAsia="Times New Roman" w:hAnsi="Arial" w:cs="Arial"/>
          <w:sz w:val="24"/>
          <w:szCs w:val="24"/>
          <w:lang w:eastAsia="en-GB"/>
        </w:rPr>
        <w:t xml:space="preserve"> (</w:t>
      </w:r>
      <w:r w:rsidR="00441F62" w:rsidRPr="00D533AE">
        <w:rPr>
          <w:rFonts w:ascii="Arial" w:eastAsia="Times New Roman" w:hAnsi="Arial" w:cs="Arial"/>
          <w:sz w:val="24"/>
          <w:szCs w:val="24"/>
          <w:lang w:eastAsia="en-GB"/>
        </w:rPr>
        <w:t>1</w:t>
      </w:r>
      <w:r w:rsidR="00C90AF7" w:rsidRPr="00D533AE">
        <w:rPr>
          <w:rFonts w:ascii="Arial" w:eastAsia="Times New Roman" w:hAnsi="Arial" w:cs="Arial"/>
          <w:sz w:val="24"/>
          <w:szCs w:val="24"/>
          <w:lang w:eastAsia="en-GB"/>
        </w:rPr>
        <w:t>8</w:t>
      </w:r>
      <w:r w:rsidR="00260709" w:rsidRPr="00D533AE">
        <w:rPr>
          <w:rFonts w:ascii="Arial" w:eastAsia="Times New Roman" w:hAnsi="Arial" w:cs="Arial"/>
          <w:sz w:val="24"/>
          <w:szCs w:val="24"/>
          <w:lang w:eastAsia="en-GB"/>
        </w:rPr>
        <w:t>).</w:t>
      </w:r>
      <w:r w:rsidR="00260709" w:rsidRPr="00D533AE">
        <w:t xml:space="preserve"> </w:t>
      </w:r>
      <w:r w:rsidR="00260709" w:rsidRPr="00D533AE">
        <w:rPr>
          <w:rFonts w:ascii="Arial" w:eastAsia="Times New Roman" w:hAnsi="Arial" w:cs="Arial"/>
          <w:sz w:val="24"/>
          <w:szCs w:val="24"/>
          <w:lang w:eastAsia="en-GB"/>
        </w:rPr>
        <w:t xml:space="preserve">Zanetti et al determined histologically that BMLs </w:t>
      </w:r>
      <w:r w:rsidR="001F46B9" w:rsidRPr="00D533AE">
        <w:rPr>
          <w:rFonts w:ascii="Arial" w:eastAsia="Times New Roman" w:hAnsi="Arial" w:cs="Arial"/>
          <w:sz w:val="24"/>
          <w:szCs w:val="24"/>
          <w:lang w:eastAsia="en-GB"/>
        </w:rPr>
        <w:t xml:space="preserve">may </w:t>
      </w:r>
      <w:r w:rsidR="00260709" w:rsidRPr="00D533AE">
        <w:rPr>
          <w:rFonts w:ascii="Arial" w:eastAsia="Times New Roman" w:hAnsi="Arial" w:cs="Arial"/>
          <w:sz w:val="24"/>
          <w:szCs w:val="24"/>
          <w:lang w:eastAsia="en-GB"/>
        </w:rPr>
        <w:t>contain normal fatty marrow with marrow necrosis, necrotic or remodelled trabeculae, oedema and extravasation of blood within bone marrow spaces</w:t>
      </w:r>
      <w:r w:rsidR="009E2F02" w:rsidRPr="00D533AE">
        <w:rPr>
          <w:rFonts w:ascii="Arial" w:eastAsia="Times New Roman" w:hAnsi="Arial" w:cs="Arial"/>
          <w:sz w:val="24"/>
          <w:szCs w:val="24"/>
          <w:lang w:eastAsia="en-GB"/>
        </w:rPr>
        <w:t xml:space="preserve"> </w:t>
      </w:r>
      <w:r w:rsidR="00260709" w:rsidRPr="00D533AE">
        <w:rPr>
          <w:rFonts w:ascii="Arial" w:eastAsia="Times New Roman" w:hAnsi="Arial" w:cs="Arial"/>
          <w:sz w:val="24"/>
          <w:szCs w:val="24"/>
          <w:lang w:eastAsia="en-GB"/>
        </w:rPr>
        <w:t>(</w:t>
      </w:r>
      <w:r w:rsidR="00D91F93" w:rsidRPr="00D533AE">
        <w:rPr>
          <w:rFonts w:ascii="Arial" w:eastAsia="Times New Roman" w:hAnsi="Arial" w:cs="Arial"/>
          <w:sz w:val="24"/>
          <w:szCs w:val="24"/>
          <w:lang w:eastAsia="en-GB"/>
        </w:rPr>
        <w:t>19</w:t>
      </w:r>
      <w:r w:rsidRPr="00D533AE">
        <w:rPr>
          <w:rFonts w:ascii="Arial" w:eastAsia="Times New Roman" w:hAnsi="Arial" w:cs="Arial"/>
          <w:sz w:val="24"/>
          <w:szCs w:val="24"/>
          <w:lang w:eastAsia="en-GB"/>
        </w:rPr>
        <w:t>)</w:t>
      </w:r>
      <w:r w:rsidR="00E23C13" w:rsidRPr="00D533AE">
        <w:rPr>
          <w:rFonts w:ascii="Arial" w:eastAsia="Times New Roman" w:hAnsi="Arial" w:cs="Arial"/>
          <w:sz w:val="24"/>
          <w:szCs w:val="24"/>
          <w:lang w:eastAsia="en-GB"/>
        </w:rPr>
        <w:t xml:space="preserve">. </w:t>
      </w:r>
      <w:bookmarkStart w:id="11" w:name="_Hlk82596490"/>
      <w:r w:rsidR="00D91F93" w:rsidRPr="00D533AE">
        <w:rPr>
          <w:rFonts w:ascii="Arial" w:hAnsi="Arial" w:cs="Arial"/>
          <w:sz w:val="24"/>
          <w:szCs w:val="24"/>
        </w:rPr>
        <w:t xml:space="preserve">A longitudinal MRI study in knee OA showed that </w:t>
      </w:r>
      <w:r w:rsidR="00402DE5" w:rsidRPr="00D533AE">
        <w:rPr>
          <w:rFonts w:ascii="Arial" w:hAnsi="Arial" w:cs="Arial"/>
          <w:sz w:val="24"/>
          <w:szCs w:val="24"/>
        </w:rPr>
        <w:t xml:space="preserve">higher baseline </w:t>
      </w:r>
      <w:r w:rsidR="00D91F93" w:rsidRPr="00D533AE">
        <w:rPr>
          <w:rFonts w:ascii="Arial" w:hAnsi="Arial" w:cs="Arial"/>
          <w:sz w:val="24"/>
          <w:szCs w:val="24"/>
        </w:rPr>
        <w:t xml:space="preserve">BMLs size </w:t>
      </w:r>
      <w:r w:rsidR="00402DE5" w:rsidRPr="00D533AE">
        <w:rPr>
          <w:rFonts w:ascii="Arial" w:hAnsi="Arial" w:cs="Arial"/>
          <w:sz w:val="24"/>
          <w:szCs w:val="24"/>
        </w:rPr>
        <w:t>was</w:t>
      </w:r>
      <w:r w:rsidR="00D91F93" w:rsidRPr="00D533AE">
        <w:rPr>
          <w:rFonts w:ascii="Arial" w:hAnsi="Arial" w:cs="Arial"/>
          <w:sz w:val="24"/>
          <w:szCs w:val="24"/>
        </w:rPr>
        <w:t xml:space="preserve"> strongly associated with progressive loss of cartilage (20).</w:t>
      </w:r>
      <w:r w:rsidR="00402DE5" w:rsidRPr="00D533AE">
        <w:rPr>
          <w:rFonts w:ascii="Arial" w:hAnsi="Arial" w:cs="Arial"/>
          <w:sz w:val="24"/>
          <w:szCs w:val="24"/>
        </w:rPr>
        <w:t xml:space="preserve"> Reciprocally,</w:t>
      </w:r>
      <w:r w:rsidR="00D91F93" w:rsidRPr="00D533AE">
        <w:rPr>
          <w:color w:val="FF0000"/>
          <w:sz w:val="24"/>
          <w:szCs w:val="24"/>
        </w:rPr>
        <w:t xml:space="preserve"> </w:t>
      </w:r>
      <w:r w:rsidR="00D91F93" w:rsidRPr="00D533AE">
        <w:rPr>
          <w:rFonts w:ascii="Arial" w:hAnsi="Arial" w:cs="Arial"/>
          <w:sz w:val="24"/>
          <w:szCs w:val="24"/>
        </w:rPr>
        <w:t xml:space="preserve">Roemer </w:t>
      </w:r>
      <w:r w:rsidR="00D91F93" w:rsidRPr="00D533AE">
        <w:rPr>
          <w:rFonts w:ascii="Arial" w:hAnsi="Arial" w:cs="Arial"/>
          <w:i/>
          <w:iCs/>
          <w:sz w:val="24"/>
          <w:szCs w:val="24"/>
        </w:rPr>
        <w:t>et al.</w:t>
      </w:r>
      <w:r w:rsidR="00D91F93" w:rsidRPr="00D533AE">
        <w:rPr>
          <w:rFonts w:ascii="Arial" w:hAnsi="Arial" w:cs="Arial"/>
          <w:sz w:val="24"/>
          <w:szCs w:val="24"/>
        </w:rPr>
        <w:t xml:space="preserve"> found that </w:t>
      </w:r>
      <w:r w:rsidR="00402DE5" w:rsidRPr="00D533AE">
        <w:rPr>
          <w:rFonts w:ascii="Arial" w:hAnsi="Arial" w:cs="Arial"/>
          <w:sz w:val="24"/>
          <w:szCs w:val="24"/>
        </w:rPr>
        <w:t>baseline cartilage loss was associated with subsequent</w:t>
      </w:r>
      <w:r w:rsidR="00D91F93" w:rsidRPr="00D533AE">
        <w:rPr>
          <w:rFonts w:ascii="Arial" w:hAnsi="Arial" w:cs="Arial"/>
          <w:sz w:val="24"/>
          <w:szCs w:val="24"/>
        </w:rPr>
        <w:t xml:space="preserve"> BML (21).</w:t>
      </w:r>
      <w:r w:rsidR="00D91F93" w:rsidRPr="00D533AE">
        <w:rPr>
          <w:sz w:val="24"/>
          <w:szCs w:val="24"/>
        </w:rPr>
        <w:t xml:space="preserve"> </w:t>
      </w:r>
    </w:p>
    <w:p w14:paraId="5506CCBB" w14:textId="77777777" w:rsidR="00582AF5" w:rsidRPr="00D533AE" w:rsidRDefault="00E23C13" w:rsidP="00A56C08">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 xml:space="preserve">The mechanisms by which </w:t>
      </w:r>
      <w:r w:rsidR="009B4E0E" w:rsidRPr="00D533AE">
        <w:rPr>
          <w:rFonts w:ascii="Arial" w:eastAsia="Times New Roman" w:hAnsi="Arial" w:cs="Arial"/>
          <w:sz w:val="24"/>
          <w:szCs w:val="24"/>
          <w:lang w:eastAsia="en-GB"/>
        </w:rPr>
        <w:t xml:space="preserve">BMLs </w:t>
      </w:r>
      <w:r w:rsidRPr="00D533AE">
        <w:rPr>
          <w:rFonts w:ascii="Arial" w:eastAsia="Times New Roman" w:hAnsi="Arial" w:cs="Arial"/>
          <w:sz w:val="24"/>
          <w:szCs w:val="24"/>
          <w:lang w:eastAsia="en-GB"/>
        </w:rPr>
        <w:t xml:space="preserve">develop are incompletely understood, and their focal association with cartilage pathology might indicate </w:t>
      </w:r>
      <w:r w:rsidR="00E806BE" w:rsidRPr="00D533AE">
        <w:rPr>
          <w:rFonts w:ascii="Arial" w:eastAsia="Times New Roman" w:hAnsi="Arial" w:cs="Arial"/>
          <w:sz w:val="24"/>
          <w:szCs w:val="24"/>
          <w:lang w:eastAsia="en-GB"/>
        </w:rPr>
        <w:t xml:space="preserve">induction </w:t>
      </w:r>
      <w:r w:rsidR="00CD3C66" w:rsidRPr="00D533AE">
        <w:rPr>
          <w:rFonts w:ascii="Arial" w:eastAsia="Times New Roman" w:hAnsi="Arial" w:cs="Arial"/>
          <w:sz w:val="24"/>
          <w:szCs w:val="24"/>
          <w:lang w:eastAsia="en-GB"/>
        </w:rPr>
        <w:t>by</w:t>
      </w:r>
      <w:r w:rsidR="00E806BE" w:rsidRPr="00D533AE">
        <w:rPr>
          <w:rFonts w:ascii="Arial" w:eastAsia="Times New Roman" w:hAnsi="Arial" w:cs="Arial"/>
          <w:sz w:val="24"/>
          <w:szCs w:val="24"/>
          <w:lang w:eastAsia="en-GB"/>
        </w:rPr>
        <w:t xml:space="preserve"> </w:t>
      </w:r>
      <w:r w:rsidRPr="00D533AE">
        <w:rPr>
          <w:rFonts w:ascii="Arial" w:eastAsia="Times New Roman" w:hAnsi="Arial" w:cs="Arial"/>
          <w:sz w:val="24"/>
          <w:szCs w:val="24"/>
          <w:lang w:eastAsia="en-GB"/>
        </w:rPr>
        <w:t>pathological cartilage products such as matrix fragments</w:t>
      </w:r>
      <w:bookmarkEnd w:id="11"/>
      <w:r w:rsidR="00140788" w:rsidRPr="00D533AE">
        <w:rPr>
          <w:rFonts w:ascii="Arial" w:eastAsia="Times New Roman" w:hAnsi="Arial" w:cs="Arial"/>
          <w:sz w:val="24"/>
          <w:szCs w:val="24"/>
          <w:lang w:eastAsia="en-GB"/>
        </w:rPr>
        <w:t xml:space="preserve"> (22)</w:t>
      </w:r>
      <w:r w:rsidRPr="00D533AE">
        <w:rPr>
          <w:rFonts w:ascii="Arial" w:eastAsia="Times New Roman" w:hAnsi="Arial" w:cs="Arial"/>
          <w:sz w:val="24"/>
          <w:szCs w:val="24"/>
          <w:lang w:eastAsia="en-GB"/>
        </w:rPr>
        <w:t xml:space="preserve">, from abnormal stresses through subchondral bone under defective cartilage, from </w:t>
      </w:r>
      <w:r w:rsidR="009B4E0E" w:rsidRPr="00D533AE">
        <w:rPr>
          <w:rFonts w:ascii="Arial" w:eastAsia="Times New Roman" w:hAnsi="Arial" w:cs="Arial"/>
          <w:sz w:val="24"/>
          <w:szCs w:val="24"/>
          <w:lang w:eastAsia="en-GB"/>
        </w:rPr>
        <w:t xml:space="preserve">the infiltration of synovial fluid through chondral defects </w:t>
      </w:r>
      <w:r w:rsidRPr="00D533AE">
        <w:rPr>
          <w:rFonts w:ascii="Arial" w:eastAsia="Times New Roman" w:hAnsi="Arial" w:cs="Arial"/>
          <w:sz w:val="24"/>
          <w:szCs w:val="24"/>
          <w:lang w:eastAsia="en-GB"/>
        </w:rPr>
        <w:t>contribut</w:t>
      </w:r>
      <w:r w:rsidR="00CF7D18" w:rsidRPr="00D533AE">
        <w:rPr>
          <w:rFonts w:ascii="Arial" w:eastAsia="Times New Roman" w:hAnsi="Arial" w:cs="Arial"/>
          <w:sz w:val="24"/>
          <w:szCs w:val="24"/>
          <w:lang w:eastAsia="en-GB"/>
        </w:rPr>
        <w:t>ing</w:t>
      </w:r>
      <w:r w:rsidRPr="00D533AE">
        <w:rPr>
          <w:rFonts w:ascii="Arial" w:eastAsia="Times New Roman" w:hAnsi="Arial" w:cs="Arial"/>
          <w:sz w:val="24"/>
          <w:szCs w:val="24"/>
          <w:lang w:eastAsia="en-GB"/>
        </w:rPr>
        <w:t xml:space="preserve"> to form subchondral </w:t>
      </w:r>
      <w:r w:rsidR="009B4E0E" w:rsidRPr="00D533AE">
        <w:rPr>
          <w:rFonts w:ascii="Arial" w:eastAsia="Times New Roman" w:hAnsi="Arial" w:cs="Arial"/>
          <w:sz w:val="24"/>
          <w:szCs w:val="24"/>
          <w:lang w:eastAsia="en-GB"/>
        </w:rPr>
        <w:t>cysts</w:t>
      </w:r>
      <w:r w:rsidRPr="00D533AE">
        <w:rPr>
          <w:rFonts w:ascii="Arial" w:eastAsia="Times New Roman" w:hAnsi="Arial" w:cs="Arial"/>
          <w:sz w:val="24"/>
          <w:szCs w:val="24"/>
          <w:lang w:eastAsia="en-GB"/>
        </w:rPr>
        <w:t>, or to impairment of cartilage homeostasis due to disrupted structural or metabolic support from subchondral bone</w:t>
      </w:r>
      <w:r w:rsidR="00CC138C" w:rsidRPr="00D533AE">
        <w:rPr>
          <w:rFonts w:ascii="Arial" w:eastAsia="Times New Roman" w:hAnsi="Arial" w:cs="Arial"/>
          <w:sz w:val="24"/>
          <w:szCs w:val="24"/>
          <w:lang w:eastAsia="en-GB"/>
        </w:rPr>
        <w:t xml:space="preserve"> (</w:t>
      </w:r>
      <w:r w:rsidR="00C90AF7" w:rsidRPr="00D533AE">
        <w:rPr>
          <w:rFonts w:ascii="Arial" w:eastAsia="Times New Roman" w:hAnsi="Arial" w:cs="Arial"/>
          <w:sz w:val="24"/>
          <w:szCs w:val="24"/>
          <w:lang w:eastAsia="en-GB"/>
        </w:rPr>
        <w:t>2</w:t>
      </w:r>
      <w:r w:rsidR="001D2CE4" w:rsidRPr="00D533AE">
        <w:rPr>
          <w:rFonts w:ascii="Arial" w:eastAsia="Times New Roman" w:hAnsi="Arial" w:cs="Arial"/>
          <w:sz w:val="24"/>
          <w:szCs w:val="24"/>
          <w:lang w:eastAsia="en-GB"/>
        </w:rPr>
        <w:t>2</w:t>
      </w:r>
      <w:r w:rsidR="00CC138C" w:rsidRPr="00D533AE">
        <w:rPr>
          <w:rFonts w:ascii="Arial" w:eastAsia="Times New Roman" w:hAnsi="Arial" w:cs="Arial"/>
          <w:sz w:val="24"/>
          <w:szCs w:val="24"/>
          <w:lang w:eastAsia="en-GB"/>
        </w:rPr>
        <w:t>)</w:t>
      </w:r>
      <w:r w:rsidRPr="00D533AE">
        <w:rPr>
          <w:rFonts w:ascii="Arial" w:eastAsia="Times New Roman" w:hAnsi="Arial" w:cs="Arial"/>
          <w:sz w:val="24"/>
          <w:szCs w:val="24"/>
          <w:lang w:eastAsia="en-GB"/>
        </w:rPr>
        <w:t>.</w:t>
      </w:r>
      <w:r w:rsidR="001F46B9" w:rsidRPr="00D533AE">
        <w:rPr>
          <w:rFonts w:ascii="Arial" w:eastAsia="Times New Roman" w:hAnsi="Arial" w:cs="Arial"/>
          <w:sz w:val="24"/>
          <w:szCs w:val="24"/>
          <w:lang w:eastAsia="en-GB"/>
        </w:rPr>
        <w:t xml:space="preserve"> </w:t>
      </w:r>
    </w:p>
    <w:p w14:paraId="00E91028" w14:textId="77777777" w:rsidR="00552D1A" w:rsidRPr="00D533AE" w:rsidRDefault="00582AF5" w:rsidP="00A56C08">
      <w:pPr>
        <w:spacing w:after="0"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lastRenderedPageBreak/>
        <w:t xml:space="preserve">Subchondral and cartilage changes are both components of OA pathology. Accordingly, </w:t>
      </w:r>
      <w:r w:rsidR="00E23C13" w:rsidRPr="00D533AE">
        <w:rPr>
          <w:rFonts w:ascii="Arial" w:eastAsia="Times New Roman" w:hAnsi="Arial" w:cs="Arial"/>
          <w:sz w:val="24"/>
          <w:szCs w:val="24"/>
          <w:lang w:eastAsia="en-GB"/>
        </w:rPr>
        <w:t xml:space="preserve">OABS scores were associated with high Mankin chondropathy scores, </w:t>
      </w:r>
      <w:r w:rsidR="00C45EE9" w:rsidRPr="00D533AE">
        <w:rPr>
          <w:rFonts w:ascii="Arial" w:eastAsia="Times New Roman" w:hAnsi="Arial" w:cs="Arial"/>
          <w:sz w:val="24"/>
          <w:szCs w:val="24"/>
          <w:lang w:eastAsia="en-GB"/>
        </w:rPr>
        <w:t xml:space="preserve">and both OABS and Mankin scores could distinguish between OA cases and non-OA controls, and between surgical and non-surgical </w:t>
      </w:r>
      <w:r w:rsidR="00257AAC" w:rsidRPr="00D533AE">
        <w:rPr>
          <w:rFonts w:ascii="Arial" w:eastAsia="Times New Roman" w:hAnsi="Arial" w:cs="Arial"/>
          <w:sz w:val="24"/>
          <w:szCs w:val="24"/>
          <w:lang w:eastAsia="en-GB"/>
        </w:rPr>
        <w:t xml:space="preserve">chondropathy </w:t>
      </w:r>
      <w:r w:rsidR="00C45EE9" w:rsidRPr="00D533AE">
        <w:rPr>
          <w:rFonts w:ascii="Arial" w:eastAsia="Times New Roman" w:hAnsi="Arial" w:cs="Arial"/>
          <w:sz w:val="24"/>
          <w:szCs w:val="24"/>
          <w:lang w:eastAsia="en-GB"/>
        </w:rPr>
        <w:t>cases.</w:t>
      </w:r>
      <w:r w:rsidR="00257AAC" w:rsidRPr="00D533AE">
        <w:rPr>
          <w:rFonts w:ascii="Arial" w:eastAsia="Times New Roman" w:hAnsi="Arial" w:cs="Arial"/>
          <w:sz w:val="24"/>
          <w:szCs w:val="24"/>
          <w:lang w:eastAsia="en-GB"/>
        </w:rPr>
        <w:t xml:space="preserve"> However, </w:t>
      </w:r>
      <w:r w:rsidR="00E23C13" w:rsidRPr="00D533AE">
        <w:rPr>
          <w:rFonts w:ascii="Arial" w:eastAsia="Times New Roman" w:hAnsi="Arial" w:cs="Arial"/>
          <w:sz w:val="24"/>
          <w:szCs w:val="24"/>
          <w:lang w:eastAsia="en-GB"/>
        </w:rPr>
        <w:t xml:space="preserve">OABS scores differed between BML and non-BML regions from OA tibial plateaux, to a greater extent </w:t>
      </w:r>
      <w:r w:rsidR="00FA3E2C" w:rsidRPr="00D533AE">
        <w:rPr>
          <w:rFonts w:ascii="Arial" w:eastAsia="Times New Roman" w:hAnsi="Arial" w:cs="Arial"/>
          <w:sz w:val="24"/>
          <w:szCs w:val="24"/>
          <w:lang w:eastAsia="en-GB"/>
        </w:rPr>
        <w:t xml:space="preserve">than </w:t>
      </w:r>
      <w:r w:rsidR="00E23C13" w:rsidRPr="00D533AE">
        <w:rPr>
          <w:rFonts w:ascii="Arial" w:eastAsia="Times New Roman" w:hAnsi="Arial" w:cs="Arial"/>
          <w:sz w:val="24"/>
          <w:szCs w:val="24"/>
          <w:lang w:eastAsia="en-GB"/>
        </w:rPr>
        <w:t>did Mankin scores for the overlying cartilage. This suggests that OABS reflects a specific feature of OA pathology which is not simply a consequence of chondropathy.</w:t>
      </w:r>
    </w:p>
    <w:p w14:paraId="081D896E" w14:textId="77777777" w:rsidR="00552D1A" w:rsidRPr="00D533AE" w:rsidRDefault="00552D1A" w:rsidP="00962F0B">
      <w:pPr>
        <w:pStyle w:val="PlainText"/>
        <w:spacing w:line="480" w:lineRule="auto"/>
        <w:jc w:val="both"/>
        <w:rPr>
          <w:rFonts w:ascii="Arial" w:eastAsia="Times New Roman" w:hAnsi="Arial" w:cs="Arial"/>
          <w:sz w:val="24"/>
          <w:szCs w:val="24"/>
          <w:lang w:eastAsia="en-GB"/>
        </w:rPr>
      </w:pPr>
      <w:r w:rsidRPr="00D533AE">
        <w:rPr>
          <w:rFonts w:ascii="Arial" w:eastAsia="Times New Roman" w:hAnsi="Arial" w:cs="Arial"/>
          <w:sz w:val="24"/>
          <w:szCs w:val="24"/>
          <w:lang w:eastAsia="en-GB"/>
        </w:rPr>
        <w:t>Our findings contribute to the understanding of why BMLs are associated with pain in OA by demonstrating hypervascularity and innervation in BMLs. We extend previous findings of sensory nerves within bone and at the osteochondral junction, which may be associated with OA pain (</w:t>
      </w:r>
      <w:r w:rsidR="00962F0B" w:rsidRPr="00D533AE">
        <w:rPr>
          <w:rFonts w:ascii="Arial" w:eastAsia="Times New Roman" w:hAnsi="Arial" w:cs="Arial"/>
          <w:sz w:val="24"/>
          <w:szCs w:val="24"/>
          <w:lang w:eastAsia="en-GB"/>
        </w:rPr>
        <w:t>2</w:t>
      </w:r>
      <w:r w:rsidR="001D2CE4" w:rsidRPr="00D533AE">
        <w:rPr>
          <w:rFonts w:ascii="Arial" w:eastAsia="Times New Roman" w:hAnsi="Arial" w:cs="Arial"/>
          <w:sz w:val="24"/>
          <w:szCs w:val="24"/>
          <w:lang w:eastAsia="en-GB"/>
        </w:rPr>
        <w:t>3</w:t>
      </w:r>
      <w:r w:rsidRPr="00D533AE">
        <w:rPr>
          <w:rFonts w:ascii="Arial" w:eastAsia="Times New Roman" w:hAnsi="Arial" w:cs="Arial"/>
          <w:sz w:val="24"/>
          <w:szCs w:val="24"/>
          <w:lang w:eastAsia="en-GB"/>
        </w:rPr>
        <w:t xml:space="preserve">, </w:t>
      </w:r>
      <w:r w:rsidR="00CC138C" w:rsidRPr="00D533AE">
        <w:rPr>
          <w:rFonts w:ascii="Arial" w:eastAsia="Times New Roman" w:hAnsi="Arial" w:cs="Arial"/>
          <w:sz w:val="24"/>
          <w:szCs w:val="24"/>
          <w:lang w:eastAsia="en-GB"/>
        </w:rPr>
        <w:t>2</w:t>
      </w:r>
      <w:r w:rsidR="001D2CE4" w:rsidRPr="00D533AE">
        <w:rPr>
          <w:rFonts w:ascii="Arial" w:eastAsia="Times New Roman" w:hAnsi="Arial" w:cs="Arial"/>
          <w:sz w:val="24"/>
          <w:szCs w:val="24"/>
          <w:lang w:eastAsia="en-GB"/>
        </w:rPr>
        <w:t>4</w:t>
      </w:r>
      <w:r w:rsidRPr="00D533AE">
        <w:rPr>
          <w:rFonts w:ascii="Arial" w:eastAsia="Times New Roman" w:hAnsi="Arial" w:cs="Arial"/>
          <w:sz w:val="24"/>
          <w:szCs w:val="24"/>
          <w:lang w:eastAsia="en-GB"/>
        </w:rPr>
        <w:t xml:space="preserve">), to show that BMLs are innervated. Associations between MRI-detected BMLs and pain may therefore be directly mediated by nerves within </w:t>
      </w:r>
      <w:r w:rsidR="00611BB7" w:rsidRPr="00D533AE">
        <w:rPr>
          <w:rFonts w:ascii="Arial" w:eastAsia="Times New Roman" w:hAnsi="Arial" w:cs="Arial"/>
          <w:sz w:val="24"/>
          <w:szCs w:val="24"/>
          <w:lang w:eastAsia="en-GB"/>
        </w:rPr>
        <w:t>BMLs</w:t>
      </w:r>
      <w:r w:rsidRPr="00D533AE">
        <w:rPr>
          <w:rFonts w:ascii="Arial" w:eastAsia="Times New Roman" w:hAnsi="Arial" w:cs="Arial"/>
          <w:sz w:val="24"/>
          <w:szCs w:val="24"/>
          <w:lang w:eastAsia="en-GB"/>
        </w:rPr>
        <w:t xml:space="preserve">. </w:t>
      </w:r>
      <w:r w:rsidR="00611BB7" w:rsidRPr="00D533AE">
        <w:rPr>
          <w:rFonts w:ascii="Arial" w:eastAsia="Times New Roman" w:hAnsi="Arial" w:cs="Arial"/>
          <w:sz w:val="24"/>
          <w:szCs w:val="24"/>
          <w:lang w:eastAsia="en-GB"/>
        </w:rPr>
        <w:t xml:space="preserve">Hypervascularity might represent angiogenesis, as also suggested by angiogenic </w:t>
      </w:r>
      <w:r w:rsidR="00582AF5" w:rsidRPr="00D533AE">
        <w:rPr>
          <w:rFonts w:ascii="Arial" w:eastAsia="Times New Roman" w:hAnsi="Arial" w:cs="Arial"/>
          <w:sz w:val="24"/>
          <w:szCs w:val="24"/>
          <w:lang w:eastAsia="en-GB"/>
        </w:rPr>
        <w:t xml:space="preserve">pathway </w:t>
      </w:r>
      <w:r w:rsidR="00611BB7" w:rsidRPr="00D533AE">
        <w:rPr>
          <w:rFonts w:ascii="Arial" w:eastAsia="Times New Roman" w:hAnsi="Arial" w:cs="Arial"/>
          <w:sz w:val="24"/>
          <w:szCs w:val="24"/>
          <w:lang w:eastAsia="en-GB"/>
        </w:rPr>
        <w:t xml:space="preserve">gene expression within BMLs (10). </w:t>
      </w:r>
      <w:bookmarkStart w:id="12" w:name="_Hlk82597105"/>
      <w:r w:rsidR="00911F4B" w:rsidRPr="00D533AE">
        <w:rPr>
          <w:rFonts w:ascii="Arial" w:eastAsia="Times New Roman" w:hAnsi="Arial" w:cs="Arial"/>
          <w:sz w:val="24"/>
          <w:szCs w:val="24"/>
          <w:lang w:eastAsia="en-GB"/>
        </w:rPr>
        <w:t xml:space="preserve">Microarray studies </w:t>
      </w:r>
      <w:r w:rsidR="00813610" w:rsidRPr="00D533AE">
        <w:rPr>
          <w:rFonts w:ascii="Arial" w:eastAsia="Times New Roman" w:hAnsi="Arial" w:cs="Arial"/>
          <w:sz w:val="24"/>
          <w:szCs w:val="24"/>
          <w:lang w:eastAsia="en-GB"/>
        </w:rPr>
        <w:t xml:space="preserve">in OA BML tissue </w:t>
      </w:r>
      <w:r w:rsidR="00911F4B" w:rsidRPr="00D533AE">
        <w:rPr>
          <w:rFonts w:ascii="Arial" w:eastAsia="Times New Roman" w:hAnsi="Arial" w:cs="Arial"/>
          <w:sz w:val="24"/>
          <w:szCs w:val="24"/>
          <w:lang w:eastAsia="en-GB"/>
        </w:rPr>
        <w:t xml:space="preserve">have also shown </w:t>
      </w:r>
      <w:r w:rsidR="00813610" w:rsidRPr="00D533AE">
        <w:rPr>
          <w:rFonts w:ascii="Arial" w:eastAsia="Times New Roman" w:hAnsi="Arial" w:cs="Arial"/>
          <w:sz w:val="24"/>
          <w:szCs w:val="24"/>
          <w:lang w:eastAsia="en-GB"/>
        </w:rPr>
        <w:t>upregulation of genes implicated</w:t>
      </w:r>
      <w:r w:rsidR="00B8413A" w:rsidRPr="00D533AE">
        <w:rPr>
          <w:rFonts w:ascii="Arial" w:eastAsia="Times New Roman" w:hAnsi="Arial" w:cs="Arial"/>
          <w:sz w:val="24"/>
          <w:szCs w:val="24"/>
          <w:lang w:eastAsia="en-GB"/>
        </w:rPr>
        <w:t xml:space="preserve"> in n</w:t>
      </w:r>
      <w:r w:rsidR="00911F4B" w:rsidRPr="00D533AE">
        <w:rPr>
          <w:rFonts w:ascii="Arial" w:eastAsia="Times New Roman" w:hAnsi="Arial" w:cs="Arial"/>
          <w:sz w:val="24"/>
          <w:szCs w:val="24"/>
          <w:lang w:eastAsia="en-GB"/>
        </w:rPr>
        <w:t xml:space="preserve">eurogenesis (11). </w:t>
      </w:r>
      <w:bookmarkEnd w:id="12"/>
      <w:r w:rsidR="00611BB7" w:rsidRPr="00D533AE">
        <w:rPr>
          <w:rFonts w:ascii="Arial" w:eastAsia="Times New Roman" w:hAnsi="Arial" w:cs="Arial"/>
          <w:sz w:val="24"/>
          <w:szCs w:val="24"/>
          <w:lang w:eastAsia="en-GB"/>
        </w:rPr>
        <w:t>Nerve growth often accompanies vascularisation, such that hypervascularity and neoinnervation may be co-regulated in BMLs (</w:t>
      </w:r>
      <w:r w:rsidR="003A51DE" w:rsidRPr="00D533AE">
        <w:rPr>
          <w:rFonts w:ascii="Arial" w:eastAsia="Times New Roman" w:hAnsi="Arial" w:cs="Arial"/>
          <w:sz w:val="24"/>
          <w:szCs w:val="24"/>
          <w:lang w:eastAsia="en-GB"/>
        </w:rPr>
        <w:t>2</w:t>
      </w:r>
      <w:r w:rsidR="00476172" w:rsidRPr="00D533AE">
        <w:rPr>
          <w:rFonts w:ascii="Arial" w:eastAsia="Times New Roman" w:hAnsi="Arial" w:cs="Arial"/>
          <w:sz w:val="24"/>
          <w:szCs w:val="24"/>
          <w:lang w:eastAsia="en-GB"/>
        </w:rPr>
        <w:t>4</w:t>
      </w:r>
      <w:r w:rsidR="00611BB7" w:rsidRPr="00D533AE">
        <w:rPr>
          <w:rFonts w:ascii="Arial" w:eastAsia="Times New Roman" w:hAnsi="Arial" w:cs="Arial"/>
          <w:sz w:val="24"/>
          <w:szCs w:val="24"/>
          <w:lang w:eastAsia="en-GB"/>
        </w:rPr>
        <w:t xml:space="preserve">). </w:t>
      </w:r>
      <w:r w:rsidRPr="00D533AE">
        <w:rPr>
          <w:rFonts w:ascii="Arial" w:eastAsia="Times New Roman" w:hAnsi="Arial" w:cs="Arial"/>
          <w:sz w:val="24"/>
          <w:szCs w:val="24"/>
          <w:lang w:eastAsia="en-GB"/>
        </w:rPr>
        <w:t xml:space="preserve">BMLs </w:t>
      </w:r>
      <w:r w:rsidR="00582AF5" w:rsidRPr="00D533AE">
        <w:rPr>
          <w:rFonts w:ascii="Arial" w:eastAsia="Times New Roman" w:hAnsi="Arial" w:cs="Arial"/>
          <w:sz w:val="24"/>
          <w:szCs w:val="24"/>
          <w:lang w:eastAsia="en-GB"/>
        </w:rPr>
        <w:t xml:space="preserve">also </w:t>
      </w:r>
      <w:r w:rsidRPr="00D533AE">
        <w:rPr>
          <w:rFonts w:ascii="Arial" w:eastAsia="Times New Roman" w:hAnsi="Arial" w:cs="Arial"/>
          <w:sz w:val="24"/>
          <w:szCs w:val="24"/>
          <w:lang w:eastAsia="en-GB"/>
        </w:rPr>
        <w:t xml:space="preserve">contain inflammatory cells, including macrophages and osteoclasts, suggesting that the demonstration by </w:t>
      </w:r>
      <w:proofErr w:type="spellStart"/>
      <w:r w:rsidRPr="00D533AE">
        <w:rPr>
          <w:rFonts w:ascii="Arial" w:eastAsia="Times New Roman" w:hAnsi="Arial" w:cs="Arial"/>
          <w:sz w:val="24"/>
          <w:szCs w:val="24"/>
          <w:lang w:eastAsia="en-GB"/>
        </w:rPr>
        <w:t>Aso</w:t>
      </w:r>
      <w:proofErr w:type="spellEnd"/>
      <w:r w:rsidRPr="00D533AE">
        <w:rPr>
          <w:rFonts w:ascii="Arial" w:eastAsia="Times New Roman" w:hAnsi="Arial" w:cs="Arial"/>
          <w:sz w:val="24"/>
          <w:szCs w:val="24"/>
          <w:lang w:eastAsia="en-GB"/>
        </w:rPr>
        <w:t xml:space="preserve"> </w:t>
      </w:r>
      <w:r w:rsidRPr="00D533AE">
        <w:rPr>
          <w:rFonts w:ascii="Arial" w:eastAsia="Times New Roman" w:hAnsi="Arial" w:cs="Arial"/>
          <w:i/>
          <w:sz w:val="24"/>
          <w:szCs w:val="24"/>
          <w:lang w:eastAsia="en-GB"/>
        </w:rPr>
        <w:t>et al</w:t>
      </w:r>
      <w:r w:rsidRPr="00D533AE">
        <w:rPr>
          <w:rFonts w:ascii="Arial" w:eastAsia="Times New Roman" w:hAnsi="Arial" w:cs="Arial"/>
          <w:sz w:val="24"/>
          <w:szCs w:val="24"/>
          <w:lang w:eastAsia="en-GB"/>
        </w:rPr>
        <w:t>. (</w:t>
      </w:r>
      <w:r w:rsidR="00476172" w:rsidRPr="00D533AE">
        <w:rPr>
          <w:rFonts w:ascii="Arial" w:eastAsia="Times New Roman" w:hAnsi="Arial" w:cs="Arial"/>
          <w:sz w:val="24"/>
          <w:szCs w:val="24"/>
          <w:lang w:eastAsia="en-GB"/>
        </w:rPr>
        <w:t>12</w:t>
      </w:r>
      <w:r w:rsidRPr="00D533AE">
        <w:rPr>
          <w:rFonts w:ascii="Arial" w:eastAsia="Times New Roman" w:hAnsi="Arial" w:cs="Arial"/>
          <w:sz w:val="24"/>
          <w:szCs w:val="24"/>
          <w:lang w:eastAsia="en-GB"/>
        </w:rPr>
        <w:t xml:space="preserve">) of macrophage infiltration and osteoclast in nerve-rich tissue within OA subchondral bone may </w:t>
      </w:r>
      <w:r w:rsidR="00611BB7" w:rsidRPr="00D533AE">
        <w:rPr>
          <w:rFonts w:ascii="Arial" w:eastAsia="Times New Roman" w:hAnsi="Arial" w:cs="Arial"/>
          <w:sz w:val="24"/>
          <w:szCs w:val="24"/>
          <w:lang w:eastAsia="en-GB"/>
        </w:rPr>
        <w:t>reflect the same subchondral pathology now identified as BMLs</w:t>
      </w:r>
      <w:r w:rsidRPr="00D533AE">
        <w:rPr>
          <w:rFonts w:ascii="Arial" w:eastAsia="Times New Roman" w:hAnsi="Arial" w:cs="Arial"/>
          <w:sz w:val="24"/>
          <w:szCs w:val="24"/>
          <w:lang w:eastAsia="en-GB"/>
        </w:rPr>
        <w:t>. Based on our findings, we propose that increased inflammatory cell</w:t>
      </w:r>
      <w:r w:rsidR="00611BB7" w:rsidRPr="00D533AE">
        <w:rPr>
          <w:rFonts w:ascii="Arial" w:eastAsia="Times New Roman" w:hAnsi="Arial" w:cs="Arial"/>
          <w:sz w:val="24"/>
          <w:szCs w:val="24"/>
          <w:lang w:eastAsia="en-GB"/>
        </w:rPr>
        <w:t xml:space="preserve"> infiltration</w:t>
      </w:r>
      <w:r w:rsidRPr="00D533AE">
        <w:rPr>
          <w:rFonts w:ascii="Arial" w:eastAsia="Times New Roman" w:hAnsi="Arial" w:cs="Arial"/>
          <w:sz w:val="24"/>
          <w:szCs w:val="24"/>
          <w:lang w:eastAsia="en-GB"/>
        </w:rPr>
        <w:t xml:space="preserve">, coupled with </w:t>
      </w:r>
      <w:r w:rsidR="00611BB7" w:rsidRPr="00D533AE">
        <w:rPr>
          <w:rFonts w:ascii="Arial" w:eastAsia="Times New Roman" w:hAnsi="Arial" w:cs="Arial"/>
          <w:sz w:val="24"/>
          <w:szCs w:val="24"/>
          <w:lang w:eastAsia="en-GB"/>
        </w:rPr>
        <w:t>angiog</w:t>
      </w:r>
      <w:r w:rsidR="00BC11AD" w:rsidRPr="00D533AE">
        <w:rPr>
          <w:rFonts w:ascii="Arial" w:eastAsia="Times New Roman" w:hAnsi="Arial" w:cs="Arial"/>
          <w:sz w:val="24"/>
          <w:szCs w:val="24"/>
          <w:lang w:eastAsia="en-GB"/>
        </w:rPr>
        <w:t>e</w:t>
      </w:r>
      <w:r w:rsidR="00611BB7" w:rsidRPr="00D533AE">
        <w:rPr>
          <w:rFonts w:ascii="Arial" w:eastAsia="Times New Roman" w:hAnsi="Arial" w:cs="Arial"/>
          <w:sz w:val="24"/>
          <w:szCs w:val="24"/>
          <w:lang w:eastAsia="en-GB"/>
        </w:rPr>
        <w:t>nesis</w:t>
      </w:r>
      <w:r w:rsidRPr="00D533AE">
        <w:rPr>
          <w:rFonts w:ascii="Arial" w:eastAsia="Times New Roman" w:hAnsi="Arial" w:cs="Arial"/>
          <w:sz w:val="24"/>
          <w:szCs w:val="24"/>
          <w:lang w:eastAsia="en-GB"/>
        </w:rPr>
        <w:t xml:space="preserve"> and </w:t>
      </w:r>
      <w:r w:rsidR="00611BB7" w:rsidRPr="00D533AE">
        <w:rPr>
          <w:rFonts w:ascii="Arial" w:eastAsia="Times New Roman" w:hAnsi="Arial" w:cs="Arial"/>
          <w:sz w:val="24"/>
          <w:szCs w:val="24"/>
          <w:lang w:eastAsia="en-GB"/>
        </w:rPr>
        <w:t xml:space="preserve">neoinnervation </w:t>
      </w:r>
      <w:r w:rsidRPr="00D533AE">
        <w:rPr>
          <w:rFonts w:ascii="Arial" w:eastAsia="Times New Roman" w:hAnsi="Arial" w:cs="Arial"/>
          <w:sz w:val="24"/>
          <w:szCs w:val="24"/>
          <w:lang w:eastAsia="en-GB"/>
        </w:rPr>
        <w:t xml:space="preserve">at sites of increased osteoclast </w:t>
      </w:r>
      <w:r w:rsidR="00611BB7" w:rsidRPr="00D533AE">
        <w:rPr>
          <w:rFonts w:ascii="Arial" w:eastAsia="Times New Roman" w:hAnsi="Arial" w:cs="Arial"/>
          <w:sz w:val="24"/>
          <w:szCs w:val="24"/>
          <w:lang w:eastAsia="en-GB"/>
        </w:rPr>
        <w:t xml:space="preserve">activity, together </w:t>
      </w:r>
      <w:r w:rsidRPr="00D533AE">
        <w:rPr>
          <w:rFonts w:ascii="Arial" w:eastAsia="Times New Roman" w:hAnsi="Arial" w:cs="Arial"/>
          <w:sz w:val="24"/>
          <w:szCs w:val="24"/>
          <w:lang w:eastAsia="en-GB"/>
        </w:rPr>
        <w:t>are mediators of BML-induced OA</w:t>
      </w:r>
      <w:r w:rsidR="00611BB7" w:rsidRPr="00D533AE">
        <w:rPr>
          <w:rFonts w:ascii="Arial" w:eastAsia="Times New Roman" w:hAnsi="Arial" w:cs="Arial"/>
          <w:sz w:val="24"/>
          <w:szCs w:val="24"/>
          <w:lang w:eastAsia="en-GB"/>
        </w:rPr>
        <w:t xml:space="preserve"> pain</w:t>
      </w:r>
      <w:r w:rsidRPr="00D533AE">
        <w:rPr>
          <w:rFonts w:ascii="Arial" w:eastAsia="Times New Roman" w:hAnsi="Arial" w:cs="Arial"/>
          <w:sz w:val="24"/>
          <w:szCs w:val="24"/>
          <w:lang w:eastAsia="en-GB"/>
        </w:rPr>
        <w:t>.</w:t>
      </w:r>
    </w:p>
    <w:p w14:paraId="702DEB98" w14:textId="77777777" w:rsidR="005B1810" w:rsidRDefault="00582AF5" w:rsidP="00962F0B">
      <w:pPr>
        <w:pStyle w:val="PlainText"/>
        <w:spacing w:line="480" w:lineRule="auto"/>
        <w:jc w:val="both"/>
        <w:rPr>
          <w:rFonts w:ascii="Arial" w:hAnsi="Arial" w:cs="Arial"/>
          <w:sz w:val="24"/>
          <w:szCs w:val="24"/>
        </w:rPr>
      </w:pPr>
      <w:r w:rsidRPr="00D533AE">
        <w:rPr>
          <w:rFonts w:ascii="Arial" w:eastAsia="Times New Roman" w:hAnsi="Arial" w:cs="Arial"/>
          <w:sz w:val="24"/>
          <w:szCs w:val="24"/>
          <w:lang w:eastAsia="en-GB"/>
        </w:rPr>
        <w:lastRenderedPageBreak/>
        <w:t>O</w:t>
      </w:r>
      <w:r w:rsidR="00953D71" w:rsidRPr="00D533AE">
        <w:rPr>
          <w:rFonts w:ascii="Arial" w:eastAsia="Times New Roman" w:hAnsi="Arial" w:cs="Arial"/>
          <w:sz w:val="24"/>
          <w:szCs w:val="24"/>
          <w:lang w:eastAsia="en-GB"/>
        </w:rPr>
        <w:t xml:space="preserve">ur study was </w:t>
      </w:r>
      <w:r w:rsidRPr="00D533AE">
        <w:rPr>
          <w:rFonts w:ascii="Arial" w:eastAsia="Times New Roman" w:hAnsi="Arial" w:cs="Arial"/>
          <w:sz w:val="24"/>
          <w:szCs w:val="24"/>
          <w:lang w:eastAsia="en-GB"/>
        </w:rPr>
        <w:t xml:space="preserve">subject to several limitations. We investigated only </w:t>
      </w:r>
      <w:r w:rsidR="00953D71" w:rsidRPr="00D533AE">
        <w:rPr>
          <w:rFonts w:ascii="Arial" w:eastAsia="Times New Roman" w:hAnsi="Arial" w:cs="Arial"/>
          <w:sz w:val="24"/>
          <w:szCs w:val="24"/>
          <w:lang w:eastAsia="en-GB"/>
        </w:rPr>
        <w:t>human knee samples</w:t>
      </w:r>
      <w:r w:rsidRPr="00D533AE">
        <w:rPr>
          <w:rFonts w:ascii="Arial" w:eastAsia="Times New Roman" w:hAnsi="Arial" w:cs="Arial"/>
          <w:sz w:val="24"/>
          <w:szCs w:val="24"/>
          <w:lang w:eastAsia="en-GB"/>
        </w:rPr>
        <w:t>, and i</w:t>
      </w:r>
      <w:r w:rsidR="00953D71" w:rsidRPr="00D533AE">
        <w:rPr>
          <w:rFonts w:ascii="Arial" w:eastAsia="Times New Roman" w:hAnsi="Arial" w:cs="Arial"/>
          <w:sz w:val="24"/>
          <w:szCs w:val="24"/>
          <w:lang w:eastAsia="en-GB"/>
        </w:rPr>
        <w:t>t is possible that BML tissue has other distinct pathological changes in other regions e.g. hip, foot or hand</w:t>
      </w:r>
      <w:r w:rsidRPr="00D533AE">
        <w:rPr>
          <w:rFonts w:ascii="Arial" w:eastAsia="Times New Roman" w:hAnsi="Arial" w:cs="Arial"/>
          <w:sz w:val="24"/>
          <w:szCs w:val="24"/>
          <w:lang w:eastAsia="en-GB"/>
        </w:rPr>
        <w:t xml:space="preserve">, </w:t>
      </w:r>
      <w:r w:rsidR="006059A1" w:rsidRPr="00D533AE">
        <w:rPr>
          <w:rFonts w:ascii="Arial" w:eastAsia="Times New Roman" w:hAnsi="Arial" w:cs="Arial"/>
          <w:sz w:val="24"/>
          <w:szCs w:val="24"/>
          <w:lang w:eastAsia="en-GB"/>
        </w:rPr>
        <w:t>anatomical regions that</w:t>
      </w:r>
      <w:r w:rsidRPr="00D533AE">
        <w:rPr>
          <w:rFonts w:ascii="Arial" w:eastAsia="Times New Roman" w:hAnsi="Arial" w:cs="Arial"/>
          <w:sz w:val="24"/>
          <w:szCs w:val="24"/>
          <w:lang w:eastAsia="en-GB"/>
        </w:rPr>
        <w:t xml:space="preserve"> </w:t>
      </w:r>
      <w:r w:rsidR="006059A1" w:rsidRPr="00D533AE">
        <w:rPr>
          <w:rFonts w:ascii="Arial" w:eastAsia="Times New Roman" w:hAnsi="Arial" w:cs="Arial"/>
          <w:sz w:val="24"/>
          <w:szCs w:val="24"/>
          <w:lang w:eastAsia="en-GB"/>
        </w:rPr>
        <w:t xml:space="preserve">are subject to different </w:t>
      </w:r>
      <w:r w:rsidR="00953D71" w:rsidRPr="00D533AE">
        <w:rPr>
          <w:rFonts w:ascii="Arial" w:eastAsia="Times New Roman" w:hAnsi="Arial" w:cs="Arial"/>
          <w:sz w:val="24"/>
          <w:szCs w:val="24"/>
          <w:lang w:eastAsia="en-GB"/>
        </w:rPr>
        <w:t>loading</w:t>
      </w:r>
      <w:r w:rsidR="006B7E8A" w:rsidRPr="00D533AE">
        <w:rPr>
          <w:rFonts w:ascii="Arial" w:eastAsia="Times New Roman" w:hAnsi="Arial" w:cs="Arial"/>
          <w:sz w:val="24"/>
          <w:szCs w:val="24"/>
          <w:lang w:eastAsia="en-GB"/>
        </w:rPr>
        <w:t xml:space="preserve">, </w:t>
      </w:r>
      <w:r w:rsidR="00953D71" w:rsidRPr="00D533AE">
        <w:rPr>
          <w:rFonts w:ascii="Arial" w:eastAsia="Times New Roman" w:hAnsi="Arial" w:cs="Arial"/>
          <w:sz w:val="24"/>
          <w:szCs w:val="24"/>
          <w:lang w:eastAsia="en-GB"/>
        </w:rPr>
        <w:t>biomechanic</w:t>
      </w:r>
      <w:r w:rsidR="006059A1" w:rsidRPr="00D533AE">
        <w:rPr>
          <w:rFonts w:ascii="Arial" w:eastAsia="Times New Roman" w:hAnsi="Arial" w:cs="Arial"/>
          <w:sz w:val="24"/>
          <w:szCs w:val="24"/>
          <w:lang w:eastAsia="en-GB"/>
        </w:rPr>
        <w:t>al and structural factors</w:t>
      </w:r>
      <w:r w:rsidR="00953D71" w:rsidRPr="00D533AE">
        <w:rPr>
          <w:rFonts w:ascii="Arial" w:eastAsia="Times New Roman" w:hAnsi="Arial" w:cs="Arial"/>
          <w:sz w:val="24"/>
          <w:szCs w:val="24"/>
          <w:lang w:eastAsia="en-GB"/>
        </w:rPr>
        <w:t xml:space="preserve">. </w:t>
      </w:r>
      <w:r w:rsidR="003119CA" w:rsidRPr="00D533AE">
        <w:rPr>
          <w:rFonts w:ascii="Arial" w:eastAsia="Times New Roman" w:hAnsi="Arial" w:cs="Arial"/>
          <w:sz w:val="24"/>
          <w:szCs w:val="24"/>
          <w:lang w:eastAsia="en-GB"/>
        </w:rPr>
        <w:t xml:space="preserve">We developed OABS using samples from people with </w:t>
      </w:r>
      <w:r w:rsidR="00953D71" w:rsidRPr="00D533AE">
        <w:rPr>
          <w:rFonts w:ascii="Arial" w:eastAsia="Times New Roman" w:hAnsi="Arial" w:cs="Arial"/>
          <w:sz w:val="24"/>
          <w:szCs w:val="24"/>
          <w:lang w:eastAsia="en-GB"/>
        </w:rPr>
        <w:t>severe OA requiring knee replacement surgery</w:t>
      </w:r>
      <w:r w:rsidR="003119CA" w:rsidRPr="00D533AE">
        <w:rPr>
          <w:rFonts w:ascii="Arial" w:eastAsia="Times New Roman" w:hAnsi="Arial" w:cs="Arial"/>
          <w:sz w:val="24"/>
          <w:szCs w:val="24"/>
          <w:lang w:eastAsia="en-GB"/>
        </w:rPr>
        <w:t>, and, even thoug</w:t>
      </w:r>
      <w:r w:rsidR="004B25EE" w:rsidRPr="00D533AE">
        <w:rPr>
          <w:rFonts w:ascii="Arial" w:eastAsia="Times New Roman" w:hAnsi="Arial" w:cs="Arial"/>
          <w:sz w:val="24"/>
          <w:szCs w:val="24"/>
          <w:lang w:eastAsia="en-GB"/>
        </w:rPr>
        <w:t>h</w:t>
      </w:r>
      <w:r w:rsidR="003119CA" w:rsidRPr="00D533AE">
        <w:rPr>
          <w:rFonts w:ascii="Arial" w:eastAsia="Times New Roman" w:hAnsi="Arial" w:cs="Arial"/>
          <w:sz w:val="24"/>
          <w:szCs w:val="24"/>
          <w:lang w:eastAsia="en-GB"/>
        </w:rPr>
        <w:t xml:space="preserve"> we included </w:t>
      </w:r>
      <w:r w:rsidR="00953D71" w:rsidRPr="00D533AE">
        <w:rPr>
          <w:rFonts w:ascii="Arial" w:eastAsia="Times New Roman" w:hAnsi="Arial" w:cs="Arial"/>
          <w:sz w:val="24"/>
          <w:szCs w:val="24"/>
          <w:lang w:eastAsia="en-GB"/>
        </w:rPr>
        <w:t xml:space="preserve">age- and </w:t>
      </w:r>
      <w:r w:rsidR="003119CA" w:rsidRPr="00D533AE">
        <w:rPr>
          <w:rFonts w:ascii="Arial" w:eastAsia="Times New Roman" w:hAnsi="Arial" w:cs="Arial"/>
          <w:sz w:val="24"/>
          <w:szCs w:val="24"/>
          <w:lang w:eastAsia="en-GB"/>
        </w:rPr>
        <w:t>sex</w:t>
      </w:r>
      <w:r w:rsidR="00953D71" w:rsidRPr="00D533AE">
        <w:rPr>
          <w:rFonts w:ascii="Arial" w:eastAsia="Times New Roman" w:hAnsi="Arial" w:cs="Arial"/>
          <w:sz w:val="24"/>
          <w:szCs w:val="24"/>
          <w:lang w:eastAsia="en-GB"/>
        </w:rPr>
        <w:t>-matched control</w:t>
      </w:r>
      <w:r w:rsidR="003119CA" w:rsidRPr="00D533AE">
        <w:rPr>
          <w:rFonts w:ascii="Arial" w:eastAsia="Times New Roman" w:hAnsi="Arial" w:cs="Arial"/>
          <w:sz w:val="24"/>
          <w:szCs w:val="24"/>
          <w:lang w:eastAsia="en-GB"/>
        </w:rPr>
        <w:t xml:space="preserve">s and validated OABS </w:t>
      </w:r>
      <w:r w:rsidR="006059A1" w:rsidRPr="00D533AE">
        <w:rPr>
          <w:rFonts w:ascii="Arial" w:eastAsia="Times New Roman" w:hAnsi="Arial" w:cs="Arial"/>
          <w:sz w:val="24"/>
          <w:szCs w:val="24"/>
          <w:lang w:eastAsia="en-GB"/>
        </w:rPr>
        <w:t xml:space="preserve">in </w:t>
      </w:r>
      <w:r w:rsidR="003119CA" w:rsidRPr="00D533AE">
        <w:rPr>
          <w:rFonts w:ascii="Arial" w:eastAsia="Times New Roman" w:hAnsi="Arial" w:cs="Arial"/>
          <w:sz w:val="24"/>
          <w:szCs w:val="24"/>
          <w:lang w:eastAsia="en-GB"/>
        </w:rPr>
        <w:t>a broad range of TKR and post mortem case</w:t>
      </w:r>
      <w:r w:rsidR="00CF7D18" w:rsidRPr="00D533AE">
        <w:rPr>
          <w:rFonts w:ascii="Arial" w:eastAsia="Times New Roman" w:hAnsi="Arial" w:cs="Arial"/>
          <w:sz w:val="24"/>
          <w:szCs w:val="24"/>
          <w:lang w:eastAsia="en-GB"/>
        </w:rPr>
        <w:t>s</w:t>
      </w:r>
      <w:r w:rsidR="003119CA" w:rsidRPr="00D533AE">
        <w:rPr>
          <w:rFonts w:ascii="Arial" w:eastAsia="Times New Roman" w:hAnsi="Arial" w:cs="Arial"/>
          <w:sz w:val="24"/>
          <w:szCs w:val="24"/>
          <w:lang w:eastAsia="en-GB"/>
        </w:rPr>
        <w:t xml:space="preserve">, it is possible that </w:t>
      </w:r>
      <w:r w:rsidR="006059A1" w:rsidRPr="00D533AE">
        <w:rPr>
          <w:rFonts w:ascii="Arial" w:eastAsia="Times New Roman" w:hAnsi="Arial" w:cs="Arial"/>
          <w:sz w:val="24"/>
          <w:szCs w:val="24"/>
          <w:lang w:eastAsia="en-GB"/>
        </w:rPr>
        <w:t xml:space="preserve">additional </w:t>
      </w:r>
      <w:r w:rsidR="003119CA" w:rsidRPr="00D533AE">
        <w:rPr>
          <w:rFonts w:ascii="Arial" w:eastAsia="Times New Roman" w:hAnsi="Arial" w:cs="Arial"/>
          <w:sz w:val="24"/>
          <w:szCs w:val="24"/>
          <w:lang w:eastAsia="en-GB"/>
        </w:rPr>
        <w:t xml:space="preserve">pathological features </w:t>
      </w:r>
      <w:r w:rsidR="006059A1" w:rsidRPr="00D533AE">
        <w:rPr>
          <w:rFonts w:ascii="Arial" w:eastAsia="Times New Roman" w:hAnsi="Arial" w:cs="Arial"/>
          <w:sz w:val="24"/>
          <w:szCs w:val="24"/>
          <w:lang w:eastAsia="en-GB"/>
        </w:rPr>
        <w:t>may be present in early</w:t>
      </w:r>
      <w:r w:rsidR="003119CA" w:rsidRPr="00D533AE">
        <w:rPr>
          <w:rFonts w:ascii="Arial" w:eastAsia="Times New Roman" w:hAnsi="Arial" w:cs="Arial"/>
          <w:sz w:val="24"/>
          <w:szCs w:val="24"/>
          <w:lang w:eastAsia="en-GB"/>
        </w:rPr>
        <w:t xml:space="preserve"> BMLs</w:t>
      </w:r>
      <w:r w:rsidR="00CF7D18" w:rsidRPr="00D533AE">
        <w:rPr>
          <w:rFonts w:ascii="Arial" w:eastAsia="Times New Roman" w:hAnsi="Arial" w:cs="Arial"/>
          <w:sz w:val="24"/>
          <w:szCs w:val="24"/>
          <w:lang w:eastAsia="en-GB"/>
        </w:rPr>
        <w:t xml:space="preserve">. </w:t>
      </w:r>
      <w:r w:rsidR="00543482" w:rsidRPr="00D533AE">
        <w:rPr>
          <w:rFonts w:ascii="Arial" w:eastAsia="Times New Roman" w:hAnsi="Arial" w:cs="Arial"/>
          <w:sz w:val="24"/>
          <w:szCs w:val="24"/>
          <w:lang w:eastAsia="en-GB"/>
        </w:rPr>
        <w:t>Our data indicate a good fit to the Rasch model necessary for a valid measurement tool, and OABS could distinguish between the majority (78%) of samples. However, nearly one quarter of the samples had maximum OABS scores of 7.</w:t>
      </w:r>
      <w:r w:rsidR="00EF600D" w:rsidRPr="00D533AE">
        <w:rPr>
          <w:rFonts w:ascii="Arial" w:eastAsia="Times New Roman" w:hAnsi="Arial" w:cs="Arial"/>
          <w:sz w:val="24"/>
          <w:szCs w:val="24"/>
          <w:lang w:eastAsia="en-GB"/>
        </w:rPr>
        <w:t xml:space="preserve"> </w:t>
      </w:r>
      <w:r w:rsidR="00CF7D18" w:rsidRPr="00D533AE">
        <w:rPr>
          <w:rFonts w:ascii="Arial" w:eastAsia="Times New Roman" w:hAnsi="Arial" w:cs="Arial"/>
          <w:sz w:val="24"/>
          <w:szCs w:val="24"/>
          <w:lang w:eastAsia="en-GB"/>
        </w:rPr>
        <w:t>F</w:t>
      </w:r>
      <w:r w:rsidR="003119CA" w:rsidRPr="00D533AE">
        <w:rPr>
          <w:rFonts w:ascii="Arial" w:eastAsia="Times New Roman" w:hAnsi="Arial" w:cs="Arial"/>
          <w:sz w:val="24"/>
          <w:szCs w:val="24"/>
          <w:lang w:eastAsia="en-GB"/>
        </w:rPr>
        <w:t xml:space="preserve">uture research </w:t>
      </w:r>
      <w:r w:rsidR="00CF7D18" w:rsidRPr="00D533AE">
        <w:rPr>
          <w:rFonts w:ascii="Arial" w:eastAsia="Times New Roman" w:hAnsi="Arial" w:cs="Arial"/>
          <w:sz w:val="24"/>
          <w:szCs w:val="24"/>
          <w:lang w:eastAsia="en-GB"/>
        </w:rPr>
        <w:t xml:space="preserve">might </w:t>
      </w:r>
      <w:r w:rsidR="003119CA" w:rsidRPr="00D533AE">
        <w:rPr>
          <w:rFonts w:ascii="Arial" w:eastAsia="Times New Roman" w:hAnsi="Arial" w:cs="Arial"/>
          <w:sz w:val="24"/>
          <w:szCs w:val="24"/>
          <w:lang w:eastAsia="en-GB"/>
        </w:rPr>
        <w:t>reveal additional aspects of BML pathology which complement the 7 characteristics included within OABS</w:t>
      </w:r>
      <w:r w:rsidR="00EF600D" w:rsidRPr="00D533AE">
        <w:rPr>
          <w:rFonts w:ascii="Arial" w:eastAsia="Times New Roman" w:hAnsi="Arial" w:cs="Arial"/>
          <w:sz w:val="24"/>
          <w:szCs w:val="24"/>
          <w:lang w:eastAsia="en-GB"/>
        </w:rPr>
        <w:t xml:space="preserve"> and better distinguish between extreme cases</w:t>
      </w:r>
      <w:r w:rsidR="006B7E8A" w:rsidRPr="00D533AE">
        <w:rPr>
          <w:rFonts w:ascii="Arial" w:eastAsia="Times New Roman" w:hAnsi="Arial" w:cs="Arial"/>
          <w:sz w:val="24"/>
          <w:szCs w:val="24"/>
          <w:lang w:eastAsia="en-GB"/>
        </w:rPr>
        <w:t xml:space="preserve">. </w:t>
      </w:r>
      <w:r w:rsidR="003119CA" w:rsidRPr="00D533AE">
        <w:rPr>
          <w:rFonts w:ascii="Arial" w:eastAsia="Times New Roman" w:hAnsi="Arial" w:cs="Arial"/>
          <w:sz w:val="24"/>
          <w:szCs w:val="24"/>
          <w:lang w:eastAsia="en-GB"/>
        </w:rPr>
        <w:t xml:space="preserve">Future research may explore </w:t>
      </w:r>
      <w:r w:rsidR="006B7E8A" w:rsidRPr="00D533AE">
        <w:rPr>
          <w:rFonts w:ascii="Arial" w:eastAsia="Times New Roman" w:hAnsi="Arial" w:cs="Arial"/>
          <w:sz w:val="24"/>
          <w:szCs w:val="24"/>
          <w:lang w:eastAsia="en-GB"/>
        </w:rPr>
        <w:t xml:space="preserve">the temporal </w:t>
      </w:r>
      <w:r w:rsidR="003119CA" w:rsidRPr="00D533AE">
        <w:rPr>
          <w:rFonts w:ascii="Arial" w:eastAsia="Times New Roman" w:hAnsi="Arial" w:cs="Arial"/>
          <w:sz w:val="24"/>
          <w:szCs w:val="24"/>
          <w:lang w:eastAsia="en-GB"/>
        </w:rPr>
        <w:t>progression</w:t>
      </w:r>
      <w:r w:rsidR="006B7E8A" w:rsidRPr="00D533AE">
        <w:rPr>
          <w:rFonts w:ascii="Arial" w:eastAsia="Times New Roman" w:hAnsi="Arial" w:cs="Arial"/>
          <w:sz w:val="24"/>
          <w:szCs w:val="24"/>
          <w:lang w:eastAsia="en-GB"/>
        </w:rPr>
        <w:t xml:space="preserve"> of BML formation during different stages of </w:t>
      </w:r>
      <w:r w:rsidR="003119CA" w:rsidRPr="00D533AE">
        <w:rPr>
          <w:rFonts w:ascii="Arial" w:eastAsia="Times New Roman" w:hAnsi="Arial" w:cs="Arial"/>
          <w:sz w:val="24"/>
          <w:szCs w:val="24"/>
          <w:lang w:eastAsia="en-GB"/>
        </w:rPr>
        <w:t>OA</w:t>
      </w:r>
      <w:r w:rsidR="006B7E8A" w:rsidRPr="00D533AE">
        <w:rPr>
          <w:rFonts w:ascii="Arial" w:eastAsia="Times New Roman" w:hAnsi="Arial" w:cs="Arial"/>
          <w:sz w:val="24"/>
          <w:szCs w:val="24"/>
          <w:lang w:eastAsia="en-GB"/>
        </w:rPr>
        <w:t>.</w:t>
      </w:r>
      <w:r w:rsidR="003119CA" w:rsidRPr="00D533AE">
        <w:rPr>
          <w:rFonts w:ascii="Arial" w:eastAsia="Times New Roman" w:hAnsi="Arial" w:cs="Arial"/>
          <w:sz w:val="24"/>
          <w:szCs w:val="24"/>
          <w:lang w:eastAsia="en-GB"/>
        </w:rPr>
        <w:t xml:space="preserve"> We used immunohistochemistry for PGP 9.5, which may lack sensitivity and specificity for subchondral sensory nerves</w:t>
      </w:r>
      <w:r w:rsidR="00552D1A" w:rsidRPr="00D533AE">
        <w:rPr>
          <w:rFonts w:ascii="Arial" w:eastAsia="Times New Roman" w:hAnsi="Arial" w:cs="Arial"/>
          <w:sz w:val="24"/>
          <w:szCs w:val="24"/>
          <w:lang w:eastAsia="en-GB"/>
        </w:rPr>
        <w:t>, and our data should be considered an index of subchondral innervation, rather than an absolute measurement. Other markers specific for sensory rather than sympathetic nerves m</w:t>
      </w:r>
      <w:r w:rsidR="00CF7D18" w:rsidRPr="00D533AE">
        <w:rPr>
          <w:rFonts w:ascii="Arial" w:eastAsia="Times New Roman" w:hAnsi="Arial" w:cs="Arial"/>
          <w:sz w:val="24"/>
          <w:szCs w:val="24"/>
          <w:lang w:eastAsia="en-GB"/>
        </w:rPr>
        <w:t>ight</w:t>
      </w:r>
      <w:r w:rsidR="00552D1A" w:rsidRPr="00D533AE">
        <w:rPr>
          <w:rFonts w:ascii="Arial" w:eastAsia="Times New Roman" w:hAnsi="Arial" w:cs="Arial"/>
          <w:sz w:val="24"/>
          <w:szCs w:val="24"/>
          <w:lang w:eastAsia="en-GB"/>
        </w:rPr>
        <w:t xml:space="preserve"> extend our current findings, although limits of sensitivity of immunohistochemistry in decalcified human tissues may lead us to underestimate the true density of innervation.</w:t>
      </w:r>
      <w:r w:rsidR="005B1810" w:rsidRPr="00D533AE">
        <w:rPr>
          <w:rFonts w:ascii="Arial" w:eastAsia="Times New Roman" w:hAnsi="Arial" w:cs="Arial"/>
          <w:sz w:val="24"/>
          <w:szCs w:val="24"/>
          <w:lang w:eastAsia="en-GB"/>
        </w:rPr>
        <w:t xml:space="preserve"> </w:t>
      </w:r>
      <w:bookmarkStart w:id="13" w:name="_Hlk82090370"/>
      <w:r w:rsidR="00D00063" w:rsidRPr="00D533AE">
        <w:rPr>
          <w:rFonts w:ascii="Arial" w:eastAsia="Times New Roman" w:hAnsi="Arial" w:cs="Arial"/>
          <w:sz w:val="24"/>
          <w:szCs w:val="24"/>
          <w:lang w:eastAsia="en-GB"/>
        </w:rPr>
        <w:t>We</w:t>
      </w:r>
      <w:r w:rsidR="005B1810" w:rsidRPr="00D533AE">
        <w:rPr>
          <w:rFonts w:ascii="Arial" w:hAnsi="Arial" w:cs="Arial"/>
          <w:sz w:val="24"/>
          <w:szCs w:val="24"/>
        </w:rPr>
        <w:t xml:space="preserve"> acknowledge that the tibial samples </w:t>
      </w:r>
      <w:r w:rsidR="00D00063" w:rsidRPr="00D533AE">
        <w:rPr>
          <w:rFonts w:ascii="Arial" w:hAnsi="Arial" w:cs="Arial"/>
          <w:sz w:val="24"/>
          <w:szCs w:val="24"/>
        </w:rPr>
        <w:t>in our study are</w:t>
      </w:r>
      <w:r w:rsidR="005B1810" w:rsidRPr="00D533AE">
        <w:rPr>
          <w:rFonts w:ascii="Arial" w:hAnsi="Arial" w:cs="Arial"/>
          <w:sz w:val="24"/>
          <w:szCs w:val="24"/>
        </w:rPr>
        <w:t xml:space="preserve"> only a portion of BML tissue, which could be extending deeper into subchondral bone, therefore only part of BML tissue was evaluated.</w:t>
      </w:r>
      <w:r w:rsidR="00094173" w:rsidRPr="00D533AE">
        <w:rPr>
          <w:rFonts w:ascii="Arial" w:hAnsi="Arial" w:cs="Arial"/>
          <w:sz w:val="24"/>
          <w:szCs w:val="24"/>
        </w:rPr>
        <w:t xml:space="preserve"> </w:t>
      </w:r>
      <w:r w:rsidR="00EA49D1" w:rsidRPr="00D533AE">
        <w:rPr>
          <w:rFonts w:ascii="Arial" w:hAnsi="Arial" w:cs="Arial"/>
          <w:sz w:val="24"/>
          <w:szCs w:val="24"/>
        </w:rPr>
        <w:t>Individual</w:t>
      </w:r>
      <w:r w:rsidR="00094173" w:rsidRPr="00D533AE">
        <w:rPr>
          <w:rFonts w:ascii="Arial" w:hAnsi="Arial" w:cs="Arial"/>
          <w:sz w:val="24"/>
          <w:szCs w:val="24"/>
        </w:rPr>
        <w:t xml:space="preserve"> histological changes </w:t>
      </w:r>
      <w:r w:rsidR="00EA49D1" w:rsidRPr="00D533AE">
        <w:rPr>
          <w:rFonts w:ascii="Arial" w:hAnsi="Arial" w:cs="Arial"/>
          <w:sz w:val="24"/>
          <w:szCs w:val="24"/>
        </w:rPr>
        <w:t>such as</w:t>
      </w:r>
      <w:r w:rsidR="00094173" w:rsidRPr="00D533AE">
        <w:rPr>
          <w:rFonts w:ascii="Arial" w:hAnsi="Arial" w:cs="Arial"/>
          <w:sz w:val="24"/>
          <w:szCs w:val="24"/>
        </w:rPr>
        <w:t xml:space="preserve"> cartilage islands</w:t>
      </w:r>
      <w:r w:rsidR="00EA49D1" w:rsidRPr="00D533AE">
        <w:rPr>
          <w:rFonts w:ascii="Arial" w:hAnsi="Arial" w:cs="Arial"/>
          <w:sz w:val="24"/>
          <w:szCs w:val="24"/>
        </w:rPr>
        <w:t xml:space="preserve"> or</w:t>
      </w:r>
      <w:r w:rsidR="00094173" w:rsidRPr="00D533AE">
        <w:rPr>
          <w:rFonts w:ascii="Arial" w:hAnsi="Arial" w:cs="Arial"/>
          <w:sz w:val="24"/>
          <w:szCs w:val="24"/>
        </w:rPr>
        <w:t xml:space="preserve"> trabecular thickness, may </w:t>
      </w:r>
      <w:r w:rsidR="00EA49D1" w:rsidRPr="00D533AE">
        <w:rPr>
          <w:rFonts w:ascii="Arial" w:hAnsi="Arial" w:cs="Arial"/>
          <w:sz w:val="24"/>
          <w:szCs w:val="24"/>
        </w:rPr>
        <w:t xml:space="preserve">each contribute to similar MRI appearances but respond differently to treatment, and </w:t>
      </w:r>
      <w:r w:rsidR="00094173" w:rsidRPr="00D533AE">
        <w:rPr>
          <w:rFonts w:ascii="Arial" w:hAnsi="Arial" w:cs="Arial"/>
          <w:sz w:val="24"/>
          <w:szCs w:val="24"/>
        </w:rPr>
        <w:t>OABS may not provide a complete picture of changes in pathophysiology.</w:t>
      </w:r>
    </w:p>
    <w:p w14:paraId="2CB4191F" w14:textId="77777777" w:rsidR="00A24542" w:rsidRPr="006D0A1C" w:rsidRDefault="00A24542" w:rsidP="00962F0B">
      <w:pPr>
        <w:pStyle w:val="PlainText"/>
        <w:spacing w:line="480" w:lineRule="auto"/>
        <w:jc w:val="both"/>
        <w:rPr>
          <w:rFonts w:ascii="Arial" w:hAnsi="Arial" w:cs="Arial"/>
          <w:sz w:val="24"/>
          <w:szCs w:val="24"/>
        </w:rPr>
      </w:pPr>
    </w:p>
    <w:bookmarkEnd w:id="13"/>
    <w:p w14:paraId="143495E7" w14:textId="77777777" w:rsidR="00A65F0B" w:rsidRDefault="00930F16" w:rsidP="00A65F0B">
      <w:pPr>
        <w:pStyle w:val="CommentText"/>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is currently a desperate need to find treatments that can modulate structural damage and pain in OA. </w:t>
      </w:r>
      <w:r w:rsidRPr="001670AF">
        <w:rPr>
          <w:rFonts w:ascii="Arial" w:eastAsia="Times New Roman" w:hAnsi="Arial" w:cs="Arial"/>
          <w:sz w:val="24"/>
          <w:szCs w:val="24"/>
          <w:lang w:eastAsia="en-GB"/>
        </w:rPr>
        <w:t xml:space="preserve">Pathological changes in </w:t>
      </w:r>
      <w:r w:rsidR="0022087D">
        <w:rPr>
          <w:rFonts w:ascii="Arial" w:eastAsia="Times New Roman" w:hAnsi="Arial" w:cs="Arial"/>
          <w:sz w:val="24"/>
          <w:szCs w:val="24"/>
          <w:lang w:eastAsia="en-GB"/>
        </w:rPr>
        <w:t xml:space="preserve">OA </w:t>
      </w:r>
      <w:r w:rsidRPr="001670AF">
        <w:rPr>
          <w:rFonts w:ascii="Arial" w:eastAsia="Times New Roman" w:hAnsi="Arial" w:cs="Arial"/>
          <w:sz w:val="24"/>
          <w:szCs w:val="24"/>
          <w:lang w:eastAsia="en-GB"/>
        </w:rPr>
        <w:t xml:space="preserve">cartilage and synovium have been well-described </w:t>
      </w:r>
      <w:r>
        <w:rPr>
          <w:rFonts w:ascii="Arial" w:eastAsia="Times New Roman" w:hAnsi="Arial" w:cs="Arial"/>
          <w:sz w:val="24"/>
          <w:szCs w:val="24"/>
          <w:lang w:eastAsia="en-GB"/>
        </w:rPr>
        <w:t>(3, 5, 6). In recent years, several</w:t>
      </w:r>
      <w:r w:rsidRPr="001670AF">
        <w:rPr>
          <w:rFonts w:ascii="Arial" w:eastAsia="Times New Roman" w:hAnsi="Arial" w:cs="Arial"/>
          <w:sz w:val="24"/>
          <w:szCs w:val="24"/>
          <w:lang w:eastAsia="en-GB"/>
        </w:rPr>
        <w:t xml:space="preserve"> studies have test</w:t>
      </w:r>
      <w:r w:rsidR="0022087D">
        <w:rPr>
          <w:rFonts w:ascii="Arial" w:eastAsia="Times New Roman" w:hAnsi="Arial" w:cs="Arial"/>
          <w:sz w:val="24"/>
          <w:szCs w:val="24"/>
          <w:lang w:eastAsia="en-GB"/>
        </w:rPr>
        <w:t>ed</w:t>
      </w:r>
      <w:r w:rsidRPr="001670AF">
        <w:rPr>
          <w:rFonts w:ascii="Arial" w:eastAsia="Times New Roman" w:hAnsi="Arial" w:cs="Arial"/>
          <w:sz w:val="24"/>
          <w:szCs w:val="24"/>
          <w:lang w:eastAsia="en-GB"/>
        </w:rPr>
        <w:t xml:space="preserve"> effect</w:t>
      </w:r>
      <w:r w:rsidR="0022087D">
        <w:rPr>
          <w:rFonts w:ascii="Arial" w:eastAsia="Times New Roman" w:hAnsi="Arial" w:cs="Arial"/>
          <w:sz w:val="24"/>
          <w:szCs w:val="24"/>
          <w:lang w:eastAsia="en-GB"/>
        </w:rPr>
        <w:t>s</w:t>
      </w:r>
      <w:r w:rsidRPr="001670AF">
        <w:rPr>
          <w:rFonts w:ascii="Arial" w:eastAsia="Times New Roman" w:hAnsi="Arial" w:cs="Arial"/>
          <w:sz w:val="24"/>
          <w:szCs w:val="24"/>
          <w:lang w:eastAsia="en-GB"/>
        </w:rPr>
        <w:t xml:space="preserve"> of new potential therapeutic agents on cartilage/synovium structure and function</w:t>
      </w:r>
      <w:r w:rsidR="0022087D">
        <w:rPr>
          <w:rFonts w:ascii="Arial" w:eastAsia="Times New Roman" w:hAnsi="Arial" w:cs="Arial"/>
          <w:sz w:val="24"/>
          <w:szCs w:val="24"/>
          <w:lang w:eastAsia="en-GB"/>
        </w:rPr>
        <w:t>. Examples include</w:t>
      </w:r>
      <w:r w:rsidR="00D9452A">
        <w:rPr>
          <w:rFonts w:ascii="Arial" w:eastAsia="Times New Roman" w:hAnsi="Arial" w:cs="Arial"/>
          <w:sz w:val="24"/>
          <w:szCs w:val="24"/>
          <w:lang w:eastAsia="en-GB"/>
        </w:rPr>
        <w:t xml:space="preserve"> biologic </w:t>
      </w:r>
      <w:r w:rsidR="0022087D">
        <w:rPr>
          <w:rFonts w:ascii="Arial" w:eastAsia="Times New Roman" w:hAnsi="Arial" w:cs="Arial"/>
          <w:sz w:val="24"/>
          <w:szCs w:val="24"/>
          <w:lang w:eastAsia="en-GB"/>
        </w:rPr>
        <w:t>agents</w:t>
      </w:r>
      <w:r w:rsidR="00DA3D9C">
        <w:rPr>
          <w:rFonts w:ascii="Arial" w:eastAsia="Times New Roman" w:hAnsi="Arial" w:cs="Arial"/>
          <w:sz w:val="24"/>
          <w:szCs w:val="24"/>
          <w:lang w:eastAsia="en-GB"/>
        </w:rPr>
        <w:t xml:space="preserve"> such as canakinumab (</w:t>
      </w:r>
      <w:r w:rsidR="009D2B5F">
        <w:rPr>
          <w:rFonts w:ascii="Arial" w:eastAsia="Times New Roman" w:hAnsi="Arial" w:cs="Arial"/>
          <w:sz w:val="24"/>
          <w:szCs w:val="24"/>
          <w:lang w:eastAsia="en-GB"/>
        </w:rPr>
        <w:t>2</w:t>
      </w:r>
      <w:r w:rsidR="00476172">
        <w:rPr>
          <w:rFonts w:ascii="Arial" w:eastAsia="Times New Roman" w:hAnsi="Arial" w:cs="Arial"/>
          <w:sz w:val="24"/>
          <w:szCs w:val="24"/>
          <w:lang w:eastAsia="en-GB"/>
        </w:rPr>
        <w:t>5</w:t>
      </w:r>
      <w:r w:rsidR="00DA3D9C">
        <w:rPr>
          <w:rFonts w:ascii="Arial" w:eastAsia="Times New Roman" w:hAnsi="Arial" w:cs="Arial"/>
          <w:sz w:val="24"/>
          <w:szCs w:val="24"/>
          <w:lang w:eastAsia="en-GB"/>
        </w:rPr>
        <w:t xml:space="preserve">), </w:t>
      </w:r>
      <w:r>
        <w:rPr>
          <w:rFonts w:ascii="Arial" w:eastAsia="Times New Roman" w:hAnsi="Arial" w:cs="Arial"/>
          <w:sz w:val="24"/>
          <w:szCs w:val="24"/>
          <w:lang w:eastAsia="en-GB"/>
        </w:rPr>
        <w:t>non-steroidal anti-inflammatory agents (</w:t>
      </w:r>
      <w:r w:rsidR="009D2B5F">
        <w:rPr>
          <w:rFonts w:ascii="Arial" w:eastAsia="Times New Roman" w:hAnsi="Arial" w:cs="Arial"/>
          <w:sz w:val="24"/>
          <w:szCs w:val="24"/>
          <w:lang w:eastAsia="en-GB"/>
        </w:rPr>
        <w:t>2</w:t>
      </w:r>
      <w:r w:rsidR="00476172">
        <w:rPr>
          <w:rFonts w:ascii="Arial" w:eastAsia="Times New Roman" w:hAnsi="Arial" w:cs="Arial"/>
          <w:sz w:val="24"/>
          <w:szCs w:val="24"/>
          <w:lang w:eastAsia="en-GB"/>
        </w:rPr>
        <w:t>6</w:t>
      </w:r>
      <w:r>
        <w:rPr>
          <w:rFonts w:ascii="Arial" w:eastAsia="Times New Roman" w:hAnsi="Arial" w:cs="Arial"/>
          <w:sz w:val="24"/>
          <w:szCs w:val="24"/>
          <w:lang w:eastAsia="en-GB"/>
        </w:rPr>
        <w:t xml:space="preserve">), fibroblast growth factor-18 </w:t>
      </w:r>
      <w:r w:rsidR="00437CBA">
        <w:rPr>
          <w:rFonts w:ascii="Arial" w:eastAsia="Times New Roman" w:hAnsi="Arial" w:cs="Arial"/>
          <w:sz w:val="24"/>
          <w:szCs w:val="24"/>
          <w:lang w:eastAsia="en-GB"/>
        </w:rPr>
        <w:t xml:space="preserve">receptor 3 </w:t>
      </w:r>
      <w:r>
        <w:rPr>
          <w:rFonts w:ascii="Arial" w:eastAsia="Times New Roman" w:hAnsi="Arial" w:cs="Arial"/>
          <w:sz w:val="24"/>
          <w:szCs w:val="24"/>
          <w:lang w:eastAsia="en-GB"/>
        </w:rPr>
        <w:t>(Sprifermin) (</w:t>
      </w:r>
      <w:r w:rsidR="003F62B8">
        <w:rPr>
          <w:rFonts w:ascii="Arial" w:eastAsia="Times New Roman" w:hAnsi="Arial" w:cs="Arial"/>
          <w:sz w:val="24"/>
          <w:szCs w:val="24"/>
          <w:lang w:eastAsia="en-GB"/>
        </w:rPr>
        <w:t>2</w:t>
      </w:r>
      <w:r w:rsidR="00476172">
        <w:rPr>
          <w:rFonts w:ascii="Arial" w:eastAsia="Times New Roman" w:hAnsi="Arial" w:cs="Arial"/>
          <w:sz w:val="24"/>
          <w:szCs w:val="24"/>
          <w:lang w:eastAsia="en-GB"/>
        </w:rPr>
        <w:t>7</w:t>
      </w:r>
      <w:r>
        <w:rPr>
          <w:rFonts w:ascii="Arial" w:eastAsia="Times New Roman" w:hAnsi="Arial" w:cs="Arial"/>
          <w:sz w:val="24"/>
          <w:szCs w:val="24"/>
          <w:lang w:eastAsia="en-GB"/>
        </w:rPr>
        <w:t xml:space="preserve">) and </w:t>
      </w:r>
      <w:proofErr w:type="spellStart"/>
      <w:r w:rsidR="00992F7F">
        <w:rPr>
          <w:rFonts w:ascii="Arial" w:eastAsia="Times New Roman" w:hAnsi="Arial" w:cs="Arial"/>
          <w:sz w:val="24"/>
          <w:szCs w:val="24"/>
          <w:lang w:eastAsia="en-GB"/>
        </w:rPr>
        <w:t>wnt</w:t>
      </w:r>
      <w:proofErr w:type="spellEnd"/>
      <w:r w:rsidR="00992F7F">
        <w:rPr>
          <w:rFonts w:ascii="Arial" w:eastAsia="Times New Roman" w:hAnsi="Arial" w:cs="Arial"/>
          <w:sz w:val="24"/>
          <w:szCs w:val="24"/>
          <w:lang w:eastAsia="en-GB"/>
        </w:rPr>
        <w:t xml:space="preserve"> pathway modulators such as </w:t>
      </w:r>
      <w:proofErr w:type="spellStart"/>
      <w:r w:rsidR="00DC1E41">
        <w:rPr>
          <w:rFonts w:ascii="Arial" w:eastAsia="Times New Roman" w:hAnsi="Arial" w:cs="Arial"/>
          <w:sz w:val="24"/>
          <w:szCs w:val="24"/>
          <w:lang w:eastAsia="en-GB"/>
        </w:rPr>
        <w:t>lorecivivint</w:t>
      </w:r>
      <w:proofErr w:type="spellEnd"/>
      <w:r>
        <w:rPr>
          <w:rFonts w:ascii="Arial" w:eastAsia="Times New Roman" w:hAnsi="Arial" w:cs="Arial"/>
          <w:sz w:val="24"/>
          <w:szCs w:val="24"/>
          <w:lang w:eastAsia="en-GB"/>
        </w:rPr>
        <w:t xml:space="preserve"> (</w:t>
      </w:r>
      <w:r w:rsidR="00437CBA">
        <w:rPr>
          <w:rFonts w:ascii="Arial" w:eastAsia="Times New Roman" w:hAnsi="Arial" w:cs="Arial"/>
          <w:sz w:val="24"/>
          <w:szCs w:val="24"/>
          <w:lang w:eastAsia="en-GB"/>
        </w:rPr>
        <w:t>2</w:t>
      </w:r>
      <w:r w:rsidR="00476172">
        <w:rPr>
          <w:rFonts w:ascii="Arial" w:eastAsia="Times New Roman" w:hAnsi="Arial" w:cs="Arial"/>
          <w:sz w:val="24"/>
          <w:szCs w:val="24"/>
          <w:lang w:eastAsia="en-GB"/>
        </w:rPr>
        <w:t>8</w:t>
      </w:r>
      <w:r>
        <w:rPr>
          <w:rFonts w:ascii="Arial" w:eastAsia="Times New Roman" w:hAnsi="Arial" w:cs="Arial"/>
          <w:sz w:val="24"/>
          <w:szCs w:val="24"/>
          <w:lang w:eastAsia="en-GB"/>
        </w:rPr>
        <w:t>)</w:t>
      </w:r>
      <w:r w:rsidR="0022087D">
        <w:rPr>
          <w:rFonts w:ascii="Arial" w:eastAsia="Times New Roman" w:hAnsi="Arial" w:cs="Arial"/>
          <w:sz w:val="24"/>
          <w:szCs w:val="24"/>
          <w:lang w:eastAsia="en-GB"/>
        </w:rPr>
        <w:t xml:space="preserve">. </w:t>
      </w:r>
      <w:bookmarkStart w:id="14" w:name="_Hlk82597687"/>
      <w:r w:rsidR="0022087D">
        <w:rPr>
          <w:rFonts w:ascii="Arial" w:eastAsia="Times New Roman" w:hAnsi="Arial" w:cs="Arial"/>
          <w:sz w:val="24"/>
          <w:szCs w:val="24"/>
          <w:lang w:eastAsia="en-GB"/>
        </w:rPr>
        <w:t>However</w:t>
      </w:r>
      <w:r>
        <w:rPr>
          <w:rFonts w:ascii="Arial" w:eastAsia="Times New Roman" w:hAnsi="Arial" w:cs="Arial"/>
          <w:sz w:val="24"/>
          <w:szCs w:val="24"/>
          <w:lang w:eastAsia="en-GB"/>
        </w:rPr>
        <w:t>, effect</w:t>
      </w:r>
      <w:r w:rsidR="0022087D">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0A25FF">
        <w:rPr>
          <w:rFonts w:ascii="Arial" w:eastAsia="Times New Roman" w:hAnsi="Arial" w:cs="Arial"/>
          <w:sz w:val="24"/>
          <w:szCs w:val="24"/>
          <w:lang w:eastAsia="en-GB"/>
        </w:rPr>
        <w:t>o</w:t>
      </w:r>
      <w:r>
        <w:rPr>
          <w:rFonts w:ascii="Arial" w:eastAsia="Times New Roman" w:hAnsi="Arial" w:cs="Arial"/>
          <w:sz w:val="24"/>
          <w:szCs w:val="24"/>
          <w:lang w:eastAsia="en-GB"/>
        </w:rPr>
        <w:t xml:space="preserve">n </w:t>
      </w:r>
      <w:r w:rsidR="0022087D">
        <w:rPr>
          <w:rFonts w:ascii="Arial" w:eastAsia="Times New Roman" w:hAnsi="Arial" w:cs="Arial"/>
          <w:sz w:val="24"/>
          <w:szCs w:val="24"/>
          <w:lang w:eastAsia="en-GB"/>
        </w:rPr>
        <w:t xml:space="preserve">human </w:t>
      </w:r>
      <w:r>
        <w:rPr>
          <w:rFonts w:ascii="Arial" w:eastAsia="Times New Roman" w:hAnsi="Arial" w:cs="Arial"/>
          <w:sz w:val="24"/>
          <w:szCs w:val="24"/>
          <w:lang w:eastAsia="en-GB"/>
        </w:rPr>
        <w:t xml:space="preserve">bone pathology </w:t>
      </w:r>
      <w:r w:rsidR="0022087D">
        <w:rPr>
          <w:rFonts w:ascii="Arial" w:eastAsia="Times New Roman" w:hAnsi="Arial" w:cs="Arial"/>
          <w:sz w:val="24"/>
          <w:szCs w:val="24"/>
          <w:lang w:eastAsia="en-GB"/>
        </w:rPr>
        <w:t xml:space="preserve">and OA symptoms </w:t>
      </w:r>
      <w:r>
        <w:rPr>
          <w:rFonts w:ascii="Arial" w:eastAsia="Times New Roman" w:hAnsi="Arial" w:cs="Arial"/>
          <w:sz w:val="24"/>
          <w:szCs w:val="24"/>
          <w:lang w:eastAsia="en-GB"/>
        </w:rPr>
        <w:t>ha</w:t>
      </w:r>
      <w:r w:rsidR="0022087D">
        <w:rPr>
          <w:rFonts w:ascii="Arial" w:eastAsia="Times New Roman" w:hAnsi="Arial" w:cs="Arial"/>
          <w:sz w:val="24"/>
          <w:szCs w:val="24"/>
          <w:lang w:eastAsia="en-GB"/>
        </w:rPr>
        <w:t>ve not to date been clearly demonstrated</w:t>
      </w:r>
      <w:bookmarkEnd w:id="14"/>
      <w:r w:rsidR="0022087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Our new OABS scoring system </w:t>
      </w:r>
      <w:r w:rsidR="00A65F0B">
        <w:rPr>
          <w:rFonts w:ascii="Arial" w:eastAsia="Times New Roman" w:hAnsi="Arial" w:cs="Arial"/>
          <w:sz w:val="24"/>
          <w:szCs w:val="24"/>
          <w:lang w:eastAsia="en-GB"/>
        </w:rPr>
        <w:t>could be developed as a biomarker to better understand possible mechanisms through which BMLs occur</w:t>
      </w:r>
      <w:r w:rsidR="00CF7D18">
        <w:rPr>
          <w:rFonts w:ascii="Arial" w:eastAsia="Times New Roman" w:hAnsi="Arial" w:cs="Arial"/>
          <w:sz w:val="24"/>
          <w:szCs w:val="24"/>
          <w:lang w:eastAsia="en-GB"/>
        </w:rPr>
        <w:t>,</w:t>
      </w:r>
      <w:r w:rsidR="00A65F0B">
        <w:rPr>
          <w:rFonts w:ascii="Arial" w:eastAsia="Times New Roman" w:hAnsi="Arial" w:cs="Arial"/>
          <w:sz w:val="24"/>
          <w:szCs w:val="24"/>
          <w:lang w:eastAsia="en-GB"/>
        </w:rPr>
        <w:t xml:space="preserve"> and why they </w:t>
      </w:r>
      <w:r w:rsidR="0022087D">
        <w:rPr>
          <w:rFonts w:ascii="Arial" w:eastAsia="Times New Roman" w:hAnsi="Arial" w:cs="Arial"/>
          <w:sz w:val="24"/>
          <w:szCs w:val="24"/>
          <w:lang w:eastAsia="en-GB"/>
        </w:rPr>
        <w:t xml:space="preserve">might </w:t>
      </w:r>
      <w:r w:rsidR="00A65F0B">
        <w:rPr>
          <w:rFonts w:ascii="Arial" w:eastAsia="Times New Roman" w:hAnsi="Arial" w:cs="Arial"/>
          <w:sz w:val="24"/>
          <w:szCs w:val="24"/>
          <w:lang w:eastAsia="en-GB"/>
        </w:rPr>
        <w:t xml:space="preserve">cause pain or structural damage. </w:t>
      </w:r>
      <w:r w:rsidR="0022087D">
        <w:rPr>
          <w:rFonts w:ascii="Arial" w:eastAsia="Times New Roman" w:hAnsi="Arial" w:cs="Arial"/>
          <w:sz w:val="24"/>
          <w:szCs w:val="24"/>
          <w:lang w:eastAsia="en-GB"/>
        </w:rPr>
        <w:t>OABS m</w:t>
      </w:r>
      <w:r w:rsidR="00EA49D1">
        <w:rPr>
          <w:rFonts w:ascii="Arial" w:eastAsia="Times New Roman" w:hAnsi="Arial" w:cs="Arial"/>
          <w:sz w:val="24"/>
          <w:szCs w:val="24"/>
          <w:lang w:eastAsia="en-GB"/>
        </w:rPr>
        <w:t>ight</w:t>
      </w:r>
      <w:r w:rsidR="0022087D">
        <w:rPr>
          <w:rFonts w:ascii="Arial" w:eastAsia="Times New Roman" w:hAnsi="Arial" w:cs="Arial"/>
          <w:sz w:val="24"/>
          <w:szCs w:val="24"/>
          <w:lang w:eastAsia="en-GB"/>
        </w:rPr>
        <w:t xml:space="preserve"> be amenable to back translation into </w:t>
      </w:r>
      <w:r w:rsidR="00A65F0B">
        <w:rPr>
          <w:rFonts w:ascii="Arial" w:eastAsia="Times New Roman" w:hAnsi="Arial" w:cs="Arial"/>
          <w:sz w:val="24"/>
          <w:szCs w:val="24"/>
          <w:lang w:eastAsia="en-GB"/>
        </w:rPr>
        <w:t xml:space="preserve">animal models </w:t>
      </w:r>
      <w:r w:rsidR="0022087D">
        <w:rPr>
          <w:rFonts w:ascii="Arial" w:eastAsia="Times New Roman" w:hAnsi="Arial" w:cs="Arial"/>
          <w:sz w:val="24"/>
          <w:szCs w:val="24"/>
          <w:lang w:eastAsia="en-GB"/>
        </w:rPr>
        <w:t xml:space="preserve">to further elucidate subchondral OA mechanisms and develop novel </w:t>
      </w:r>
      <w:r w:rsidR="00A65F0B">
        <w:rPr>
          <w:rFonts w:ascii="Arial" w:eastAsia="Times New Roman" w:hAnsi="Arial" w:cs="Arial"/>
          <w:sz w:val="24"/>
          <w:szCs w:val="24"/>
          <w:lang w:eastAsia="en-GB"/>
        </w:rPr>
        <w:t xml:space="preserve">therapeutics. </w:t>
      </w:r>
      <w:r w:rsidR="00846A2B">
        <w:rPr>
          <w:rFonts w:ascii="Arial" w:eastAsia="Times New Roman" w:hAnsi="Arial" w:cs="Arial"/>
          <w:sz w:val="24"/>
          <w:szCs w:val="24"/>
          <w:lang w:eastAsia="en-GB"/>
        </w:rPr>
        <w:t xml:space="preserve">OABS </w:t>
      </w:r>
      <w:r w:rsidR="0022087D">
        <w:rPr>
          <w:rFonts w:ascii="Arial" w:eastAsia="Times New Roman" w:hAnsi="Arial" w:cs="Arial"/>
          <w:sz w:val="24"/>
          <w:szCs w:val="24"/>
          <w:lang w:eastAsia="en-GB"/>
        </w:rPr>
        <w:t>and further exploration of subchondral pathology should complement progress in understanding cartilage and synovial biology to accelerate the development of more effective treatments that will relieve the great burden of OA on individuals and society.</w:t>
      </w:r>
    </w:p>
    <w:p w14:paraId="40677803" w14:textId="7A3CCC05" w:rsidR="00C06E7E" w:rsidRDefault="00813610" w:rsidP="00A65F0B">
      <w:pPr>
        <w:pStyle w:val="CommentText"/>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Word count = 3</w:t>
      </w:r>
      <w:r w:rsidR="007712C8">
        <w:rPr>
          <w:rFonts w:ascii="Arial" w:eastAsia="Times New Roman" w:hAnsi="Arial" w:cs="Arial"/>
          <w:sz w:val="24"/>
          <w:szCs w:val="24"/>
          <w:lang w:eastAsia="en-GB"/>
        </w:rPr>
        <w:t>996</w:t>
      </w:r>
      <w:r>
        <w:rPr>
          <w:rFonts w:ascii="Arial" w:eastAsia="Times New Roman" w:hAnsi="Arial" w:cs="Arial"/>
          <w:sz w:val="24"/>
          <w:szCs w:val="24"/>
          <w:lang w:eastAsia="en-GB"/>
        </w:rPr>
        <w:t xml:space="preserve"> words</w:t>
      </w:r>
      <w:r w:rsidR="004706B0">
        <w:rPr>
          <w:rFonts w:ascii="Arial" w:eastAsia="Times New Roman" w:hAnsi="Arial" w:cs="Arial"/>
          <w:sz w:val="24"/>
          <w:szCs w:val="24"/>
          <w:lang w:eastAsia="en-GB"/>
        </w:rPr>
        <w:t xml:space="preserve"> (excluding abstract)</w:t>
      </w:r>
    </w:p>
    <w:p w14:paraId="5C73F4AA" w14:textId="77777777" w:rsidR="00F56AFD" w:rsidRPr="007259A6" w:rsidRDefault="00F56AFD" w:rsidP="007259A6">
      <w:pPr>
        <w:jc w:val="both"/>
        <w:rPr>
          <w:rFonts w:ascii="Arial" w:eastAsiaTheme="minorEastAsia" w:hAnsi="Arial" w:cs="Arial"/>
          <w:color w:val="000000" w:themeColor="text1"/>
          <w:kern w:val="24"/>
          <w:sz w:val="24"/>
          <w:szCs w:val="24"/>
        </w:rPr>
      </w:pPr>
      <w:r w:rsidRPr="007259A6">
        <w:rPr>
          <w:rFonts w:ascii="Arial" w:eastAsiaTheme="minorEastAsia" w:hAnsi="Arial" w:cs="Arial"/>
          <w:color w:val="000000" w:themeColor="text1"/>
          <w:kern w:val="24"/>
          <w:sz w:val="24"/>
          <w:szCs w:val="24"/>
        </w:rPr>
        <w:t>Acknowledgements. We express our gratitude to all patients who participated in this study.</w:t>
      </w:r>
    </w:p>
    <w:p w14:paraId="677DF4F9" w14:textId="77777777" w:rsidR="0022087D" w:rsidRPr="009A60A7" w:rsidRDefault="0022087D" w:rsidP="00D9452A">
      <w:pPr>
        <w:pStyle w:val="NormalWeb"/>
        <w:spacing w:before="0" w:beforeAutospacing="0" w:after="0" w:afterAutospacing="0"/>
        <w:ind w:left="720"/>
        <w:jc w:val="both"/>
        <w:rPr>
          <w:rFonts w:ascii="Arial" w:eastAsiaTheme="minorEastAsia" w:hAnsi="Arial" w:cs="Arial"/>
          <w:color w:val="000000" w:themeColor="text1"/>
          <w:kern w:val="24"/>
        </w:rPr>
      </w:pPr>
    </w:p>
    <w:p w14:paraId="662BDEC7" w14:textId="77777777" w:rsidR="002723AB" w:rsidRPr="007259A6" w:rsidRDefault="004D66E4" w:rsidP="007259A6">
      <w:pPr>
        <w:jc w:val="both"/>
        <w:rPr>
          <w:rFonts w:ascii="Arial" w:eastAsiaTheme="minorEastAsia" w:hAnsi="Arial" w:cs="Arial"/>
          <w:color w:val="000000" w:themeColor="text1"/>
          <w:kern w:val="24"/>
          <w:sz w:val="24"/>
          <w:szCs w:val="24"/>
        </w:rPr>
      </w:pPr>
      <w:r w:rsidRPr="007259A6">
        <w:rPr>
          <w:rFonts w:ascii="Arial" w:eastAsiaTheme="minorEastAsia" w:hAnsi="Arial" w:cs="Arial"/>
          <w:color w:val="000000" w:themeColor="text1"/>
          <w:kern w:val="24"/>
          <w:sz w:val="24"/>
          <w:szCs w:val="24"/>
        </w:rPr>
        <w:t xml:space="preserve">Author contributions: SK </w:t>
      </w:r>
      <w:r w:rsidR="0022087D" w:rsidRPr="007259A6">
        <w:rPr>
          <w:rFonts w:ascii="Arial" w:eastAsiaTheme="minorEastAsia" w:hAnsi="Arial" w:cs="Arial"/>
          <w:color w:val="000000" w:themeColor="text1"/>
          <w:kern w:val="24"/>
          <w:sz w:val="24"/>
          <w:szCs w:val="24"/>
        </w:rPr>
        <w:t xml:space="preserve">and SSM </w:t>
      </w:r>
      <w:r w:rsidRPr="007259A6">
        <w:rPr>
          <w:rFonts w:ascii="Arial" w:eastAsiaTheme="minorEastAsia" w:hAnsi="Arial" w:cs="Arial"/>
          <w:color w:val="000000" w:themeColor="text1"/>
          <w:kern w:val="24"/>
          <w:sz w:val="24"/>
          <w:szCs w:val="24"/>
        </w:rPr>
        <w:t xml:space="preserve">prepared and analysed tissue samples for histology and immunohistochemistry and conducted data analysis. NS wrote the </w:t>
      </w:r>
      <w:r w:rsidR="0022087D" w:rsidRPr="007259A6">
        <w:rPr>
          <w:rFonts w:ascii="Arial" w:eastAsiaTheme="minorEastAsia" w:hAnsi="Arial" w:cs="Arial"/>
          <w:color w:val="000000" w:themeColor="text1"/>
          <w:kern w:val="24"/>
          <w:sz w:val="24"/>
          <w:szCs w:val="24"/>
        </w:rPr>
        <w:t xml:space="preserve">initial </w:t>
      </w:r>
      <w:r w:rsidRPr="007259A6">
        <w:rPr>
          <w:rFonts w:ascii="Arial" w:eastAsiaTheme="minorEastAsia" w:hAnsi="Arial" w:cs="Arial"/>
          <w:color w:val="000000" w:themeColor="text1"/>
          <w:kern w:val="24"/>
          <w:sz w:val="24"/>
          <w:szCs w:val="24"/>
        </w:rPr>
        <w:t xml:space="preserve">study protocol and associated documents, co-ordinated the implementation of the study, assisted with data analysis and drafted the manuscript. </w:t>
      </w:r>
      <w:r w:rsidR="00C06E7E" w:rsidRPr="007259A6">
        <w:rPr>
          <w:rFonts w:ascii="Arial" w:hAnsi="Arial" w:cs="Arial"/>
          <w:sz w:val="24"/>
          <w:szCs w:val="24"/>
        </w:rPr>
        <w:t>MNS and JW contributed to processing and histology with help in analysis of the histological and innervation changes.</w:t>
      </w:r>
      <w:r w:rsidR="00C06E7E">
        <w:t xml:space="preserve"> </w:t>
      </w:r>
      <w:r w:rsidRPr="007259A6">
        <w:rPr>
          <w:rFonts w:ascii="Arial" w:eastAsiaTheme="minorEastAsia" w:hAnsi="Arial" w:cs="Arial"/>
          <w:color w:val="000000" w:themeColor="text1"/>
          <w:kern w:val="24"/>
          <w:sz w:val="24"/>
          <w:szCs w:val="24"/>
        </w:rPr>
        <w:t>SMS, DM, DAW, MNS, JW</w:t>
      </w:r>
      <w:r w:rsidR="003C3043" w:rsidRPr="007259A6">
        <w:rPr>
          <w:rFonts w:ascii="Arial" w:eastAsiaTheme="minorEastAsia" w:hAnsi="Arial" w:cs="Arial"/>
          <w:color w:val="000000" w:themeColor="text1"/>
          <w:kern w:val="24"/>
          <w:sz w:val="24"/>
          <w:szCs w:val="24"/>
        </w:rPr>
        <w:t>, FAH</w:t>
      </w:r>
      <w:r w:rsidRPr="007259A6">
        <w:rPr>
          <w:rFonts w:ascii="Arial" w:eastAsiaTheme="minorEastAsia" w:hAnsi="Arial" w:cs="Arial"/>
          <w:color w:val="000000" w:themeColor="text1"/>
          <w:kern w:val="24"/>
          <w:sz w:val="24"/>
          <w:szCs w:val="24"/>
        </w:rPr>
        <w:t xml:space="preserve"> and SH </w:t>
      </w:r>
      <w:r w:rsidR="00794D0D" w:rsidRPr="007259A6">
        <w:rPr>
          <w:rFonts w:ascii="Arial" w:eastAsiaTheme="minorEastAsia" w:hAnsi="Arial" w:cs="Arial"/>
          <w:color w:val="000000" w:themeColor="text1"/>
          <w:kern w:val="24"/>
          <w:sz w:val="24"/>
          <w:szCs w:val="24"/>
        </w:rPr>
        <w:t>contributed to</w:t>
      </w:r>
      <w:r w:rsidRPr="007259A6">
        <w:rPr>
          <w:rFonts w:ascii="Arial" w:eastAsiaTheme="minorEastAsia" w:hAnsi="Arial" w:cs="Arial"/>
          <w:color w:val="000000" w:themeColor="text1"/>
          <w:kern w:val="24"/>
          <w:sz w:val="24"/>
          <w:szCs w:val="24"/>
        </w:rPr>
        <w:t xml:space="preserve"> the </w:t>
      </w:r>
      <w:r w:rsidR="00794D0D" w:rsidRPr="007259A6">
        <w:rPr>
          <w:rFonts w:ascii="Arial" w:eastAsiaTheme="minorEastAsia" w:hAnsi="Arial" w:cs="Arial"/>
          <w:color w:val="000000" w:themeColor="text1"/>
          <w:kern w:val="24"/>
          <w:sz w:val="24"/>
          <w:szCs w:val="24"/>
        </w:rPr>
        <w:t xml:space="preserve">final </w:t>
      </w:r>
      <w:r w:rsidRPr="007259A6">
        <w:rPr>
          <w:rFonts w:ascii="Arial" w:eastAsiaTheme="minorEastAsia" w:hAnsi="Arial" w:cs="Arial"/>
          <w:color w:val="000000" w:themeColor="text1"/>
          <w:kern w:val="24"/>
          <w:sz w:val="24"/>
          <w:szCs w:val="24"/>
        </w:rPr>
        <w:t>study design, data acquisition/analysis</w:t>
      </w:r>
      <w:r w:rsidR="0022087D" w:rsidRPr="007259A6">
        <w:rPr>
          <w:rFonts w:ascii="Arial" w:eastAsiaTheme="minorEastAsia" w:hAnsi="Arial" w:cs="Arial"/>
          <w:color w:val="000000" w:themeColor="text1"/>
          <w:kern w:val="24"/>
          <w:sz w:val="24"/>
          <w:szCs w:val="24"/>
        </w:rPr>
        <w:t>, writing</w:t>
      </w:r>
      <w:r w:rsidRPr="007259A6">
        <w:rPr>
          <w:rFonts w:ascii="Arial" w:eastAsiaTheme="minorEastAsia" w:hAnsi="Arial" w:cs="Arial"/>
          <w:color w:val="000000" w:themeColor="text1"/>
          <w:kern w:val="24"/>
          <w:sz w:val="24"/>
          <w:szCs w:val="24"/>
        </w:rPr>
        <w:t xml:space="preserve"> and review of the manuscript. </w:t>
      </w:r>
    </w:p>
    <w:p w14:paraId="3C0E6ED5" w14:textId="77777777" w:rsidR="002723AB" w:rsidRPr="004D66E4" w:rsidRDefault="002723AB" w:rsidP="004D66E4">
      <w:pPr>
        <w:pStyle w:val="ListParagraph"/>
        <w:jc w:val="both"/>
        <w:rPr>
          <w:rFonts w:ascii="Arial" w:eastAsiaTheme="minorEastAsia" w:hAnsi="Arial" w:cs="Arial"/>
          <w:color w:val="000000" w:themeColor="text1"/>
          <w:kern w:val="24"/>
          <w:sz w:val="24"/>
          <w:szCs w:val="24"/>
        </w:rPr>
      </w:pPr>
    </w:p>
    <w:p w14:paraId="10BEA27F" w14:textId="77777777" w:rsidR="002723AB" w:rsidRPr="004D66E4" w:rsidRDefault="002723AB" w:rsidP="004D66E4">
      <w:pPr>
        <w:pStyle w:val="ListParagraph"/>
        <w:jc w:val="both"/>
        <w:rPr>
          <w:rFonts w:ascii="Arial" w:eastAsiaTheme="minorEastAsia" w:hAnsi="Arial" w:cs="Arial"/>
          <w:color w:val="000000" w:themeColor="text1"/>
          <w:kern w:val="24"/>
          <w:sz w:val="24"/>
          <w:szCs w:val="24"/>
        </w:rPr>
      </w:pPr>
    </w:p>
    <w:p w14:paraId="7C6C8FB1" w14:textId="77777777" w:rsidR="002723AB" w:rsidRPr="007259A6" w:rsidRDefault="00AA6330" w:rsidP="007259A6">
      <w:pPr>
        <w:jc w:val="both"/>
        <w:rPr>
          <w:rFonts w:ascii="Arial" w:eastAsiaTheme="minorEastAsia" w:hAnsi="Arial" w:cs="Arial"/>
          <w:color w:val="000000" w:themeColor="text1"/>
          <w:kern w:val="24"/>
          <w:sz w:val="24"/>
          <w:szCs w:val="24"/>
        </w:rPr>
      </w:pPr>
      <w:r w:rsidRPr="007259A6">
        <w:rPr>
          <w:rFonts w:ascii="Arial" w:eastAsiaTheme="minorEastAsia" w:hAnsi="Arial" w:cs="Arial"/>
          <w:color w:val="000000" w:themeColor="text1"/>
          <w:kern w:val="24"/>
          <w:sz w:val="24"/>
          <w:szCs w:val="24"/>
        </w:rPr>
        <w:lastRenderedPageBreak/>
        <w:t xml:space="preserve">Funding: </w:t>
      </w:r>
      <w:r w:rsidR="00B6637D" w:rsidRPr="007259A6">
        <w:rPr>
          <w:rFonts w:ascii="Arial" w:eastAsiaTheme="minorEastAsia" w:hAnsi="Arial" w:cs="Arial"/>
          <w:color w:val="000000" w:themeColor="text1"/>
          <w:kern w:val="24"/>
          <w:sz w:val="24"/>
          <w:szCs w:val="24"/>
        </w:rPr>
        <w:t xml:space="preserve">Supported by the </w:t>
      </w:r>
      <w:proofErr w:type="spellStart"/>
      <w:r w:rsidR="00B6637D" w:rsidRPr="007259A6">
        <w:rPr>
          <w:rFonts w:ascii="Arial" w:eastAsiaTheme="minorEastAsia" w:hAnsi="Arial" w:cs="Arial"/>
          <w:color w:val="000000" w:themeColor="text1"/>
          <w:kern w:val="24"/>
          <w:sz w:val="24"/>
          <w:szCs w:val="24"/>
        </w:rPr>
        <w:t>Rosetrees</w:t>
      </w:r>
      <w:proofErr w:type="spellEnd"/>
      <w:r w:rsidR="00B6637D" w:rsidRPr="007259A6">
        <w:rPr>
          <w:rFonts w:ascii="Arial" w:eastAsiaTheme="minorEastAsia" w:hAnsi="Arial" w:cs="Arial"/>
          <w:color w:val="000000" w:themeColor="text1"/>
          <w:kern w:val="24"/>
          <w:sz w:val="24"/>
          <w:szCs w:val="24"/>
        </w:rPr>
        <w:t>’ Tru</w:t>
      </w:r>
      <w:r w:rsidR="00040072" w:rsidRPr="007259A6">
        <w:rPr>
          <w:rFonts w:ascii="Arial" w:eastAsiaTheme="minorEastAsia" w:hAnsi="Arial" w:cs="Arial"/>
          <w:color w:val="000000" w:themeColor="text1"/>
          <w:kern w:val="24"/>
          <w:sz w:val="24"/>
          <w:szCs w:val="24"/>
        </w:rPr>
        <w:t>s</w:t>
      </w:r>
      <w:r w:rsidR="00B6637D" w:rsidRPr="007259A6">
        <w:rPr>
          <w:rFonts w:ascii="Arial" w:eastAsiaTheme="minorEastAsia" w:hAnsi="Arial" w:cs="Arial"/>
          <w:color w:val="000000" w:themeColor="text1"/>
          <w:kern w:val="24"/>
          <w:sz w:val="24"/>
          <w:szCs w:val="24"/>
        </w:rPr>
        <w:t>t</w:t>
      </w:r>
      <w:r w:rsidR="00040072" w:rsidRPr="007259A6">
        <w:rPr>
          <w:rFonts w:ascii="Arial" w:eastAsiaTheme="minorEastAsia" w:hAnsi="Arial" w:cs="Arial"/>
          <w:color w:val="000000" w:themeColor="text1"/>
          <w:kern w:val="24"/>
          <w:sz w:val="24"/>
          <w:szCs w:val="24"/>
        </w:rPr>
        <w:t xml:space="preserve"> (Grant number M11-F3), the </w:t>
      </w:r>
      <w:proofErr w:type="spellStart"/>
      <w:r w:rsidR="00040072" w:rsidRPr="007259A6">
        <w:rPr>
          <w:rFonts w:ascii="Arial" w:eastAsiaTheme="minorEastAsia" w:hAnsi="Arial" w:cs="Arial"/>
          <w:color w:val="000000" w:themeColor="text1"/>
          <w:kern w:val="24"/>
          <w:sz w:val="24"/>
          <w:szCs w:val="24"/>
        </w:rPr>
        <w:t>Wellcome</w:t>
      </w:r>
      <w:proofErr w:type="spellEnd"/>
      <w:r w:rsidR="00040072" w:rsidRPr="007259A6">
        <w:rPr>
          <w:rFonts w:ascii="Arial" w:eastAsiaTheme="minorEastAsia" w:hAnsi="Arial" w:cs="Arial"/>
          <w:color w:val="000000" w:themeColor="text1"/>
          <w:kern w:val="24"/>
          <w:sz w:val="24"/>
          <w:szCs w:val="24"/>
        </w:rPr>
        <w:t xml:space="preserve"> Trust Institutional Support Fund</w:t>
      </w:r>
      <w:r w:rsidR="000F30AE" w:rsidRPr="007259A6">
        <w:rPr>
          <w:rFonts w:ascii="Arial" w:eastAsiaTheme="minorEastAsia" w:hAnsi="Arial" w:cs="Arial"/>
          <w:color w:val="000000" w:themeColor="text1"/>
          <w:kern w:val="24"/>
          <w:sz w:val="24"/>
          <w:szCs w:val="24"/>
        </w:rPr>
        <w:t xml:space="preserve"> (ISSF)</w:t>
      </w:r>
      <w:r w:rsidR="00040072" w:rsidRPr="007259A6">
        <w:rPr>
          <w:rFonts w:ascii="Arial" w:eastAsiaTheme="minorEastAsia" w:hAnsi="Arial" w:cs="Arial"/>
          <w:color w:val="000000" w:themeColor="text1"/>
          <w:kern w:val="24"/>
          <w:sz w:val="24"/>
          <w:szCs w:val="24"/>
        </w:rPr>
        <w:t xml:space="preserve"> (Grant number </w:t>
      </w:r>
      <w:r w:rsidR="000F30AE" w:rsidRPr="007259A6">
        <w:rPr>
          <w:rFonts w:ascii="Arial" w:eastAsiaTheme="minorEastAsia" w:hAnsi="Arial" w:cs="Arial"/>
          <w:color w:val="000000" w:themeColor="text1"/>
          <w:kern w:val="24"/>
          <w:sz w:val="24"/>
          <w:szCs w:val="24"/>
        </w:rPr>
        <w:t>204809/16/Z</w:t>
      </w:r>
      <w:r w:rsidR="00040072" w:rsidRPr="007259A6">
        <w:rPr>
          <w:rFonts w:ascii="Arial" w:eastAsiaTheme="minorEastAsia" w:hAnsi="Arial" w:cs="Arial"/>
          <w:color w:val="000000" w:themeColor="text1"/>
          <w:kern w:val="24"/>
          <w:sz w:val="24"/>
          <w:szCs w:val="24"/>
        </w:rPr>
        <w:t>), the National Institute for Health Research (NIHR) Clinical Research Network</w:t>
      </w:r>
      <w:r w:rsidR="0057174E" w:rsidRPr="007259A6">
        <w:rPr>
          <w:rFonts w:ascii="Arial" w:eastAsiaTheme="minorEastAsia" w:hAnsi="Arial" w:cs="Arial"/>
          <w:color w:val="000000" w:themeColor="text1"/>
          <w:kern w:val="24"/>
          <w:sz w:val="24"/>
          <w:szCs w:val="24"/>
        </w:rPr>
        <w:t xml:space="preserve">, the </w:t>
      </w:r>
      <w:r w:rsidR="00642A2E" w:rsidRPr="007259A6">
        <w:rPr>
          <w:rFonts w:ascii="Arial" w:eastAsiaTheme="minorEastAsia" w:hAnsi="Arial" w:cs="Arial"/>
          <w:color w:val="000000" w:themeColor="text1"/>
          <w:kern w:val="24"/>
          <w:sz w:val="24"/>
          <w:szCs w:val="24"/>
        </w:rPr>
        <w:t xml:space="preserve">NIHR Nottingham Biomedical Research Centre, </w:t>
      </w:r>
      <w:r w:rsidR="00040072" w:rsidRPr="007259A6">
        <w:rPr>
          <w:rFonts w:ascii="Arial" w:eastAsiaTheme="minorEastAsia" w:hAnsi="Arial" w:cs="Arial"/>
          <w:color w:val="000000" w:themeColor="text1"/>
          <w:kern w:val="24"/>
          <w:sz w:val="24"/>
          <w:szCs w:val="24"/>
        </w:rPr>
        <w:t xml:space="preserve">and </w:t>
      </w:r>
      <w:r w:rsidR="001A31FF" w:rsidRPr="007259A6">
        <w:rPr>
          <w:rFonts w:ascii="Arial" w:eastAsiaTheme="minorEastAsia" w:hAnsi="Arial" w:cs="Arial"/>
          <w:color w:val="000000" w:themeColor="text1"/>
          <w:kern w:val="24"/>
          <w:sz w:val="24"/>
          <w:szCs w:val="24"/>
        </w:rPr>
        <w:t>Versus Arthritis</w:t>
      </w:r>
      <w:r w:rsidR="000A56F8" w:rsidRPr="007259A6">
        <w:rPr>
          <w:rFonts w:ascii="Arial" w:eastAsiaTheme="minorEastAsia" w:hAnsi="Arial" w:cs="Arial"/>
          <w:color w:val="000000" w:themeColor="text1"/>
          <w:kern w:val="24"/>
          <w:sz w:val="24"/>
          <w:szCs w:val="24"/>
        </w:rPr>
        <w:t xml:space="preserve"> (Grant number 20777)</w:t>
      </w:r>
      <w:r w:rsidR="00040072" w:rsidRPr="007259A6">
        <w:rPr>
          <w:rFonts w:ascii="Arial" w:eastAsiaTheme="minorEastAsia" w:hAnsi="Arial" w:cs="Arial"/>
          <w:color w:val="000000" w:themeColor="text1"/>
          <w:kern w:val="24"/>
          <w:sz w:val="24"/>
          <w:szCs w:val="24"/>
        </w:rPr>
        <w:t>. The views expressed are those of the author(s) and not necessarily those of the</w:t>
      </w:r>
      <w:r w:rsidR="00642A2E" w:rsidRPr="007259A6">
        <w:rPr>
          <w:rFonts w:ascii="Arial" w:eastAsiaTheme="minorEastAsia" w:hAnsi="Arial" w:cs="Arial"/>
          <w:color w:val="000000" w:themeColor="text1"/>
          <w:kern w:val="24"/>
          <w:sz w:val="24"/>
          <w:szCs w:val="24"/>
        </w:rPr>
        <w:t xml:space="preserve"> funders</w:t>
      </w:r>
      <w:r w:rsidR="00040072" w:rsidRPr="007259A6">
        <w:rPr>
          <w:rFonts w:ascii="Arial" w:eastAsiaTheme="minorEastAsia" w:hAnsi="Arial" w:cs="Arial"/>
          <w:color w:val="000000" w:themeColor="text1"/>
          <w:kern w:val="24"/>
          <w:sz w:val="24"/>
          <w:szCs w:val="24"/>
        </w:rPr>
        <w:t>.</w:t>
      </w:r>
    </w:p>
    <w:p w14:paraId="6BD163EC" w14:textId="77777777" w:rsidR="00040072" w:rsidRPr="004D66E4" w:rsidRDefault="00040072" w:rsidP="004D66E4">
      <w:pPr>
        <w:pStyle w:val="ListParagraph"/>
        <w:jc w:val="both"/>
        <w:rPr>
          <w:rFonts w:ascii="Arial" w:eastAsiaTheme="minorEastAsia" w:hAnsi="Arial" w:cs="Arial"/>
          <w:color w:val="000000" w:themeColor="text1"/>
          <w:kern w:val="24"/>
          <w:sz w:val="24"/>
          <w:szCs w:val="24"/>
        </w:rPr>
      </w:pPr>
    </w:p>
    <w:p w14:paraId="5AF340DB" w14:textId="77777777" w:rsidR="00462866" w:rsidRPr="007259A6" w:rsidRDefault="00F56AFD" w:rsidP="007259A6">
      <w:pPr>
        <w:jc w:val="both"/>
        <w:rPr>
          <w:rFonts w:ascii="Arial" w:eastAsiaTheme="minorEastAsia" w:hAnsi="Arial" w:cs="Arial"/>
          <w:color w:val="000000" w:themeColor="text1"/>
          <w:kern w:val="24"/>
          <w:sz w:val="24"/>
          <w:szCs w:val="24"/>
        </w:rPr>
      </w:pPr>
      <w:r w:rsidRPr="007259A6">
        <w:rPr>
          <w:rFonts w:ascii="Arial" w:eastAsiaTheme="minorEastAsia" w:hAnsi="Arial" w:cs="Arial"/>
          <w:color w:val="000000" w:themeColor="text1"/>
          <w:kern w:val="24"/>
          <w:sz w:val="24"/>
          <w:szCs w:val="24"/>
        </w:rPr>
        <w:t>Conflicts of interest: There are no conflicts of interest related to this study</w:t>
      </w:r>
    </w:p>
    <w:p w14:paraId="410BEF98" w14:textId="77777777" w:rsidR="00462866" w:rsidRDefault="00462866" w:rsidP="004D66E4">
      <w:pPr>
        <w:pStyle w:val="ListParagraph"/>
        <w:jc w:val="both"/>
        <w:rPr>
          <w:rFonts w:ascii="Arial" w:eastAsiaTheme="minorEastAsia" w:hAnsi="Arial" w:cs="Arial"/>
          <w:color w:val="000000" w:themeColor="text1"/>
          <w:kern w:val="24"/>
          <w:sz w:val="24"/>
          <w:szCs w:val="24"/>
        </w:rPr>
      </w:pPr>
    </w:p>
    <w:p w14:paraId="01F3727D" w14:textId="77777777" w:rsidR="00462866" w:rsidRDefault="00462866" w:rsidP="004D66E4">
      <w:pPr>
        <w:pStyle w:val="ListParagraph"/>
        <w:jc w:val="both"/>
        <w:rPr>
          <w:rFonts w:ascii="Arial" w:eastAsiaTheme="minorEastAsia" w:hAnsi="Arial" w:cs="Arial"/>
          <w:color w:val="000000" w:themeColor="text1"/>
          <w:kern w:val="24"/>
          <w:sz w:val="24"/>
          <w:szCs w:val="24"/>
        </w:rPr>
      </w:pPr>
    </w:p>
    <w:p w14:paraId="737BD7D6" w14:textId="77777777" w:rsidR="009E2F02" w:rsidRDefault="009E2F02" w:rsidP="004D66E4">
      <w:pPr>
        <w:pStyle w:val="ListParagraph"/>
        <w:jc w:val="both"/>
        <w:rPr>
          <w:rFonts w:ascii="Arial" w:eastAsiaTheme="minorEastAsia" w:hAnsi="Arial" w:cs="Arial"/>
          <w:color w:val="000000" w:themeColor="text1"/>
          <w:kern w:val="24"/>
          <w:sz w:val="24"/>
          <w:szCs w:val="24"/>
        </w:rPr>
      </w:pPr>
    </w:p>
    <w:p w14:paraId="71140FF2" w14:textId="77777777" w:rsidR="009E2F02" w:rsidRDefault="009E2F02" w:rsidP="004D66E4">
      <w:pPr>
        <w:pStyle w:val="ListParagraph"/>
        <w:jc w:val="both"/>
        <w:rPr>
          <w:rFonts w:ascii="Arial" w:eastAsiaTheme="minorEastAsia" w:hAnsi="Arial" w:cs="Arial"/>
          <w:color w:val="000000" w:themeColor="text1"/>
          <w:kern w:val="24"/>
          <w:sz w:val="24"/>
          <w:szCs w:val="24"/>
        </w:rPr>
      </w:pPr>
    </w:p>
    <w:p w14:paraId="17C6BFB9" w14:textId="77777777" w:rsidR="00420539" w:rsidRPr="000C761B" w:rsidRDefault="00420539" w:rsidP="00420539">
      <w:pPr>
        <w:spacing w:after="0" w:line="480" w:lineRule="auto"/>
        <w:rPr>
          <w:rFonts w:ascii="Arial" w:eastAsia="Times New Roman" w:hAnsi="Arial" w:cs="Arial"/>
          <w:b/>
          <w:bCs/>
          <w:sz w:val="24"/>
          <w:szCs w:val="24"/>
          <w:lang w:eastAsia="en-GB"/>
        </w:rPr>
      </w:pPr>
      <w:r w:rsidRPr="000C761B">
        <w:rPr>
          <w:rFonts w:ascii="Arial" w:eastAsia="Times New Roman" w:hAnsi="Arial" w:cs="Arial"/>
          <w:b/>
          <w:bCs/>
          <w:sz w:val="24"/>
          <w:szCs w:val="24"/>
          <w:lang w:eastAsia="en-GB"/>
        </w:rPr>
        <w:t>References</w:t>
      </w:r>
    </w:p>
    <w:p w14:paraId="3EB5E2CA" w14:textId="77777777" w:rsidR="00420539" w:rsidRPr="000C761B" w:rsidRDefault="00420539" w:rsidP="00420539">
      <w:pPr>
        <w:pStyle w:val="ListParagraph"/>
        <w:numPr>
          <w:ilvl w:val="0"/>
          <w:numId w:val="25"/>
        </w:numPr>
        <w:spacing w:after="200" w:line="480" w:lineRule="auto"/>
        <w:rPr>
          <w:rFonts w:ascii="Arial" w:hAnsi="Arial" w:cs="Arial"/>
          <w:sz w:val="24"/>
          <w:szCs w:val="24"/>
          <w:shd w:val="clear" w:color="auto" w:fill="FFFFFF"/>
        </w:rPr>
      </w:pPr>
      <w:proofErr w:type="spellStart"/>
      <w:r w:rsidRPr="000C761B">
        <w:rPr>
          <w:rFonts w:ascii="Arial" w:hAnsi="Arial" w:cs="Arial"/>
          <w:sz w:val="24"/>
          <w:szCs w:val="24"/>
          <w:shd w:val="clear" w:color="auto" w:fill="FFFFFF"/>
        </w:rPr>
        <w:t>Cisternas</w:t>
      </w:r>
      <w:proofErr w:type="spellEnd"/>
      <w:r w:rsidRPr="000C761B">
        <w:rPr>
          <w:rFonts w:ascii="Arial" w:hAnsi="Arial" w:cs="Arial"/>
          <w:sz w:val="24"/>
          <w:szCs w:val="24"/>
          <w:shd w:val="clear" w:color="auto" w:fill="FFFFFF"/>
        </w:rPr>
        <w:t xml:space="preserve"> M, Murphy L, Sacks, J, Solomon D, Pasta D and Helmick C. Alternative Methods for Defining Osteoarthritis and the Impact on Estimating Prevalence in a US Population-Based Survey. </w:t>
      </w:r>
      <w:r w:rsidRPr="000C761B">
        <w:rPr>
          <w:rFonts w:ascii="Arial" w:hAnsi="Arial" w:cs="Arial"/>
          <w:iCs/>
          <w:sz w:val="24"/>
          <w:szCs w:val="24"/>
          <w:shd w:val="clear" w:color="auto" w:fill="FFFFFF"/>
        </w:rPr>
        <w:t>Arthritis Care &amp; Research</w:t>
      </w:r>
      <w:r w:rsidRPr="000C761B">
        <w:rPr>
          <w:rFonts w:ascii="Arial" w:hAnsi="Arial" w:cs="Arial"/>
          <w:sz w:val="24"/>
          <w:szCs w:val="24"/>
          <w:shd w:val="clear" w:color="auto" w:fill="FFFFFF"/>
        </w:rPr>
        <w:t xml:space="preserve"> 2016; 68:574-580.</w:t>
      </w:r>
    </w:p>
    <w:p w14:paraId="62CA3D44" w14:textId="77777777" w:rsidR="00420539" w:rsidRPr="000C761B" w:rsidRDefault="00420539" w:rsidP="00420539">
      <w:pPr>
        <w:pStyle w:val="ListParagraph"/>
        <w:numPr>
          <w:ilvl w:val="0"/>
          <w:numId w:val="25"/>
        </w:numPr>
        <w:spacing w:before="100" w:beforeAutospacing="1" w:after="100" w:afterAutospacing="1" w:line="480" w:lineRule="auto"/>
        <w:jc w:val="both"/>
        <w:rPr>
          <w:rFonts w:ascii="Arial" w:eastAsia="Times New Roman" w:hAnsi="Arial" w:cs="Arial"/>
          <w:sz w:val="24"/>
          <w:szCs w:val="24"/>
          <w:lang w:eastAsia="en-GB"/>
        </w:rPr>
      </w:pPr>
      <w:r w:rsidRPr="000C761B">
        <w:rPr>
          <w:rFonts w:ascii="Arial" w:eastAsia="Times New Roman" w:hAnsi="Arial" w:cs="Arial"/>
          <w:sz w:val="24"/>
          <w:szCs w:val="24"/>
          <w:lang w:eastAsia="en-GB"/>
        </w:rPr>
        <w:t xml:space="preserve">Roy S, </w:t>
      </w:r>
      <w:proofErr w:type="spellStart"/>
      <w:r w:rsidRPr="000C761B">
        <w:rPr>
          <w:rFonts w:ascii="Arial" w:eastAsia="Times New Roman" w:hAnsi="Arial" w:cs="Arial"/>
          <w:sz w:val="24"/>
          <w:szCs w:val="24"/>
          <w:lang w:eastAsia="en-GB"/>
        </w:rPr>
        <w:t>Meachim</w:t>
      </w:r>
      <w:proofErr w:type="spellEnd"/>
      <w:r w:rsidRPr="000C761B">
        <w:rPr>
          <w:rFonts w:ascii="Arial" w:eastAsia="Times New Roman" w:hAnsi="Arial" w:cs="Arial"/>
          <w:sz w:val="24"/>
          <w:szCs w:val="24"/>
          <w:lang w:eastAsia="en-GB"/>
        </w:rPr>
        <w:t xml:space="preserve"> G. Chondrocyte ultrastructure in adult human articular cartilage. Ann Rheum Dis. 1968; 27: 544-58</w:t>
      </w:r>
    </w:p>
    <w:p w14:paraId="039D4A66"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eastAsia="Times New Roman" w:hAnsi="Arial" w:cs="Arial"/>
          <w:sz w:val="24"/>
          <w:szCs w:val="24"/>
          <w:lang w:eastAsia="en-GB"/>
        </w:rPr>
      </w:pPr>
      <w:proofErr w:type="spellStart"/>
      <w:r w:rsidRPr="000C761B">
        <w:rPr>
          <w:rFonts w:ascii="Arial" w:eastAsia="Times New Roman" w:hAnsi="Arial" w:cs="Arial"/>
          <w:sz w:val="24"/>
          <w:szCs w:val="24"/>
          <w:lang w:eastAsia="en-GB"/>
        </w:rPr>
        <w:t>Krenn</w:t>
      </w:r>
      <w:proofErr w:type="spellEnd"/>
      <w:r w:rsidRPr="000C761B">
        <w:rPr>
          <w:rFonts w:ascii="Arial" w:eastAsia="Times New Roman" w:hAnsi="Arial" w:cs="Arial"/>
          <w:sz w:val="24"/>
          <w:szCs w:val="24"/>
          <w:lang w:eastAsia="en-GB"/>
        </w:rPr>
        <w:t xml:space="preserve"> V, </w:t>
      </w:r>
      <w:proofErr w:type="spellStart"/>
      <w:r w:rsidRPr="000C761B">
        <w:rPr>
          <w:rFonts w:ascii="Arial" w:eastAsia="Times New Roman" w:hAnsi="Arial" w:cs="Arial"/>
          <w:sz w:val="24"/>
          <w:szCs w:val="24"/>
          <w:lang w:eastAsia="en-GB"/>
        </w:rPr>
        <w:t>Morawietz</w:t>
      </w:r>
      <w:proofErr w:type="spellEnd"/>
      <w:r w:rsidRPr="000C761B">
        <w:rPr>
          <w:rFonts w:ascii="Arial" w:eastAsia="Times New Roman" w:hAnsi="Arial" w:cs="Arial"/>
          <w:sz w:val="24"/>
          <w:szCs w:val="24"/>
          <w:lang w:eastAsia="en-GB"/>
        </w:rPr>
        <w:t xml:space="preserve"> L, </w:t>
      </w:r>
      <w:proofErr w:type="spellStart"/>
      <w:r w:rsidRPr="000C761B">
        <w:rPr>
          <w:rFonts w:ascii="Arial" w:eastAsia="Times New Roman" w:hAnsi="Arial" w:cs="Arial"/>
          <w:sz w:val="24"/>
          <w:szCs w:val="24"/>
          <w:lang w:eastAsia="en-GB"/>
        </w:rPr>
        <w:t>Burmester</w:t>
      </w:r>
      <w:proofErr w:type="spellEnd"/>
      <w:r w:rsidRPr="000C761B">
        <w:rPr>
          <w:rFonts w:ascii="Arial" w:eastAsia="Times New Roman" w:hAnsi="Arial" w:cs="Arial"/>
          <w:sz w:val="24"/>
          <w:szCs w:val="24"/>
          <w:lang w:eastAsia="en-GB"/>
        </w:rPr>
        <w:t xml:space="preserve"> G-R, </w:t>
      </w:r>
      <w:proofErr w:type="spellStart"/>
      <w:r w:rsidRPr="000C761B">
        <w:rPr>
          <w:rFonts w:ascii="Arial" w:eastAsia="Times New Roman" w:hAnsi="Arial" w:cs="Arial"/>
          <w:sz w:val="24"/>
          <w:szCs w:val="24"/>
          <w:lang w:eastAsia="en-GB"/>
        </w:rPr>
        <w:t>Kinne</w:t>
      </w:r>
      <w:proofErr w:type="spellEnd"/>
      <w:r w:rsidRPr="000C761B">
        <w:rPr>
          <w:rFonts w:ascii="Arial" w:eastAsia="Times New Roman" w:hAnsi="Arial" w:cs="Arial"/>
          <w:sz w:val="24"/>
          <w:szCs w:val="24"/>
          <w:lang w:eastAsia="en-GB"/>
        </w:rPr>
        <w:t xml:space="preserve"> RW, Mueller-Ladner U, Muller B, </w:t>
      </w:r>
      <w:proofErr w:type="gramStart"/>
      <w:r w:rsidRPr="000C761B">
        <w:rPr>
          <w:rFonts w:ascii="Arial" w:eastAsia="Times New Roman" w:hAnsi="Arial" w:cs="Arial"/>
          <w:sz w:val="24"/>
          <w:szCs w:val="24"/>
          <w:lang w:eastAsia="en-GB"/>
        </w:rPr>
        <w:t>et al..</w:t>
      </w:r>
      <w:proofErr w:type="gramEnd"/>
      <w:r w:rsidRPr="000C761B">
        <w:rPr>
          <w:rFonts w:ascii="Arial" w:eastAsia="Times New Roman" w:hAnsi="Arial" w:cs="Arial"/>
          <w:sz w:val="24"/>
          <w:szCs w:val="24"/>
          <w:lang w:eastAsia="en-GB"/>
        </w:rPr>
        <w:t xml:space="preserve"> Synovitis score: discrimination between chronic low-grade and high-grade synovitis. Histopathology 2006; 49(4): 358-64</w:t>
      </w:r>
    </w:p>
    <w:p w14:paraId="443BE5B9" w14:textId="77777777" w:rsidR="00420539" w:rsidRPr="000C761B" w:rsidRDefault="00420539" w:rsidP="00420539">
      <w:pPr>
        <w:pStyle w:val="title1"/>
        <w:numPr>
          <w:ilvl w:val="0"/>
          <w:numId w:val="25"/>
        </w:numPr>
        <w:shd w:val="clear" w:color="auto" w:fill="FFFFFF"/>
        <w:spacing w:line="480" w:lineRule="auto"/>
        <w:rPr>
          <w:rFonts w:ascii="Arial" w:hAnsi="Arial" w:cs="Arial"/>
          <w:bCs/>
          <w:sz w:val="24"/>
          <w:szCs w:val="24"/>
          <w:lang w:val="en"/>
        </w:rPr>
      </w:pPr>
      <w:r w:rsidRPr="000C761B">
        <w:rPr>
          <w:rFonts w:ascii="Arial" w:hAnsi="Arial" w:cs="Arial"/>
          <w:bCs/>
          <w:sz w:val="24"/>
          <w:szCs w:val="24"/>
          <w:lang w:val="en"/>
        </w:rPr>
        <w:t>Sofat N. Drilling down to the bone: Evaluating Bone Marrow Lesions in Osteoarthritis. European Medical Journal. 2018; 3 (4):103-110.</w:t>
      </w:r>
    </w:p>
    <w:p w14:paraId="48E8CCAA"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eastAsia="Times New Roman" w:hAnsi="Arial" w:cs="Arial"/>
          <w:sz w:val="24"/>
          <w:szCs w:val="24"/>
          <w:lang w:val="en-US"/>
        </w:rPr>
      </w:pPr>
      <w:r w:rsidRPr="000C761B">
        <w:rPr>
          <w:rFonts w:ascii="Arial" w:eastAsia="Times New Roman" w:hAnsi="Arial" w:cs="Arial"/>
          <w:sz w:val="24"/>
          <w:szCs w:val="24"/>
          <w:lang w:val="en-US"/>
        </w:rPr>
        <w:t>Pritzker KPH, Gay S, Jimenez SA, Ostergaard K, Pelletier J-P, Revell PA, et al.  Osteoarthritis cartilage histopathology: grading and staging. Osteoarthritis Cartilage 2006; 14(1): 13-29</w:t>
      </w:r>
    </w:p>
    <w:p w14:paraId="26006329"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eastAsia="Times New Roman" w:hAnsi="Arial" w:cs="Arial"/>
          <w:sz w:val="24"/>
          <w:szCs w:val="24"/>
          <w:lang w:val="en-US"/>
        </w:rPr>
      </w:pPr>
      <w:proofErr w:type="spellStart"/>
      <w:r w:rsidRPr="000C761B">
        <w:rPr>
          <w:rFonts w:ascii="Arial" w:eastAsia="Times New Roman" w:hAnsi="Arial" w:cs="Arial"/>
          <w:sz w:val="24"/>
          <w:szCs w:val="24"/>
          <w:lang w:val="en-US"/>
        </w:rPr>
        <w:t>Mankin</w:t>
      </w:r>
      <w:proofErr w:type="spellEnd"/>
      <w:r w:rsidRPr="000C761B">
        <w:rPr>
          <w:rFonts w:ascii="Arial" w:eastAsia="Times New Roman" w:hAnsi="Arial" w:cs="Arial"/>
          <w:sz w:val="24"/>
          <w:szCs w:val="24"/>
          <w:lang w:val="en-US"/>
        </w:rPr>
        <w:t xml:space="preserve"> HJ, Dorfman H, </w:t>
      </w:r>
      <w:proofErr w:type="spellStart"/>
      <w:r w:rsidRPr="000C761B">
        <w:rPr>
          <w:rFonts w:ascii="Arial" w:eastAsia="Times New Roman" w:hAnsi="Arial" w:cs="Arial"/>
          <w:sz w:val="24"/>
          <w:szCs w:val="24"/>
          <w:lang w:val="en-US"/>
        </w:rPr>
        <w:t>Lippiello</w:t>
      </w:r>
      <w:proofErr w:type="spellEnd"/>
      <w:r w:rsidRPr="000C761B">
        <w:rPr>
          <w:rFonts w:ascii="Arial" w:eastAsia="Times New Roman" w:hAnsi="Arial" w:cs="Arial"/>
          <w:sz w:val="24"/>
          <w:szCs w:val="24"/>
          <w:lang w:val="en-US"/>
        </w:rPr>
        <w:t xml:space="preserve"> L, </w:t>
      </w:r>
      <w:proofErr w:type="spellStart"/>
      <w:r w:rsidRPr="000C761B">
        <w:rPr>
          <w:rFonts w:ascii="Arial" w:eastAsia="Times New Roman" w:hAnsi="Arial" w:cs="Arial"/>
          <w:sz w:val="24"/>
          <w:szCs w:val="24"/>
          <w:lang w:val="en-US"/>
        </w:rPr>
        <w:t>Zarins</w:t>
      </w:r>
      <w:proofErr w:type="spellEnd"/>
      <w:r w:rsidRPr="000C761B">
        <w:rPr>
          <w:rFonts w:ascii="Arial" w:eastAsia="Times New Roman" w:hAnsi="Arial" w:cs="Arial"/>
          <w:sz w:val="24"/>
          <w:szCs w:val="24"/>
          <w:lang w:val="en-US"/>
        </w:rPr>
        <w:t xml:space="preserve"> A. Biochemical and metabolic abnormalities in articular cartilage from osteoarthritis human hips. II. Correlation </w:t>
      </w:r>
      <w:r w:rsidRPr="000C761B">
        <w:rPr>
          <w:rFonts w:ascii="Arial" w:eastAsia="Times New Roman" w:hAnsi="Arial" w:cs="Arial"/>
          <w:sz w:val="24"/>
          <w:szCs w:val="24"/>
          <w:lang w:val="en-US"/>
        </w:rPr>
        <w:lastRenderedPageBreak/>
        <w:t>of morphology with biochemical and metabolic data. J Bone Joint Surg. 1971; 53A: 523-537</w:t>
      </w:r>
    </w:p>
    <w:p w14:paraId="77E8E7B8"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eastAsia="Times New Roman" w:hAnsi="Arial" w:cs="Arial"/>
          <w:sz w:val="24"/>
          <w:szCs w:val="24"/>
          <w:lang w:eastAsia="en-GB"/>
        </w:rPr>
      </w:pPr>
      <w:r w:rsidRPr="000C761B">
        <w:rPr>
          <w:rFonts w:ascii="Arial" w:eastAsia="Times New Roman" w:hAnsi="Arial" w:cs="Arial"/>
          <w:sz w:val="24"/>
          <w:szCs w:val="24"/>
          <w:lang w:eastAsia="en-GB"/>
        </w:rPr>
        <w:t>Wyatt LA, Moreton BJ, Mapp PI, Wilson D, Hill R, Ferguson E, et al. Histopathological subgroups in knee osteoarthritis. Osteoarthritis Cartilage 2017; 25(1): 14-22</w:t>
      </w:r>
    </w:p>
    <w:p w14:paraId="3D0E7727" w14:textId="77777777" w:rsidR="00420539" w:rsidRPr="000C761B" w:rsidRDefault="00420539" w:rsidP="00420539">
      <w:pPr>
        <w:pStyle w:val="ListParagraph"/>
        <w:numPr>
          <w:ilvl w:val="0"/>
          <w:numId w:val="25"/>
        </w:numPr>
        <w:spacing w:before="100" w:beforeAutospacing="1" w:after="100" w:afterAutospacing="1" w:line="480" w:lineRule="auto"/>
        <w:jc w:val="both"/>
        <w:rPr>
          <w:rFonts w:ascii="Arial" w:eastAsia="Times New Roman" w:hAnsi="Arial" w:cs="Arial"/>
          <w:sz w:val="24"/>
          <w:szCs w:val="24"/>
          <w:lang w:eastAsia="en-GB"/>
        </w:rPr>
      </w:pPr>
      <w:r w:rsidRPr="000C761B">
        <w:rPr>
          <w:rFonts w:ascii="Arial" w:hAnsi="Arial" w:cs="Arial"/>
          <w:sz w:val="24"/>
          <w:szCs w:val="24"/>
        </w:rPr>
        <w:t>Hunter, D., Guermazi, A., Lo, G., Grainger, A., Conaghan, P., Boudreau, R. et al. Evolution of semi-quantitative whole joint assessment of knee OA: MOAKS (MRI Osteoarthritis Knee Score). Osteoarthritis and Cartilage, 2011; 19(8): 990-1002.</w:t>
      </w:r>
    </w:p>
    <w:p w14:paraId="6EFDF000" w14:textId="77777777" w:rsidR="00420539" w:rsidRPr="000C761B" w:rsidRDefault="00420539" w:rsidP="00420539">
      <w:pPr>
        <w:pStyle w:val="ListParagraph"/>
        <w:numPr>
          <w:ilvl w:val="0"/>
          <w:numId w:val="25"/>
        </w:numPr>
        <w:spacing w:before="100" w:beforeAutospacing="1" w:after="100" w:afterAutospacing="1" w:line="480" w:lineRule="auto"/>
        <w:jc w:val="both"/>
        <w:rPr>
          <w:rFonts w:ascii="Arial" w:eastAsia="Times New Roman" w:hAnsi="Arial" w:cs="Arial"/>
          <w:sz w:val="24"/>
          <w:szCs w:val="24"/>
          <w:lang w:eastAsia="en-GB"/>
        </w:rPr>
      </w:pPr>
      <w:r w:rsidRPr="000C761B">
        <w:rPr>
          <w:rFonts w:ascii="Arial" w:eastAsia="Times New Roman" w:hAnsi="Arial" w:cs="Arial"/>
          <w:sz w:val="24"/>
          <w:szCs w:val="24"/>
          <w:lang w:eastAsia="en-GB"/>
        </w:rPr>
        <w:t xml:space="preserve">Felson DT, </w:t>
      </w:r>
      <w:proofErr w:type="spellStart"/>
      <w:r w:rsidRPr="000C761B">
        <w:rPr>
          <w:rFonts w:ascii="Arial" w:eastAsia="Times New Roman" w:hAnsi="Arial" w:cs="Arial"/>
          <w:sz w:val="24"/>
          <w:szCs w:val="24"/>
          <w:lang w:eastAsia="en-GB"/>
        </w:rPr>
        <w:t>Chaisson</w:t>
      </w:r>
      <w:proofErr w:type="spellEnd"/>
      <w:r w:rsidRPr="000C761B">
        <w:rPr>
          <w:rFonts w:ascii="Arial" w:eastAsia="Times New Roman" w:hAnsi="Arial" w:cs="Arial"/>
          <w:sz w:val="24"/>
          <w:szCs w:val="24"/>
          <w:lang w:eastAsia="en-GB"/>
        </w:rPr>
        <w:t xml:space="preserve"> CE, Hill CL, </w:t>
      </w:r>
      <w:proofErr w:type="spellStart"/>
      <w:r w:rsidRPr="000C761B">
        <w:rPr>
          <w:rFonts w:ascii="Arial" w:eastAsia="Times New Roman" w:hAnsi="Arial" w:cs="Arial"/>
          <w:sz w:val="24"/>
          <w:szCs w:val="24"/>
          <w:lang w:eastAsia="en-GB"/>
        </w:rPr>
        <w:t>Totterman</w:t>
      </w:r>
      <w:proofErr w:type="spellEnd"/>
      <w:r w:rsidRPr="000C761B">
        <w:rPr>
          <w:rFonts w:ascii="Arial" w:eastAsia="Times New Roman" w:hAnsi="Arial" w:cs="Arial"/>
          <w:sz w:val="24"/>
          <w:szCs w:val="24"/>
          <w:lang w:eastAsia="en-GB"/>
        </w:rPr>
        <w:t xml:space="preserve"> SM, Gale ME, Skinner </w:t>
      </w:r>
      <w:proofErr w:type="spellStart"/>
      <w:proofErr w:type="gramStart"/>
      <w:r w:rsidRPr="000C761B">
        <w:rPr>
          <w:rFonts w:ascii="Arial" w:eastAsia="Times New Roman" w:hAnsi="Arial" w:cs="Arial"/>
          <w:sz w:val="24"/>
          <w:szCs w:val="24"/>
          <w:lang w:eastAsia="en-GB"/>
        </w:rPr>
        <w:t>KM,et</w:t>
      </w:r>
      <w:proofErr w:type="spellEnd"/>
      <w:r w:rsidRPr="000C761B">
        <w:rPr>
          <w:rFonts w:ascii="Arial" w:eastAsia="Times New Roman" w:hAnsi="Arial" w:cs="Arial"/>
          <w:sz w:val="24"/>
          <w:szCs w:val="24"/>
          <w:lang w:eastAsia="en-GB"/>
        </w:rPr>
        <w:t xml:space="preserve"> al.</w:t>
      </w:r>
      <w:proofErr w:type="gramEnd"/>
      <w:r w:rsidRPr="000C761B">
        <w:rPr>
          <w:rFonts w:ascii="Arial" w:eastAsia="Times New Roman" w:hAnsi="Arial" w:cs="Arial"/>
          <w:sz w:val="24"/>
          <w:szCs w:val="24"/>
          <w:lang w:eastAsia="en-GB"/>
        </w:rPr>
        <w:t xml:space="preserve">  The association of bone marrow lesions with pain in knee osteoarthritis. Ann. Internal Med.2001; 134: 541-549</w:t>
      </w:r>
    </w:p>
    <w:p w14:paraId="1EED323A" w14:textId="77777777" w:rsidR="00420539" w:rsidRPr="000C761B" w:rsidRDefault="00420539" w:rsidP="00420539">
      <w:pPr>
        <w:pStyle w:val="ListParagraph"/>
        <w:numPr>
          <w:ilvl w:val="0"/>
          <w:numId w:val="25"/>
        </w:numPr>
        <w:spacing w:line="480" w:lineRule="auto"/>
        <w:rPr>
          <w:rFonts w:ascii="Arial" w:hAnsi="Arial" w:cs="Arial"/>
          <w:sz w:val="24"/>
          <w:szCs w:val="24"/>
        </w:rPr>
      </w:pPr>
      <w:proofErr w:type="spellStart"/>
      <w:r w:rsidRPr="000C761B">
        <w:rPr>
          <w:rFonts w:ascii="Arial" w:hAnsi="Arial" w:cs="Arial"/>
          <w:sz w:val="24"/>
          <w:szCs w:val="24"/>
        </w:rPr>
        <w:t>Nagira</w:t>
      </w:r>
      <w:proofErr w:type="spellEnd"/>
      <w:r w:rsidRPr="000C761B">
        <w:rPr>
          <w:rFonts w:ascii="Arial" w:hAnsi="Arial" w:cs="Arial"/>
          <w:sz w:val="24"/>
          <w:szCs w:val="24"/>
        </w:rPr>
        <w:t xml:space="preserve"> K, Ikuta Y, Shinohara M, </w:t>
      </w:r>
      <w:proofErr w:type="spellStart"/>
      <w:r w:rsidRPr="000C761B">
        <w:rPr>
          <w:rFonts w:ascii="Arial" w:hAnsi="Arial" w:cs="Arial"/>
          <w:sz w:val="24"/>
          <w:szCs w:val="24"/>
        </w:rPr>
        <w:t>Sanada</w:t>
      </w:r>
      <w:proofErr w:type="spellEnd"/>
      <w:r w:rsidRPr="000C761B">
        <w:rPr>
          <w:rFonts w:ascii="Arial" w:hAnsi="Arial" w:cs="Arial"/>
          <w:sz w:val="24"/>
          <w:szCs w:val="24"/>
        </w:rPr>
        <w:t xml:space="preserve"> Y, Omoto T, </w:t>
      </w:r>
      <w:proofErr w:type="spellStart"/>
      <w:r w:rsidRPr="000C761B">
        <w:rPr>
          <w:rFonts w:ascii="Arial" w:hAnsi="Arial" w:cs="Arial"/>
          <w:sz w:val="24"/>
          <w:szCs w:val="24"/>
        </w:rPr>
        <w:t>Kanaya</w:t>
      </w:r>
      <w:proofErr w:type="spellEnd"/>
      <w:r w:rsidRPr="000C761B">
        <w:rPr>
          <w:rFonts w:ascii="Arial" w:hAnsi="Arial" w:cs="Arial"/>
          <w:sz w:val="24"/>
          <w:szCs w:val="24"/>
        </w:rPr>
        <w:t xml:space="preserve"> H, et al.  Histological scoring system for subchondral bone changes in murine models of joint aging and osteoarthritis. Sci. Rep 2020; 10: 10077. </w:t>
      </w:r>
    </w:p>
    <w:p w14:paraId="0CACA939" w14:textId="77777777" w:rsidR="00420539" w:rsidRPr="000C761B" w:rsidRDefault="00420539" w:rsidP="00420539">
      <w:pPr>
        <w:pStyle w:val="ListParagraph"/>
        <w:numPr>
          <w:ilvl w:val="0"/>
          <w:numId w:val="25"/>
        </w:numPr>
        <w:spacing w:after="0" w:line="480" w:lineRule="auto"/>
        <w:rPr>
          <w:rStyle w:val="labs-docsum-journal-citation"/>
          <w:rFonts w:ascii="Arial" w:hAnsi="Arial" w:cs="Arial"/>
          <w:sz w:val="24"/>
          <w:szCs w:val="24"/>
        </w:rPr>
      </w:pPr>
      <w:r w:rsidRPr="000C761B">
        <w:rPr>
          <w:rFonts w:ascii="Arial" w:hAnsi="Arial" w:cs="Arial"/>
          <w:sz w:val="24"/>
          <w:szCs w:val="24"/>
        </w:rPr>
        <w:t xml:space="preserve">Kuttapitiya A, </w:t>
      </w:r>
      <w:proofErr w:type="spellStart"/>
      <w:r w:rsidRPr="000C761B">
        <w:rPr>
          <w:rFonts w:ascii="Arial" w:hAnsi="Arial" w:cs="Arial"/>
          <w:sz w:val="24"/>
          <w:szCs w:val="24"/>
        </w:rPr>
        <w:t>Assi</w:t>
      </w:r>
      <w:proofErr w:type="spellEnd"/>
      <w:r w:rsidRPr="000C761B">
        <w:rPr>
          <w:rFonts w:ascii="Arial" w:hAnsi="Arial" w:cs="Arial"/>
          <w:sz w:val="24"/>
          <w:szCs w:val="24"/>
        </w:rPr>
        <w:t xml:space="preserve"> L, Laing K, Hing CB, Mitchell P, Whitley G, et al.  Microarray analysis of bone marrow lesions in osteoarthritis demonstrates upregulation of genes implicated in osteochondral turnover, neurogenesis and inflammation. Annals of the Rheumatic Diseases. 2017; </w:t>
      </w:r>
      <w:r w:rsidRPr="000C761B">
        <w:rPr>
          <w:rStyle w:val="labs-docsum-journal-citation"/>
          <w:rFonts w:ascii="Arial" w:hAnsi="Arial" w:cs="Arial"/>
          <w:sz w:val="24"/>
          <w:szCs w:val="24"/>
        </w:rPr>
        <w:t>76(10):1764-1773</w:t>
      </w:r>
    </w:p>
    <w:p w14:paraId="56E4B47D" w14:textId="77777777" w:rsidR="00420539" w:rsidRPr="000C761B" w:rsidRDefault="00420539" w:rsidP="00420539">
      <w:pPr>
        <w:pStyle w:val="ListParagraph"/>
        <w:numPr>
          <w:ilvl w:val="0"/>
          <w:numId w:val="25"/>
        </w:numPr>
        <w:spacing w:after="0" w:line="480" w:lineRule="auto"/>
        <w:rPr>
          <w:rFonts w:ascii="Arial" w:hAnsi="Arial" w:cs="Arial"/>
          <w:sz w:val="24"/>
          <w:szCs w:val="24"/>
        </w:rPr>
      </w:pPr>
      <w:proofErr w:type="spellStart"/>
      <w:r w:rsidRPr="000C761B">
        <w:rPr>
          <w:rFonts w:ascii="Arial" w:hAnsi="Arial" w:cs="Arial"/>
          <w:sz w:val="24"/>
          <w:szCs w:val="24"/>
        </w:rPr>
        <w:t>Aso</w:t>
      </w:r>
      <w:proofErr w:type="spellEnd"/>
      <w:r w:rsidRPr="000C761B">
        <w:rPr>
          <w:rFonts w:ascii="Arial" w:hAnsi="Arial" w:cs="Arial"/>
          <w:sz w:val="24"/>
          <w:szCs w:val="24"/>
        </w:rPr>
        <w:t xml:space="preserve"> K, Shahtaheri SM, Hill R, Wilson D, McWilliams, DF, Walsh DA. Associations of symptomatic knee OA with histopathologic features in subchondral bone. Arthritis Rheum 2019; 71(6): 916-24. doi.org/10.1002/art.40820</w:t>
      </w:r>
    </w:p>
    <w:p w14:paraId="1EED15E0" w14:textId="77777777" w:rsidR="00420539" w:rsidRPr="000C761B" w:rsidRDefault="00420539" w:rsidP="00420539">
      <w:pPr>
        <w:pStyle w:val="ListParagraph"/>
        <w:numPr>
          <w:ilvl w:val="0"/>
          <w:numId w:val="25"/>
        </w:numPr>
        <w:spacing w:line="480" w:lineRule="auto"/>
        <w:jc w:val="both"/>
        <w:rPr>
          <w:rFonts w:ascii="Arial" w:hAnsi="Arial" w:cs="Arial"/>
          <w:sz w:val="24"/>
          <w:szCs w:val="24"/>
          <w:lang w:val="en-US"/>
        </w:rPr>
      </w:pPr>
      <w:proofErr w:type="spellStart"/>
      <w:r w:rsidRPr="000C761B">
        <w:rPr>
          <w:rFonts w:ascii="Arial" w:hAnsi="Arial" w:cs="Arial"/>
          <w:color w:val="222222"/>
          <w:sz w:val="24"/>
          <w:szCs w:val="24"/>
        </w:rPr>
        <w:lastRenderedPageBreak/>
        <w:t>Muratovic</w:t>
      </w:r>
      <w:proofErr w:type="spellEnd"/>
      <w:r w:rsidRPr="000C761B">
        <w:rPr>
          <w:rFonts w:ascii="Arial" w:hAnsi="Arial" w:cs="Arial"/>
          <w:color w:val="222222"/>
          <w:sz w:val="24"/>
          <w:szCs w:val="24"/>
        </w:rPr>
        <w:t xml:space="preserve"> D, Findlay DM, </w:t>
      </w:r>
      <w:proofErr w:type="spellStart"/>
      <w:r w:rsidRPr="000C761B">
        <w:rPr>
          <w:rFonts w:ascii="Arial" w:hAnsi="Arial" w:cs="Arial"/>
          <w:color w:val="222222"/>
          <w:sz w:val="24"/>
          <w:szCs w:val="24"/>
        </w:rPr>
        <w:t>Cicuttini</w:t>
      </w:r>
      <w:proofErr w:type="spellEnd"/>
      <w:r w:rsidRPr="000C761B">
        <w:rPr>
          <w:rFonts w:ascii="Arial" w:hAnsi="Arial" w:cs="Arial"/>
          <w:color w:val="222222"/>
          <w:sz w:val="24"/>
          <w:szCs w:val="24"/>
        </w:rPr>
        <w:t xml:space="preserve"> FM, </w:t>
      </w:r>
      <w:proofErr w:type="spellStart"/>
      <w:r w:rsidRPr="000C761B">
        <w:rPr>
          <w:rFonts w:ascii="Arial" w:hAnsi="Arial" w:cs="Arial"/>
          <w:color w:val="222222"/>
          <w:sz w:val="24"/>
          <w:szCs w:val="24"/>
        </w:rPr>
        <w:t>Wluka</w:t>
      </w:r>
      <w:proofErr w:type="spellEnd"/>
      <w:r w:rsidRPr="000C761B">
        <w:rPr>
          <w:rFonts w:ascii="Arial" w:hAnsi="Arial" w:cs="Arial"/>
          <w:color w:val="222222"/>
          <w:sz w:val="24"/>
          <w:szCs w:val="24"/>
        </w:rPr>
        <w:t xml:space="preserve"> AE, Lee YR, </w:t>
      </w:r>
      <w:proofErr w:type="spellStart"/>
      <w:r w:rsidRPr="000C761B">
        <w:rPr>
          <w:rFonts w:ascii="Arial" w:hAnsi="Arial" w:cs="Arial"/>
          <w:color w:val="222222"/>
          <w:sz w:val="24"/>
          <w:szCs w:val="24"/>
        </w:rPr>
        <w:t>Kuliwaba</w:t>
      </w:r>
      <w:proofErr w:type="spellEnd"/>
      <w:r w:rsidRPr="000C761B">
        <w:rPr>
          <w:rFonts w:ascii="Arial" w:hAnsi="Arial" w:cs="Arial"/>
          <w:color w:val="222222"/>
          <w:sz w:val="24"/>
          <w:szCs w:val="24"/>
        </w:rPr>
        <w:t xml:space="preserve"> JS. Bone matrix microdamage and vascular changes characterize bone marrow lesions in the subchondral bone of knee osteoarthritis. Bone. 2018; 108:193-201.</w:t>
      </w:r>
    </w:p>
    <w:p w14:paraId="086CEC86" w14:textId="77777777" w:rsidR="00420539" w:rsidRPr="000C761B" w:rsidRDefault="00420539" w:rsidP="00420539">
      <w:pPr>
        <w:pStyle w:val="ListParagraph"/>
        <w:numPr>
          <w:ilvl w:val="0"/>
          <w:numId w:val="25"/>
        </w:numPr>
        <w:spacing w:after="0" w:line="480" w:lineRule="auto"/>
        <w:rPr>
          <w:rFonts w:ascii="Arial" w:hAnsi="Arial" w:cs="Arial"/>
          <w:sz w:val="24"/>
          <w:szCs w:val="24"/>
        </w:rPr>
      </w:pPr>
      <w:r w:rsidRPr="000C761B">
        <w:rPr>
          <w:rFonts w:ascii="Arial" w:hAnsi="Arial" w:cs="Arial"/>
          <w:sz w:val="24"/>
          <w:szCs w:val="24"/>
        </w:rPr>
        <w:t xml:space="preserve">Bailey JF, Liebenberg E, </w:t>
      </w:r>
      <w:proofErr w:type="spellStart"/>
      <w:r w:rsidRPr="000C761B">
        <w:rPr>
          <w:rFonts w:ascii="Arial" w:hAnsi="Arial" w:cs="Arial"/>
          <w:sz w:val="24"/>
          <w:szCs w:val="24"/>
        </w:rPr>
        <w:t>Degmetich</w:t>
      </w:r>
      <w:proofErr w:type="spellEnd"/>
      <w:r w:rsidRPr="000C761B">
        <w:rPr>
          <w:rFonts w:ascii="Arial" w:hAnsi="Arial" w:cs="Arial"/>
          <w:sz w:val="24"/>
          <w:szCs w:val="24"/>
        </w:rPr>
        <w:t xml:space="preserve"> S, </w:t>
      </w:r>
      <w:proofErr w:type="spellStart"/>
      <w:r w:rsidRPr="000C761B">
        <w:rPr>
          <w:rFonts w:ascii="Arial" w:hAnsi="Arial" w:cs="Arial"/>
          <w:sz w:val="24"/>
          <w:szCs w:val="24"/>
        </w:rPr>
        <w:t>Lotz</w:t>
      </w:r>
      <w:proofErr w:type="spellEnd"/>
      <w:r w:rsidRPr="000C761B">
        <w:rPr>
          <w:rFonts w:ascii="Arial" w:hAnsi="Arial" w:cs="Arial"/>
          <w:sz w:val="24"/>
          <w:szCs w:val="24"/>
        </w:rPr>
        <w:t xml:space="preserve"> JC. Innervation patterns of PGP 9.5-positive nerve </w:t>
      </w:r>
      <w:proofErr w:type="spellStart"/>
      <w:r w:rsidRPr="000C761B">
        <w:rPr>
          <w:rFonts w:ascii="Arial" w:hAnsi="Arial" w:cs="Arial"/>
          <w:sz w:val="24"/>
          <w:szCs w:val="24"/>
        </w:rPr>
        <w:t>fibers</w:t>
      </w:r>
      <w:proofErr w:type="spellEnd"/>
      <w:r w:rsidRPr="000C761B">
        <w:rPr>
          <w:rFonts w:ascii="Arial" w:hAnsi="Arial" w:cs="Arial"/>
          <w:sz w:val="24"/>
          <w:szCs w:val="24"/>
        </w:rPr>
        <w:t xml:space="preserve"> within the human lumbar vertebra. J </w:t>
      </w:r>
      <w:proofErr w:type="spellStart"/>
      <w:r w:rsidRPr="000C761B">
        <w:rPr>
          <w:rFonts w:ascii="Arial" w:hAnsi="Arial" w:cs="Arial"/>
          <w:sz w:val="24"/>
          <w:szCs w:val="24"/>
        </w:rPr>
        <w:t>Anat</w:t>
      </w:r>
      <w:proofErr w:type="spellEnd"/>
      <w:r w:rsidRPr="000C761B">
        <w:rPr>
          <w:rFonts w:ascii="Arial" w:hAnsi="Arial" w:cs="Arial"/>
          <w:sz w:val="24"/>
          <w:szCs w:val="24"/>
        </w:rPr>
        <w:t xml:space="preserve"> 2011; 218(3): 263-70</w:t>
      </w:r>
    </w:p>
    <w:p w14:paraId="55BA825B"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hAnsi="Arial" w:cs="Arial"/>
          <w:sz w:val="24"/>
          <w:szCs w:val="24"/>
        </w:rPr>
      </w:pPr>
      <w:proofErr w:type="spellStart"/>
      <w:r w:rsidRPr="000C761B">
        <w:rPr>
          <w:rFonts w:ascii="Arial" w:hAnsi="Arial" w:cs="Arial"/>
          <w:sz w:val="24"/>
          <w:szCs w:val="24"/>
        </w:rPr>
        <w:t>Kamibayashi</w:t>
      </w:r>
      <w:proofErr w:type="spellEnd"/>
      <w:r w:rsidRPr="000C761B">
        <w:rPr>
          <w:rFonts w:ascii="Arial" w:hAnsi="Arial" w:cs="Arial"/>
          <w:sz w:val="24"/>
          <w:szCs w:val="24"/>
        </w:rPr>
        <w:t xml:space="preserve"> L, Wyss U, Cooke T. and Zee, B., 1995. Trabecular microstructure in the medial condyle of the proximal tibia of patients with knee osteoarthritis. Bone, 17(1), pp.27-35.</w:t>
      </w:r>
    </w:p>
    <w:p w14:paraId="6F27C74E"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eastAsia="Times New Roman" w:hAnsi="Arial" w:cs="Arial"/>
          <w:sz w:val="24"/>
          <w:szCs w:val="24"/>
          <w:lang w:eastAsia="en-GB"/>
        </w:rPr>
      </w:pPr>
      <w:r w:rsidRPr="000C761B">
        <w:rPr>
          <w:rFonts w:ascii="Arial" w:hAnsi="Arial" w:cs="Arial"/>
          <w:sz w:val="24"/>
          <w:szCs w:val="24"/>
        </w:rPr>
        <w:t xml:space="preserve">Walsh DA, Yousef A, McWilliams DF, Hill R, </w:t>
      </w:r>
      <w:proofErr w:type="spellStart"/>
      <w:r w:rsidRPr="000C761B">
        <w:rPr>
          <w:rFonts w:ascii="Arial" w:hAnsi="Arial" w:cs="Arial"/>
          <w:sz w:val="24"/>
          <w:szCs w:val="24"/>
        </w:rPr>
        <w:t>Hargin</w:t>
      </w:r>
      <w:proofErr w:type="spellEnd"/>
      <w:r w:rsidRPr="000C761B">
        <w:rPr>
          <w:rFonts w:ascii="Arial" w:hAnsi="Arial" w:cs="Arial"/>
          <w:sz w:val="24"/>
          <w:szCs w:val="24"/>
        </w:rPr>
        <w:t xml:space="preserve"> E, Wilson D. Evaluation of a Photographic </w:t>
      </w:r>
      <w:proofErr w:type="spellStart"/>
      <w:r w:rsidRPr="000C761B">
        <w:rPr>
          <w:rFonts w:ascii="Arial" w:hAnsi="Arial" w:cs="Arial"/>
          <w:sz w:val="24"/>
          <w:szCs w:val="24"/>
        </w:rPr>
        <w:t>Chondropathy</w:t>
      </w:r>
      <w:proofErr w:type="spellEnd"/>
      <w:r w:rsidRPr="000C761B">
        <w:rPr>
          <w:rFonts w:ascii="Arial" w:hAnsi="Arial" w:cs="Arial"/>
          <w:sz w:val="24"/>
          <w:szCs w:val="24"/>
        </w:rPr>
        <w:t xml:space="preserve"> Score (PCS) for pathological samples in a study of inflammation in tibiofemoral osteoarthritis. Osteoarthritis Cart. 2009;17, 304-12.</w:t>
      </w:r>
    </w:p>
    <w:p w14:paraId="6415EAE7" w14:textId="77777777" w:rsidR="00420539" w:rsidRPr="000C761B" w:rsidRDefault="00420539" w:rsidP="00420539">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uto"/>
        <w:ind w:left="714" w:hanging="357"/>
        <w:jc w:val="both"/>
        <w:rPr>
          <w:rFonts w:ascii="Arial" w:eastAsia="Times New Roman" w:hAnsi="Arial" w:cs="Arial"/>
          <w:sz w:val="24"/>
          <w:szCs w:val="24"/>
          <w:lang w:eastAsia="en-GB"/>
        </w:rPr>
      </w:pPr>
      <w:r w:rsidRPr="000C761B">
        <w:rPr>
          <w:rFonts w:ascii="Arial" w:eastAsia="Times New Roman" w:hAnsi="Arial" w:cs="Arial"/>
          <w:sz w:val="24"/>
          <w:szCs w:val="24"/>
          <w:lang w:eastAsia="en-GB"/>
        </w:rPr>
        <w:t xml:space="preserve">   </w:t>
      </w:r>
      <w:r w:rsidRPr="000C761B">
        <w:rPr>
          <w:rFonts w:ascii="Arial" w:eastAsia="Times New Roman" w:hAnsi="Arial" w:cs="Arial"/>
          <w:sz w:val="24"/>
          <w:szCs w:val="24"/>
          <w:shd w:val="clear" w:color="auto" w:fill="FFFFFF"/>
          <w:lang w:eastAsia="en-GB"/>
        </w:rPr>
        <w:t xml:space="preserve">Introduction to SAS. UCLA: Statistical Consulting Group. </w:t>
      </w:r>
      <w:r w:rsidRPr="000C761B">
        <w:rPr>
          <w:rFonts w:ascii="Arial" w:hAnsi="Arial" w:cs="Arial"/>
          <w:sz w:val="24"/>
          <w:szCs w:val="24"/>
        </w:rPr>
        <w:t xml:space="preserve">from </w:t>
      </w:r>
      <w:hyperlink r:id="rId18" w:history="1">
        <w:r w:rsidRPr="000C761B">
          <w:rPr>
            <w:rFonts w:ascii="Arial" w:hAnsi="Arial" w:cs="Arial"/>
            <w:color w:val="0563C1" w:themeColor="hyperlink"/>
            <w:sz w:val="24"/>
            <w:szCs w:val="24"/>
            <w:u w:val="single"/>
          </w:rPr>
          <w:t>https://stats.idre.ucla.edu/stata/faq/how-can-i-perform-a-factor-analysis-with-categorical-or-categorical-and-continuous-variables/</w:t>
        </w:r>
      </w:hyperlink>
    </w:p>
    <w:p w14:paraId="37E18B97" w14:textId="77777777" w:rsidR="00420539" w:rsidRPr="000C761B" w:rsidRDefault="00420539" w:rsidP="00420539">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uto"/>
        <w:jc w:val="both"/>
        <w:rPr>
          <w:b/>
          <w:bCs/>
        </w:rPr>
      </w:pPr>
      <w:r w:rsidRPr="000C761B">
        <w:rPr>
          <w:rFonts w:ascii="Arial" w:hAnsi="Arial" w:cs="Arial"/>
          <w:sz w:val="24"/>
          <w:szCs w:val="24"/>
        </w:rPr>
        <w:t xml:space="preserve">Dore D, Martens A, Quinn S, </w:t>
      </w:r>
      <w:r w:rsidRPr="000C761B">
        <w:rPr>
          <w:rFonts w:ascii="Arial" w:eastAsia="Times New Roman" w:hAnsi="Arial" w:cs="Arial"/>
          <w:sz w:val="24"/>
          <w:szCs w:val="24"/>
          <w:lang w:eastAsia="en-GB"/>
        </w:rPr>
        <w:t xml:space="preserve">Ding C, </w:t>
      </w:r>
      <w:proofErr w:type="spellStart"/>
      <w:r w:rsidRPr="000C761B">
        <w:rPr>
          <w:rFonts w:ascii="Arial" w:eastAsia="Times New Roman" w:hAnsi="Arial" w:cs="Arial"/>
          <w:sz w:val="24"/>
          <w:szCs w:val="24"/>
          <w:lang w:eastAsia="en-GB"/>
        </w:rPr>
        <w:t>Winzenberg</w:t>
      </w:r>
      <w:proofErr w:type="spellEnd"/>
      <w:r w:rsidRPr="000C761B">
        <w:rPr>
          <w:rFonts w:ascii="Arial" w:eastAsia="Times New Roman" w:hAnsi="Arial" w:cs="Arial"/>
          <w:sz w:val="24"/>
          <w:szCs w:val="24"/>
          <w:lang w:eastAsia="en-GB"/>
        </w:rPr>
        <w:t xml:space="preserve"> G, </w:t>
      </w:r>
      <w:proofErr w:type="spellStart"/>
      <w:r w:rsidRPr="000C761B">
        <w:rPr>
          <w:rFonts w:ascii="Arial" w:eastAsia="Times New Roman" w:hAnsi="Arial" w:cs="Arial"/>
          <w:sz w:val="24"/>
          <w:szCs w:val="24"/>
          <w:lang w:eastAsia="en-GB"/>
        </w:rPr>
        <w:t>Zhai</w:t>
      </w:r>
      <w:proofErr w:type="spellEnd"/>
      <w:r w:rsidRPr="000C761B">
        <w:rPr>
          <w:rFonts w:ascii="Arial" w:eastAsia="Times New Roman" w:hAnsi="Arial" w:cs="Arial"/>
          <w:sz w:val="24"/>
          <w:szCs w:val="24"/>
          <w:lang w:eastAsia="en-GB"/>
        </w:rPr>
        <w:t xml:space="preserve"> G, et al.  </w:t>
      </w:r>
      <w:r w:rsidRPr="000C761B">
        <w:rPr>
          <w:rFonts w:ascii="Arial" w:hAnsi="Arial" w:cs="Arial"/>
          <w:sz w:val="24"/>
          <w:szCs w:val="24"/>
        </w:rPr>
        <w:t xml:space="preserve">Bone marrow lesions predict site-specific cartilage defect development and volume loss: a prospective study in older adults. </w:t>
      </w:r>
      <w:r w:rsidRPr="000C761B">
        <w:rPr>
          <w:rFonts w:ascii="Arial" w:hAnsi="Arial" w:cs="Arial"/>
          <w:i/>
          <w:iCs/>
          <w:sz w:val="24"/>
          <w:szCs w:val="24"/>
        </w:rPr>
        <w:t xml:space="preserve">Arthritis Res </w:t>
      </w:r>
      <w:proofErr w:type="spellStart"/>
      <w:r w:rsidRPr="000C761B">
        <w:rPr>
          <w:rFonts w:ascii="Arial" w:hAnsi="Arial" w:cs="Arial"/>
          <w:i/>
          <w:iCs/>
          <w:sz w:val="24"/>
          <w:szCs w:val="24"/>
        </w:rPr>
        <w:t>Ther</w:t>
      </w:r>
      <w:proofErr w:type="spellEnd"/>
      <w:r w:rsidRPr="000C761B">
        <w:rPr>
          <w:rFonts w:ascii="Arial" w:hAnsi="Arial" w:cs="Arial"/>
          <w:sz w:val="24"/>
          <w:szCs w:val="24"/>
        </w:rPr>
        <w:t xml:space="preserve"> 2010; </w:t>
      </w:r>
      <w:r w:rsidRPr="000C761B">
        <w:rPr>
          <w:rFonts w:ascii="Arial" w:hAnsi="Arial" w:cs="Arial"/>
          <w:bCs/>
          <w:sz w:val="24"/>
          <w:szCs w:val="24"/>
        </w:rPr>
        <w:t xml:space="preserve">12, </w:t>
      </w:r>
      <w:r w:rsidRPr="000C761B">
        <w:rPr>
          <w:rFonts w:ascii="Arial" w:hAnsi="Arial" w:cs="Arial"/>
          <w:sz w:val="24"/>
          <w:szCs w:val="24"/>
        </w:rPr>
        <w:t xml:space="preserve">R222 </w:t>
      </w:r>
      <w:hyperlink r:id="rId19" w:history="1">
        <w:r w:rsidRPr="000C761B">
          <w:rPr>
            <w:rStyle w:val="Hyperlink"/>
            <w:rFonts w:ascii="Arial" w:hAnsi="Arial" w:cs="Arial"/>
            <w:sz w:val="24"/>
            <w:szCs w:val="24"/>
          </w:rPr>
          <w:t>https://doi.org/10.1186/ar3209</w:t>
        </w:r>
      </w:hyperlink>
    </w:p>
    <w:p w14:paraId="62B4FA5E"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hAnsi="Arial" w:cs="Arial"/>
          <w:sz w:val="24"/>
          <w:szCs w:val="24"/>
        </w:rPr>
      </w:pPr>
      <w:r w:rsidRPr="000C761B">
        <w:rPr>
          <w:rFonts w:ascii="Arial" w:hAnsi="Arial" w:cs="Arial"/>
          <w:sz w:val="24"/>
          <w:szCs w:val="24"/>
          <w:lang w:val="fr-FR"/>
        </w:rPr>
        <w:t xml:space="preserve">Zanetti M, Bruder E, Romero J, et al. </w:t>
      </w:r>
      <w:r w:rsidRPr="000C761B">
        <w:rPr>
          <w:rFonts w:ascii="Arial" w:hAnsi="Arial" w:cs="Arial"/>
          <w:sz w:val="24"/>
          <w:szCs w:val="24"/>
        </w:rPr>
        <w:t xml:space="preserve">Bone marrow </w:t>
      </w:r>
      <w:proofErr w:type="spellStart"/>
      <w:r w:rsidRPr="000C761B">
        <w:rPr>
          <w:rFonts w:ascii="Arial" w:hAnsi="Arial" w:cs="Arial"/>
          <w:sz w:val="24"/>
          <w:szCs w:val="24"/>
        </w:rPr>
        <w:t>edema</w:t>
      </w:r>
      <w:proofErr w:type="spellEnd"/>
      <w:r w:rsidRPr="000C761B">
        <w:rPr>
          <w:rFonts w:ascii="Arial" w:hAnsi="Arial" w:cs="Arial"/>
          <w:sz w:val="24"/>
          <w:szCs w:val="24"/>
        </w:rPr>
        <w:t xml:space="preserve"> pattern in osteoarthritic knees: correlation between MR imaging and histologic findings. Radiology 2000; 215:835–40</w:t>
      </w:r>
    </w:p>
    <w:p w14:paraId="53F5D22C" w14:textId="77777777" w:rsidR="00420539" w:rsidRPr="000C761B" w:rsidRDefault="00420539" w:rsidP="00420539">
      <w:pPr>
        <w:pStyle w:val="ListParagraph"/>
        <w:numPr>
          <w:ilvl w:val="0"/>
          <w:numId w:val="25"/>
        </w:numPr>
        <w:spacing w:line="480" w:lineRule="auto"/>
        <w:rPr>
          <w:sz w:val="24"/>
          <w:szCs w:val="24"/>
        </w:rPr>
      </w:pPr>
      <w:r w:rsidRPr="000C761B">
        <w:rPr>
          <w:rFonts w:ascii="Arial" w:hAnsi="Arial" w:cs="Arial"/>
          <w:sz w:val="24"/>
          <w:szCs w:val="24"/>
          <w:shd w:val="clear" w:color="auto" w:fill="FFFFFF"/>
        </w:rPr>
        <w:t xml:space="preserve">Hunter D, Zhang Y, </w:t>
      </w:r>
      <w:proofErr w:type="spellStart"/>
      <w:r w:rsidRPr="000C761B">
        <w:rPr>
          <w:rFonts w:ascii="Arial" w:hAnsi="Arial" w:cs="Arial"/>
          <w:sz w:val="24"/>
          <w:szCs w:val="24"/>
          <w:shd w:val="clear" w:color="auto" w:fill="FFFFFF"/>
        </w:rPr>
        <w:t>Niu</w:t>
      </w:r>
      <w:proofErr w:type="spellEnd"/>
      <w:r w:rsidRPr="000C761B">
        <w:rPr>
          <w:rFonts w:ascii="Arial" w:hAnsi="Arial" w:cs="Arial"/>
          <w:sz w:val="24"/>
          <w:szCs w:val="24"/>
          <w:shd w:val="clear" w:color="auto" w:fill="FFFFFF"/>
        </w:rPr>
        <w:t xml:space="preserve"> J, </w:t>
      </w:r>
      <w:proofErr w:type="spellStart"/>
      <w:r w:rsidRPr="000C761B">
        <w:rPr>
          <w:rFonts w:ascii="Arial" w:hAnsi="Arial" w:cs="Arial"/>
          <w:sz w:val="24"/>
          <w:szCs w:val="24"/>
          <w:shd w:val="clear" w:color="auto" w:fill="FFFFFF"/>
        </w:rPr>
        <w:t>Goggins</w:t>
      </w:r>
      <w:proofErr w:type="spellEnd"/>
      <w:r w:rsidRPr="000C761B">
        <w:rPr>
          <w:rFonts w:ascii="Arial" w:hAnsi="Arial" w:cs="Arial"/>
          <w:sz w:val="24"/>
          <w:szCs w:val="24"/>
          <w:shd w:val="clear" w:color="auto" w:fill="FFFFFF"/>
        </w:rPr>
        <w:t xml:space="preserve"> J, Amin S, </w:t>
      </w:r>
      <w:proofErr w:type="spellStart"/>
      <w:r w:rsidRPr="000C761B">
        <w:rPr>
          <w:rFonts w:ascii="Arial" w:hAnsi="Arial" w:cs="Arial"/>
          <w:sz w:val="24"/>
          <w:szCs w:val="24"/>
          <w:shd w:val="clear" w:color="auto" w:fill="FFFFFF"/>
        </w:rPr>
        <w:t>LaValley</w:t>
      </w:r>
      <w:proofErr w:type="spellEnd"/>
      <w:r w:rsidRPr="000C761B">
        <w:rPr>
          <w:rFonts w:ascii="Arial" w:hAnsi="Arial" w:cs="Arial"/>
          <w:sz w:val="24"/>
          <w:szCs w:val="24"/>
          <w:shd w:val="clear" w:color="auto" w:fill="FFFFFF"/>
        </w:rPr>
        <w:t xml:space="preserve"> M, et al. Increase in bone marrow lesions associated with cartilage loss: A longitudinal magnetic </w:t>
      </w:r>
      <w:r w:rsidRPr="000C761B">
        <w:rPr>
          <w:rFonts w:ascii="Arial" w:hAnsi="Arial" w:cs="Arial"/>
          <w:sz w:val="24"/>
          <w:szCs w:val="24"/>
          <w:shd w:val="clear" w:color="auto" w:fill="FFFFFF"/>
        </w:rPr>
        <w:lastRenderedPageBreak/>
        <w:t>resonance imaging study of knee osteoarthritis. </w:t>
      </w:r>
      <w:r w:rsidRPr="000C761B">
        <w:rPr>
          <w:rFonts w:ascii="Arial" w:hAnsi="Arial" w:cs="Arial"/>
          <w:i/>
          <w:iCs/>
          <w:sz w:val="24"/>
          <w:szCs w:val="24"/>
        </w:rPr>
        <w:t>Arthritis &amp; Rheumatism</w:t>
      </w:r>
      <w:r w:rsidRPr="000C761B">
        <w:rPr>
          <w:rFonts w:ascii="Arial" w:hAnsi="Arial" w:cs="Arial"/>
          <w:sz w:val="24"/>
          <w:szCs w:val="24"/>
          <w:shd w:val="clear" w:color="auto" w:fill="FFFFFF"/>
        </w:rPr>
        <w:t xml:space="preserve">, </w:t>
      </w:r>
      <w:proofErr w:type="gramStart"/>
      <w:r w:rsidRPr="000C761B">
        <w:rPr>
          <w:rFonts w:ascii="Arial" w:hAnsi="Arial" w:cs="Arial"/>
          <w:sz w:val="24"/>
          <w:szCs w:val="24"/>
          <w:shd w:val="clear" w:color="auto" w:fill="FFFFFF"/>
        </w:rPr>
        <w:t>2006;  54</w:t>
      </w:r>
      <w:proofErr w:type="gramEnd"/>
      <w:r w:rsidRPr="000C761B">
        <w:rPr>
          <w:rFonts w:ascii="Arial" w:hAnsi="Arial" w:cs="Arial"/>
          <w:sz w:val="24"/>
          <w:szCs w:val="24"/>
          <w:shd w:val="clear" w:color="auto" w:fill="FFFFFF"/>
        </w:rPr>
        <w:t>(5): 1529-1535.</w:t>
      </w:r>
    </w:p>
    <w:p w14:paraId="188CBCA6" w14:textId="77777777" w:rsidR="00420539" w:rsidRPr="000C761B" w:rsidRDefault="00420539" w:rsidP="00420539">
      <w:pPr>
        <w:pStyle w:val="ListParagraph"/>
        <w:numPr>
          <w:ilvl w:val="0"/>
          <w:numId w:val="25"/>
        </w:numPr>
        <w:spacing w:line="480" w:lineRule="auto"/>
        <w:rPr>
          <w:sz w:val="24"/>
          <w:szCs w:val="24"/>
        </w:rPr>
      </w:pPr>
      <w:r w:rsidRPr="000C761B">
        <w:rPr>
          <w:rFonts w:ascii="Arial" w:hAnsi="Arial" w:cs="Arial"/>
          <w:sz w:val="24"/>
          <w:szCs w:val="24"/>
          <w:shd w:val="clear" w:color="auto" w:fill="FFFFFF"/>
        </w:rPr>
        <w:t xml:space="preserve">Roemer F, Guermazi A, Javaid M, Lynch J, </w:t>
      </w:r>
      <w:proofErr w:type="spellStart"/>
      <w:r w:rsidRPr="000C761B">
        <w:rPr>
          <w:rFonts w:ascii="Arial" w:hAnsi="Arial" w:cs="Arial"/>
          <w:sz w:val="24"/>
          <w:szCs w:val="24"/>
          <w:shd w:val="clear" w:color="auto" w:fill="FFFFFF"/>
        </w:rPr>
        <w:t>Niu</w:t>
      </w:r>
      <w:proofErr w:type="spellEnd"/>
      <w:r w:rsidRPr="000C761B">
        <w:rPr>
          <w:rFonts w:ascii="Arial" w:hAnsi="Arial" w:cs="Arial"/>
          <w:sz w:val="24"/>
          <w:szCs w:val="24"/>
          <w:shd w:val="clear" w:color="auto" w:fill="FFFFFF"/>
        </w:rPr>
        <w:t xml:space="preserve"> J, Zhang Y, et al. Change in MRI-detected subchondral bone marrow lesions is associated with cartilage loss: the MOST Study. A longitudinal multicentre study of knee osteoarthritis.</w:t>
      </w:r>
      <w:r w:rsidRPr="000C761B">
        <w:rPr>
          <w:rStyle w:val="apple-converted-space"/>
          <w:rFonts w:ascii="Arial" w:hAnsi="Arial" w:cs="Arial"/>
          <w:sz w:val="24"/>
          <w:szCs w:val="24"/>
          <w:shd w:val="clear" w:color="auto" w:fill="FFFFFF"/>
        </w:rPr>
        <w:t> </w:t>
      </w:r>
      <w:r w:rsidRPr="000C761B">
        <w:rPr>
          <w:rFonts w:ascii="Arial" w:hAnsi="Arial" w:cs="Arial"/>
          <w:i/>
          <w:iCs/>
          <w:sz w:val="24"/>
          <w:szCs w:val="24"/>
        </w:rPr>
        <w:t>Annals of the Rheumatic Diseases</w:t>
      </w:r>
      <w:r w:rsidRPr="000C761B">
        <w:rPr>
          <w:rFonts w:ascii="Arial" w:hAnsi="Arial" w:cs="Arial"/>
          <w:sz w:val="24"/>
          <w:szCs w:val="24"/>
          <w:shd w:val="clear" w:color="auto" w:fill="FFFFFF"/>
        </w:rPr>
        <w:t>, 2008; 68(9): 1461-1465.</w:t>
      </w:r>
    </w:p>
    <w:p w14:paraId="6A2DFDE6"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hAnsi="Arial" w:cs="Arial"/>
          <w:sz w:val="24"/>
          <w:szCs w:val="24"/>
        </w:rPr>
      </w:pPr>
      <w:r w:rsidRPr="000C761B">
        <w:rPr>
          <w:rFonts w:ascii="Arial" w:eastAsia="Times New Roman" w:hAnsi="Arial" w:cs="Arial"/>
          <w:sz w:val="24"/>
          <w:szCs w:val="24"/>
          <w:lang w:eastAsia="en-GB"/>
        </w:rPr>
        <w:t xml:space="preserve"> </w:t>
      </w:r>
      <w:r w:rsidRPr="000C761B">
        <w:rPr>
          <w:rFonts w:ascii="Arial" w:hAnsi="Arial" w:cs="Arial"/>
          <w:sz w:val="24"/>
          <w:szCs w:val="24"/>
        </w:rPr>
        <w:t xml:space="preserve">Li G, Yin J, Gao J, Cheng TS, </w:t>
      </w:r>
      <w:proofErr w:type="spellStart"/>
      <w:r w:rsidRPr="000C761B">
        <w:rPr>
          <w:rFonts w:ascii="Arial" w:hAnsi="Arial" w:cs="Arial"/>
          <w:sz w:val="24"/>
          <w:szCs w:val="24"/>
        </w:rPr>
        <w:t>Pavlos</w:t>
      </w:r>
      <w:proofErr w:type="spellEnd"/>
      <w:r w:rsidRPr="000C761B">
        <w:rPr>
          <w:rFonts w:ascii="Arial" w:hAnsi="Arial" w:cs="Arial"/>
          <w:sz w:val="24"/>
          <w:szCs w:val="24"/>
        </w:rPr>
        <w:t xml:space="preserve"> NJ, Zhang C, et al.  Subchondral bone in osteoarthritis: insight into risk factors and microstructural changes. Arthritis Res </w:t>
      </w:r>
      <w:proofErr w:type="spellStart"/>
      <w:r w:rsidRPr="000C761B">
        <w:rPr>
          <w:rFonts w:ascii="Arial" w:hAnsi="Arial" w:cs="Arial"/>
          <w:sz w:val="24"/>
          <w:szCs w:val="24"/>
        </w:rPr>
        <w:t>Ther</w:t>
      </w:r>
      <w:proofErr w:type="spellEnd"/>
      <w:r w:rsidRPr="000C761B">
        <w:rPr>
          <w:rFonts w:ascii="Arial" w:hAnsi="Arial" w:cs="Arial"/>
          <w:sz w:val="24"/>
          <w:szCs w:val="24"/>
        </w:rPr>
        <w:t xml:space="preserve"> 2013; 15: 223 </w:t>
      </w:r>
    </w:p>
    <w:p w14:paraId="01725958"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eastAsia="Times New Roman" w:hAnsi="Arial" w:cs="Arial"/>
          <w:sz w:val="24"/>
          <w:szCs w:val="24"/>
          <w:lang w:eastAsia="en-GB"/>
        </w:rPr>
      </w:pPr>
      <w:r w:rsidRPr="000C761B">
        <w:rPr>
          <w:rFonts w:ascii="Arial" w:eastAsia="Times New Roman" w:hAnsi="Arial" w:cs="Arial"/>
          <w:sz w:val="24"/>
          <w:szCs w:val="24"/>
          <w:lang w:eastAsia="en-GB"/>
        </w:rPr>
        <w:t xml:space="preserve"> Walsh DA, McWilliams DF, Turley MJ, Dixon MR, </w:t>
      </w:r>
      <w:proofErr w:type="spellStart"/>
      <w:r w:rsidRPr="000C761B">
        <w:rPr>
          <w:rFonts w:ascii="Arial" w:eastAsia="Times New Roman" w:hAnsi="Arial" w:cs="Arial"/>
          <w:sz w:val="24"/>
          <w:szCs w:val="24"/>
          <w:lang w:eastAsia="en-GB"/>
        </w:rPr>
        <w:t>Franses</w:t>
      </w:r>
      <w:proofErr w:type="spellEnd"/>
      <w:r w:rsidRPr="000C761B">
        <w:rPr>
          <w:rFonts w:ascii="Arial" w:eastAsia="Times New Roman" w:hAnsi="Arial" w:cs="Arial"/>
          <w:sz w:val="24"/>
          <w:szCs w:val="24"/>
          <w:lang w:eastAsia="en-GB"/>
        </w:rPr>
        <w:t xml:space="preserve"> RE, Mapp PI, et al. Angiogenesis and nerve growth factor at the osteochondral junction in rheumatoid arthritis and osteoarthritis. </w:t>
      </w:r>
      <w:proofErr w:type="gramStart"/>
      <w:r w:rsidRPr="000C761B">
        <w:rPr>
          <w:rFonts w:ascii="Arial" w:eastAsia="Times New Roman" w:hAnsi="Arial" w:cs="Arial"/>
          <w:sz w:val="24"/>
          <w:szCs w:val="24"/>
          <w:lang w:eastAsia="en-GB"/>
        </w:rPr>
        <w:t>Rheumatology  2010</w:t>
      </w:r>
      <w:proofErr w:type="gramEnd"/>
      <w:r w:rsidRPr="000C761B">
        <w:rPr>
          <w:rFonts w:ascii="Arial" w:eastAsia="Times New Roman" w:hAnsi="Arial" w:cs="Arial"/>
          <w:sz w:val="24"/>
          <w:szCs w:val="24"/>
          <w:lang w:eastAsia="en-GB"/>
        </w:rPr>
        <w:t>; 49: 1852-61.</w:t>
      </w:r>
    </w:p>
    <w:p w14:paraId="1ADA30F4" w14:textId="77777777" w:rsidR="00420539" w:rsidRPr="000C761B" w:rsidRDefault="00420539" w:rsidP="00420539">
      <w:pPr>
        <w:pStyle w:val="ListParagraph"/>
        <w:numPr>
          <w:ilvl w:val="0"/>
          <w:numId w:val="25"/>
        </w:numPr>
        <w:spacing w:after="0" w:line="480" w:lineRule="auto"/>
        <w:rPr>
          <w:rFonts w:ascii="Arial" w:hAnsi="Arial" w:cs="Arial"/>
          <w:sz w:val="24"/>
          <w:szCs w:val="24"/>
        </w:rPr>
      </w:pPr>
      <w:r w:rsidRPr="000C761B">
        <w:rPr>
          <w:rFonts w:ascii="Arial" w:hAnsi="Arial" w:cs="Arial"/>
          <w:sz w:val="24"/>
          <w:szCs w:val="24"/>
        </w:rPr>
        <w:t xml:space="preserve">Mapp PI, Walsh DA. Mechanisms and targets of angiogenesis and nerve growth in osteoarthritis. Nat. Rev. </w:t>
      </w:r>
      <w:proofErr w:type="spellStart"/>
      <w:r w:rsidRPr="000C761B">
        <w:rPr>
          <w:rFonts w:ascii="Arial" w:hAnsi="Arial" w:cs="Arial"/>
          <w:sz w:val="24"/>
          <w:szCs w:val="24"/>
        </w:rPr>
        <w:t>Rheumatol</w:t>
      </w:r>
      <w:proofErr w:type="spellEnd"/>
      <w:r w:rsidRPr="000C761B">
        <w:rPr>
          <w:rFonts w:ascii="Arial" w:hAnsi="Arial" w:cs="Arial"/>
          <w:sz w:val="24"/>
          <w:szCs w:val="24"/>
        </w:rPr>
        <w:t>. 2012:8;390-98.</w:t>
      </w:r>
    </w:p>
    <w:p w14:paraId="3F94CC05" w14:textId="77777777" w:rsidR="00420539" w:rsidRPr="000C761B" w:rsidRDefault="00420539" w:rsidP="00420539">
      <w:pPr>
        <w:pStyle w:val="NormalWeb"/>
        <w:numPr>
          <w:ilvl w:val="0"/>
          <w:numId w:val="25"/>
        </w:numPr>
        <w:spacing w:line="480" w:lineRule="auto"/>
        <w:rPr>
          <w:rFonts w:ascii="Arial" w:hAnsi="Arial" w:cs="Arial"/>
        </w:rPr>
      </w:pPr>
      <w:proofErr w:type="spellStart"/>
      <w:r w:rsidRPr="000C761B">
        <w:rPr>
          <w:rFonts w:ascii="Arial" w:hAnsi="Arial" w:cs="Arial"/>
        </w:rPr>
        <w:t>Schieker</w:t>
      </w:r>
      <w:proofErr w:type="spellEnd"/>
      <w:r w:rsidRPr="000C761B">
        <w:rPr>
          <w:rFonts w:ascii="Arial" w:hAnsi="Arial" w:cs="Arial"/>
        </w:rPr>
        <w:t xml:space="preserve"> M, Conaghan PG, </w:t>
      </w:r>
      <w:proofErr w:type="spellStart"/>
      <w:r w:rsidRPr="000C761B">
        <w:rPr>
          <w:rFonts w:ascii="Arial" w:hAnsi="Arial" w:cs="Arial"/>
        </w:rPr>
        <w:t>Mindeholm</w:t>
      </w:r>
      <w:proofErr w:type="spellEnd"/>
      <w:r w:rsidRPr="000C761B">
        <w:rPr>
          <w:rFonts w:ascii="Arial" w:hAnsi="Arial" w:cs="Arial"/>
        </w:rPr>
        <w:t xml:space="preserve"> L, </w:t>
      </w:r>
      <w:proofErr w:type="spellStart"/>
      <w:r w:rsidRPr="000C761B">
        <w:rPr>
          <w:rFonts w:ascii="Arial" w:hAnsi="Arial" w:cs="Arial"/>
        </w:rPr>
        <w:t>Praestgaard</w:t>
      </w:r>
      <w:proofErr w:type="spellEnd"/>
      <w:r w:rsidRPr="000C761B">
        <w:rPr>
          <w:rFonts w:ascii="Arial" w:hAnsi="Arial" w:cs="Arial"/>
        </w:rPr>
        <w:t xml:space="preserve"> J, Solomon DH, Scotti C, et al.  Effects of interleukin-1β inhibition on incident hip and knee replacement. Exploratory analyses from a randomized, double-blind, placebo-controlled trial. Ann Intern Med. 2020; 173: 509-15</w:t>
      </w:r>
    </w:p>
    <w:p w14:paraId="4A63B6D1" w14:textId="77777777" w:rsidR="00420539" w:rsidRPr="000C761B" w:rsidRDefault="00420539" w:rsidP="00420539">
      <w:pPr>
        <w:pStyle w:val="NormalWeb"/>
        <w:numPr>
          <w:ilvl w:val="0"/>
          <w:numId w:val="25"/>
        </w:numPr>
        <w:spacing w:line="480" w:lineRule="auto"/>
        <w:rPr>
          <w:rFonts w:ascii="Arial" w:hAnsi="Arial" w:cs="Arial"/>
        </w:rPr>
      </w:pPr>
      <w:proofErr w:type="spellStart"/>
      <w:r w:rsidRPr="000C761B">
        <w:rPr>
          <w:rFonts w:ascii="Arial" w:hAnsi="Arial" w:cs="Arial"/>
        </w:rPr>
        <w:t>Sawitzke</w:t>
      </w:r>
      <w:proofErr w:type="spellEnd"/>
      <w:r w:rsidRPr="000C761B">
        <w:rPr>
          <w:rFonts w:ascii="Arial" w:hAnsi="Arial" w:cs="Arial"/>
        </w:rPr>
        <w:t xml:space="preserve"> AD, Shi H, </w:t>
      </w:r>
      <w:proofErr w:type="spellStart"/>
      <w:r w:rsidRPr="000C761B">
        <w:rPr>
          <w:rFonts w:ascii="Arial" w:hAnsi="Arial" w:cs="Arial"/>
        </w:rPr>
        <w:t>Finco</w:t>
      </w:r>
      <w:proofErr w:type="spellEnd"/>
      <w:r w:rsidRPr="000C761B">
        <w:rPr>
          <w:rFonts w:ascii="Arial" w:hAnsi="Arial" w:cs="Arial"/>
        </w:rPr>
        <w:t xml:space="preserve"> MF, Dunlop DD, Harris CL, Singer NG</w:t>
      </w:r>
      <w:r w:rsidRPr="000C761B">
        <w:rPr>
          <w:rFonts w:ascii="Arial" w:hAnsi="Arial" w:cs="Arial"/>
          <w:i/>
          <w:iCs/>
        </w:rPr>
        <w:t xml:space="preserve">, </w:t>
      </w:r>
      <w:r w:rsidRPr="000C761B">
        <w:rPr>
          <w:rFonts w:ascii="Arial" w:hAnsi="Arial" w:cs="Arial"/>
          <w:iCs/>
        </w:rPr>
        <w:t>et al</w:t>
      </w:r>
      <w:r w:rsidRPr="000C761B">
        <w:rPr>
          <w:rFonts w:ascii="Arial" w:hAnsi="Arial" w:cs="Arial"/>
        </w:rPr>
        <w:t xml:space="preserve">. Clinical efficacy and safety of glucosamine, chondroitin sulphate, their combination, celecoxib or placebo taken to treat osteoarthritis of the knee: 2-year results from GAIT. </w:t>
      </w:r>
      <w:proofErr w:type="spellStart"/>
      <w:proofErr w:type="gramStart"/>
      <w:r w:rsidRPr="000C761B">
        <w:rPr>
          <w:rFonts w:ascii="Arial" w:hAnsi="Arial" w:cs="Arial"/>
        </w:rPr>
        <w:t>Ann.Rheum.Dis</w:t>
      </w:r>
      <w:proofErr w:type="spellEnd"/>
      <w:proofErr w:type="gramEnd"/>
      <w:r w:rsidRPr="000C761B">
        <w:rPr>
          <w:rFonts w:ascii="Arial" w:hAnsi="Arial" w:cs="Arial"/>
        </w:rPr>
        <w:t xml:space="preserve"> 2010; 69:1459-64. </w:t>
      </w:r>
    </w:p>
    <w:p w14:paraId="6E694DBC" w14:textId="77777777" w:rsidR="00420539" w:rsidRPr="000C761B" w:rsidRDefault="00420539" w:rsidP="00420539">
      <w:pPr>
        <w:pStyle w:val="ListParagraph"/>
        <w:numPr>
          <w:ilvl w:val="0"/>
          <w:numId w:val="25"/>
        </w:numPr>
        <w:spacing w:after="200" w:line="480" w:lineRule="auto"/>
        <w:rPr>
          <w:rFonts w:ascii="Arial" w:hAnsi="Arial" w:cs="Arial"/>
          <w:sz w:val="24"/>
          <w:szCs w:val="24"/>
          <w:shd w:val="clear" w:color="auto" w:fill="FFFFFF"/>
        </w:rPr>
      </w:pPr>
      <w:proofErr w:type="spellStart"/>
      <w:r w:rsidRPr="000C761B">
        <w:rPr>
          <w:rFonts w:ascii="Arial" w:hAnsi="Arial" w:cs="Arial"/>
          <w:sz w:val="24"/>
          <w:szCs w:val="24"/>
        </w:rPr>
        <w:t>Lohmander</w:t>
      </w:r>
      <w:proofErr w:type="spellEnd"/>
      <w:r w:rsidRPr="000C761B">
        <w:rPr>
          <w:rFonts w:ascii="Arial" w:hAnsi="Arial" w:cs="Arial"/>
          <w:sz w:val="24"/>
          <w:szCs w:val="24"/>
        </w:rPr>
        <w:t xml:space="preserve"> LS, </w:t>
      </w:r>
      <w:proofErr w:type="spellStart"/>
      <w:r w:rsidRPr="000C761B">
        <w:rPr>
          <w:rFonts w:ascii="Arial" w:hAnsi="Arial" w:cs="Arial"/>
          <w:sz w:val="24"/>
          <w:szCs w:val="24"/>
        </w:rPr>
        <w:t>Hellot</w:t>
      </w:r>
      <w:proofErr w:type="spellEnd"/>
      <w:r w:rsidRPr="000C761B">
        <w:rPr>
          <w:rFonts w:ascii="Arial" w:hAnsi="Arial" w:cs="Arial"/>
          <w:sz w:val="24"/>
          <w:szCs w:val="24"/>
        </w:rPr>
        <w:t xml:space="preserve"> S, Dreher D, Krantz EF, Kruger DS, Guermazi A</w:t>
      </w:r>
      <w:r w:rsidRPr="000C761B">
        <w:rPr>
          <w:rFonts w:ascii="Arial" w:hAnsi="Arial" w:cs="Arial"/>
          <w:i/>
          <w:iCs/>
          <w:sz w:val="24"/>
          <w:szCs w:val="24"/>
        </w:rPr>
        <w:t xml:space="preserve">, </w:t>
      </w:r>
      <w:r w:rsidRPr="000C761B">
        <w:rPr>
          <w:rFonts w:ascii="Arial" w:hAnsi="Arial" w:cs="Arial"/>
          <w:iCs/>
          <w:sz w:val="24"/>
          <w:szCs w:val="24"/>
        </w:rPr>
        <w:t>et al</w:t>
      </w:r>
      <w:r w:rsidRPr="000C761B">
        <w:rPr>
          <w:rFonts w:ascii="Arial" w:hAnsi="Arial" w:cs="Arial"/>
          <w:sz w:val="24"/>
          <w:szCs w:val="24"/>
        </w:rPr>
        <w:t xml:space="preserve">. Intraarticular sprifermin (recombinant human fibroblast growth factor 18) in </w:t>
      </w:r>
      <w:r w:rsidRPr="000C761B">
        <w:rPr>
          <w:rFonts w:ascii="Arial" w:hAnsi="Arial" w:cs="Arial"/>
          <w:sz w:val="24"/>
          <w:szCs w:val="24"/>
        </w:rPr>
        <w:lastRenderedPageBreak/>
        <w:t xml:space="preserve">knee osteoarthritis: a randomized, double-blind, placebo-controlled trial. Arthritis </w:t>
      </w:r>
      <w:proofErr w:type="spellStart"/>
      <w:r w:rsidRPr="000C761B">
        <w:rPr>
          <w:rFonts w:ascii="Arial" w:hAnsi="Arial" w:cs="Arial"/>
          <w:sz w:val="24"/>
          <w:szCs w:val="24"/>
        </w:rPr>
        <w:t>Rheumatol</w:t>
      </w:r>
      <w:proofErr w:type="spellEnd"/>
      <w:r w:rsidRPr="000C761B">
        <w:rPr>
          <w:rFonts w:ascii="Arial" w:hAnsi="Arial" w:cs="Arial"/>
          <w:sz w:val="24"/>
          <w:szCs w:val="24"/>
        </w:rPr>
        <w:t xml:space="preserve"> 2014; 66:1820-31.</w:t>
      </w:r>
    </w:p>
    <w:p w14:paraId="58D80F05" w14:textId="77777777" w:rsidR="00420539" w:rsidRPr="000C761B" w:rsidRDefault="00420539" w:rsidP="00420539">
      <w:pPr>
        <w:pStyle w:val="ListParagraph"/>
        <w:numPr>
          <w:ilvl w:val="0"/>
          <w:numId w:val="25"/>
        </w:numPr>
        <w:shd w:val="clear" w:color="auto" w:fill="FFFFFF"/>
        <w:spacing w:before="100" w:beforeAutospacing="1" w:after="100" w:afterAutospacing="1" w:line="480" w:lineRule="auto"/>
        <w:jc w:val="both"/>
        <w:rPr>
          <w:rFonts w:ascii="Arial" w:eastAsia="Times New Roman" w:hAnsi="Arial" w:cs="Arial"/>
          <w:sz w:val="24"/>
          <w:szCs w:val="24"/>
          <w:lang w:eastAsia="en-GB"/>
        </w:rPr>
      </w:pPr>
      <w:r w:rsidRPr="000C761B">
        <w:rPr>
          <w:rFonts w:ascii="Arial" w:hAnsi="Arial" w:cs="Arial"/>
          <w:sz w:val="24"/>
          <w:szCs w:val="24"/>
        </w:rPr>
        <w:t xml:space="preserve">Yazici Y, </w:t>
      </w:r>
      <w:proofErr w:type="spellStart"/>
      <w:r w:rsidRPr="000C761B">
        <w:rPr>
          <w:rFonts w:ascii="Arial" w:hAnsi="Arial" w:cs="Arial"/>
          <w:sz w:val="24"/>
          <w:szCs w:val="24"/>
        </w:rPr>
        <w:t>McAlindon</w:t>
      </w:r>
      <w:proofErr w:type="spellEnd"/>
      <w:r w:rsidRPr="000C761B">
        <w:rPr>
          <w:rFonts w:ascii="Arial" w:hAnsi="Arial" w:cs="Arial"/>
          <w:sz w:val="24"/>
          <w:szCs w:val="24"/>
        </w:rPr>
        <w:t xml:space="preserve"> TE, </w:t>
      </w:r>
      <w:proofErr w:type="spellStart"/>
      <w:r w:rsidRPr="000C761B">
        <w:rPr>
          <w:rFonts w:ascii="Arial" w:hAnsi="Arial" w:cs="Arial"/>
          <w:sz w:val="24"/>
          <w:szCs w:val="24"/>
        </w:rPr>
        <w:t>Gibofsky</w:t>
      </w:r>
      <w:proofErr w:type="spellEnd"/>
      <w:r w:rsidRPr="000C761B">
        <w:rPr>
          <w:rFonts w:ascii="Arial" w:hAnsi="Arial" w:cs="Arial"/>
          <w:sz w:val="24"/>
          <w:szCs w:val="24"/>
        </w:rPr>
        <w:t xml:space="preserve"> A, Lane NE, </w:t>
      </w:r>
      <w:proofErr w:type="spellStart"/>
      <w:r w:rsidRPr="000C761B">
        <w:rPr>
          <w:rFonts w:ascii="Arial" w:hAnsi="Arial" w:cs="Arial"/>
          <w:sz w:val="24"/>
          <w:szCs w:val="24"/>
        </w:rPr>
        <w:t>Clauw</w:t>
      </w:r>
      <w:proofErr w:type="spellEnd"/>
      <w:r w:rsidRPr="000C761B">
        <w:rPr>
          <w:rFonts w:ascii="Arial" w:hAnsi="Arial" w:cs="Arial"/>
          <w:sz w:val="24"/>
          <w:szCs w:val="24"/>
        </w:rPr>
        <w:t xml:space="preserve"> D, Jones M, et al.  </w:t>
      </w:r>
      <w:proofErr w:type="spellStart"/>
      <w:r w:rsidRPr="000C761B">
        <w:rPr>
          <w:rFonts w:ascii="Arial" w:hAnsi="Arial" w:cs="Arial"/>
          <w:sz w:val="24"/>
          <w:szCs w:val="24"/>
        </w:rPr>
        <w:t>Lorecivivint</w:t>
      </w:r>
      <w:proofErr w:type="spellEnd"/>
      <w:r w:rsidRPr="000C761B">
        <w:rPr>
          <w:rFonts w:ascii="Arial" w:hAnsi="Arial" w:cs="Arial"/>
          <w:sz w:val="24"/>
          <w:szCs w:val="24"/>
        </w:rPr>
        <w:t xml:space="preserve">, a novel intraarticular CDC-like kinase 2 and dual-specificity tyrosine phosphorylation-regulated kinase 1A inhibitor and </w:t>
      </w:r>
      <w:proofErr w:type="spellStart"/>
      <w:r w:rsidRPr="000C761B">
        <w:rPr>
          <w:rFonts w:ascii="Arial" w:hAnsi="Arial" w:cs="Arial"/>
          <w:sz w:val="24"/>
          <w:szCs w:val="24"/>
        </w:rPr>
        <w:t>wnt</w:t>
      </w:r>
      <w:proofErr w:type="spellEnd"/>
      <w:r w:rsidRPr="000C761B">
        <w:rPr>
          <w:rFonts w:ascii="Arial" w:hAnsi="Arial" w:cs="Arial"/>
          <w:sz w:val="24"/>
          <w:szCs w:val="24"/>
        </w:rPr>
        <w:t xml:space="preserve"> pathway modulator for the treatment of knee osteoarthritis: a phase II randomized trial. Arthritis </w:t>
      </w:r>
      <w:proofErr w:type="spellStart"/>
      <w:r w:rsidRPr="000C761B">
        <w:rPr>
          <w:rFonts w:ascii="Arial" w:hAnsi="Arial" w:cs="Arial"/>
          <w:sz w:val="24"/>
          <w:szCs w:val="24"/>
        </w:rPr>
        <w:t>Rheumatol</w:t>
      </w:r>
      <w:proofErr w:type="spellEnd"/>
      <w:r w:rsidRPr="000C761B">
        <w:rPr>
          <w:rFonts w:ascii="Arial" w:hAnsi="Arial" w:cs="Arial"/>
          <w:sz w:val="24"/>
          <w:szCs w:val="24"/>
        </w:rPr>
        <w:t>. 2020; 72(10): 1694-1706</w:t>
      </w:r>
    </w:p>
    <w:p w14:paraId="73C5180B" w14:textId="77777777" w:rsidR="00420539" w:rsidRPr="000C761B" w:rsidRDefault="00420539" w:rsidP="00420539">
      <w:pPr>
        <w:pStyle w:val="ListParagraph"/>
        <w:spacing w:line="480" w:lineRule="auto"/>
        <w:jc w:val="both"/>
        <w:rPr>
          <w:rFonts w:ascii="Arial" w:eastAsiaTheme="minorEastAsia" w:hAnsi="Arial" w:cs="Arial"/>
          <w:color w:val="000000" w:themeColor="text1"/>
          <w:kern w:val="24"/>
          <w:sz w:val="24"/>
          <w:szCs w:val="24"/>
        </w:rPr>
      </w:pPr>
    </w:p>
    <w:p w14:paraId="6B38470B" w14:textId="77777777" w:rsidR="00420539" w:rsidRPr="000C761B" w:rsidRDefault="00420539" w:rsidP="00420539">
      <w:pPr>
        <w:pStyle w:val="ListParagraph"/>
        <w:spacing w:line="480" w:lineRule="auto"/>
        <w:jc w:val="both"/>
        <w:rPr>
          <w:rFonts w:ascii="Arial" w:eastAsiaTheme="minorEastAsia" w:hAnsi="Arial" w:cs="Arial"/>
          <w:color w:val="000000" w:themeColor="text1"/>
          <w:kern w:val="24"/>
          <w:sz w:val="24"/>
          <w:szCs w:val="24"/>
        </w:rPr>
      </w:pPr>
    </w:p>
    <w:p w14:paraId="690A644F" w14:textId="77777777" w:rsidR="00420539" w:rsidRPr="000C761B" w:rsidRDefault="00420539" w:rsidP="00420539">
      <w:pPr>
        <w:pStyle w:val="ListParagraph"/>
        <w:spacing w:line="480" w:lineRule="auto"/>
        <w:jc w:val="both"/>
        <w:rPr>
          <w:rFonts w:ascii="Arial" w:eastAsiaTheme="minorEastAsia" w:hAnsi="Arial" w:cs="Arial"/>
          <w:color w:val="000000" w:themeColor="text1"/>
          <w:kern w:val="24"/>
          <w:sz w:val="24"/>
          <w:szCs w:val="24"/>
        </w:rPr>
      </w:pPr>
    </w:p>
    <w:p w14:paraId="57AEDB92" w14:textId="77777777" w:rsidR="00F56AFD" w:rsidRDefault="00F56AFD" w:rsidP="0044499C">
      <w:pPr>
        <w:pStyle w:val="ListParagraph"/>
        <w:spacing w:line="480" w:lineRule="auto"/>
        <w:jc w:val="both"/>
        <w:rPr>
          <w:rFonts w:ascii="Arial" w:eastAsiaTheme="minorEastAsia" w:hAnsi="Arial" w:cs="Arial"/>
          <w:color w:val="000000" w:themeColor="text1"/>
          <w:kern w:val="24"/>
          <w:sz w:val="24"/>
          <w:szCs w:val="24"/>
        </w:rPr>
      </w:pPr>
    </w:p>
    <w:p w14:paraId="6A2A6719" w14:textId="77777777" w:rsidR="00F56AFD" w:rsidRPr="00D533AE" w:rsidRDefault="00F56AFD" w:rsidP="00F56AFD">
      <w:pPr>
        <w:pStyle w:val="NormalWeb"/>
        <w:spacing w:before="0" w:beforeAutospacing="0" w:after="0" w:afterAutospacing="0"/>
        <w:rPr>
          <w:rFonts w:ascii="Arial" w:eastAsiaTheme="minorEastAsia" w:hAnsi="Arial" w:cs="Arial"/>
          <w:color w:val="000000" w:themeColor="text1"/>
          <w:kern w:val="24"/>
        </w:rPr>
      </w:pPr>
      <w:r w:rsidRPr="00D533AE">
        <w:rPr>
          <w:rFonts w:ascii="Arial" w:eastAsiaTheme="minorEastAsia" w:hAnsi="Arial" w:cs="Arial"/>
          <w:color w:val="000000" w:themeColor="text1"/>
          <w:kern w:val="24"/>
        </w:rPr>
        <w:t>Figure legends</w:t>
      </w:r>
    </w:p>
    <w:p w14:paraId="77C21BF8" w14:textId="77777777" w:rsidR="00F56AFD" w:rsidRPr="00D533AE" w:rsidRDefault="00F56AFD" w:rsidP="00F56AFD">
      <w:pPr>
        <w:pStyle w:val="NormalWeb"/>
        <w:spacing w:before="0" w:beforeAutospacing="0" w:after="0" w:afterAutospacing="0"/>
        <w:rPr>
          <w:rFonts w:ascii="Arial" w:eastAsiaTheme="minorEastAsia" w:hAnsi="Arial" w:cs="Arial"/>
          <w:color w:val="000000" w:themeColor="text1"/>
          <w:kern w:val="24"/>
        </w:rPr>
      </w:pPr>
    </w:p>
    <w:p w14:paraId="6CB7FCE4" w14:textId="77777777" w:rsidR="00F56AFD" w:rsidRPr="00D533AE" w:rsidRDefault="00F56AFD" w:rsidP="00F56AFD">
      <w:pPr>
        <w:pStyle w:val="NormalWeb"/>
        <w:spacing w:before="0" w:beforeAutospacing="0" w:after="160" w:afterAutospacing="0" w:line="256" w:lineRule="auto"/>
        <w:jc w:val="both"/>
        <w:rPr>
          <w:lang w:val="en-US" w:eastAsia="en-US"/>
        </w:rPr>
      </w:pPr>
      <w:r w:rsidRPr="00D533AE">
        <w:rPr>
          <w:rFonts w:ascii="Arial" w:eastAsiaTheme="minorEastAsia" w:hAnsi="Arial" w:cs="Arial"/>
          <w:b/>
          <w:bCs/>
          <w:color w:val="000000" w:themeColor="text1"/>
          <w:kern w:val="24"/>
        </w:rPr>
        <w:t xml:space="preserve">Figure 1. </w:t>
      </w:r>
      <w:r w:rsidR="00897965" w:rsidRPr="00D533AE">
        <w:rPr>
          <w:rFonts w:ascii="Arial" w:eastAsiaTheme="minorEastAsia" w:hAnsi="Arial" w:cs="Arial"/>
          <w:b/>
          <w:bCs/>
          <w:color w:val="000000" w:themeColor="text1"/>
          <w:kern w:val="24"/>
        </w:rPr>
        <w:t>Co-</w:t>
      </w:r>
      <w:r w:rsidR="0015199E" w:rsidRPr="00D533AE">
        <w:rPr>
          <w:rFonts w:ascii="Arial" w:eastAsiaTheme="minorEastAsia" w:hAnsi="Arial" w:cs="Arial"/>
          <w:b/>
          <w:bCs/>
          <w:color w:val="000000" w:themeColor="text1"/>
          <w:kern w:val="24"/>
        </w:rPr>
        <w:t xml:space="preserve">localisation </w:t>
      </w:r>
      <w:r w:rsidR="00897965" w:rsidRPr="00D533AE">
        <w:rPr>
          <w:rFonts w:ascii="Arial" w:eastAsiaTheme="minorEastAsia" w:hAnsi="Arial" w:cs="Arial"/>
          <w:b/>
          <w:bCs/>
          <w:color w:val="000000" w:themeColor="text1"/>
          <w:kern w:val="24"/>
        </w:rPr>
        <w:t xml:space="preserve">of </w:t>
      </w:r>
      <w:r w:rsidRPr="00D533AE">
        <w:rPr>
          <w:rFonts w:ascii="Arial" w:eastAsia="Calibri" w:hAnsi="Arial" w:cs="Arial"/>
          <w:b/>
          <w:bCs/>
          <w:color w:val="000000" w:themeColor="text1"/>
          <w:kern w:val="24"/>
          <w:lang w:eastAsia="en-US"/>
        </w:rPr>
        <w:t>MRI Image</w:t>
      </w:r>
      <w:r w:rsidR="007C149F" w:rsidRPr="00D533AE">
        <w:rPr>
          <w:rFonts w:ascii="Arial" w:eastAsia="Calibri" w:hAnsi="Arial" w:cs="Arial"/>
          <w:b/>
          <w:bCs/>
          <w:color w:val="000000" w:themeColor="text1"/>
          <w:kern w:val="24"/>
          <w:lang w:eastAsia="en-US"/>
        </w:rPr>
        <w:t>s</w:t>
      </w:r>
      <w:r w:rsidRPr="00D533AE">
        <w:rPr>
          <w:rFonts w:ascii="Arial" w:eastAsia="Calibri" w:hAnsi="Arial" w:cs="Arial"/>
          <w:b/>
          <w:bCs/>
          <w:color w:val="000000" w:themeColor="text1"/>
          <w:kern w:val="24"/>
          <w:lang w:eastAsia="en-US"/>
        </w:rPr>
        <w:t xml:space="preserve"> and </w:t>
      </w:r>
      <w:r w:rsidR="00897965" w:rsidRPr="00D533AE">
        <w:rPr>
          <w:rFonts w:ascii="Arial" w:eastAsia="Calibri" w:hAnsi="Arial" w:cs="Arial"/>
          <w:b/>
          <w:bCs/>
          <w:color w:val="000000" w:themeColor="text1"/>
          <w:kern w:val="24"/>
          <w:lang w:eastAsia="en-US"/>
        </w:rPr>
        <w:t>j</w:t>
      </w:r>
      <w:r w:rsidRPr="00D533AE">
        <w:rPr>
          <w:rFonts w:ascii="Arial" w:eastAsia="Calibri" w:hAnsi="Arial" w:cs="Arial"/>
          <w:b/>
          <w:bCs/>
          <w:color w:val="000000" w:themeColor="text1"/>
          <w:kern w:val="24"/>
          <w:lang w:eastAsia="en-US"/>
        </w:rPr>
        <w:t xml:space="preserve">oint </w:t>
      </w:r>
      <w:r w:rsidR="00897965" w:rsidRPr="00D533AE">
        <w:rPr>
          <w:rFonts w:ascii="Arial" w:eastAsia="Calibri" w:hAnsi="Arial" w:cs="Arial"/>
          <w:b/>
          <w:bCs/>
          <w:color w:val="000000" w:themeColor="text1"/>
          <w:kern w:val="24"/>
          <w:lang w:eastAsia="en-US"/>
        </w:rPr>
        <w:t>t</w:t>
      </w:r>
      <w:r w:rsidRPr="00D533AE">
        <w:rPr>
          <w:rFonts w:ascii="Arial" w:eastAsia="Calibri" w:hAnsi="Arial" w:cs="Arial"/>
          <w:b/>
          <w:bCs/>
          <w:color w:val="000000" w:themeColor="text1"/>
          <w:kern w:val="24"/>
          <w:lang w:eastAsia="en-US"/>
        </w:rPr>
        <w:t xml:space="preserve">issue </w:t>
      </w:r>
      <w:r w:rsidR="00897965" w:rsidRPr="00D533AE">
        <w:rPr>
          <w:rFonts w:ascii="Arial" w:eastAsia="Calibri" w:hAnsi="Arial" w:cs="Arial"/>
          <w:b/>
          <w:bCs/>
          <w:color w:val="000000" w:themeColor="text1"/>
          <w:kern w:val="24"/>
          <w:lang w:eastAsia="en-US"/>
        </w:rPr>
        <w:t xml:space="preserve">obtained </w:t>
      </w:r>
      <w:r w:rsidRPr="00D533AE">
        <w:rPr>
          <w:rFonts w:ascii="Arial" w:eastAsia="Calibri" w:hAnsi="Arial" w:cs="Arial"/>
          <w:b/>
          <w:bCs/>
          <w:color w:val="000000" w:themeColor="text1"/>
          <w:kern w:val="24"/>
          <w:lang w:eastAsia="en-US"/>
        </w:rPr>
        <w:t xml:space="preserve">at </w:t>
      </w:r>
      <w:r w:rsidR="00897965" w:rsidRPr="00D533AE">
        <w:rPr>
          <w:rFonts w:ascii="Arial" w:eastAsia="Calibri" w:hAnsi="Arial" w:cs="Arial"/>
          <w:b/>
          <w:bCs/>
          <w:color w:val="000000" w:themeColor="text1"/>
          <w:kern w:val="24"/>
          <w:lang w:eastAsia="en-US"/>
        </w:rPr>
        <w:t>s</w:t>
      </w:r>
      <w:r w:rsidRPr="00D533AE">
        <w:rPr>
          <w:rFonts w:ascii="Arial" w:eastAsia="Calibri" w:hAnsi="Arial" w:cs="Arial"/>
          <w:b/>
          <w:bCs/>
          <w:color w:val="000000" w:themeColor="text1"/>
          <w:kern w:val="24"/>
          <w:lang w:eastAsia="en-US"/>
        </w:rPr>
        <w:t>urgery</w:t>
      </w:r>
    </w:p>
    <w:p w14:paraId="696DA425" w14:textId="24917886" w:rsidR="00F56AFD" w:rsidRPr="00D533AE" w:rsidRDefault="00F56AFD" w:rsidP="00F56AFD">
      <w:pPr>
        <w:spacing w:line="256" w:lineRule="auto"/>
        <w:jc w:val="both"/>
        <w:rPr>
          <w:rFonts w:ascii="Times New Roman" w:eastAsia="Times New Roman" w:hAnsi="Times New Roman" w:cs="Times New Roman"/>
          <w:sz w:val="24"/>
          <w:szCs w:val="24"/>
          <w:lang w:val="en-US"/>
        </w:rPr>
      </w:pPr>
      <w:r w:rsidRPr="00D533AE">
        <w:rPr>
          <w:rFonts w:ascii="Arial" w:eastAsia="Calibri" w:hAnsi="Arial" w:cs="Arial"/>
          <w:color w:val="000000" w:themeColor="text1"/>
          <w:kern w:val="24"/>
          <w:sz w:val="24"/>
          <w:szCs w:val="24"/>
        </w:rPr>
        <w:t>Representative images of Axial and Coronal views of target knee for co-</w:t>
      </w:r>
      <w:r w:rsidR="0015199E" w:rsidRPr="00D533AE">
        <w:rPr>
          <w:rFonts w:ascii="Arial" w:eastAsia="Calibri" w:hAnsi="Arial" w:cs="Arial"/>
          <w:color w:val="000000" w:themeColor="text1"/>
          <w:kern w:val="24"/>
          <w:sz w:val="24"/>
          <w:szCs w:val="24"/>
        </w:rPr>
        <w:t xml:space="preserve">localisation </w:t>
      </w:r>
      <w:r w:rsidRPr="00D533AE">
        <w:rPr>
          <w:rFonts w:ascii="Arial" w:eastAsia="Calibri" w:hAnsi="Arial" w:cs="Arial"/>
          <w:color w:val="000000" w:themeColor="text1"/>
          <w:kern w:val="24"/>
          <w:sz w:val="24"/>
          <w:szCs w:val="24"/>
        </w:rPr>
        <w:t>of knee biopsy tissue by MRI identification before tissue harvest at joint replacement surgery. MRI scans are shown alongside a macroscopic image of tibia for each subject harvested at the time of joint replacement. Each row represents an individual participant dataset for MRI and knee tissue.</w:t>
      </w:r>
      <w:r w:rsidR="00470BB7" w:rsidRPr="00D533AE">
        <w:rPr>
          <w:rFonts w:ascii="Arial" w:eastAsia="Calibri" w:hAnsi="Arial" w:cs="Arial"/>
          <w:color w:val="000000" w:themeColor="text1"/>
          <w:kern w:val="24"/>
          <w:sz w:val="24"/>
          <w:szCs w:val="24"/>
        </w:rPr>
        <w:t xml:space="preserve"> Yellow boxes represent BML tissue that was analysed. </w:t>
      </w:r>
      <w:r w:rsidR="004B0238" w:rsidRPr="00D533AE">
        <w:rPr>
          <w:rFonts w:ascii="Arial" w:eastAsia="Calibri" w:hAnsi="Arial" w:cs="Arial"/>
          <w:color w:val="000000" w:themeColor="text1"/>
          <w:kern w:val="24"/>
          <w:sz w:val="24"/>
          <w:szCs w:val="24"/>
        </w:rPr>
        <w:t>M: medial compartment</w:t>
      </w:r>
      <w:r w:rsidR="00470BB7" w:rsidRPr="00D533AE">
        <w:rPr>
          <w:rFonts w:ascii="Arial" w:eastAsia="Calibri" w:hAnsi="Arial" w:cs="Arial"/>
          <w:color w:val="000000" w:themeColor="text1"/>
          <w:kern w:val="24"/>
          <w:sz w:val="24"/>
          <w:szCs w:val="24"/>
        </w:rPr>
        <w:t>; L: lateral compartment</w:t>
      </w:r>
    </w:p>
    <w:p w14:paraId="2E3F203F" w14:textId="77777777" w:rsidR="00F56AFD" w:rsidRPr="00D533AE" w:rsidRDefault="00F56AFD" w:rsidP="00F56AFD">
      <w:pPr>
        <w:pStyle w:val="NormalWeb"/>
        <w:spacing w:before="0" w:beforeAutospacing="0" w:after="0" w:afterAutospacing="0"/>
        <w:rPr>
          <w:rFonts w:ascii="Arial" w:eastAsiaTheme="minorEastAsia" w:hAnsi="Arial" w:cs="Arial"/>
          <w:b/>
          <w:bCs/>
          <w:color w:val="000000" w:themeColor="text1"/>
          <w:kern w:val="24"/>
        </w:rPr>
      </w:pPr>
    </w:p>
    <w:p w14:paraId="46C4CD94" w14:textId="77777777" w:rsidR="00F56AFD" w:rsidRPr="00D533AE" w:rsidRDefault="00F56AFD" w:rsidP="00F56AFD">
      <w:pPr>
        <w:pStyle w:val="NormalWeb"/>
        <w:spacing w:before="0" w:beforeAutospacing="0" w:after="0" w:afterAutospacing="0"/>
        <w:rPr>
          <w:rFonts w:ascii="Arial" w:eastAsiaTheme="minorEastAsia" w:hAnsi="Arial" w:cs="Arial"/>
          <w:b/>
          <w:bCs/>
          <w:color w:val="000000" w:themeColor="text1"/>
          <w:kern w:val="24"/>
        </w:rPr>
      </w:pPr>
      <w:r w:rsidRPr="00D533AE">
        <w:rPr>
          <w:rFonts w:ascii="Arial" w:eastAsiaTheme="minorEastAsia" w:hAnsi="Arial" w:cs="Arial"/>
          <w:b/>
          <w:bCs/>
          <w:color w:val="000000" w:themeColor="text1"/>
          <w:kern w:val="24"/>
        </w:rPr>
        <w:t>Figure 2. Histological features of bone marrow lesions comprising the Osteo</w:t>
      </w:r>
      <w:r w:rsidR="00980F34" w:rsidRPr="00D533AE">
        <w:rPr>
          <w:rFonts w:ascii="Arial" w:eastAsiaTheme="minorEastAsia" w:hAnsi="Arial" w:cs="Arial"/>
          <w:b/>
          <w:bCs/>
          <w:color w:val="000000" w:themeColor="text1"/>
          <w:kern w:val="24"/>
        </w:rPr>
        <w:t>a</w:t>
      </w:r>
      <w:r w:rsidRPr="00D533AE">
        <w:rPr>
          <w:rFonts w:ascii="Arial" w:eastAsiaTheme="minorEastAsia" w:hAnsi="Arial" w:cs="Arial"/>
          <w:b/>
          <w:bCs/>
          <w:color w:val="000000" w:themeColor="text1"/>
          <w:kern w:val="24"/>
        </w:rPr>
        <w:t>rthritis Bone Score (OABS)</w:t>
      </w:r>
    </w:p>
    <w:p w14:paraId="070F858E" w14:textId="7BC97F2C" w:rsidR="00F56AFD" w:rsidRPr="00D533AE" w:rsidRDefault="00F56AFD" w:rsidP="00F56AFD">
      <w:pPr>
        <w:pStyle w:val="NormalWeb"/>
        <w:spacing w:before="0" w:beforeAutospacing="0" w:after="0" w:afterAutospacing="0"/>
        <w:jc w:val="both"/>
        <w:rPr>
          <w:rFonts w:ascii="Arial" w:eastAsiaTheme="minorEastAsia" w:hAnsi="Arial" w:cs="Arial"/>
          <w:color w:val="000000" w:themeColor="text1"/>
          <w:kern w:val="24"/>
        </w:rPr>
      </w:pPr>
      <w:r w:rsidRPr="00D533AE">
        <w:rPr>
          <w:rFonts w:ascii="Arial" w:eastAsiaTheme="minorEastAsia" w:hAnsi="Arial" w:cs="Arial"/>
          <w:color w:val="000000" w:themeColor="text1"/>
          <w:kern w:val="24"/>
        </w:rPr>
        <w:t>Appearances of the 7 histological characteristics of BML regions, each scored as present (1) or absent (0) to constitute the OABS. Characteristic tissue changes are present within BML samples, but absent from the illustrated non-BML OA samples. Haematoxylin (blue) eosin (pink) or Safranin O (pink) and Fast Green staining. Typical histological changes shown in OA BML panel indicated by arrows are cysts, fibrosis, hypervascularity, cartilage</w:t>
      </w:r>
      <w:r w:rsidR="00D97E95" w:rsidRPr="00D533AE">
        <w:rPr>
          <w:rFonts w:ascii="Arial" w:eastAsiaTheme="minorEastAsia" w:hAnsi="Arial" w:cs="Arial"/>
          <w:color w:val="000000" w:themeColor="text1"/>
          <w:kern w:val="24"/>
        </w:rPr>
        <w:t xml:space="preserve"> islands</w:t>
      </w:r>
      <w:r w:rsidRPr="00D533AE">
        <w:rPr>
          <w:rFonts w:ascii="Arial" w:eastAsiaTheme="minorEastAsia" w:hAnsi="Arial" w:cs="Arial"/>
          <w:color w:val="000000" w:themeColor="text1"/>
          <w:kern w:val="24"/>
        </w:rPr>
        <w:t xml:space="preserve"> (appears pink on Safranin O stain), thickened trabeculae, loss of tidemark integrity at the cartilage/bone interface and inflammation with increased presence of macrophages and osteoclasts. The panels on the right show non-BML OA tissue. </w:t>
      </w:r>
      <w:r w:rsidR="00813610" w:rsidRPr="00D533AE">
        <w:rPr>
          <w:rFonts w:ascii="Arial" w:eastAsiaTheme="minorEastAsia" w:hAnsi="Arial" w:cs="Arial"/>
          <w:color w:val="000000" w:themeColor="text1"/>
          <w:kern w:val="24"/>
        </w:rPr>
        <w:t>W</w:t>
      </w:r>
      <w:r w:rsidRPr="00D533AE">
        <w:rPr>
          <w:rFonts w:ascii="Arial" w:eastAsiaTheme="minorEastAsia" w:hAnsi="Arial" w:cs="Arial"/>
          <w:color w:val="000000" w:themeColor="text1"/>
          <w:kern w:val="24"/>
        </w:rPr>
        <w:t xml:space="preserve">hole slide scanning with </w:t>
      </w:r>
      <w:proofErr w:type="spellStart"/>
      <w:r w:rsidRPr="00D533AE">
        <w:rPr>
          <w:rFonts w:ascii="Arial" w:eastAsiaTheme="minorEastAsia" w:hAnsi="Arial" w:cs="Arial"/>
          <w:color w:val="000000" w:themeColor="text1"/>
          <w:kern w:val="24"/>
        </w:rPr>
        <w:t>Nanozoomer</w:t>
      </w:r>
      <w:proofErr w:type="spellEnd"/>
      <w:r w:rsidRPr="00D533AE">
        <w:rPr>
          <w:rFonts w:ascii="Arial" w:eastAsiaTheme="minorEastAsia" w:hAnsi="Arial" w:cs="Arial"/>
          <w:color w:val="000000" w:themeColor="text1"/>
          <w:kern w:val="24"/>
        </w:rPr>
        <w:t xml:space="preserve"> </w:t>
      </w:r>
      <w:r w:rsidR="00F914A7" w:rsidRPr="00D533AE">
        <w:rPr>
          <w:rFonts w:ascii="Arial" w:eastAsiaTheme="minorEastAsia" w:hAnsi="Arial" w:cs="Arial"/>
          <w:color w:val="000000" w:themeColor="text1"/>
          <w:kern w:val="24"/>
        </w:rPr>
        <w:t>technology</w:t>
      </w:r>
      <w:r w:rsidR="00813610" w:rsidRPr="00D533AE">
        <w:rPr>
          <w:rFonts w:ascii="Arial" w:eastAsiaTheme="minorEastAsia" w:hAnsi="Arial" w:cs="Arial"/>
          <w:color w:val="000000" w:themeColor="text1"/>
          <w:kern w:val="24"/>
        </w:rPr>
        <w:t xml:space="preserve"> is shown</w:t>
      </w:r>
      <w:r w:rsidRPr="00D533AE">
        <w:rPr>
          <w:rFonts w:ascii="Arial" w:eastAsiaTheme="minorEastAsia" w:hAnsi="Arial" w:cs="Arial"/>
          <w:color w:val="000000" w:themeColor="text1"/>
          <w:kern w:val="24"/>
        </w:rPr>
        <w:t>.</w:t>
      </w:r>
    </w:p>
    <w:p w14:paraId="79834371" w14:textId="77777777" w:rsidR="00F56AFD" w:rsidRPr="00D533AE" w:rsidRDefault="00F56AFD" w:rsidP="00F56AFD">
      <w:pPr>
        <w:pStyle w:val="NormalWeb"/>
        <w:spacing w:before="0" w:beforeAutospacing="0" w:after="0" w:afterAutospacing="0"/>
        <w:rPr>
          <w:rFonts w:ascii="Arial" w:eastAsiaTheme="minorEastAsia" w:hAnsi="Arial" w:cs="Arial"/>
          <w:color w:val="000000" w:themeColor="text1"/>
          <w:kern w:val="24"/>
          <w:sz w:val="20"/>
          <w:szCs w:val="20"/>
        </w:rPr>
      </w:pPr>
    </w:p>
    <w:p w14:paraId="3BBF425B" w14:textId="77777777" w:rsidR="00F56AFD" w:rsidRPr="00D533AE" w:rsidRDefault="00F56AFD" w:rsidP="00F56AFD">
      <w:pPr>
        <w:pStyle w:val="NormalWeb"/>
        <w:spacing w:before="0" w:beforeAutospacing="0" w:after="0" w:afterAutospacing="0"/>
        <w:rPr>
          <w:rFonts w:ascii="Arial" w:eastAsiaTheme="minorEastAsia" w:hAnsi="Arial" w:cs="Arial"/>
          <w:color w:val="000000" w:themeColor="text1"/>
          <w:kern w:val="24"/>
          <w:sz w:val="20"/>
          <w:szCs w:val="20"/>
        </w:rPr>
      </w:pPr>
    </w:p>
    <w:p w14:paraId="33618416" w14:textId="77777777" w:rsidR="00F56AFD" w:rsidRPr="00D533AE" w:rsidRDefault="00F56AFD" w:rsidP="00F56AFD">
      <w:pPr>
        <w:pStyle w:val="NormalWeb"/>
        <w:spacing w:before="0" w:beforeAutospacing="0" w:after="0" w:afterAutospacing="0"/>
        <w:jc w:val="both"/>
        <w:rPr>
          <w:rFonts w:ascii="Arial" w:eastAsiaTheme="minorEastAsia" w:hAnsi="Arial" w:cs="Arial"/>
          <w:b/>
          <w:color w:val="000000" w:themeColor="text1"/>
          <w:kern w:val="24"/>
        </w:rPr>
      </w:pPr>
      <w:r w:rsidRPr="00D533AE">
        <w:rPr>
          <w:rFonts w:ascii="Arial" w:eastAsiaTheme="minorEastAsia" w:hAnsi="Arial" w:cs="Arial"/>
          <w:b/>
          <w:bCs/>
          <w:color w:val="000000" w:themeColor="text1"/>
          <w:kern w:val="24"/>
        </w:rPr>
        <w:t>Figure 3. Osteochondral histopathology in osteoarthritis</w:t>
      </w:r>
    </w:p>
    <w:p w14:paraId="3F151077" w14:textId="77777777" w:rsidR="00F56AFD" w:rsidRPr="00D533AE" w:rsidRDefault="00F56AFD" w:rsidP="00F56AFD">
      <w:pPr>
        <w:pStyle w:val="NormalWeb"/>
        <w:spacing w:before="0" w:beforeAutospacing="0" w:after="0" w:afterAutospacing="0"/>
        <w:jc w:val="both"/>
        <w:rPr>
          <w:rFonts w:ascii="Arial" w:eastAsiaTheme="minorEastAsia" w:hAnsi="Arial" w:cs="Arial"/>
          <w:color w:val="000000" w:themeColor="text1"/>
          <w:kern w:val="24"/>
        </w:rPr>
      </w:pPr>
      <w:r w:rsidRPr="00D533AE">
        <w:rPr>
          <w:rFonts w:ascii="Arial" w:eastAsiaTheme="minorEastAsia" w:hAnsi="Arial" w:cs="Arial"/>
          <w:color w:val="000000" w:themeColor="text1"/>
          <w:kern w:val="24"/>
        </w:rPr>
        <w:lastRenderedPageBreak/>
        <w:t>Representative stained sections of articular cartilage and subchondral bone showing BML (A) and non-BML (B) regions, localised by reference to preoperative MRI scans, and a sample from a patient without prior imaging (D), each from patients who underwent total knee replacement surgery for OA. Non-OA post-mortem control tissue is shown in (C). Subchondral pathology is most evident in regions identified as BMLs, and associated with more severe pathology in the overlying articular cartilage.</w:t>
      </w:r>
      <w:r w:rsidR="00813610" w:rsidRPr="00D533AE">
        <w:rPr>
          <w:rFonts w:ascii="Arial" w:eastAsiaTheme="minorEastAsia" w:hAnsi="Arial" w:cs="Arial"/>
          <w:color w:val="000000" w:themeColor="text1"/>
          <w:kern w:val="24"/>
        </w:rPr>
        <w:t xml:space="preserve"> </w:t>
      </w:r>
      <w:r w:rsidRPr="00D533AE">
        <w:rPr>
          <w:rFonts w:ascii="Arial" w:eastAsiaTheme="minorEastAsia" w:hAnsi="Arial" w:cs="Arial"/>
          <w:color w:val="000000" w:themeColor="text1"/>
          <w:kern w:val="24"/>
        </w:rPr>
        <w:t>Upper panels are stained with haematoxylin and eosin, with lower panels stained with Safranin O/Fast Green.</w:t>
      </w:r>
    </w:p>
    <w:p w14:paraId="26258238" w14:textId="77777777" w:rsidR="00F56AFD" w:rsidRPr="00D533AE" w:rsidRDefault="00F56AFD" w:rsidP="00F56AFD">
      <w:pPr>
        <w:pStyle w:val="NormalWeb"/>
        <w:spacing w:before="0" w:beforeAutospacing="0" w:after="0" w:afterAutospacing="0"/>
        <w:jc w:val="both"/>
        <w:rPr>
          <w:rFonts w:ascii="Arial" w:eastAsiaTheme="minorEastAsia" w:hAnsi="Arial" w:cs="Arial"/>
          <w:color w:val="000000" w:themeColor="text1"/>
          <w:kern w:val="24"/>
        </w:rPr>
      </w:pPr>
    </w:p>
    <w:p w14:paraId="080161C8" w14:textId="77777777" w:rsidR="00F56AFD" w:rsidRPr="00D533AE" w:rsidRDefault="00F56AFD" w:rsidP="00F56AFD">
      <w:pPr>
        <w:pStyle w:val="NormalWeb"/>
        <w:spacing w:before="0" w:beforeAutospacing="0" w:after="0" w:afterAutospacing="0"/>
        <w:jc w:val="both"/>
        <w:rPr>
          <w:rFonts w:ascii="Arial" w:eastAsiaTheme="minorEastAsia" w:hAnsi="Arial" w:cs="Arial"/>
          <w:b/>
          <w:color w:val="000000" w:themeColor="text1"/>
          <w:kern w:val="24"/>
        </w:rPr>
      </w:pPr>
      <w:r w:rsidRPr="00D533AE">
        <w:rPr>
          <w:rFonts w:ascii="Arial" w:eastAsiaTheme="minorEastAsia" w:hAnsi="Arial" w:cs="Arial"/>
          <w:b/>
          <w:color w:val="000000" w:themeColor="text1"/>
          <w:kern w:val="24"/>
        </w:rPr>
        <w:t>Figure 4. Innervation of Bone Marrow Lesions</w:t>
      </w:r>
    </w:p>
    <w:p w14:paraId="3810FB6A" w14:textId="1DB684DC" w:rsidR="00F56AFD" w:rsidRPr="00D533AE" w:rsidRDefault="00F56AFD" w:rsidP="00F56AFD">
      <w:pPr>
        <w:pStyle w:val="NormalWeb"/>
        <w:spacing w:before="0" w:beforeAutospacing="0" w:after="0" w:afterAutospacing="0"/>
        <w:jc w:val="both"/>
        <w:rPr>
          <w:rFonts w:ascii="Arial" w:hAnsi="Arial" w:cs="Arial"/>
        </w:rPr>
      </w:pPr>
      <w:r w:rsidRPr="00D533AE">
        <w:rPr>
          <w:rFonts w:ascii="Arial" w:eastAsiaTheme="minorEastAsia" w:hAnsi="Arial" w:cs="Arial"/>
          <w:b/>
          <w:color w:val="000000" w:themeColor="text1"/>
          <w:kern w:val="24"/>
        </w:rPr>
        <w:t>A:</w:t>
      </w:r>
      <w:r w:rsidRPr="00D533AE">
        <w:rPr>
          <w:rFonts w:ascii="Arial" w:eastAsiaTheme="minorEastAsia" w:hAnsi="Arial" w:cs="Arial"/>
          <w:color w:val="000000" w:themeColor="text1"/>
          <w:kern w:val="24"/>
        </w:rPr>
        <w:t xml:space="preserve"> </w:t>
      </w:r>
      <w:r w:rsidRPr="00D533AE">
        <w:rPr>
          <w:rFonts w:ascii="Arial" w:hAnsi="Arial" w:cs="Arial"/>
        </w:rPr>
        <w:t>Nerve profiles in fibrotic OA BML tissue</w:t>
      </w:r>
      <w:r w:rsidR="00D222C6" w:rsidRPr="00D533AE">
        <w:rPr>
          <w:rFonts w:ascii="Arial" w:hAnsi="Arial" w:cs="Arial"/>
        </w:rPr>
        <w:t xml:space="preserve"> and perivascular staining</w:t>
      </w:r>
      <w:r w:rsidRPr="00D533AE">
        <w:rPr>
          <w:rFonts w:ascii="Arial" w:hAnsi="Arial" w:cs="Arial"/>
        </w:rPr>
        <w:t xml:space="preserve">. </w:t>
      </w:r>
      <w:r w:rsidRPr="00D533AE">
        <w:rPr>
          <w:rFonts w:ascii="Arial" w:hAnsi="Arial" w:cs="Arial"/>
          <w:b/>
        </w:rPr>
        <w:t>B:</w:t>
      </w:r>
      <w:r w:rsidRPr="00D533AE">
        <w:rPr>
          <w:rFonts w:ascii="Arial" w:hAnsi="Arial" w:cs="Arial"/>
        </w:rPr>
        <w:t xml:space="preserve"> Perivascular PGP 9.5 immunoreactive nerves within subchondral BML bone. </w:t>
      </w:r>
      <w:r w:rsidRPr="00D533AE">
        <w:rPr>
          <w:rFonts w:ascii="Arial" w:hAnsi="Arial" w:cs="Arial"/>
          <w:b/>
        </w:rPr>
        <w:t>C:</w:t>
      </w:r>
      <w:r w:rsidRPr="00D533AE">
        <w:rPr>
          <w:rFonts w:ascii="Arial" w:hAnsi="Arial" w:cs="Arial"/>
        </w:rPr>
        <w:t xml:space="preserve"> </w:t>
      </w:r>
      <w:r w:rsidR="00813610" w:rsidRPr="00D533AE">
        <w:rPr>
          <w:rFonts w:ascii="Arial" w:hAnsi="Arial" w:cs="Arial"/>
        </w:rPr>
        <w:t>Box plots of s</w:t>
      </w:r>
      <w:r w:rsidRPr="00D533AE">
        <w:rPr>
          <w:rFonts w:ascii="Arial" w:hAnsi="Arial" w:cs="Arial"/>
        </w:rPr>
        <w:t>ubchondral vascular density in BML and non-BML OA samples, and in non-</w:t>
      </w:r>
      <w:r w:rsidR="00B5755D" w:rsidRPr="00D533AE">
        <w:rPr>
          <w:rFonts w:ascii="Arial" w:hAnsi="Arial" w:cs="Arial"/>
        </w:rPr>
        <w:t>arthritic</w:t>
      </w:r>
      <w:r w:rsidRPr="00D533AE">
        <w:rPr>
          <w:rFonts w:ascii="Arial" w:hAnsi="Arial" w:cs="Arial"/>
        </w:rPr>
        <w:t xml:space="preserve"> post-mortem (PM) controls. Number of blood vessels differed significantly between the 3 groups (</w:t>
      </w:r>
      <w:proofErr w:type="spellStart"/>
      <w:r w:rsidRPr="00D533AE">
        <w:rPr>
          <w:rFonts w:ascii="Arial" w:hAnsi="Arial" w:cs="Arial"/>
        </w:rPr>
        <w:t>Kruskall</w:t>
      </w:r>
      <w:proofErr w:type="spellEnd"/>
      <w:r w:rsidRPr="00D533AE">
        <w:rPr>
          <w:rFonts w:ascii="Arial" w:hAnsi="Arial" w:cs="Arial"/>
        </w:rPr>
        <w:t xml:space="preserve"> Wallis test, </w:t>
      </w:r>
      <w:bookmarkStart w:id="15" w:name="_Hlk87881966"/>
      <w:r w:rsidRPr="00D533AE">
        <w:rPr>
          <w:rFonts w:ascii="Arial" w:hAnsi="Arial" w:cs="Arial"/>
        </w:rPr>
        <w:t>p&lt;0.0001)</w:t>
      </w:r>
      <w:r w:rsidR="00C54B7B" w:rsidRPr="00D533AE">
        <w:rPr>
          <w:rFonts w:ascii="Arial" w:hAnsi="Arial" w:cs="Arial"/>
        </w:rPr>
        <w:t xml:space="preserve">. </w:t>
      </w:r>
      <w:bookmarkEnd w:id="15"/>
      <w:r w:rsidRPr="00D533AE">
        <w:rPr>
          <w:rFonts w:ascii="Arial" w:hAnsi="Arial" w:cs="Arial"/>
          <w:b/>
        </w:rPr>
        <w:t>D:</w:t>
      </w:r>
      <w:r w:rsidRPr="00D533AE">
        <w:rPr>
          <w:rFonts w:ascii="Arial" w:hAnsi="Arial" w:cs="Arial"/>
        </w:rPr>
        <w:t xml:space="preserve"> </w:t>
      </w:r>
      <w:r w:rsidR="00813610" w:rsidRPr="00D533AE">
        <w:rPr>
          <w:rFonts w:ascii="Arial" w:hAnsi="Arial" w:cs="Arial"/>
        </w:rPr>
        <w:t xml:space="preserve">Box plots of </w:t>
      </w:r>
      <w:r w:rsidR="0035282F" w:rsidRPr="00D533AE">
        <w:rPr>
          <w:rFonts w:ascii="Arial" w:hAnsi="Arial" w:cs="Arial"/>
        </w:rPr>
        <w:t xml:space="preserve">percentage of </w:t>
      </w:r>
      <w:r w:rsidR="00813610" w:rsidRPr="00D533AE">
        <w:rPr>
          <w:rFonts w:ascii="Arial" w:hAnsi="Arial" w:cs="Arial"/>
        </w:rPr>
        <w:t>b</w:t>
      </w:r>
      <w:r w:rsidRPr="00D533AE">
        <w:rPr>
          <w:rFonts w:ascii="Arial" w:hAnsi="Arial" w:cs="Arial"/>
        </w:rPr>
        <w:t xml:space="preserve">lood vessels associated </w:t>
      </w:r>
      <w:r w:rsidR="0035282F" w:rsidRPr="00D533AE">
        <w:rPr>
          <w:rFonts w:ascii="Arial" w:hAnsi="Arial" w:cs="Arial"/>
        </w:rPr>
        <w:t xml:space="preserve">with </w:t>
      </w:r>
      <w:r w:rsidRPr="00D533AE">
        <w:rPr>
          <w:rFonts w:ascii="Arial" w:hAnsi="Arial" w:cs="Arial"/>
        </w:rPr>
        <w:t>PGP 9.5-immunoreactive nerves in subchondral bone of BML and non-BML OA samples</w:t>
      </w:r>
      <w:r w:rsidR="00B5755D" w:rsidRPr="00D533AE">
        <w:rPr>
          <w:rFonts w:ascii="Arial" w:hAnsi="Arial" w:cs="Arial"/>
        </w:rPr>
        <w:t xml:space="preserve"> (group 1)</w:t>
      </w:r>
      <w:r w:rsidRPr="00D533AE">
        <w:rPr>
          <w:rFonts w:ascii="Arial" w:hAnsi="Arial" w:cs="Arial"/>
        </w:rPr>
        <w:t>, and in non-</w:t>
      </w:r>
      <w:r w:rsidR="000149C9" w:rsidRPr="00D533AE">
        <w:rPr>
          <w:rFonts w:ascii="Arial" w:hAnsi="Arial" w:cs="Arial"/>
        </w:rPr>
        <w:t>arthritic</w:t>
      </w:r>
      <w:r w:rsidRPr="00D533AE">
        <w:rPr>
          <w:rFonts w:ascii="Arial" w:hAnsi="Arial" w:cs="Arial"/>
        </w:rPr>
        <w:t xml:space="preserve"> PM controls</w:t>
      </w:r>
      <w:r w:rsidR="00B5755D" w:rsidRPr="00D533AE">
        <w:rPr>
          <w:rFonts w:ascii="Arial" w:hAnsi="Arial" w:cs="Arial"/>
        </w:rPr>
        <w:t xml:space="preserve"> (Group 2)</w:t>
      </w:r>
      <w:r w:rsidRPr="00D533AE">
        <w:rPr>
          <w:rFonts w:ascii="Arial" w:hAnsi="Arial" w:cs="Arial"/>
        </w:rPr>
        <w:t>. P</w:t>
      </w:r>
      <w:r w:rsidR="0035282F" w:rsidRPr="00D533AE">
        <w:rPr>
          <w:rFonts w:ascii="Arial" w:hAnsi="Arial" w:cs="Arial"/>
        </w:rPr>
        <w:t>ercentage</w:t>
      </w:r>
      <w:r w:rsidRPr="00D533AE">
        <w:rPr>
          <w:rFonts w:ascii="Arial" w:hAnsi="Arial" w:cs="Arial"/>
        </w:rPr>
        <w:t xml:space="preserve"> of blood vessels associated with PGP9.5 immunoreactivity differed significantly between the 3 groups (</w:t>
      </w:r>
      <w:proofErr w:type="spellStart"/>
      <w:r w:rsidRPr="00D533AE">
        <w:rPr>
          <w:rFonts w:ascii="Arial" w:hAnsi="Arial" w:cs="Arial"/>
        </w:rPr>
        <w:t>Kruskall</w:t>
      </w:r>
      <w:proofErr w:type="spellEnd"/>
      <w:r w:rsidRPr="00D533AE">
        <w:rPr>
          <w:rFonts w:ascii="Arial" w:hAnsi="Arial" w:cs="Arial"/>
        </w:rPr>
        <w:t xml:space="preserve"> Wallis test</w:t>
      </w:r>
      <w:r w:rsidR="0035282F" w:rsidRPr="00D533AE">
        <w:rPr>
          <w:rFonts w:ascii="Arial" w:hAnsi="Arial" w:cs="Arial"/>
        </w:rPr>
        <w:t xml:space="preserve">, </w:t>
      </w:r>
      <w:r w:rsidRPr="00D533AE">
        <w:rPr>
          <w:rFonts w:ascii="Arial" w:hAnsi="Arial" w:cs="Arial"/>
        </w:rPr>
        <w:t xml:space="preserve">p=0.018). </w:t>
      </w:r>
      <w:r w:rsidR="002660F6" w:rsidRPr="00D533AE">
        <w:rPr>
          <w:rFonts w:ascii="Arial" w:hAnsi="Arial" w:cs="Arial"/>
        </w:rPr>
        <w:t>Box plots</w:t>
      </w:r>
      <w:r w:rsidRPr="00D533AE">
        <w:rPr>
          <w:rFonts w:ascii="Arial" w:hAnsi="Arial" w:cs="Arial"/>
        </w:rPr>
        <w:t xml:space="preserve"> </w:t>
      </w:r>
      <w:proofErr w:type="gramStart"/>
      <w:r w:rsidRPr="00D533AE">
        <w:rPr>
          <w:rFonts w:ascii="Arial" w:hAnsi="Arial" w:cs="Arial"/>
        </w:rPr>
        <w:t xml:space="preserve">show </w:t>
      </w:r>
      <w:r w:rsidR="0035282F" w:rsidRPr="00D533AE">
        <w:rPr>
          <w:rFonts w:ascii="Arial" w:hAnsi="Arial" w:cs="Arial"/>
        </w:rPr>
        <w:t xml:space="preserve"> maximum</w:t>
      </w:r>
      <w:proofErr w:type="gramEnd"/>
      <w:r w:rsidR="00420539" w:rsidRPr="00D533AE">
        <w:rPr>
          <w:rFonts w:ascii="Arial" w:hAnsi="Arial" w:cs="Arial"/>
        </w:rPr>
        <w:t xml:space="preserve">, </w:t>
      </w:r>
      <w:r w:rsidR="0035282F" w:rsidRPr="00D533AE">
        <w:rPr>
          <w:rFonts w:ascii="Arial" w:hAnsi="Arial" w:cs="Arial"/>
        </w:rPr>
        <w:t>minimum</w:t>
      </w:r>
      <w:r w:rsidR="00B5755D" w:rsidRPr="00D533AE">
        <w:rPr>
          <w:rFonts w:ascii="Arial" w:hAnsi="Arial" w:cs="Arial"/>
        </w:rPr>
        <w:t xml:space="preserve"> and IQR</w:t>
      </w:r>
      <w:r w:rsidR="0035282F" w:rsidRPr="00D533AE">
        <w:rPr>
          <w:rFonts w:ascii="Arial" w:hAnsi="Arial" w:cs="Arial"/>
        </w:rPr>
        <w:t xml:space="preserve"> </w:t>
      </w:r>
      <w:r w:rsidR="00F914A7" w:rsidRPr="00D533AE">
        <w:rPr>
          <w:rFonts w:ascii="Arial" w:hAnsi="Arial" w:cs="Arial"/>
        </w:rPr>
        <w:t xml:space="preserve">range of </w:t>
      </w:r>
      <w:r w:rsidR="0035282F" w:rsidRPr="00D533AE">
        <w:rPr>
          <w:rFonts w:ascii="Arial" w:hAnsi="Arial" w:cs="Arial"/>
        </w:rPr>
        <w:t>values</w:t>
      </w:r>
      <w:r w:rsidRPr="00D533AE">
        <w:rPr>
          <w:rFonts w:ascii="Arial" w:hAnsi="Arial" w:cs="Arial"/>
        </w:rPr>
        <w:t xml:space="preserve">. Nerves were visualised by immunoreactivity for PGP9.5 and counterstained with </w:t>
      </w:r>
      <w:r w:rsidR="009B24EB" w:rsidRPr="00D533AE">
        <w:rPr>
          <w:rFonts w:ascii="Arial" w:hAnsi="Arial" w:cs="Arial"/>
        </w:rPr>
        <w:t>h</w:t>
      </w:r>
      <w:r w:rsidRPr="00D533AE">
        <w:rPr>
          <w:rFonts w:ascii="Arial" w:hAnsi="Arial" w:cs="Arial"/>
        </w:rPr>
        <w:t>aematoxylin.</w:t>
      </w:r>
      <w:r w:rsidR="00505BB3" w:rsidRPr="00D533AE">
        <w:rPr>
          <w:rFonts w:ascii="Arial" w:hAnsi="Arial" w:cs="Arial"/>
        </w:rPr>
        <w:t xml:space="preserve"> To </w:t>
      </w:r>
      <w:r w:rsidR="009B24EB" w:rsidRPr="00D533AE">
        <w:rPr>
          <w:rFonts w:ascii="Arial" w:hAnsi="Arial" w:cs="Arial"/>
        </w:rPr>
        <w:t>obtain</w:t>
      </w:r>
      <w:r w:rsidR="00505BB3" w:rsidRPr="00D533AE">
        <w:rPr>
          <w:rFonts w:ascii="Arial" w:hAnsi="Arial" w:cs="Arial"/>
        </w:rPr>
        <w:t xml:space="preserve"> the total number of blood vessels in the </w:t>
      </w:r>
      <w:r w:rsidR="006C67E8" w:rsidRPr="00D533AE">
        <w:rPr>
          <w:rFonts w:ascii="Arial" w:hAnsi="Arial" w:cs="Arial"/>
        </w:rPr>
        <w:t>standardised subchondral region of interest (see methods)</w:t>
      </w:r>
      <w:r w:rsidR="00505BB3" w:rsidRPr="00D533AE">
        <w:rPr>
          <w:rFonts w:ascii="Arial" w:hAnsi="Arial" w:cs="Arial"/>
        </w:rPr>
        <w:t xml:space="preserve">, each blood vessel was counted by whole slide scanning using </w:t>
      </w:r>
      <w:proofErr w:type="spellStart"/>
      <w:r w:rsidR="00505BB3" w:rsidRPr="00D533AE">
        <w:rPr>
          <w:rFonts w:ascii="Arial" w:hAnsi="Arial" w:cs="Arial"/>
        </w:rPr>
        <w:t>Nanozoomer</w:t>
      </w:r>
      <w:proofErr w:type="spellEnd"/>
      <w:r w:rsidR="00505BB3" w:rsidRPr="00D533AE">
        <w:rPr>
          <w:rFonts w:ascii="Arial" w:hAnsi="Arial" w:cs="Arial"/>
        </w:rPr>
        <w:t xml:space="preserve"> technology.</w:t>
      </w:r>
    </w:p>
    <w:p w14:paraId="7E89EF77" w14:textId="77777777" w:rsidR="00F56AFD" w:rsidRPr="00D533AE" w:rsidRDefault="00F56AFD" w:rsidP="00F56AFD">
      <w:pPr>
        <w:pStyle w:val="NormalWeb"/>
        <w:spacing w:before="0" w:beforeAutospacing="0" w:after="0" w:afterAutospacing="0"/>
        <w:jc w:val="both"/>
        <w:rPr>
          <w:rFonts w:ascii="Arial" w:hAnsi="Arial" w:cs="Arial"/>
        </w:rPr>
      </w:pPr>
    </w:p>
    <w:p w14:paraId="0CB49FE5" w14:textId="77777777" w:rsidR="00F56AFD" w:rsidRPr="00D533AE" w:rsidRDefault="00F56AFD" w:rsidP="00F56AFD">
      <w:pPr>
        <w:pStyle w:val="NormalWeb"/>
        <w:spacing w:before="0" w:beforeAutospacing="0" w:after="0" w:afterAutospacing="0"/>
        <w:jc w:val="both"/>
        <w:rPr>
          <w:rFonts w:ascii="Arial" w:eastAsiaTheme="minorEastAsia" w:hAnsi="Arial" w:cs="Arial"/>
          <w:b/>
          <w:color w:val="000000" w:themeColor="text1"/>
          <w:kern w:val="24"/>
        </w:rPr>
      </w:pPr>
      <w:r w:rsidRPr="00D533AE">
        <w:rPr>
          <w:rFonts w:ascii="Arial" w:hAnsi="Arial" w:cs="Arial"/>
          <w:b/>
          <w:bCs/>
        </w:rPr>
        <w:t xml:space="preserve">Figure 5. </w:t>
      </w:r>
      <w:r w:rsidR="00950676" w:rsidRPr="00D533AE">
        <w:rPr>
          <w:rFonts w:ascii="Arial" w:hAnsi="Arial" w:cs="Arial"/>
          <w:b/>
          <w:bCs/>
        </w:rPr>
        <w:t>Box plots</w:t>
      </w:r>
      <w:r w:rsidR="005B41F9" w:rsidRPr="00D533AE">
        <w:rPr>
          <w:rFonts w:ascii="Arial" w:hAnsi="Arial" w:cs="Arial"/>
          <w:b/>
          <w:bCs/>
        </w:rPr>
        <w:t xml:space="preserve"> </w:t>
      </w:r>
      <w:r w:rsidRPr="00D533AE">
        <w:rPr>
          <w:rFonts w:ascii="Arial" w:eastAsiaTheme="minorEastAsia" w:hAnsi="Arial" w:cs="Arial"/>
          <w:b/>
          <w:color w:val="000000" w:themeColor="text1"/>
          <w:kern w:val="24"/>
        </w:rPr>
        <w:t xml:space="preserve">of Osteoarthritis Bone Scores and </w:t>
      </w:r>
      <w:proofErr w:type="spellStart"/>
      <w:r w:rsidRPr="00D533AE">
        <w:rPr>
          <w:rFonts w:ascii="Arial" w:eastAsiaTheme="minorEastAsia" w:hAnsi="Arial" w:cs="Arial"/>
          <w:b/>
          <w:color w:val="000000" w:themeColor="text1"/>
          <w:kern w:val="24"/>
        </w:rPr>
        <w:t>Mankin</w:t>
      </w:r>
      <w:proofErr w:type="spellEnd"/>
      <w:r w:rsidRPr="00D533AE">
        <w:rPr>
          <w:rFonts w:ascii="Arial" w:eastAsiaTheme="minorEastAsia" w:hAnsi="Arial" w:cs="Arial"/>
          <w:b/>
          <w:color w:val="000000" w:themeColor="text1"/>
          <w:kern w:val="24"/>
        </w:rPr>
        <w:t xml:space="preserve"> </w:t>
      </w:r>
      <w:proofErr w:type="spellStart"/>
      <w:r w:rsidRPr="00D533AE">
        <w:rPr>
          <w:rFonts w:ascii="Arial" w:eastAsiaTheme="minorEastAsia" w:hAnsi="Arial" w:cs="Arial"/>
          <w:b/>
          <w:color w:val="000000" w:themeColor="text1"/>
          <w:kern w:val="24"/>
        </w:rPr>
        <w:t>chondropathy</w:t>
      </w:r>
      <w:proofErr w:type="spellEnd"/>
      <w:r w:rsidRPr="00D533AE">
        <w:rPr>
          <w:rFonts w:ascii="Arial" w:eastAsiaTheme="minorEastAsia" w:hAnsi="Arial" w:cs="Arial"/>
          <w:b/>
          <w:color w:val="000000" w:themeColor="text1"/>
          <w:kern w:val="24"/>
        </w:rPr>
        <w:t xml:space="preserve"> scores</w:t>
      </w:r>
    </w:p>
    <w:p w14:paraId="0866CAD1" w14:textId="51C9F3F2" w:rsidR="00F56AFD" w:rsidRPr="00D533AE" w:rsidRDefault="00E64DD7" w:rsidP="00F56AFD">
      <w:pPr>
        <w:pStyle w:val="NormalWeb"/>
        <w:spacing w:before="0" w:beforeAutospacing="0" w:after="0" w:afterAutospacing="0"/>
        <w:rPr>
          <w:lang w:val="en-US"/>
        </w:rPr>
      </w:pPr>
      <w:r w:rsidRPr="00D533AE">
        <w:rPr>
          <w:rFonts w:ascii="Arial" w:eastAsiaTheme="minorEastAsia" w:hAnsi="Arial" w:cs="Arial"/>
          <w:b/>
          <w:color w:val="000000" w:themeColor="text1"/>
          <w:kern w:val="24"/>
        </w:rPr>
        <w:t>A:</w:t>
      </w:r>
      <w:r w:rsidRPr="00D533AE">
        <w:rPr>
          <w:rFonts w:ascii="Arial" w:eastAsiaTheme="minorEastAsia" w:hAnsi="Arial" w:cs="Arial"/>
          <w:color w:val="000000" w:themeColor="text1"/>
          <w:kern w:val="24"/>
        </w:rPr>
        <w:t xml:space="preserve"> </w:t>
      </w:r>
      <w:r w:rsidR="00950676" w:rsidRPr="00D533AE">
        <w:rPr>
          <w:rFonts w:ascii="Arial" w:eastAsiaTheme="minorEastAsia" w:hAnsi="Arial" w:cs="Arial"/>
          <w:color w:val="000000" w:themeColor="text1"/>
          <w:kern w:val="24"/>
        </w:rPr>
        <w:t>Box plots show</w:t>
      </w:r>
      <w:r w:rsidR="007923B0" w:rsidRPr="00D533AE">
        <w:rPr>
          <w:rFonts w:ascii="Arial" w:eastAsiaTheme="minorEastAsia" w:hAnsi="Arial" w:cs="Arial"/>
          <w:color w:val="000000" w:themeColor="text1"/>
          <w:kern w:val="24"/>
        </w:rPr>
        <w:t xml:space="preserve">ing distribution </w:t>
      </w:r>
      <w:r w:rsidR="00950676" w:rsidRPr="00D533AE">
        <w:rPr>
          <w:rFonts w:ascii="Arial" w:eastAsiaTheme="minorEastAsia" w:hAnsi="Arial" w:cs="Arial"/>
          <w:color w:val="000000" w:themeColor="text1"/>
          <w:kern w:val="24"/>
        </w:rPr>
        <w:t xml:space="preserve">of </w:t>
      </w:r>
      <w:r w:rsidR="00F56AFD" w:rsidRPr="00D533AE">
        <w:rPr>
          <w:rFonts w:ascii="Arial" w:eastAsiaTheme="minorEastAsia" w:hAnsi="Arial" w:cs="Arial"/>
          <w:color w:val="000000" w:themeColor="text1"/>
          <w:kern w:val="24"/>
        </w:rPr>
        <w:t>OABS</w:t>
      </w:r>
      <w:r w:rsidR="00250815" w:rsidRPr="00D533AE">
        <w:rPr>
          <w:rFonts w:ascii="Arial" w:eastAsiaTheme="minorEastAsia" w:hAnsi="Arial" w:cs="Arial"/>
          <w:color w:val="000000" w:themeColor="text1"/>
          <w:kern w:val="24"/>
        </w:rPr>
        <w:t xml:space="preserve"> </w:t>
      </w:r>
      <w:r w:rsidR="00F56AFD" w:rsidRPr="00D533AE">
        <w:rPr>
          <w:rFonts w:ascii="Arial" w:eastAsiaTheme="minorEastAsia" w:hAnsi="Arial" w:cs="Arial"/>
          <w:color w:val="000000" w:themeColor="text1"/>
          <w:kern w:val="24"/>
        </w:rPr>
        <w:t>score</w:t>
      </w:r>
      <w:r w:rsidR="00950676" w:rsidRPr="00D533AE">
        <w:rPr>
          <w:rFonts w:ascii="Arial" w:eastAsiaTheme="minorEastAsia" w:hAnsi="Arial" w:cs="Arial"/>
          <w:color w:val="000000" w:themeColor="text1"/>
          <w:kern w:val="24"/>
        </w:rPr>
        <w:t xml:space="preserve">s </w:t>
      </w:r>
      <w:r w:rsidR="007923B0" w:rsidRPr="00D533AE">
        <w:rPr>
          <w:rFonts w:ascii="Arial" w:eastAsiaTheme="minorEastAsia" w:hAnsi="Arial" w:cs="Arial"/>
          <w:color w:val="000000" w:themeColor="text1"/>
          <w:kern w:val="24"/>
        </w:rPr>
        <w:t xml:space="preserve">in case groups corresponding to Table 2. </w:t>
      </w:r>
      <w:r w:rsidRPr="00D533AE">
        <w:rPr>
          <w:rFonts w:ascii="Arial" w:eastAsiaTheme="minorEastAsia" w:hAnsi="Arial" w:cs="Arial"/>
          <w:b/>
          <w:color w:val="000000" w:themeColor="text1"/>
          <w:kern w:val="24"/>
        </w:rPr>
        <w:t>B:</w:t>
      </w:r>
      <w:r w:rsidRPr="00D533AE">
        <w:rPr>
          <w:rFonts w:ascii="Arial" w:eastAsiaTheme="minorEastAsia" w:hAnsi="Arial" w:cs="Arial"/>
          <w:color w:val="000000" w:themeColor="text1"/>
          <w:kern w:val="24"/>
        </w:rPr>
        <w:t xml:space="preserve"> Box plots showing distribution of Mankin scores in case groups corresponding to Table </w:t>
      </w:r>
      <w:proofErr w:type="gramStart"/>
      <w:r w:rsidRPr="00D533AE">
        <w:rPr>
          <w:rFonts w:ascii="Arial" w:eastAsiaTheme="minorEastAsia" w:hAnsi="Arial" w:cs="Arial"/>
          <w:color w:val="000000" w:themeColor="text1"/>
          <w:kern w:val="24"/>
        </w:rPr>
        <w:t>2</w:t>
      </w:r>
      <w:r w:rsidR="007C16D1" w:rsidRPr="00D533AE">
        <w:rPr>
          <w:rFonts w:ascii="Arial" w:eastAsiaTheme="minorEastAsia" w:hAnsi="Arial" w:cs="Arial"/>
          <w:color w:val="000000" w:themeColor="text1"/>
          <w:kern w:val="24"/>
        </w:rPr>
        <w:t>.</w:t>
      </w:r>
      <w:r w:rsidR="007923B0" w:rsidRPr="00D533AE">
        <w:rPr>
          <w:rFonts w:ascii="Arial" w:eastAsiaTheme="minorEastAsia" w:hAnsi="Arial" w:cs="Arial"/>
          <w:color w:val="000000" w:themeColor="text1"/>
          <w:kern w:val="24"/>
        </w:rPr>
        <w:t>Horizontal</w:t>
      </w:r>
      <w:proofErr w:type="gramEnd"/>
      <w:r w:rsidR="007923B0" w:rsidRPr="00D533AE">
        <w:rPr>
          <w:rFonts w:ascii="Arial" w:eastAsiaTheme="minorEastAsia" w:hAnsi="Arial" w:cs="Arial"/>
          <w:color w:val="000000" w:themeColor="text1"/>
          <w:kern w:val="24"/>
        </w:rPr>
        <w:t xml:space="preserve"> bars indicate median, IQR, maximum and minimum </w:t>
      </w:r>
      <w:r w:rsidR="0036620A" w:rsidRPr="00D533AE">
        <w:rPr>
          <w:rFonts w:ascii="Arial" w:eastAsiaTheme="minorEastAsia" w:hAnsi="Arial" w:cs="Arial"/>
          <w:color w:val="000000" w:themeColor="text1"/>
          <w:kern w:val="24"/>
        </w:rPr>
        <w:t xml:space="preserve">range of </w:t>
      </w:r>
      <w:r w:rsidR="007923B0" w:rsidRPr="00D533AE">
        <w:rPr>
          <w:rFonts w:ascii="Arial" w:eastAsiaTheme="minorEastAsia" w:hAnsi="Arial" w:cs="Arial"/>
          <w:color w:val="000000" w:themeColor="text1"/>
          <w:kern w:val="24"/>
        </w:rPr>
        <w:t xml:space="preserve">values. </w:t>
      </w:r>
      <w:r w:rsidR="00F56AFD" w:rsidRPr="00D533AE">
        <w:rPr>
          <w:rFonts w:ascii="Arial" w:eastAsiaTheme="minorEastAsia" w:hAnsi="Arial" w:cs="Arial"/>
          <w:color w:val="000000" w:themeColor="text1"/>
          <w:kern w:val="24"/>
        </w:rPr>
        <w:t xml:space="preserve"> </w:t>
      </w:r>
      <w:r w:rsidR="00F56AFD" w:rsidRPr="00D533AE">
        <w:rPr>
          <w:rFonts w:eastAsiaTheme="minorEastAsia" w:hAnsi="Calibri"/>
          <w:color w:val="000000" w:themeColor="text1"/>
          <w:kern w:val="24"/>
          <w:sz w:val="36"/>
          <w:szCs w:val="36"/>
        </w:rPr>
        <w:t xml:space="preserve"> </w:t>
      </w:r>
    </w:p>
    <w:p w14:paraId="6A7F775C" w14:textId="77777777" w:rsidR="009655EC" w:rsidRPr="00D533AE" w:rsidRDefault="009655EC" w:rsidP="004D66E4">
      <w:pPr>
        <w:pStyle w:val="ListParagraph"/>
        <w:jc w:val="both"/>
        <w:rPr>
          <w:rFonts w:ascii="Arial" w:eastAsiaTheme="minorEastAsia" w:hAnsi="Arial" w:cs="Arial"/>
          <w:color w:val="000000" w:themeColor="text1"/>
          <w:kern w:val="24"/>
          <w:sz w:val="24"/>
          <w:szCs w:val="24"/>
        </w:rPr>
      </w:pPr>
    </w:p>
    <w:p w14:paraId="3712F08B" w14:textId="77777777" w:rsidR="00F56AFD" w:rsidRPr="00D533AE" w:rsidRDefault="00F56AFD" w:rsidP="004D66E4">
      <w:pPr>
        <w:pStyle w:val="ListParagraph"/>
        <w:jc w:val="both"/>
        <w:rPr>
          <w:rFonts w:ascii="Arial" w:eastAsiaTheme="minorEastAsia" w:hAnsi="Arial" w:cs="Arial"/>
          <w:color w:val="000000" w:themeColor="text1"/>
          <w:kern w:val="24"/>
          <w:sz w:val="24"/>
          <w:szCs w:val="24"/>
        </w:rPr>
      </w:pPr>
    </w:p>
    <w:p w14:paraId="6CA2E274" w14:textId="77777777" w:rsidR="006D0A1C" w:rsidRPr="00D533AE" w:rsidRDefault="006D0A1C" w:rsidP="004D66E4">
      <w:pPr>
        <w:pStyle w:val="ListParagraph"/>
        <w:jc w:val="both"/>
        <w:rPr>
          <w:rFonts w:ascii="Arial" w:eastAsiaTheme="minorEastAsia" w:hAnsi="Arial" w:cs="Arial"/>
          <w:color w:val="000000" w:themeColor="text1"/>
          <w:kern w:val="24"/>
          <w:sz w:val="24"/>
          <w:szCs w:val="24"/>
        </w:rPr>
      </w:pPr>
    </w:p>
    <w:p w14:paraId="3FD673CD" w14:textId="77777777" w:rsidR="007923B0" w:rsidRPr="00D533AE" w:rsidRDefault="007923B0">
      <w:pPr>
        <w:rPr>
          <w:rFonts w:ascii="Arial" w:eastAsiaTheme="minorEastAsia" w:hAnsi="Arial" w:cs="Arial"/>
          <w:color w:val="000000" w:themeColor="text1"/>
          <w:kern w:val="24"/>
          <w:sz w:val="24"/>
          <w:szCs w:val="24"/>
          <w:lang w:eastAsia="en-GB"/>
        </w:rPr>
      </w:pPr>
      <w:r w:rsidRPr="00D533AE">
        <w:rPr>
          <w:rFonts w:ascii="Arial" w:eastAsiaTheme="minorEastAsia" w:hAnsi="Arial" w:cs="Arial"/>
          <w:color w:val="000000" w:themeColor="text1"/>
          <w:kern w:val="24"/>
        </w:rPr>
        <w:br w:type="page"/>
      </w:r>
    </w:p>
    <w:p w14:paraId="21255C76" w14:textId="77777777" w:rsidR="00C334A8" w:rsidRPr="00D533AE" w:rsidRDefault="001C0C14" w:rsidP="00B34E38">
      <w:pPr>
        <w:pStyle w:val="NormalWeb"/>
        <w:spacing w:before="0" w:beforeAutospacing="0" w:after="0" w:afterAutospacing="0"/>
        <w:rPr>
          <w:rFonts w:ascii="Arial" w:eastAsiaTheme="minorEastAsia" w:hAnsi="Arial" w:cs="Arial"/>
          <w:color w:val="000000" w:themeColor="text1"/>
          <w:kern w:val="24"/>
        </w:rPr>
      </w:pPr>
      <w:r w:rsidRPr="00D533AE">
        <w:rPr>
          <w:rFonts w:ascii="Arial" w:eastAsiaTheme="minorEastAsia" w:hAnsi="Arial" w:cs="Arial"/>
          <w:color w:val="000000" w:themeColor="text1"/>
          <w:kern w:val="24"/>
        </w:rPr>
        <w:lastRenderedPageBreak/>
        <w:t>Table 1.</w:t>
      </w:r>
      <w:r w:rsidR="00114097" w:rsidRPr="00D533AE">
        <w:rPr>
          <w:rFonts w:ascii="Arial" w:eastAsiaTheme="minorEastAsia" w:hAnsi="Arial" w:cs="Arial"/>
          <w:color w:val="000000" w:themeColor="text1"/>
          <w:kern w:val="24"/>
        </w:rPr>
        <w:t xml:space="preserve"> Summary of Osteoarthritis Bone Score with 7 domains and grading</w:t>
      </w:r>
    </w:p>
    <w:tbl>
      <w:tblPr>
        <w:tblW w:w="7500" w:type="dxa"/>
        <w:tblCellMar>
          <w:left w:w="0" w:type="dxa"/>
          <w:right w:w="0" w:type="dxa"/>
        </w:tblCellMar>
        <w:tblLook w:val="0420" w:firstRow="1" w:lastRow="0" w:firstColumn="0" w:lastColumn="0" w:noHBand="0" w:noVBand="1"/>
      </w:tblPr>
      <w:tblGrid>
        <w:gridCol w:w="5504"/>
        <w:gridCol w:w="1996"/>
      </w:tblGrid>
      <w:tr w:rsidR="001C0C14" w:rsidRPr="00D533AE" w14:paraId="1123A2AF" w14:textId="77777777" w:rsidTr="00C57BCD">
        <w:trPr>
          <w:trHeight w:val="427"/>
        </w:trPr>
        <w:tc>
          <w:tcPr>
            <w:tcW w:w="5504" w:type="dxa"/>
            <w:tcBorders>
              <w:top w:val="single" w:sz="8" w:space="0" w:color="000000"/>
              <w:left w:val="nil"/>
              <w:bottom w:val="single" w:sz="8" w:space="0" w:color="000000"/>
              <w:right w:val="nil"/>
            </w:tcBorders>
            <w:shd w:val="clear" w:color="auto" w:fill="auto"/>
            <w:tcMar>
              <w:top w:w="179" w:type="dxa"/>
              <w:left w:w="358" w:type="dxa"/>
              <w:bottom w:w="179" w:type="dxa"/>
              <w:right w:w="358" w:type="dxa"/>
            </w:tcMar>
            <w:hideMark/>
          </w:tcPr>
          <w:p w14:paraId="3158DE4E" w14:textId="77777777" w:rsidR="001C0C14" w:rsidRPr="00D533AE" w:rsidRDefault="001C0C14" w:rsidP="001C0C14">
            <w:pPr>
              <w:spacing w:after="0" w:line="240" w:lineRule="auto"/>
              <w:rPr>
                <w:rFonts w:ascii="Arial" w:eastAsia="Times New Roman" w:hAnsi="Arial" w:cs="Arial"/>
                <w:sz w:val="20"/>
                <w:szCs w:val="20"/>
                <w:lang w:eastAsia="en-GB"/>
              </w:rPr>
            </w:pPr>
            <w:r w:rsidRPr="00D533AE">
              <w:rPr>
                <w:rFonts w:ascii="Arial" w:eastAsia="Times New Roman" w:hAnsi="Arial" w:cs="Arial"/>
                <w:b/>
                <w:bCs/>
                <w:color w:val="000000" w:themeColor="text1"/>
                <w:kern w:val="24"/>
                <w:sz w:val="20"/>
                <w:szCs w:val="20"/>
                <w:lang w:val="en-US" w:eastAsia="en-GB"/>
              </w:rPr>
              <w:t xml:space="preserve">Osteoarthritis Bone Score </w:t>
            </w:r>
            <w:r w:rsidR="00740ABD" w:rsidRPr="00D533AE">
              <w:rPr>
                <w:rFonts w:ascii="Arial" w:eastAsia="Times New Roman" w:hAnsi="Arial" w:cs="Arial"/>
                <w:b/>
                <w:bCs/>
                <w:color w:val="000000" w:themeColor="text1"/>
                <w:kern w:val="24"/>
                <w:sz w:val="20"/>
                <w:szCs w:val="20"/>
                <w:lang w:val="en-US" w:eastAsia="en-GB"/>
              </w:rPr>
              <w:t>(OABS)</w:t>
            </w:r>
          </w:p>
        </w:tc>
        <w:tc>
          <w:tcPr>
            <w:tcW w:w="1996" w:type="dxa"/>
            <w:tcBorders>
              <w:top w:val="single" w:sz="8" w:space="0" w:color="000000"/>
              <w:left w:val="nil"/>
              <w:bottom w:val="single" w:sz="8" w:space="0" w:color="000000"/>
              <w:right w:val="nil"/>
            </w:tcBorders>
            <w:shd w:val="clear" w:color="auto" w:fill="auto"/>
            <w:tcMar>
              <w:top w:w="179" w:type="dxa"/>
              <w:left w:w="358" w:type="dxa"/>
              <w:bottom w:w="179" w:type="dxa"/>
              <w:right w:w="358" w:type="dxa"/>
            </w:tcMar>
            <w:hideMark/>
          </w:tcPr>
          <w:p w14:paraId="39551C18"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b/>
                <w:bCs/>
                <w:color w:val="000000" w:themeColor="text1"/>
                <w:kern w:val="24"/>
                <w:sz w:val="20"/>
                <w:szCs w:val="20"/>
                <w:lang w:val="en-US" w:eastAsia="en-GB"/>
              </w:rPr>
              <w:t>Grade</w:t>
            </w:r>
          </w:p>
        </w:tc>
      </w:tr>
      <w:tr w:rsidR="001C0C14" w:rsidRPr="00D533AE" w14:paraId="0EA876E9" w14:textId="77777777" w:rsidTr="00C57BCD">
        <w:trPr>
          <w:trHeight w:val="1279"/>
        </w:trPr>
        <w:tc>
          <w:tcPr>
            <w:tcW w:w="5504" w:type="dxa"/>
            <w:tcBorders>
              <w:top w:val="single" w:sz="8" w:space="0" w:color="000000"/>
              <w:left w:val="nil"/>
              <w:bottom w:val="nil"/>
              <w:right w:val="nil"/>
            </w:tcBorders>
            <w:shd w:val="clear" w:color="auto" w:fill="E7E7E7"/>
            <w:tcMar>
              <w:top w:w="179" w:type="dxa"/>
              <w:left w:w="358" w:type="dxa"/>
              <w:bottom w:w="179" w:type="dxa"/>
              <w:right w:w="358" w:type="dxa"/>
            </w:tcMar>
            <w:hideMark/>
          </w:tcPr>
          <w:p w14:paraId="1F24BE83" w14:textId="77777777" w:rsidR="001C0C14" w:rsidRPr="00D533AE" w:rsidRDefault="00263CA7"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1</w:t>
            </w:r>
            <w:r w:rsidR="001C0C14" w:rsidRPr="00D533AE">
              <w:rPr>
                <w:rFonts w:ascii="Arial" w:eastAsia="Times New Roman" w:hAnsi="Arial" w:cs="Arial"/>
                <w:color w:val="000000" w:themeColor="text1"/>
                <w:kern w:val="24"/>
                <w:sz w:val="20"/>
                <w:szCs w:val="20"/>
                <w:lang w:eastAsia="en-GB"/>
              </w:rPr>
              <w:t>. Cysts​</w:t>
            </w:r>
          </w:p>
          <w:p w14:paraId="5FAD5E23"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None​</w:t>
            </w:r>
          </w:p>
          <w:p w14:paraId="1901478C"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Present (at least 1)​</w:t>
            </w:r>
          </w:p>
        </w:tc>
        <w:tc>
          <w:tcPr>
            <w:tcW w:w="1996" w:type="dxa"/>
            <w:tcBorders>
              <w:top w:val="single" w:sz="8" w:space="0" w:color="000000"/>
              <w:left w:val="nil"/>
              <w:bottom w:val="nil"/>
              <w:right w:val="nil"/>
            </w:tcBorders>
            <w:shd w:val="clear" w:color="auto" w:fill="E7E7E7"/>
            <w:tcMar>
              <w:top w:w="179" w:type="dxa"/>
              <w:left w:w="358" w:type="dxa"/>
              <w:bottom w:w="179" w:type="dxa"/>
              <w:right w:w="358" w:type="dxa"/>
            </w:tcMar>
            <w:hideMark/>
          </w:tcPr>
          <w:p w14:paraId="61228FBD" w14:textId="77777777" w:rsidR="002907AC" w:rsidRPr="00D533AE" w:rsidRDefault="002907AC" w:rsidP="001C0C14">
            <w:pPr>
              <w:spacing w:after="0" w:line="240" w:lineRule="auto"/>
              <w:jc w:val="center"/>
              <w:rPr>
                <w:rFonts w:ascii="Arial" w:eastAsia="Times New Roman" w:hAnsi="Arial" w:cs="Arial"/>
                <w:color w:val="000000" w:themeColor="text1"/>
                <w:kern w:val="24"/>
                <w:sz w:val="20"/>
                <w:szCs w:val="20"/>
                <w:lang w:val="en-US" w:eastAsia="en-GB"/>
              </w:rPr>
            </w:pPr>
          </w:p>
          <w:p w14:paraId="05F12340"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0</w:t>
            </w:r>
          </w:p>
          <w:p w14:paraId="0EE1FCB5"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1</w:t>
            </w:r>
          </w:p>
        </w:tc>
      </w:tr>
      <w:tr w:rsidR="001C0C14" w:rsidRPr="00D533AE" w14:paraId="33303769" w14:textId="77777777" w:rsidTr="00C57BCD">
        <w:trPr>
          <w:trHeight w:val="1279"/>
        </w:trPr>
        <w:tc>
          <w:tcPr>
            <w:tcW w:w="5504" w:type="dxa"/>
            <w:tcBorders>
              <w:top w:val="nil"/>
              <w:left w:val="nil"/>
              <w:bottom w:val="nil"/>
              <w:right w:val="nil"/>
            </w:tcBorders>
            <w:shd w:val="clear" w:color="auto" w:fill="auto"/>
            <w:tcMar>
              <w:top w:w="179" w:type="dxa"/>
              <w:left w:w="358" w:type="dxa"/>
              <w:bottom w:w="179" w:type="dxa"/>
              <w:right w:w="358" w:type="dxa"/>
            </w:tcMar>
            <w:hideMark/>
          </w:tcPr>
          <w:p w14:paraId="6FE6833C" w14:textId="77777777" w:rsidR="001C0C14" w:rsidRPr="00D533AE" w:rsidRDefault="00263CA7"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2</w:t>
            </w:r>
            <w:r w:rsidR="001C0C14" w:rsidRPr="00D533AE">
              <w:rPr>
                <w:rFonts w:ascii="Arial" w:eastAsia="Times New Roman" w:hAnsi="Arial" w:cs="Arial"/>
                <w:color w:val="000000" w:themeColor="text1"/>
                <w:kern w:val="24"/>
                <w:sz w:val="20"/>
                <w:szCs w:val="20"/>
                <w:lang w:eastAsia="en-GB"/>
              </w:rPr>
              <w:t>. Fibrosis (fibrotic connective tissue</w:t>
            </w:r>
            <w:r w:rsidR="00BA17BC" w:rsidRPr="00D533AE">
              <w:rPr>
                <w:rFonts w:ascii="Arial" w:eastAsia="Times New Roman" w:hAnsi="Arial" w:cs="Arial"/>
                <w:color w:val="000000" w:themeColor="text1"/>
                <w:kern w:val="24"/>
                <w:sz w:val="20"/>
                <w:szCs w:val="20"/>
                <w:lang w:eastAsia="en-GB"/>
              </w:rPr>
              <w:t xml:space="preserve"> within bone marrow space</w:t>
            </w:r>
            <w:r w:rsidR="001C0C14" w:rsidRPr="00D533AE">
              <w:rPr>
                <w:rFonts w:ascii="Arial" w:eastAsia="Times New Roman" w:hAnsi="Arial" w:cs="Arial"/>
                <w:color w:val="000000" w:themeColor="text1"/>
                <w:kern w:val="24"/>
                <w:sz w:val="20"/>
                <w:szCs w:val="20"/>
                <w:lang w:eastAsia="en-GB"/>
              </w:rPr>
              <w:t>)​</w:t>
            </w:r>
          </w:p>
          <w:p w14:paraId="794596A5"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None​</w:t>
            </w:r>
          </w:p>
          <w:p w14:paraId="7DB12FE6"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Present (at least 1 region)​</w:t>
            </w:r>
          </w:p>
        </w:tc>
        <w:tc>
          <w:tcPr>
            <w:tcW w:w="1996" w:type="dxa"/>
            <w:tcBorders>
              <w:top w:val="nil"/>
              <w:left w:val="nil"/>
              <w:bottom w:val="nil"/>
              <w:right w:val="nil"/>
            </w:tcBorders>
            <w:shd w:val="clear" w:color="auto" w:fill="auto"/>
            <w:tcMar>
              <w:top w:w="179" w:type="dxa"/>
              <w:left w:w="358" w:type="dxa"/>
              <w:bottom w:w="179" w:type="dxa"/>
              <w:right w:w="358" w:type="dxa"/>
            </w:tcMar>
            <w:hideMark/>
          </w:tcPr>
          <w:p w14:paraId="1187836B" w14:textId="77777777" w:rsidR="002907AC" w:rsidRPr="00D533AE" w:rsidRDefault="002907AC" w:rsidP="001C0C14">
            <w:pPr>
              <w:spacing w:after="0" w:line="240" w:lineRule="auto"/>
              <w:jc w:val="center"/>
              <w:rPr>
                <w:rFonts w:ascii="Arial" w:eastAsia="Times New Roman" w:hAnsi="Arial" w:cs="Arial"/>
                <w:color w:val="000000" w:themeColor="text1"/>
                <w:kern w:val="24"/>
                <w:sz w:val="20"/>
                <w:szCs w:val="20"/>
                <w:lang w:val="en-US" w:eastAsia="en-GB"/>
              </w:rPr>
            </w:pPr>
          </w:p>
          <w:p w14:paraId="16C952E6"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0</w:t>
            </w:r>
          </w:p>
          <w:p w14:paraId="447E0FC8"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1</w:t>
            </w:r>
          </w:p>
        </w:tc>
      </w:tr>
      <w:tr w:rsidR="001C0C14" w:rsidRPr="00D533AE" w14:paraId="747C0D8D" w14:textId="77777777" w:rsidTr="00C57BCD">
        <w:trPr>
          <w:trHeight w:val="1279"/>
        </w:trPr>
        <w:tc>
          <w:tcPr>
            <w:tcW w:w="5504" w:type="dxa"/>
            <w:tcBorders>
              <w:top w:val="nil"/>
              <w:left w:val="nil"/>
              <w:bottom w:val="nil"/>
              <w:right w:val="nil"/>
            </w:tcBorders>
            <w:shd w:val="clear" w:color="auto" w:fill="E7E7E7"/>
            <w:tcMar>
              <w:top w:w="179" w:type="dxa"/>
              <w:left w:w="358" w:type="dxa"/>
              <w:bottom w:w="179" w:type="dxa"/>
              <w:right w:w="358" w:type="dxa"/>
            </w:tcMar>
            <w:hideMark/>
          </w:tcPr>
          <w:p w14:paraId="5BCA831F" w14:textId="77777777" w:rsidR="001C0C14" w:rsidRPr="00D533AE" w:rsidRDefault="00263CA7"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3</w:t>
            </w:r>
            <w:r w:rsidR="001C0C14" w:rsidRPr="00D533AE">
              <w:rPr>
                <w:rFonts w:ascii="Arial" w:eastAsia="Times New Roman" w:hAnsi="Arial" w:cs="Arial"/>
                <w:color w:val="000000" w:themeColor="text1"/>
                <w:kern w:val="24"/>
                <w:sz w:val="20"/>
                <w:szCs w:val="20"/>
                <w:lang w:val="en-US" w:eastAsia="en-GB"/>
              </w:rPr>
              <w:t xml:space="preserve">. </w:t>
            </w:r>
            <w:r w:rsidR="001C0C14" w:rsidRPr="00D533AE">
              <w:rPr>
                <w:rFonts w:ascii="Arial" w:eastAsia="Times New Roman" w:hAnsi="Arial" w:cs="Arial"/>
                <w:color w:val="000000" w:themeColor="text1"/>
                <w:kern w:val="24"/>
                <w:sz w:val="20"/>
                <w:szCs w:val="20"/>
                <w:lang w:eastAsia="en-GB"/>
              </w:rPr>
              <w:t>Blood vessels (n</w:t>
            </w:r>
            <w:r w:rsidR="00BE7CCE" w:rsidRPr="00D533AE">
              <w:rPr>
                <w:rFonts w:ascii="Arial" w:eastAsia="Times New Roman" w:hAnsi="Arial" w:cs="Arial"/>
                <w:color w:val="000000" w:themeColor="text1"/>
                <w:kern w:val="24"/>
                <w:sz w:val="20"/>
                <w:szCs w:val="20"/>
                <w:lang w:eastAsia="en-GB"/>
              </w:rPr>
              <w:t>umber</w:t>
            </w:r>
            <w:r w:rsidR="001C0C14" w:rsidRPr="00D533AE">
              <w:rPr>
                <w:rFonts w:ascii="Arial" w:eastAsia="Times New Roman" w:hAnsi="Arial" w:cs="Arial"/>
                <w:color w:val="000000" w:themeColor="text1"/>
                <w:kern w:val="24"/>
                <w:sz w:val="20"/>
                <w:szCs w:val="20"/>
                <w:lang w:eastAsia="en-GB"/>
              </w:rPr>
              <w:t xml:space="preserve"> </w:t>
            </w:r>
            <w:r w:rsidR="00BE7CCE" w:rsidRPr="00D533AE">
              <w:rPr>
                <w:rFonts w:ascii="Arial" w:eastAsia="Times New Roman" w:hAnsi="Arial" w:cs="Arial"/>
                <w:color w:val="000000" w:themeColor="text1"/>
                <w:kern w:val="24"/>
                <w:sz w:val="20"/>
                <w:szCs w:val="20"/>
                <w:lang w:eastAsia="en-GB"/>
              </w:rPr>
              <w:t xml:space="preserve">of blood vessels </w:t>
            </w:r>
            <w:r w:rsidR="00697F2C" w:rsidRPr="00D533AE">
              <w:rPr>
                <w:rFonts w:ascii="Arial" w:eastAsia="Times New Roman" w:hAnsi="Arial" w:cs="Arial"/>
                <w:color w:val="000000" w:themeColor="text1"/>
                <w:kern w:val="24"/>
                <w:sz w:val="20"/>
                <w:szCs w:val="20"/>
                <w:lang w:eastAsia="en-GB"/>
              </w:rPr>
              <w:t>within the</w:t>
            </w:r>
            <w:r w:rsidR="00BA17BC" w:rsidRPr="00D533AE">
              <w:rPr>
                <w:rFonts w:ascii="Arial" w:eastAsia="Times New Roman" w:hAnsi="Arial" w:cs="Arial"/>
                <w:color w:val="000000" w:themeColor="text1"/>
                <w:kern w:val="24"/>
                <w:sz w:val="20"/>
                <w:szCs w:val="20"/>
                <w:lang w:eastAsia="en-GB"/>
              </w:rPr>
              <w:t xml:space="preserve"> subchondral region of interest</w:t>
            </w:r>
            <w:r w:rsidR="001C0C14" w:rsidRPr="00D533AE">
              <w:rPr>
                <w:rFonts w:ascii="Arial" w:eastAsia="Times New Roman" w:hAnsi="Arial" w:cs="Arial"/>
                <w:color w:val="000000" w:themeColor="text1"/>
                <w:kern w:val="24"/>
                <w:sz w:val="20"/>
                <w:szCs w:val="20"/>
                <w:lang w:eastAsia="en-GB"/>
              </w:rPr>
              <w:t>)​</w:t>
            </w:r>
          </w:p>
          <w:p w14:paraId="03151D26"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xml:space="preserve">      Normal (0-15)​</w:t>
            </w:r>
          </w:p>
          <w:p w14:paraId="5C0BE8F6"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Increased (&gt; 16)​</w:t>
            </w:r>
          </w:p>
        </w:tc>
        <w:tc>
          <w:tcPr>
            <w:tcW w:w="1996" w:type="dxa"/>
            <w:tcBorders>
              <w:top w:val="nil"/>
              <w:left w:val="nil"/>
              <w:bottom w:val="nil"/>
              <w:right w:val="nil"/>
            </w:tcBorders>
            <w:shd w:val="clear" w:color="auto" w:fill="E7E7E7"/>
            <w:tcMar>
              <w:top w:w="179" w:type="dxa"/>
              <w:left w:w="358" w:type="dxa"/>
              <w:bottom w:w="179" w:type="dxa"/>
              <w:right w:w="358" w:type="dxa"/>
            </w:tcMar>
            <w:hideMark/>
          </w:tcPr>
          <w:p w14:paraId="4FF4FB03" w14:textId="77777777" w:rsidR="002907AC" w:rsidRPr="00D533AE" w:rsidRDefault="002907AC" w:rsidP="001C0C14">
            <w:pPr>
              <w:spacing w:after="0" w:line="240" w:lineRule="auto"/>
              <w:jc w:val="center"/>
              <w:rPr>
                <w:rFonts w:ascii="Arial" w:eastAsia="Times New Roman" w:hAnsi="Arial" w:cs="Arial"/>
                <w:color w:val="000000" w:themeColor="text1"/>
                <w:kern w:val="24"/>
                <w:sz w:val="20"/>
                <w:szCs w:val="20"/>
                <w:lang w:val="en-US" w:eastAsia="en-GB"/>
              </w:rPr>
            </w:pPr>
          </w:p>
          <w:p w14:paraId="044E842D" w14:textId="77777777" w:rsidR="00BE7CCE" w:rsidRPr="00D533AE" w:rsidRDefault="00BE7CCE" w:rsidP="001C0C14">
            <w:pPr>
              <w:spacing w:after="0" w:line="240" w:lineRule="auto"/>
              <w:jc w:val="center"/>
              <w:rPr>
                <w:rFonts w:ascii="Arial" w:eastAsia="Times New Roman" w:hAnsi="Arial" w:cs="Arial"/>
                <w:color w:val="000000" w:themeColor="text1"/>
                <w:kern w:val="24"/>
                <w:sz w:val="20"/>
                <w:szCs w:val="20"/>
                <w:lang w:val="en-US" w:eastAsia="en-GB"/>
              </w:rPr>
            </w:pPr>
          </w:p>
          <w:p w14:paraId="53315CE8"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0</w:t>
            </w:r>
          </w:p>
          <w:p w14:paraId="27C610B7"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1</w:t>
            </w:r>
          </w:p>
        </w:tc>
      </w:tr>
      <w:tr w:rsidR="001C0C14" w:rsidRPr="00D533AE" w14:paraId="783D8B08" w14:textId="77777777" w:rsidTr="00C57BCD">
        <w:trPr>
          <w:trHeight w:val="1174"/>
        </w:trPr>
        <w:tc>
          <w:tcPr>
            <w:tcW w:w="5504" w:type="dxa"/>
            <w:tcBorders>
              <w:top w:val="nil"/>
              <w:left w:val="nil"/>
              <w:bottom w:val="nil"/>
              <w:right w:val="nil"/>
            </w:tcBorders>
            <w:shd w:val="clear" w:color="auto" w:fill="auto"/>
            <w:tcMar>
              <w:top w:w="179" w:type="dxa"/>
              <w:left w:w="358" w:type="dxa"/>
              <w:bottom w:w="179" w:type="dxa"/>
              <w:right w:w="358" w:type="dxa"/>
            </w:tcMar>
            <w:hideMark/>
          </w:tcPr>
          <w:p w14:paraId="5620C897" w14:textId="77777777" w:rsidR="001C0C14" w:rsidRPr="00D533AE" w:rsidRDefault="00263CA7"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4</w:t>
            </w:r>
            <w:r w:rsidR="001C0C14" w:rsidRPr="00D533AE">
              <w:rPr>
                <w:rFonts w:ascii="Arial" w:eastAsia="Times New Roman" w:hAnsi="Arial" w:cs="Arial"/>
                <w:color w:val="000000" w:themeColor="text1"/>
                <w:kern w:val="24"/>
                <w:sz w:val="20"/>
                <w:szCs w:val="20"/>
                <w:lang w:eastAsia="en-GB"/>
              </w:rPr>
              <w:t>. Cartilage </w:t>
            </w:r>
            <w:r w:rsidR="00D97E95" w:rsidRPr="00D533AE">
              <w:rPr>
                <w:rFonts w:ascii="Arial" w:eastAsia="Times New Roman" w:hAnsi="Arial" w:cs="Arial"/>
                <w:color w:val="000000" w:themeColor="text1"/>
                <w:kern w:val="24"/>
                <w:sz w:val="20"/>
                <w:szCs w:val="20"/>
                <w:lang w:eastAsia="en-GB"/>
              </w:rPr>
              <w:t xml:space="preserve">islands </w:t>
            </w:r>
            <w:r w:rsidR="001C0C14" w:rsidRPr="00D533AE">
              <w:rPr>
                <w:rFonts w:ascii="Arial" w:eastAsia="Times New Roman" w:hAnsi="Arial" w:cs="Arial"/>
                <w:color w:val="000000" w:themeColor="text1"/>
                <w:kern w:val="24"/>
                <w:sz w:val="20"/>
                <w:szCs w:val="20"/>
                <w:lang w:eastAsia="en-GB"/>
              </w:rPr>
              <w:t>(new cartilage within bone)</w:t>
            </w:r>
          </w:p>
          <w:p w14:paraId="42BC3820"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xml:space="preserve">      Absent​</w:t>
            </w:r>
          </w:p>
          <w:p w14:paraId="49C1F359"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xml:space="preserve">      Present​</w:t>
            </w:r>
          </w:p>
        </w:tc>
        <w:tc>
          <w:tcPr>
            <w:tcW w:w="1996" w:type="dxa"/>
            <w:tcBorders>
              <w:top w:val="nil"/>
              <w:left w:val="nil"/>
              <w:bottom w:val="nil"/>
              <w:right w:val="nil"/>
            </w:tcBorders>
            <w:shd w:val="clear" w:color="auto" w:fill="auto"/>
            <w:tcMar>
              <w:top w:w="179" w:type="dxa"/>
              <w:left w:w="358" w:type="dxa"/>
              <w:bottom w:w="179" w:type="dxa"/>
              <w:right w:w="358" w:type="dxa"/>
            </w:tcMar>
            <w:hideMark/>
          </w:tcPr>
          <w:p w14:paraId="30A1815D" w14:textId="77777777" w:rsidR="002907AC" w:rsidRPr="00D533AE" w:rsidRDefault="002907AC" w:rsidP="001C0C14">
            <w:pPr>
              <w:spacing w:after="0" w:line="240" w:lineRule="auto"/>
              <w:jc w:val="center"/>
              <w:rPr>
                <w:rFonts w:ascii="Arial" w:eastAsia="Times New Roman" w:hAnsi="Arial" w:cs="Arial"/>
                <w:color w:val="000000" w:themeColor="text1"/>
                <w:kern w:val="24"/>
                <w:sz w:val="20"/>
                <w:szCs w:val="20"/>
                <w:lang w:val="en-US" w:eastAsia="en-GB"/>
              </w:rPr>
            </w:pPr>
          </w:p>
          <w:p w14:paraId="3EEC9311"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0</w:t>
            </w:r>
          </w:p>
          <w:p w14:paraId="14D2DB8E"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1</w:t>
            </w:r>
          </w:p>
        </w:tc>
      </w:tr>
      <w:tr w:rsidR="001C0C14" w:rsidRPr="00D533AE" w14:paraId="47F726C6" w14:textId="77777777" w:rsidTr="00C57BCD">
        <w:trPr>
          <w:trHeight w:val="1279"/>
        </w:trPr>
        <w:tc>
          <w:tcPr>
            <w:tcW w:w="5504" w:type="dxa"/>
            <w:tcBorders>
              <w:top w:val="nil"/>
              <w:left w:val="nil"/>
              <w:bottom w:val="nil"/>
              <w:right w:val="nil"/>
            </w:tcBorders>
            <w:shd w:val="clear" w:color="auto" w:fill="E7E7E7"/>
            <w:tcMar>
              <w:top w:w="179" w:type="dxa"/>
              <w:left w:w="358" w:type="dxa"/>
              <w:bottom w:w="179" w:type="dxa"/>
              <w:right w:w="358" w:type="dxa"/>
            </w:tcMar>
            <w:hideMark/>
          </w:tcPr>
          <w:p w14:paraId="6C0BB7CD" w14:textId="77777777" w:rsidR="001C0C14" w:rsidRPr="00D533AE" w:rsidRDefault="00263CA7"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5</w:t>
            </w:r>
            <w:r w:rsidR="001C0C14" w:rsidRPr="00D533AE">
              <w:rPr>
                <w:rFonts w:ascii="Arial" w:eastAsia="Times New Roman" w:hAnsi="Arial" w:cs="Arial"/>
                <w:color w:val="000000" w:themeColor="text1"/>
                <w:kern w:val="24"/>
                <w:sz w:val="20"/>
                <w:szCs w:val="20"/>
                <w:lang w:val="en-US" w:eastAsia="en-GB"/>
              </w:rPr>
              <w:t xml:space="preserve">. </w:t>
            </w:r>
            <w:r w:rsidR="001C0C14" w:rsidRPr="00D533AE">
              <w:rPr>
                <w:rFonts w:ascii="Arial" w:eastAsia="Times New Roman" w:hAnsi="Arial" w:cs="Arial"/>
                <w:color w:val="000000" w:themeColor="text1"/>
                <w:kern w:val="24"/>
                <w:sz w:val="20"/>
                <w:szCs w:val="20"/>
                <w:lang w:eastAsia="en-GB"/>
              </w:rPr>
              <w:t>Trabeculae thickened</w:t>
            </w:r>
            <w:r w:rsidR="00B208AB" w:rsidRPr="00D533AE">
              <w:rPr>
                <w:rFonts w:ascii="Arial" w:eastAsia="Times New Roman" w:hAnsi="Arial" w:cs="Arial"/>
                <w:color w:val="000000" w:themeColor="text1"/>
                <w:kern w:val="24"/>
                <w:sz w:val="20"/>
                <w:szCs w:val="20"/>
                <w:lang w:eastAsia="en-GB"/>
              </w:rPr>
              <w:t xml:space="preserve"> (≥2 </w:t>
            </w:r>
            <w:proofErr w:type="gramStart"/>
            <w:r w:rsidR="00B208AB" w:rsidRPr="00D533AE">
              <w:rPr>
                <w:rFonts w:ascii="Arial" w:eastAsia="Times New Roman" w:hAnsi="Arial" w:cs="Arial"/>
                <w:color w:val="000000" w:themeColor="text1"/>
                <w:kern w:val="24"/>
                <w:sz w:val="20"/>
                <w:szCs w:val="20"/>
                <w:lang w:eastAsia="en-GB"/>
              </w:rPr>
              <w:t>trabeculae  &gt;</w:t>
            </w:r>
            <w:proofErr w:type="gramEnd"/>
            <w:r w:rsidR="00B208AB" w:rsidRPr="00D533AE">
              <w:rPr>
                <w:rFonts w:ascii="Arial" w:eastAsia="Times New Roman" w:hAnsi="Arial" w:cs="Arial"/>
                <w:color w:val="000000" w:themeColor="text1"/>
                <w:kern w:val="24"/>
                <w:sz w:val="20"/>
                <w:szCs w:val="20"/>
                <w:lang w:eastAsia="en-GB"/>
              </w:rPr>
              <w:t xml:space="preserve">200 µm </w:t>
            </w:r>
            <w:r w:rsidR="00C57BCD" w:rsidRPr="00D533AE">
              <w:rPr>
                <w:rFonts w:ascii="Arial" w:eastAsia="Times New Roman" w:hAnsi="Arial" w:cs="Arial"/>
                <w:color w:val="000000" w:themeColor="text1"/>
                <w:kern w:val="24"/>
                <w:sz w:val="20"/>
                <w:szCs w:val="20"/>
                <w:lang w:eastAsia="en-GB"/>
              </w:rPr>
              <w:t>wide</w:t>
            </w:r>
            <w:r w:rsidR="00B208AB" w:rsidRPr="00D533AE">
              <w:rPr>
                <w:rFonts w:ascii="Arial" w:eastAsia="Times New Roman" w:hAnsi="Arial" w:cs="Arial"/>
                <w:color w:val="000000" w:themeColor="text1"/>
                <w:kern w:val="24"/>
                <w:sz w:val="20"/>
                <w:szCs w:val="20"/>
                <w:lang w:eastAsia="en-GB"/>
              </w:rPr>
              <w:t>)</w:t>
            </w:r>
          </w:p>
          <w:p w14:paraId="18972418"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xml:space="preserve">      Normal</w:t>
            </w:r>
          </w:p>
          <w:p w14:paraId="7950607E"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xml:space="preserve">      Increased thickness ​</w:t>
            </w:r>
          </w:p>
        </w:tc>
        <w:tc>
          <w:tcPr>
            <w:tcW w:w="1996" w:type="dxa"/>
            <w:tcBorders>
              <w:top w:val="nil"/>
              <w:left w:val="nil"/>
              <w:bottom w:val="nil"/>
              <w:right w:val="nil"/>
            </w:tcBorders>
            <w:shd w:val="clear" w:color="auto" w:fill="E7E7E7"/>
            <w:tcMar>
              <w:top w:w="179" w:type="dxa"/>
              <w:left w:w="358" w:type="dxa"/>
              <w:bottom w:w="179" w:type="dxa"/>
              <w:right w:w="358" w:type="dxa"/>
            </w:tcMar>
            <w:hideMark/>
          </w:tcPr>
          <w:p w14:paraId="1B92AF52" w14:textId="77777777" w:rsidR="002907AC" w:rsidRPr="00D533AE" w:rsidRDefault="002907AC" w:rsidP="001C0C14">
            <w:pPr>
              <w:spacing w:after="0" w:line="240" w:lineRule="auto"/>
              <w:jc w:val="center"/>
              <w:rPr>
                <w:rFonts w:ascii="Arial" w:eastAsia="Times New Roman" w:hAnsi="Arial" w:cs="Arial"/>
                <w:color w:val="000000" w:themeColor="text1"/>
                <w:kern w:val="24"/>
                <w:sz w:val="20"/>
                <w:szCs w:val="20"/>
                <w:lang w:val="en-US" w:eastAsia="en-GB"/>
              </w:rPr>
            </w:pPr>
          </w:p>
          <w:p w14:paraId="655CA5D8"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0</w:t>
            </w:r>
          </w:p>
          <w:p w14:paraId="2E532D21"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1</w:t>
            </w:r>
          </w:p>
        </w:tc>
      </w:tr>
      <w:tr w:rsidR="001C0C14" w:rsidRPr="00D533AE" w14:paraId="6658D9F2" w14:textId="77777777" w:rsidTr="00C57BCD">
        <w:trPr>
          <w:trHeight w:val="1279"/>
        </w:trPr>
        <w:tc>
          <w:tcPr>
            <w:tcW w:w="5504" w:type="dxa"/>
            <w:tcBorders>
              <w:top w:val="nil"/>
              <w:left w:val="nil"/>
              <w:bottom w:val="nil"/>
              <w:right w:val="nil"/>
            </w:tcBorders>
            <w:shd w:val="clear" w:color="auto" w:fill="auto"/>
            <w:tcMar>
              <w:top w:w="179" w:type="dxa"/>
              <w:left w:w="358" w:type="dxa"/>
              <w:bottom w:w="179" w:type="dxa"/>
              <w:right w:w="358" w:type="dxa"/>
            </w:tcMar>
            <w:hideMark/>
          </w:tcPr>
          <w:p w14:paraId="6F976753" w14:textId="77777777" w:rsidR="001C0C14" w:rsidRPr="00D533AE" w:rsidRDefault="00263CA7"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6</w:t>
            </w:r>
            <w:r w:rsidR="001C0C14" w:rsidRPr="00D533AE">
              <w:rPr>
                <w:rFonts w:ascii="Arial" w:eastAsia="Times New Roman" w:hAnsi="Arial" w:cs="Arial"/>
                <w:color w:val="000000" w:themeColor="text1"/>
                <w:kern w:val="24"/>
                <w:sz w:val="20"/>
                <w:szCs w:val="20"/>
                <w:lang w:val="en-US" w:eastAsia="en-GB"/>
              </w:rPr>
              <w:t xml:space="preserve">. </w:t>
            </w:r>
            <w:r w:rsidR="001C0C14" w:rsidRPr="00D533AE">
              <w:rPr>
                <w:rFonts w:ascii="Arial" w:eastAsia="Times New Roman" w:hAnsi="Arial" w:cs="Arial"/>
                <w:color w:val="000000" w:themeColor="text1"/>
                <w:kern w:val="24"/>
                <w:sz w:val="20"/>
                <w:szCs w:val="20"/>
                <w:lang w:eastAsia="en-GB"/>
              </w:rPr>
              <w:t>Tidemark Integrity​</w:t>
            </w:r>
          </w:p>
          <w:p w14:paraId="1E63BC7D"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xml:space="preserve">      Intact​</w:t>
            </w:r>
          </w:p>
          <w:p w14:paraId="7342B916" w14:textId="77777777" w:rsidR="001C0C14" w:rsidRPr="00D533AE" w:rsidRDefault="001C0C14" w:rsidP="001C0C14">
            <w:pPr>
              <w:spacing w:after="0" w:line="240" w:lineRule="auto"/>
              <w:textAlignment w:val="baseline"/>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eastAsia="en-GB"/>
              </w:rPr>
              <w:t xml:space="preserve">      Crossed by </w:t>
            </w:r>
            <w:r w:rsidR="00BA17BC" w:rsidRPr="00D533AE">
              <w:rPr>
                <w:rFonts w:ascii="Arial" w:eastAsia="Times New Roman" w:hAnsi="Arial" w:cs="Arial"/>
                <w:color w:val="000000" w:themeColor="text1"/>
                <w:kern w:val="24"/>
                <w:sz w:val="20"/>
                <w:szCs w:val="20"/>
                <w:lang w:eastAsia="en-GB"/>
              </w:rPr>
              <w:t xml:space="preserve">at least one </w:t>
            </w:r>
            <w:r w:rsidRPr="00D533AE">
              <w:rPr>
                <w:rFonts w:ascii="Arial" w:eastAsia="Times New Roman" w:hAnsi="Arial" w:cs="Arial"/>
                <w:color w:val="000000" w:themeColor="text1"/>
                <w:kern w:val="24"/>
                <w:sz w:val="20"/>
                <w:szCs w:val="20"/>
                <w:lang w:eastAsia="en-GB"/>
              </w:rPr>
              <w:t>blood vessel​</w:t>
            </w:r>
          </w:p>
        </w:tc>
        <w:tc>
          <w:tcPr>
            <w:tcW w:w="1996" w:type="dxa"/>
            <w:tcBorders>
              <w:top w:val="nil"/>
              <w:left w:val="nil"/>
              <w:bottom w:val="nil"/>
              <w:right w:val="nil"/>
            </w:tcBorders>
            <w:shd w:val="clear" w:color="auto" w:fill="auto"/>
            <w:tcMar>
              <w:top w:w="179" w:type="dxa"/>
              <w:left w:w="358" w:type="dxa"/>
              <w:bottom w:w="179" w:type="dxa"/>
              <w:right w:w="358" w:type="dxa"/>
            </w:tcMar>
            <w:hideMark/>
          </w:tcPr>
          <w:p w14:paraId="61C36B3D" w14:textId="77777777" w:rsidR="002907AC" w:rsidRPr="00D533AE" w:rsidRDefault="002907AC" w:rsidP="001C0C14">
            <w:pPr>
              <w:spacing w:after="0" w:line="240" w:lineRule="auto"/>
              <w:jc w:val="center"/>
              <w:rPr>
                <w:rFonts w:ascii="Arial" w:eastAsia="Times New Roman" w:hAnsi="Arial" w:cs="Arial"/>
                <w:color w:val="000000" w:themeColor="text1"/>
                <w:kern w:val="24"/>
                <w:sz w:val="20"/>
                <w:szCs w:val="20"/>
                <w:lang w:val="en-US" w:eastAsia="en-GB"/>
              </w:rPr>
            </w:pPr>
          </w:p>
          <w:p w14:paraId="20F5F2E1"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0</w:t>
            </w:r>
          </w:p>
          <w:p w14:paraId="167374E9"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1</w:t>
            </w:r>
          </w:p>
        </w:tc>
      </w:tr>
      <w:tr w:rsidR="001C0C14" w:rsidRPr="00D533AE" w14:paraId="6DB94FDD" w14:textId="77777777" w:rsidTr="00C57BCD">
        <w:trPr>
          <w:trHeight w:val="1279"/>
        </w:trPr>
        <w:tc>
          <w:tcPr>
            <w:tcW w:w="5504" w:type="dxa"/>
            <w:tcBorders>
              <w:top w:val="nil"/>
              <w:left w:val="nil"/>
              <w:bottom w:val="nil"/>
              <w:right w:val="nil"/>
            </w:tcBorders>
            <w:shd w:val="clear" w:color="auto" w:fill="E7E7E7"/>
            <w:tcMar>
              <w:top w:w="179" w:type="dxa"/>
              <w:left w:w="358" w:type="dxa"/>
              <w:bottom w:w="179" w:type="dxa"/>
              <w:right w:w="358" w:type="dxa"/>
            </w:tcMar>
            <w:hideMark/>
          </w:tcPr>
          <w:p w14:paraId="79AE07CE" w14:textId="77777777" w:rsidR="001C0C14" w:rsidRPr="00D533AE" w:rsidRDefault="00263CA7" w:rsidP="001C0C14">
            <w:pPr>
              <w:spacing w:after="0" w:line="240" w:lineRule="auto"/>
              <w:textAlignment w:val="baseline"/>
              <w:rPr>
                <w:rFonts w:ascii="Arial" w:eastAsia="Times New Roman" w:hAnsi="Arial" w:cs="Arial"/>
                <w:sz w:val="20"/>
                <w:szCs w:val="20"/>
                <w:lang w:val="fr-FR" w:eastAsia="en-GB"/>
              </w:rPr>
            </w:pPr>
            <w:r w:rsidRPr="00D533AE">
              <w:rPr>
                <w:rFonts w:ascii="Arial" w:eastAsia="Times New Roman" w:hAnsi="Arial" w:cs="Arial"/>
                <w:color w:val="000000" w:themeColor="text1"/>
                <w:kern w:val="24"/>
                <w:sz w:val="20"/>
                <w:szCs w:val="20"/>
                <w:lang w:val="fr-FR" w:eastAsia="en-GB"/>
              </w:rPr>
              <w:t>7</w:t>
            </w:r>
            <w:r w:rsidR="001C0C14" w:rsidRPr="00D533AE">
              <w:rPr>
                <w:rFonts w:ascii="Arial" w:eastAsia="Times New Roman" w:hAnsi="Arial" w:cs="Arial"/>
                <w:color w:val="000000" w:themeColor="text1"/>
                <w:kern w:val="24"/>
                <w:sz w:val="20"/>
                <w:szCs w:val="20"/>
                <w:lang w:val="fr-FR" w:eastAsia="en-GB"/>
              </w:rPr>
              <w:t xml:space="preserve">. Inflammation (cellular </w:t>
            </w:r>
            <w:proofErr w:type="spellStart"/>
            <w:r w:rsidR="001C0C14" w:rsidRPr="00D533AE">
              <w:rPr>
                <w:rFonts w:ascii="Arial" w:eastAsia="Times New Roman" w:hAnsi="Arial" w:cs="Arial"/>
                <w:color w:val="000000" w:themeColor="text1"/>
                <w:kern w:val="24"/>
                <w:sz w:val="20"/>
                <w:szCs w:val="20"/>
                <w:lang w:val="fr-FR" w:eastAsia="en-GB"/>
              </w:rPr>
              <w:t>infiltrates</w:t>
            </w:r>
            <w:proofErr w:type="spellEnd"/>
            <w:r w:rsidR="001C0C14" w:rsidRPr="00D533AE">
              <w:rPr>
                <w:rFonts w:ascii="Arial" w:eastAsia="Times New Roman" w:hAnsi="Arial" w:cs="Arial"/>
                <w:color w:val="000000" w:themeColor="text1"/>
                <w:kern w:val="24"/>
                <w:sz w:val="20"/>
                <w:szCs w:val="20"/>
                <w:lang w:val="fr-FR" w:eastAsia="en-GB"/>
              </w:rPr>
              <w:t>)​</w:t>
            </w:r>
          </w:p>
          <w:p w14:paraId="246E6372" w14:textId="77777777" w:rsidR="001C0C14" w:rsidRPr="00D533AE" w:rsidRDefault="001C0C14" w:rsidP="001C0C14">
            <w:pPr>
              <w:spacing w:after="0" w:line="240" w:lineRule="auto"/>
              <w:textAlignment w:val="baseline"/>
              <w:rPr>
                <w:rFonts w:ascii="Arial" w:eastAsia="Times New Roman" w:hAnsi="Arial" w:cs="Arial"/>
                <w:sz w:val="20"/>
                <w:szCs w:val="20"/>
                <w:lang w:val="fr-FR" w:eastAsia="en-GB"/>
              </w:rPr>
            </w:pPr>
            <w:r w:rsidRPr="00D533AE">
              <w:rPr>
                <w:rFonts w:ascii="Arial" w:eastAsia="Times New Roman" w:hAnsi="Arial" w:cs="Arial"/>
                <w:color w:val="000000" w:themeColor="text1"/>
                <w:kern w:val="24"/>
                <w:sz w:val="20"/>
                <w:szCs w:val="20"/>
                <w:lang w:val="fr-FR" w:eastAsia="en-GB"/>
              </w:rPr>
              <w:t xml:space="preserve">      Absent​</w:t>
            </w:r>
          </w:p>
          <w:p w14:paraId="39E9DEC3" w14:textId="77777777" w:rsidR="001C0C14" w:rsidRPr="00D533AE" w:rsidRDefault="001C0C14" w:rsidP="001C0C14">
            <w:pPr>
              <w:spacing w:after="0" w:line="240" w:lineRule="auto"/>
              <w:textAlignment w:val="baseline"/>
              <w:rPr>
                <w:rFonts w:ascii="Arial" w:eastAsia="Times New Roman" w:hAnsi="Arial" w:cs="Arial"/>
                <w:sz w:val="20"/>
                <w:szCs w:val="20"/>
                <w:lang w:val="fr-FR" w:eastAsia="en-GB"/>
              </w:rPr>
            </w:pPr>
            <w:r w:rsidRPr="00D533AE">
              <w:rPr>
                <w:rFonts w:ascii="Arial" w:eastAsia="Times New Roman" w:hAnsi="Arial" w:cs="Arial"/>
                <w:color w:val="000000" w:themeColor="text1"/>
                <w:kern w:val="24"/>
                <w:sz w:val="20"/>
                <w:szCs w:val="20"/>
                <w:lang w:val="fr-FR" w:eastAsia="en-GB"/>
              </w:rPr>
              <w:t xml:space="preserve">      </w:t>
            </w:r>
            <w:proofErr w:type="spellStart"/>
            <w:r w:rsidRPr="00D533AE">
              <w:rPr>
                <w:rFonts w:ascii="Arial" w:eastAsia="Times New Roman" w:hAnsi="Arial" w:cs="Arial"/>
                <w:color w:val="000000" w:themeColor="text1"/>
                <w:kern w:val="24"/>
                <w:sz w:val="20"/>
                <w:szCs w:val="20"/>
                <w:lang w:val="fr-FR" w:eastAsia="en-GB"/>
              </w:rPr>
              <w:t>Present</w:t>
            </w:r>
            <w:proofErr w:type="spellEnd"/>
            <w:r w:rsidRPr="00D533AE">
              <w:rPr>
                <w:rFonts w:ascii="Arial" w:eastAsia="Times New Roman" w:hAnsi="Arial" w:cs="Arial"/>
                <w:color w:val="000000" w:themeColor="text1"/>
                <w:kern w:val="24"/>
                <w:sz w:val="20"/>
                <w:szCs w:val="20"/>
                <w:lang w:val="fr-FR" w:eastAsia="en-GB"/>
              </w:rPr>
              <w:t> ​</w:t>
            </w:r>
          </w:p>
        </w:tc>
        <w:tc>
          <w:tcPr>
            <w:tcW w:w="1996" w:type="dxa"/>
            <w:tcBorders>
              <w:top w:val="nil"/>
              <w:left w:val="nil"/>
              <w:bottom w:val="nil"/>
              <w:right w:val="nil"/>
            </w:tcBorders>
            <w:shd w:val="clear" w:color="auto" w:fill="E7E7E7"/>
            <w:tcMar>
              <w:top w:w="179" w:type="dxa"/>
              <w:left w:w="358" w:type="dxa"/>
              <w:bottom w:w="179" w:type="dxa"/>
              <w:right w:w="358" w:type="dxa"/>
            </w:tcMar>
            <w:hideMark/>
          </w:tcPr>
          <w:p w14:paraId="5C13AA37" w14:textId="77777777" w:rsidR="002907AC" w:rsidRPr="00D533AE" w:rsidRDefault="002907AC" w:rsidP="001C0C14">
            <w:pPr>
              <w:spacing w:after="0" w:line="240" w:lineRule="auto"/>
              <w:jc w:val="center"/>
              <w:rPr>
                <w:rFonts w:ascii="Arial" w:eastAsia="Times New Roman" w:hAnsi="Arial" w:cs="Arial"/>
                <w:color w:val="000000" w:themeColor="text1"/>
                <w:kern w:val="24"/>
                <w:sz w:val="20"/>
                <w:szCs w:val="20"/>
                <w:lang w:val="fr-FR" w:eastAsia="en-GB"/>
              </w:rPr>
            </w:pPr>
          </w:p>
          <w:p w14:paraId="7975F5D7"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0</w:t>
            </w:r>
          </w:p>
          <w:p w14:paraId="3D652E98"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1</w:t>
            </w:r>
          </w:p>
        </w:tc>
      </w:tr>
      <w:tr w:rsidR="001C0C14" w:rsidRPr="00D533AE" w14:paraId="7F94533E" w14:textId="77777777" w:rsidTr="00C57BCD">
        <w:trPr>
          <w:trHeight w:val="650"/>
        </w:trPr>
        <w:tc>
          <w:tcPr>
            <w:tcW w:w="5504" w:type="dxa"/>
            <w:tcBorders>
              <w:top w:val="nil"/>
              <w:left w:val="nil"/>
              <w:bottom w:val="nil"/>
              <w:right w:val="nil"/>
            </w:tcBorders>
            <w:shd w:val="clear" w:color="auto" w:fill="auto"/>
            <w:tcMar>
              <w:top w:w="179" w:type="dxa"/>
              <w:left w:w="358" w:type="dxa"/>
              <w:bottom w:w="179" w:type="dxa"/>
              <w:right w:w="358" w:type="dxa"/>
            </w:tcMar>
            <w:hideMark/>
          </w:tcPr>
          <w:p w14:paraId="7939B888" w14:textId="77777777" w:rsidR="001C0C14" w:rsidRPr="00D533AE" w:rsidRDefault="001C0C14" w:rsidP="001C0C14">
            <w:pPr>
              <w:spacing w:after="0" w:line="240" w:lineRule="auto"/>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 xml:space="preserve">Total </w:t>
            </w:r>
          </w:p>
        </w:tc>
        <w:tc>
          <w:tcPr>
            <w:tcW w:w="1996" w:type="dxa"/>
            <w:tcBorders>
              <w:top w:val="nil"/>
              <w:left w:val="nil"/>
              <w:bottom w:val="nil"/>
              <w:right w:val="nil"/>
            </w:tcBorders>
            <w:shd w:val="clear" w:color="auto" w:fill="auto"/>
            <w:tcMar>
              <w:top w:w="179" w:type="dxa"/>
              <w:left w:w="358" w:type="dxa"/>
              <w:bottom w:w="179" w:type="dxa"/>
              <w:right w:w="358" w:type="dxa"/>
            </w:tcMar>
            <w:hideMark/>
          </w:tcPr>
          <w:p w14:paraId="3669454C" w14:textId="77777777" w:rsidR="001C0C14" w:rsidRPr="00D533AE" w:rsidRDefault="001C0C14" w:rsidP="001C0C14">
            <w:pPr>
              <w:spacing w:after="0" w:line="240" w:lineRule="auto"/>
              <w:jc w:val="center"/>
              <w:rPr>
                <w:rFonts w:ascii="Arial" w:eastAsia="Times New Roman" w:hAnsi="Arial" w:cs="Arial"/>
                <w:sz w:val="20"/>
                <w:szCs w:val="20"/>
                <w:lang w:eastAsia="en-GB"/>
              </w:rPr>
            </w:pPr>
            <w:r w:rsidRPr="00D533AE">
              <w:rPr>
                <w:rFonts w:ascii="Arial" w:eastAsia="Times New Roman" w:hAnsi="Arial" w:cs="Arial"/>
                <w:color w:val="000000" w:themeColor="text1"/>
                <w:kern w:val="24"/>
                <w:sz w:val="20"/>
                <w:szCs w:val="20"/>
                <w:lang w:val="en-US" w:eastAsia="en-GB"/>
              </w:rPr>
              <w:t>7</w:t>
            </w:r>
          </w:p>
        </w:tc>
      </w:tr>
    </w:tbl>
    <w:p w14:paraId="784A5B2B" w14:textId="77777777" w:rsidR="00C57BCD" w:rsidRPr="00D533AE" w:rsidRDefault="00C57BCD" w:rsidP="00C57BCD">
      <w:pPr>
        <w:spacing w:after="0" w:line="240" w:lineRule="auto"/>
        <w:rPr>
          <w:rFonts w:ascii="Arial" w:eastAsia="Times New Roman" w:hAnsi="Arial" w:cs="Arial"/>
          <w:color w:val="000000" w:themeColor="text1"/>
          <w:kern w:val="24"/>
          <w:lang w:val="en-US" w:eastAsia="en-GB"/>
        </w:rPr>
      </w:pPr>
      <w:r w:rsidRPr="00D533AE">
        <w:rPr>
          <w:rFonts w:ascii="Arial" w:eastAsiaTheme="minorEastAsia" w:hAnsi="Arial" w:cs="Arial"/>
          <w:b/>
          <w:bCs/>
          <w:color w:val="000000" w:themeColor="text1"/>
          <w:kern w:val="24"/>
        </w:rPr>
        <w:lastRenderedPageBreak/>
        <w:t>Legend to Table 1:</w:t>
      </w:r>
      <w:r w:rsidRPr="00D533AE">
        <w:rPr>
          <w:rFonts w:ascii="Arial" w:eastAsiaTheme="minorEastAsia" w:hAnsi="Arial" w:cs="Arial"/>
          <w:color w:val="000000" w:themeColor="text1"/>
          <w:kern w:val="24"/>
        </w:rPr>
        <w:t xml:space="preserve">  </w:t>
      </w:r>
      <w:r w:rsidR="00757D0C" w:rsidRPr="00D533AE">
        <w:rPr>
          <w:rFonts w:ascii="Arial" w:eastAsiaTheme="minorEastAsia" w:hAnsi="Arial" w:cs="Arial"/>
          <w:color w:val="000000" w:themeColor="text1"/>
          <w:kern w:val="24"/>
        </w:rPr>
        <w:t>E</w:t>
      </w:r>
      <w:r w:rsidR="00FA5E0B" w:rsidRPr="00D533AE">
        <w:rPr>
          <w:rFonts w:ascii="Arial" w:eastAsiaTheme="minorEastAsia" w:hAnsi="Arial" w:cs="Arial"/>
          <w:color w:val="000000" w:themeColor="text1"/>
          <w:kern w:val="24"/>
        </w:rPr>
        <w:t>xcept where otherwise stated, e</w:t>
      </w:r>
      <w:r w:rsidR="00757D0C" w:rsidRPr="00D533AE">
        <w:rPr>
          <w:rFonts w:ascii="Arial" w:eastAsiaTheme="minorEastAsia" w:hAnsi="Arial" w:cs="Arial"/>
          <w:color w:val="000000" w:themeColor="text1"/>
          <w:kern w:val="24"/>
        </w:rPr>
        <w:t>ach feature was assessed within a standardised depth of tissue 7.2mm from the osteochondral junction into the bone and width of 15.5mm in each section.</w:t>
      </w:r>
      <w:r w:rsidR="00887DBB" w:rsidRPr="00D533AE">
        <w:rPr>
          <w:rFonts w:ascii="Arial" w:eastAsiaTheme="minorEastAsia" w:hAnsi="Arial" w:cs="Arial"/>
          <w:color w:val="000000" w:themeColor="text1"/>
          <w:kern w:val="24"/>
        </w:rPr>
        <w:t xml:space="preserve"> The grade of 0/1 was used for each category to have a simple and semiquantitative scoring/classification method</w:t>
      </w:r>
    </w:p>
    <w:p w14:paraId="57988551" w14:textId="77777777" w:rsidR="00C57BCD" w:rsidRPr="00D533AE" w:rsidRDefault="00C57BCD" w:rsidP="00C57BCD">
      <w:pPr>
        <w:spacing w:after="0" w:line="240" w:lineRule="auto"/>
        <w:rPr>
          <w:rFonts w:ascii="Arial" w:eastAsia="Times New Roman" w:hAnsi="Arial" w:cs="Arial"/>
          <w:color w:val="000000" w:themeColor="text1"/>
          <w:kern w:val="24"/>
          <w:lang w:val="en-US" w:eastAsia="en-GB"/>
        </w:rPr>
      </w:pPr>
      <w:bookmarkStart w:id="16" w:name="_Hlk88125701"/>
      <w:r w:rsidRPr="00D533AE">
        <w:rPr>
          <w:rFonts w:ascii="Arial" w:eastAsia="Times New Roman" w:hAnsi="Arial" w:cs="Arial"/>
          <w:b/>
          <w:bCs/>
          <w:color w:val="000000" w:themeColor="text1"/>
          <w:kern w:val="24"/>
          <w:lang w:val="en-US" w:eastAsia="en-GB"/>
        </w:rPr>
        <w:t>Cyst:</w:t>
      </w:r>
      <w:r w:rsidRPr="00D533AE">
        <w:rPr>
          <w:rFonts w:ascii="Arial" w:eastAsia="Times New Roman" w:hAnsi="Arial" w:cs="Arial"/>
          <w:color w:val="000000" w:themeColor="text1"/>
          <w:kern w:val="24"/>
          <w:lang w:val="en-US" w:eastAsia="en-GB"/>
        </w:rPr>
        <w:t xml:space="preserve"> a thin</w:t>
      </w:r>
      <w:r w:rsidR="00A459B8" w:rsidRPr="00D533AE">
        <w:rPr>
          <w:rFonts w:ascii="Arial" w:eastAsia="Times New Roman" w:hAnsi="Arial" w:cs="Arial"/>
          <w:color w:val="000000" w:themeColor="text1"/>
          <w:kern w:val="24"/>
          <w:lang w:val="en-US" w:eastAsia="en-GB"/>
        </w:rPr>
        <w:t>-</w:t>
      </w:r>
      <w:r w:rsidRPr="00D533AE">
        <w:rPr>
          <w:rFonts w:ascii="Arial" w:eastAsia="Times New Roman" w:hAnsi="Arial" w:cs="Arial"/>
          <w:color w:val="000000" w:themeColor="text1"/>
          <w:kern w:val="24"/>
          <w:lang w:val="en-US" w:eastAsia="en-GB"/>
        </w:rPr>
        <w:t xml:space="preserve">walled cavity containing fluid </w:t>
      </w:r>
    </w:p>
    <w:p w14:paraId="113F68A5" w14:textId="77777777" w:rsidR="00C57BCD" w:rsidRPr="00D533AE" w:rsidRDefault="00C57BCD" w:rsidP="00C57BCD">
      <w:pPr>
        <w:spacing w:after="0" w:line="240" w:lineRule="auto"/>
        <w:rPr>
          <w:rFonts w:ascii="Arial" w:eastAsia="Times New Roman" w:hAnsi="Arial" w:cs="Arial"/>
          <w:color w:val="000000" w:themeColor="text1"/>
          <w:kern w:val="24"/>
          <w:lang w:val="en-US" w:eastAsia="en-GB"/>
        </w:rPr>
      </w:pPr>
      <w:r w:rsidRPr="00D533AE">
        <w:rPr>
          <w:rFonts w:ascii="Arial" w:eastAsia="Times New Roman" w:hAnsi="Arial" w:cs="Arial"/>
          <w:b/>
          <w:bCs/>
          <w:color w:val="000000" w:themeColor="text1"/>
          <w:kern w:val="24"/>
          <w:lang w:val="en-US" w:eastAsia="en-GB"/>
        </w:rPr>
        <w:t>Fibrosis</w:t>
      </w:r>
      <w:r w:rsidRPr="00D533AE">
        <w:rPr>
          <w:rFonts w:ascii="Arial" w:eastAsia="Times New Roman" w:hAnsi="Arial" w:cs="Arial"/>
          <w:color w:val="000000" w:themeColor="text1"/>
          <w:kern w:val="24"/>
          <w:lang w:val="en-US" w:eastAsia="en-GB"/>
        </w:rPr>
        <w:t>: Presence of fibrous connective tissue within bone marrow space</w:t>
      </w:r>
    </w:p>
    <w:p w14:paraId="489E2ADA" w14:textId="77777777" w:rsidR="00C57BCD" w:rsidRPr="00D533AE" w:rsidRDefault="00C57BCD" w:rsidP="00C57BCD">
      <w:pPr>
        <w:spacing w:after="0" w:line="240" w:lineRule="auto"/>
        <w:rPr>
          <w:rFonts w:ascii="Arial" w:eastAsia="Times New Roman" w:hAnsi="Arial" w:cs="Arial"/>
          <w:color w:val="000000" w:themeColor="text1"/>
          <w:kern w:val="24"/>
          <w:lang w:val="en-US" w:eastAsia="en-GB"/>
        </w:rPr>
      </w:pPr>
      <w:r w:rsidRPr="00D533AE">
        <w:rPr>
          <w:rFonts w:ascii="Arial" w:eastAsia="Times New Roman" w:hAnsi="Arial" w:cs="Arial"/>
          <w:b/>
          <w:bCs/>
          <w:color w:val="000000" w:themeColor="text1"/>
          <w:kern w:val="24"/>
          <w:lang w:val="en-US" w:eastAsia="en-GB"/>
        </w:rPr>
        <w:t>Blood vessels</w:t>
      </w:r>
      <w:r w:rsidRPr="00D533AE">
        <w:rPr>
          <w:rFonts w:ascii="Arial" w:eastAsia="Times New Roman" w:hAnsi="Arial" w:cs="Arial"/>
          <w:color w:val="000000" w:themeColor="text1"/>
          <w:kern w:val="24"/>
          <w:lang w:val="en-US" w:eastAsia="en-GB"/>
        </w:rPr>
        <w:t xml:space="preserve">: </w:t>
      </w:r>
      <w:r w:rsidR="00A459B8" w:rsidRPr="00D533AE">
        <w:rPr>
          <w:rFonts w:ascii="Arial" w:eastAsia="Times New Roman" w:hAnsi="Arial" w:cs="Arial"/>
          <w:color w:val="000000" w:themeColor="text1"/>
          <w:kern w:val="24"/>
          <w:lang w:val="en-US" w:eastAsia="en-GB"/>
        </w:rPr>
        <w:t xml:space="preserve">Annular or linear structures containing </w:t>
      </w:r>
      <w:r w:rsidRPr="00D533AE">
        <w:rPr>
          <w:rFonts w:ascii="Arial" w:eastAsia="Times New Roman" w:hAnsi="Arial" w:cs="Arial"/>
          <w:color w:val="000000" w:themeColor="text1"/>
          <w:kern w:val="24"/>
          <w:lang w:val="en-US" w:eastAsia="en-GB"/>
        </w:rPr>
        <w:t xml:space="preserve">smooth muscle </w:t>
      </w:r>
      <w:r w:rsidR="00A459B8" w:rsidRPr="00D533AE">
        <w:rPr>
          <w:rFonts w:ascii="Arial" w:eastAsia="Times New Roman" w:hAnsi="Arial" w:cs="Arial"/>
          <w:color w:val="000000" w:themeColor="text1"/>
          <w:kern w:val="24"/>
          <w:lang w:val="en-US" w:eastAsia="en-GB"/>
        </w:rPr>
        <w:t>or red cells</w:t>
      </w:r>
    </w:p>
    <w:p w14:paraId="76DECDC6" w14:textId="77777777" w:rsidR="00C57BCD" w:rsidRPr="00D533AE" w:rsidRDefault="00C57BCD" w:rsidP="00C57BCD">
      <w:pPr>
        <w:spacing w:after="0" w:line="240" w:lineRule="auto"/>
        <w:rPr>
          <w:rFonts w:ascii="Arial" w:eastAsia="Times New Roman" w:hAnsi="Arial" w:cs="Arial"/>
          <w:color w:val="000000" w:themeColor="text1"/>
          <w:kern w:val="24"/>
          <w:lang w:val="en-US" w:eastAsia="en-GB"/>
        </w:rPr>
      </w:pPr>
      <w:r w:rsidRPr="00D533AE">
        <w:rPr>
          <w:rFonts w:ascii="Arial" w:eastAsia="Times New Roman" w:hAnsi="Arial" w:cs="Arial"/>
          <w:b/>
          <w:bCs/>
          <w:color w:val="000000" w:themeColor="text1"/>
          <w:kern w:val="24"/>
          <w:lang w:val="en-US" w:eastAsia="en-GB"/>
        </w:rPr>
        <w:t>Cartilage islands</w:t>
      </w:r>
      <w:r w:rsidRPr="00D533AE">
        <w:rPr>
          <w:rFonts w:ascii="Arial" w:eastAsia="Times New Roman" w:hAnsi="Arial" w:cs="Arial"/>
          <w:color w:val="000000" w:themeColor="text1"/>
          <w:kern w:val="24"/>
          <w:lang w:val="en-US" w:eastAsia="en-GB"/>
        </w:rPr>
        <w:t xml:space="preserve">: </w:t>
      </w:r>
      <w:r w:rsidR="00A459B8" w:rsidRPr="00D533AE">
        <w:rPr>
          <w:rFonts w:ascii="Arial" w:eastAsia="Times New Roman" w:hAnsi="Arial" w:cs="Arial"/>
          <w:color w:val="000000" w:themeColor="text1"/>
          <w:kern w:val="24"/>
          <w:lang w:val="en-US" w:eastAsia="en-GB"/>
        </w:rPr>
        <w:t>E</w:t>
      </w:r>
      <w:r w:rsidRPr="00D533AE">
        <w:rPr>
          <w:rFonts w:ascii="Arial" w:eastAsia="Times New Roman" w:hAnsi="Arial" w:cs="Arial"/>
          <w:color w:val="000000" w:themeColor="text1"/>
          <w:kern w:val="24"/>
          <w:lang w:val="en-US" w:eastAsia="en-GB"/>
        </w:rPr>
        <w:t xml:space="preserve">xtracellular matrix </w:t>
      </w:r>
      <w:r w:rsidR="00DC1D96" w:rsidRPr="00D533AE">
        <w:rPr>
          <w:rFonts w:ascii="Arial" w:eastAsia="Times New Roman" w:hAnsi="Arial" w:cs="Arial"/>
          <w:color w:val="000000" w:themeColor="text1"/>
          <w:kern w:val="24"/>
          <w:lang w:val="en-US" w:eastAsia="en-GB"/>
        </w:rPr>
        <w:t xml:space="preserve">staining pink by Safranin O or eosin, </w:t>
      </w:r>
      <w:r w:rsidR="00A459B8" w:rsidRPr="00D533AE">
        <w:rPr>
          <w:rFonts w:ascii="Arial" w:eastAsia="Times New Roman" w:hAnsi="Arial" w:cs="Arial"/>
          <w:color w:val="000000" w:themeColor="text1"/>
          <w:kern w:val="24"/>
          <w:lang w:val="en-US" w:eastAsia="en-GB"/>
        </w:rPr>
        <w:t>containing chondrocyte-like mononuclear cells</w:t>
      </w:r>
    </w:p>
    <w:p w14:paraId="5C892A4D" w14:textId="77777777" w:rsidR="00C57BCD" w:rsidRPr="00D533AE" w:rsidRDefault="00C57BCD" w:rsidP="00C57BCD">
      <w:pPr>
        <w:spacing w:after="0" w:line="240" w:lineRule="auto"/>
        <w:rPr>
          <w:rFonts w:ascii="Arial" w:eastAsia="Times New Roman" w:hAnsi="Arial" w:cs="Arial"/>
          <w:color w:val="000000" w:themeColor="text1"/>
          <w:kern w:val="24"/>
          <w:lang w:val="en-US" w:eastAsia="en-GB"/>
        </w:rPr>
      </w:pPr>
      <w:r w:rsidRPr="00D533AE">
        <w:rPr>
          <w:rFonts w:ascii="Arial" w:eastAsia="Times New Roman" w:hAnsi="Arial" w:cs="Arial"/>
          <w:b/>
          <w:bCs/>
          <w:color w:val="000000" w:themeColor="text1"/>
          <w:kern w:val="24"/>
          <w:lang w:val="en-US" w:eastAsia="en-GB"/>
        </w:rPr>
        <w:t>Trabecular thickening</w:t>
      </w:r>
      <w:r w:rsidRPr="00D533AE">
        <w:rPr>
          <w:rFonts w:ascii="Arial" w:eastAsia="Times New Roman" w:hAnsi="Arial" w:cs="Arial"/>
          <w:color w:val="000000" w:themeColor="text1"/>
          <w:kern w:val="24"/>
          <w:lang w:val="en-US" w:eastAsia="en-GB"/>
        </w:rPr>
        <w:t>: at least two trabeculae per section with trabecular thickening defined as &gt; 200 µm at its widest point</w:t>
      </w:r>
      <w:r w:rsidR="00143BCD" w:rsidRPr="00D533AE">
        <w:rPr>
          <w:rFonts w:ascii="Arial" w:eastAsia="Times New Roman" w:hAnsi="Arial" w:cs="Arial"/>
          <w:color w:val="000000" w:themeColor="text1"/>
          <w:kern w:val="24"/>
          <w:lang w:val="en-US" w:eastAsia="en-GB"/>
        </w:rPr>
        <w:t>.</w:t>
      </w:r>
      <w:r w:rsidR="00FA5E0B" w:rsidRPr="00D533AE">
        <w:t xml:space="preserve"> </w:t>
      </w:r>
      <w:r w:rsidR="00FA5E0B" w:rsidRPr="00D533AE">
        <w:rPr>
          <w:rFonts w:ascii="Arial" w:eastAsia="Times New Roman" w:hAnsi="Arial" w:cs="Arial"/>
          <w:color w:val="000000" w:themeColor="text1"/>
          <w:kern w:val="24"/>
          <w:lang w:val="en-US" w:eastAsia="en-GB"/>
        </w:rPr>
        <w:t>Trabecular thickness was evaluated within 1mm below the chondro-osseous junction.</w:t>
      </w:r>
    </w:p>
    <w:p w14:paraId="1528B21A" w14:textId="77777777" w:rsidR="00C57BCD" w:rsidRPr="00D533AE" w:rsidRDefault="00C57BCD" w:rsidP="00C57BCD">
      <w:pPr>
        <w:spacing w:after="0" w:line="240" w:lineRule="auto"/>
        <w:rPr>
          <w:rFonts w:ascii="Arial" w:eastAsia="Times New Roman" w:hAnsi="Arial" w:cs="Arial"/>
          <w:color w:val="000000" w:themeColor="text1"/>
          <w:kern w:val="24"/>
          <w:lang w:val="en-US" w:eastAsia="en-GB"/>
        </w:rPr>
      </w:pPr>
      <w:r w:rsidRPr="00D533AE">
        <w:rPr>
          <w:rFonts w:ascii="Arial" w:eastAsia="Times New Roman" w:hAnsi="Arial" w:cs="Arial"/>
          <w:b/>
          <w:bCs/>
          <w:color w:val="000000" w:themeColor="text1"/>
          <w:kern w:val="24"/>
          <w:lang w:val="en-US" w:eastAsia="en-GB"/>
        </w:rPr>
        <w:t>Tidemark integrity</w:t>
      </w:r>
      <w:r w:rsidRPr="00D533AE">
        <w:rPr>
          <w:rFonts w:ascii="Arial" w:eastAsia="Times New Roman" w:hAnsi="Arial" w:cs="Arial"/>
          <w:color w:val="000000" w:themeColor="text1"/>
          <w:kern w:val="24"/>
          <w:lang w:val="en-US" w:eastAsia="en-GB"/>
        </w:rPr>
        <w:t>: presence of at least once blood vessel breaching the tidemark</w:t>
      </w:r>
    </w:p>
    <w:p w14:paraId="55455906" w14:textId="0EA5D305" w:rsidR="00C57BCD" w:rsidRPr="00D533AE" w:rsidRDefault="00C57BCD" w:rsidP="00C57BCD">
      <w:pPr>
        <w:rPr>
          <w:rFonts w:ascii="Arial" w:eastAsia="Times New Roman" w:hAnsi="Arial" w:cs="Arial"/>
          <w:color w:val="000000" w:themeColor="text1"/>
          <w:kern w:val="24"/>
          <w:lang w:val="en-US" w:eastAsia="en-GB"/>
        </w:rPr>
      </w:pPr>
      <w:r w:rsidRPr="00D533AE">
        <w:rPr>
          <w:rFonts w:ascii="Arial" w:eastAsia="Times New Roman" w:hAnsi="Arial" w:cs="Arial"/>
          <w:b/>
          <w:bCs/>
          <w:color w:val="000000" w:themeColor="text1"/>
          <w:kern w:val="24"/>
          <w:lang w:val="en-US" w:eastAsia="en-GB"/>
        </w:rPr>
        <w:t>Inflammation</w:t>
      </w:r>
      <w:r w:rsidRPr="00D533AE">
        <w:rPr>
          <w:rFonts w:ascii="Arial" w:eastAsia="Times New Roman" w:hAnsi="Arial" w:cs="Arial"/>
          <w:color w:val="000000" w:themeColor="text1"/>
          <w:kern w:val="24"/>
          <w:lang w:val="en-US" w:eastAsia="en-GB"/>
        </w:rPr>
        <w:t xml:space="preserve">: </w:t>
      </w:r>
      <w:r w:rsidR="00A459B8" w:rsidRPr="00D533AE">
        <w:rPr>
          <w:rFonts w:ascii="Arial" w:eastAsia="Times New Roman" w:hAnsi="Arial" w:cs="Arial"/>
          <w:color w:val="000000" w:themeColor="text1"/>
          <w:kern w:val="24"/>
          <w:lang w:val="en-US" w:eastAsia="en-GB"/>
        </w:rPr>
        <w:t xml:space="preserve">hypercellular fibrovascular infiltration of marrow spaces in at least </w:t>
      </w:r>
      <w:r w:rsidR="00D4324F" w:rsidRPr="00D533AE">
        <w:rPr>
          <w:rFonts w:ascii="Arial" w:eastAsia="Times New Roman" w:hAnsi="Arial" w:cs="Arial"/>
          <w:color w:val="000000" w:themeColor="text1"/>
          <w:kern w:val="24"/>
          <w:lang w:val="en-US" w:eastAsia="en-GB"/>
        </w:rPr>
        <w:t>1</w:t>
      </w:r>
      <w:r w:rsidR="00A459B8" w:rsidRPr="00D533AE">
        <w:rPr>
          <w:rFonts w:ascii="Arial" w:eastAsia="Times New Roman" w:hAnsi="Arial" w:cs="Arial"/>
          <w:color w:val="000000" w:themeColor="text1"/>
          <w:kern w:val="24"/>
          <w:lang w:val="en-US" w:eastAsia="en-GB"/>
        </w:rPr>
        <w:t xml:space="preserve"> region per section, </w:t>
      </w:r>
      <w:r w:rsidRPr="00D533AE">
        <w:rPr>
          <w:rFonts w:ascii="Arial" w:eastAsia="Times New Roman" w:hAnsi="Arial" w:cs="Arial"/>
          <w:color w:val="000000" w:themeColor="text1"/>
          <w:kern w:val="24"/>
          <w:lang w:val="en-US" w:eastAsia="en-GB"/>
        </w:rPr>
        <w:t xml:space="preserve">containing any or </w:t>
      </w:r>
      <w:proofErr w:type="gramStart"/>
      <w:r w:rsidRPr="00D533AE">
        <w:rPr>
          <w:rFonts w:ascii="Arial" w:eastAsia="Times New Roman" w:hAnsi="Arial" w:cs="Arial"/>
          <w:color w:val="000000" w:themeColor="text1"/>
          <w:kern w:val="24"/>
          <w:lang w:val="en-US" w:eastAsia="en-GB"/>
        </w:rPr>
        <w:t>all of</w:t>
      </w:r>
      <w:proofErr w:type="gramEnd"/>
      <w:r w:rsidRPr="00D533AE">
        <w:rPr>
          <w:rFonts w:ascii="Arial" w:eastAsia="Times New Roman" w:hAnsi="Arial" w:cs="Arial"/>
          <w:color w:val="000000" w:themeColor="text1"/>
          <w:kern w:val="24"/>
          <w:lang w:val="en-US" w:eastAsia="en-GB"/>
        </w:rPr>
        <w:t xml:space="preserve"> the following: macrophages, lymphocytes, neutrophils, eosinophils, plasma cells or histiocytes</w:t>
      </w:r>
    </w:p>
    <w:bookmarkEnd w:id="16"/>
    <w:p w14:paraId="60752341" w14:textId="77777777" w:rsidR="00D541FB" w:rsidRPr="00D533AE" w:rsidRDefault="00D541FB" w:rsidP="00C57BCD">
      <w:pPr>
        <w:rPr>
          <w:rFonts w:ascii="Arial" w:eastAsiaTheme="minorEastAsia" w:hAnsi="Arial" w:cs="Arial"/>
          <w:color w:val="000000" w:themeColor="text1"/>
          <w:kern w:val="24"/>
        </w:rPr>
      </w:pPr>
    </w:p>
    <w:p w14:paraId="08D659EC" w14:textId="77777777" w:rsidR="00FD3EDF" w:rsidRPr="00D533AE" w:rsidRDefault="00FD3EDF">
      <w:pPr>
        <w:rPr>
          <w:rFonts w:ascii="Arial" w:eastAsiaTheme="minorEastAsia" w:hAnsi="Arial" w:cs="Arial"/>
          <w:color w:val="000000" w:themeColor="text1"/>
          <w:kern w:val="24"/>
        </w:rPr>
      </w:pPr>
    </w:p>
    <w:p w14:paraId="22445607" w14:textId="77777777" w:rsidR="00417E71" w:rsidRPr="00D533AE" w:rsidRDefault="00417E71">
      <w:pPr>
        <w:rPr>
          <w:rFonts w:ascii="Arial" w:eastAsiaTheme="minorEastAsia" w:hAnsi="Arial" w:cs="Arial"/>
          <w:color w:val="000000" w:themeColor="text1"/>
          <w:kern w:val="24"/>
        </w:rPr>
      </w:pPr>
    </w:p>
    <w:p w14:paraId="32A51339" w14:textId="77777777" w:rsidR="00417E71" w:rsidRPr="00D533AE" w:rsidRDefault="00417E71">
      <w:pPr>
        <w:rPr>
          <w:rFonts w:ascii="Arial" w:eastAsiaTheme="minorEastAsia" w:hAnsi="Arial" w:cs="Arial"/>
          <w:color w:val="000000" w:themeColor="text1"/>
          <w:kern w:val="24"/>
        </w:rPr>
      </w:pPr>
    </w:p>
    <w:p w14:paraId="01DF52E5" w14:textId="77777777" w:rsidR="00417E71" w:rsidRPr="00D533AE" w:rsidRDefault="00417E71">
      <w:pPr>
        <w:rPr>
          <w:rFonts w:ascii="Arial" w:eastAsiaTheme="minorEastAsia" w:hAnsi="Arial" w:cs="Arial"/>
          <w:color w:val="000000" w:themeColor="text1"/>
          <w:kern w:val="24"/>
        </w:rPr>
      </w:pPr>
    </w:p>
    <w:p w14:paraId="6F7BBEDB" w14:textId="77777777" w:rsidR="00417E71" w:rsidRPr="00D533AE" w:rsidRDefault="00417E71">
      <w:pPr>
        <w:rPr>
          <w:rFonts w:ascii="Arial" w:eastAsiaTheme="minorEastAsia" w:hAnsi="Arial" w:cs="Arial"/>
          <w:color w:val="000000" w:themeColor="text1"/>
          <w:kern w:val="24"/>
        </w:rPr>
      </w:pPr>
    </w:p>
    <w:p w14:paraId="7955C314" w14:textId="77777777" w:rsidR="00417E71" w:rsidRPr="00D533AE" w:rsidRDefault="00417E71">
      <w:pPr>
        <w:rPr>
          <w:rFonts w:ascii="Arial" w:eastAsiaTheme="minorEastAsia" w:hAnsi="Arial" w:cs="Arial"/>
          <w:color w:val="000000" w:themeColor="text1"/>
          <w:kern w:val="24"/>
        </w:rPr>
      </w:pPr>
    </w:p>
    <w:p w14:paraId="6A29E035" w14:textId="77777777" w:rsidR="00417E71" w:rsidRPr="00D533AE" w:rsidRDefault="00417E71">
      <w:pPr>
        <w:rPr>
          <w:rFonts w:ascii="Arial" w:eastAsiaTheme="minorEastAsia" w:hAnsi="Arial" w:cs="Arial"/>
          <w:color w:val="000000" w:themeColor="text1"/>
          <w:kern w:val="24"/>
        </w:rPr>
      </w:pPr>
    </w:p>
    <w:p w14:paraId="638B3A87" w14:textId="77777777" w:rsidR="00417E71" w:rsidRPr="00D533AE" w:rsidRDefault="00417E71">
      <w:pPr>
        <w:rPr>
          <w:rFonts w:ascii="Arial" w:eastAsiaTheme="minorEastAsia" w:hAnsi="Arial" w:cs="Arial"/>
          <w:color w:val="000000" w:themeColor="text1"/>
          <w:kern w:val="24"/>
        </w:rPr>
      </w:pPr>
    </w:p>
    <w:p w14:paraId="6F512EBF" w14:textId="77777777" w:rsidR="00417E71" w:rsidRPr="00D533AE" w:rsidRDefault="00417E71">
      <w:pPr>
        <w:rPr>
          <w:rFonts w:ascii="Arial" w:eastAsiaTheme="minorEastAsia" w:hAnsi="Arial" w:cs="Arial"/>
          <w:color w:val="000000" w:themeColor="text1"/>
          <w:kern w:val="24"/>
        </w:rPr>
      </w:pPr>
    </w:p>
    <w:p w14:paraId="187B5032" w14:textId="77777777" w:rsidR="00417E71" w:rsidRPr="00D533AE" w:rsidRDefault="00417E71">
      <w:pPr>
        <w:rPr>
          <w:rFonts w:ascii="Arial" w:eastAsiaTheme="minorEastAsia" w:hAnsi="Arial" w:cs="Arial"/>
          <w:color w:val="000000" w:themeColor="text1"/>
          <w:kern w:val="24"/>
        </w:rPr>
        <w:sectPr w:rsidR="00417E71" w:rsidRPr="00D533AE" w:rsidSect="00F56AFD">
          <w:footerReference w:type="default" r:id="rId20"/>
          <w:type w:val="continuous"/>
          <w:pgSz w:w="11906" w:h="16838"/>
          <w:pgMar w:top="1440" w:right="1440" w:bottom="1440" w:left="1440" w:header="709" w:footer="709" w:gutter="0"/>
          <w:lnNumType w:countBy="1" w:restart="continuous"/>
          <w:cols w:space="708"/>
          <w:docGrid w:linePitch="360"/>
        </w:sectPr>
      </w:pPr>
    </w:p>
    <w:p w14:paraId="4DC05CEA" w14:textId="77777777" w:rsidR="00C334A8" w:rsidRPr="00D533AE" w:rsidRDefault="00F22734" w:rsidP="00D9452A">
      <w:pPr>
        <w:rPr>
          <w:rFonts w:ascii="Arial" w:eastAsiaTheme="minorEastAsia" w:hAnsi="Arial" w:cs="Arial"/>
          <w:b/>
          <w:bCs/>
          <w:color w:val="000000" w:themeColor="text1"/>
          <w:kern w:val="24"/>
        </w:rPr>
      </w:pPr>
      <w:r w:rsidRPr="00D533AE">
        <w:rPr>
          <w:rFonts w:ascii="Arial" w:eastAsiaTheme="minorEastAsia" w:hAnsi="Arial" w:cs="Arial"/>
          <w:b/>
          <w:bCs/>
          <w:color w:val="000000" w:themeColor="text1"/>
          <w:kern w:val="24"/>
        </w:rPr>
        <w:lastRenderedPageBreak/>
        <w:t xml:space="preserve">Table 2. </w:t>
      </w:r>
      <w:r w:rsidR="00701D3D" w:rsidRPr="00D533AE">
        <w:rPr>
          <w:rFonts w:ascii="Arial" w:eastAsiaTheme="minorEastAsia" w:hAnsi="Arial" w:cs="Arial"/>
          <w:b/>
          <w:bCs/>
          <w:color w:val="000000" w:themeColor="text1"/>
          <w:kern w:val="24"/>
        </w:rPr>
        <w:t>D</w:t>
      </w:r>
      <w:r w:rsidRPr="00D533AE">
        <w:rPr>
          <w:rFonts w:ascii="Arial" w:eastAsiaTheme="minorEastAsia" w:hAnsi="Arial" w:cs="Arial"/>
          <w:b/>
          <w:bCs/>
          <w:color w:val="000000" w:themeColor="text1"/>
          <w:kern w:val="24"/>
        </w:rPr>
        <w:t>emographics</w:t>
      </w:r>
      <w:r w:rsidR="00701D3D" w:rsidRPr="00D533AE">
        <w:rPr>
          <w:rFonts w:ascii="Arial" w:eastAsiaTheme="minorEastAsia" w:hAnsi="Arial" w:cs="Arial"/>
          <w:b/>
          <w:bCs/>
          <w:color w:val="000000" w:themeColor="text1"/>
          <w:kern w:val="24"/>
        </w:rPr>
        <w:t>, clinical and histopathology scores in developmental study groups</w:t>
      </w:r>
    </w:p>
    <w:p w14:paraId="67B9532C" w14:textId="77777777" w:rsidR="000C3937" w:rsidRPr="00D533AE" w:rsidRDefault="000C3937" w:rsidP="00D9452A">
      <w:pPr>
        <w:rPr>
          <w:rFonts w:ascii="Arial" w:eastAsiaTheme="minorEastAsia" w:hAnsi="Arial" w:cs="Arial"/>
          <w:color w:val="000000" w:themeColor="text1"/>
          <w:kern w:val="24"/>
        </w:rPr>
      </w:pPr>
    </w:p>
    <w:tbl>
      <w:tblPr>
        <w:tblW w:w="14560" w:type="dxa"/>
        <w:tblCellMar>
          <w:left w:w="0" w:type="dxa"/>
          <w:right w:w="0" w:type="dxa"/>
        </w:tblCellMar>
        <w:tblLook w:val="0420" w:firstRow="1" w:lastRow="0" w:firstColumn="0" w:lastColumn="0" w:noHBand="0" w:noVBand="1"/>
      </w:tblPr>
      <w:tblGrid>
        <w:gridCol w:w="2800"/>
        <w:gridCol w:w="3700"/>
        <w:gridCol w:w="1920"/>
        <w:gridCol w:w="2200"/>
        <w:gridCol w:w="1340"/>
        <w:gridCol w:w="2600"/>
      </w:tblGrid>
      <w:tr w:rsidR="003C0F52" w:rsidRPr="00D533AE" w14:paraId="5F410BDE" w14:textId="77777777" w:rsidTr="00752C8E">
        <w:trPr>
          <w:trHeight w:val="1169"/>
        </w:trPr>
        <w:tc>
          <w:tcPr>
            <w:tcW w:w="2800" w:type="dxa"/>
            <w:tcBorders>
              <w:top w:val="single" w:sz="8" w:space="0" w:color="000000"/>
              <w:left w:val="nil"/>
              <w:bottom w:val="single" w:sz="8" w:space="0" w:color="000000"/>
              <w:right w:val="nil"/>
            </w:tcBorders>
            <w:shd w:val="clear" w:color="auto" w:fill="auto"/>
            <w:tcMar>
              <w:top w:w="53" w:type="dxa"/>
              <w:left w:w="106" w:type="dxa"/>
              <w:bottom w:w="53" w:type="dxa"/>
              <w:right w:w="106" w:type="dxa"/>
            </w:tcMar>
          </w:tcPr>
          <w:p w14:paraId="4BB8BAD7" w14:textId="77777777" w:rsidR="003C0F52" w:rsidRPr="00D533AE" w:rsidRDefault="003C0F52" w:rsidP="00230580">
            <w:pPr>
              <w:spacing w:line="254" w:lineRule="auto"/>
              <w:rPr>
                <w:rFonts w:ascii="Calibri" w:eastAsia="Times New Roman" w:hAnsi="Calibri" w:cs="Calibri"/>
                <w:b/>
                <w:bCs/>
                <w:color w:val="000000" w:themeColor="text1"/>
                <w:kern w:val="24"/>
                <w:sz w:val="28"/>
                <w:szCs w:val="28"/>
              </w:rPr>
            </w:pPr>
          </w:p>
        </w:tc>
        <w:tc>
          <w:tcPr>
            <w:tcW w:w="7820" w:type="dxa"/>
            <w:gridSpan w:val="3"/>
            <w:tcBorders>
              <w:top w:val="single" w:sz="8" w:space="0" w:color="000000"/>
              <w:left w:val="nil"/>
              <w:bottom w:val="single" w:sz="8" w:space="0" w:color="000000"/>
              <w:right w:val="nil"/>
            </w:tcBorders>
            <w:shd w:val="clear" w:color="auto" w:fill="auto"/>
            <w:tcMar>
              <w:top w:w="53" w:type="dxa"/>
              <w:left w:w="106" w:type="dxa"/>
              <w:bottom w:w="53" w:type="dxa"/>
              <w:right w:w="106" w:type="dxa"/>
            </w:tcMar>
          </w:tcPr>
          <w:p w14:paraId="08E4AD9D" w14:textId="77777777" w:rsidR="003C0F52" w:rsidRPr="00D533AE" w:rsidRDefault="003C0F52" w:rsidP="00230580">
            <w:pPr>
              <w:spacing w:line="254" w:lineRule="auto"/>
              <w:jc w:val="center"/>
              <w:rPr>
                <w:rFonts w:ascii="Calibri" w:eastAsia="Times New Roman" w:hAnsi="Calibri" w:cs="Calibri"/>
                <w:b/>
                <w:bCs/>
                <w:color w:val="000000" w:themeColor="text1"/>
                <w:kern w:val="24"/>
                <w:sz w:val="28"/>
                <w:szCs w:val="28"/>
              </w:rPr>
            </w:pPr>
            <w:r w:rsidRPr="00D533AE">
              <w:rPr>
                <w:rFonts w:ascii="Calibri" w:eastAsia="Times New Roman" w:hAnsi="Calibri" w:cs="Calibri"/>
                <w:b/>
                <w:bCs/>
                <w:color w:val="000000" w:themeColor="text1"/>
                <w:kern w:val="24"/>
                <w:sz w:val="28"/>
                <w:szCs w:val="28"/>
              </w:rPr>
              <w:t>Developmental set</w:t>
            </w:r>
          </w:p>
          <w:p w14:paraId="47E51BE7" w14:textId="77777777" w:rsidR="003C0F52" w:rsidRPr="00D533AE" w:rsidRDefault="003C0F52" w:rsidP="00230580">
            <w:pPr>
              <w:spacing w:line="254" w:lineRule="auto"/>
              <w:jc w:val="center"/>
              <w:rPr>
                <w:rFonts w:ascii="Calibri" w:eastAsia="Times New Roman" w:hAnsi="Calibri" w:cs="Calibri"/>
                <w:color w:val="000000" w:themeColor="text1"/>
                <w:kern w:val="24"/>
                <w:sz w:val="28"/>
                <w:szCs w:val="28"/>
              </w:rPr>
            </w:pPr>
            <w:r w:rsidRPr="00D533AE">
              <w:rPr>
                <w:rFonts w:ascii="Calibri" w:eastAsia="Times New Roman" w:hAnsi="Calibri" w:cs="Calibri"/>
                <w:color w:val="000000" w:themeColor="text1"/>
                <w:kern w:val="24"/>
                <w:sz w:val="28"/>
                <w:szCs w:val="28"/>
              </w:rPr>
              <w:t>(groups 1-3)</w:t>
            </w:r>
          </w:p>
        </w:tc>
        <w:tc>
          <w:tcPr>
            <w:tcW w:w="3940" w:type="dxa"/>
            <w:gridSpan w:val="2"/>
            <w:tcBorders>
              <w:top w:val="single" w:sz="8" w:space="0" w:color="000000"/>
              <w:left w:val="nil"/>
              <w:bottom w:val="single" w:sz="8" w:space="0" w:color="000000"/>
              <w:right w:val="nil"/>
            </w:tcBorders>
            <w:shd w:val="clear" w:color="auto" w:fill="auto"/>
            <w:tcMar>
              <w:top w:w="53" w:type="dxa"/>
              <w:left w:w="106" w:type="dxa"/>
              <w:bottom w:w="53" w:type="dxa"/>
              <w:right w:w="106" w:type="dxa"/>
            </w:tcMar>
          </w:tcPr>
          <w:p w14:paraId="3B6C4BC7" w14:textId="77777777" w:rsidR="003C0F52" w:rsidRPr="00D533AE" w:rsidRDefault="003C0F52" w:rsidP="00230580">
            <w:pPr>
              <w:spacing w:line="254" w:lineRule="auto"/>
              <w:jc w:val="center"/>
              <w:rPr>
                <w:rFonts w:ascii="Calibri" w:eastAsia="Times New Roman" w:hAnsi="Calibri" w:cs="Calibri"/>
                <w:b/>
                <w:bCs/>
                <w:color w:val="000000" w:themeColor="text1"/>
                <w:kern w:val="24"/>
                <w:sz w:val="28"/>
                <w:szCs w:val="28"/>
              </w:rPr>
            </w:pPr>
            <w:r w:rsidRPr="00D533AE">
              <w:rPr>
                <w:rFonts w:ascii="Calibri" w:eastAsia="Times New Roman" w:hAnsi="Calibri" w:cs="Calibri"/>
                <w:b/>
                <w:bCs/>
                <w:color w:val="000000" w:themeColor="text1"/>
                <w:kern w:val="24"/>
                <w:sz w:val="28"/>
                <w:szCs w:val="28"/>
              </w:rPr>
              <w:t>Validation set</w:t>
            </w:r>
          </w:p>
          <w:p w14:paraId="44A3E97C" w14:textId="77777777" w:rsidR="003C0F52" w:rsidRPr="00D533AE" w:rsidRDefault="003C0F52" w:rsidP="00230580">
            <w:pPr>
              <w:spacing w:line="254" w:lineRule="auto"/>
              <w:jc w:val="center"/>
              <w:rPr>
                <w:rFonts w:ascii="Calibri" w:eastAsia="Times New Roman" w:hAnsi="Calibri" w:cs="Calibri"/>
                <w:color w:val="000000" w:themeColor="text1"/>
                <w:kern w:val="24"/>
                <w:sz w:val="28"/>
                <w:szCs w:val="28"/>
              </w:rPr>
            </w:pPr>
            <w:r w:rsidRPr="00D533AE">
              <w:rPr>
                <w:rFonts w:ascii="Calibri" w:eastAsia="Times New Roman" w:hAnsi="Calibri" w:cs="Calibri"/>
                <w:color w:val="000000" w:themeColor="text1"/>
                <w:kern w:val="24"/>
                <w:sz w:val="28"/>
                <w:szCs w:val="28"/>
              </w:rPr>
              <w:t>(groups 4, 5)</w:t>
            </w:r>
          </w:p>
        </w:tc>
      </w:tr>
      <w:tr w:rsidR="00230580" w:rsidRPr="00D533AE" w14:paraId="41ACE3FA" w14:textId="77777777" w:rsidTr="003F25B6">
        <w:trPr>
          <w:trHeight w:val="1169"/>
        </w:trPr>
        <w:tc>
          <w:tcPr>
            <w:tcW w:w="2800" w:type="dxa"/>
            <w:tcBorders>
              <w:top w:val="single" w:sz="8" w:space="0" w:color="000000"/>
              <w:left w:val="nil"/>
              <w:bottom w:val="single" w:sz="8" w:space="0" w:color="000000"/>
              <w:right w:val="nil"/>
            </w:tcBorders>
            <w:shd w:val="clear" w:color="auto" w:fill="auto"/>
            <w:tcMar>
              <w:top w:w="53" w:type="dxa"/>
              <w:left w:w="106" w:type="dxa"/>
              <w:bottom w:w="53" w:type="dxa"/>
              <w:right w:w="106" w:type="dxa"/>
            </w:tcMar>
            <w:hideMark/>
          </w:tcPr>
          <w:p w14:paraId="5D712AF9"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Outcome measure</w:t>
            </w:r>
          </w:p>
        </w:tc>
        <w:tc>
          <w:tcPr>
            <w:tcW w:w="3700" w:type="dxa"/>
            <w:tcBorders>
              <w:top w:val="single" w:sz="8" w:space="0" w:color="000000"/>
              <w:left w:val="nil"/>
              <w:bottom w:val="single" w:sz="8" w:space="0" w:color="000000"/>
              <w:right w:val="nil"/>
            </w:tcBorders>
            <w:shd w:val="clear" w:color="auto" w:fill="auto"/>
            <w:tcMar>
              <w:top w:w="53" w:type="dxa"/>
              <w:left w:w="106" w:type="dxa"/>
              <w:bottom w:w="53" w:type="dxa"/>
              <w:right w:w="106" w:type="dxa"/>
            </w:tcMar>
            <w:hideMark/>
          </w:tcPr>
          <w:p w14:paraId="598A7ECD"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TKR for OA</w:t>
            </w:r>
          </w:p>
          <w:p w14:paraId="312F7157"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 xml:space="preserve"> (Group 1)</w:t>
            </w:r>
          </w:p>
          <w:p w14:paraId="041BDB8B"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BML                             non-BML</w:t>
            </w:r>
          </w:p>
        </w:tc>
        <w:tc>
          <w:tcPr>
            <w:tcW w:w="1920" w:type="dxa"/>
            <w:tcBorders>
              <w:top w:val="single" w:sz="8" w:space="0" w:color="000000"/>
              <w:left w:val="nil"/>
              <w:bottom w:val="single" w:sz="8" w:space="0" w:color="000000"/>
              <w:right w:val="nil"/>
            </w:tcBorders>
            <w:shd w:val="clear" w:color="auto" w:fill="auto"/>
            <w:tcMar>
              <w:top w:w="53" w:type="dxa"/>
              <w:left w:w="106" w:type="dxa"/>
              <w:bottom w:w="53" w:type="dxa"/>
              <w:right w:w="106" w:type="dxa"/>
            </w:tcMar>
            <w:hideMark/>
          </w:tcPr>
          <w:p w14:paraId="3BC21B2B" w14:textId="77777777" w:rsidR="00230580" w:rsidRPr="00D533AE" w:rsidRDefault="00230580" w:rsidP="00230580">
            <w:pPr>
              <w:spacing w:line="254" w:lineRule="auto"/>
              <w:jc w:val="center"/>
              <w:rPr>
                <w:rFonts w:eastAsia="Times New Roman" w:cstheme="minorHAnsi"/>
                <w:b/>
                <w:bCs/>
                <w:color w:val="000000" w:themeColor="text1"/>
                <w:kern w:val="24"/>
                <w:sz w:val="28"/>
                <w:szCs w:val="28"/>
              </w:rPr>
            </w:pPr>
            <w:r w:rsidRPr="00D533AE">
              <w:rPr>
                <w:rFonts w:eastAsia="Times New Roman" w:cstheme="minorHAnsi"/>
                <w:b/>
                <w:bCs/>
                <w:color w:val="000000" w:themeColor="text1"/>
                <w:kern w:val="24"/>
                <w:sz w:val="28"/>
                <w:szCs w:val="28"/>
              </w:rPr>
              <w:t>Non arthritic controls</w:t>
            </w:r>
          </w:p>
          <w:p w14:paraId="209918E4" w14:textId="77777777" w:rsidR="009D617B" w:rsidRPr="00D533AE" w:rsidRDefault="009D617B" w:rsidP="00230580">
            <w:pPr>
              <w:spacing w:line="254" w:lineRule="auto"/>
              <w:jc w:val="center"/>
              <w:rPr>
                <w:rFonts w:eastAsia="Times New Roman" w:cstheme="minorHAnsi"/>
                <w:b/>
                <w:sz w:val="28"/>
                <w:szCs w:val="28"/>
                <w:lang w:val="en-US"/>
              </w:rPr>
            </w:pPr>
            <w:r w:rsidRPr="00D533AE">
              <w:rPr>
                <w:rFonts w:eastAsia="Times New Roman" w:cstheme="minorHAnsi"/>
                <w:b/>
                <w:sz w:val="28"/>
                <w:szCs w:val="28"/>
                <w:lang w:val="en-US"/>
              </w:rPr>
              <w:t>(Group 2)</w:t>
            </w:r>
          </w:p>
        </w:tc>
        <w:tc>
          <w:tcPr>
            <w:tcW w:w="2200" w:type="dxa"/>
            <w:tcBorders>
              <w:top w:val="single" w:sz="8" w:space="0" w:color="000000"/>
              <w:left w:val="nil"/>
              <w:bottom w:val="single" w:sz="8" w:space="0" w:color="000000"/>
              <w:right w:val="nil"/>
            </w:tcBorders>
            <w:shd w:val="clear" w:color="auto" w:fill="auto"/>
            <w:tcMar>
              <w:top w:w="53" w:type="dxa"/>
              <w:left w:w="106" w:type="dxa"/>
              <w:bottom w:w="53" w:type="dxa"/>
              <w:right w:w="106" w:type="dxa"/>
            </w:tcMar>
            <w:hideMark/>
          </w:tcPr>
          <w:p w14:paraId="2C5C9542"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TKR for OA</w:t>
            </w:r>
          </w:p>
          <w:p w14:paraId="76D6C1D1"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 xml:space="preserve"> (Group </w:t>
            </w:r>
            <w:r w:rsidR="003F25B6" w:rsidRPr="00D533AE">
              <w:rPr>
                <w:rFonts w:ascii="Calibri" w:eastAsia="Times New Roman" w:hAnsi="Calibri" w:cs="Calibri"/>
                <w:b/>
                <w:bCs/>
                <w:color w:val="000000" w:themeColor="text1"/>
                <w:kern w:val="24"/>
                <w:sz w:val="28"/>
                <w:szCs w:val="28"/>
              </w:rPr>
              <w:t>3</w:t>
            </w:r>
            <w:r w:rsidRPr="00D533AE">
              <w:rPr>
                <w:rFonts w:ascii="Calibri" w:eastAsia="Times New Roman" w:hAnsi="Calibri" w:cs="Calibri"/>
                <w:b/>
                <w:bCs/>
                <w:color w:val="000000" w:themeColor="text1"/>
                <w:kern w:val="24"/>
                <w:sz w:val="28"/>
                <w:szCs w:val="28"/>
              </w:rPr>
              <w:t>)</w:t>
            </w:r>
          </w:p>
        </w:tc>
        <w:tc>
          <w:tcPr>
            <w:tcW w:w="1340" w:type="dxa"/>
            <w:tcBorders>
              <w:top w:val="single" w:sz="8" w:space="0" w:color="000000"/>
              <w:left w:val="nil"/>
              <w:bottom w:val="single" w:sz="8" w:space="0" w:color="000000"/>
              <w:right w:val="nil"/>
            </w:tcBorders>
            <w:shd w:val="clear" w:color="auto" w:fill="auto"/>
            <w:tcMar>
              <w:top w:w="53" w:type="dxa"/>
              <w:left w:w="106" w:type="dxa"/>
              <w:bottom w:w="53" w:type="dxa"/>
              <w:right w:w="106" w:type="dxa"/>
            </w:tcMar>
            <w:hideMark/>
          </w:tcPr>
          <w:p w14:paraId="27D65BA6"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TKR for OA</w:t>
            </w:r>
          </w:p>
          <w:p w14:paraId="6586B85C"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 xml:space="preserve">(Group </w:t>
            </w:r>
            <w:r w:rsidR="003F25B6" w:rsidRPr="00D533AE">
              <w:rPr>
                <w:rFonts w:ascii="Calibri" w:eastAsia="Times New Roman" w:hAnsi="Calibri" w:cs="Calibri"/>
                <w:b/>
                <w:bCs/>
                <w:color w:val="000000" w:themeColor="text1"/>
                <w:kern w:val="24"/>
                <w:sz w:val="28"/>
                <w:szCs w:val="28"/>
              </w:rPr>
              <w:t>4</w:t>
            </w:r>
            <w:r w:rsidRPr="00D533AE">
              <w:rPr>
                <w:rFonts w:ascii="Calibri" w:eastAsia="Times New Roman" w:hAnsi="Calibri" w:cs="Calibri"/>
                <w:b/>
                <w:bCs/>
                <w:color w:val="000000" w:themeColor="text1"/>
                <w:kern w:val="24"/>
                <w:sz w:val="28"/>
                <w:szCs w:val="28"/>
              </w:rPr>
              <w:t>)</w:t>
            </w:r>
          </w:p>
        </w:tc>
        <w:tc>
          <w:tcPr>
            <w:tcW w:w="2600" w:type="dxa"/>
            <w:tcBorders>
              <w:top w:val="single" w:sz="8" w:space="0" w:color="000000"/>
              <w:left w:val="nil"/>
              <w:bottom w:val="single" w:sz="8" w:space="0" w:color="000000"/>
              <w:right w:val="nil"/>
            </w:tcBorders>
            <w:shd w:val="clear" w:color="auto" w:fill="auto"/>
            <w:tcMar>
              <w:top w:w="53" w:type="dxa"/>
              <w:left w:w="106" w:type="dxa"/>
              <w:bottom w:w="53" w:type="dxa"/>
              <w:right w:w="106" w:type="dxa"/>
            </w:tcMar>
            <w:hideMark/>
          </w:tcPr>
          <w:p w14:paraId="7C5B7F14"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PM with chondropathy</w:t>
            </w:r>
          </w:p>
          <w:p w14:paraId="5D27246A"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b/>
                <w:bCs/>
                <w:color w:val="000000" w:themeColor="text1"/>
                <w:kern w:val="24"/>
                <w:sz w:val="28"/>
                <w:szCs w:val="28"/>
              </w:rPr>
              <w:t xml:space="preserve">(Group </w:t>
            </w:r>
            <w:r w:rsidR="003F25B6" w:rsidRPr="00D533AE">
              <w:rPr>
                <w:rFonts w:ascii="Calibri" w:eastAsia="Times New Roman" w:hAnsi="Calibri" w:cs="Calibri"/>
                <w:b/>
                <w:bCs/>
                <w:color w:val="000000" w:themeColor="text1"/>
                <w:kern w:val="24"/>
                <w:sz w:val="28"/>
                <w:szCs w:val="28"/>
              </w:rPr>
              <w:t>5</w:t>
            </w:r>
            <w:r w:rsidRPr="00D533AE">
              <w:rPr>
                <w:rFonts w:ascii="Calibri" w:eastAsia="Times New Roman" w:hAnsi="Calibri" w:cs="Calibri"/>
                <w:b/>
                <w:bCs/>
                <w:color w:val="000000" w:themeColor="text1"/>
                <w:kern w:val="24"/>
                <w:sz w:val="28"/>
                <w:szCs w:val="28"/>
              </w:rPr>
              <w:t>)</w:t>
            </w:r>
          </w:p>
        </w:tc>
      </w:tr>
      <w:tr w:rsidR="00230580" w:rsidRPr="00D533AE" w14:paraId="50F3B58F" w14:textId="77777777" w:rsidTr="00AE5184">
        <w:trPr>
          <w:trHeight w:val="364"/>
        </w:trPr>
        <w:tc>
          <w:tcPr>
            <w:tcW w:w="2800" w:type="dxa"/>
            <w:tcBorders>
              <w:top w:val="single" w:sz="8" w:space="0" w:color="000000"/>
              <w:left w:val="nil"/>
              <w:bottom w:val="nil"/>
              <w:right w:val="nil"/>
            </w:tcBorders>
            <w:shd w:val="clear" w:color="auto" w:fill="E7E7E7"/>
            <w:tcMar>
              <w:top w:w="53" w:type="dxa"/>
              <w:left w:w="106" w:type="dxa"/>
              <w:bottom w:w="53" w:type="dxa"/>
              <w:right w:w="106" w:type="dxa"/>
            </w:tcMar>
            <w:hideMark/>
          </w:tcPr>
          <w:p w14:paraId="20B2D61F"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Number</w:t>
            </w:r>
          </w:p>
        </w:tc>
        <w:tc>
          <w:tcPr>
            <w:tcW w:w="3700" w:type="dxa"/>
            <w:tcBorders>
              <w:top w:val="single" w:sz="8" w:space="0" w:color="000000"/>
              <w:left w:val="nil"/>
              <w:bottom w:val="nil"/>
              <w:right w:val="nil"/>
            </w:tcBorders>
            <w:shd w:val="clear" w:color="auto" w:fill="E7E7E7"/>
            <w:tcMar>
              <w:top w:w="53" w:type="dxa"/>
              <w:left w:w="106" w:type="dxa"/>
              <w:bottom w:w="53" w:type="dxa"/>
              <w:right w:w="106" w:type="dxa"/>
            </w:tcMar>
            <w:hideMark/>
          </w:tcPr>
          <w:p w14:paraId="07CD371C"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10</w:t>
            </w:r>
          </w:p>
        </w:tc>
        <w:tc>
          <w:tcPr>
            <w:tcW w:w="1920" w:type="dxa"/>
            <w:tcBorders>
              <w:top w:val="single" w:sz="8" w:space="0" w:color="000000"/>
              <w:left w:val="nil"/>
              <w:bottom w:val="nil"/>
              <w:right w:val="nil"/>
            </w:tcBorders>
            <w:shd w:val="clear" w:color="auto" w:fill="E7E7E7"/>
            <w:tcMar>
              <w:top w:w="53" w:type="dxa"/>
              <w:left w:w="106" w:type="dxa"/>
              <w:bottom w:w="53" w:type="dxa"/>
              <w:right w:w="106" w:type="dxa"/>
            </w:tcMar>
            <w:hideMark/>
          </w:tcPr>
          <w:p w14:paraId="66C7EA76"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10</w:t>
            </w:r>
          </w:p>
        </w:tc>
        <w:tc>
          <w:tcPr>
            <w:tcW w:w="2200" w:type="dxa"/>
            <w:tcBorders>
              <w:top w:val="single" w:sz="8" w:space="0" w:color="000000"/>
              <w:left w:val="nil"/>
              <w:bottom w:val="nil"/>
              <w:right w:val="nil"/>
            </w:tcBorders>
            <w:shd w:val="clear" w:color="auto" w:fill="E7E7E7"/>
            <w:tcMar>
              <w:top w:w="53" w:type="dxa"/>
              <w:left w:w="106" w:type="dxa"/>
              <w:bottom w:w="53" w:type="dxa"/>
              <w:right w:w="106" w:type="dxa"/>
            </w:tcMar>
            <w:hideMark/>
          </w:tcPr>
          <w:p w14:paraId="1E7AA10A"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20</w:t>
            </w:r>
          </w:p>
        </w:tc>
        <w:tc>
          <w:tcPr>
            <w:tcW w:w="1340" w:type="dxa"/>
            <w:tcBorders>
              <w:top w:val="single" w:sz="8" w:space="0" w:color="000000"/>
              <w:left w:val="nil"/>
              <w:bottom w:val="nil"/>
              <w:right w:val="nil"/>
            </w:tcBorders>
            <w:shd w:val="clear" w:color="auto" w:fill="E7E7E7"/>
            <w:tcMar>
              <w:top w:w="53" w:type="dxa"/>
              <w:left w:w="106" w:type="dxa"/>
              <w:bottom w:w="53" w:type="dxa"/>
              <w:right w:w="106" w:type="dxa"/>
            </w:tcMar>
            <w:hideMark/>
          </w:tcPr>
          <w:p w14:paraId="6180ACE3"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140</w:t>
            </w:r>
          </w:p>
        </w:tc>
        <w:tc>
          <w:tcPr>
            <w:tcW w:w="2600" w:type="dxa"/>
            <w:tcBorders>
              <w:top w:val="single" w:sz="8" w:space="0" w:color="000000"/>
              <w:left w:val="nil"/>
              <w:bottom w:val="nil"/>
              <w:right w:val="nil"/>
            </w:tcBorders>
            <w:shd w:val="clear" w:color="auto" w:fill="E7E7E7"/>
            <w:tcMar>
              <w:top w:w="53" w:type="dxa"/>
              <w:left w:w="106" w:type="dxa"/>
              <w:bottom w:w="53" w:type="dxa"/>
              <w:right w:w="106" w:type="dxa"/>
            </w:tcMar>
            <w:hideMark/>
          </w:tcPr>
          <w:p w14:paraId="20755968"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23</w:t>
            </w:r>
          </w:p>
        </w:tc>
      </w:tr>
      <w:tr w:rsidR="00230580" w:rsidRPr="00D533AE" w14:paraId="0ECD99E9" w14:textId="77777777" w:rsidTr="00AE5184">
        <w:trPr>
          <w:trHeight w:val="633"/>
        </w:trPr>
        <w:tc>
          <w:tcPr>
            <w:tcW w:w="2800" w:type="dxa"/>
            <w:tcBorders>
              <w:top w:val="nil"/>
              <w:left w:val="nil"/>
              <w:bottom w:val="nil"/>
              <w:right w:val="nil"/>
            </w:tcBorders>
            <w:shd w:val="clear" w:color="auto" w:fill="auto"/>
            <w:tcMar>
              <w:top w:w="53" w:type="dxa"/>
              <w:left w:w="106" w:type="dxa"/>
              <w:bottom w:w="53" w:type="dxa"/>
              <w:right w:w="106" w:type="dxa"/>
            </w:tcMar>
            <w:hideMark/>
          </w:tcPr>
          <w:p w14:paraId="3089136E"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Female; N (%)</w:t>
            </w:r>
          </w:p>
        </w:tc>
        <w:tc>
          <w:tcPr>
            <w:tcW w:w="3700" w:type="dxa"/>
            <w:tcBorders>
              <w:top w:val="nil"/>
              <w:left w:val="nil"/>
              <w:bottom w:val="nil"/>
              <w:right w:val="nil"/>
            </w:tcBorders>
            <w:shd w:val="clear" w:color="auto" w:fill="auto"/>
            <w:tcMar>
              <w:top w:w="53" w:type="dxa"/>
              <w:left w:w="106" w:type="dxa"/>
              <w:bottom w:w="53" w:type="dxa"/>
              <w:right w:w="106" w:type="dxa"/>
            </w:tcMar>
            <w:hideMark/>
          </w:tcPr>
          <w:p w14:paraId="15BB2CB1"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9 (90)</w:t>
            </w:r>
          </w:p>
        </w:tc>
        <w:tc>
          <w:tcPr>
            <w:tcW w:w="1920" w:type="dxa"/>
            <w:tcBorders>
              <w:top w:val="nil"/>
              <w:left w:val="nil"/>
              <w:bottom w:val="nil"/>
              <w:right w:val="nil"/>
            </w:tcBorders>
            <w:shd w:val="clear" w:color="auto" w:fill="auto"/>
            <w:tcMar>
              <w:top w:w="53" w:type="dxa"/>
              <w:left w:w="106" w:type="dxa"/>
              <w:bottom w:w="53" w:type="dxa"/>
              <w:right w:w="106" w:type="dxa"/>
            </w:tcMar>
            <w:hideMark/>
          </w:tcPr>
          <w:p w14:paraId="48AE51F3"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7 (70)</w:t>
            </w:r>
          </w:p>
        </w:tc>
        <w:tc>
          <w:tcPr>
            <w:tcW w:w="2200" w:type="dxa"/>
            <w:tcBorders>
              <w:top w:val="nil"/>
              <w:left w:val="nil"/>
              <w:bottom w:val="nil"/>
              <w:right w:val="nil"/>
            </w:tcBorders>
            <w:shd w:val="clear" w:color="auto" w:fill="auto"/>
            <w:tcMar>
              <w:top w:w="53" w:type="dxa"/>
              <w:left w:w="106" w:type="dxa"/>
              <w:bottom w:w="53" w:type="dxa"/>
              <w:right w:w="106" w:type="dxa"/>
            </w:tcMar>
            <w:hideMark/>
          </w:tcPr>
          <w:p w14:paraId="628AB456"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13 (65)</w:t>
            </w:r>
          </w:p>
        </w:tc>
        <w:tc>
          <w:tcPr>
            <w:tcW w:w="1340" w:type="dxa"/>
            <w:tcBorders>
              <w:top w:val="nil"/>
              <w:left w:val="nil"/>
              <w:bottom w:val="nil"/>
              <w:right w:val="nil"/>
            </w:tcBorders>
            <w:shd w:val="clear" w:color="auto" w:fill="auto"/>
            <w:tcMar>
              <w:top w:w="53" w:type="dxa"/>
              <w:left w:w="106" w:type="dxa"/>
              <w:bottom w:w="53" w:type="dxa"/>
              <w:right w:w="106" w:type="dxa"/>
            </w:tcMar>
            <w:hideMark/>
          </w:tcPr>
          <w:p w14:paraId="7E353801"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77(55)</w:t>
            </w:r>
          </w:p>
        </w:tc>
        <w:tc>
          <w:tcPr>
            <w:tcW w:w="2600" w:type="dxa"/>
            <w:tcBorders>
              <w:top w:val="nil"/>
              <w:left w:val="nil"/>
              <w:bottom w:val="nil"/>
              <w:right w:val="nil"/>
            </w:tcBorders>
            <w:shd w:val="clear" w:color="auto" w:fill="auto"/>
            <w:tcMar>
              <w:top w:w="53" w:type="dxa"/>
              <w:left w:w="106" w:type="dxa"/>
              <w:bottom w:w="53" w:type="dxa"/>
              <w:right w:w="106" w:type="dxa"/>
            </w:tcMar>
            <w:hideMark/>
          </w:tcPr>
          <w:p w14:paraId="5AB28CBA"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10 (43)</w:t>
            </w:r>
          </w:p>
        </w:tc>
      </w:tr>
      <w:tr w:rsidR="00230580" w:rsidRPr="00D533AE" w14:paraId="59577491" w14:textId="77777777" w:rsidTr="00AE5184">
        <w:trPr>
          <w:trHeight w:val="633"/>
        </w:trPr>
        <w:tc>
          <w:tcPr>
            <w:tcW w:w="2800" w:type="dxa"/>
            <w:tcBorders>
              <w:top w:val="nil"/>
              <w:left w:val="nil"/>
              <w:bottom w:val="nil"/>
              <w:right w:val="nil"/>
            </w:tcBorders>
            <w:shd w:val="clear" w:color="auto" w:fill="E7E7E7"/>
            <w:tcMar>
              <w:top w:w="53" w:type="dxa"/>
              <w:left w:w="106" w:type="dxa"/>
              <w:bottom w:w="53" w:type="dxa"/>
              <w:right w:w="106" w:type="dxa"/>
            </w:tcMar>
            <w:hideMark/>
          </w:tcPr>
          <w:p w14:paraId="00962710"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Age; mean (SD)</w:t>
            </w:r>
          </w:p>
        </w:tc>
        <w:tc>
          <w:tcPr>
            <w:tcW w:w="3700" w:type="dxa"/>
            <w:tcBorders>
              <w:top w:val="nil"/>
              <w:left w:val="nil"/>
              <w:bottom w:val="nil"/>
              <w:right w:val="nil"/>
            </w:tcBorders>
            <w:shd w:val="clear" w:color="auto" w:fill="E7E7E7"/>
            <w:tcMar>
              <w:top w:w="53" w:type="dxa"/>
              <w:left w:w="106" w:type="dxa"/>
              <w:bottom w:w="53" w:type="dxa"/>
              <w:right w:w="106" w:type="dxa"/>
            </w:tcMar>
            <w:hideMark/>
          </w:tcPr>
          <w:p w14:paraId="1B6532C2"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67.8 (9.2)</w:t>
            </w:r>
          </w:p>
        </w:tc>
        <w:tc>
          <w:tcPr>
            <w:tcW w:w="1920" w:type="dxa"/>
            <w:tcBorders>
              <w:top w:val="nil"/>
              <w:left w:val="nil"/>
              <w:bottom w:val="nil"/>
              <w:right w:val="nil"/>
            </w:tcBorders>
            <w:shd w:val="clear" w:color="auto" w:fill="E7E7E7"/>
            <w:tcMar>
              <w:top w:w="53" w:type="dxa"/>
              <w:left w:w="106" w:type="dxa"/>
              <w:bottom w:w="53" w:type="dxa"/>
              <w:right w:w="106" w:type="dxa"/>
            </w:tcMar>
            <w:hideMark/>
          </w:tcPr>
          <w:p w14:paraId="1458FAD2"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64.5 (5.5)</w:t>
            </w:r>
          </w:p>
        </w:tc>
        <w:tc>
          <w:tcPr>
            <w:tcW w:w="2200" w:type="dxa"/>
            <w:tcBorders>
              <w:top w:val="nil"/>
              <w:left w:val="nil"/>
              <w:bottom w:val="nil"/>
              <w:right w:val="nil"/>
            </w:tcBorders>
            <w:shd w:val="clear" w:color="auto" w:fill="E7E7E7"/>
            <w:tcMar>
              <w:top w:w="53" w:type="dxa"/>
              <w:left w:w="106" w:type="dxa"/>
              <w:bottom w:w="53" w:type="dxa"/>
              <w:right w:w="106" w:type="dxa"/>
            </w:tcMar>
            <w:hideMark/>
          </w:tcPr>
          <w:p w14:paraId="349B0E10"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67.9 (7.8)</w:t>
            </w:r>
          </w:p>
        </w:tc>
        <w:tc>
          <w:tcPr>
            <w:tcW w:w="1340" w:type="dxa"/>
            <w:tcBorders>
              <w:top w:val="nil"/>
              <w:left w:val="nil"/>
              <w:bottom w:val="nil"/>
              <w:right w:val="nil"/>
            </w:tcBorders>
            <w:shd w:val="clear" w:color="auto" w:fill="E7E7E7"/>
            <w:tcMar>
              <w:top w:w="53" w:type="dxa"/>
              <w:left w:w="106" w:type="dxa"/>
              <w:bottom w:w="53" w:type="dxa"/>
              <w:right w:w="106" w:type="dxa"/>
            </w:tcMar>
            <w:hideMark/>
          </w:tcPr>
          <w:p w14:paraId="3B774DBF"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65.5 (9.7)</w:t>
            </w:r>
          </w:p>
        </w:tc>
        <w:tc>
          <w:tcPr>
            <w:tcW w:w="2600" w:type="dxa"/>
            <w:tcBorders>
              <w:top w:val="nil"/>
              <w:left w:val="nil"/>
              <w:bottom w:val="nil"/>
              <w:right w:val="nil"/>
            </w:tcBorders>
            <w:shd w:val="clear" w:color="auto" w:fill="E7E7E7"/>
            <w:tcMar>
              <w:top w:w="53" w:type="dxa"/>
              <w:left w:w="106" w:type="dxa"/>
              <w:bottom w:w="53" w:type="dxa"/>
              <w:right w:w="106" w:type="dxa"/>
            </w:tcMar>
            <w:hideMark/>
          </w:tcPr>
          <w:p w14:paraId="6AEE76FB"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67.1 (14.9)</w:t>
            </w:r>
          </w:p>
        </w:tc>
      </w:tr>
      <w:tr w:rsidR="00230580" w:rsidRPr="00D533AE" w14:paraId="4E56B675" w14:textId="77777777" w:rsidTr="00752C8E">
        <w:trPr>
          <w:trHeight w:val="903"/>
        </w:trPr>
        <w:tc>
          <w:tcPr>
            <w:tcW w:w="2800" w:type="dxa"/>
            <w:tcBorders>
              <w:top w:val="nil"/>
              <w:left w:val="nil"/>
              <w:bottom w:val="nil"/>
              <w:right w:val="nil"/>
            </w:tcBorders>
            <w:shd w:val="clear" w:color="auto" w:fill="auto"/>
            <w:tcMar>
              <w:top w:w="53" w:type="dxa"/>
              <w:left w:w="106" w:type="dxa"/>
              <w:bottom w:w="53" w:type="dxa"/>
              <w:right w:w="106" w:type="dxa"/>
            </w:tcMar>
            <w:hideMark/>
          </w:tcPr>
          <w:p w14:paraId="0B1FC269"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Mankin chondropathy score</w:t>
            </w:r>
          </w:p>
          <w:p w14:paraId="5C71E08D"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 xml:space="preserve">(mean, SD)                        </w:t>
            </w:r>
          </w:p>
          <w:p w14:paraId="17C07A16"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Median (IQR)</w:t>
            </w:r>
          </w:p>
        </w:tc>
        <w:tc>
          <w:tcPr>
            <w:tcW w:w="3700" w:type="dxa"/>
            <w:tcBorders>
              <w:top w:val="nil"/>
              <w:left w:val="nil"/>
              <w:bottom w:val="nil"/>
              <w:right w:val="nil"/>
            </w:tcBorders>
            <w:shd w:val="clear" w:color="auto" w:fill="auto"/>
            <w:tcMar>
              <w:top w:w="53" w:type="dxa"/>
              <w:left w:w="106" w:type="dxa"/>
              <w:bottom w:w="53" w:type="dxa"/>
              <w:right w:w="106" w:type="dxa"/>
            </w:tcMar>
            <w:hideMark/>
          </w:tcPr>
          <w:p w14:paraId="4E1850F1"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 </w:t>
            </w:r>
          </w:p>
          <w:p w14:paraId="15E61B2C"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 xml:space="preserve">9.9 (3.4)                                        7.2(4.5) </w:t>
            </w:r>
          </w:p>
          <w:p w14:paraId="37AD36DC"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11(8-12)                                        6 (4-13)</w:t>
            </w:r>
          </w:p>
        </w:tc>
        <w:tc>
          <w:tcPr>
            <w:tcW w:w="1920" w:type="dxa"/>
            <w:tcBorders>
              <w:top w:val="nil"/>
              <w:left w:val="nil"/>
              <w:bottom w:val="nil"/>
              <w:right w:val="nil"/>
            </w:tcBorders>
            <w:shd w:val="clear" w:color="auto" w:fill="auto"/>
            <w:tcMar>
              <w:top w:w="53" w:type="dxa"/>
              <w:left w:w="106" w:type="dxa"/>
              <w:bottom w:w="53" w:type="dxa"/>
              <w:right w:w="106" w:type="dxa"/>
            </w:tcMar>
            <w:hideMark/>
          </w:tcPr>
          <w:p w14:paraId="0B1E6187"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 </w:t>
            </w:r>
          </w:p>
          <w:p w14:paraId="27903616"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2.7 (1.7)</w:t>
            </w:r>
          </w:p>
          <w:p w14:paraId="6277ACC0"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3 (1 – 4)</w:t>
            </w:r>
          </w:p>
        </w:tc>
        <w:tc>
          <w:tcPr>
            <w:tcW w:w="2200" w:type="dxa"/>
            <w:tcBorders>
              <w:top w:val="nil"/>
              <w:left w:val="nil"/>
              <w:bottom w:val="nil"/>
              <w:right w:val="nil"/>
            </w:tcBorders>
            <w:shd w:val="clear" w:color="auto" w:fill="auto"/>
            <w:tcMar>
              <w:top w:w="53" w:type="dxa"/>
              <w:left w:w="106" w:type="dxa"/>
              <w:bottom w:w="53" w:type="dxa"/>
              <w:right w:w="106" w:type="dxa"/>
            </w:tcMar>
            <w:hideMark/>
          </w:tcPr>
          <w:p w14:paraId="242B3BE3"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 </w:t>
            </w:r>
          </w:p>
          <w:p w14:paraId="29A529CA"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8.3 (4.0)</w:t>
            </w:r>
          </w:p>
          <w:p w14:paraId="4040F84F"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8 (5-13)</w:t>
            </w:r>
          </w:p>
        </w:tc>
        <w:tc>
          <w:tcPr>
            <w:tcW w:w="1340" w:type="dxa"/>
            <w:tcBorders>
              <w:top w:val="nil"/>
              <w:left w:val="nil"/>
              <w:bottom w:val="nil"/>
              <w:right w:val="nil"/>
            </w:tcBorders>
            <w:shd w:val="clear" w:color="auto" w:fill="FFFF00"/>
            <w:tcMar>
              <w:top w:w="53" w:type="dxa"/>
              <w:left w:w="106" w:type="dxa"/>
              <w:bottom w:w="53" w:type="dxa"/>
              <w:right w:w="106" w:type="dxa"/>
            </w:tcMar>
            <w:hideMark/>
          </w:tcPr>
          <w:p w14:paraId="1782C4F2" w14:textId="77777777" w:rsidR="00743A2C" w:rsidRPr="00D533AE" w:rsidRDefault="00743A2C" w:rsidP="00230580">
            <w:pPr>
              <w:spacing w:line="254" w:lineRule="auto"/>
              <w:jc w:val="center"/>
              <w:rPr>
                <w:rFonts w:ascii="Calibri" w:eastAsia="Times New Roman" w:hAnsi="Calibri" w:cs="Calibri"/>
                <w:color w:val="000000" w:themeColor="text1"/>
                <w:kern w:val="24"/>
              </w:rPr>
            </w:pPr>
          </w:p>
          <w:p w14:paraId="0ECA2E04" w14:textId="77777777" w:rsidR="00230580" w:rsidRPr="00D533AE" w:rsidRDefault="00AA7BA0" w:rsidP="00230580">
            <w:pPr>
              <w:spacing w:line="254" w:lineRule="auto"/>
              <w:jc w:val="center"/>
              <w:rPr>
                <w:rFonts w:ascii="Calibri" w:eastAsia="Times New Roman" w:hAnsi="Calibri" w:cs="Calibri"/>
                <w:color w:val="000000" w:themeColor="text1"/>
                <w:kern w:val="24"/>
              </w:rPr>
            </w:pPr>
            <w:r w:rsidRPr="00D533AE">
              <w:rPr>
                <w:rFonts w:ascii="Calibri" w:eastAsia="Times New Roman" w:hAnsi="Calibri" w:cs="Calibri"/>
                <w:color w:val="000000" w:themeColor="text1"/>
                <w:kern w:val="24"/>
              </w:rPr>
              <w:t>10.5</w:t>
            </w:r>
          </w:p>
          <w:p w14:paraId="7D540878" w14:textId="77777777" w:rsidR="00AA7BA0" w:rsidRPr="00D533AE" w:rsidRDefault="00AA7BA0" w:rsidP="00230580">
            <w:pPr>
              <w:spacing w:line="254" w:lineRule="auto"/>
              <w:jc w:val="center"/>
              <w:rPr>
                <w:rFonts w:ascii="Arial" w:eastAsia="Times New Roman" w:hAnsi="Arial" w:cs="Arial"/>
                <w:lang w:val="en-US"/>
              </w:rPr>
            </w:pPr>
            <w:r w:rsidRPr="00D533AE">
              <w:rPr>
                <w:rFonts w:ascii="Calibri" w:eastAsia="Times New Roman" w:hAnsi="Calibri" w:cs="Calibri"/>
                <w:color w:val="000000" w:themeColor="text1"/>
                <w:kern w:val="24"/>
                <w:lang w:val="en-US"/>
              </w:rPr>
              <w:t>11 (9-11)</w:t>
            </w:r>
          </w:p>
        </w:tc>
        <w:tc>
          <w:tcPr>
            <w:tcW w:w="2600" w:type="dxa"/>
            <w:tcBorders>
              <w:top w:val="nil"/>
              <w:left w:val="nil"/>
              <w:bottom w:val="nil"/>
              <w:right w:val="nil"/>
            </w:tcBorders>
            <w:shd w:val="clear" w:color="auto" w:fill="FFFF00"/>
            <w:tcMar>
              <w:top w:w="53" w:type="dxa"/>
              <w:left w:w="106" w:type="dxa"/>
              <w:bottom w:w="53" w:type="dxa"/>
              <w:right w:w="106" w:type="dxa"/>
            </w:tcMar>
            <w:hideMark/>
          </w:tcPr>
          <w:p w14:paraId="1BD5EC91" w14:textId="77777777" w:rsidR="00743A2C" w:rsidRPr="00D533AE" w:rsidRDefault="00743A2C" w:rsidP="00230580">
            <w:pPr>
              <w:spacing w:line="254" w:lineRule="auto"/>
              <w:jc w:val="center"/>
              <w:rPr>
                <w:rFonts w:ascii="Calibri" w:eastAsia="Times New Roman" w:hAnsi="Calibri" w:cs="Calibri"/>
                <w:color w:val="000000" w:themeColor="text1"/>
                <w:kern w:val="24"/>
              </w:rPr>
            </w:pPr>
          </w:p>
          <w:p w14:paraId="78E12BA6" w14:textId="77777777" w:rsidR="00230580" w:rsidRPr="00D533AE" w:rsidRDefault="00AA7BA0" w:rsidP="00230580">
            <w:pPr>
              <w:spacing w:line="254" w:lineRule="auto"/>
              <w:jc w:val="center"/>
              <w:rPr>
                <w:rFonts w:ascii="Calibri" w:eastAsia="Times New Roman" w:hAnsi="Calibri" w:cs="Calibri"/>
                <w:color w:val="000000" w:themeColor="text1"/>
                <w:kern w:val="24"/>
              </w:rPr>
            </w:pPr>
            <w:r w:rsidRPr="00D533AE">
              <w:rPr>
                <w:rFonts w:ascii="Calibri" w:eastAsia="Times New Roman" w:hAnsi="Calibri" w:cs="Calibri"/>
                <w:color w:val="000000" w:themeColor="text1"/>
                <w:kern w:val="24"/>
              </w:rPr>
              <w:t>9.4</w:t>
            </w:r>
          </w:p>
          <w:p w14:paraId="71546940" w14:textId="77777777" w:rsidR="00AA7BA0" w:rsidRPr="00D533AE" w:rsidRDefault="00AA7BA0" w:rsidP="00230580">
            <w:pPr>
              <w:spacing w:line="254" w:lineRule="auto"/>
              <w:jc w:val="center"/>
              <w:rPr>
                <w:rFonts w:ascii="Arial" w:eastAsia="Times New Roman" w:hAnsi="Arial" w:cs="Arial"/>
                <w:lang w:val="en-US"/>
              </w:rPr>
            </w:pPr>
            <w:r w:rsidRPr="00D533AE">
              <w:rPr>
                <w:rFonts w:ascii="Calibri" w:eastAsia="Times New Roman" w:hAnsi="Calibri" w:cs="Calibri"/>
                <w:color w:val="000000" w:themeColor="text1"/>
                <w:kern w:val="24"/>
                <w:lang w:val="en-US"/>
              </w:rPr>
              <w:t>9 (7.5-11)</w:t>
            </w:r>
          </w:p>
        </w:tc>
      </w:tr>
      <w:tr w:rsidR="00230580" w:rsidRPr="00D533AE" w14:paraId="0ABB1475" w14:textId="77777777" w:rsidTr="00AE5184">
        <w:trPr>
          <w:trHeight w:val="903"/>
        </w:trPr>
        <w:tc>
          <w:tcPr>
            <w:tcW w:w="2800" w:type="dxa"/>
            <w:tcBorders>
              <w:top w:val="nil"/>
              <w:left w:val="nil"/>
              <w:bottom w:val="nil"/>
              <w:right w:val="nil"/>
            </w:tcBorders>
            <w:shd w:val="clear" w:color="auto" w:fill="E7E7E7"/>
            <w:tcMar>
              <w:top w:w="53" w:type="dxa"/>
              <w:left w:w="106" w:type="dxa"/>
              <w:bottom w:w="53" w:type="dxa"/>
              <w:right w:w="106" w:type="dxa"/>
            </w:tcMar>
            <w:hideMark/>
          </w:tcPr>
          <w:p w14:paraId="6FA28A3B"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OABS</w:t>
            </w:r>
          </w:p>
          <w:p w14:paraId="499DF092"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(mean, SD)</w:t>
            </w:r>
          </w:p>
          <w:p w14:paraId="4B22E3AF"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Median (IQR)</w:t>
            </w:r>
          </w:p>
        </w:tc>
        <w:tc>
          <w:tcPr>
            <w:tcW w:w="3700" w:type="dxa"/>
            <w:tcBorders>
              <w:top w:val="nil"/>
              <w:left w:val="nil"/>
              <w:bottom w:val="nil"/>
              <w:right w:val="nil"/>
            </w:tcBorders>
            <w:shd w:val="clear" w:color="auto" w:fill="E7E7E7"/>
            <w:tcMar>
              <w:top w:w="53" w:type="dxa"/>
              <w:left w:w="106" w:type="dxa"/>
              <w:bottom w:w="53" w:type="dxa"/>
              <w:right w:w="106" w:type="dxa"/>
            </w:tcMar>
            <w:hideMark/>
          </w:tcPr>
          <w:p w14:paraId="148597D4"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 </w:t>
            </w:r>
          </w:p>
          <w:p w14:paraId="641E5F07"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 xml:space="preserve">  6.2 (1.5)                                     2.9 (1.2)</w:t>
            </w:r>
          </w:p>
          <w:p w14:paraId="7C308687" w14:textId="77777777" w:rsidR="00230580" w:rsidRPr="00D533AE" w:rsidRDefault="00230580" w:rsidP="00230580">
            <w:pPr>
              <w:spacing w:line="254" w:lineRule="auto"/>
              <w:rPr>
                <w:rFonts w:ascii="Arial" w:eastAsia="Times New Roman" w:hAnsi="Arial" w:cs="Arial"/>
                <w:sz w:val="36"/>
                <w:szCs w:val="36"/>
                <w:lang w:val="en-US"/>
              </w:rPr>
            </w:pPr>
            <w:bookmarkStart w:id="17" w:name="_Hlk87902009"/>
            <w:r w:rsidRPr="00D533AE">
              <w:rPr>
                <w:rFonts w:ascii="Calibri" w:eastAsia="Times New Roman" w:hAnsi="Calibri" w:cs="Calibri"/>
                <w:color w:val="000000" w:themeColor="text1"/>
                <w:kern w:val="24"/>
                <w:lang w:val="en-US"/>
              </w:rPr>
              <w:t xml:space="preserve">  7(6 – 7)                                       3 (2– 4)</w:t>
            </w:r>
            <w:bookmarkEnd w:id="17"/>
          </w:p>
        </w:tc>
        <w:tc>
          <w:tcPr>
            <w:tcW w:w="1920" w:type="dxa"/>
            <w:tcBorders>
              <w:top w:val="nil"/>
              <w:left w:val="nil"/>
              <w:bottom w:val="nil"/>
              <w:right w:val="nil"/>
            </w:tcBorders>
            <w:shd w:val="clear" w:color="auto" w:fill="E7E7E7"/>
            <w:tcMar>
              <w:top w:w="53" w:type="dxa"/>
              <w:left w:w="106" w:type="dxa"/>
              <w:bottom w:w="53" w:type="dxa"/>
              <w:right w:w="106" w:type="dxa"/>
            </w:tcMar>
            <w:hideMark/>
          </w:tcPr>
          <w:p w14:paraId="6CA5D3F7"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 </w:t>
            </w:r>
          </w:p>
          <w:p w14:paraId="30C18C5D"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1.1 (0.6)</w:t>
            </w:r>
          </w:p>
          <w:p w14:paraId="0C329957"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1 (1 - 1)</w:t>
            </w:r>
          </w:p>
        </w:tc>
        <w:tc>
          <w:tcPr>
            <w:tcW w:w="2200" w:type="dxa"/>
            <w:tcBorders>
              <w:top w:val="nil"/>
              <w:left w:val="nil"/>
              <w:bottom w:val="nil"/>
              <w:right w:val="nil"/>
            </w:tcBorders>
            <w:shd w:val="clear" w:color="auto" w:fill="E7E7E7"/>
            <w:tcMar>
              <w:top w:w="53" w:type="dxa"/>
              <w:left w:w="106" w:type="dxa"/>
              <w:bottom w:w="53" w:type="dxa"/>
              <w:right w:w="106" w:type="dxa"/>
            </w:tcMar>
            <w:hideMark/>
          </w:tcPr>
          <w:p w14:paraId="0C315203"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 </w:t>
            </w:r>
          </w:p>
          <w:p w14:paraId="5B23E16E"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5.4 (2.1)</w:t>
            </w:r>
          </w:p>
          <w:p w14:paraId="0A8C167A"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7 (3 – 7)</w:t>
            </w:r>
          </w:p>
        </w:tc>
        <w:tc>
          <w:tcPr>
            <w:tcW w:w="1340" w:type="dxa"/>
            <w:tcBorders>
              <w:top w:val="nil"/>
              <w:left w:val="nil"/>
              <w:bottom w:val="nil"/>
              <w:right w:val="nil"/>
            </w:tcBorders>
            <w:shd w:val="clear" w:color="auto" w:fill="E7E7E7"/>
            <w:tcMar>
              <w:top w:w="53" w:type="dxa"/>
              <w:left w:w="106" w:type="dxa"/>
              <w:bottom w:w="53" w:type="dxa"/>
              <w:right w:w="106" w:type="dxa"/>
            </w:tcMar>
            <w:hideMark/>
          </w:tcPr>
          <w:p w14:paraId="3B46EDCF" w14:textId="77777777" w:rsidR="00B13056" w:rsidRPr="00D533AE" w:rsidRDefault="00B13056" w:rsidP="00230580">
            <w:pPr>
              <w:spacing w:line="254" w:lineRule="auto"/>
              <w:jc w:val="center"/>
              <w:rPr>
                <w:rFonts w:ascii="Calibri" w:eastAsia="Times New Roman" w:hAnsi="Calibri" w:cs="Calibri"/>
                <w:color w:val="000000" w:themeColor="text1"/>
                <w:kern w:val="24"/>
              </w:rPr>
            </w:pPr>
          </w:p>
          <w:p w14:paraId="2B1DED7A"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5.3 (1.3)</w:t>
            </w:r>
          </w:p>
          <w:p w14:paraId="362C1B8A"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6 (4-6)</w:t>
            </w:r>
          </w:p>
        </w:tc>
        <w:tc>
          <w:tcPr>
            <w:tcW w:w="2600" w:type="dxa"/>
            <w:tcBorders>
              <w:top w:val="nil"/>
              <w:left w:val="nil"/>
              <w:bottom w:val="nil"/>
              <w:right w:val="nil"/>
            </w:tcBorders>
            <w:shd w:val="clear" w:color="auto" w:fill="E7E7E7"/>
            <w:tcMar>
              <w:top w:w="53" w:type="dxa"/>
              <w:left w:w="106" w:type="dxa"/>
              <w:bottom w:w="53" w:type="dxa"/>
              <w:right w:w="106" w:type="dxa"/>
            </w:tcMar>
            <w:hideMark/>
          </w:tcPr>
          <w:p w14:paraId="55295C24" w14:textId="77777777" w:rsidR="00B13056" w:rsidRPr="00D533AE" w:rsidRDefault="00B13056" w:rsidP="00230580">
            <w:pPr>
              <w:spacing w:line="254" w:lineRule="auto"/>
              <w:jc w:val="center"/>
              <w:rPr>
                <w:rFonts w:ascii="Calibri" w:eastAsia="Times New Roman" w:hAnsi="Calibri" w:cs="Calibri"/>
                <w:color w:val="000000" w:themeColor="text1"/>
                <w:kern w:val="24"/>
              </w:rPr>
            </w:pPr>
          </w:p>
          <w:p w14:paraId="2EC0B735"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4.3 (1.5)</w:t>
            </w:r>
          </w:p>
          <w:p w14:paraId="324135D6"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Times New Roman" w:hAnsi="Calibri" w:cs="Calibri"/>
                <w:color w:val="000000" w:themeColor="text1"/>
                <w:kern w:val="24"/>
              </w:rPr>
              <w:t>4 (3-5)</w:t>
            </w:r>
          </w:p>
        </w:tc>
      </w:tr>
      <w:tr w:rsidR="00230580" w:rsidRPr="00D533AE" w14:paraId="23FEEE7A" w14:textId="77777777" w:rsidTr="00AE5184">
        <w:trPr>
          <w:trHeight w:val="903"/>
        </w:trPr>
        <w:tc>
          <w:tcPr>
            <w:tcW w:w="2800" w:type="dxa"/>
            <w:tcBorders>
              <w:top w:val="nil"/>
              <w:left w:val="nil"/>
              <w:bottom w:val="single" w:sz="8" w:space="0" w:color="000000"/>
              <w:right w:val="nil"/>
            </w:tcBorders>
            <w:shd w:val="clear" w:color="auto" w:fill="auto"/>
            <w:tcMar>
              <w:top w:w="53" w:type="dxa"/>
              <w:left w:w="106" w:type="dxa"/>
              <w:bottom w:w="53" w:type="dxa"/>
              <w:right w:w="106" w:type="dxa"/>
            </w:tcMar>
            <w:hideMark/>
          </w:tcPr>
          <w:p w14:paraId="460C8B72" w14:textId="77777777" w:rsidR="00230580" w:rsidRPr="00D533AE" w:rsidRDefault="00230580" w:rsidP="00230580">
            <w:pPr>
              <w:spacing w:line="254" w:lineRule="auto"/>
              <w:rPr>
                <w:rFonts w:ascii="Calibri" w:eastAsia="Times New Roman" w:hAnsi="Calibri" w:cs="Calibri"/>
                <w:color w:val="000000" w:themeColor="text1"/>
                <w:kern w:val="24"/>
              </w:rPr>
            </w:pPr>
            <w:r w:rsidRPr="00D533AE">
              <w:rPr>
                <w:rFonts w:ascii="Calibri" w:eastAsia="Times New Roman" w:hAnsi="Calibri" w:cs="Calibri"/>
                <w:color w:val="000000" w:themeColor="text1"/>
                <w:kern w:val="24"/>
              </w:rPr>
              <w:lastRenderedPageBreak/>
              <w:t>Blood vessel density</w:t>
            </w:r>
          </w:p>
          <w:p w14:paraId="6A4E5E11" w14:textId="77777777" w:rsidR="00230580" w:rsidRPr="00D533AE" w:rsidRDefault="00C0142F"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rPr>
              <w:t xml:space="preserve">Per section </w:t>
            </w:r>
            <w:r w:rsidR="00230580" w:rsidRPr="00D533AE">
              <w:rPr>
                <w:rFonts w:ascii="Calibri" w:eastAsia="Times New Roman" w:hAnsi="Calibri" w:cs="Calibri"/>
                <w:color w:val="000000" w:themeColor="text1"/>
                <w:kern w:val="24"/>
              </w:rPr>
              <w:t>(mean, SD)</w:t>
            </w:r>
          </w:p>
          <w:p w14:paraId="5B7BA138"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Blood vessel (+) PGP</w:t>
            </w:r>
            <w:r w:rsidR="009D617B" w:rsidRPr="00D533AE">
              <w:rPr>
                <w:rFonts w:ascii="Calibri" w:eastAsia="Times New Roman" w:hAnsi="Calibri" w:cs="Calibri"/>
                <w:color w:val="000000" w:themeColor="text1"/>
                <w:kern w:val="24"/>
                <w:lang w:val="en-US"/>
              </w:rPr>
              <w:t>9.5</w:t>
            </w:r>
          </w:p>
          <w:p w14:paraId="30E4C287"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Times New Roman" w:hAnsi="Calibri" w:cs="Calibri"/>
                <w:color w:val="000000" w:themeColor="text1"/>
                <w:kern w:val="24"/>
                <w:lang w:val="en-US"/>
              </w:rPr>
              <w:t>(mean, SD)</w:t>
            </w:r>
          </w:p>
        </w:tc>
        <w:tc>
          <w:tcPr>
            <w:tcW w:w="3700" w:type="dxa"/>
            <w:tcBorders>
              <w:top w:val="nil"/>
              <w:left w:val="nil"/>
              <w:bottom w:val="single" w:sz="8" w:space="0" w:color="000000"/>
              <w:right w:val="nil"/>
            </w:tcBorders>
            <w:shd w:val="clear" w:color="auto" w:fill="auto"/>
            <w:tcMar>
              <w:top w:w="53" w:type="dxa"/>
              <w:left w:w="106" w:type="dxa"/>
              <w:bottom w:w="53" w:type="dxa"/>
              <w:right w:w="106" w:type="dxa"/>
            </w:tcMar>
            <w:hideMark/>
          </w:tcPr>
          <w:p w14:paraId="53077F12"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Calibri" w:hAnsi="Calibri" w:cs="Arial"/>
                <w:color w:val="000000" w:themeColor="text1"/>
                <w:kern w:val="24"/>
                <w:lang w:val="en-US"/>
              </w:rPr>
              <w:t>123.5 (69.1)                            53.2 (21.4)</w:t>
            </w:r>
          </w:p>
          <w:p w14:paraId="61A2C10F" w14:textId="77777777" w:rsidR="00230580" w:rsidRPr="00D533AE" w:rsidRDefault="00230580" w:rsidP="00230580">
            <w:pPr>
              <w:spacing w:line="254" w:lineRule="auto"/>
              <w:rPr>
                <w:rFonts w:ascii="Calibri" w:eastAsia="Calibri" w:hAnsi="Calibri" w:cs="Arial"/>
                <w:color w:val="000000" w:themeColor="text1"/>
                <w:kern w:val="24"/>
                <w:lang w:val="en-US"/>
              </w:rPr>
            </w:pPr>
          </w:p>
          <w:p w14:paraId="3BD54F64" w14:textId="77777777" w:rsidR="00230580" w:rsidRPr="00D533AE" w:rsidRDefault="00230580" w:rsidP="00230580">
            <w:pPr>
              <w:spacing w:line="254" w:lineRule="auto"/>
              <w:rPr>
                <w:rFonts w:ascii="Arial" w:eastAsia="Times New Roman" w:hAnsi="Arial" w:cs="Arial"/>
                <w:sz w:val="36"/>
                <w:szCs w:val="36"/>
                <w:lang w:val="en-US"/>
              </w:rPr>
            </w:pPr>
            <w:r w:rsidRPr="00D533AE">
              <w:rPr>
                <w:rFonts w:ascii="Calibri" w:eastAsia="Calibri" w:hAnsi="Calibri" w:cs="Arial"/>
                <w:color w:val="000000" w:themeColor="text1"/>
                <w:kern w:val="24"/>
                <w:lang w:val="en-US"/>
              </w:rPr>
              <w:t>15.5 (13.2)                                   4.4 (5.3)</w:t>
            </w:r>
          </w:p>
        </w:tc>
        <w:tc>
          <w:tcPr>
            <w:tcW w:w="1920" w:type="dxa"/>
            <w:tcBorders>
              <w:top w:val="nil"/>
              <w:left w:val="nil"/>
              <w:bottom w:val="single" w:sz="8" w:space="0" w:color="000000"/>
              <w:right w:val="nil"/>
            </w:tcBorders>
            <w:shd w:val="clear" w:color="auto" w:fill="auto"/>
            <w:tcMar>
              <w:top w:w="53" w:type="dxa"/>
              <w:left w:w="106" w:type="dxa"/>
              <w:bottom w:w="53" w:type="dxa"/>
              <w:right w:w="106" w:type="dxa"/>
            </w:tcMar>
            <w:hideMark/>
          </w:tcPr>
          <w:p w14:paraId="01537B3C"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Calibri" w:hAnsi="Calibri" w:cs="Arial"/>
                <w:color w:val="000000" w:themeColor="text1"/>
                <w:kern w:val="24"/>
                <w:lang w:val="en-US"/>
              </w:rPr>
              <w:t>11.7 (5.4)</w:t>
            </w:r>
          </w:p>
          <w:p w14:paraId="7AAB6058" w14:textId="77777777" w:rsidR="00743A2C" w:rsidRPr="00D533AE" w:rsidRDefault="00743A2C" w:rsidP="00230580">
            <w:pPr>
              <w:spacing w:line="254" w:lineRule="auto"/>
              <w:jc w:val="center"/>
              <w:rPr>
                <w:rFonts w:ascii="Calibri" w:eastAsia="Calibri" w:hAnsi="Calibri" w:cs="Arial"/>
                <w:color w:val="000000" w:themeColor="text1"/>
                <w:kern w:val="24"/>
                <w:lang w:val="en-US"/>
              </w:rPr>
            </w:pPr>
          </w:p>
          <w:p w14:paraId="1B9C0EFA" w14:textId="77777777" w:rsidR="00230580" w:rsidRPr="00D533AE" w:rsidRDefault="00230580" w:rsidP="00230580">
            <w:pPr>
              <w:spacing w:line="254" w:lineRule="auto"/>
              <w:jc w:val="center"/>
              <w:rPr>
                <w:rFonts w:ascii="Arial" w:eastAsia="Times New Roman" w:hAnsi="Arial" w:cs="Arial"/>
                <w:sz w:val="36"/>
                <w:szCs w:val="36"/>
                <w:lang w:val="en-US"/>
              </w:rPr>
            </w:pPr>
            <w:r w:rsidRPr="00D533AE">
              <w:rPr>
                <w:rFonts w:ascii="Calibri" w:eastAsia="Calibri" w:hAnsi="Calibri" w:cs="Arial"/>
                <w:color w:val="000000" w:themeColor="text1"/>
                <w:kern w:val="24"/>
                <w:lang w:val="en-US"/>
              </w:rPr>
              <w:t>0.4 (0.69)</w:t>
            </w:r>
          </w:p>
        </w:tc>
        <w:tc>
          <w:tcPr>
            <w:tcW w:w="2200" w:type="dxa"/>
            <w:tcBorders>
              <w:top w:val="nil"/>
              <w:left w:val="nil"/>
              <w:bottom w:val="single" w:sz="8" w:space="0" w:color="000000"/>
              <w:right w:val="nil"/>
            </w:tcBorders>
            <w:shd w:val="clear" w:color="auto" w:fill="auto"/>
            <w:tcMar>
              <w:top w:w="53" w:type="dxa"/>
              <w:left w:w="106" w:type="dxa"/>
              <w:bottom w:w="53" w:type="dxa"/>
              <w:right w:w="106" w:type="dxa"/>
            </w:tcMar>
            <w:hideMark/>
          </w:tcPr>
          <w:p w14:paraId="4CF74757" w14:textId="77777777" w:rsidR="00230580" w:rsidRPr="00D533AE" w:rsidRDefault="00230580" w:rsidP="00230580">
            <w:pPr>
              <w:spacing w:line="254" w:lineRule="auto"/>
              <w:jc w:val="center"/>
              <w:rPr>
                <w:rFonts w:ascii="Calibri" w:eastAsia="Calibri" w:hAnsi="Calibri" w:cs="Arial"/>
                <w:color w:val="000000" w:themeColor="text1"/>
                <w:kern w:val="24"/>
                <w:lang w:val="en-US"/>
              </w:rPr>
            </w:pPr>
            <w:r w:rsidRPr="00D533AE">
              <w:rPr>
                <w:rFonts w:ascii="Calibri" w:eastAsia="Calibri" w:hAnsi="Calibri" w:cs="Arial"/>
                <w:color w:val="000000" w:themeColor="text1"/>
                <w:kern w:val="24"/>
                <w:lang w:val="en-US"/>
              </w:rPr>
              <w:t>n/a</w:t>
            </w:r>
          </w:p>
          <w:p w14:paraId="4578A920" w14:textId="77777777" w:rsidR="000723D8" w:rsidRPr="00D533AE" w:rsidRDefault="000723D8" w:rsidP="00230580">
            <w:pPr>
              <w:spacing w:line="254" w:lineRule="auto"/>
              <w:jc w:val="center"/>
              <w:rPr>
                <w:rFonts w:ascii="Calibri" w:eastAsia="Calibri" w:hAnsi="Calibri" w:cs="Arial"/>
                <w:color w:val="000000" w:themeColor="text1"/>
                <w:kern w:val="24"/>
                <w:lang w:val="en-US"/>
              </w:rPr>
            </w:pPr>
          </w:p>
          <w:p w14:paraId="40FD0645" w14:textId="77777777" w:rsidR="000723D8" w:rsidRPr="00D533AE" w:rsidRDefault="000723D8" w:rsidP="00230580">
            <w:pPr>
              <w:spacing w:line="254" w:lineRule="auto"/>
              <w:jc w:val="center"/>
              <w:rPr>
                <w:rFonts w:ascii="Arial" w:eastAsia="Times New Roman" w:hAnsi="Arial" w:cs="Arial"/>
                <w:sz w:val="36"/>
                <w:szCs w:val="36"/>
                <w:lang w:val="en-US"/>
              </w:rPr>
            </w:pPr>
            <w:r w:rsidRPr="00D533AE">
              <w:rPr>
                <w:rFonts w:ascii="Calibri" w:eastAsia="Calibri" w:hAnsi="Calibri" w:cs="Arial"/>
                <w:color w:val="000000" w:themeColor="text1"/>
                <w:kern w:val="24"/>
                <w:lang w:val="en-US"/>
              </w:rPr>
              <w:t>n/a</w:t>
            </w:r>
          </w:p>
        </w:tc>
        <w:tc>
          <w:tcPr>
            <w:tcW w:w="1340" w:type="dxa"/>
            <w:tcBorders>
              <w:top w:val="nil"/>
              <w:left w:val="nil"/>
              <w:bottom w:val="single" w:sz="8" w:space="0" w:color="000000"/>
              <w:right w:val="nil"/>
            </w:tcBorders>
            <w:shd w:val="clear" w:color="auto" w:fill="auto"/>
            <w:tcMar>
              <w:top w:w="53" w:type="dxa"/>
              <w:left w:w="106" w:type="dxa"/>
              <w:bottom w:w="53" w:type="dxa"/>
              <w:right w:w="106" w:type="dxa"/>
            </w:tcMar>
            <w:hideMark/>
          </w:tcPr>
          <w:p w14:paraId="45E65025" w14:textId="77777777" w:rsidR="00230580" w:rsidRPr="00D533AE" w:rsidRDefault="00230580" w:rsidP="00230580">
            <w:pPr>
              <w:spacing w:line="254" w:lineRule="auto"/>
              <w:jc w:val="center"/>
              <w:rPr>
                <w:rFonts w:ascii="Calibri" w:eastAsia="Calibri" w:hAnsi="Calibri" w:cs="Arial"/>
                <w:color w:val="000000" w:themeColor="text1"/>
                <w:kern w:val="24"/>
                <w:lang w:val="en-US"/>
              </w:rPr>
            </w:pPr>
            <w:r w:rsidRPr="00D533AE">
              <w:rPr>
                <w:rFonts w:ascii="Calibri" w:eastAsia="Calibri" w:hAnsi="Calibri" w:cs="Arial"/>
                <w:color w:val="000000" w:themeColor="text1"/>
                <w:kern w:val="24"/>
                <w:lang w:val="en-US"/>
              </w:rPr>
              <w:t>n/a</w:t>
            </w:r>
          </w:p>
          <w:p w14:paraId="2F9D756E" w14:textId="77777777" w:rsidR="000723D8" w:rsidRPr="00D533AE" w:rsidRDefault="000723D8" w:rsidP="00230580">
            <w:pPr>
              <w:spacing w:line="254" w:lineRule="auto"/>
              <w:jc w:val="center"/>
              <w:rPr>
                <w:rFonts w:ascii="Calibri" w:eastAsia="Calibri" w:hAnsi="Calibri" w:cs="Arial"/>
                <w:color w:val="000000" w:themeColor="text1"/>
                <w:kern w:val="24"/>
                <w:lang w:val="en-US"/>
              </w:rPr>
            </w:pPr>
          </w:p>
          <w:p w14:paraId="46AEDC92" w14:textId="77777777" w:rsidR="000723D8" w:rsidRPr="00D533AE" w:rsidRDefault="000723D8" w:rsidP="00230580">
            <w:pPr>
              <w:spacing w:line="254" w:lineRule="auto"/>
              <w:jc w:val="center"/>
              <w:rPr>
                <w:rFonts w:ascii="Arial" w:eastAsia="Times New Roman" w:hAnsi="Arial" w:cs="Arial"/>
                <w:sz w:val="36"/>
                <w:szCs w:val="36"/>
                <w:lang w:val="en-US"/>
              </w:rPr>
            </w:pPr>
            <w:r w:rsidRPr="00D533AE">
              <w:rPr>
                <w:rFonts w:ascii="Calibri" w:eastAsia="Calibri" w:hAnsi="Calibri" w:cs="Arial"/>
                <w:color w:val="000000" w:themeColor="text1"/>
                <w:kern w:val="24"/>
                <w:lang w:val="en-US"/>
              </w:rPr>
              <w:t>n/a</w:t>
            </w:r>
          </w:p>
        </w:tc>
        <w:tc>
          <w:tcPr>
            <w:tcW w:w="2600" w:type="dxa"/>
            <w:tcBorders>
              <w:top w:val="nil"/>
              <w:left w:val="nil"/>
              <w:bottom w:val="single" w:sz="8" w:space="0" w:color="000000"/>
              <w:right w:val="nil"/>
            </w:tcBorders>
            <w:shd w:val="clear" w:color="auto" w:fill="auto"/>
            <w:tcMar>
              <w:top w:w="53" w:type="dxa"/>
              <w:left w:w="106" w:type="dxa"/>
              <w:bottom w:w="53" w:type="dxa"/>
              <w:right w:w="106" w:type="dxa"/>
            </w:tcMar>
            <w:hideMark/>
          </w:tcPr>
          <w:p w14:paraId="3D509E30" w14:textId="77777777" w:rsidR="00230580" w:rsidRPr="00D533AE" w:rsidRDefault="00230580" w:rsidP="00230580">
            <w:pPr>
              <w:spacing w:line="254" w:lineRule="auto"/>
              <w:jc w:val="center"/>
              <w:rPr>
                <w:rFonts w:ascii="Calibri" w:eastAsia="Calibri" w:hAnsi="Calibri" w:cs="Arial"/>
                <w:color w:val="000000" w:themeColor="text1"/>
                <w:kern w:val="24"/>
                <w:lang w:val="en-US"/>
              </w:rPr>
            </w:pPr>
            <w:r w:rsidRPr="00D533AE">
              <w:rPr>
                <w:rFonts w:ascii="Calibri" w:eastAsia="Calibri" w:hAnsi="Calibri" w:cs="Arial"/>
                <w:color w:val="000000" w:themeColor="text1"/>
                <w:kern w:val="24"/>
                <w:lang w:val="en-US"/>
              </w:rPr>
              <w:t>n/a</w:t>
            </w:r>
          </w:p>
          <w:p w14:paraId="58D16669" w14:textId="77777777" w:rsidR="000723D8" w:rsidRPr="00D533AE" w:rsidRDefault="000723D8" w:rsidP="00230580">
            <w:pPr>
              <w:spacing w:line="254" w:lineRule="auto"/>
              <w:jc w:val="center"/>
              <w:rPr>
                <w:rFonts w:ascii="Calibri" w:eastAsia="Calibri" w:hAnsi="Calibri" w:cs="Arial"/>
                <w:color w:val="000000" w:themeColor="text1"/>
                <w:kern w:val="24"/>
                <w:lang w:val="en-US"/>
              </w:rPr>
            </w:pPr>
          </w:p>
          <w:p w14:paraId="7452B537" w14:textId="77777777" w:rsidR="000723D8" w:rsidRPr="00D533AE" w:rsidRDefault="000723D8" w:rsidP="00230580">
            <w:pPr>
              <w:spacing w:line="254" w:lineRule="auto"/>
              <w:jc w:val="center"/>
              <w:rPr>
                <w:rFonts w:ascii="Arial" w:eastAsia="Times New Roman" w:hAnsi="Arial" w:cs="Arial"/>
                <w:sz w:val="36"/>
                <w:szCs w:val="36"/>
                <w:lang w:val="en-US"/>
              </w:rPr>
            </w:pPr>
            <w:r w:rsidRPr="00D533AE">
              <w:rPr>
                <w:rFonts w:ascii="Calibri" w:eastAsia="Calibri" w:hAnsi="Calibri" w:cs="Arial"/>
                <w:color w:val="000000" w:themeColor="text1"/>
                <w:kern w:val="24"/>
                <w:lang w:val="en-US"/>
              </w:rPr>
              <w:t>n/a</w:t>
            </w:r>
          </w:p>
        </w:tc>
      </w:tr>
    </w:tbl>
    <w:p w14:paraId="060F7C97" w14:textId="77777777" w:rsidR="00F22734" w:rsidRPr="00D533AE" w:rsidRDefault="00F22734" w:rsidP="00B34E38">
      <w:pPr>
        <w:pStyle w:val="NormalWeb"/>
        <w:spacing w:before="0" w:beforeAutospacing="0" w:after="0" w:afterAutospacing="0"/>
        <w:rPr>
          <w:rFonts w:ascii="Arial" w:eastAsiaTheme="minorEastAsia" w:hAnsi="Arial" w:cs="Arial"/>
          <w:color w:val="000000" w:themeColor="text1"/>
          <w:kern w:val="24"/>
        </w:rPr>
      </w:pPr>
    </w:p>
    <w:p w14:paraId="1B2B5E29" w14:textId="77777777" w:rsidR="00C334A8" w:rsidRPr="00D533AE" w:rsidRDefault="00231D6A" w:rsidP="00B34E38">
      <w:pPr>
        <w:pStyle w:val="NormalWeb"/>
        <w:spacing w:before="0" w:beforeAutospacing="0" w:after="0" w:afterAutospacing="0"/>
        <w:rPr>
          <w:rFonts w:ascii="Arial" w:eastAsiaTheme="minorEastAsia" w:hAnsi="Arial" w:cs="Arial"/>
          <w:b/>
          <w:color w:val="000000" w:themeColor="text1"/>
          <w:kern w:val="24"/>
        </w:rPr>
      </w:pPr>
      <w:r w:rsidRPr="00D533AE">
        <w:rPr>
          <w:rFonts w:ascii="Arial" w:eastAsiaTheme="minorEastAsia" w:hAnsi="Arial" w:cs="Arial"/>
          <w:b/>
          <w:color w:val="000000" w:themeColor="text1"/>
          <w:kern w:val="24"/>
        </w:rPr>
        <w:t xml:space="preserve"> </w:t>
      </w:r>
      <w:r w:rsidR="00887DBB" w:rsidRPr="00D533AE">
        <w:rPr>
          <w:rFonts w:ascii="Arial" w:eastAsiaTheme="minorEastAsia" w:hAnsi="Arial" w:cs="Arial"/>
          <w:b/>
          <w:color w:val="000000" w:themeColor="text1"/>
          <w:kern w:val="24"/>
        </w:rPr>
        <w:t>Legend to Table 2</w:t>
      </w:r>
    </w:p>
    <w:p w14:paraId="69C8124D" w14:textId="77777777" w:rsidR="009D617B" w:rsidRPr="00D533AE" w:rsidRDefault="001A5B89" w:rsidP="009D617B">
      <w:pPr>
        <w:spacing w:line="240" w:lineRule="auto"/>
        <w:rPr>
          <w:rFonts w:ascii="Arial" w:hAnsi="Arial" w:cs="Arial"/>
          <w:sz w:val="24"/>
          <w:szCs w:val="24"/>
        </w:rPr>
      </w:pPr>
      <w:r w:rsidRPr="00D533AE">
        <w:rPr>
          <w:rFonts w:ascii="Arial" w:eastAsiaTheme="minorEastAsia" w:hAnsi="Arial" w:cs="Arial"/>
          <w:color w:val="000000" w:themeColor="text1"/>
          <w:kern w:val="24"/>
          <w:sz w:val="24"/>
          <w:szCs w:val="24"/>
        </w:rPr>
        <w:t>Study d</w:t>
      </w:r>
      <w:r w:rsidR="009D617B" w:rsidRPr="00D533AE">
        <w:rPr>
          <w:rFonts w:ascii="Arial" w:eastAsiaTheme="minorEastAsia" w:hAnsi="Arial" w:cs="Arial"/>
          <w:color w:val="000000" w:themeColor="text1"/>
          <w:kern w:val="24"/>
          <w:sz w:val="24"/>
          <w:szCs w:val="24"/>
        </w:rPr>
        <w:t>ata</w:t>
      </w:r>
      <w:r w:rsidRPr="00D533AE">
        <w:rPr>
          <w:rFonts w:ascii="Arial" w:eastAsiaTheme="minorEastAsia" w:hAnsi="Arial" w:cs="Arial"/>
          <w:color w:val="000000" w:themeColor="text1"/>
          <w:kern w:val="24"/>
          <w:sz w:val="24"/>
          <w:szCs w:val="24"/>
        </w:rPr>
        <w:t xml:space="preserve"> summarising age, </w:t>
      </w:r>
      <w:r w:rsidR="00E81258" w:rsidRPr="00D533AE">
        <w:rPr>
          <w:rFonts w:ascii="Arial" w:eastAsiaTheme="minorEastAsia" w:hAnsi="Arial" w:cs="Arial"/>
          <w:color w:val="000000" w:themeColor="text1"/>
          <w:kern w:val="24"/>
          <w:sz w:val="24"/>
          <w:szCs w:val="24"/>
        </w:rPr>
        <w:t>sex</w:t>
      </w:r>
      <w:r w:rsidRPr="00D533AE">
        <w:rPr>
          <w:rFonts w:ascii="Arial" w:eastAsiaTheme="minorEastAsia" w:hAnsi="Arial" w:cs="Arial"/>
          <w:color w:val="000000" w:themeColor="text1"/>
          <w:kern w:val="24"/>
          <w:sz w:val="24"/>
          <w:szCs w:val="24"/>
        </w:rPr>
        <w:t xml:space="preserve">, </w:t>
      </w:r>
      <w:r w:rsidR="00391CD5" w:rsidRPr="00D533AE">
        <w:rPr>
          <w:rFonts w:ascii="Arial" w:eastAsiaTheme="minorEastAsia" w:hAnsi="Arial" w:cs="Arial"/>
          <w:color w:val="000000" w:themeColor="text1"/>
          <w:kern w:val="24"/>
          <w:sz w:val="24"/>
          <w:szCs w:val="24"/>
        </w:rPr>
        <w:t>Osteo</w:t>
      </w:r>
      <w:r w:rsidR="000C3937" w:rsidRPr="00D533AE">
        <w:rPr>
          <w:rFonts w:ascii="Arial" w:eastAsiaTheme="minorEastAsia" w:hAnsi="Arial" w:cs="Arial"/>
          <w:color w:val="000000" w:themeColor="text1"/>
          <w:kern w:val="24"/>
          <w:sz w:val="24"/>
          <w:szCs w:val="24"/>
        </w:rPr>
        <w:t>a</w:t>
      </w:r>
      <w:r w:rsidR="00391CD5" w:rsidRPr="00D533AE">
        <w:rPr>
          <w:rFonts w:ascii="Arial" w:eastAsiaTheme="minorEastAsia" w:hAnsi="Arial" w:cs="Arial"/>
          <w:color w:val="000000" w:themeColor="text1"/>
          <w:kern w:val="24"/>
          <w:sz w:val="24"/>
          <w:szCs w:val="24"/>
        </w:rPr>
        <w:t>rthritis Bone Score (</w:t>
      </w:r>
      <w:r w:rsidRPr="00D533AE">
        <w:rPr>
          <w:rFonts w:ascii="Arial" w:eastAsiaTheme="minorEastAsia" w:hAnsi="Arial" w:cs="Arial"/>
          <w:color w:val="000000" w:themeColor="text1"/>
          <w:kern w:val="24"/>
          <w:sz w:val="24"/>
          <w:szCs w:val="24"/>
        </w:rPr>
        <w:t>OABS</w:t>
      </w:r>
      <w:r w:rsidR="00391CD5" w:rsidRPr="00D533AE">
        <w:rPr>
          <w:rFonts w:ascii="Arial" w:eastAsiaTheme="minorEastAsia" w:hAnsi="Arial" w:cs="Arial"/>
          <w:color w:val="000000" w:themeColor="text1"/>
          <w:kern w:val="24"/>
          <w:sz w:val="24"/>
          <w:szCs w:val="24"/>
        </w:rPr>
        <w:t>)</w:t>
      </w:r>
      <w:r w:rsidRPr="00D533AE">
        <w:rPr>
          <w:rFonts w:ascii="Arial" w:eastAsiaTheme="minorEastAsia" w:hAnsi="Arial" w:cs="Arial"/>
          <w:color w:val="000000" w:themeColor="text1"/>
          <w:kern w:val="24"/>
          <w:sz w:val="24"/>
          <w:szCs w:val="24"/>
        </w:rPr>
        <w:t xml:space="preserve"> and </w:t>
      </w:r>
      <w:r w:rsidR="00391CD5" w:rsidRPr="00D533AE">
        <w:rPr>
          <w:rFonts w:ascii="Arial" w:eastAsiaTheme="minorEastAsia" w:hAnsi="Arial" w:cs="Arial"/>
          <w:color w:val="000000" w:themeColor="text1"/>
          <w:kern w:val="24"/>
          <w:sz w:val="24"/>
          <w:szCs w:val="24"/>
        </w:rPr>
        <w:t xml:space="preserve">Mankin </w:t>
      </w:r>
      <w:r w:rsidRPr="00D533AE">
        <w:rPr>
          <w:rFonts w:ascii="Arial" w:eastAsiaTheme="minorEastAsia" w:hAnsi="Arial" w:cs="Arial"/>
          <w:color w:val="000000" w:themeColor="text1"/>
          <w:kern w:val="24"/>
          <w:sz w:val="24"/>
          <w:szCs w:val="24"/>
        </w:rPr>
        <w:t xml:space="preserve">chondropathy score for sample population. </w:t>
      </w:r>
      <w:r w:rsidR="00F22734" w:rsidRPr="00D533AE">
        <w:rPr>
          <w:rFonts w:ascii="Arial" w:eastAsiaTheme="minorEastAsia" w:hAnsi="Arial" w:cs="Arial"/>
          <w:color w:val="000000" w:themeColor="text1"/>
          <w:kern w:val="24"/>
          <w:sz w:val="24"/>
          <w:szCs w:val="24"/>
        </w:rPr>
        <w:t xml:space="preserve">There were </w:t>
      </w:r>
      <w:r w:rsidR="009E0AF2" w:rsidRPr="00D533AE">
        <w:rPr>
          <w:rFonts w:ascii="Arial" w:eastAsiaTheme="minorEastAsia" w:hAnsi="Arial" w:cs="Arial"/>
          <w:color w:val="000000" w:themeColor="text1"/>
          <w:kern w:val="24"/>
          <w:sz w:val="24"/>
          <w:szCs w:val="24"/>
        </w:rPr>
        <w:t>5</w:t>
      </w:r>
      <w:r w:rsidR="00F22734" w:rsidRPr="00D533AE">
        <w:rPr>
          <w:rFonts w:ascii="Arial" w:eastAsiaTheme="minorEastAsia" w:hAnsi="Arial" w:cs="Arial"/>
          <w:color w:val="000000" w:themeColor="text1"/>
          <w:kern w:val="24"/>
          <w:sz w:val="24"/>
          <w:szCs w:val="24"/>
        </w:rPr>
        <w:t xml:space="preserve"> groups in the study: </w:t>
      </w:r>
      <w:r w:rsidR="009D617B" w:rsidRPr="00D533AE">
        <w:rPr>
          <w:rFonts w:ascii="Arial" w:hAnsi="Arial" w:cs="Arial"/>
          <w:sz w:val="24"/>
          <w:szCs w:val="24"/>
        </w:rPr>
        <w:t xml:space="preserve">Group 1: TKR for OA (main </w:t>
      </w:r>
      <w:r w:rsidR="009E0AF2" w:rsidRPr="00D533AE">
        <w:rPr>
          <w:rFonts w:ascii="Arial" w:hAnsi="Arial" w:cs="Arial"/>
          <w:sz w:val="24"/>
          <w:szCs w:val="24"/>
        </w:rPr>
        <w:t xml:space="preserve">development </w:t>
      </w:r>
      <w:r w:rsidR="009D617B" w:rsidRPr="00D533AE">
        <w:rPr>
          <w:rFonts w:ascii="Arial" w:hAnsi="Arial" w:cs="Arial"/>
          <w:sz w:val="24"/>
          <w:szCs w:val="24"/>
        </w:rPr>
        <w:t>set with MRI co-</w:t>
      </w:r>
      <w:r w:rsidR="00497312" w:rsidRPr="00D533AE">
        <w:rPr>
          <w:rFonts w:ascii="Arial" w:hAnsi="Arial" w:cs="Arial"/>
          <w:sz w:val="24"/>
          <w:szCs w:val="24"/>
        </w:rPr>
        <w:t xml:space="preserve">localisation </w:t>
      </w:r>
      <w:r w:rsidR="009D617B" w:rsidRPr="00D533AE">
        <w:rPr>
          <w:rFonts w:ascii="Arial" w:hAnsi="Arial" w:cs="Arial"/>
          <w:sz w:val="24"/>
          <w:szCs w:val="24"/>
        </w:rPr>
        <w:t>for BML and histology), Group 2: Post-mortem non-arthritic controls, Group 3: TKR for OA (</w:t>
      </w:r>
      <w:r w:rsidR="009E0AF2" w:rsidRPr="00D533AE">
        <w:rPr>
          <w:rFonts w:ascii="Arial" w:hAnsi="Arial" w:cs="Arial"/>
          <w:sz w:val="24"/>
          <w:szCs w:val="24"/>
        </w:rPr>
        <w:t xml:space="preserve">development </w:t>
      </w:r>
      <w:r w:rsidR="009D617B" w:rsidRPr="00D533AE">
        <w:rPr>
          <w:rFonts w:ascii="Arial" w:hAnsi="Arial" w:cs="Arial"/>
          <w:sz w:val="24"/>
          <w:szCs w:val="24"/>
        </w:rPr>
        <w:t>set), Group 4: TKR for OA (validation set); Group 5: Post-mortem samples with chondropathy (validation set)</w:t>
      </w:r>
    </w:p>
    <w:p w14:paraId="3B72F1C9" w14:textId="77777777" w:rsidR="00DE5E04" w:rsidRPr="00D533AE" w:rsidRDefault="0061138A" w:rsidP="009D617B">
      <w:pPr>
        <w:pStyle w:val="NormalWeb"/>
        <w:spacing w:before="0" w:beforeAutospacing="0" w:after="0" w:afterAutospacing="0"/>
        <w:jc w:val="both"/>
        <w:rPr>
          <w:rFonts w:ascii="Arial" w:eastAsiaTheme="minorEastAsia" w:hAnsi="Arial" w:cs="Arial"/>
          <w:color w:val="000000" w:themeColor="text1"/>
          <w:kern w:val="24"/>
        </w:rPr>
      </w:pPr>
      <w:r w:rsidRPr="00D533AE">
        <w:rPr>
          <w:rFonts w:ascii="Arial" w:eastAsiaTheme="minorEastAsia" w:hAnsi="Arial" w:cs="Arial"/>
          <w:color w:val="000000" w:themeColor="text1"/>
          <w:kern w:val="24"/>
        </w:rPr>
        <w:t xml:space="preserve">Pain </w:t>
      </w:r>
      <w:r w:rsidR="001A5B89" w:rsidRPr="00D533AE">
        <w:rPr>
          <w:rFonts w:ascii="Arial" w:eastAsiaTheme="minorEastAsia" w:hAnsi="Arial" w:cs="Arial"/>
          <w:color w:val="000000" w:themeColor="text1"/>
          <w:kern w:val="24"/>
        </w:rPr>
        <w:t xml:space="preserve">scores measured in </w:t>
      </w:r>
      <w:r w:rsidR="009E0AF2" w:rsidRPr="00D533AE">
        <w:rPr>
          <w:rFonts w:ascii="Arial" w:eastAsiaTheme="minorEastAsia" w:hAnsi="Arial" w:cs="Arial"/>
          <w:color w:val="000000" w:themeColor="text1"/>
          <w:kern w:val="24"/>
        </w:rPr>
        <w:t>Group 1 were</w:t>
      </w:r>
      <w:r w:rsidR="001A5B89" w:rsidRPr="00D533AE">
        <w:rPr>
          <w:rFonts w:ascii="Arial" w:eastAsiaTheme="minorEastAsia" w:hAnsi="Arial" w:cs="Arial"/>
          <w:color w:val="000000" w:themeColor="text1"/>
          <w:kern w:val="24"/>
        </w:rPr>
        <w:t xml:space="preserve"> WOMAC (Western Ontario and McMaster Universities Osteoarthritis Index), and VAS (Visual Analogue Scale) pain.  Values are presented as mean and standard deviation (SD)</w:t>
      </w:r>
      <w:r w:rsidR="009E0AF2" w:rsidRPr="00D533AE">
        <w:rPr>
          <w:rFonts w:ascii="Arial" w:eastAsiaTheme="minorEastAsia" w:hAnsi="Arial" w:cs="Arial"/>
          <w:color w:val="000000" w:themeColor="text1"/>
          <w:kern w:val="24"/>
        </w:rPr>
        <w:t>, or median and</w:t>
      </w:r>
      <w:r w:rsidR="001A5B89" w:rsidRPr="00D533AE">
        <w:rPr>
          <w:rFonts w:ascii="Arial" w:eastAsiaTheme="minorEastAsia" w:hAnsi="Arial" w:cs="Arial"/>
          <w:color w:val="000000" w:themeColor="text1"/>
          <w:kern w:val="24"/>
        </w:rPr>
        <w:t xml:space="preserve"> 25</w:t>
      </w:r>
      <w:r w:rsidR="001A5B89" w:rsidRPr="00D533AE">
        <w:rPr>
          <w:rFonts w:ascii="Arial" w:eastAsiaTheme="minorEastAsia" w:hAnsi="Arial" w:cs="Arial"/>
          <w:color w:val="000000" w:themeColor="text1"/>
          <w:kern w:val="24"/>
          <w:vertAlign w:val="superscript"/>
        </w:rPr>
        <w:t>th</w:t>
      </w:r>
      <w:r w:rsidR="001A5B89" w:rsidRPr="00D533AE">
        <w:rPr>
          <w:rFonts w:ascii="Arial" w:eastAsiaTheme="minorEastAsia" w:hAnsi="Arial" w:cs="Arial"/>
          <w:color w:val="000000" w:themeColor="text1"/>
          <w:kern w:val="24"/>
        </w:rPr>
        <w:t xml:space="preserve"> and 75</w:t>
      </w:r>
      <w:r w:rsidR="001A5B89" w:rsidRPr="00D533AE">
        <w:rPr>
          <w:rFonts w:ascii="Arial" w:eastAsiaTheme="minorEastAsia" w:hAnsi="Arial" w:cs="Arial"/>
          <w:color w:val="000000" w:themeColor="text1"/>
          <w:kern w:val="24"/>
          <w:vertAlign w:val="superscript"/>
        </w:rPr>
        <w:t>th</w:t>
      </w:r>
      <w:r w:rsidR="001A5B89" w:rsidRPr="00D533AE">
        <w:rPr>
          <w:rFonts w:ascii="Arial" w:eastAsiaTheme="minorEastAsia" w:hAnsi="Arial" w:cs="Arial"/>
          <w:color w:val="000000" w:themeColor="text1"/>
          <w:kern w:val="24"/>
        </w:rPr>
        <w:t xml:space="preserve"> percentiles</w:t>
      </w:r>
      <w:r w:rsidR="009E0AF2" w:rsidRPr="00D533AE">
        <w:rPr>
          <w:rFonts w:ascii="Arial" w:eastAsiaTheme="minorEastAsia" w:hAnsi="Arial" w:cs="Arial"/>
          <w:color w:val="000000" w:themeColor="text1"/>
          <w:kern w:val="24"/>
        </w:rPr>
        <w:t xml:space="preserve"> (IQR)</w:t>
      </w:r>
      <w:r w:rsidR="007C149F" w:rsidRPr="00D533AE">
        <w:rPr>
          <w:rFonts w:ascii="Arial" w:eastAsiaTheme="minorEastAsia" w:hAnsi="Arial" w:cs="Arial"/>
          <w:color w:val="000000" w:themeColor="text1"/>
          <w:kern w:val="24"/>
        </w:rPr>
        <w:t>.</w:t>
      </w:r>
    </w:p>
    <w:p w14:paraId="43B26F61" w14:textId="77777777" w:rsidR="00384BF1" w:rsidRPr="00D533AE" w:rsidRDefault="00384BF1" w:rsidP="009D617B">
      <w:pPr>
        <w:pStyle w:val="NormalWeb"/>
        <w:spacing w:before="0" w:beforeAutospacing="0" w:after="0" w:afterAutospacing="0"/>
        <w:jc w:val="both"/>
        <w:rPr>
          <w:rFonts w:ascii="Arial" w:eastAsiaTheme="minorEastAsia" w:hAnsi="Arial" w:cs="Arial"/>
          <w:color w:val="000000" w:themeColor="text1"/>
          <w:kern w:val="24"/>
        </w:rPr>
      </w:pPr>
    </w:p>
    <w:p w14:paraId="2F67C165" w14:textId="77777777" w:rsidR="00384BF1" w:rsidRPr="00D533AE" w:rsidRDefault="008A2321" w:rsidP="009D617B">
      <w:pPr>
        <w:pStyle w:val="NormalWeb"/>
        <w:spacing w:before="0" w:beforeAutospacing="0" w:after="0" w:afterAutospacing="0"/>
        <w:jc w:val="both"/>
        <w:rPr>
          <w:rFonts w:ascii="Arial" w:hAnsi="Arial" w:cs="Arial"/>
        </w:rPr>
      </w:pPr>
      <w:r w:rsidRPr="00D533AE">
        <w:rPr>
          <w:rFonts w:ascii="Arial" w:hAnsi="Arial" w:cs="Arial"/>
        </w:rPr>
        <w:t xml:space="preserve">For Group 1, </w:t>
      </w:r>
      <w:r w:rsidR="00384BF1" w:rsidRPr="00D533AE">
        <w:rPr>
          <w:rFonts w:ascii="Arial" w:hAnsi="Arial" w:cs="Arial"/>
        </w:rPr>
        <w:t>mean (SD) BMI 30.9</w:t>
      </w:r>
      <w:r w:rsidR="00B96C04" w:rsidRPr="00D533AE">
        <w:rPr>
          <w:rFonts w:ascii="Arial" w:hAnsi="Arial" w:cs="Arial"/>
          <w:b/>
          <w:bCs/>
          <w:color w:val="202124"/>
          <w:shd w:val="clear" w:color="auto" w:fill="FFFFFF"/>
        </w:rPr>
        <w:t xml:space="preserve"> </w:t>
      </w:r>
      <w:r w:rsidR="00B96C04" w:rsidRPr="00D533AE">
        <w:rPr>
          <w:rFonts w:ascii="Arial" w:hAnsi="Arial" w:cs="Arial"/>
          <w:bCs/>
          <w:color w:val="202124"/>
          <w:shd w:val="clear" w:color="auto" w:fill="FFFFFF"/>
        </w:rPr>
        <w:t>kg/m²</w:t>
      </w:r>
      <w:r w:rsidR="00384BF1" w:rsidRPr="00D533AE">
        <w:rPr>
          <w:rFonts w:ascii="Arial" w:hAnsi="Arial" w:cs="Arial"/>
        </w:rPr>
        <w:t xml:space="preserve"> (3.2), WOMAC pain score mean (SD) 57.7 (14.4), range 31.6 to 78.2, and pain VAS 5.8 (1.7) range 2.6 to 7.6, indicating moderate to severe pain</w:t>
      </w:r>
      <w:r w:rsidR="009A6E18" w:rsidRPr="00D533AE">
        <w:rPr>
          <w:rFonts w:ascii="Arial" w:hAnsi="Arial" w:cs="Arial"/>
        </w:rPr>
        <w:t>.</w:t>
      </w:r>
    </w:p>
    <w:p w14:paraId="3A72FB69" w14:textId="77777777" w:rsidR="009A6E18" w:rsidRPr="00D533AE" w:rsidRDefault="009A6E18" w:rsidP="009D617B">
      <w:pPr>
        <w:pStyle w:val="NormalWeb"/>
        <w:spacing w:before="0" w:beforeAutospacing="0" w:after="0" w:afterAutospacing="0"/>
        <w:jc w:val="both"/>
        <w:rPr>
          <w:rFonts w:ascii="Arial" w:hAnsi="Arial" w:cs="Arial"/>
        </w:rPr>
      </w:pPr>
    </w:p>
    <w:p w14:paraId="6823BC11" w14:textId="77777777" w:rsidR="009A6E18" w:rsidRPr="00D533AE" w:rsidRDefault="00234955" w:rsidP="009D617B">
      <w:pPr>
        <w:pStyle w:val="NormalWeb"/>
        <w:spacing w:before="0" w:beforeAutospacing="0" w:after="0" w:afterAutospacing="0"/>
        <w:jc w:val="both"/>
        <w:rPr>
          <w:rFonts w:ascii="Arial" w:hAnsi="Arial" w:cs="Arial"/>
        </w:rPr>
      </w:pPr>
      <w:r w:rsidRPr="00D533AE">
        <w:rPr>
          <w:rFonts w:ascii="Arial" w:hAnsi="Arial" w:cs="Arial"/>
        </w:rPr>
        <w:t>Within the validation data set, OABS and Mankin scores each was similarly associated with TKR (group 4)</w:t>
      </w:r>
      <w:r w:rsidR="00AA6B23" w:rsidRPr="00D533AE">
        <w:rPr>
          <w:rFonts w:ascii="Arial" w:hAnsi="Arial" w:cs="Arial"/>
        </w:rPr>
        <w:t>,</w:t>
      </w:r>
      <w:r w:rsidRPr="00D533AE">
        <w:rPr>
          <w:rFonts w:ascii="Arial" w:hAnsi="Arial" w:cs="Arial"/>
        </w:rPr>
        <w:t xml:space="preserve"> post mortem with chondropathy (group 5) </w:t>
      </w:r>
      <w:r w:rsidR="009A6E18" w:rsidRPr="00D533AE">
        <w:rPr>
          <w:rFonts w:ascii="Arial" w:hAnsi="Arial" w:cs="Arial"/>
        </w:rPr>
        <w:t xml:space="preserve">OABS; </w:t>
      </w:r>
      <w:r w:rsidRPr="00D533AE">
        <w:rPr>
          <w:rFonts w:ascii="Arial" w:hAnsi="Arial" w:cs="Arial"/>
        </w:rPr>
        <w:t>Odds ratio (</w:t>
      </w:r>
      <w:r w:rsidR="009A6E18" w:rsidRPr="00D533AE">
        <w:rPr>
          <w:rFonts w:ascii="Arial" w:hAnsi="Arial" w:cs="Arial"/>
        </w:rPr>
        <w:t>OR</w:t>
      </w:r>
      <w:r w:rsidRPr="00D533AE">
        <w:rPr>
          <w:rFonts w:ascii="Arial" w:hAnsi="Arial" w:cs="Arial"/>
        </w:rPr>
        <w:t>)</w:t>
      </w:r>
      <w:r w:rsidR="009A6E18" w:rsidRPr="00D533AE">
        <w:rPr>
          <w:rFonts w:ascii="Arial" w:hAnsi="Arial" w:cs="Arial"/>
        </w:rPr>
        <w:t>=2.22 (95% CI, 1.41 to 3.64), r=0.29, Mankin score; OR=1.64 (95% CI, 1.06 to 2.58)</w:t>
      </w:r>
      <w:r w:rsidR="0008234E" w:rsidRPr="00D533AE">
        <w:rPr>
          <w:rFonts w:ascii="Arial" w:hAnsi="Arial" w:cs="Arial"/>
        </w:rPr>
        <w:t xml:space="preserve"> giving Spearman’s r = 0.29 for OABS and r = 0.19 for Mankin scores, difference between coefficients = 0.10 (95% CI -0.09 to 0.30, p = 0.284)</w:t>
      </w:r>
      <w:r w:rsidR="00CD58DF" w:rsidRPr="00D533AE">
        <w:rPr>
          <w:rFonts w:ascii="Arial" w:hAnsi="Arial" w:cs="Arial"/>
        </w:rPr>
        <w:t>.</w:t>
      </w:r>
    </w:p>
    <w:p w14:paraId="3DF2B89C" w14:textId="77777777" w:rsidR="005430C6" w:rsidRPr="00D533AE" w:rsidRDefault="005430C6" w:rsidP="009D617B">
      <w:pPr>
        <w:pStyle w:val="NormalWeb"/>
        <w:spacing w:before="0" w:beforeAutospacing="0" w:after="0" w:afterAutospacing="0"/>
        <w:jc w:val="both"/>
        <w:rPr>
          <w:rFonts w:ascii="Arial" w:hAnsi="Arial" w:cs="Arial"/>
        </w:rPr>
      </w:pPr>
    </w:p>
    <w:p w14:paraId="23A109BF" w14:textId="77777777" w:rsidR="005430C6" w:rsidRPr="00D533AE" w:rsidRDefault="005430C6" w:rsidP="009D617B">
      <w:pPr>
        <w:pStyle w:val="NormalWeb"/>
        <w:spacing w:before="0" w:beforeAutospacing="0" w:after="0" w:afterAutospacing="0"/>
        <w:jc w:val="both"/>
        <w:rPr>
          <w:rFonts w:ascii="Arial" w:eastAsiaTheme="minorEastAsia" w:hAnsi="Arial" w:cs="Arial"/>
          <w:color w:val="000000" w:themeColor="text1"/>
          <w:kern w:val="24"/>
        </w:rPr>
      </w:pPr>
      <w:r w:rsidRPr="00D533AE">
        <w:rPr>
          <w:rFonts w:ascii="Arial" w:hAnsi="Arial" w:cs="Arial"/>
        </w:rPr>
        <w:t xml:space="preserve">Blood vessel density shows the number of blood vessels counted per </w:t>
      </w:r>
      <w:r w:rsidR="00151BC3" w:rsidRPr="00D533AE">
        <w:rPr>
          <w:rFonts w:ascii="Arial" w:hAnsi="Arial" w:cs="Arial"/>
        </w:rPr>
        <w:t xml:space="preserve">standardised subchondral region of interest </w:t>
      </w:r>
      <w:r w:rsidR="00A75D50" w:rsidRPr="00D533AE">
        <w:rPr>
          <w:rFonts w:ascii="Arial" w:hAnsi="Arial" w:cs="Arial"/>
        </w:rPr>
        <w:t>for each subject</w:t>
      </w:r>
      <w:r w:rsidR="00231D6A" w:rsidRPr="00D533AE">
        <w:rPr>
          <w:rFonts w:ascii="Arial" w:hAnsi="Arial" w:cs="Arial"/>
        </w:rPr>
        <w:t xml:space="preserve"> (depth 7.2 mm and width 15.5mm)</w:t>
      </w:r>
    </w:p>
    <w:p w14:paraId="73FFAC64" w14:textId="77777777" w:rsidR="009D617B" w:rsidRPr="00D533AE" w:rsidRDefault="009D617B" w:rsidP="009D617B">
      <w:pPr>
        <w:pStyle w:val="NormalWeb"/>
        <w:spacing w:before="0" w:beforeAutospacing="0" w:after="0" w:afterAutospacing="0"/>
        <w:jc w:val="both"/>
        <w:rPr>
          <w:rFonts w:ascii="Arial" w:eastAsiaTheme="minorEastAsia" w:hAnsi="Arial" w:cs="Arial"/>
          <w:color w:val="000000" w:themeColor="text1"/>
          <w:kern w:val="24"/>
        </w:rPr>
      </w:pPr>
    </w:p>
    <w:p w14:paraId="32856786" w14:textId="77777777" w:rsidR="00617032" w:rsidRPr="009D617B" w:rsidRDefault="009D617B" w:rsidP="00916347">
      <w:pPr>
        <w:pStyle w:val="NormalWeb"/>
        <w:spacing w:before="0" w:beforeAutospacing="0" w:after="0" w:afterAutospacing="0"/>
        <w:jc w:val="both"/>
        <w:rPr>
          <w:rFonts w:ascii="Arial" w:hAnsi="Arial" w:cs="Arial"/>
        </w:rPr>
      </w:pPr>
      <w:r w:rsidRPr="00D533AE">
        <w:rPr>
          <w:rFonts w:ascii="Arial" w:hAnsi="Arial" w:cs="Arial"/>
        </w:rPr>
        <w:t xml:space="preserve">Abbreviations used: BML: Bone Marrow Lesion; non-BML: non-Bone Marrow Lesions, </w:t>
      </w:r>
      <w:r w:rsidR="009E0AF2" w:rsidRPr="00D533AE">
        <w:rPr>
          <w:rFonts w:ascii="Arial" w:hAnsi="Arial" w:cs="Arial"/>
        </w:rPr>
        <w:t xml:space="preserve">IQR; interquartile range, </w:t>
      </w:r>
      <w:r w:rsidRPr="00D533AE">
        <w:rPr>
          <w:rFonts w:ascii="Arial" w:hAnsi="Arial" w:cs="Arial"/>
        </w:rPr>
        <w:t>PGP9.5: Protein Gene Product 9.5; TKR: Total Knee Replacement; PM: post-mortem</w:t>
      </w:r>
    </w:p>
    <w:sectPr w:rsidR="00617032" w:rsidRPr="009D617B" w:rsidSect="00DE6278">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2CC3" w14:textId="77777777" w:rsidR="0016463A" w:rsidRDefault="0016463A" w:rsidP="00F5391D">
      <w:pPr>
        <w:spacing w:after="0" w:line="240" w:lineRule="auto"/>
      </w:pPr>
      <w:r>
        <w:separator/>
      </w:r>
    </w:p>
  </w:endnote>
  <w:endnote w:type="continuationSeparator" w:id="0">
    <w:p w14:paraId="56AC7929" w14:textId="77777777" w:rsidR="0016463A" w:rsidRDefault="0016463A" w:rsidP="00F5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717524"/>
      <w:docPartObj>
        <w:docPartGallery w:val="Page Numbers (Bottom of Page)"/>
        <w:docPartUnique/>
      </w:docPartObj>
    </w:sdtPr>
    <w:sdtEndPr>
      <w:rPr>
        <w:noProof/>
      </w:rPr>
    </w:sdtEndPr>
    <w:sdtContent>
      <w:p w14:paraId="27637F5E" w14:textId="77777777" w:rsidR="00895778" w:rsidRDefault="0089577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F19FD1C" w14:textId="77777777" w:rsidR="00895778" w:rsidRDefault="0089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0ACB" w14:textId="77777777" w:rsidR="0016463A" w:rsidRDefault="0016463A" w:rsidP="00F5391D">
      <w:pPr>
        <w:spacing w:after="0" w:line="240" w:lineRule="auto"/>
      </w:pPr>
      <w:r>
        <w:separator/>
      </w:r>
    </w:p>
  </w:footnote>
  <w:footnote w:type="continuationSeparator" w:id="0">
    <w:p w14:paraId="035CA730" w14:textId="77777777" w:rsidR="0016463A" w:rsidRDefault="0016463A" w:rsidP="00F53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F7B"/>
    <w:multiLevelType w:val="multilevel"/>
    <w:tmpl w:val="A6660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403A"/>
    <w:multiLevelType w:val="hybridMultilevel"/>
    <w:tmpl w:val="4FEA12E8"/>
    <w:lvl w:ilvl="0" w:tplc="162C1B9A">
      <w:start w:val="1"/>
      <w:numFmt w:val="decimal"/>
      <w:lvlText w:val="%1."/>
      <w:lvlJc w:val="left"/>
      <w:pPr>
        <w:ind w:left="1080" w:hanging="360"/>
      </w:pPr>
      <w:rPr>
        <w:rFonts w:asciiTheme="minorHAnsi" w:hAnsiTheme="minorHAnsi" w:cstheme="minorBidi"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612D9E"/>
    <w:multiLevelType w:val="hybridMultilevel"/>
    <w:tmpl w:val="ADAA06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20BE"/>
    <w:multiLevelType w:val="hybridMultilevel"/>
    <w:tmpl w:val="39F01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04A55"/>
    <w:multiLevelType w:val="hybridMultilevel"/>
    <w:tmpl w:val="089A4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1547E"/>
    <w:multiLevelType w:val="hybridMultilevel"/>
    <w:tmpl w:val="F7AE58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179E4"/>
    <w:multiLevelType w:val="multilevel"/>
    <w:tmpl w:val="EAA6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106FF"/>
    <w:multiLevelType w:val="hybridMultilevel"/>
    <w:tmpl w:val="76621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8007F"/>
    <w:multiLevelType w:val="hybridMultilevel"/>
    <w:tmpl w:val="548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8119C"/>
    <w:multiLevelType w:val="hybridMultilevel"/>
    <w:tmpl w:val="8A1AA1E6"/>
    <w:lvl w:ilvl="0" w:tplc="449EDA84">
      <w:start w:val="1"/>
      <w:numFmt w:val="decimal"/>
      <w:lvlText w:val="%1."/>
      <w:lvlJc w:val="left"/>
      <w:pPr>
        <w:ind w:left="717"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05BFC"/>
    <w:multiLevelType w:val="hybridMultilevel"/>
    <w:tmpl w:val="0FF4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B3425"/>
    <w:multiLevelType w:val="hybridMultilevel"/>
    <w:tmpl w:val="BC0000EA"/>
    <w:lvl w:ilvl="0" w:tplc="449EDA84">
      <w:start w:val="1"/>
      <w:numFmt w:val="decimal"/>
      <w:lvlText w:val="%1."/>
      <w:lvlJc w:val="left"/>
      <w:pPr>
        <w:ind w:left="717" w:hanging="360"/>
      </w:pPr>
      <w:rPr>
        <w:rFonts w:ascii="Arial" w:eastAsia="Times New Roman" w:hAnsi="Arial" w:cs="Aria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415E7521"/>
    <w:multiLevelType w:val="hybridMultilevel"/>
    <w:tmpl w:val="9024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23FEE"/>
    <w:multiLevelType w:val="hybridMultilevel"/>
    <w:tmpl w:val="4BA0BC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53F83"/>
    <w:multiLevelType w:val="multilevel"/>
    <w:tmpl w:val="A2B8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D65CF"/>
    <w:multiLevelType w:val="hybridMultilevel"/>
    <w:tmpl w:val="8CB44C86"/>
    <w:lvl w:ilvl="0" w:tplc="7BA289CE">
      <w:start w:val="1"/>
      <w:numFmt w:val="decimal"/>
      <w:lvlText w:val="%1."/>
      <w:lvlJc w:val="left"/>
      <w:pPr>
        <w:ind w:left="36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A48A0"/>
    <w:multiLevelType w:val="hybridMultilevel"/>
    <w:tmpl w:val="BC0000EA"/>
    <w:lvl w:ilvl="0" w:tplc="449EDA84">
      <w:start w:val="1"/>
      <w:numFmt w:val="decimal"/>
      <w:lvlText w:val="%1."/>
      <w:lvlJc w:val="left"/>
      <w:pPr>
        <w:ind w:left="717" w:hanging="360"/>
      </w:pPr>
      <w:rPr>
        <w:rFonts w:ascii="Arial" w:eastAsia="Times New Roman" w:hAnsi="Arial" w:cs="Aria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481461AD"/>
    <w:multiLevelType w:val="hybridMultilevel"/>
    <w:tmpl w:val="FB28F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56D"/>
    <w:multiLevelType w:val="multilevel"/>
    <w:tmpl w:val="494E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E0C60"/>
    <w:multiLevelType w:val="multilevel"/>
    <w:tmpl w:val="DDD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90F09"/>
    <w:multiLevelType w:val="hybridMultilevel"/>
    <w:tmpl w:val="E8CA4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414DD"/>
    <w:multiLevelType w:val="multilevel"/>
    <w:tmpl w:val="31A6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345F8"/>
    <w:multiLevelType w:val="multilevel"/>
    <w:tmpl w:val="EFF8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E0F77"/>
    <w:multiLevelType w:val="hybridMultilevel"/>
    <w:tmpl w:val="6A3E2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955A5"/>
    <w:multiLevelType w:val="hybridMultilevel"/>
    <w:tmpl w:val="4D54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4"/>
  </w:num>
  <w:num w:numId="4">
    <w:abstractNumId w:val="8"/>
  </w:num>
  <w:num w:numId="5">
    <w:abstractNumId w:val="23"/>
  </w:num>
  <w:num w:numId="6">
    <w:abstractNumId w:val="3"/>
  </w:num>
  <w:num w:numId="7">
    <w:abstractNumId w:val="12"/>
  </w:num>
  <w:num w:numId="8">
    <w:abstractNumId w:val="14"/>
  </w:num>
  <w:num w:numId="9">
    <w:abstractNumId w:val="6"/>
  </w:num>
  <w:num w:numId="10">
    <w:abstractNumId w:val="18"/>
  </w:num>
  <w:num w:numId="11">
    <w:abstractNumId w:val="0"/>
  </w:num>
  <w:num w:numId="12">
    <w:abstractNumId w:val="21"/>
  </w:num>
  <w:num w:numId="13">
    <w:abstractNumId w:val="22"/>
  </w:num>
  <w:num w:numId="14">
    <w:abstractNumId w:val="19"/>
  </w:num>
  <w:num w:numId="15">
    <w:abstractNumId w:val="20"/>
  </w:num>
  <w:num w:numId="16">
    <w:abstractNumId w:val="4"/>
  </w:num>
  <w:num w:numId="17">
    <w:abstractNumId w:val="7"/>
  </w:num>
  <w:num w:numId="18">
    <w:abstractNumId w:val="17"/>
  </w:num>
  <w:num w:numId="19">
    <w:abstractNumId w:val="1"/>
  </w:num>
  <w:num w:numId="20">
    <w:abstractNumId w:val="2"/>
  </w:num>
  <w:num w:numId="21">
    <w:abstractNumId w:val="5"/>
  </w:num>
  <w:num w:numId="22">
    <w:abstractNumId w:val="10"/>
  </w:num>
  <w:num w:numId="23">
    <w:abstractNumId w:val="13"/>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tDAytTA3tTQ2NjBX0lEKTi0uzszPAykwrAUAmfsWeSwAAAA="/>
  </w:docVars>
  <w:rsids>
    <w:rsidRoot w:val="00906017"/>
    <w:rsid w:val="00000C29"/>
    <w:rsid w:val="000042E3"/>
    <w:rsid w:val="000071BF"/>
    <w:rsid w:val="00011A96"/>
    <w:rsid w:val="000143AA"/>
    <w:rsid w:val="000149C9"/>
    <w:rsid w:val="00015A24"/>
    <w:rsid w:val="00015D94"/>
    <w:rsid w:val="000177D0"/>
    <w:rsid w:val="000208EA"/>
    <w:rsid w:val="00022120"/>
    <w:rsid w:val="00023BE7"/>
    <w:rsid w:val="00027550"/>
    <w:rsid w:val="00030C04"/>
    <w:rsid w:val="00033C86"/>
    <w:rsid w:val="00037AEB"/>
    <w:rsid w:val="00040072"/>
    <w:rsid w:val="000447B9"/>
    <w:rsid w:val="00045FBC"/>
    <w:rsid w:val="00050036"/>
    <w:rsid w:val="00050174"/>
    <w:rsid w:val="0005375E"/>
    <w:rsid w:val="00053D03"/>
    <w:rsid w:val="00055F52"/>
    <w:rsid w:val="000643D7"/>
    <w:rsid w:val="00067156"/>
    <w:rsid w:val="00067781"/>
    <w:rsid w:val="00070DD8"/>
    <w:rsid w:val="000723D8"/>
    <w:rsid w:val="000775CD"/>
    <w:rsid w:val="0008234E"/>
    <w:rsid w:val="00082777"/>
    <w:rsid w:val="00082B01"/>
    <w:rsid w:val="00090D93"/>
    <w:rsid w:val="00094173"/>
    <w:rsid w:val="00095266"/>
    <w:rsid w:val="000957B8"/>
    <w:rsid w:val="000A25FF"/>
    <w:rsid w:val="000A2FA8"/>
    <w:rsid w:val="000A360A"/>
    <w:rsid w:val="000A3CDE"/>
    <w:rsid w:val="000A4058"/>
    <w:rsid w:val="000A56F8"/>
    <w:rsid w:val="000A650F"/>
    <w:rsid w:val="000B2545"/>
    <w:rsid w:val="000B2A01"/>
    <w:rsid w:val="000B2DE6"/>
    <w:rsid w:val="000B2EFD"/>
    <w:rsid w:val="000B36E8"/>
    <w:rsid w:val="000B4071"/>
    <w:rsid w:val="000B4E23"/>
    <w:rsid w:val="000B68DA"/>
    <w:rsid w:val="000B724C"/>
    <w:rsid w:val="000B7EAB"/>
    <w:rsid w:val="000C0159"/>
    <w:rsid w:val="000C3937"/>
    <w:rsid w:val="000C70B2"/>
    <w:rsid w:val="000C7812"/>
    <w:rsid w:val="000D1692"/>
    <w:rsid w:val="000D2B07"/>
    <w:rsid w:val="000D55DB"/>
    <w:rsid w:val="000D7557"/>
    <w:rsid w:val="000E195F"/>
    <w:rsid w:val="000E3CC0"/>
    <w:rsid w:val="000E43DC"/>
    <w:rsid w:val="000E4970"/>
    <w:rsid w:val="000E76C0"/>
    <w:rsid w:val="000F2634"/>
    <w:rsid w:val="000F30AE"/>
    <w:rsid w:val="000F7B96"/>
    <w:rsid w:val="000F7FB0"/>
    <w:rsid w:val="0010282E"/>
    <w:rsid w:val="00104082"/>
    <w:rsid w:val="001075E6"/>
    <w:rsid w:val="001104A2"/>
    <w:rsid w:val="00110759"/>
    <w:rsid w:val="001108A8"/>
    <w:rsid w:val="0011288B"/>
    <w:rsid w:val="00112F76"/>
    <w:rsid w:val="00114097"/>
    <w:rsid w:val="001162E2"/>
    <w:rsid w:val="001216AD"/>
    <w:rsid w:val="0012221F"/>
    <w:rsid w:val="00122D16"/>
    <w:rsid w:val="001252CE"/>
    <w:rsid w:val="001262F5"/>
    <w:rsid w:val="001367EF"/>
    <w:rsid w:val="00136C1D"/>
    <w:rsid w:val="00140788"/>
    <w:rsid w:val="00141AB2"/>
    <w:rsid w:val="00141DC0"/>
    <w:rsid w:val="001428C3"/>
    <w:rsid w:val="00142972"/>
    <w:rsid w:val="00142FA8"/>
    <w:rsid w:val="00143724"/>
    <w:rsid w:val="00143BCD"/>
    <w:rsid w:val="00144016"/>
    <w:rsid w:val="00146BCE"/>
    <w:rsid w:val="0015199E"/>
    <w:rsid w:val="00151BC3"/>
    <w:rsid w:val="0015214D"/>
    <w:rsid w:val="001551ED"/>
    <w:rsid w:val="00163FA5"/>
    <w:rsid w:val="0016463A"/>
    <w:rsid w:val="00165021"/>
    <w:rsid w:val="001670AF"/>
    <w:rsid w:val="00167319"/>
    <w:rsid w:val="001673C5"/>
    <w:rsid w:val="001746DC"/>
    <w:rsid w:val="00175873"/>
    <w:rsid w:val="00180330"/>
    <w:rsid w:val="0018253B"/>
    <w:rsid w:val="00182F79"/>
    <w:rsid w:val="00183985"/>
    <w:rsid w:val="00190A5E"/>
    <w:rsid w:val="00190D9A"/>
    <w:rsid w:val="00193779"/>
    <w:rsid w:val="0019394A"/>
    <w:rsid w:val="001943DB"/>
    <w:rsid w:val="00196C44"/>
    <w:rsid w:val="00197C49"/>
    <w:rsid w:val="001A0168"/>
    <w:rsid w:val="001A0384"/>
    <w:rsid w:val="001A31FF"/>
    <w:rsid w:val="001A4EAA"/>
    <w:rsid w:val="001A5B89"/>
    <w:rsid w:val="001B1063"/>
    <w:rsid w:val="001B549B"/>
    <w:rsid w:val="001C0C14"/>
    <w:rsid w:val="001C380B"/>
    <w:rsid w:val="001C60E7"/>
    <w:rsid w:val="001D0C57"/>
    <w:rsid w:val="001D1E33"/>
    <w:rsid w:val="001D2164"/>
    <w:rsid w:val="001D2CE4"/>
    <w:rsid w:val="001E170B"/>
    <w:rsid w:val="001E2466"/>
    <w:rsid w:val="001E523B"/>
    <w:rsid w:val="001E7D79"/>
    <w:rsid w:val="001F46B9"/>
    <w:rsid w:val="001F5107"/>
    <w:rsid w:val="001F5850"/>
    <w:rsid w:val="002042C7"/>
    <w:rsid w:val="00204B2D"/>
    <w:rsid w:val="00207AB9"/>
    <w:rsid w:val="00211477"/>
    <w:rsid w:val="00213FEF"/>
    <w:rsid w:val="002143E6"/>
    <w:rsid w:val="0022087D"/>
    <w:rsid w:val="0022147C"/>
    <w:rsid w:val="00230580"/>
    <w:rsid w:val="00230A50"/>
    <w:rsid w:val="00230BD3"/>
    <w:rsid w:val="00230E3A"/>
    <w:rsid w:val="00231755"/>
    <w:rsid w:val="00231D6A"/>
    <w:rsid w:val="002324DD"/>
    <w:rsid w:val="002331EB"/>
    <w:rsid w:val="00234955"/>
    <w:rsid w:val="00236C70"/>
    <w:rsid w:val="00240E2B"/>
    <w:rsid w:val="00242BEA"/>
    <w:rsid w:val="00245BF3"/>
    <w:rsid w:val="00246038"/>
    <w:rsid w:val="002477B2"/>
    <w:rsid w:val="00250815"/>
    <w:rsid w:val="00257AAC"/>
    <w:rsid w:val="0026014A"/>
    <w:rsid w:val="00260709"/>
    <w:rsid w:val="00263CA7"/>
    <w:rsid w:val="0026415B"/>
    <w:rsid w:val="002642B6"/>
    <w:rsid w:val="00264B6A"/>
    <w:rsid w:val="002660F6"/>
    <w:rsid w:val="002723AB"/>
    <w:rsid w:val="00272DE4"/>
    <w:rsid w:val="00273F3C"/>
    <w:rsid w:val="0027510F"/>
    <w:rsid w:val="00280A59"/>
    <w:rsid w:val="002836F1"/>
    <w:rsid w:val="00284AE5"/>
    <w:rsid w:val="002858B2"/>
    <w:rsid w:val="00287F63"/>
    <w:rsid w:val="002907AC"/>
    <w:rsid w:val="002963F6"/>
    <w:rsid w:val="00297513"/>
    <w:rsid w:val="002A30C8"/>
    <w:rsid w:val="002A3EB1"/>
    <w:rsid w:val="002A4B82"/>
    <w:rsid w:val="002A56D3"/>
    <w:rsid w:val="002A6718"/>
    <w:rsid w:val="002A71BC"/>
    <w:rsid w:val="002B2C3F"/>
    <w:rsid w:val="002B3EBB"/>
    <w:rsid w:val="002B5FF8"/>
    <w:rsid w:val="002B69A8"/>
    <w:rsid w:val="002C1775"/>
    <w:rsid w:val="002C4858"/>
    <w:rsid w:val="002C63C8"/>
    <w:rsid w:val="002D6BE7"/>
    <w:rsid w:val="002E2B22"/>
    <w:rsid w:val="002E3556"/>
    <w:rsid w:val="002E5054"/>
    <w:rsid w:val="002E5512"/>
    <w:rsid w:val="002E649F"/>
    <w:rsid w:val="002F2C3B"/>
    <w:rsid w:val="002F3856"/>
    <w:rsid w:val="002F39BB"/>
    <w:rsid w:val="002F3A7D"/>
    <w:rsid w:val="002F5256"/>
    <w:rsid w:val="00304DDB"/>
    <w:rsid w:val="00305ABC"/>
    <w:rsid w:val="00305ED0"/>
    <w:rsid w:val="00307DAB"/>
    <w:rsid w:val="003119CA"/>
    <w:rsid w:val="003148FC"/>
    <w:rsid w:val="00316F7D"/>
    <w:rsid w:val="003225AC"/>
    <w:rsid w:val="00324E17"/>
    <w:rsid w:val="00330496"/>
    <w:rsid w:val="00331D51"/>
    <w:rsid w:val="00340562"/>
    <w:rsid w:val="00345B64"/>
    <w:rsid w:val="00347750"/>
    <w:rsid w:val="0035282F"/>
    <w:rsid w:val="00353885"/>
    <w:rsid w:val="003548F8"/>
    <w:rsid w:val="00357412"/>
    <w:rsid w:val="0036620A"/>
    <w:rsid w:val="00373729"/>
    <w:rsid w:val="00382F94"/>
    <w:rsid w:val="00383977"/>
    <w:rsid w:val="003849B3"/>
    <w:rsid w:val="00384BF1"/>
    <w:rsid w:val="0038738A"/>
    <w:rsid w:val="00391845"/>
    <w:rsid w:val="00391CD5"/>
    <w:rsid w:val="00392436"/>
    <w:rsid w:val="003A3435"/>
    <w:rsid w:val="003A51DE"/>
    <w:rsid w:val="003A7FD8"/>
    <w:rsid w:val="003B1F53"/>
    <w:rsid w:val="003B25FA"/>
    <w:rsid w:val="003B2734"/>
    <w:rsid w:val="003B3482"/>
    <w:rsid w:val="003B3CFB"/>
    <w:rsid w:val="003B63FC"/>
    <w:rsid w:val="003C0F52"/>
    <w:rsid w:val="003C104F"/>
    <w:rsid w:val="003C1655"/>
    <w:rsid w:val="003C3043"/>
    <w:rsid w:val="003C6997"/>
    <w:rsid w:val="003D5ADB"/>
    <w:rsid w:val="003D79D5"/>
    <w:rsid w:val="003E1707"/>
    <w:rsid w:val="003F25B6"/>
    <w:rsid w:val="003F516A"/>
    <w:rsid w:val="003F62B8"/>
    <w:rsid w:val="003F782A"/>
    <w:rsid w:val="00401CBF"/>
    <w:rsid w:val="00401D0C"/>
    <w:rsid w:val="00402DE5"/>
    <w:rsid w:val="004061DD"/>
    <w:rsid w:val="00407F2B"/>
    <w:rsid w:val="004106B3"/>
    <w:rsid w:val="00415BD2"/>
    <w:rsid w:val="00417C83"/>
    <w:rsid w:val="00417E71"/>
    <w:rsid w:val="00420539"/>
    <w:rsid w:val="004218C0"/>
    <w:rsid w:val="00422F37"/>
    <w:rsid w:val="0042551A"/>
    <w:rsid w:val="00432345"/>
    <w:rsid w:val="004327CC"/>
    <w:rsid w:val="00435494"/>
    <w:rsid w:val="00437CBA"/>
    <w:rsid w:val="00441192"/>
    <w:rsid w:val="00441F62"/>
    <w:rsid w:val="0044499C"/>
    <w:rsid w:val="004450CE"/>
    <w:rsid w:val="00453B32"/>
    <w:rsid w:val="00456369"/>
    <w:rsid w:val="0046125A"/>
    <w:rsid w:val="00462866"/>
    <w:rsid w:val="0046394D"/>
    <w:rsid w:val="004641B3"/>
    <w:rsid w:val="00467773"/>
    <w:rsid w:val="004706B0"/>
    <w:rsid w:val="00470BB7"/>
    <w:rsid w:val="00471D6F"/>
    <w:rsid w:val="00472F1A"/>
    <w:rsid w:val="00476172"/>
    <w:rsid w:val="004767A6"/>
    <w:rsid w:val="00477C74"/>
    <w:rsid w:val="00480110"/>
    <w:rsid w:val="004828E5"/>
    <w:rsid w:val="00486D09"/>
    <w:rsid w:val="0049072F"/>
    <w:rsid w:val="004908EF"/>
    <w:rsid w:val="00495356"/>
    <w:rsid w:val="00495539"/>
    <w:rsid w:val="00497312"/>
    <w:rsid w:val="004A3A64"/>
    <w:rsid w:val="004A4976"/>
    <w:rsid w:val="004A5324"/>
    <w:rsid w:val="004A5585"/>
    <w:rsid w:val="004B0238"/>
    <w:rsid w:val="004B25EE"/>
    <w:rsid w:val="004B3E74"/>
    <w:rsid w:val="004B5D50"/>
    <w:rsid w:val="004C1CA8"/>
    <w:rsid w:val="004C276E"/>
    <w:rsid w:val="004C27F0"/>
    <w:rsid w:val="004C4DD5"/>
    <w:rsid w:val="004D599A"/>
    <w:rsid w:val="004D638F"/>
    <w:rsid w:val="004D66E4"/>
    <w:rsid w:val="004D761F"/>
    <w:rsid w:val="004E3371"/>
    <w:rsid w:val="004E422E"/>
    <w:rsid w:val="004E4C27"/>
    <w:rsid w:val="004E6C49"/>
    <w:rsid w:val="004F42B0"/>
    <w:rsid w:val="004F646C"/>
    <w:rsid w:val="004F6994"/>
    <w:rsid w:val="005009E8"/>
    <w:rsid w:val="00500BA0"/>
    <w:rsid w:val="0050107C"/>
    <w:rsid w:val="00504A74"/>
    <w:rsid w:val="00505BB3"/>
    <w:rsid w:val="00510865"/>
    <w:rsid w:val="005108A1"/>
    <w:rsid w:val="00513A98"/>
    <w:rsid w:val="00521D4B"/>
    <w:rsid w:val="0052241E"/>
    <w:rsid w:val="00522C3C"/>
    <w:rsid w:val="00523B87"/>
    <w:rsid w:val="00523CB4"/>
    <w:rsid w:val="00526083"/>
    <w:rsid w:val="005325F2"/>
    <w:rsid w:val="00533464"/>
    <w:rsid w:val="005335D9"/>
    <w:rsid w:val="00534332"/>
    <w:rsid w:val="00535CA4"/>
    <w:rsid w:val="0053721F"/>
    <w:rsid w:val="005430C6"/>
    <w:rsid w:val="005432FD"/>
    <w:rsid w:val="00543482"/>
    <w:rsid w:val="00547C1D"/>
    <w:rsid w:val="00551D0D"/>
    <w:rsid w:val="00552D1A"/>
    <w:rsid w:val="00556BE7"/>
    <w:rsid w:val="0057128C"/>
    <w:rsid w:val="0057174E"/>
    <w:rsid w:val="00571865"/>
    <w:rsid w:val="005814D8"/>
    <w:rsid w:val="00582AF5"/>
    <w:rsid w:val="005833C4"/>
    <w:rsid w:val="00584B9F"/>
    <w:rsid w:val="00585718"/>
    <w:rsid w:val="00586444"/>
    <w:rsid w:val="005873C5"/>
    <w:rsid w:val="00587473"/>
    <w:rsid w:val="00587648"/>
    <w:rsid w:val="005877C8"/>
    <w:rsid w:val="00587CEA"/>
    <w:rsid w:val="0059176D"/>
    <w:rsid w:val="005925E8"/>
    <w:rsid w:val="00593504"/>
    <w:rsid w:val="0059429E"/>
    <w:rsid w:val="00594C48"/>
    <w:rsid w:val="005A1D81"/>
    <w:rsid w:val="005A1D90"/>
    <w:rsid w:val="005A3FC4"/>
    <w:rsid w:val="005A4E80"/>
    <w:rsid w:val="005A7B51"/>
    <w:rsid w:val="005B1810"/>
    <w:rsid w:val="005B215D"/>
    <w:rsid w:val="005B3AC2"/>
    <w:rsid w:val="005B3BF2"/>
    <w:rsid w:val="005B41F9"/>
    <w:rsid w:val="005C0627"/>
    <w:rsid w:val="005C19CB"/>
    <w:rsid w:val="005C614A"/>
    <w:rsid w:val="005C6B46"/>
    <w:rsid w:val="005D2744"/>
    <w:rsid w:val="005D2A5D"/>
    <w:rsid w:val="005D3BCB"/>
    <w:rsid w:val="005D6F12"/>
    <w:rsid w:val="005D72D8"/>
    <w:rsid w:val="005D7D8B"/>
    <w:rsid w:val="005E005D"/>
    <w:rsid w:val="005E0D73"/>
    <w:rsid w:val="005E2961"/>
    <w:rsid w:val="005E2981"/>
    <w:rsid w:val="005E50AA"/>
    <w:rsid w:val="005F0D01"/>
    <w:rsid w:val="00602C48"/>
    <w:rsid w:val="006032B7"/>
    <w:rsid w:val="00603524"/>
    <w:rsid w:val="00605267"/>
    <w:rsid w:val="0060588F"/>
    <w:rsid w:val="006059A1"/>
    <w:rsid w:val="00606127"/>
    <w:rsid w:val="006073F7"/>
    <w:rsid w:val="00607D57"/>
    <w:rsid w:val="0061138A"/>
    <w:rsid w:val="00611BB7"/>
    <w:rsid w:val="00613E4D"/>
    <w:rsid w:val="006163CF"/>
    <w:rsid w:val="00617032"/>
    <w:rsid w:val="0061799E"/>
    <w:rsid w:val="006213D1"/>
    <w:rsid w:val="0062151F"/>
    <w:rsid w:val="00621F96"/>
    <w:rsid w:val="00624F0F"/>
    <w:rsid w:val="0063191B"/>
    <w:rsid w:val="0063257D"/>
    <w:rsid w:val="00632725"/>
    <w:rsid w:val="00633DA6"/>
    <w:rsid w:val="00634FC1"/>
    <w:rsid w:val="00640760"/>
    <w:rsid w:val="0064090C"/>
    <w:rsid w:val="00641A3A"/>
    <w:rsid w:val="00642A04"/>
    <w:rsid w:val="00642A2E"/>
    <w:rsid w:val="00642A81"/>
    <w:rsid w:val="00644BC8"/>
    <w:rsid w:val="00644FA9"/>
    <w:rsid w:val="00646711"/>
    <w:rsid w:val="00646ECB"/>
    <w:rsid w:val="00646FF0"/>
    <w:rsid w:val="00647267"/>
    <w:rsid w:val="00651FFB"/>
    <w:rsid w:val="00657E19"/>
    <w:rsid w:val="0066339E"/>
    <w:rsid w:val="0066358F"/>
    <w:rsid w:val="00664040"/>
    <w:rsid w:val="00670E18"/>
    <w:rsid w:val="00672023"/>
    <w:rsid w:val="00672207"/>
    <w:rsid w:val="00672ABE"/>
    <w:rsid w:val="006744A8"/>
    <w:rsid w:val="00674890"/>
    <w:rsid w:val="006769A0"/>
    <w:rsid w:val="006819ED"/>
    <w:rsid w:val="0068456B"/>
    <w:rsid w:val="006937DD"/>
    <w:rsid w:val="006959DD"/>
    <w:rsid w:val="006969BF"/>
    <w:rsid w:val="0069712D"/>
    <w:rsid w:val="00697163"/>
    <w:rsid w:val="00697F2C"/>
    <w:rsid w:val="006A19A1"/>
    <w:rsid w:val="006A2A76"/>
    <w:rsid w:val="006A5DEF"/>
    <w:rsid w:val="006A72C1"/>
    <w:rsid w:val="006B049F"/>
    <w:rsid w:val="006B31F4"/>
    <w:rsid w:val="006B714F"/>
    <w:rsid w:val="006B7E8A"/>
    <w:rsid w:val="006C0FE1"/>
    <w:rsid w:val="006C27C6"/>
    <w:rsid w:val="006C3C31"/>
    <w:rsid w:val="006C4AF6"/>
    <w:rsid w:val="006C5401"/>
    <w:rsid w:val="006C67E8"/>
    <w:rsid w:val="006C78D9"/>
    <w:rsid w:val="006D0A1C"/>
    <w:rsid w:val="006D1008"/>
    <w:rsid w:val="006D257F"/>
    <w:rsid w:val="006D3F37"/>
    <w:rsid w:val="006D502E"/>
    <w:rsid w:val="006D5F8F"/>
    <w:rsid w:val="006E5833"/>
    <w:rsid w:val="006F1D80"/>
    <w:rsid w:val="006F2163"/>
    <w:rsid w:val="006F259F"/>
    <w:rsid w:val="006F7D2F"/>
    <w:rsid w:val="00701D3D"/>
    <w:rsid w:val="00702D3B"/>
    <w:rsid w:val="0071167B"/>
    <w:rsid w:val="007156FF"/>
    <w:rsid w:val="00720B6A"/>
    <w:rsid w:val="00721DAB"/>
    <w:rsid w:val="00722C32"/>
    <w:rsid w:val="007259A6"/>
    <w:rsid w:val="00725FEF"/>
    <w:rsid w:val="00735A6E"/>
    <w:rsid w:val="007405BD"/>
    <w:rsid w:val="00740ABD"/>
    <w:rsid w:val="00743A2C"/>
    <w:rsid w:val="00745FA8"/>
    <w:rsid w:val="007476DA"/>
    <w:rsid w:val="0075140E"/>
    <w:rsid w:val="00752C8E"/>
    <w:rsid w:val="00754D46"/>
    <w:rsid w:val="00757D0C"/>
    <w:rsid w:val="0076391D"/>
    <w:rsid w:val="007662C6"/>
    <w:rsid w:val="00770C78"/>
    <w:rsid w:val="007712C8"/>
    <w:rsid w:val="007771D1"/>
    <w:rsid w:val="00785B6B"/>
    <w:rsid w:val="007909D2"/>
    <w:rsid w:val="007923B0"/>
    <w:rsid w:val="0079262D"/>
    <w:rsid w:val="007928F2"/>
    <w:rsid w:val="00794D0D"/>
    <w:rsid w:val="00796DDC"/>
    <w:rsid w:val="00797928"/>
    <w:rsid w:val="007A7F82"/>
    <w:rsid w:val="007B6A33"/>
    <w:rsid w:val="007C06A9"/>
    <w:rsid w:val="007C149F"/>
    <w:rsid w:val="007C16D1"/>
    <w:rsid w:val="007C5C70"/>
    <w:rsid w:val="007D1962"/>
    <w:rsid w:val="007D303C"/>
    <w:rsid w:val="007D48F0"/>
    <w:rsid w:val="007E0A89"/>
    <w:rsid w:val="007E2217"/>
    <w:rsid w:val="007F4437"/>
    <w:rsid w:val="007F5CD4"/>
    <w:rsid w:val="0080316F"/>
    <w:rsid w:val="00806AB0"/>
    <w:rsid w:val="0081036D"/>
    <w:rsid w:val="008118E0"/>
    <w:rsid w:val="00813610"/>
    <w:rsid w:val="0081406D"/>
    <w:rsid w:val="00816A1E"/>
    <w:rsid w:val="00823BFF"/>
    <w:rsid w:val="0082568B"/>
    <w:rsid w:val="00826656"/>
    <w:rsid w:val="00827C90"/>
    <w:rsid w:val="008326C9"/>
    <w:rsid w:val="008334F4"/>
    <w:rsid w:val="00846A2B"/>
    <w:rsid w:val="008504D1"/>
    <w:rsid w:val="008518A1"/>
    <w:rsid w:val="00853F5E"/>
    <w:rsid w:val="00856AF3"/>
    <w:rsid w:val="00860CBE"/>
    <w:rsid w:val="00860DB6"/>
    <w:rsid w:val="008623CD"/>
    <w:rsid w:val="00864259"/>
    <w:rsid w:val="008759B0"/>
    <w:rsid w:val="00877E67"/>
    <w:rsid w:val="0088091E"/>
    <w:rsid w:val="00884745"/>
    <w:rsid w:val="00887DBB"/>
    <w:rsid w:val="00890EB0"/>
    <w:rsid w:val="0089130F"/>
    <w:rsid w:val="0089291E"/>
    <w:rsid w:val="00895778"/>
    <w:rsid w:val="008977A2"/>
    <w:rsid w:val="00897965"/>
    <w:rsid w:val="008979E9"/>
    <w:rsid w:val="008A2321"/>
    <w:rsid w:val="008A23D3"/>
    <w:rsid w:val="008A7F1F"/>
    <w:rsid w:val="008B10C8"/>
    <w:rsid w:val="008B1571"/>
    <w:rsid w:val="008B769E"/>
    <w:rsid w:val="008C07D1"/>
    <w:rsid w:val="008C663D"/>
    <w:rsid w:val="008D5338"/>
    <w:rsid w:val="008D5895"/>
    <w:rsid w:val="008E0A54"/>
    <w:rsid w:val="008E32B9"/>
    <w:rsid w:val="008E44F5"/>
    <w:rsid w:val="008E4C8F"/>
    <w:rsid w:val="008F0782"/>
    <w:rsid w:val="008F0ECE"/>
    <w:rsid w:val="008F367C"/>
    <w:rsid w:val="008F38E8"/>
    <w:rsid w:val="009010D6"/>
    <w:rsid w:val="00902232"/>
    <w:rsid w:val="00906017"/>
    <w:rsid w:val="00911F4B"/>
    <w:rsid w:val="00912355"/>
    <w:rsid w:val="009143DA"/>
    <w:rsid w:val="00915595"/>
    <w:rsid w:val="0091565D"/>
    <w:rsid w:val="00916347"/>
    <w:rsid w:val="00916E1D"/>
    <w:rsid w:val="0091776A"/>
    <w:rsid w:val="00920BD5"/>
    <w:rsid w:val="0092214C"/>
    <w:rsid w:val="009278FD"/>
    <w:rsid w:val="00930EA0"/>
    <w:rsid w:val="00930F16"/>
    <w:rsid w:val="00932BEA"/>
    <w:rsid w:val="00936E67"/>
    <w:rsid w:val="009378E8"/>
    <w:rsid w:val="00942255"/>
    <w:rsid w:val="00945883"/>
    <w:rsid w:val="00945CEB"/>
    <w:rsid w:val="00945EBD"/>
    <w:rsid w:val="00950676"/>
    <w:rsid w:val="00953D71"/>
    <w:rsid w:val="00955A4F"/>
    <w:rsid w:val="00962060"/>
    <w:rsid w:val="00962F0B"/>
    <w:rsid w:val="00963D46"/>
    <w:rsid w:val="009650BD"/>
    <w:rsid w:val="009655EC"/>
    <w:rsid w:val="00971273"/>
    <w:rsid w:val="00974203"/>
    <w:rsid w:val="0097529C"/>
    <w:rsid w:val="00980845"/>
    <w:rsid w:val="00980F34"/>
    <w:rsid w:val="00981876"/>
    <w:rsid w:val="00981CE9"/>
    <w:rsid w:val="00981EAF"/>
    <w:rsid w:val="009838F9"/>
    <w:rsid w:val="00984665"/>
    <w:rsid w:val="00984E82"/>
    <w:rsid w:val="0098558F"/>
    <w:rsid w:val="009861E2"/>
    <w:rsid w:val="009919DA"/>
    <w:rsid w:val="00992F7F"/>
    <w:rsid w:val="009940F4"/>
    <w:rsid w:val="00994C2C"/>
    <w:rsid w:val="009A09A6"/>
    <w:rsid w:val="009A1A14"/>
    <w:rsid w:val="009A2792"/>
    <w:rsid w:val="009A60A7"/>
    <w:rsid w:val="009A6C6D"/>
    <w:rsid w:val="009A6E18"/>
    <w:rsid w:val="009A7BEA"/>
    <w:rsid w:val="009B24EB"/>
    <w:rsid w:val="009B3553"/>
    <w:rsid w:val="009B4E0E"/>
    <w:rsid w:val="009B63A2"/>
    <w:rsid w:val="009B7C11"/>
    <w:rsid w:val="009C1218"/>
    <w:rsid w:val="009D1471"/>
    <w:rsid w:val="009D2B5F"/>
    <w:rsid w:val="009D4315"/>
    <w:rsid w:val="009D617B"/>
    <w:rsid w:val="009E053F"/>
    <w:rsid w:val="009E0AF2"/>
    <w:rsid w:val="009E103A"/>
    <w:rsid w:val="009E2A23"/>
    <w:rsid w:val="009E2F02"/>
    <w:rsid w:val="009E638D"/>
    <w:rsid w:val="009F129F"/>
    <w:rsid w:val="009F3BD6"/>
    <w:rsid w:val="009F6863"/>
    <w:rsid w:val="00A007A1"/>
    <w:rsid w:val="00A00A03"/>
    <w:rsid w:val="00A02B95"/>
    <w:rsid w:val="00A045F3"/>
    <w:rsid w:val="00A04B1D"/>
    <w:rsid w:val="00A0624E"/>
    <w:rsid w:val="00A06716"/>
    <w:rsid w:val="00A06D39"/>
    <w:rsid w:val="00A11F5F"/>
    <w:rsid w:val="00A20E0E"/>
    <w:rsid w:val="00A217DF"/>
    <w:rsid w:val="00A219FF"/>
    <w:rsid w:val="00A22AE2"/>
    <w:rsid w:val="00A24542"/>
    <w:rsid w:val="00A2631B"/>
    <w:rsid w:val="00A26370"/>
    <w:rsid w:val="00A27203"/>
    <w:rsid w:val="00A31A94"/>
    <w:rsid w:val="00A33C41"/>
    <w:rsid w:val="00A35488"/>
    <w:rsid w:val="00A35E00"/>
    <w:rsid w:val="00A37124"/>
    <w:rsid w:val="00A37834"/>
    <w:rsid w:val="00A37F19"/>
    <w:rsid w:val="00A423CB"/>
    <w:rsid w:val="00A436DD"/>
    <w:rsid w:val="00A459B8"/>
    <w:rsid w:val="00A46605"/>
    <w:rsid w:val="00A46FA2"/>
    <w:rsid w:val="00A5086C"/>
    <w:rsid w:val="00A51393"/>
    <w:rsid w:val="00A55561"/>
    <w:rsid w:val="00A56C08"/>
    <w:rsid w:val="00A56F8D"/>
    <w:rsid w:val="00A57BA1"/>
    <w:rsid w:val="00A60F52"/>
    <w:rsid w:val="00A63309"/>
    <w:rsid w:val="00A63FE3"/>
    <w:rsid w:val="00A64B0E"/>
    <w:rsid w:val="00A65A07"/>
    <w:rsid w:val="00A65C5D"/>
    <w:rsid w:val="00A65F0B"/>
    <w:rsid w:val="00A673DA"/>
    <w:rsid w:val="00A674EC"/>
    <w:rsid w:val="00A67A9C"/>
    <w:rsid w:val="00A71E36"/>
    <w:rsid w:val="00A72458"/>
    <w:rsid w:val="00A73328"/>
    <w:rsid w:val="00A75D50"/>
    <w:rsid w:val="00A809D7"/>
    <w:rsid w:val="00A847BB"/>
    <w:rsid w:val="00A86FA3"/>
    <w:rsid w:val="00A87B4D"/>
    <w:rsid w:val="00A87D38"/>
    <w:rsid w:val="00A90E35"/>
    <w:rsid w:val="00A93483"/>
    <w:rsid w:val="00A93F45"/>
    <w:rsid w:val="00A940E4"/>
    <w:rsid w:val="00A96ECD"/>
    <w:rsid w:val="00A973DC"/>
    <w:rsid w:val="00AA03FF"/>
    <w:rsid w:val="00AA2238"/>
    <w:rsid w:val="00AA3138"/>
    <w:rsid w:val="00AA468C"/>
    <w:rsid w:val="00AA547D"/>
    <w:rsid w:val="00AA5CD2"/>
    <w:rsid w:val="00AA6330"/>
    <w:rsid w:val="00AA6B23"/>
    <w:rsid w:val="00AA7BA0"/>
    <w:rsid w:val="00AB0269"/>
    <w:rsid w:val="00AB1D74"/>
    <w:rsid w:val="00AB201F"/>
    <w:rsid w:val="00AB3832"/>
    <w:rsid w:val="00AB683D"/>
    <w:rsid w:val="00AC0889"/>
    <w:rsid w:val="00AC1A2C"/>
    <w:rsid w:val="00AC1EC5"/>
    <w:rsid w:val="00AC22D0"/>
    <w:rsid w:val="00AC361C"/>
    <w:rsid w:val="00AD0AD9"/>
    <w:rsid w:val="00AD4ABF"/>
    <w:rsid w:val="00AD4B1D"/>
    <w:rsid w:val="00AD4EE2"/>
    <w:rsid w:val="00AD67EE"/>
    <w:rsid w:val="00AE5184"/>
    <w:rsid w:val="00AE5225"/>
    <w:rsid w:val="00AE6349"/>
    <w:rsid w:val="00AE74B4"/>
    <w:rsid w:val="00AF0245"/>
    <w:rsid w:val="00AF2D7B"/>
    <w:rsid w:val="00AF3DB5"/>
    <w:rsid w:val="00AF727A"/>
    <w:rsid w:val="00B0698B"/>
    <w:rsid w:val="00B074C3"/>
    <w:rsid w:val="00B13056"/>
    <w:rsid w:val="00B13857"/>
    <w:rsid w:val="00B15DB5"/>
    <w:rsid w:val="00B20051"/>
    <w:rsid w:val="00B20169"/>
    <w:rsid w:val="00B208AB"/>
    <w:rsid w:val="00B236A6"/>
    <w:rsid w:val="00B270FE"/>
    <w:rsid w:val="00B31BDA"/>
    <w:rsid w:val="00B34E38"/>
    <w:rsid w:val="00B36DB3"/>
    <w:rsid w:val="00B4142D"/>
    <w:rsid w:val="00B421C1"/>
    <w:rsid w:val="00B46362"/>
    <w:rsid w:val="00B47826"/>
    <w:rsid w:val="00B502ED"/>
    <w:rsid w:val="00B50ADC"/>
    <w:rsid w:val="00B55923"/>
    <w:rsid w:val="00B56733"/>
    <w:rsid w:val="00B568F4"/>
    <w:rsid w:val="00B5755D"/>
    <w:rsid w:val="00B60A39"/>
    <w:rsid w:val="00B6530B"/>
    <w:rsid w:val="00B66147"/>
    <w:rsid w:val="00B6637D"/>
    <w:rsid w:val="00B66989"/>
    <w:rsid w:val="00B66AAA"/>
    <w:rsid w:val="00B70A74"/>
    <w:rsid w:val="00B70C8F"/>
    <w:rsid w:val="00B75431"/>
    <w:rsid w:val="00B75976"/>
    <w:rsid w:val="00B75E4D"/>
    <w:rsid w:val="00B832F2"/>
    <w:rsid w:val="00B83AE9"/>
    <w:rsid w:val="00B83CFC"/>
    <w:rsid w:val="00B8413A"/>
    <w:rsid w:val="00B877C3"/>
    <w:rsid w:val="00B901B0"/>
    <w:rsid w:val="00B92352"/>
    <w:rsid w:val="00B96C04"/>
    <w:rsid w:val="00BA0050"/>
    <w:rsid w:val="00BA02FD"/>
    <w:rsid w:val="00BA0B28"/>
    <w:rsid w:val="00BA140E"/>
    <w:rsid w:val="00BA17BC"/>
    <w:rsid w:val="00BA48D2"/>
    <w:rsid w:val="00BA7FD9"/>
    <w:rsid w:val="00BB0E2B"/>
    <w:rsid w:val="00BB24E5"/>
    <w:rsid w:val="00BB3899"/>
    <w:rsid w:val="00BB5839"/>
    <w:rsid w:val="00BB6DD1"/>
    <w:rsid w:val="00BC081F"/>
    <w:rsid w:val="00BC084C"/>
    <w:rsid w:val="00BC11AD"/>
    <w:rsid w:val="00BC1D55"/>
    <w:rsid w:val="00BC21CB"/>
    <w:rsid w:val="00BC5F06"/>
    <w:rsid w:val="00BC7232"/>
    <w:rsid w:val="00BD001F"/>
    <w:rsid w:val="00BD08D0"/>
    <w:rsid w:val="00BD2D33"/>
    <w:rsid w:val="00BD32A7"/>
    <w:rsid w:val="00BD456A"/>
    <w:rsid w:val="00BE59D1"/>
    <w:rsid w:val="00BE61BB"/>
    <w:rsid w:val="00BE61C0"/>
    <w:rsid w:val="00BE63F0"/>
    <w:rsid w:val="00BE6894"/>
    <w:rsid w:val="00BE7CCE"/>
    <w:rsid w:val="00BF20BE"/>
    <w:rsid w:val="00BF643B"/>
    <w:rsid w:val="00C0142F"/>
    <w:rsid w:val="00C01878"/>
    <w:rsid w:val="00C02EE6"/>
    <w:rsid w:val="00C03FC2"/>
    <w:rsid w:val="00C06E7E"/>
    <w:rsid w:val="00C106A5"/>
    <w:rsid w:val="00C1169B"/>
    <w:rsid w:val="00C14F02"/>
    <w:rsid w:val="00C239F8"/>
    <w:rsid w:val="00C2666A"/>
    <w:rsid w:val="00C3007C"/>
    <w:rsid w:val="00C33082"/>
    <w:rsid w:val="00C3323A"/>
    <w:rsid w:val="00C334A8"/>
    <w:rsid w:val="00C348CE"/>
    <w:rsid w:val="00C356A9"/>
    <w:rsid w:val="00C45D88"/>
    <w:rsid w:val="00C45EE9"/>
    <w:rsid w:val="00C539C2"/>
    <w:rsid w:val="00C53E62"/>
    <w:rsid w:val="00C54B7B"/>
    <w:rsid w:val="00C57BCD"/>
    <w:rsid w:val="00C61CDD"/>
    <w:rsid w:val="00C63493"/>
    <w:rsid w:val="00C777F6"/>
    <w:rsid w:val="00C77848"/>
    <w:rsid w:val="00C80A32"/>
    <w:rsid w:val="00C84E94"/>
    <w:rsid w:val="00C90AF7"/>
    <w:rsid w:val="00C92839"/>
    <w:rsid w:val="00C92B4C"/>
    <w:rsid w:val="00C93175"/>
    <w:rsid w:val="00C9502A"/>
    <w:rsid w:val="00C95A22"/>
    <w:rsid w:val="00CA0D52"/>
    <w:rsid w:val="00CA1017"/>
    <w:rsid w:val="00CA1499"/>
    <w:rsid w:val="00CA1F54"/>
    <w:rsid w:val="00CA2C7E"/>
    <w:rsid w:val="00CA55A7"/>
    <w:rsid w:val="00CA5608"/>
    <w:rsid w:val="00CB262E"/>
    <w:rsid w:val="00CC138C"/>
    <w:rsid w:val="00CC266D"/>
    <w:rsid w:val="00CC2753"/>
    <w:rsid w:val="00CC31EF"/>
    <w:rsid w:val="00CC3C88"/>
    <w:rsid w:val="00CC4D3F"/>
    <w:rsid w:val="00CC5403"/>
    <w:rsid w:val="00CD029C"/>
    <w:rsid w:val="00CD3C66"/>
    <w:rsid w:val="00CD3E0B"/>
    <w:rsid w:val="00CD58DF"/>
    <w:rsid w:val="00CD6FBB"/>
    <w:rsid w:val="00CE11EE"/>
    <w:rsid w:val="00CE3B57"/>
    <w:rsid w:val="00CE61C5"/>
    <w:rsid w:val="00CF12DA"/>
    <w:rsid w:val="00CF1A81"/>
    <w:rsid w:val="00CF1C30"/>
    <w:rsid w:val="00CF6439"/>
    <w:rsid w:val="00CF718A"/>
    <w:rsid w:val="00CF7D18"/>
    <w:rsid w:val="00D00063"/>
    <w:rsid w:val="00D00201"/>
    <w:rsid w:val="00D013AF"/>
    <w:rsid w:val="00D0296C"/>
    <w:rsid w:val="00D055EF"/>
    <w:rsid w:val="00D061CD"/>
    <w:rsid w:val="00D10FAA"/>
    <w:rsid w:val="00D13B89"/>
    <w:rsid w:val="00D17BBB"/>
    <w:rsid w:val="00D214CA"/>
    <w:rsid w:val="00D222C6"/>
    <w:rsid w:val="00D2535B"/>
    <w:rsid w:val="00D25765"/>
    <w:rsid w:val="00D25C34"/>
    <w:rsid w:val="00D26661"/>
    <w:rsid w:val="00D26715"/>
    <w:rsid w:val="00D34804"/>
    <w:rsid w:val="00D3575A"/>
    <w:rsid w:val="00D358D3"/>
    <w:rsid w:val="00D3770E"/>
    <w:rsid w:val="00D40632"/>
    <w:rsid w:val="00D42F66"/>
    <w:rsid w:val="00D43172"/>
    <w:rsid w:val="00D4324F"/>
    <w:rsid w:val="00D45E3D"/>
    <w:rsid w:val="00D45E8B"/>
    <w:rsid w:val="00D47667"/>
    <w:rsid w:val="00D51BEB"/>
    <w:rsid w:val="00D51EF3"/>
    <w:rsid w:val="00D52C6A"/>
    <w:rsid w:val="00D533AE"/>
    <w:rsid w:val="00D541FB"/>
    <w:rsid w:val="00D55781"/>
    <w:rsid w:val="00D56088"/>
    <w:rsid w:val="00D560B8"/>
    <w:rsid w:val="00D6057E"/>
    <w:rsid w:val="00D628DA"/>
    <w:rsid w:val="00D63F01"/>
    <w:rsid w:val="00D723D9"/>
    <w:rsid w:val="00D73404"/>
    <w:rsid w:val="00D73FC2"/>
    <w:rsid w:val="00D748EB"/>
    <w:rsid w:val="00D76454"/>
    <w:rsid w:val="00D76F9F"/>
    <w:rsid w:val="00D77D2B"/>
    <w:rsid w:val="00D843F1"/>
    <w:rsid w:val="00D8679E"/>
    <w:rsid w:val="00D91F93"/>
    <w:rsid w:val="00D9452A"/>
    <w:rsid w:val="00D945A2"/>
    <w:rsid w:val="00D97E95"/>
    <w:rsid w:val="00DA3D9C"/>
    <w:rsid w:val="00DA42CE"/>
    <w:rsid w:val="00DA5BD4"/>
    <w:rsid w:val="00DA76F9"/>
    <w:rsid w:val="00DB0330"/>
    <w:rsid w:val="00DB0E40"/>
    <w:rsid w:val="00DC1D96"/>
    <w:rsid w:val="00DC1E41"/>
    <w:rsid w:val="00DC3A73"/>
    <w:rsid w:val="00DC3AAF"/>
    <w:rsid w:val="00DC418C"/>
    <w:rsid w:val="00DD1887"/>
    <w:rsid w:val="00DD1A75"/>
    <w:rsid w:val="00DD1F63"/>
    <w:rsid w:val="00DD30D4"/>
    <w:rsid w:val="00DE556A"/>
    <w:rsid w:val="00DE5E04"/>
    <w:rsid w:val="00DE6278"/>
    <w:rsid w:val="00DF0203"/>
    <w:rsid w:val="00DF2ADE"/>
    <w:rsid w:val="00DF527D"/>
    <w:rsid w:val="00E03EBE"/>
    <w:rsid w:val="00E06A88"/>
    <w:rsid w:val="00E2155C"/>
    <w:rsid w:val="00E21BCA"/>
    <w:rsid w:val="00E22657"/>
    <w:rsid w:val="00E23995"/>
    <w:rsid w:val="00E23C13"/>
    <w:rsid w:val="00E32152"/>
    <w:rsid w:val="00E36AAF"/>
    <w:rsid w:val="00E46B48"/>
    <w:rsid w:val="00E51F7F"/>
    <w:rsid w:val="00E531FF"/>
    <w:rsid w:val="00E55E99"/>
    <w:rsid w:val="00E57AD5"/>
    <w:rsid w:val="00E63849"/>
    <w:rsid w:val="00E63F40"/>
    <w:rsid w:val="00E64DD7"/>
    <w:rsid w:val="00E742CC"/>
    <w:rsid w:val="00E7790E"/>
    <w:rsid w:val="00E806BE"/>
    <w:rsid w:val="00E81258"/>
    <w:rsid w:val="00E83BB9"/>
    <w:rsid w:val="00E85063"/>
    <w:rsid w:val="00E8586E"/>
    <w:rsid w:val="00E9137C"/>
    <w:rsid w:val="00E938BC"/>
    <w:rsid w:val="00E96C49"/>
    <w:rsid w:val="00EA0247"/>
    <w:rsid w:val="00EA0CFB"/>
    <w:rsid w:val="00EA39AE"/>
    <w:rsid w:val="00EA49D1"/>
    <w:rsid w:val="00EA5695"/>
    <w:rsid w:val="00EA6303"/>
    <w:rsid w:val="00EB3C81"/>
    <w:rsid w:val="00EB5245"/>
    <w:rsid w:val="00EB649F"/>
    <w:rsid w:val="00EB6F3F"/>
    <w:rsid w:val="00EC0827"/>
    <w:rsid w:val="00EC0F2B"/>
    <w:rsid w:val="00EC355E"/>
    <w:rsid w:val="00EC3F59"/>
    <w:rsid w:val="00EC5851"/>
    <w:rsid w:val="00ED0E45"/>
    <w:rsid w:val="00ED17DE"/>
    <w:rsid w:val="00ED1BB4"/>
    <w:rsid w:val="00ED2375"/>
    <w:rsid w:val="00ED332C"/>
    <w:rsid w:val="00ED5C89"/>
    <w:rsid w:val="00ED6DA8"/>
    <w:rsid w:val="00EE219D"/>
    <w:rsid w:val="00EE53EC"/>
    <w:rsid w:val="00EE68AE"/>
    <w:rsid w:val="00EF3875"/>
    <w:rsid w:val="00EF516E"/>
    <w:rsid w:val="00EF600D"/>
    <w:rsid w:val="00EF68AE"/>
    <w:rsid w:val="00F00040"/>
    <w:rsid w:val="00F00624"/>
    <w:rsid w:val="00F0183E"/>
    <w:rsid w:val="00F03095"/>
    <w:rsid w:val="00F03A88"/>
    <w:rsid w:val="00F06243"/>
    <w:rsid w:val="00F13822"/>
    <w:rsid w:val="00F17606"/>
    <w:rsid w:val="00F17B30"/>
    <w:rsid w:val="00F17D5E"/>
    <w:rsid w:val="00F21D1F"/>
    <w:rsid w:val="00F22734"/>
    <w:rsid w:val="00F2773B"/>
    <w:rsid w:val="00F27B26"/>
    <w:rsid w:val="00F302C7"/>
    <w:rsid w:val="00F319ED"/>
    <w:rsid w:val="00F326C3"/>
    <w:rsid w:val="00F434FD"/>
    <w:rsid w:val="00F43CC0"/>
    <w:rsid w:val="00F454F4"/>
    <w:rsid w:val="00F479B3"/>
    <w:rsid w:val="00F503C8"/>
    <w:rsid w:val="00F5207F"/>
    <w:rsid w:val="00F5220D"/>
    <w:rsid w:val="00F523FA"/>
    <w:rsid w:val="00F52557"/>
    <w:rsid w:val="00F5391D"/>
    <w:rsid w:val="00F550E6"/>
    <w:rsid w:val="00F56AFD"/>
    <w:rsid w:val="00F6088D"/>
    <w:rsid w:val="00F64BD2"/>
    <w:rsid w:val="00F64DF8"/>
    <w:rsid w:val="00F66F6C"/>
    <w:rsid w:val="00F71057"/>
    <w:rsid w:val="00F71CFB"/>
    <w:rsid w:val="00F81084"/>
    <w:rsid w:val="00F81B68"/>
    <w:rsid w:val="00F83F45"/>
    <w:rsid w:val="00F840AD"/>
    <w:rsid w:val="00F914A7"/>
    <w:rsid w:val="00F918B7"/>
    <w:rsid w:val="00F92011"/>
    <w:rsid w:val="00F927FC"/>
    <w:rsid w:val="00F949A7"/>
    <w:rsid w:val="00F9716D"/>
    <w:rsid w:val="00FA0FC5"/>
    <w:rsid w:val="00FA189F"/>
    <w:rsid w:val="00FA1DCF"/>
    <w:rsid w:val="00FA3E2C"/>
    <w:rsid w:val="00FA5020"/>
    <w:rsid w:val="00FA5E0B"/>
    <w:rsid w:val="00FB3516"/>
    <w:rsid w:val="00FB6393"/>
    <w:rsid w:val="00FB7078"/>
    <w:rsid w:val="00FB755F"/>
    <w:rsid w:val="00FC196C"/>
    <w:rsid w:val="00FC236D"/>
    <w:rsid w:val="00FC4AC2"/>
    <w:rsid w:val="00FC67BD"/>
    <w:rsid w:val="00FC7092"/>
    <w:rsid w:val="00FC7311"/>
    <w:rsid w:val="00FC76DC"/>
    <w:rsid w:val="00FD04AD"/>
    <w:rsid w:val="00FD2779"/>
    <w:rsid w:val="00FD3EDF"/>
    <w:rsid w:val="00FE0352"/>
    <w:rsid w:val="00FE2238"/>
    <w:rsid w:val="00FE33F8"/>
    <w:rsid w:val="00FE39A5"/>
    <w:rsid w:val="00FE3CC5"/>
    <w:rsid w:val="00FE5630"/>
    <w:rsid w:val="00FF317B"/>
    <w:rsid w:val="00FF3A0E"/>
    <w:rsid w:val="00FF6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F281"/>
  <w15:docId w15:val="{4865F0A6-18CA-40C1-B9B2-232B4EFE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5E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85"/>
    <w:rPr>
      <w:rFonts w:ascii="Segoe UI" w:hAnsi="Segoe UI" w:cs="Segoe UI"/>
      <w:sz w:val="18"/>
      <w:szCs w:val="18"/>
    </w:rPr>
  </w:style>
  <w:style w:type="paragraph" w:styleId="ListParagraph">
    <w:name w:val="List Paragraph"/>
    <w:basedOn w:val="Normal"/>
    <w:uiPriority w:val="34"/>
    <w:qFormat/>
    <w:rsid w:val="00190A5E"/>
    <w:pPr>
      <w:ind w:left="720"/>
      <w:contextualSpacing/>
    </w:pPr>
  </w:style>
  <w:style w:type="paragraph" w:styleId="Header">
    <w:name w:val="header"/>
    <w:basedOn w:val="Normal"/>
    <w:link w:val="HeaderChar"/>
    <w:uiPriority w:val="99"/>
    <w:unhideWhenUsed/>
    <w:rsid w:val="00F5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91D"/>
  </w:style>
  <w:style w:type="paragraph" w:styleId="Footer">
    <w:name w:val="footer"/>
    <w:basedOn w:val="Normal"/>
    <w:link w:val="FooterChar"/>
    <w:uiPriority w:val="99"/>
    <w:unhideWhenUsed/>
    <w:rsid w:val="00F5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1D"/>
  </w:style>
  <w:style w:type="paragraph" w:styleId="NormalWeb">
    <w:name w:val="Normal (Web)"/>
    <w:basedOn w:val="Normal"/>
    <w:uiPriority w:val="99"/>
    <w:unhideWhenUsed/>
    <w:rsid w:val="00BE6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0ECE"/>
    <w:rPr>
      <w:color w:val="0563C1" w:themeColor="hyperlink"/>
      <w:u w:val="single"/>
    </w:rPr>
  </w:style>
  <w:style w:type="table" w:styleId="TableGrid">
    <w:name w:val="Table Grid"/>
    <w:basedOn w:val="TableNormal"/>
    <w:uiPriority w:val="39"/>
    <w:rsid w:val="00F1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A3CDE"/>
    <w:pPr>
      <w:spacing w:after="0" w:line="240" w:lineRule="auto"/>
    </w:pPr>
    <w:rPr>
      <w:rFonts w:ascii="Times New Roman" w:eastAsia="Times New Roman" w:hAnsi="Times New Roman" w:cs="Times New Roman"/>
      <w:sz w:val="27"/>
      <w:szCs w:val="27"/>
      <w:lang w:eastAsia="en-GB"/>
    </w:rPr>
  </w:style>
  <w:style w:type="character" w:customStyle="1" w:styleId="labs-docsum-journal-citation">
    <w:name w:val="labs-docsum-journal-citation"/>
    <w:rsid w:val="00A02B95"/>
  </w:style>
  <w:style w:type="character" w:customStyle="1" w:styleId="docsum-authors">
    <w:name w:val="docsum-authors"/>
    <w:basedOn w:val="DefaultParagraphFont"/>
    <w:rsid w:val="00633DA6"/>
  </w:style>
  <w:style w:type="character" w:customStyle="1" w:styleId="Heading1Char">
    <w:name w:val="Heading 1 Char"/>
    <w:basedOn w:val="DefaultParagraphFont"/>
    <w:link w:val="Heading1"/>
    <w:uiPriority w:val="9"/>
    <w:rsid w:val="00DE5E04"/>
    <w:rPr>
      <w:rFonts w:ascii="Times New Roman" w:eastAsia="Times New Roman" w:hAnsi="Times New Roman" w:cs="Times New Roman"/>
      <w:b/>
      <w:bCs/>
      <w:kern w:val="36"/>
      <w:sz w:val="48"/>
      <w:szCs w:val="48"/>
      <w:lang w:val="en-US"/>
    </w:rPr>
  </w:style>
  <w:style w:type="character" w:customStyle="1" w:styleId="period">
    <w:name w:val="period"/>
    <w:basedOn w:val="DefaultParagraphFont"/>
    <w:rsid w:val="00DE5E04"/>
  </w:style>
  <w:style w:type="character" w:customStyle="1" w:styleId="cit">
    <w:name w:val="cit"/>
    <w:basedOn w:val="DefaultParagraphFont"/>
    <w:rsid w:val="00DE5E04"/>
  </w:style>
  <w:style w:type="character" w:customStyle="1" w:styleId="citation-doi">
    <w:name w:val="citation-doi"/>
    <w:basedOn w:val="DefaultParagraphFont"/>
    <w:rsid w:val="00DE5E04"/>
  </w:style>
  <w:style w:type="character" w:customStyle="1" w:styleId="authors-list-item">
    <w:name w:val="authors-list-item"/>
    <w:basedOn w:val="DefaultParagraphFont"/>
    <w:rsid w:val="00DE5E04"/>
  </w:style>
  <w:style w:type="character" w:customStyle="1" w:styleId="author-sup-separator">
    <w:name w:val="author-sup-separator"/>
    <w:basedOn w:val="DefaultParagraphFont"/>
    <w:rsid w:val="00DE5E04"/>
  </w:style>
  <w:style w:type="character" w:customStyle="1" w:styleId="comma">
    <w:name w:val="comma"/>
    <w:basedOn w:val="DefaultParagraphFont"/>
    <w:rsid w:val="00DE5E04"/>
  </w:style>
  <w:style w:type="character" w:styleId="CommentReference">
    <w:name w:val="annotation reference"/>
    <w:basedOn w:val="DefaultParagraphFont"/>
    <w:uiPriority w:val="99"/>
    <w:semiHidden/>
    <w:unhideWhenUsed/>
    <w:rsid w:val="0022147C"/>
    <w:rPr>
      <w:sz w:val="16"/>
      <w:szCs w:val="16"/>
    </w:rPr>
  </w:style>
  <w:style w:type="paragraph" w:styleId="CommentText">
    <w:name w:val="annotation text"/>
    <w:basedOn w:val="Normal"/>
    <w:link w:val="CommentTextChar"/>
    <w:uiPriority w:val="99"/>
    <w:unhideWhenUsed/>
    <w:rsid w:val="0022147C"/>
    <w:pPr>
      <w:spacing w:line="240" w:lineRule="auto"/>
    </w:pPr>
    <w:rPr>
      <w:sz w:val="20"/>
      <w:szCs w:val="20"/>
    </w:rPr>
  </w:style>
  <w:style w:type="character" w:customStyle="1" w:styleId="CommentTextChar">
    <w:name w:val="Comment Text Char"/>
    <w:basedOn w:val="DefaultParagraphFont"/>
    <w:link w:val="CommentText"/>
    <w:uiPriority w:val="99"/>
    <w:rsid w:val="0022147C"/>
    <w:rPr>
      <w:sz w:val="20"/>
      <w:szCs w:val="20"/>
    </w:rPr>
  </w:style>
  <w:style w:type="paragraph" w:styleId="CommentSubject">
    <w:name w:val="annotation subject"/>
    <w:basedOn w:val="CommentText"/>
    <w:next w:val="CommentText"/>
    <w:link w:val="CommentSubjectChar"/>
    <w:uiPriority w:val="99"/>
    <w:semiHidden/>
    <w:unhideWhenUsed/>
    <w:rsid w:val="0022147C"/>
    <w:rPr>
      <w:b/>
      <w:bCs/>
    </w:rPr>
  </w:style>
  <w:style w:type="character" w:customStyle="1" w:styleId="CommentSubjectChar">
    <w:name w:val="Comment Subject Char"/>
    <w:basedOn w:val="CommentTextChar"/>
    <w:link w:val="CommentSubject"/>
    <w:uiPriority w:val="99"/>
    <w:semiHidden/>
    <w:rsid w:val="0022147C"/>
    <w:rPr>
      <w:b/>
      <w:bCs/>
      <w:sz w:val="20"/>
      <w:szCs w:val="20"/>
    </w:rPr>
  </w:style>
  <w:style w:type="character" w:customStyle="1" w:styleId="acopre">
    <w:name w:val="acopre"/>
    <w:basedOn w:val="DefaultParagraphFont"/>
    <w:rsid w:val="00B901B0"/>
  </w:style>
  <w:style w:type="character" w:styleId="Emphasis">
    <w:name w:val="Emphasis"/>
    <w:basedOn w:val="DefaultParagraphFont"/>
    <w:uiPriority w:val="20"/>
    <w:qFormat/>
    <w:rsid w:val="00B901B0"/>
    <w:rPr>
      <w:i/>
      <w:iCs/>
    </w:rPr>
  </w:style>
  <w:style w:type="paragraph" w:styleId="Revision">
    <w:name w:val="Revision"/>
    <w:hidden/>
    <w:uiPriority w:val="99"/>
    <w:semiHidden/>
    <w:rsid w:val="00EC3F59"/>
    <w:pPr>
      <w:spacing w:after="0" w:line="240" w:lineRule="auto"/>
    </w:pPr>
  </w:style>
  <w:style w:type="character" w:customStyle="1" w:styleId="UnresolvedMention1">
    <w:name w:val="Unresolved Mention1"/>
    <w:basedOn w:val="DefaultParagraphFont"/>
    <w:uiPriority w:val="99"/>
    <w:semiHidden/>
    <w:unhideWhenUsed/>
    <w:rsid w:val="00CC138C"/>
    <w:rPr>
      <w:color w:val="605E5C"/>
      <w:shd w:val="clear" w:color="auto" w:fill="E1DFDD"/>
    </w:rPr>
  </w:style>
  <w:style w:type="character" w:styleId="LineNumber">
    <w:name w:val="line number"/>
    <w:basedOn w:val="DefaultParagraphFont"/>
    <w:uiPriority w:val="99"/>
    <w:semiHidden/>
    <w:unhideWhenUsed/>
    <w:rsid w:val="00104082"/>
  </w:style>
  <w:style w:type="paragraph" w:styleId="PlainText">
    <w:name w:val="Plain Text"/>
    <w:basedOn w:val="Normal"/>
    <w:link w:val="PlainTextChar"/>
    <w:uiPriority w:val="99"/>
    <w:unhideWhenUsed/>
    <w:rsid w:val="0011075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10759"/>
    <w:rPr>
      <w:rFonts w:ascii="Calibri" w:eastAsia="Calibri" w:hAnsi="Calibri" w:cs="Times New Roman"/>
      <w:szCs w:val="21"/>
    </w:rPr>
  </w:style>
  <w:style w:type="character" w:customStyle="1" w:styleId="UnresolvedMention2">
    <w:name w:val="Unresolved Mention2"/>
    <w:basedOn w:val="DefaultParagraphFont"/>
    <w:uiPriority w:val="99"/>
    <w:semiHidden/>
    <w:unhideWhenUsed/>
    <w:rsid w:val="00621F96"/>
    <w:rPr>
      <w:color w:val="605E5C"/>
      <w:shd w:val="clear" w:color="auto" w:fill="E1DFDD"/>
    </w:rPr>
  </w:style>
  <w:style w:type="character" w:customStyle="1" w:styleId="UnresolvedMention3">
    <w:name w:val="Unresolved Mention3"/>
    <w:basedOn w:val="DefaultParagraphFont"/>
    <w:uiPriority w:val="99"/>
    <w:semiHidden/>
    <w:unhideWhenUsed/>
    <w:rsid w:val="00912355"/>
    <w:rPr>
      <w:color w:val="605E5C"/>
      <w:shd w:val="clear" w:color="auto" w:fill="E1DFDD"/>
    </w:rPr>
  </w:style>
  <w:style w:type="character" w:customStyle="1" w:styleId="apple-converted-space">
    <w:name w:val="apple-converted-space"/>
    <w:basedOn w:val="DefaultParagraphFont"/>
    <w:rsid w:val="00D9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4635">
      <w:bodyDiv w:val="1"/>
      <w:marLeft w:val="0"/>
      <w:marRight w:val="0"/>
      <w:marTop w:val="0"/>
      <w:marBottom w:val="0"/>
      <w:divBdr>
        <w:top w:val="none" w:sz="0" w:space="0" w:color="auto"/>
        <w:left w:val="none" w:sz="0" w:space="0" w:color="auto"/>
        <w:bottom w:val="none" w:sz="0" w:space="0" w:color="auto"/>
        <w:right w:val="none" w:sz="0" w:space="0" w:color="auto"/>
      </w:divBdr>
    </w:div>
    <w:div w:id="217327689">
      <w:bodyDiv w:val="1"/>
      <w:marLeft w:val="0"/>
      <w:marRight w:val="0"/>
      <w:marTop w:val="0"/>
      <w:marBottom w:val="0"/>
      <w:divBdr>
        <w:top w:val="none" w:sz="0" w:space="0" w:color="auto"/>
        <w:left w:val="none" w:sz="0" w:space="0" w:color="auto"/>
        <w:bottom w:val="none" w:sz="0" w:space="0" w:color="auto"/>
        <w:right w:val="none" w:sz="0" w:space="0" w:color="auto"/>
      </w:divBdr>
      <w:divsChild>
        <w:div w:id="1819687312">
          <w:marLeft w:val="-240"/>
          <w:marRight w:val="-240"/>
          <w:marTop w:val="0"/>
          <w:marBottom w:val="0"/>
          <w:divBdr>
            <w:top w:val="none" w:sz="0" w:space="0" w:color="auto"/>
            <w:left w:val="none" w:sz="0" w:space="0" w:color="auto"/>
            <w:bottom w:val="none" w:sz="0" w:space="0" w:color="auto"/>
            <w:right w:val="none" w:sz="0" w:space="0" w:color="auto"/>
          </w:divBdr>
          <w:divsChild>
            <w:div w:id="2002154344">
              <w:marLeft w:val="0"/>
              <w:marRight w:val="0"/>
              <w:marTop w:val="0"/>
              <w:marBottom w:val="0"/>
              <w:divBdr>
                <w:top w:val="none" w:sz="0" w:space="0" w:color="auto"/>
                <w:left w:val="none" w:sz="0" w:space="0" w:color="auto"/>
                <w:bottom w:val="none" w:sz="0" w:space="0" w:color="auto"/>
                <w:right w:val="none" w:sz="0" w:space="0" w:color="auto"/>
              </w:divBdr>
              <w:divsChild>
                <w:div w:id="1952324566">
                  <w:marLeft w:val="0"/>
                  <w:marRight w:val="0"/>
                  <w:marTop w:val="150"/>
                  <w:marBottom w:val="300"/>
                  <w:divBdr>
                    <w:top w:val="none" w:sz="0" w:space="0" w:color="auto"/>
                    <w:left w:val="none" w:sz="0" w:space="0" w:color="auto"/>
                    <w:bottom w:val="none" w:sz="0" w:space="0" w:color="auto"/>
                    <w:right w:val="none" w:sz="0" w:space="0" w:color="auto"/>
                  </w:divBdr>
                </w:div>
              </w:divsChild>
            </w:div>
            <w:div w:id="1085490851">
              <w:marLeft w:val="0"/>
              <w:marRight w:val="0"/>
              <w:marTop w:val="0"/>
              <w:marBottom w:val="0"/>
              <w:divBdr>
                <w:top w:val="none" w:sz="0" w:space="0" w:color="auto"/>
                <w:left w:val="none" w:sz="0" w:space="0" w:color="auto"/>
                <w:bottom w:val="none" w:sz="0" w:space="0" w:color="auto"/>
                <w:right w:val="none" w:sz="0" w:space="0" w:color="auto"/>
              </w:divBdr>
              <w:divsChild>
                <w:div w:id="922880486">
                  <w:marLeft w:val="0"/>
                  <w:marRight w:val="0"/>
                  <w:marTop w:val="0"/>
                  <w:marBottom w:val="0"/>
                  <w:divBdr>
                    <w:top w:val="none" w:sz="0" w:space="0" w:color="auto"/>
                    <w:left w:val="none" w:sz="0" w:space="0" w:color="auto"/>
                    <w:bottom w:val="none" w:sz="0" w:space="0" w:color="auto"/>
                    <w:right w:val="none" w:sz="0" w:space="0" w:color="auto"/>
                  </w:divBdr>
                  <w:divsChild>
                    <w:div w:id="256180806">
                      <w:marLeft w:val="0"/>
                      <w:marRight w:val="0"/>
                      <w:marTop w:val="0"/>
                      <w:marBottom w:val="0"/>
                      <w:divBdr>
                        <w:top w:val="none" w:sz="0" w:space="0" w:color="auto"/>
                        <w:left w:val="none" w:sz="0" w:space="0" w:color="auto"/>
                        <w:bottom w:val="none" w:sz="0" w:space="0" w:color="auto"/>
                        <w:right w:val="none" w:sz="0" w:space="0" w:color="auto"/>
                      </w:divBdr>
                      <w:divsChild>
                        <w:div w:id="1352535345">
                          <w:marLeft w:val="0"/>
                          <w:marRight w:val="0"/>
                          <w:marTop w:val="0"/>
                          <w:marBottom w:val="0"/>
                          <w:divBdr>
                            <w:top w:val="none" w:sz="0" w:space="0" w:color="auto"/>
                            <w:left w:val="none" w:sz="0" w:space="0" w:color="auto"/>
                            <w:bottom w:val="none" w:sz="0" w:space="0" w:color="auto"/>
                            <w:right w:val="none" w:sz="0" w:space="0" w:color="auto"/>
                          </w:divBdr>
                          <w:divsChild>
                            <w:div w:id="230114513">
                              <w:marLeft w:val="0"/>
                              <w:marRight w:val="0"/>
                              <w:marTop w:val="0"/>
                              <w:marBottom w:val="0"/>
                              <w:divBdr>
                                <w:top w:val="none" w:sz="0" w:space="0" w:color="auto"/>
                                <w:left w:val="none" w:sz="0" w:space="0" w:color="auto"/>
                                <w:bottom w:val="none" w:sz="0" w:space="0" w:color="auto"/>
                                <w:right w:val="none" w:sz="0" w:space="0" w:color="auto"/>
                              </w:divBdr>
                            </w:div>
                            <w:div w:id="498618642">
                              <w:marLeft w:val="0"/>
                              <w:marRight w:val="0"/>
                              <w:marTop w:val="0"/>
                              <w:marBottom w:val="0"/>
                              <w:divBdr>
                                <w:top w:val="none" w:sz="0" w:space="0" w:color="auto"/>
                                <w:left w:val="none" w:sz="0" w:space="0" w:color="auto"/>
                                <w:bottom w:val="none" w:sz="0" w:space="0" w:color="auto"/>
                                <w:right w:val="none" w:sz="0" w:space="0" w:color="auto"/>
                              </w:divBdr>
                            </w:div>
                            <w:div w:id="1250193465">
                              <w:marLeft w:val="0"/>
                              <w:marRight w:val="0"/>
                              <w:marTop w:val="0"/>
                              <w:marBottom w:val="0"/>
                              <w:divBdr>
                                <w:top w:val="none" w:sz="0" w:space="0" w:color="auto"/>
                                <w:left w:val="none" w:sz="0" w:space="0" w:color="auto"/>
                                <w:bottom w:val="none" w:sz="0" w:space="0" w:color="auto"/>
                                <w:right w:val="none" w:sz="0" w:space="0" w:color="auto"/>
                              </w:divBdr>
                            </w:div>
                            <w:div w:id="14616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43601">
          <w:marLeft w:val="0"/>
          <w:marRight w:val="0"/>
          <w:marTop w:val="0"/>
          <w:marBottom w:val="0"/>
          <w:divBdr>
            <w:top w:val="none" w:sz="0" w:space="0" w:color="auto"/>
            <w:left w:val="none" w:sz="0" w:space="0" w:color="auto"/>
            <w:bottom w:val="none" w:sz="0" w:space="0" w:color="auto"/>
            <w:right w:val="none" w:sz="0" w:space="0" w:color="auto"/>
          </w:divBdr>
        </w:div>
        <w:div w:id="1075736779">
          <w:marLeft w:val="0"/>
          <w:marRight w:val="0"/>
          <w:marTop w:val="0"/>
          <w:marBottom w:val="0"/>
          <w:divBdr>
            <w:top w:val="none" w:sz="0" w:space="0" w:color="auto"/>
            <w:left w:val="none" w:sz="0" w:space="0" w:color="auto"/>
            <w:bottom w:val="none" w:sz="0" w:space="0" w:color="auto"/>
            <w:right w:val="none" w:sz="0" w:space="0" w:color="auto"/>
          </w:divBdr>
        </w:div>
        <w:div w:id="1129317471">
          <w:marLeft w:val="0"/>
          <w:marRight w:val="0"/>
          <w:marTop w:val="0"/>
          <w:marBottom w:val="0"/>
          <w:divBdr>
            <w:top w:val="none" w:sz="0" w:space="0" w:color="auto"/>
            <w:left w:val="none" w:sz="0" w:space="0" w:color="auto"/>
            <w:bottom w:val="none" w:sz="0" w:space="0" w:color="auto"/>
            <w:right w:val="none" w:sz="0" w:space="0" w:color="auto"/>
          </w:divBdr>
        </w:div>
        <w:div w:id="1150439218">
          <w:marLeft w:val="0"/>
          <w:marRight w:val="0"/>
          <w:marTop w:val="0"/>
          <w:marBottom w:val="0"/>
          <w:divBdr>
            <w:top w:val="none" w:sz="0" w:space="0" w:color="auto"/>
            <w:left w:val="none" w:sz="0" w:space="0" w:color="auto"/>
            <w:bottom w:val="none" w:sz="0" w:space="0" w:color="auto"/>
            <w:right w:val="none" w:sz="0" w:space="0" w:color="auto"/>
          </w:divBdr>
        </w:div>
        <w:div w:id="1355881436">
          <w:marLeft w:val="0"/>
          <w:marRight w:val="0"/>
          <w:marTop w:val="0"/>
          <w:marBottom w:val="0"/>
          <w:divBdr>
            <w:top w:val="none" w:sz="0" w:space="0" w:color="auto"/>
            <w:left w:val="none" w:sz="0" w:space="0" w:color="auto"/>
            <w:bottom w:val="none" w:sz="0" w:space="0" w:color="auto"/>
            <w:right w:val="none" w:sz="0" w:space="0" w:color="auto"/>
          </w:divBdr>
        </w:div>
        <w:div w:id="1724712210">
          <w:marLeft w:val="0"/>
          <w:marRight w:val="0"/>
          <w:marTop w:val="0"/>
          <w:marBottom w:val="0"/>
          <w:divBdr>
            <w:top w:val="none" w:sz="0" w:space="0" w:color="auto"/>
            <w:left w:val="none" w:sz="0" w:space="0" w:color="auto"/>
            <w:bottom w:val="none" w:sz="0" w:space="0" w:color="auto"/>
            <w:right w:val="none" w:sz="0" w:space="0" w:color="auto"/>
          </w:divBdr>
        </w:div>
        <w:div w:id="229004216">
          <w:marLeft w:val="0"/>
          <w:marRight w:val="0"/>
          <w:marTop w:val="0"/>
          <w:marBottom w:val="0"/>
          <w:divBdr>
            <w:top w:val="none" w:sz="0" w:space="0" w:color="auto"/>
            <w:left w:val="none" w:sz="0" w:space="0" w:color="auto"/>
            <w:bottom w:val="none" w:sz="0" w:space="0" w:color="auto"/>
            <w:right w:val="none" w:sz="0" w:space="0" w:color="auto"/>
          </w:divBdr>
        </w:div>
        <w:div w:id="1725717497">
          <w:marLeft w:val="0"/>
          <w:marRight w:val="0"/>
          <w:marTop w:val="0"/>
          <w:marBottom w:val="0"/>
          <w:divBdr>
            <w:top w:val="none" w:sz="0" w:space="0" w:color="auto"/>
            <w:left w:val="none" w:sz="0" w:space="0" w:color="auto"/>
            <w:bottom w:val="none" w:sz="0" w:space="0" w:color="auto"/>
            <w:right w:val="none" w:sz="0" w:space="0" w:color="auto"/>
          </w:divBdr>
        </w:div>
      </w:divsChild>
    </w:div>
    <w:div w:id="318466701">
      <w:bodyDiv w:val="1"/>
      <w:marLeft w:val="0"/>
      <w:marRight w:val="0"/>
      <w:marTop w:val="0"/>
      <w:marBottom w:val="0"/>
      <w:divBdr>
        <w:top w:val="none" w:sz="0" w:space="0" w:color="auto"/>
        <w:left w:val="none" w:sz="0" w:space="0" w:color="auto"/>
        <w:bottom w:val="none" w:sz="0" w:space="0" w:color="auto"/>
        <w:right w:val="none" w:sz="0" w:space="0" w:color="auto"/>
      </w:divBdr>
    </w:div>
    <w:div w:id="356200596">
      <w:bodyDiv w:val="1"/>
      <w:marLeft w:val="0"/>
      <w:marRight w:val="0"/>
      <w:marTop w:val="0"/>
      <w:marBottom w:val="0"/>
      <w:divBdr>
        <w:top w:val="none" w:sz="0" w:space="0" w:color="auto"/>
        <w:left w:val="none" w:sz="0" w:space="0" w:color="auto"/>
        <w:bottom w:val="none" w:sz="0" w:space="0" w:color="auto"/>
        <w:right w:val="none" w:sz="0" w:space="0" w:color="auto"/>
      </w:divBdr>
    </w:div>
    <w:div w:id="394931904">
      <w:bodyDiv w:val="1"/>
      <w:marLeft w:val="0"/>
      <w:marRight w:val="0"/>
      <w:marTop w:val="0"/>
      <w:marBottom w:val="0"/>
      <w:divBdr>
        <w:top w:val="none" w:sz="0" w:space="0" w:color="auto"/>
        <w:left w:val="none" w:sz="0" w:space="0" w:color="auto"/>
        <w:bottom w:val="none" w:sz="0" w:space="0" w:color="auto"/>
        <w:right w:val="none" w:sz="0" w:space="0" w:color="auto"/>
      </w:divBdr>
    </w:div>
    <w:div w:id="430977583">
      <w:bodyDiv w:val="1"/>
      <w:marLeft w:val="0"/>
      <w:marRight w:val="0"/>
      <w:marTop w:val="0"/>
      <w:marBottom w:val="0"/>
      <w:divBdr>
        <w:top w:val="none" w:sz="0" w:space="0" w:color="auto"/>
        <w:left w:val="none" w:sz="0" w:space="0" w:color="auto"/>
        <w:bottom w:val="none" w:sz="0" w:space="0" w:color="auto"/>
        <w:right w:val="none" w:sz="0" w:space="0" w:color="auto"/>
      </w:divBdr>
    </w:div>
    <w:div w:id="543830177">
      <w:bodyDiv w:val="1"/>
      <w:marLeft w:val="0"/>
      <w:marRight w:val="0"/>
      <w:marTop w:val="0"/>
      <w:marBottom w:val="0"/>
      <w:divBdr>
        <w:top w:val="none" w:sz="0" w:space="0" w:color="auto"/>
        <w:left w:val="none" w:sz="0" w:space="0" w:color="auto"/>
        <w:bottom w:val="none" w:sz="0" w:space="0" w:color="auto"/>
        <w:right w:val="none" w:sz="0" w:space="0" w:color="auto"/>
      </w:divBdr>
    </w:div>
    <w:div w:id="570313580">
      <w:bodyDiv w:val="1"/>
      <w:marLeft w:val="0"/>
      <w:marRight w:val="0"/>
      <w:marTop w:val="0"/>
      <w:marBottom w:val="0"/>
      <w:divBdr>
        <w:top w:val="none" w:sz="0" w:space="0" w:color="auto"/>
        <w:left w:val="none" w:sz="0" w:space="0" w:color="auto"/>
        <w:bottom w:val="none" w:sz="0" w:space="0" w:color="auto"/>
        <w:right w:val="none" w:sz="0" w:space="0" w:color="auto"/>
      </w:divBdr>
    </w:div>
    <w:div w:id="646251015">
      <w:bodyDiv w:val="1"/>
      <w:marLeft w:val="0"/>
      <w:marRight w:val="0"/>
      <w:marTop w:val="0"/>
      <w:marBottom w:val="0"/>
      <w:divBdr>
        <w:top w:val="none" w:sz="0" w:space="0" w:color="auto"/>
        <w:left w:val="none" w:sz="0" w:space="0" w:color="auto"/>
        <w:bottom w:val="none" w:sz="0" w:space="0" w:color="auto"/>
        <w:right w:val="none" w:sz="0" w:space="0" w:color="auto"/>
      </w:divBdr>
    </w:div>
    <w:div w:id="848056365">
      <w:bodyDiv w:val="1"/>
      <w:marLeft w:val="0"/>
      <w:marRight w:val="0"/>
      <w:marTop w:val="0"/>
      <w:marBottom w:val="0"/>
      <w:divBdr>
        <w:top w:val="none" w:sz="0" w:space="0" w:color="auto"/>
        <w:left w:val="none" w:sz="0" w:space="0" w:color="auto"/>
        <w:bottom w:val="none" w:sz="0" w:space="0" w:color="auto"/>
        <w:right w:val="none" w:sz="0" w:space="0" w:color="auto"/>
      </w:divBdr>
    </w:div>
    <w:div w:id="977031402">
      <w:bodyDiv w:val="1"/>
      <w:marLeft w:val="0"/>
      <w:marRight w:val="0"/>
      <w:marTop w:val="0"/>
      <w:marBottom w:val="0"/>
      <w:divBdr>
        <w:top w:val="none" w:sz="0" w:space="0" w:color="auto"/>
        <w:left w:val="none" w:sz="0" w:space="0" w:color="auto"/>
        <w:bottom w:val="none" w:sz="0" w:space="0" w:color="auto"/>
        <w:right w:val="none" w:sz="0" w:space="0" w:color="auto"/>
      </w:divBdr>
    </w:div>
    <w:div w:id="996031437">
      <w:bodyDiv w:val="1"/>
      <w:marLeft w:val="0"/>
      <w:marRight w:val="0"/>
      <w:marTop w:val="0"/>
      <w:marBottom w:val="0"/>
      <w:divBdr>
        <w:top w:val="none" w:sz="0" w:space="0" w:color="auto"/>
        <w:left w:val="none" w:sz="0" w:space="0" w:color="auto"/>
        <w:bottom w:val="none" w:sz="0" w:space="0" w:color="auto"/>
        <w:right w:val="none" w:sz="0" w:space="0" w:color="auto"/>
      </w:divBdr>
      <w:divsChild>
        <w:div w:id="1232891933">
          <w:marLeft w:val="0"/>
          <w:marRight w:val="0"/>
          <w:marTop w:val="0"/>
          <w:marBottom w:val="0"/>
          <w:divBdr>
            <w:top w:val="none" w:sz="0" w:space="0" w:color="auto"/>
            <w:left w:val="none" w:sz="0" w:space="0" w:color="auto"/>
            <w:bottom w:val="none" w:sz="0" w:space="0" w:color="auto"/>
            <w:right w:val="none" w:sz="0" w:space="0" w:color="auto"/>
          </w:divBdr>
          <w:divsChild>
            <w:div w:id="876893669">
              <w:marLeft w:val="0"/>
              <w:marRight w:val="0"/>
              <w:marTop w:val="0"/>
              <w:marBottom w:val="0"/>
              <w:divBdr>
                <w:top w:val="none" w:sz="0" w:space="0" w:color="auto"/>
                <w:left w:val="none" w:sz="0" w:space="0" w:color="auto"/>
                <w:bottom w:val="none" w:sz="0" w:space="0" w:color="auto"/>
                <w:right w:val="none" w:sz="0" w:space="0" w:color="auto"/>
              </w:divBdr>
              <w:divsChild>
                <w:div w:id="177234815">
                  <w:marLeft w:val="0"/>
                  <w:marRight w:val="0"/>
                  <w:marTop w:val="0"/>
                  <w:marBottom w:val="0"/>
                  <w:divBdr>
                    <w:top w:val="single" w:sz="6" w:space="0" w:color="auto"/>
                    <w:left w:val="single" w:sz="6" w:space="0" w:color="auto"/>
                    <w:bottom w:val="single" w:sz="6" w:space="0" w:color="auto"/>
                    <w:right w:val="single" w:sz="6" w:space="0" w:color="auto"/>
                  </w:divBdr>
                  <w:divsChild>
                    <w:div w:id="1612390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7955164">
          <w:marLeft w:val="0"/>
          <w:marRight w:val="0"/>
          <w:marTop w:val="0"/>
          <w:marBottom w:val="0"/>
          <w:divBdr>
            <w:top w:val="none" w:sz="0" w:space="0" w:color="auto"/>
            <w:left w:val="none" w:sz="0" w:space="0" w:color="auto"/>
            <w:bottom w:val="none" w:sz="0" w:space="0" w:color="auto"/>
            <w:right w:val="none" w:sz="0" w:space="0" w:color="auto"/>
          </w:divBdr>
          <w:divsChild>
            <w:div w:id="11537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4879">
      <w:bodyDiv w:val="1"/>
      <w:marLeft w:val="0"/>
      <w:marRight w:val="0"/>
      <w:marTop w:val="0"/>
      <w:marBottom w:val="0"/>
      <w:divBdr>
        <w:top w:val="none" w:sz="0" w:space="0" w:color="auto"/>
        <w:left w:val="none" w:sz="0" w:space="0" w:color="auto"/>
        <w:bottom w:val="none" w:sz="0" w:space="0" w:color="auto"/>
        <w:right w:val="none" w:sz="0" w:space="0" w:color="auto"/>
      </w:divBdr>
    </w:div>
    <w:div w:id="1174150002">
      <w:bodyDiv w:val="1"/>
      <w:marLeft w:val="0"/>
      <w:marRight w:val="0"/>
      <w:marTop w:val="0"/>
      <w:marBottom w:val="0"/>
      <w:divBdr>
        <w:top w:val="none" w:sz="0" w:space="0" w:color="auto"/>
        <w:left w:val="none" w:sz="0" w:space="0" w:color="auto"/>
        <w:bottom w:val="none" w:sz="0" w:space="0" w:color="auto"/>
        <w:right w:val="none" w:sz="0" w:space="0" w:color="auto"/>
      </w:divBdr>
    </w:div>
    <w:div w:id="1180310865">
      <w:bodyDiv w:val="1"/>
      <w:marLeft w:val="0"/>
      <w:marRight w:val="0"/>
      <w:marTop w:val="0"/>
      <w:marBottom w:val="0"/>
      <w:divBdr>
        <w:top w:val="none" w:sz="0" w:space="0" w:color="auto"/>
        <w:left w:val="none" w:sz="0" w:space="0" w:color="auto"/>
        <w:bottom w:val="none" w:sz="0" w:space="0" w:color="auto"/>
        <w:right w:val="none" w:sz="0" w:space="0" w:color="auto"/>
      </w:divBdr>
    </w:div>
    <w:div w:id="1270045411">
      <w:bodyDiv w:val="1"/>
      <w:marLeft w:val="0"/>
      <w:marRight w:val="0"/>
      <w:marTop w:val="0"/>
      <w:marBottom w:val="0"/>
      <w:divBdr>
        <w:top w:val="none" w:sz="0" w:space="0" w:color="auto"/>
        <w:left w:val="none" w:sz="0" w:space="0" w:color="auto"/>
        <w:bottom w:val="none" w:sz="0" w:space="0" w:color="auto"/>
        <w:right w:val="none" w:sz="0" w:space="0" w:color="auto"/>
      </w:divBdr>
    </w:div>
    <w:div w:id="1351956955">
      <w:bodyDiv w:val="1"/>
      <w:marLeft w:val="0"/>
      <w:marRight w:val="0"/>
      <w:marTop w:val="0"/>
      <w:marBottom w:val="0"/>
      <w:divBdr>
        <w:top w:val="none" w:sz="0" w:space="0" w:color="auto"/>
        <w:left w:val="none" w:sz="0" w:space="0" w:color="auto"/>
        <w:bottom w:val="none" w:sz="0" w:space="0" w:color="auto"/>
        <w:right w:val="none" w:sz="0" w:space="0" w:color="auto"/>
      </w:divBdr>
    </w:div>
    <w:div w:id="1382558199">
      <w:bodyDiv w:val="1"/>
      <w:marLeft w:val="0"/>
      <w:marRight w:val="0"/>
      <w:marTop w:val="0"/>
      <w:marBottom w:val="0"/>
      <w:divBdr>
        <w:top w:val="none" w:sz="0" w:space="0" w:color="auto"/>
        <w:left w:val="none" w:sz="0" w:space="0" w:color="auto"/>
        <w:bottom w:val="none" w:sz="0" w:space="0" w:color="auto"/>
        <w:right w:val="none" w:sz="0" w:space="0" w:color="auto"/>
      </w:divBdr>
    </w:div>
    <w:div w:id="1547251432">
      <w:bodyDiv w:val="1"/>
      <w:marLeft w:val="0"/>
      <w:marRight w:val="0"/>
      <w:marTop w:val="0"/>
      <w:marBottom w:val="0"/>
      <w:divBdr>
        <w:top w:val="none" w:sz="0" w:space="0" w:color="auto"/>
        <w:left w:val="none" w:sz="0" w:space="0" w:color="auto"/>
        <w:bottom w:val="none" w:sz="0" w:space="0" w:color="auto"/>
        <w:right w:val="none" w:sz="0" w:space="0" w:color="auto"/>
      </w:divBdr>
    </w:div>
    <w:div w:id="1636523646">
      <w:bodyDiv w:val="1"/>
      <w:marLeft w:val="0"/>
      <w:marRight w:val="0"/>
      <w:marTop w:val="0"/>
      <w:marBottom w:val="0"/>
      <w:divBdr>
        <w:top w:val="none" w:sz="0" w:space="0" w:color="auto"/>
        <w:left w:val="none" w:sz="0" w:space="0" w:color="auto"/>
        <w:bottom w:val="none" w:sz="0" w:space="0" w:color="auto"/>
        <w:right w:val="none" w:sz="0" w:space="0" w:color="auto"/>
      </w:divBdr>
    </w:div>
    <w:div w:id="1637104000">
      <w:bodyDiv w:val="1"/>
      <w:marLeft w:val="0"/>
      <w:marRight w:val="0"/>
      <w:marTop w:val="0"/>
      <w:marBottom w:val="0"/>
      <w:divBdr>
        <w:top w:val="none" w:sz="0" w:space="0" w:color="auto"/>
        <w:left w:val="none" w:sz="0" w:space="0" w:color="auto"/>
        <w:bottom w:val="none" w:sz="0" w:space="0" w:color="auto"/>
        <w:right w:val="none" w:sz="0" w:space="0" w:color="auto"/>
      </w:divBdr>
    </w:div>
    <w:div w:id="1684167022">
      <w:bodyDiv w:val="1"/>
      <w:marLeft w:val="0"/>
      <w:marRight w:val="0"/>
      <w:marTop w:val="0"/>
      <w:marBottom w:val="0"/>
      <w:divBdr>
        <w:top w:val="none" w:sz="0" w:space="0" w:color="auto"/>
        <w:left w:val="none" w:sz="0" w:space="0" w:color="auto"/>
        <w:bottom w:val="none" w:sz="0" w:space="0" w:color="auto"/>
        <w:right w:val="none" w:sz="0" w:space="0" w:color="auto"/>
      </w:divBdr>
    </w:div>
    <w:div w:id="1716156593">
      <w:bodyDiv w:val="1"/>
      <w:marLeft w:val="0"/>
      <w:marRight w:val="0"/>
      <w:marTop w:val="0"/>
      <w:marBottom w:val="0"/>
      <w:divBdr>
        <w:top w:val="none" w:sz="0" w:space="0" w:color="auto"/>
        <w:left w:val="none" w:sz="0" w:space="0" w:color="auto"/>
        <w:bottom w:val="none" w:sz="0" w:space="0" w:color="auto"/>
        <w:right w:val="none" w:sz="0" w:space="0" w:color="auto"/>
      </w:divBdr>
    </w:div>
    <w:div w:id="1776974609">
      <w:bodyDiv w:val="1"/>
      <w:marLeft w:val="0"/>
      <w:marRight w:val="0"/>
      <w:marTop w:val="0"/>
      <w:marBottom w:val="0"/>
      <w:divBdr>
        <w:top w:val="none" w:sz="0" w:space="0" w:color="auto"/>
        <w:left w:val="none" w:sz="0" w:space="0" w:color="auto"/>
        <w:bottom w:val="none" w:sz="0" w:space="0" w:color="auto"/>
        <w:right w:val="none" w:sz="0" w:space="0" w:color="auto"/>
      </w:divBdr>
      <w:divsChild>
        <w:div w:id="454714426">
          <w:marLeft w:val="0"/>
          <w:marRight w:val="0"/>
          <w:marTop w:val="0"/>
          <w:marBottom w:val="0"/>
          <w:divBdr>
            <w:top w:val="none" w:sz="0" w:space="0" w:color="auto"/>
            <w:left w:val="none" w:sz="0" w:space="0" w:color="auto"/>
            <w:bottom w:val="none" w:sz="0" w:space="0" w:color="auto"/>
            <w:right w:val="none" w:sz="0" w:space="0" w:color="auto"/>
          </w:divBdr>
          <w:divsChild>
            <w:div w:id="2073766956">
              <w:marLeft w:val="0"/>
              <w:marRight w:val="0"/>
              <w:marTop w:val="0"/>
              <w:marBottom w:val="0"/>
              <w:divBdr>
                <w:top w:val="none" w:sz="0" w:space="0" w:color="auto"/>
                <w:left w:val="none" w:sz="0" w:space="0" w:color="auto"/>
                <w:bottom w:val="none" w:sz="0" w:space="0" w:color="auto"/>
                <w:right w:val="none" w:sz="0" w:space="0" w:color="auto"/>
              </w:divBdr>
              <w:divsChild>
                <w:div w:id="394472938">
                  <w:marLeft w:val="0"/>
                  <w:marRight w:val="0"/>
                  <w:marTop w:val="0"/>
                  <w:marBottom w:val="0"/>
                  <w:divBdr>
                    <w:top w:val="single" w:sz="6" w:space="0" w:color="auto"/>
                    <w:left w:val="single" w:sz="6" w:space="0" w:color="auto"/>
                    <w:bottom w:val="single" w:sz="6" w:space="0" w:color="auto"/>
                    <w:right w:val="single" w:sz="6" w:space="0" w:color="auto"/>
                  </w:divBdr>
                  <w:divsChild>
                    <w:div w:id="11119733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53464458">
          <w:marLeft w:val="0"/>
          <w:marRight w:val="0"/>
          <w:marTop w:val="0"/>
          <w:marBottom w:val="0"/>
          <w:divBdr>
            <w:top w:val="none" w:sz="0" w:space="0" w:color="auto"/>
            <w:left w:val="none" w:sz="0" w:space="0" w:color="auto"/>
            <w:bottom w:val="none" w:sz="0" w:space="0" w:color="auto"/>
            <w:right w:val="none" w:sz="0" w:space="0" w:color="auto"/>
          </w:divBdr>
          <w:divsChild>
            <w:div w:id="4965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7670">
      <w:bodyDiv w:val="1"/>
      <w:marLeft w:val="0"/>
      <w:marRight w:val="0"/>
      <w:marTop w:val="0"/>
      <w:marBottom w:val="0"/>
      <w:divBdr>
        <w:top w:val="none" w:sz="0" w:space="0" w:color="auto"/>
        <w:left w:val="none" w:sz="0" w:space="0" w:color="auto"/>
        <w:bottom w:val="none" w:sz="0" w:space="0" w:color="auto"/>
        <w:right w:val="none" w:sz="0" w:space="0" w:color="auto"/>
      </w:divBdr>
    </w:div>
    <w:div w:id="1860394023">
      <w:bodyDiv w:val="1"/>
      <w:marLeft w:val="0"/>
      <w:marRight w:val="0"/>
      <w:marTop w:val="0"/>
      <w:marBottom w:val="0"/>
      <w:divBdr>
        <w:top w:val="none" w:sz="0" w:space="0" w:color="auto"/>
        <w:left w:val="none" w:sz="0" w:space="0" w:color="auto"/>
        <w:bottom w:val="none" w:sz="0" w:space="0" w:color="auto"/>
        <w:right w:val="none" w:sz="0" w:space="0" w:color="auto"/>
      </w:divBdr>
    </w:div>
    <w:div w:id="1937516740">
      <w:bodyDiv w:val="1"/>
      <w:marLeft w:val="0"/>
      <w:marRight w:val="0"/>
      <w:marTop w:val="0"/>
      <w:marBottom w:val="0"/>
      <w:divBdr>
        <w:top w:val="none" w:sz="0" w:space="0" w:color="auto"/>
        <w:left w:val="none" w:sz="0" w:space="0" w:color="auto"/>
        <w:bottom w:val="none" w:sz="0" w:space="0" w:color="auto"/>
        <w:right w:val="none" w:sz="0" w:space="0" w:color="auto"/>
      </w:divBdr>
    </w:div>
    <w:div w:id="1967813631">
      <w:bodyDiv w:val="1"/>
      <w:marLeft w:val="0"/>
      <w:marRight w:val="0"/>
      <w:marTop w:val="0"/>
      <w:marBottom w:val="0"/>
      <w:divBdr>
        <w:top w:val="none" w:sz="0" w:space="0" w:color="auto"/>
        <w:left w:val="none" w:sz="0" w:space="0" w:color="auto"/>
        <w:bottom w:val="none" w:sz="0" w:space="0" w:color="auto"/>
        <w:right w:val="none" w:sz="0" w:space="0" w:color="auto"/>
      </w:divBdr>
    </w:div>
    <w:div w:id="1976832449">
      <w:bodyDiv w:val="1"/>
      <w:marLeft w:val="0"/>
      <w:marRight w:val="0"/>
      <w:marTop w:val="0"/>
      <w:marBottom w:val="0"/>
      <w:divBdr>
        <w:top w:val="none" w:sz="0" w:space="0" w:color="auto"/>
        <w:left w:val="none" w:sz="0" w:space="0" w:color="auto"/>
        <w:bottom w:val="none" w:sz="0" w:space="0" w:color="auto"/>
        <w:right w:val="none" w:sz="0" w:space="0" w:color="auto"/>
      </w:divBdr>
      <w:divsChild>
        <w:div w:id="1321732260">
          <w:marLeft w:val="0"/>
          <w:marRight w:val="0"/>
          <w:marTop w:val="0"/>
          <w:marBottom w:val="0"/>
          <w:divBdr>
            <w:top w:val="none" w:sz="0" w:space="0" w:color="auto"/>
            <w:left w:val="none" w:sz="0" w:space="0" w:color="auto"/>
            <w:bottom w:val="none" w:sz="0" w:space="0" w:color="auto"/>
            <w:right w:val="none" w:sz="0" w:space="0" w:color="auto"/>
          </w:divBdr>
          <w:divsChild>
            <w:div w:id="458456568">
              <w:marLeft w:val="0"/>
              <w:marRight w:val="0"/>
              <w:marTop w:val="0"/>
              <w:marBottom w:val="0"/>
              <w:divBdr>
                <w:top w:val="none" w:sz="0" w:space="0" w:color="auto"/>
                <w:left w:val="none" w:sz="0" w:space="0" w:color="auto"/>
                <w:bottom w:val="none" w:sz="0" w:space="0" w:color="auto"/>
                <w:right w:val="none" w:sz="0" w:space="0" w:color="auto"/>
              </w:divBdr>
              <w:divsChild>
                <w:div w:id="485512836">
                  <w:marLeft w:val="0"/>
                  <w:marRight w:val="0"/>
                  <w:marTop w:val="0"/>
                  <w:marBottom w:val="0"/>
                  <w:divBdr>
                    <w:top w:val="single" w:sz="6" w:space="0" w:color="auto"/>
                    <w:left w:val="single" w:sz="6" w:space="0" w:color="auto"/>
                    <w:bottom w:val="single" w:sz="6" w:space="0" w:color="auto"/>
                    <w:right w:val="single" w:sz="6" w:space="0" w:color="auto"/>
                  </w:divBdr>
                  <w:divsChild>
                    <w:div w:id="11612398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30187883">
          <w:marLeft w:val="0"/>
          <w:marRight w:val="0"/>
          <w:marTop w:val="0"/>
          <w:marBottom w:val="0"/>
          <w:divBdr>
            <w:top w:val="none" w:sz="0" w:space="0" w:color="auto"/>
            <w:left w:val="none" w:sz="0" w:space="0" w:color="auto"/>
            <w:bottom w:val="none" w:sz="0" w:space="0" w:color="auto"/>
            <w:right w:val="none" w:sz="0" w:space="0" w:color="auto"/>
          </w:divBdr>
          <w:divsChild>
            <w:div w:id="775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19927">
      <w:bodyDiv w:val="1"/>
      <w:marLeft w:val="0"/>
      <w:marRight w:val="0"/>
      <w:marTop w:val="0"/>
      <w:marBottom w:val="0"/>
      <w:divBdr>
        <w:top w:val="none" w:sz="0" w:space="0" w:color="auto"/>
        <w:left w:val="none" w:sz="0" w:space="0" w:color="auto"/>
        <w:bottom w:val="none" w:sz="0" w:space="0" w:color="auto"/>
        <w:right w:val="none" w:sz="0" w:space="0" w:color="auto"/>
      </w:divBdr>
    </w:div>
    <w:div w:id="2046176412">
      <w:bodyDiv w:val="1"/>
      <w:marLeft w:val="0"/>
      <w:marRight w:val="0"/>
      <w:marTop w:val="0"/>
      <w:marBottom w:val="0"/>
      <w:divBdr>
        <w:top w:val="none" w:sz="0" w:space="0" w:color="auto"/>
        <w:left w:val="none" w:sz="0" w:space="0" w:color="auto"/>
        <w:bottom w:val="none" w:sz="0" w:space="0" w:color="auto"/>
        <w:right w:val="none" w:sz="0" w:space="0" w:color="auto"/>
      </w:divBdr>
      <w:divsChild>
        <w:div w:id="49037353">
          <w:marLeft w:val="0"/>
          <w:marRight w:val="0"/>
          <w:marTop w:val="150"/>
          <w:marBottom w:val="270"/>
          <w:divBdr>
            <w:top w:val="none" w:sz="0" w:space="0" w:color="auto"/>
            <w:left w:val="none" w:sz="0" w:space="0" w:color="auto"/>
            <w:bottom w:val="none" w:sz="0" w:space="0" w:color="auto"/>
            <w:right w:val="none" w:sz="0" w:space="0" w:color="auto"/>
          </w:divBdr>
          <w:divsChild>
            <w:div w:id="365911250">
              <w:marLeft w:val="0"/>
              <w:marRight w:val="0"/>
              <w:marTop w:val="0"/>
              <w:marBottom w:val="0"/>
              <w:divBdr>
                <w:top w:val="none" w:sz="0" w:space="0" w:color="auto"/>
                <w:left w:val="none" w:sz="0" w:space="0" w:color="auto"/>
                <w:bottom w:val="none" w:sz="0" w:space="0" w:color="auto"/>
                <w:right w:val="none" w:sz="0" w:space="0" w:color="auto"/>
              </w:divBdr>
            </w:div>
            <w:div w:id="2071802860">
              <w:marLeft w:val="0"/>
              <w:marRight w:val="0"/>
              <w:marTop w:val="0"/>
              <w:marBottom w:val="0"/>
              <w:divBdr>
                <w:top w:val="none" w:sz="0" w:space="0" w:color="auto"/>
                <w:left w:val="none" w:sz="0" w:space="0" w:color="auto"/>
                <w:bottom w:val="none" w:sz="0" w:space="0" w:color="auto"/>
                <w:right w:val="none" w:sz="0" w:space="0" w:color="auto"/>
              </w:divBdr>
            </w:div>
            <w:div w:id="1808476635">
              <w:marLeft w:val="0"/>
              <w:marRight w:val="0"/>
              <w:marTop w:val="0"/>
              <w:marBottom w:val="0"/>
              <w:divBdr>
                <w:top w:val="none" w:sz="0" w:space="0" w:color="auto"/>
                <w:left w:val="none" w:sz="0" w:space="0" w:color="auto"/>
                <w:bottom w:val="none" w:sz="0" w:space="0" w:color="auto"/>
                <w:right w:val="none" w:sz="0" w:space="0" w:color="auto"/>
              </w:divBdr>
            </w:div>
            <w:div w:id="1333680318">
              <w:marLeft w:val="0"/>
              <w:marRight w:val="0"/>
              <w:marTop w:val="0"/>
              <w:marBottom w:val="0"/>
              <w:divBdr>
                <w:top w:val="none" w:sz="0" w:space="0" w:color="auto"/>
                <w:left w:val="none" w:sz="0" w:space="0" w:color="auto"/>
                <w:bottom w:val="none" w:sz="0" w:space="0" w:color="auto"/>
                <w:right w:val="none" w:sz="0" w:space="0" w:color="auto"/>
              </w:divBdr>
            </w:div>
          </w:divsChild>
        </w:div>
        <w:div w:id="1315523966">
          <w:marLeft w:val="0"/>
          <w:marRight w:val="0"/>
          <w:marTop w:val="150"/>
          <w:marBottom w:val="270"/>
          <w:divBdr>
            <w:top w:val="none" w:sz="0" w:space="0" w:color="auto"/>
            <w:left w:val="none" w:sz="0" w:space="0" w:color="auto"/>
            <w:bottom w:val="none" w:sz="0" w:space="0" w:color="auto"/>
            <w:right w:val="none" w:sz="0" w:space="0" w:color="auto"/>
          </w:divBdr>
          <w:divsChild>
            <w:div w:id="171646161">
              <w:marLeft w:val="0"/>
              <w:marRight w:val="0"/>
              <w:marTop w:val="0"/>
              <w:marBottom w:val="0"/>
              <w:divBdr>
                <w:top w:val="none" w:sz="0" w:space="0" w:color="auto"/>
                <w:left w:val="none" w:sz="0" w:space="0" w:color="auto"/>
                <w:bottom w:val="none" w:sz="0" w:space="0" w:color="auto"/>
                <w:right w:val="none" w:sz="0" w:space="0" w:color="auto"/>
              </w:divBdr>
            </w:div>
            <w:div w:id="2788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ushes@sgul.ac.uk" TargetMode="External"/><Relationship Id="rId13" Type="http://schemas.openxmlformats.org/officeDocument/2006/relationships/hyperlink" Target="mailto:jwestaby@sgul.ac.uk" TargetMode="External"/><Relationship Id="rId18" Type="http://schemas.openxmlformats.org/officeDocument/2006/relationships/hyperlink" Target="https://stats.idre.ucla.edu/stata/faq/how-can-i-perform-a-factor-analysis-with-categorical-or-categorical-and-continuous-variab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sheppar@sgul.ac.uk" TargetMode="External"/><Relationship Id="rId17" Type="http://schemas.openxmlformats.org/officeDocument/2006/relationships/hyperlink" Target="http://www.rummlab.com.au/" TargetMode="External"/><Relationship Id="rId2" Type="http://schemas.openxmlformats.org/officeDocument/2006/relationships/numbering" Target="numbering.xml"/><Relationship Id="rId16" Type="http://schemas.openxmlformats.org/officeDocument/2006/relationships/hyperlink" Target="mailto:nsofat@sgu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Walsh@nottingham.ac.uk" TargetMode="External"/><Relationship Id="rId5" Type="http://schemas.openxmlformats.org/officeDocument/2006/relationships/webSettings" Target="webSettings.xml"/><Relationship Id="rId15" Type="http://schemas.openxmlformats.org/officeDocument/2006/relationships/hyperlink" Target="mailto:howefa@sgul.ac.uk" TargetMode="External"/><Relationship Id="rId10" Type="http://schemas.openxmlformats.org/officeDocument/2006/relationships/hyperlink" Target="mailto:Dan.McWilliams@nottingham.ac.uk" TargetMode="External"/><Relationship Id="rId19" Type="http://schemas.openxmlformats.org/officeDocument/2006/relationships/hyperlink" Target="https://doi.org/10.1186/ar3209" TargetMode="External"/><Relationship Id="rId4" Type="http://schemas.openxmlformats.org/officeDocument/2006/relationships/settings" Target="settings.xml"/><Relationship Id="rId9" Type="http://schemas.openxmlformats.org/officeDocument/2006/relationships/hyperlink" Target="mailto:Seyed.Shahtaheri@nottingham.ac.uk" TargetMode="External"/><Relationship Id="rId14" Type="http://schemas.openxmlformats.org/officeDocument/2006/relationships/hyperlink" Target="mailto:Sayyed.Haybatollahi@nottingham.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D493-70ED-47F4-B5A8-3D37079E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6915</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Nidhi Sofat</dc:creator>
  <cp:lastModifiedBy>Nidhi Sofat</cp:lastModifiedBy>
  <cp:revision>2</cp:revision>
  <cp:lastPrinted>2021-11-23T13:35:00Z</cp:lastPrinted>
  <dcterms:created xsi:type="dcterms:W3CDTF">2022-01-31T11:12:00Z</dcterms:created>
  <dcterms:modified xsi:type="dcterms:W3CDTF">2022-01-31T11:12:00Z</dcterms:modified>
</cp:coreProperties>
</file>