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4D85B" w14:textId="662C4441" w:rsidR="000B3A8D" w:rsidRDefault="00436D18" w:rsidP="000B3A8D">
      <w:pPr>
        <w:pStyle w:val="p1"/>
        <w:jc w:val="center"/>
        <w:rPr>
          <w:rFonts w:ascii="Times New Roman" w:hAnsi="Times New Roman"/>
          <w:b/>
          <w:color w:val="000000" w:themeColor="text1"/>
          <w:sz w:val="35"/>
          <w:szCs w:val="35"/>
          <w:lang w:val="en-US"/>
        </w:rPr>
      </w:pPr>
      <w:r w:rsidRPr="00436D18">
        <w:rPr>
          <w:rFonts w:ascii="Times New Roman" w:hAnsi="Times New Roman"/>
          <w:b/>
          <w:color w:val="000000" w:themeColor="text1"/>
          <w:sz w:val="35"/>
          <w:szCs w:val="35"/>
          <w:lang w:val="en-US"/>
        </w:rPr>
        <w:t xml:space="preserve">  Oral Anticoagulation in patients with non-valvular atrial fibrillation and a CHA2DS2-VASc score of 1</w:t>
      </w:r>
    </w:p>
    <w:p w14:paraId="4B43703E" w14:textId="77777777" w:rsidR="00436D18" w:rsidRPr="00086A0A" w:rsidRDefault="00436D18" w:rsidP="000B3A8D">
      <w:pPr>
        <w:pStyle w:val="p1"/>
        <w:jc w:val="center"/>
        <w:rPr>
          <w:rFonts w:ascii="Times New Roman" w:hAnsi="Times New Roman"/>
          <w:b/>
          <w:color w:val="000000" w:themeColor="text1"/>
          <w:sz w:val="36"/>
          <w:szCs w:val="36"/>
          <w:lang w:val="en-US"/>
        </w:rPr>
      </w:pPr>
    </w:p>
    <w:p w14:paraId="0D4C394A" w14:textId="77777777" w:rsidR="00436D18" w:rsidRPr="00035A72" w:rsidRDefault="00436D18" w:rsidP="00436D18">
      <w:pPr>
        <w:jc w:val="center"/>
        <w:rPr>
          <w:color w:val="000000" w:themeColor="text1"/>
          <w:lang w:val="en-US"/>
        </w:rPr>
      </w:pPr>
      <w:r w:rsidRPr="00035A72">
        <w:rPr>
          <w:color w:val="000000" w:themeColor="text1"/>
          <w:lang w:val="en-US"/>
        </w:rPr>
        <w:t>Patrick Sulzgruber</w:t>
      </w:r>
      <w:r w:rsidRPr="00035A72">
        <w:rPr>
          <w:color w:val="000000" w:themeColor="text1"/>
          <w:vertAlign w:val="superscript"/>
          <w:lang w:val="en-US"/>
        </w:rPr>
        <w:t>1</w:t>
      </w:r>
      <w:r w:rsidRPr="00035A72">
        <w:rPr>
          <w:color w:val="000000" w:themeColor="text1"/>
          <w:lang w:val="en-US"/>
        </w:rPr>
        <w:t xml:space="preserve">, Sven </w:t>
      </w:r>
      <w:proofErr w:type="spellStart"/>
      <w:r w:rsidRPr="00035A72">
        <w:rPr>
          <w:color w:val="000000" w:themeColor="text1"/>
          <w:lang w:val="en-US"/>
        </w:rPr>
        <w:t>Wassmann</w:t>
      </w:r>
      <w:proofErr w:type="spellEnd"/>
      <w:r w:rsidRPr="00035A72">
        <w:rPr>
          <w:color w:val="000000" w:themeColor="text1"/>
          <w:vertAlign w:val="superscript"/>
          <w:lang w:val="en-US"/>
        </w:rPr>
        <w:t xml:space="preserve"> 2</w:t>
      </w:r>
      <w:r w:rsidRPr="00035A72">
        <w:rPr>
          <w:color w:val="000000" w:themeColor="text1"/>
          <w:lang w:val="en-US"/>
        </w:rPr>
        <w:t xml:space="preserve">, Anne Grete </w:t>
      </w:r>
      <w:proofErr w:type="spellStart"/>
      <w:r w:rsidRPr="00035A72">
        <w:rPr>
          <w:color w:val="000000" w:themeColor="text1"/>
          <w:lang w:val="en-US"/>
        </w:rPr>
        <w:t>Semb</w:t>
      </w:r>
      <w:proofErr w:type="spellEnd"/>
      <w:r w:rsidRPr="00035A72">
        <w:rPr>
          <w:color w:val="000000" w:themeColor="text1"/>
          <w:vertAlign w:val="superscript"/>
          <w:lang w:val="en-US"/>
        </w:rPr>
        <w:t xml:space="preserve"> 3</w:t>
      </w:r>
      <w:r w:rsidRPr="00035A72">
        <w:rPr>
          <w:color w:val="000000" w:themeColor="text1"/>
          <w:lang w:val="en-US"/>
        </w:rPr>
        <w:t xml:space="preserve">, Wolfram </w:t>
      </w:r>
      <w:proofErr w:type="spellStart"/>
      <w:r w:rsidRPr="00035A72">
        <w:rPr>
          <w:color w:val="000000" w:themeColor="text1"/>
          <w:lang w:val="en-US"/>
        </w:rPr>
        <w:t>Doehner</w:t>
      </w:r>
      <w:proofErr w:type="spellEnd"/>
      <w:r w:rsidRPr="00035A72">
        <w:rPr>
          <w:color w:val="000000" w:themeColor="text1"/>
          <w:vertAlign w:val="superscript"/>
          <w:lang w:val="en-US"/>
        </w:rPr>
        <w:t xml:space="preserve"> 4,5</w:t>
      </w:r>
      <w:r w:rsidRPr="00035A72">
        <w:rPr>
          <w:color w:val="000000" w:themeColor="text1"/>
          <w:lang w:val="en-US"/>
        </w:rPr>
        <w:t>, Petr Widimsky</w:t>
      </w:r>
      <w:r w:rsidRPr="00035A72">
        <w:rPr>
          <w:color w:val="000000" w:themeColor="text1"/>
          <w:vertAlign w:val="superscript"/>
          <w:lang w:val="en-US"/>
        </w:rPr>
        <w:t>6</w:t>
      </w:r>
      <w:r w:rsidRPr="00035A72">
        <w:rPr>
          <w:color w:val="000000" w:themeColor="text1"/>
          <w:lang w:val="en-US"/>
        </w:rPr>
        <w:t>, Thomas Gremmel</w:t>
      </w:r>
      <w:r w:rsidRPr="00035A72">
        <w:rPr>
          <w:color w:val="000000" w:themeColor="text1"/>
          <w:vertAlign w:val="superscript"/>
          <w:lang w:val="en-US"/>
        </w:rPr>
        <w:t>1,7</w:t>
      </w:r>
      <w:r w:rsidRPr="00035A72">
        <w:rPr>
          <w:color w:val="000000" w:themeColor="text1"/>
          <w:lang w:val="en-US"/>
        </w:rPr>
        <w:t xml:space="preserve">, Juan Carlos </w:t>
      </w:r>
      <w:proofErr w:type="spellStart"/>
      <w:r w:rsidRPr="00035A72">
        <w:rPr>
          <w:color w:val="000000" w:themeColor="text1"/>
          <w:lang w:val="en-US"/>
        </w:rPr>
        <w:t>Kaski</w:t>
      </w:r>
      <w:proofErr w:type="spellEnd"/>
      <w:r w:rsidRPr="00035A72">
        <w:rPr>
          <w:color w:val="000000" w:themeColor="text1"/>
          <w:vertAlign w:val="superscript"/>
          <w:lang w:val="en-US"/>
        </w:rPr>
        <w:t xml:space="preserve"> 8</w:t>
      </w:r>
      <w:r w:rsidRPr="00035A72">
        <w:rPr>
          <w:color w:val="000000" w:themeColor="text1"/>
          <w:lang w:val="en-US"/>
        </w:rPr>
        <w:t>, Gianluigi Savarese</w:t>
      </w:r>
      <w:r w:rsidRPr="00035A72">
        <w:rPr>
          <w:color w:val="000000" w:themeColor="text1"/>
          <w:vertAlign w:val="superscript"/>
          <w:lang w:val="en-US"/>
        </w:rPr>
        <w:t xml:space="preserve"> 9</w:t>
      </w:r>
      <w:r w:rsidRPr="00035A72">
        <w:rPr>
          <w:color w:val="000000" w:themeColor="text1"/>
          <w:lang w:val="en-US"/>
        </w:rPr>
        <w:t xml:space="preserve">, Giuseppe M.C. </w:t>
      </w:r>
      <w:proofErr w:type="spellStart"/>
      <w:r w:rsidRPr="00035A72">
        <w:rPr>
          <w:color w:val="000000" w:themeColor="text1"/>
          <w:lang w:val="en-US"/>
        </w:rPr>
        <w:t>Rosano</w:t>
      </w:r>
      <w:proofErr w:type="spellEnd"/>
      <w:r w:rsidRPr="00035A72">
        <w:rPr>
          <w:color w:val="000000" w:themeColor="text1"/>
          <w:vertAlign w:val="superscript"/>
          <w:lang w:val="en-US"/>
        </w:rPr>
        <w:t xml:space="preserve"> 10, 11</w:t>
      </w:r>
      <w:r w:rsidRPr="00035A72">
        <w:rPr>
          <w:color w:val="000000" w:themeColor="text1"/>
          <w:lang w:val="en-US"/>
        </w:rPr>
        <w:t xml:space="preserve">, Claudio </w:t>
      </w:r>
      <w:proofErr w:type="spellStart"/>
      <w:r w:rsidRPr="00035A72">
        <w:rPr>
          <w:color w:val="000000" w:themeColor="text1"/>
          <w:lang w:val="en-US"/>
        </w:rPr>
        <w:t>Borghi</w:t>
      </w:r>
      <w:proofErr w:type="spellEnd"/>
      <w:r w:rsidRPr="00035A72">
        <w:rPr>
          <w:color w:val="000000" w:themeColor="text1"/>
          <w:vertAlign w:val="superscript"/>
          <w:lang w:val="en-US"/>
        </w:rPr>
        <w:t xml:space="preserve"> 12</w:t>
      </w:r>
      <w:r w:rsidRPr="00035A72">
        <w:rPr>
          <w:color w:val="000000" w:themeColor="text1"/>
          <w:lang w:val="en-US"/>
        </w:rPr>
        <w:t>, Keld Kjeldsen</w:t>
      </w:r>
      <w:r w:rsidRPr="00035A72">
        <w:rPr>
          <w:color w:val="000000" w:themeColor="text1"/>
          <w:vertAlign w:val="superscript"/>
          <w:lang w:val="en-US"/>
        </w:rPr>
        <w:t xml:space="preserve"> 13, 14</w:t>
      </w:r>
      <w:r w:rsidRPr="00035A72">
        <w:rPr>
          <w:color w:val="000000" w:themeColor="text1"/>
          <w:lang w:val="en-US"/>
        </w:rPr>
        <w:t>, Christian Torp-Pedersen</w:t>
      </w:r>
      <w:r w:rsidRPr="00035A72">
        <w:rPr>
          <w:color w:val="000000" w:themeColor="text1"/>
          <w:vertAlign w:val="superscript"/>
          <w:lang w:val="en-US"/>
        </w:rPr>
        <w:t>15, 16</w:t>
      </w:r>
      <w:r w:rsidRPr="00035A72">
        <w:rPr>
          <w:color w:val="000000" w:themeColor="text1"/>
          <w:lang w:val="en-US"/>
        </w:rPr>
        <w:t>, Thomas Andersen Schmidt</w:t>
      </w:r>
      <w:r w:rsidRPr="00035A72">
        <w:rPr>
          <w:color w:val="000000" w:themeColor="text1"/>
          <w:vertAlign w:val="superscript"/>
          <w:lang w:val="en-US"/>
        </w:rPr>
        <w:t xml:space="preserve"> 17</w:t>
      </w:r>
      <w:r w:rsidRPr="00035A72">
        <w:rPr>
          <w:color w:val="000000" w:themeColor="text1"/>
          <w:lang w:val="en-US"/>
        </w:rPr>
        <w:t>, Basil S. Lewis</w:t>
      </w:r>
      <w:r w:rsidRPr="00035A72">
        <w:rPr>
          <w:color w:val="000000" w:themeColor="text1"/>
          <w:vertAlign w:val="superscript"/>
          <w:lang w:val="en-US"/>
        </w:rPr>
        <w:t xml:space="preserve"> 18, 19</w:t>
      </w:r>
      <w:r w:rsidRPr="00035A72">
        <w:rPr>
          <w:color w:val="000000" w:themeColor="text1"/>
          <w:lang w:val="en-US"/>
        </w:rPr>
        <w:t>, Heinz Drexel</w:t>
      </w:r>
      <w:r w:rsidRPr="00035A72">
        <w:rPr>
          <w:color w:val="000000" w:themeColor="text1"/>
          <w:vertAlign w:val="superscript"/>
          <w:lang w:val="en-US"/>
        </w:rPr>
        <w:t xml:space="preserve"> 20, 21</w:t>
      </w:r>
      <w:r w:rsidRPr="00035A72">
        <w:rPr>
          <w:color w:val="000000" w:themeColor="text1"/>
          <w:lang w:val="en-US"/>
        </w:rPr>
        <w:t>, Juan Tamargo</w:t>
      </w:r>
      <w:r w:rsidRPr="00035A72">
        <w:rPr>
          <w:color w:val="000000" w:themeColor="text1"/>
          <w:vertAlign w:val="superscript"/>
          <w:lang w:val="en-US"/>
        </w:rPr>
        <w:t>22</w:t>
      </w:r>
      <w:r w:rsidRPr="00035A72">
        <w:rPr>
          <w:color w:val="000000" w:themeColor="text1"/>
          <w:lang w:val="en-US"/>
        </w:rPr>
        <w:t xml:space="preserve">, Dan </w:t>
      </w:r>
      <w:proofErr w:type="spellStart"/>
      <w:r w:rsidRPr="00035A72">
        <w:rPr>
          <w:color w:val="000000" w:themeColor="text1"/>
          <w:lang w:val="en-US"/>
        </w:rPr>
        <w:t>Atar</w:t>
      </w:r>
      <w:proofErr w:type="spellEnd"/>
      <w:r w:rsidRPr="00035A72">
        <w:rPr>
          <w:color w:val="000000" w:themeColor="text1"/>
          <w:vertAlign w:val="superscript"/>
          <w:lang w:val="en-US"/>
        </w:rPr>
        <w:t xml:space="preserve"> 23</w:t>
      </w:r>
      <w:r w:rsidRPr="00035A72">
        <w:rPr>
          <w:color w:val="000000" w:themeColor="text1"/>
          <w:lang w:val="en-US"/>
        </w:rPr>
        <w:t xml:space="preserve">, Stefan </w:t>
      </w:r>
      <w:proofErr w:type="spellStart"/>
      <w:r w:rsidRPr="00035A72">
        <w:rPr>
          <w:color w:val="000000" w:themeColor="text1"/>
          <w:lang w:val="en-US"/>
        </w:rPr>
        <w:t>Agewall</w:t>
      </w:r>
      <w:proofErr w:type="spellEnd"/>
      <w:r w:rsidRPr="00035A72">
        <w:rPr>
          <w:color w:val="000000" w:themeColor="text1"/>
          <w:vertAlign w:val="superscript"/>
          <w:lang w:val="en-US"/>
        </w:rPr>
        <w:t xml:space="preserve"> 23</w:t>
      </w:r>
      <w:r w:rsidRPr="00035A72">
        <w:rPr>
          <w:color w:val="000000" w:themeColor="text1"/>
          <w:lang w:val="en-US"/>
        </w:rPr>
        <w:t>, Alexander Niessner</w:t>
      </w:r>
      <w:r w:rsidRPr="00035A72">
        <w:rPr>
          <w:color w:val="000000" w:themeColor="text1"/>
          <w:vertAlign w:val="superscript"/>
          <w:lang w:val="en-US"/>
        </w:rPr>
        <w:t>1</w:t>
      </w:r>
    </w:p>
    <w:p w14:paraId="403E759F" w14:textId="77777777" w:rsidR="00436D18" w:rsidRPr="00035A72" w:rsidRDefault="00436D18" w:rsidP="00436D18">
      <w:pPr>
        <w:widowControl w:val="0"/>
        <w:autoSpaceDE w:val="0"/>
        <w:autoSpaceDN w:val="0"/>
        <w:adjustRightInd w:val="0"/>
        <w:spacing w:line="480" w:lineRule="auto"/>
        <w:rPr>
          <w:b/>
          <w:color w:val="000000" w:themeColor="text1"/>
          <w:sz w:val="8"/>
          <w:szCs w:val="8"/>
          <w:lang w:val="en-US"/>
        </w:rPr>
      </w:pPr>
    </w:p>
    <w:p w14:paraId="373325E7" w14:textId="77777777" w:rsidR="00436D18" w:rsidRPr="00035A72" w:rsidRDefault="00436D18" w:rsidP="00436D18">
      <w:pPr>
        <w:widowControl w:val="0"/>
        <w:autoSpaceDE w:val="0"/>
        <w:autoSpaceDN w:val="0"/>
        <w:adjustRightInd w:val="0"/>
        <w:spacing w:line="360" w:lineRule="auto"/>
        <w:rPr>
          <w:color w:val="000000" w:themeColor="text1"/>
          <w:lang w:val="en-US"/>
        </w:rPr>
      </w:pPr>
      <w:r w:rsidRPr="00035A72">
        <w:rPr>
          <w:b/>
          <w:color w:val="000000" w:themeColor="text1"/>
          <w:lang w:val="en-US"/>
        </w:rPr>
        <w:t>Affiliations:</w:t>
      </w:r>
      <w:r w:rsidRPr="00035A72">
        <w:rPr>
          <w:color w:val="000000" w:themeColor="text1"/>
          <w:lang w:val="en-US"/>
        </w:rPr>
        <w:t xml:space="preserve"> </w:t>
      </w:r>
    </w:p>
    <w:p w14:paraId="4041CE9B" w14:textId="77777777" w:rsidR="00436D18" w:rsidRPr="00035A72" w:rsidRDefault="00436D18" w:rsidP="00436D18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>Division of Cardiology, Department of Internal Medicine II, Medical University of Vienna, Austria</w:t>
      </w:r>
    </w:p>
    <w:p w14:paraId="379FF949" w14:textId="77777777" w:rsidR="00436D18" w:rsidRPr="00035A72" w:rsidRDefault="00436D18" w:rsidP="00436D18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 xml:space="preserve">Cardiology </w:t>
      </w:r>
      <w:proofErr w:type="spellStart"/>
      <w:r w:rsidRPr="00035A72">
        <w:rPr>
          <w:color w:val="000000" w:themeColor="text1"/>
          <w:sz w:val="18"/>
          <w:szCs w:val="18"/>
          <w:lang w:val="en-US"/>
        </w:rPr>
        <w:t>Pasing</w:t>
      </w:r>
      <w:proofErr w:type="spellEnd"/>
      <w:r w:rsidRPr="00035A72">
        <w:rPr>
          <w:color w:val="000000" w:themeColor="text1"/>
          <w:sz w:val="18"/>
          <w:szCs w:val="18"/>
          <w:lang w:val="en-US"/>
        </w:rPr>
        <w:t>, Munich, Germany; and University of the Saarland, Homburg/Saar, Germany</w:t>
      </w:r>
    </w:p>
    <w:p w14:paraId="0F2B2B5B" w14:textId="77777777" w:rsidR="00436D18" w:rsidRPr="00035A72" w:rsidRDefault="00436D18" w:rsidP="00436D18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>Preventive Cardio-</w:t>
      </w:r>
      <w:proofErr w:type="spellStart"/>
      <w:r w:rsidRPr="00035A72">
        <w:rPr>
          <w:color w:val="000000" w:themeColor="text1"/>
          <w:sz w:val="18"/>
          <w:szCs w:val="18"/>
          <w:lang w:val="en-US"/>
        </w:rPr>
        <w:t>Rheuma</w:t>
      </w:r>
      <w:proofErr w:type="spellEnd"/>
      <w:r w:rsidRPr="00035A72">
        <w:rPr>
          <w:color w:val="000000" w:themeColor="text1"/>
          <w:sz w:val="18"/>
          <w:szCs w:val="18"/>
          <w:lang w:val="en-US"/>
        </w:rPr>
        <w:t xml:space="preserve"> Clinic, Department of Rheumatology, </w:t>
      </w:r>
      <w:proofErr w:type="spellStart"/>
      <w:r w:rsidRPr="00035A72">
        <w:rPr>
          <w:color w:val="000000" w:themeColor="text1"/>
          <w:sz w:val="18"/>
          <w:szCs w:val="18"/>
          <w:lang w:val="en-US"/>
        </w:rPr>
        <w:t>Diakonhjemmet</w:t>
      </w:r>
      <w:proofErr w:type="spellEnd"/>
      <w:r w:rsidRPr="00035A72">
        <w:rPr>
          <w:color w:val="000000" w:themeColor="text1"/>
          <w:sz w:val="18"/>
          <w:szCs w:val="18"/>
          <w:lang w:val="en-US"/>
        </w:rPr>
        <w:t xml:space="preserve"> Hospital, Oslo, Norway</w:t>
      </w:r>
    </w:p>
    <w:p w14:paraId="062B00A1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 xml:space="preserve">Department of Cardiology (Virchow </w:t>
      </w:r>
      <w:proofErr w:type="spellStart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>Klinikum</w:t>
      </w:r>
      <w:proofErr w:type="spellEnd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>), German Centre for Cardiovascular Research (DZHK), Berlin</w:t>
      </w:r>
    </w:p>
    <w:p w14:paraId="3AC3C74D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 xml:space="preserve">BIH Center for Regenerative Therapies (BCRT), </w:t>
      </w:r>
      <w:proofErr w:type="spellStart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>Charité</w:t>
      </w:r>
      <w:proofErr w:type="spellEnd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>Universitätsmedizin</w:t>
      </w:r>
      <w:proofErr w:type="spellEnd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 xml:space="preserve"> Berlin, Germany</w:t>
      </w:r>
    </w:p>
    <w:p w14:paraId="03C1B243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rPr>
          <w:color w:val="000000" w:themeColor="text1"/>
          <w:sz w:val="18"/>
          <w:szCs w:val="18"/>
          <w:lang w:val="en-US"/>
        </w:rPr>
      </w:pPr>
      <w:proofErr w:type="spellStart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>Cardiocenter</w:t>
      </w:r>
      <w:proofErr w:type="spellEnd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>, Third Faculty of Medicine, Charles University, Prague, Czech Republic</w:t>
      </w:r>
    </w:p>
    <w:p w14:paraId="38E06D49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shd w:val="clear" w:color="auto" w:fill="FFFFFF"/>
        </w:rPr>
        <w:t xml:space="preserve">Department </w:t>
      </w:r>
      <w:proofErr w:type="spellStart"/>
      <w:r w:rsidRPr="00035A72">
        <w:rPr>
          <w:color w:val="000000" w:themeColor="text1"/>
          <w:sz w:val="18"/>
          <w:szCs w:val="18"/>
          <w:shd w:val="clear" w:color="auto" w:fill="FFFFFF"/>
        </w:rPr>
        <w:t>of</w:t>
      </w:r>
      <w:proofErr w:type="spellEnd"/>
      <w:r w:rsidRPr="00035A72">
        <w:rPr>
          <w:color w:val="000000" w:themeColor="text1"/>
          <w:sz w:val="18"/>
          <w:szCs w:val="18"/>
          <w:shd w:val="clear" w:color="auto" w:fill="FFFFFF"/>
        </w:rPr>
        <w:t xml:space="preserve"> Internal </w:t>
      </w:r>
      <w:proofErr w:type="spellStart"/>
      <w:r w:rsidRPr="00035A72">
        <w:rPr>
          <w:color w:val="000000" w:themeColor="text1"/>
          <w:sz w:val="18"/>
          <w:szCs w:val="18"/>
          <w:shd w:val="clear" w:color="auto" w:fill="FFFFFF"/>
        </w:rPr>
        <w:t>Medicine</w:t>
      </w:r>
      <w:proofErr w:type="spellEnd"/>
      <w:r w:rsidRPr="00035A72">
        <w:rPr>
          <w:color w:val="000000" w:themeColor="text1"/>
          <w:sz w:val="18"/>
          <w:szCs w:val="18"/>
          <w:shd w:val="clear" w:color="auto" w:fill="FFFFFF"/>
        </w:rPr>
        <w:t xml:space="preserve">, </w:t>
      </w:r>
      <w:proofErr w:type="spellStart"/>
      <w:r w:rsidRPr="00035A72">
        <w:rPr>
          <w:color w:val="000000" w:themeColor="text1"/>
          <w:sz w:val="18"/>
          <w:szCs w:val="18"/>
          <w:shd w:val="clear" w:color="auto" w:fill="FFFFFF"/>
        </w:rPr>
        <w:t>Cardiology</w:t>
      </w:r>
      <w:proofErr w:type="spellEnd"/>
      <w:r w:rsidRPr="00035A72">
        <w:rPr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 w:rsidRPr="00035A72">
        <w:rPr>
          <w:color w:val="000000" w:themeColor="text1"/>
          <w:sz w:val="18"/>
          <w:szCs w:val="18"/>
          <w:shd w:val="clear" w:color="auto" w:fill="FFFFFF"/>
        </w:rPr>
        <w:t>and</w:t>
      </w:r>
      <w:proofErr w:type="spellEnd"/>
      <w:r w:rsidRPr="00035A72">
        <w:rPr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 w:rsidRPr="00035A72">
        <w:rPr>
          <w:color w:val="000000" w:themeColor="text1"/>
          <w:sz w:val="18"/>
          <w:szCs w:val="18"/>
          <w:shd w:val="clear" w:color="auto" w:fill="FFFFFF"/>
        </w:rPr>
        <w:t>Nephrology</w:t>
      </w:r>
      <w:proofErr w:type="spellEnd"/>
      <w:r w:rsidRPr="00035A72">
        <w:rPr>
          <w:color w:val="000000" w:themeColor="text1"/>
          <w:sz w:val="18"/>
          <w:szCs w:val="18"/>
          <w:shd w:val="clear" w:color="auto" w:fill="FFFFFF"/>
        </w:rPr>
        <w:t>, Landesklinikum Wiener Neustadt, Wiener Neustadt, Austria</w:t>
      </w:r>
    </w:p>
    <w:p w14:paraId="14CD6529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>Molecular and Clinical Sciences Research Institute, St George's, University of London, London, UK</w:t>
      </w:r>
    </w:p>
    <w:p w14:paraId="26AE8EFE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>Department of Medicine, Cardiology Division, Karolinska Institute, Karolinska University Hospital Solna, Stockholm, Sweden</w:t>
      </w:r>
    </w:p>
    <w:p w14:paraId="11B0697D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>IRCCS San Raffaele Roma, Italy</w:t>
      </w:r>
    </w:p>
    <w:p w14:paraId="37CB9144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>St George’s Hospitals NHS Trust University of London</w:t>
      </w:r>
    </w:p>
    <w:p w14:paraId="1790A1AA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 xml:space="preserve">Atherosclerosis Research Unit, Medical and Surgical Sciences Department, </w:t>
      </w:r>
      <w:proofErr w:type="spellStart"/>
      <w:r w:rsidRPr="00035A72">
        <w:rPr>
          <w:color w:val="000000" w:themeColor="text1"/>
          <w:sz w:val="18"/>
          <w:szCs w:val="18"/>
          <w:lang w:val="en-US"/>
        </w:rPr>
        <w:t>Sant'Orsola</w:t>
      </w:r>
      <w:proofErr w:type="spellEnd"/>
      <w:r w:rsidRPr="00035A72">
        <w:rPr>
          <w:color w:val="000000" w:themeColor="text1"/>
          <w:sz w:val="18"/>
          <w:szCs w:val="18"/>
          <w:lang w:val="en-US"/>
        </w:rPr>
        <w:t>-Malpighi Hospital, University of Bologna, Bologna, Italy</w:t>
      </w:r>
    </w:p>
    <w:p w14:paraId="2296C6EF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>Department of Cardiology, Copenhagen University Hospital (Hvidovre-</w:t>
      </w:r>
      <w:proofErr w:type="spellStart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>Amager</w:t>
      </w:r>
      <w:proofErr w:type="spellEnd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>), Copenhagen, Denmark</w:t>
      </w:r>
    </w:p>
    <w:p w14:paraId="0D5A7FF1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>Department of Health Science and Technology, The Faculty of Medicine, Aalborg University, Aalborg, Denmark</w:t>
      </w:r>
    </w:p>
    <w:p w14:paraId="63EAEE1B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>Department of Health Sciences and Technology, Aalborg University, Aalborg, Denmark.</w:t>
      </w:r>
    </w:p>
    <w:p w14:paraId="46BD6C6E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>Department of Cardiology, Aalborg University Hospital, Aalborg, Denmark.</w:t>
      </w:r>
    </w:p>
    <w:p w14:paraId="6BF5A401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 xml:space="preserve">Emergency Department, </w:t>
      </w:r>
      <w:proofErr w:type="spellStart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>Bispebjerg</w:t>
      </w:r>
      <w:proofErr w:type="spellEnd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 xml:space="preserve"> and Frederiksberg Hospital, University of Copenhagen, Denmark</w:t>
      </w:r>
    </w:p>
    <w:p w14:paraId="49A1B7B8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>Lady Davis Carmel Medical Center, Haifa, Israel</w:t>
      </w:r>
    </w:p>
    <w:p w14:paraId="5C11E356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>Technion-Israel Institute of Technology, Ruth and Bruce Rappaport School of Medicine, Haifa, Israel</w:t>
      </w:r>
    </w:p>
    <w:p w14:paraId="354B3DBF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</w:rPr>
      </w:pPr>
      <w:r w:rsidRPr="00035A72">
        <w:rPr>
          <w:color w:val="000000" w:themeColor="text1"/>
          <w:sz w:val="18"/>
          <w:szCs w:val="18"/>
        </w:rPr>
        <w:t>VIVIT Research, Landeskrankenhaus Feldkirch, Austria</w:t>
      </w:r>
    </w:p>
    <w:p w14:paraId="228CAA9F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>Private University of the Principality of Liechtenstein, Principality of Liechtenstein</w:t>
      </w:r>
    </w:p>
    <w:p w14:paraId="097A4E43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 xml:space="preserve">Department of Pharmacology and Toxicology, School of Medicine, Universidad </w:t>
      </w:r>
      <w:proofErr w:type="spellStart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>Complutense</w:t>
      </w:r>
      <w:proofErr w:type="spellEnd"/>
      <w:r w:rsidRPr="00035A72">
        <w:rPr>
          <w:color w:val="000000" w:themeColor="text1"/>
          <w:sz w:val="18"/>
          <w:szCs w:val="18"/>
          <w:shd w:val="clear" w:color="auto" w:fill="FFFFFF"/>
          <w:lang w:val="en-US"/>
        </w:rPr>
        <w:t>, Madrid, Spain</w:t>
      </w:r>
    </w:p>
    <w:p w14:paraId="3419122B" w14:textId="77777777" w:rsidR="00436D18" w:rsidRPr="00035A72" w:rsidRDefault="00436D18" w:rsidP="00436D18">
      <w:pPr>
        <w:pStyle w:val="Listenabsatz"/>
        <w:numPr>
          <w:ilvl w:val="0"/>
          <w:numId w:val="7"/>
        </w:numPr>
        <w:spacing w:line="360" w:lineRule="auto"/>
        <w:ind w:left="714" w:hanging="357"/>
        <w:rPr>
          <w:color w:val="000000" w:themeColor="text1"/>
          <w:sz w:val="18"/>
          <w:szCs w:val="18"/>
          <w:lang w:val="en-US"/>
        </w:rPr>
      </w:pPr>
      <w:r w:rsidRPr="00035A72">
        <w:rPr>
          <w:color w:val="000000" w:themeColor="text1"/>
          <w:sz w:val="18"/>
          <w:szCs w:val="18"/>
          <w:lang w:val="en-US"/>
        </w:rPr>
        <w:t>Department of Cardiology, Oslo University Hospital and Institute of Clinical Medicine, Oslo University, Oslo, Norway</w:t>
      </w:r>
    </w:p>
    <w:p w14:paraId="162C8565" w14:textId="77777777" w:rsidR="00105ACA" w:rsidRPr="00086A0A" w:rsidRDefault="00105ACA" w:rsidP="00105ACA">
      <w:pPr>
        <w:pStyle w:val="Listenabsatz"/>
        <w:spacing w:line="360" w:lineRule="auto"/>
        <w:ind w:left="714"/>
        <w:rPr>
          <w:color w:val="000000" w:themeColor="text1"/>
          <w:sz w:val="18"/>
          <w:szCs w:val="18"/>
          <w:lang w:val="en-US"/>
        </w:rPr>
      </w:pPr>
    </w:p>
    <w:p w14:paraId="0245B6FE" w14:textId="2E8AE6F1" w:rsidR="000B3A8D" w:rsidRPr="00086A0A" w:rsidRDefault="000B3A8D" w:rsidP="000B3A8D">
      <w:pPr>
        <w:widowControl w:val="0"/>
        <w:autoSpaceDE w:val="0"/>
        <w:autoSpaceDN w:val="0"/>
        <w:adjustRightInd w:val="0"/>
        <w:spacing w:line="480" w:lineRule="auto"/>
        <w:rPr>
          <w:color w:val="000000" w:themeColor="text1"/>
          <w:lang w:val="en-US"/>
        </w:rPr>
      </w:pPr>
      <w:r w:rsidRPr="00086A0A">
        <w:rPr>
          <w:b/>
          <w:color w:val="000000" w:themeColor="text1"/>
          <w:lang w:val="en-US"/>
        </w:rPr>
        <w:t xml:space="preserve">Short title: </w:t>
      </w:r>
      <w:r w:rsidRPr="00086A0A">
        <w:rPr>
          <w:color w:val="000000" w:themeColor="text1"/>
          <w:lang w:val="en-US"/>
        </w:rPr>
        <w:t>Anticoagulation</w:t>
      </w:r>
      <w:r w:rsidR="004D46EF" w:rsidRPr="00086A0A">
        <w:rPr>
          <w:color w:val="000000" w:themeColor="text1"/>
          <w:lang w:val="en-US"/>
        </w:rPr>
        <w:t xml:space="preserve"> </w:t>
      </w:r>
      <w:r w:rsidR="00657B4A" w:rsidRPr="00086A0A">
        <w:rPr>
          <w:color w:val="000000" w:themeColor="text1"/>
          <w:lang w:val="en-US"/>
        </w:rPr>
        <w:t xml:space="preserve">in patients </w:t>
      </w:r>
      <w:r w:rsidR="004D46EF" w:rsidRPr="00086A0A">
        <w:rPr>
          <w:color w:val="000000" w:themeColor="text1"/>
          <w:lang w:val="en-US"/>
        </w:rPr>
        <w:t xml:space="preserve">with </w:t>
      </w:r>
      <w:r w:rsidR="00657B4A" w:rsidRPr="00086A0A">
        <w:rPr>
          <w:color w:val="000000" w:themeColor="text1"/>
          <w:lang w:val="en-US"/>
        </w:rPr>
        <w:t xml:space="preserve">a </w:t>
      </w:r>
      <w:r w:rsidR="004D46EF" w:rsidRPr="00086A0A">
        <w:rPr>
          <w:color w:val="000000" w:themeColor="text1"/>
          <w:lang w:val="en-US"/>
        </w:rPr>
        <w:t>C</w:t>
      </w:r>
      <w:r w:rsidR="007C01D5" w:rsidRPr="00086A0A">
        <w:rPr>
          <w:color w:val="000000" w:themeColor="text1"/>
          <w:lang w:val="en-US"/>
        </w:rPr>
        <w:t>H</w:t>
      </w:r>
      <w:r w:rsidR="004D46EF" w:rsidRPr="00086A0A">
        <w:rPr>
          <w:color w:val="000000" w:themeColor="text1"/>
          <w:lang w:val="en-US"/>
        </w:rPr>
        <w:t>A</w:t>
      </w:r>
      <w:r w:rsidR="004D46EF" w:rsidRPr="00086A0A">
        <w:rPr>
          <w:color w:val="000000" w:themeColor="text1"/>
          <w:vertAlign w:val="subscript"/>
          <w:lang w:val="en-US"/>
        </w:rPr>
        <w:t>2</w:t>
      </w:r>
      <w:r w:rsidR="004D46EF" w:rsidRPr="00086A0A">
        <w:rPr>
          <w:color w:val="000000" w:themeColor="text1"/>
          <w:lang w:val="en-US"/>
        </w:rPr>
        <w:t>DS</w:t>
      </w:r>
      <w:r w:rsidR="004D46EF" w:rsidRPr="00086A0A">
        <w:rPr>
          <w:color w:val="000000" w:themeColor="text1"/>
          <w:vertAlign w:val="subscript"/>
          <w:lang w:val="en-US"/>
        </w:rPr>
        <w:t>2</w:t>
      </w:r>
      <w:r w:rsidR="004D46EF" w:rsidRPr="00086A0A">
        <w:rPr>
          <w:color w:val="000000" w:themeColor="text1"/>
          <w:lang w:val="en-US"/>
        </w:rPr>
        <w:t>-Vasc of 1</w:t>
      </w:r>
      <w:r w:rsidRPr="00086A0A">
        <w:rPr>
          <w:color w:val="000000" w:themeColor="text1"/>
          <w:lang w:val="en-US"/>
        </w:rPr>
        <w:t xml:space="preserve"> </w:t>
      </w:r>
    </w:p>
    <w:p w14:paraId="103BCDB4" w14:textId="14E448B6" w:rsidR="000B3A8D" w:rsidRPr="00086A0A" w:rsidRDefault="000B3A8D" w:rsidP="000B3A8D">
      <w:pPr>
        <w:widowControl w:val="0"/>
        <w:autoSpaceDE w:val="0"/>
        <w:autoSpaceDN w:val="0"/>
        <w:adjustRightInd w:val="0"/>
        <w:spacing w:line="480" w:lineRule="auto"/>
        <w:rPr>
          <w:b/>
          <w:color w:val="000000" w:themeColor="text1"/>
          <w:lang w:val="en-US"/>
        </w:rPr>
      </w:pPr>
      <w:r w:rsidRPr="00086A0A">
        <w:rPr>
          <w:b/>
          <w:color w:val="000000" w:themeColor="text1"/>
          <w:lang w:val="en-US"/>
        </w:rPr>
        <w:t>Word count</w:t>
      </w:r>
      <w:r w:rsidR="00030C1E" w:rsidRPr="00086A0A">
        <w:rPr>
          <w:b/>
          <w:color w:val="000000" w:themeColor="text1"/>
          <w:lang w:val="en-US"/>
        </w:rPr>
        <w:t xml:space="preserve">: </w:t>
      </w:r>
      <w:r w:rsidR="00B30D68">
        <w:rPr>
          <w:color w:val="000000" w:themeColor="text1"/>
          <w:lang w:val="en-US"/>
        </w:rPr>
        <w:t>697</w:t>
      </w:r>
    </w:p>
    <w:p w14:paraId="614F25F1" w14:textId="3C040A17" w:rsidR="000B3A8D" w:rsidRPr="00086A0A" w:rsidRDefault="000B3A8D" w:rsidP="000B3A8D">
      <w:pPr>
        <w:widowControl w:val="0"/>
        <w:autoSpaceDE w:val="0"/>
        <w:autoSpaceDN w:val="0"/>
        <w:adjustRightInd w:val="0"/>
        <w:spacing w:line="480" w:lineRule="auto"/>
        <w:rPr>
          <w:color w:val="000000" w:themeColor="text1"/>
          <w:lang w:val="en-US"/>
        </w:rPr>
      </w:pPr>
      <w:r w:rsidRPr="00086A0A">
        <w:rPr>
          <w:b/>
          <w:color w:val="000000" w:themeColor="text1"/>
          <w:lang w:val="en-US"/>
        </w:rPr>
        <w:t>Number of figures</w:t>
      </w:r>
      <w:r w:rsidR="00C96C1B" w:rsidRPr="00086A0A">
        <w:rPr>
          <w:b/>
          <w:color w:val="000000" w:themeColor="text1"/>
          <w:lang w:val="en-US"/>
        </w:rPr>
        <w:t>/tables</w:t>
      </w:r>
      <w:r w:rsidRPr="00086A0A">
        <w:rPr>
          <w:b/>
          <w:color w:val="000000" w:themeColor="text1"/>
          <w:lang w:val="en-US"/>
        </w:rPr>
        <w:t xml:space="preserve">: </w:t>
      </w:r>
      <w:r w:rsidR="004A1F2E" w:rsidRPr="00086A0A">
        <w:rPr>
          <w:color w:val="000000" w:themeColor="text1"/>
          <w:lang w:val="en-US"/>
        </w:rPr>
        <w:t>1</w:t>
      </w:r>
    </w:p>
    <w:p w14:paraId="71A071E6" w14:textId="0EAB3526" w:rsidR="000B3A8D" w:rsidRPr="00086A0A" w:rsidRDefault="000B3A8D" w:rsidP="000B3A8D">
      <w:pPr>
        <w:widowControl w:val="0"/>
        <w:autoSpaceDE w:val="0"/>
        <w:autoSpaceDN w:val="0"/>
        <w:adjustRightInd w:val="0"/>
        <w:spacing w:line="480" w:lineRule="auto"/>
        <w:rPr>
          <w:color w:val="000000" w:themeColor="text1"/>
          <w:lang w:val="en-US"/>
        </w:rPr>
        <w:sectPr w:rsidR="000B3A8D" w:rsidRPr="00086A0A" w:rsidSect="00AB4574">
          <w:footerReference w:type="even" r:id="rId8"/>
          <w:footerReference w:type="default" r:id="rId9"/>
          <w:footerReference w:type="first" r:id="rId10"/>
          <w:pgSz w:w="11901" w:h="16840"/>
          <w:pgMar w:top="1418" w:right="1418" w:bottom="1134" w:left="1418" w:header="709" w:footer="709" w:gutter="0"/>
          <w:pgNumType w:start="0"/>
          <w:cols w:space="708"/>
          <w:titlePg/>
          <w:docGrid w:linePitch="360"/>
        </w:sectPr>
      </w:pPr>
      <w:r w:rsidRPr="00086A0A">
        <w:rPr>
          <w:b/>
          <w:color w:val="000000" w:themeColor="text1"/>
          <w:lang w:val="en-US"/>
        </w:rPr>
        <w:t xml:space="preserve">Keywords:  </w:t>
      </w:r>
      <w:r w:rsidR="00153D5C" w:rsidRPr="00086A0A">
        <w:rPr>
          <w:color w:val="000000" w:themeColor="text1"/>
          <w:lang w:val="en-US"/>
        </w:rPr>
        <w:t>a</w:t>
      </w:r>
      <w:r w:rsidRPr="00086A0A">
        <w:rPr>
          <w:color w:val="000000" w:themeColor="text1"/>
          <w:lang w:val="en-US"/>
        </w:rPr>
        <w:t>nticoagulation, atrial fibrillation, CHA</w:t>
      </w:r>
      <w:r w:rsidRPr="00086A0A">
        <w:rPr>
          <w:rStyle w:val="s1"/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>DS</w:t>
      </w:r>
      <w:r w:rsidRPr="00086A0A">
        <w:rPr>
          <w:rStyle w:val="s1"/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>-VASc score</w:t>
      </w:r>
      <w:r w:rsidR="007F109D" w:rsidRPr="00086A0A">
        <w:rPr>
          <w:color w:val="000000" w:themeColor="text1"/>
          <w:lang w:val="en-US"/>
        </w:rPr>
        <w:t>, intermediate risk</w:t>
      </w:r>
    </w:p>
    <w:p w14:paraId="7ACDDD78" w14:textId="77777777" w:rsidR="00C13B6D" w:rsidRPr="00C13B6D" w:rsidRDefault="00C13B6D" w:rsidP="002B347D">
      <w:pPr>
        <w:spacing w:line="480" w:lineRule="auto"/>
        <w:jc w:val="both"/>
        <w:rPr>
          <w:b/>
          <w:bCs/>
          <w:color w:val="000000" w:themeColor="text1"/>
          <w:sz w:val="28"/>
          <w:szCs w:val="28"/>
          <w:lang w:val="en-US"/>
        </w:rPr>
      </w:pPr>
      <w:r w:rsidRPr="00C13B6D">
        <w:rPr>
          <w:b/>
          <w:bCs/>
          <w:color w:val="000000" w:themeColor="text1"/>
          <w:sz w:val="28"/>
          <w:szCs w:val="28"/>
          <w:lang w:val="en-US"/>
        </w:rPr>
        <w:lastRenderedPageBreak/>
        <w:t>Background</w:t>
      </w:r>
    </w:p>
    <w:p w14:paraId="32076FA1" w14:textId="627D8256" w:rsidR="002B347D" w:rsidRPr="00086A0A" w:rsidRDefault="002B347D" w:rsidP="002B347D">
      <w:pPr>
        <w:spacing w:line="480" w:lineRule="auto"/>
        <w:jc w:val="both"/>
        <w:rPr>
          <w:color w:val="000000" w:themeColor="text1"/>
          <w:lang w:val="en-US"/>
        </w:rPr>
      </w:pPr>
      <w:r w:rsidRPr="00086A0A">
        <w:rPr>
          <w:color w:val="000000" w:themeColor="text1"/>
          <w:lang w:val="en-US"/>
        </w:rPr>
        <w:t>Current ESC guidelines recommend the initiation of oral anticoagulation (OAC; preferably non-Vitamin K antagonist oral anticoagulants [NOAC] or Vitamin K antagonists [VKA]) in AF patients with a CHA</w:t>
      </w:r>
      <w:r w:rsidRPr="00086A0A">
        <w:rPr>
          <w:color w:val="000000" w:themeColor="text1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>DS</w:t>
      </w:r>
      <w:r w:rsidRPr="00086A0A">
        <w:rPr>
          <w:color w:val="000000" w:themeColor="text1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>-VASc score ≥ 2 for lowering the individual stroke risk, while an OAC approach in individuals with a CHA</w:t>
      </w:r>
      <w:r w:rsidRPr="00086A0A">
        <w:rPr>
          <w:color w:val="000000" w:themeColor="text1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>DS</w:t>
      </w:r>
      <w:r w:rsidRPr="00086A0A">
        <w:rPr>
          <w:color w:val="000000" w:themeColor="text1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>-VASc score of 0 is not recommended. (</w:t>
      </w:r>
      <w:r w:rsidR="00645B02">
        <w:rPr>
          <w:color w:val="000000" w:themeColor="text1"/>
          <w:lang w:val="en-US"/>
        </w:rPr>
        <w:t>1)</w:t>
      </w:r>
      <w:r w:rsidRPr="00086A0A">
        <w:rPr>
          <w:color w:val="000000" w:themeColor="text1"/>
          <w:lang w:val="en-US"/>
        </w:rPr>
        <w:t xml:space="preserve"> However, OAC in patients presenting with a CHA</w:t>
      </w:r>
      <w:r w:rsidRPr="00086A0A">
        <w:rPr>
          <w:color w:val="000000" w:themeColor="text1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>DS</w:t>
      </w:r>
      <w:r w:rsidRPr="00086A0A">
        <w:rPr>
          <w:color w:val="000000" w:themeColor="text1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>-VASc of 1 (CHA</w:t>
      </w:r>
      <w:r w:rsidRPr="00086A0A">
        <w:rPr>
          <w:color w:val="000000" w:themeColor="text1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>DS</w:t>
      </w:r>
      <w:r w:rsidRPr="00086A0A">
        <w:rPr>
          <w:color w:val="000000" w:themeColor="text1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 xml:space="preserve">-VASc of 2 in women) remains a challenging approach in clinical practice and physicians need to carefully balance the individual </w:t>
      </w:r>
      <w:r w:rsidRPr="00086A0A">
        <w:rPr>
          <w:iCs/>
          <w:color w:val="000000" w:themeColor="text1"/>
          <w:lang w:val="en-US"/>
        </w:rPr>
        <w:t>benefit</w:t>
      </w:r>
      <w:r w:rsidRPr="00086A0A">
        <w:rPr>
          <w:color w:val="000000" w:themeColor="text1"/>
          <w:lang w:val="en-US"/>
        </w:rPr>
        <w:t xml:space="preserve"> of reducing thromboembolic risk with OAC against the potential </w:t>
      </w:r>
      <w:r w:rsidRPr="00086A0A">
        <w:rPr>
          <w:iCs/>
          <w:color w:val="000000" w:themeColor="text1"/>
          <w:lang w:val="en-US"/>
        </w:rPr>
        <w:t>harm</w:t>
      </w:r>
      <w:r w:rsidRPr="00086A0A">
        <w:rPr>
          <w:color w:val="000000" w:themeColor="text1"/>
          <w:lang w:val="en-US"/>
        </w:rPr>
        <w:t xml:space="preserve"> due to an increase in bleeding risk in this patient population. </w:t>
      </w:r>
    </w:p>
    <w:p w14:paraId="625251E5" w14:textId="77777777" w:rsidR="002B347D" w:rsidRPr="00086A0A" w:rsidRDefault="002B347D" w:rsidP="002B347D">
      <w:pPr>
        <w:spacing w:line="480" w:lineRule="auto"/>
        <w:jc w:val="both"/>
        <w:rPr>
          <w:color w:val="000000" w:themeColor="text1"/>
          <w:lang w:val="en-US"/>
        </w:rPr>
      </w:pPr>
    </w:p>
    <w:p w14:paraId="67FD8328" w14:textId="265B64EE" w:rsidR="002B347D" w:rsidRPr="00086A0A" w:rsidRDefault="002B347D" w:rsidP="002B347D">
      <w:pPr>
        <w:spacing w:line="480" w:lineRule="auto"/>
        <w:jc w:val="both"/>
        <w:rPr>
          <w:color w:val="000000" w:themeColor="text1"/>
          <w:lang w:val="en-US"/>
        </w:rPr>
      </w:pPr>
      <w:r w:rsidRPr="00086A0A">
        <w:rPr>
          <w:color w:val="000000" w:themeColor="text1"/>
          <w:lang w:val="en-US"/>
        </w:rPr>
        <w:t>Within the current opinion statement of the ESC working group of cardiovascular pharmacotherapy and the ESC council on stroke the authors summarized currently available evidence in this field.</w:t>
      </w:r>
      <w:r w:rsidR="003A5EF9">
        <w:rPr>
          <w:color w:val="000000" w:themeColor="text1"/>
          <w:lang w:val="en-US"/>
        </w:rPr>
        <w:t xml:space="preserve"> </w:t>
      </w:r>
      <w:r w:rsidRPr="00086A0A">
        <w:rPr>
          <w:color w:val="000000" w:themeColor="text1"/>
          <w:lang w:val="en-US"/>
        </w:rPr>
        <w:t>(</w:t>
      </w:r>
      <w:r w:rsidR="00645B02">
        <w:rPr>
          <w:color w:val="000000" w:themeColor="text1"/>
          <w:lang w:val="en-US"/>
        </w:rPr>
        <w:t>2)</w:t>
      </w:r>
      <w:r w:rsidRPr="00086A0A">
        <w:rPr>
          <w:color w:val="000000" w:themeColor="text1"/>
          <w:lang w:val="en-US"/>
        </w:rPr>
        <w:t xml:space="preserve">  Most importantly, an easily applicable approach for a personalized </w:t>
      </w:r>
      <w:r w:rsidRPr="00086A0A">
        <w:rPr>
          <w:color w:val="000000" w:themeColor="text1"/>
          <w:lang w:val="en-GB"/>
        </w:rPr>
        <w:t xml:space="preserve">refinement of the individual thromboembolic risk in patients with AF and a </w:t>
      </w:r>
      <w:r w:rsidRPr="00086A0A">
        <w:rPr>
          <w:color w:val="000000" w:themeColor="text1"/>
          <w:lang w:val="en-US"/>
        </w:rPr>
        <w:t>CHA</w:t>
      </w:r>
      <w:r w:rsidRPr="00086A0A">
        <w:rPr>
          <w:color w:val="000000" w:themeColor="text1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>DS</w:t>
      </w:r>
      <w:r w:rsidRPr="00086A0A">
        <w:rPr>
          <w:color w:val="000000" w:themeColor="text1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>-VASc score of 1 that guide clinicals through the question whether to anticoagulated or not was provided.</w:t>
      </w:r>
    </w:p>
    <w:p w14:paraId="0406096C" w14:textId="6F65149B" w:rsidR="00086A0A" w:rsidRDefault="00086A0A" w:rsidP="002B347D">
      <w:pPr>
        <w:spacing w:line="480" w:lineRule="auto"/>
        <w:jc w:val="both"/>
        <w:rPr>
          <w:color w:val="000000" w:themeColor="text1"/>
          <w:lang w:val="en-GB"/>
        </w:rPr>
      </w:pPr>
    </w:p>
    <w:p w14:paraId="13D47F0A" w14:textId="72EAA1B3" w:rsidR="000F7B0B" w:rsidRPr="000F7B0B" w:rsidRDefault="000F7B0B" w:rsidP="002B347D">
      <w:pPr>
        <w:spacing w:line="480" w:lineRule="auto"/>
        <w:jc w:val="both"/>
        <w:rPr>
          <w:b/>
          <w:bCs/>
          <w:color w:val="000000" w:themeColor="text1"/>
          <w:sz w:val="28"/>
          <w:szCs w:val="28"/>
          <w:lang w:val="en-GB"/>
        </w:rPr>
      </w:pPr>
      <w:r w:rsidRPr="000F7B0B">
        <w:rPr>
          <w:b/>
          <w:bCs/>
          <w:color w:val="000000" w:themeColor="text1"/>
          <w:sz w:val="28"/>
          <w:szCs w:val="28"/>
          <w:lang w:val="en-GB"/>
        </w:rPr>
        <w:t xml:space="preserve">The focus on doing no harm </w:t>
      </w:r>
    </w:p>
    <w:p w14:paraId="64815CD7" w14:textId="11D354CB" w:rsidR="000F7B0B" w:rsidRPr="00086A0A" w:rsidRDefault="00DD17DA" w:rsidP="002B347D">
      <w:pPr>
        <w:spacing w:line="480" w:lineRule="auto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T</w:t>
      </w:r>
      <w:r w:rsidR="002B347D" w:rsidRPr="00086A0A">
        <w:rPr>
          <w:color w:val="000000" w:themeColor="text1"/>
          <w:lang w:val="en-US"/>
        </w:rPr>
        <w:t xml:space="preserve">he </w:t>
      </w:r>
      <w:r>
        <w:rPr>
          <w:color w:val="000000" w:themeColor="text1"/>
          <w:lang w:val="en-US"/>
        </w:rPr>
        <w:t xml:space="preserve">assessment of </w:t>
      </w:r>
      <w:r w:rsidR="002B347D" w:rsidRPr="00086A0A">
        <w:rPr>
          <w:color w:val="000000" w:themeColor="text1"/>
          <w:lang w:val="en-US"/>
        </w:rPr>
        <w:t xml:space="preserve">patients’ individual risk for major bleedings </w:t>
      </w:r>
      <w:r>
        <w:rPr>
          <w:color w:val="000000" w:themeColor="text1"/>
          <w:lang w:val="en-US"/>
        </w:rPr>
        <w:t xml:space="preserve">is a key prerequisite for </w:t>
      </w:r>
      <w:r w:rsidRPr="00086A0A">
        <w:rPr>
          <w:color w:val="000000" w:themeColor="text1"/>
          <w:lang w:val="en-US"/>
        </w:rPr>
        <w:t>initiation of OAC</w:t>
      </w:r>
      <w:r w:rsidR="002B347D" w:rsidRPr="00086A0A">
        <w:rPr>
          <w:color w:val="000000" w:themeColor="text1"/>
          <w:lang w:val="en-US"/>
        </w:rPr>
        <w:t>. The HAS-BLED score mirrors a widely validated and accepted tool for this purpose. Based on the individual bleeding risk of 0.59% to 1.51% per year in HAS-BLED score of 1 and an annual thromboembolic risk of 0.6% to 1.3% in CHA</w:t>
      </w:r>
      <w:r w:rsidR="002B347D" w:rsidRPr="00086A0A">
        <w:rPr>
          <w:color w:val="000000" w:themeColor="text1"/>
          <w:vertAlign w:val="subscript"/>
          <w:lang w:val="en-US"/>
        </w:rPr>
        <w:t>2</w:t>
      </w:r>
      <w:r w:rsidR="002B347D" w:rsidRPr="00086A0A">
        <w:rPr>
          <w:color w:val="000000" w:themeColor="text1"/>
          <w:lang w:val="en-US"/>
        </w:rPr>
        <w:t>DS</w:t>
      </w:r>
      <w:r w:rsidR="002B347D" w:rsidRPr="00086A0A">
        <w:rPr>
          <w:color w:val="000000" w:themeColor="text1"/>
          <w:vertAlign w:val="subscript"/>
          <w:lang w:val="en-US"/>
        </w:rPr>
        <w:t>2</w:t>
      </w:r>
      <w:r w:rsidR="002B347D" w:rsidRPr="00086A0A">
        <w:rPr>
          <w:color w:val="000000" w:themeColor="text1"/>
          <w:lang w:val="en-US"/>
        </w:rPr>
        <w:t xml:space="preserve">-VASc of 1, </w:t>
      </w:r>
      <w:r w:rsidR="000F7B0B">
        <w:rPr>
          <w:color w:val="000000" w:themeColor="text1"/>
          <w:lang w:val="en-US"/>
        </w:rPr>
        <w:t xml:space="preserve">physicians </w:t>
      </w:r>
      <w:r w:rsidR="002B347D" w:rsidRPr="00086A0A">
        <w:rPr>
          <w:color w:val="000000" w:themeColor="text1"/>
          <w:lang w:val="en-US"/>
        </w:rPr>
        <w:t>are not able to draw a</w:t>
      </w:r>
      <w:r w:rsidR="000F7B0B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definite</w:t>
      </w:r>
      <w:r w:rsidRPr="00086A0A">
        <w:rPr>
          <w:color w:val="000000" w:themeColor="text1"/>
          <w:lang w:val="en-US"/>
        </w:rPr>
        <w:t xml:space="preserve"> </w:t>
      </w:r>
      <w:r w:rsidR="002B347D" w:rsidRPr="00086A0A">
        <w:rPr>
          <w:color w:val="000000" w:themeColor="text1"/>
          <w:lang w:val="en-US"/>
        </w:rPr>
        <w:t xml:space="preserve">conclusion concerning the net benefit of OAC in respective patients. </w:t>
      </w:r>
      <w:r w:rsidR="00645B02">
        <w:rPr>
          <w:color w:val="000000" w:themeColor="text1"/>
          <w:lang w:val="en-US"/>
        </w:rPr>
        <w:t>Therefore,</w:t>
      </w:r>
      <w:r w:rsidRPr="00086A0A">
        <w:rPr>
          <w:color w:val="000000" w:themeColor="text1"/>
          <w:lang w:val="en-US"/>
        </w:rPr>
        <w:t xml:space="preserve"> a </w:t>
      </w:r>
      <w:r w:rsidRPr="00086A0A">
        <w:rPr>
          <w:color w:val="000000" w:themeColor="text1"/>
          <w:lang w:val="en-GB"/>
        </w:rPr>
        <w:t xml:space="preserve">general recommendation of OAC therapy in these individuals </w:t>
      </w:r>
      <w:r>
        <w:rPr>
          <w:color w:val="000000" w:themeColor="text1"/>
          <w:lang w:val="en-GB"/>
        </w:rPr>
        <w:t>is not justified and</w:t>
      </w:r>
      <w:r w:rsidRPr="00086A0A">
        <w:rPr>
          <w:color w:val="000000" w:themeColor="text1"/>
          <w:lang w:val="en-GB"/>
        </w:rPr>
        <w:t xml:space="preserve"> patients that benefit form OAC need to be identified using a personalized </w:t>
      </w:r>
      <w:r w:rsidRPr="00086A0A">
        <w:rPr>
          <w:color w:val="000000" w:themeColor="text1"/>
          <w:lang w:val="en-GB"/>
        </w:rPr>
        <w:lastRenderedPageBreak/>
        <w:t>approach.</w:t>
      </w:r>
      <w:r w:rsidR="005832A7">
        <w:rPr>
          <w:color w:val="000000" w:themeColor="text1"/>
          <w:lang w:val="en-GB"/>
        </w:rPr>
        <w:t xml:space="preserve"> </w:t>
      </w:r>
      <w:r>
        <w:rPr>
          <w:color w:val="000000" w:themeColor="text1"/>
          <w:shd w:val="clear" w:color="auto" w:fill="FFFFFF"/>
          <w:lang w:val="en-US"/>
        </w:rPr>
        <w:t>In contrast</w:t>
      </w:r>
      <w:r w:rsidR="002B347D" w:rsidRPr="00086A0A">
        <w:rPr>
          <w:color w:val="000000" w:themeColor="text1"/>
          <w:shd w:val="clear" w:color="auto" w:fill="FFFFFF"/>
          <w:lang w:val="en-US"/>
        </w:rPr>
        <w:t xml:space="preserve">, </w:t>
      </w:r>
      <w:r>
        <w:rPr>
          <w:color w:val="000000" w:themeColor="text1"/>
          <w:shd w:val="clear" w:color="auto" w:fill="FFFFFF"/>
          <w:lang w:val="en-US"/>
        </w:rPr>
        <w:t xml:space="preserve">in patients with a </w:t>
      </w:r>
      <w:r w:rsidRPr="00086A0A">
        <w:rPr>
          <w:color w:val="000000" w:themeColor="text1"/>
          <w:lang w:val="en-US"/>
        </w:rPr>
        <w:t xml:space="preserve">HAS-BLED score </w:t>
      </w:r>
      <w:r>
        <w:rPr>
          <w:color w:val="000000" w:themeColor="text1"/>
          <w:lang w:val="en-US"/>
        </w:rPr>
        <w:t xml:space="preserve">of </w:t>
      </w:r>
      <w:r w:rsidRPr="00086A0A">
        <w:rPr>
          <w:color w:val="000000" w:themeColor="text1"/>
          <w:lang w:val="en-US"/>
        </w:rPr>
        <w:t>2</w:t>
      </w:r>
      <w:r>
        <w:rPr>
          <w:color w:val="000000" w:themeColor="text1"/>
          <w:lang w:val="en-US"/>
        </w:rPr>
        <w:t xml:space="preserve"> (or even greater) </w:t>
      </w:r>
      <w:r>
        <w:rPr>
          <w:color w:val="000000" w:themeColor="text1"/>
          <w:shd w:val="clear" w:color="auto" w:fill="FFFFFF"/>
          <w:lang w:val="en-US"/>
        </w:rPr>
        <w:t xml:space="preserve">an </w:t>
      </w:r>
      <w:r w:rsidRPr="00086A0A">
        <w:rPr>
          <w:color w:val="000000" w:themeColor="text1"/>
          <w:lang w:val="en-US"/>
        </w:rPr>
        <w:t xml:space="preserve">OAC should not be </w:t>
      </w:r>
      <w:r>
        <w:rPr>
          <w:color w:val="000000" w:themeColor="text1"/>
          <w:lang w:val="en-US"/>
        </w:rPr>
        <w:t>initiated</w:t>
      </w:r>
      <w:r w:rsidRPr="00086A0A">
        <w:rPr>
          <w:color w:val="000000" w:themeColor="text1"/>
          <w:lang w:val="en-US"/>
        </w:rPr>
        <w:t xml:space="preserve"> in intermediate thromboembolic risk patients </w:t>
      </w:r>
      <w:r>
        <w:rPr>
          <w:color w:val="000000" w:themeColor="text1"/>
          <w:shd w:val="clear" w:color="auto" w:fill="FFFFFF"/>
          <w:lang w:val="en-US"/>
        </w:rPr>
        <w:t xml:space="preserve">based on an </w:t>
      </w:r>
      <w:r w:rsidR="002B347D" w:rsidRPr="00086A0A">
        <w:rPr>
          <w:color w:val="000000" w:themeColor="text1"/>
          <w:shd w:val="clear" w:color="auto" w:fill="FFFFFF"/>
          <w:lang w:val="en-US"/>
        </w:rPr>
        <w:t>annual bleeding rates of 1.88% to 3.20% per year</w:t>
      </w:r>
      <w:r w:rsidR="002B347D" w:rsidRPr="00086A0A">
        <w:rPr>
          <w:color w:val="000000" w:themeColor="text1"/>
          <w:lang w:val="en-US"/>
        </w:rPr>
        <w:t>. (</w:t>
      </w:r>
      <w:r w:rsidR="00645B02">
        <w:rPr>
          <w:color w:val="000000" w:themeColor="text1"/>
          <w:lang w:val="en-US"/>
        </w:rPr>
        <w:t>3-6)</w:t>
      </w:r>
    </w:p>
    <w:p w14:paraId="6602C038" w14:textId="0BF0D90C" w:rsidR="000F7B0B" w:rsidRDefault="000F7B0B" w:rsidP="000F7B0B">
      <w:pPr>
        <w:spacing w:line="480" w:lineRule="auto"/>
        <w:jc w:val="both"/>
        <w:rPr>
          <w:color w:val="000000" w:themeColor="text1"/>
          <w:lang w:val="en-GB"/>
        </w:rPr>
      </w:pPr>
    </w:p>
    <w:p w14:paraId="31C35B0E" w14:textId="58527BD2" w:rsidR="000F7B0B" w:rsidRPr="000F7B0B" w:rsidRDefault="000F7B0B" w:rsidP="000F7B0B">
      <w:pPr>
        <w:spacing w:line="480" w:lineRule="auto"/>
        <w:jc w:val="both"/>
        <w:rPr>
          <w:b/>
          <w:bCs/>
          <w:color w:val="000000" w:themeColor="text1"/>
          <w:sz w:val="28"/>
          <w:szCs w:val="28"/>
          <w:lang w:val="en-GB"/>
        </w:rPr>
      </w:pPr>
      <w:r w:rsidRPr="000F7B0B">
        <w:rPr>
          <w:b/>
          <w:bCs/>
          <w:color w:val="000000" w:themeColor="text1"/>
          <w:sz w:val="28"/>
          <w:szCs w:val="28"/>
          <w:lang w:val="en-GB"/>
        </w:rPr>
        <w:t xml:space="preserve">Personalised </w:t>
      </w:r>
      <w:r w:rsidRPr="000F7B0B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risk stratification </w:t>
      </w:r>
      <w:r w:rsidRPr="000F7B0B">
        <w:rPr>
          <w:b/>
          <w:bCs/>
          <w:color w:val="000000" w:themeColor="text1"/>
          <w:sz w:val="28"/>
          <w:szCs w:val="28"/>
          <w:lang w:val="en-US"/>
        </w:rPr>
        <w:t xml:space="preserve">in </w:t>
      </w:r>
      <w:r w:rsidRPr="000F7B0B">
        <w:rPr>
          <w:rFonts w:eastAsiaTheme="minorHAnsi"/>
          <w:b/>
          <w:bCs/>
          <w:color w:val="000000" w:themeColor="text1"/>
          <w:sz w:val="28"/>
          <w:szCs w:val="28"/>
          <w:lang w:val="en-US" w:eastAsia="en-US"/>
        </w:rPr>
        <w:t>CHA</w:t>
      </w:r>
      <w:r w:rsidRPr="000F7B0B">
        <w:rPr>
          <w:rFonts w:eastAsiaTheme="minorHAnsi"/>
          <w:b/>
          <w:bCs/>
          <w:color w:val="000000" w:themeColor="text1"/>
          <w:sz w:val="28"/>
          <w:szCs w:val="28"/>
          <w:vertAlign w:val="subscript"/>
          <w:lang w:val="en-US" w:eastAsia="en-US"/>
        </w:rPr>
        <w:t>2</w:t>
      </w:r>
      <w:r w:rsidRPr="000F7B0B">
        <w:rPr>
          <w:rFonts w:eastAsiaTheme="minorHAnsi"/>
          <w:b/>
          <w:bCs/>
          <w:color w:val="000000" w:themeColor="text1"/>
          <w:sz w:val="28"/>
          <w:szCs w:val="28"/>
          <w:lang w:val="en-US" w:eastAsia="en-US"/>
        </w:rPr>
        <w:t>DS</w:t>
      </w:r>
      <w:r w:rsidRPr="000F7B0B">
        <w:rPr>
          <w:rFonts w:eastAsiaTheme="minorHAnsi"/>
          <w:b/>
          <w:bCs/>
          <w:color w:val="000000" w:themeColor="text1"/>
          <w:sz w:val="28"/>
          <w:szCs w:val="28"/>
          <w:vertAlign w:val="subscript"/>
          <w:lang w:val="en-US" w:eastAsia="en-US"/>
        </w:rPr>
        <w:t>2</w:t>
      </w:r>
      <w:r w:rsidRPr="000F7B0B">
        <w:rPr>
          <w:rFonts w:eastAsiaTheme="minorHAnsi"/>
          <w:b/>
          <w:bCs/>
          <w:color w:val="000000" w:themeColor="text1"/>
          <w:sz w:val="28"/>
          <w:szCs w:val="28"/>
          <w:lang w:val="en-US" w:eastAsia="en-US"/>
        </w:rPr>
        <w:t>-Vasc of 1</w:t>
      </w:r>
    </w:p>
    <w:p w14:paraId="5149A5C1" w14:textId="37B84D18" w:rsidR="002B347D" w:rsidRPr="00086A0A" w:rsidRDefault="002B347D" w:rsidP="002B347D">
      <w:pPr>
        <w:spacing w:line="480" w:lineRule="auto"/>
        <w:jc w:val="both"/>
        <w:rPr>
          <w:color w:val="000000" w:themeColor="text1"/>
          <w:lang w:val="en-GB"/>
        </w:rPr>
      </w:pPr>
      <w:r w:rsidRPr="00086A0A">
        <w:rPr>
          <w:color w:val="000000" w:themeColor="text1"/>
          <w:lang w:val="en-GB"/>
        </w:rPr>
        <w:t xml:space="preserve">Considering the predictive </w:t>
      </w:r>
      <w:r w:rsidR="000F7B0B">
        <w:rPr>
          <w:color w:val="000000" w:themeColor="text1"/>
          <w:lang w:val="en-GB"/>
        </w:rPr>
        <w:t>potential</w:t>
      </w:r>
      <w:r w:rsidRPr="00086A0A">
        <w:rPr>
          <w:color w:val="000000" w:themeColor="text1"/>
          <w:lang w:val="en-GB"/>
        </w:rPr>
        <w:t xml:space="preserve"> for thromboembolic events in characteristics used for the calculation of the </w:t>
      </w:r>
      <w:r w:rsidRPr="00086A0A">
        <w:rPr>
          <w:color w:val="000000" w:themeColor="text1"/>
          <w:lang w:val="en-US"/>
        </w:rPr>
        <w:t>CHA</w:t>
      </w:r>
      <w:r w:rsidRPr="00086A0A">
        <w:rPr>
          <w:color w:val="000000" w:themeColor="text1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>DS</w:t>
      </w:r>
      <w:r w:rsidRPr="00086A0A">
        <w:rPr>
          <w:color w:val="000000" w:themeColor="text1"/>
          <w:vertAlign w:val="subscript"/>
          <w:lang w:val="en-US"/>
        </w:rPr>
        <w:t>2</w:t>
      </w:r>
      <w:r w:rsidRPr="00086A0A">
        <w:rPr>
          <w:color w:val="000000" w:themeColor="text1"/>
          <w:lang w:val="en-US"/>
        </w:rPr>
        <w:t>-VASc score</w:t>
      </w:r>
      <w:r w:rsidRPr="00086A0A">
        <w:rPr>
          <w:color w:val="000000" w:themeColor="text1"/>
          <w:lang w:val="en-GB"/>
        </w:rPr>
        <w:t xml:space="preserve">, </w:t>
      </w:r>
      <w:r w:rsidRPr="00B4605C">
        <w:rPr>
          <w:b/>
          <w:bCs/>
          <w:i/>
          <w:iCs/>
          <w:color w:val="000000" w:themeColor="text1"/>
          <w:lang w:val="en-GB"/>
        </w:rPr>
        <w:t>age</w:t>
      </w:r>
      <w:r w:rsidRPr="00086A0A">
        <w:rPr>
          <w:color w:val="000000" w:themeColor="text1"/>
          <w:lang w:val="en-GB"/>
        </w:rPr>
        <w:t xml:space="preserve"> (&gt;65 years) and </w:t>
      </w:r>
      <w:r w:rsidRPr="00B4605C">
        <w:rPr>
          <w:b/>
          <w:bCs/>
          <w:i/>
          <w:iCs/>
          <w:color w:val="000000" w:themeColor="text1"/>
          <w:lang w:val="en-GB"/>
        </w:rPr>
        <w:t>diabetes mellitus type II</w:t>
      </w:r>
      <w:r w:rsidRPr="00086A0A">
        <w:rPr>
          <w:color w:val="000000" w:themeColor="text1"/>
          <w:lang w:val="en-GB"/>
        </w:rPr>
        <w:t xml:space="preserve"> may be the most important isolated risk factors. (</w:t>
      </w:r>
      <w:r w:rsidR="00645B02">
        <w:rPr>
          <w:color w:val="000000" w:themeColor="text1"/>
          <w:lang w:val="en-GB"/>
        </w:rPr>
        <w:t xml:space="preserve">7) </w:t>
      </w:r>
      <w:r w:rsidRPr="00086A0A">
        <w:rPr>
          <w:color w:val="000000" w:themeColor="text1"/>
          <w:lang w:val="en-GB"/>
        </w:rPr>
        <w:t xml:space="preserve">Moreover, the authors conclude that the </w:t>
      </w:r>
      <w:r w:rsidRPr="00B4605C">
        <w:rPr>
          <w:b/>
          <w:bCs/>
          <w:i/>
          <w:iCs/>
          <w:color w:val="000000" w:themeColor="text1"/>
          <w:lang w:val="en-GB"/>
        </w:rPr>
        <w:t>burden of atrial arrythmia</w:t>
      </w:r>
      <w:r w:rsidRPr="00086A0A">
        <w:rPr>
          <w:b/>
          <w:bCs/>
          <w:color w:val="000000" w:themeColor="text1"/>
          <w:lang w:val="en-GB"/>
        </w:rPr>
        <w:t xml:space="preserve"> </w:t>
      </w:r>
      <w:r w:rsidRPr="00086A0A">
        <w:rPr>
          <w:color w:val="000000" w:themeColor="text1"/>
          <w:lang w:val="en-GB"/>
        </w:rPr>
        <w:t>– such as atrial fibrillation (not atrial flutter) and permanence/persistence (not paroxysmal) of the arrythmia need to be taken into account. (</w:t>
      </w:r>
      <w:r w:rsidR="00645B02">
        <w:rPr>
          <w:color w:val="000000" w:themeColor="text1"/>
          <w:lang w:val="en-GB"/>
        </w:rPr>
        <w:t xml:space="preserve">8-11) </w:t>
      </w:r>
      <w:r w:rsidRPr="00086A0A">
        <w:rPr>
          <w:color w:val="000000" w:themeColor="text1"/>
          <w:lang w:val="en-GB"/>
        </w:rPr>
        <w:t xml:space="preserve">Further patient characteristics that proved to be associated with an increased thromboembolic risk were outlined as </w:t>
      </w:r>
      <w:r w:rsidRPr="00B4605C">
        <w:rPr>
          <w:b/>
          <w:bCs/>
          <w:i/>
          <w:iCs/>
          <w:color w:val="000000" w:themeColor="text1"/>
          <w:lang w:val="en-GB"/>
        </w:rPr>
        <w:t>obesity</w:t>
      </w:r>
      <w:r w:rsidRPr="00086A0A">
        <w:rPr>
          <w:color w:val="000000" w:themeColor="text1"/>
          <w:lang w:val="en-GB"/>
        </w:rPr>
        <w:t xml:space="preserve"> (body mass index ≥30) and </w:t>
      </w:r>
      <w:r w:rsidRPr="00B4605C">
        <w:rPr>
          <w:b/>
          <w:bCs/>
          <w:i/>
          <w:iCs/>
          <w:color w:val="000000" w:themeColor="text1"/>
          <w:lang w:val="en-GB"/>
        </w:rPr>
        <w:t>impaired kidney function</w:t>
      </w:r>
      <w:r w:rsidRPr="00086A0A">
        <w:rPr>
          <w:color w:val="000000" w:themeColor="text1"/>
          <w:lang w:val="en-GB"/>
        </w:rPr>
        <w:t xml:space="preserve"> – objectified via proteinuria (&gt;150mg/24h or equivalent) or estimated glomerular filtration rate of &lt;45ml/h. (X) Additionally, imaging values, such as enlarged </w:t>
      </w:r>
      <w:r w:rsidRPr="00B4605C">
        <w:rPr>
          <w:b/>
          <w:bCs/>
          <w:i/>
          <w:iCs/>
          <w:color w:val="000000" w:themeColor="text1"/>
          <w:lang w:val="en-GB"/>
        </w:rPr>
        <w:t>left atrial volume</w:t>
      </w:r>
      <w:r w:rsidRPr="00086A0A">
        <w:rPr>
          <w:color w:val="000000" w:themeColor="text1"/>
          <w:lang w:val="en-GB"/>
        </w:rPr>
        <w:t xml:space="preserve"> (≥73mL) or </w:t>
      </w:r>
      <w:r w:rsidRPr="00B4605C">
        <w:rPr>
          <w:b/>
          <w:bCs/>
          <w:i/>
          <w:iCs/>
          <w:color w:val="000000" w:themeColor="text1"/>
          <w:lang w:val="en-GB"/>
        </w:rPr>
        <w:t>diameter</w:t>
      </w:r>
      <w:r w:rsidRPr="00086A0A">
        <w:rPr>
          <w:color w:val="000000" w:themeColor="text1"/>
          <w:lang w:val="en-GB"/>
        </w:rPr>
        <w:t xml:space="preserve"> (≥4.7cm) or </w:t>
      </w:r>
      <w:r w:rsidRPr="00B4605C">
        <w:rPr>
          <w:b/>
          <w:bCs/>
          <w:i/>
          <w:iCs/>
          <w:color w:val="000000" w:themeColor="text1"/>
          <w:lang w:val="en-GB"/>
        </w:rPr>
        <w:t>left atrial appendage emptying velocity</w:t>
      </w:r>
      <w:r w:rsidRPr="00086A0A">
        <w:rPr>
          <w:color w:val="000000" w:themeColor="text1"/>
          <w:lang w:val="en-GB"/>
        </w:rPr>
        <w:t xml:space="preserve"> (&lt;20cm/s) seems reasonable and easily assessable imaging marker for risk stratification.</w:t>
      </w:r>
      <w:r w:rsidR="00645B02">
        <w:rPr>
          <w:color w:val="000000" w:themeColor="text1"/>
          <w:lang w:val="en-GB"/>
        </w:rPr>
        <w:t xml:space="preserve"> </w:t>
      </w:r>
      <w:r w:rsidRPr="00086A0A">
        <w:rPr>
          <w:color w:val="000000" w:themeColor="text1"/>
          <w:lang w:val="en-GB"/>
        </w:rPr>
        <w:t>(</w:t>
      </w:r>
      <w:r w:rsidR="00645B02">
        <w:rPr>
          <w:color w:val="000000" w:themeColor="text1"/>
          <w:lang w:val="en-GB"/>
        </w:rPr>
        <w:t>12-14)</w:t>
      </w:r>
      <w:r w:rsidRPr="00086A0A">
        <w:rPr>
          <w:color w:val="000000" w:themeColor="text1"/>
          <w:lang w:val="en-GB"/>
        </w:rPr>
        <w:t xml:space="preserve"> Of utmost importance, routinely available </w:t>
      </w:r>
      <w:r w:rsidRPr="00B4605C">
        <w:rPr>
          <w:b/>
          <w:bCs/>
          <w:i/>
          <w:iCs/>
          <w:color w:val="000000" w:themeColor="text1"/>
          <w:lang w:val="en-GB"/>
        </w:rPr>
        <w:t>biomarkers</w:t>
      </w:r>
      <w:r w:rsidRPr="00B4605C">
        <w:rPr>
          <w:i/>
          <w:iCs/>
          <w:color w:val="000000" w:themeColor="text1"/>
          <w:lang w:val="en-GB"/>
        </w:rPr>
        <w:t xml:space="preserve"> </w:t>
      </w:r>
      <w:r w:rsidRPr="00086A0A">
        <w:rPr>
          <w:color w:val="000000" w:themeColor="text1"/>
          <w:lang w:val="en-GB"/>
        </w:rPr>
        <w:t xml:space="preserve">such as cardiac troponin (high sensitivity troponin T or I) and </w:t>
      </w:r>
      <w:proofErr w:type="spellStart"/>
      <w:r w:rsidRPr="00086A0A">
        <w:rPr>
          <w:color w:val="000000" w:themeColor="text1"/>
          <w:lang w:val="en-GB"/>
        </w:rPr>
        <w:t>Nt</w:t>
      </w:r>
      <w:proofErr w:type="spellEnd"/>
      <w:r w:rsidRPr="00086A0A">
        <w:rPr>
          <w:color w:val="000000" w:themeColor="text1"/>
          <w:lang w:val="en-GB"/>
        </w:rPr>
        <w:t>-proBNP (</w:t>
      </w:r>
      <w:r w:rsidRPr="00086A0A">
        <w:rPr>
          <w:color w:val="000000" w:themeColor="text1"/>
          <w:lang w:val="en-US"/>
        </w:rPr>
        <w:t xml:space="preserve">1400ng/l) </w:t>
      </w:r>
      <w:r w:rsidRPr="00086A0A">
        <w:rPr>
          <w:color w:val="000000" w:themeColor="text1"/>
          <w:lang w:val="en-GB"/>
        </w:rPr>
        <w:t xml:space="preserve">may provide additional prognostic information to enhance risk estimation and decision making for OAC particularly in </w:t>
      </w:r>
      <w:r w:rsidRPr="00086A0A">
        <w:rPr>
          <w:color w:val="000000" w:themeColor="text1"/>
          <w:lang w:val="en-US"/>
        </w:rPr>
        <w:t>intermediate</w:t>
      </w:r>
      <w:r w:rsidRPr="00086A0A">
        <w:rPr>
          <w:color w:val="000000" w:themeColor="text1"/>
          <w:lang w:val="en-GB"/>
        </w:rPr>
        <w:t>-risk individuals. (</w:t>
      </w:r>
      <w:r w:rsidR="00645B02">
        <w:rPr>
          <w:color w:val="000000" w:themeColor="text1"/>
          <w:lang w:val="en-GB"/>
        </w:rPr>
        <w:t>1)</w:t>
      </w:r>
    </w:p>
    <w:p w14:paraId="6587A4AB" w14:textId="77777777" w:rsidR="003A5EF9" w:rsidRDefault="003A5EF9" w:rsidP="002B347D">
      <w:pPr>
        <w:spacing w:line="480" w:lineRule="auto"/>
        <w:jc w:val="both"/>
        <w:rPr>
          <w:color w:val="000000" w:themeColor="text1"/>
          <w:lang w:val="en-GB"/>
        </w:rPr>
      </w:pPr>
    </w:p>
    <w:p w14:paraId="1168C7AA" w14:textId="4715D8D8" w:rsidR="002B347D" w:rsidRDefault="002B347D" w:rsidP="002B347D">
      <w:pPr>
        <w:spacing w:line="480" w:lineRule="auto"/>
        <w:jc w:val="both"/>
        <w:rPr>
          <w:color w:val="000000" w:themeColor="text1"/>
          <w:lang w:val="en-US"/>
        </w:rPr>
      </w:pPr>
      <w:r w:rsidRPr="00086A0A">
        <w:rPr>
          <w:color w:val="000000" w:themeColor="text1"/>
          <w:lang w:val="en-US"/>
        </w:rPr>
        <w:t xml:space="preserve">Of note, despite an individualized weighing of risk and additional prognostic values, the </w:t>
      </w:r>
      <w:r w:rsidRPr="00B4605C">
        <w:rPr>
          <w:b/>
          <w:i/>
          <w:color w:val="000000" w:themeColor="text1"/>
          <w:lang w:val="en-US"/>
        </w:rPr>
        <w:t>patients’ preferences</w:t>
      </w:r>
      <w:r w:rsidRPr="00086A0A">
        <w:rPr>
          <w:color w:val="000000" w:themeColor="text1"/>
          <w:lang w:val="en-US"/>
        </w:rPr>
        <w:t xml:space="preserve"> are</w:t>
      </w:r>
      <w:r w:rsidR="005832A7">
        <w:rPr>
          <w:color w:val="000000" w:themeColor="text1"/>
          <w:lang w:val="en-US"/>
        </w:rPr>
        <w:t xml:space="preserve"> </w:t>
      </w:r>
      <w:r w:rsidRPr="00086A0A">
        <w:rPr>
          <w:color w:val="000000" w:themeColor="text1"/>
          <w:lang w:val="en-US"/>
        </w:rPr>
        <w:t>crucial</w:t>
      </w:r>
      <w:r w:rsidR="005832A7">
        <w:rPr>
          <w:color w:val="000000" w:themeColor="text1"/>
          <w:lang w:val="en-US"/>
        </w:rPr>
        <w:t xml:space="preserve"> for a decision on</w:t>
      </w:r>
      <w:r w:rsidRPr="00086A0A">
        <w:rPr>
          <w:color w:val="000000" w:themeColor="text1"/>
          <w:lang w:val="en-US"/>
        </w:rPr>
        <w:t xml:space="preserve"> OAC in order to ensure </w:t>
      </w:r>
      <w:r w:rsidR="005832A7">
        <w:rPr>
          <w:color w:val="000000" w:themeColor="text1"/>
          <w:lang w:val="en-US"/>
        </w:rPr>
        <w:t>adherence</w:t>
      </w:r>
      <w:r w:rsidRPr="00086A0A">
        <w:rPr>
          <w:color w:val="000000" w:themeColor="text1"/>
          <w:lang w:val="en-US"/>
        </w:rPr>
        <w:t xml:space="preserve"> which strongly influences outcome.</w:t>
      </w:r>
    </w:p>
    <w:p w14:paraId="72988CE4" w14:textId="77777777" w:rsidR="000F7B0B" w:rsidRPr="00086A0A" w:rsidRDefault="000F7B0B" w:rsidP="002B347D">
      <w:pPr>
        <w:spacing w:line="480" w:lineRule="auto"/>
        <w:jc w:val="both"/>
        <w:rPr>
          <w:color w:val="000000" w:themeColor="text1"/>
          <w:lang w:val="en-US"/>
        </w:rPr>
      </w:pPr>
    </w:p>
    <w:p w14:paraId="7BC08378" w14:textId="1DBD2643" w:rsidR="002B347D" w:rsidRPr="000F7B0B" w:rsidRDefault="00C13B6D" w:rsidP="002B347D">
      <w:pPr>
        <w:spacing w:line="480" w:lineRule="auto"/>
        <w:jc w:val="both"/>
        <w:rPr>
          <w:b/>
          <w:bCs/>
          <w:color w:val="000000" w:themeColor="text1"/>
          <w:sz w:val="28"/>
          <w:szCs w:val="28"/>
          <w:lang w:val="en-US"/>
        </w:rPr>
      </w:pPr>
      <w:r w:rsidRPr="000F7B0B">
        <w:rPr>
          <w:b/>
          <w:bCs/>
          <w:color w:val="000000" w:themeColor="text1"/>
          <w:sz w:val="28"/>
          <w:szCs w:val="28"/>
          <w:lang w:val="en-US"/>
        </w:rPr>
        <w:t>Impact of the manuscript</w:t>
      </w:r>
    </w:p>
    <w:p w14:paraId="23809412" w14:textId="5D7A9C9B" w:rsidR="002B347D" w:rsidRPr="003A5EF9" w:rsidRDefault="003A5EF9" w:rsidP="002B347D">
      <w:pPr>
        <w:spacing w:line="480" w:lineRule="auto"/>
        <w:jc w:val="both"/>
        <w:rPr>
          <w:color w:val="000000" w:themeColor="text1"/>
          <w:lang w:val="en-GB"/>
        </w:rPr>
        <w:sectPr w:rsidR="002B347D" w:rsidRPr="003A5EF9" w:rsidSect="00BC1941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 w:rsidRPr="003A5EF9">
        <w:rPr>
          <w:color w:val="000000" w:themeColor="text1"/>
          <w:lang w:val="en-US"/>
        </w:rPr>
        <w:lastRenderedPageBreak/>
        <w:t xml:space="preserve">The ESC working group of cardiovascular </w:t>
      </w:r>
      <w:proofErr w:type="gramStart"/>
      <w:r w:rsidRPr="003A5EF9">
        <w:rPr>
          <w:color w:val="000000" w:themeColor="text1"/>
          <w:lang w:val="en-US"/>
        </w:rPr>
        <w:t>pharmacotherapy</w:t>
      </w:r>
      <w:proofErr w:type="gramEnd"/>
      <w:r w:rsidRPr="003A5EF9">
        <w:rPr>
          <w:color w:val="000000" w:themeColor="text1"/>
          <w:lang w:val="en-US"/>
        </w:rPr>
        <w:t xml:space="preserve"> and the ESC council on stroke </w:t>
      </w:r>
      <w:r w:rsidR="002B347D" w:rsidRPr="003A5EF9">
        <w:rPr>
          <w:color w:val="000000" w:themeColor="text1"/>
          <w:lang w:val="en-GB"/>
        </w:rPr>
        <w:t>conclude</w:t>
      </w:r>
      <w:r w:rsidRPr="003A5EF9">
        <w:rPr>
          <w:color w:val="000000" w:themeColor="text1"/>
          <w:lang w:val="en-GB"/>
        </w:rPr>
        <w:t>s</w:t>
      </w:r>
      <w:r w:rsidR="002B347D" w:rsidRPr="003A5EF9">
        <w:rPr>
          <w:color w:val="000000" w:themeColor="text1"/>
          <w:lang w:val="en-GB"/>
        </w:rPr>
        <w:t xml:space="preserve"> that decisions should be based on the individual balance between thromboembolic and bleeding risk</w:t>
      </w:r>
      <w:r w:rsidRPr="003A5EF9">
        <w:rPr>
          <w:color w:val="000000" w:themeColor="text1"/>
          <w:lang w:val="en-GB"/>
        </w:rPr>
        <w:t xml:space="preserve">. The major </w:t>
      </w:r>
      <w:r w:rsidR="002B347D" w:rsidRPr="003A5EF9">
        <w:rPr>
          <w:color w:val="000000" w:themeColor="text1"/>
          <w:lang w:val="en-GB"/>
        </w:rPr>
        <w:t xml:space="preserve">therapeutic preference should be on doing no harm rather than avoiding stroke. </w:t>
      </w:r>
      <w:r w:rsidRPr="003A5EF9">
        <w:rPr>
          <w:color w:val="000000" w:themeColor="text1"/>
          <w:lang w:val="en-GB"/>
        </w:rPr>
        <w:t xml:space="preserve">In this regard, several values and strategies for risk stratification were provided for clinicians to determine the individual thromboembolic risk in </w:t>
      </w:r>
      <w:r w:rsidRPr="003A5EF9">
        <w:rPr>
          <w:color w:val="000000" w:themeColor="text1"/>
          <w:lang w:val="en-US"/>
        </w:rPr>
        <w:t>patients presenting with a CHA</w:t>
      </w:r>
      <w:r w:rsidRPr="003A5EF9">
        <w:rPr>
          <w:color w:val="000000" w:themeColor="text1"/>
          <w:vertAlign w:val="subscript"/>
          <w:lang w:val="en-US"/>
        </w:rPr>
        <w:t>2</w:t>
      </w:r>
      <w:r w:rsidRPr="003A5EF9">
        <w:rPr>
          <w:color w:val="000000" w:themeColor="text1"/>
          <w:lang w:val="en-US"/>
        </w:rPr>
        <w:t>DS</w:t>
      </w:r>
      <w:r w:rsidRPr="003A5EF9">
        <w:rPr>
          <w:color w:val="000000" w:themeColor="text1"/>
          <w:vertAlign w:val="subscript"/>
          <w:lang w:val="en-US"/>
        </w:rPr>
        <w:t>2</w:t>
      </w:r>
      <w:r w:rsidRPr="003A5EF9">
        <w:rPr>
          <w:color w:val="000000" w:themeColor="text1"/>
          <w:lang w:val="en-US"/>
        </w:rPr>
        <w:t>-VASc Score of 1.</w:t>
      </w:r>
      <w:r w:rsidRPr="003A5EF9">
        <w:rPr>
          <w:color w:val="000000" w:themeColor="text1"/>
          <w:lang w:val="en-GB"/>
        </w:rPr>
        <w:t xml:space="preserve"> </w:t>
      </w:r>
      <w:r w:rsidR="00A47296" w:rsidRPr="00035A72">
        <w:rPr>
          <w:color w:val="000000" w:themeColor="text1"/>
          <w:lang w:val="en-GB"/>
        </w:rPr>
        <w:t xml:space="preserve">If the decision of OAC initiation in AF patients presenting with a </w:t>
      </w:r>
      <w:r w:rsidR="00A47296" w:rsidRPr="00035A72">
        <w:rPr>
          <w:color w:val="000000" w:themeColor="text1"/>
          <w:lang w:val="en-US"/>
        </w:rPr>
        <w:t>CHA</w:t>
      </w:r>
      <w:r w:rsidR="00A47296" w:rsidRPr="00035A72">
        <w:rPr>
          <w:color w:val="000000" w:themeColor="text1"/>
          <w:vertAlign w:val="subscript"/>
          <w:lang w:val="en-US"/>
        </w:rPr>
        <w:t>2</w:t>
      </w:r>
      <w:r w:rsidR="00A47296" w:rsidRPr="00035A72">
        <w:rPr>
          <w:color w:val="000000" w:themeColor="text1"/>
          <w:lang w:val="en-US"/>
        </w:rPr>
        <w:t>DS</w:t>
      </w:r>
      <w:r w:rsidR="00A47296" w:rsidRPr="00035A72">
        <w:rPr>
          <w:color w:val="000000" w:themeColor="text1"/>
          <w:vertAlign w:val="subscript"/>
          <w:lang w:val="en-US"/>
        </w:rPr>
        <w:t>2</w:t>
      </w:r>
      <w:r w:rsidR="00A47296" w:rsidRPr="00035A72">
        <w:rPr>
          <w:color w:val="000000" w:themeColor="text1"/>
          <w:lang w:val="en-US"/>
        </w:rPr>
        <w:t>-VASc Score of 1 has been made, N</w:t>
      </w:r>
      <w:r w:rsidR="00A47296" w:rsidRPr="00035A72">
        <w:rPr>
          <w:color w:val="000000" w:themeColor="text1"/>
          <w:lang w:val="en-GB"/>
        </w:rPr>
        <w:t>OACs with a superior net-clinical benefit should be preferred over VKAs.</w:t>
      </w:r>
      <w:r>
        <w:rPr>
          <w:color w:val="000000" w:themeColor="text1"/>
          <w:lang w:val="en-GB"/>
        </w:rPr>
        <w:t xml:space="preserve"> </w:t>
      </w:r>
      <w:r w:rsidR="00A47296">
        <w:rPr>
          <w:color w:val="000000" w:themeColor="text1"/>
          <w:lang w:val="en-GB"/>
        </w:rPr>
        <w:t>T</w:t>
      </w:r>
      <w:r w:rsidRPr="003A5EF9">
        <w:rPr>
          <w:color w:val="000000" w:themeColor="text1"/>
          <w:lang w:val="en-GB"/>
        </w:rPr>
        <w:t xml:space="preserve">here is no evidence that patients with AF presenting with a </w:t>
      </w:r>
      <w:r w:rsidRPr="003A5EF9">
        <w:rPr>
          <w:color w:val="000000" w:themeColor="text1"/>
          <w:lang w:val="en-US"/>
        </w:rPr>
        <w:t>CHA</w:t>
      </w:r>
      <w:r w:rsidRPr="003A5EF9">
        <w:rPr>
          <w:color w:val="000000" w:themeColor="text1"/>
          <w:vertAlign w:val="subscript"/>
          <w:lang w:val="en-US"/>
        </w:rPr>
        <w:t>2</w:t>
      </w:r>
      <w:r w:rsidRPr="003A5EF9">
        <w:rPr>
          <w:color w:val="000000" w:themeColor="text1"/>
          <w:lang w:val="en-US"/>
        </w:rPr>
        <w:t>DS</w:t>
      </w:r>
      <w:r w:rsidRPr="003A5EF9">
        <w:rPr>
          <w:color w:val="000000" w:themeColor="text1"/>
          <w:vertAlign w:val="subscript"/>
          <w:lang w:val="en-US"/>
        </w:rPr>
        <w:t>2</w:t>
      </w:r>
      <w:r w:rsidRPr="003A5EF9">
        <w:rPr>
          <w:color w:val="000000" w:themeColor="text1"/>
          <w:lang w:val="en-US"/>
        </w:rPr>
        <w:t>-VASc score of 1 benefit from ASA therapy</w:t>
      </w:r>
      <w:r>
        <w:rPr>
          <w:color w:val="000000" w:themeColor="text1"/>
          <w:lang w:val="en-US"/>
        </w:rPr>
        <w:t xml:space="preserve"> – t</w:t>
      </w:r>
      <w:r w:rsidRPr="003A5EF9">
        <w:rPr>
          <w:color w:val="000000" w:themeColor="text1"/>
          <w:lang w:val="en-US"/>
        </w:rPr>
        <w:t>herefore, ASA for stroke prevention should not be considered in this intermediate-risk patient population.</w:t>
      </w:r>
      <w:r w:rsidRPr="003A5EF9">
        <w:rPr>
          <w:rFonts w:eastAsiaTheme="minorHAnsi"/>
          <w:color w:val="000000" w:themeColor="text1"/>
          <w:lang w:val="en-US" w:eastAsia="en-US"/>
        </w:rPr>
        <w:t xml:space="preserve"> </w:t>
      </w:r>
      <w:r w:rsidR="00C13B6D">
        <w:rPr>
          <w:color w:val="000000" w:themeColor="text1"/>
          <w:lang w:val="en-US"/>
        </w:rPr>
        <w:t>Of utmost importance an</w:t>
      </w:r>
      <w:r w:rsidR="002B347D" w:rsidRPr="00086A0A">
        <w:rPr>
          <w:color w:val="000000" w:themeColor="text1"/>
          <w:lang w:val="en-US"/>
        </w:rPr>
        <w:t xml:space="preserve"> easily applicable tool</w:t>
      </w:r>
      <w:r w:rsidR="00C13B6D">
        <w:rPr>
          <w:color w:val="000000" w:themeColor="text1"/>
          <w:lang w:val="en-US"/>
        </w:rPr>
        <w:t xml:space="preserve"> –</w:t>
      </w:r>
      <w:r w:rsidR="002B347D" w:rsidRPr="00086A0A">
        <w:rPr>
          <w:color w:val="000000" w:themeColor="text1"/>
          <w:lang w:val="en-US"/>
        </w:rPr>
        <w:t xml:space="preserve"> including patient characteristics that favor OAC and a decision tree for the initiation of OAC </w:t>
      </w:r>
      <w:r w:rsidR="00C13B6D">
        <w:rPr>
          <w:color w:val="000000" w:themeColor="text1"/>
          <w:lang w:val="en-US"/>
        </w:rPr>
        <w:t xml:space="preserve">– </w:t>
      </w:r>
      <w:r w:rsidR="002B347D" w:rsidRPr="00086A0A">
        <w:rPr>
          <w:color w:val="000000" w:themeColor="text1"/>
          <w:lang w:val="en-US"/>
        </w:rPr>
        <w:t>is now available to guide clinicians through the question whether to anticoagulated or not and to offer AF patients with a CHA</w:t>
      </w:r>
      <w:r w:rsidR="002B347D" w:rsidRPr="00086A0A">
        <w:rPr>
          <w:color w:val="000000" w:themeColor="text1"/>
          <w:vertAlign w:val="subscript"/>
          <w:lang w:val="en-US"/>
        </w:rPr>
        <w:t>2</w:t>
      </w:r>
      <w:r w:rsidR="002B347D" w:rsidRPr="00086A0A">
        <w:rPr>
          <w:color w:val="000000" w:themeColor="text1"/>
          <w:lang w:val="en-US"/>
        </w:rPr>
        <w:t>DS</w:t>
      </w:r>
      <w:r w:rsidR="002B347D" w:rsidRPr="00086A0A">
        <w:rPr>
          <w:color w:val="000000" w:themeColor="text1"/>
          <w:vertAlign w:val="subscript"/>
          <w:lang w:val="en-US"/>
        </w:rPr>
        <w:t>2</w:t>
      </w:r>
      <w:r w:rsidR="002B347D" w:rsidRPr="00086A0A">
        <w:rPr>
          <w:color w:val="000000" w:themeColor="text1"/>
          <w:lang w:val="en-US"/>
        </w:rPr>
        <w:t>-VASc Score of 1 the currently most possible benefit. (see Figure 1)</w:t>
      </w:r>
    </w:p>
    <w:p w14:paraId="2BC8F7C5" w14:textId="15FE0F16" w:rsidR="00ED006C" w:rsidRPr="00086A0A" w:rsidRDefault="00ED006C" w:rsidP="00ED006C">
      <w:pPr>
        <w:spacing w:line="360" w:lineRule="auto"/>
        <w:jc w:val="both"/>
        <w:rPr>
          <w:b/>
          <w:color w:val="000000" w:themeColor="text1"/>
          <w:sz w:val="28"/>
          <w:szCs w:val="28"/>
          <w:lang w:val="en-US"/>
        </w:rPr>
      </w:pPr>
      <w:r w:rsidRPr="00086A0A">
        <w:rPr>
          <w:b/>
          <w:color w:val="000000" w:themeColor="text1"/>
          <w:sz w:val="28"/>
          <w:szCs w:val="28"/>
          <w:lang w:val="en-US"/>
        </w:rPr>
        <w:lastRenderedPageBreak/>
        <w:t>Acknowledgements</w:t>
      </w:r>
    </w:p>
    <w:p w14:paraId="33C37283" w14:textId="468094F3" w:rsidR="00ED006C" w:rsidRPr="00086A0A" w:rsidRDefault="00ED006C" w:rsidP="007D2610">
      <w:pPr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086A0A">
        <w:rPr>
          <w:color w:val="000000" w:themeColor="text1"/>
          <w:sz w:val="28"/>
          <w:szCs w:val="28"/>
          <w:lang w:val="en-US"/>
        </w:rPr>
        <w:t>None</w:t>
      </w:r>
    </w:p>
    <w:p w14:paraId="45D8DDFC" w14:textId="77777777" w:rsidR="00ED006C" w:rsidRPr="00086A0A" w:rsidRDefault="00ED006C" w:rsidP="007D2610">
      <w:pPr>
        <w:spacing w:line="360" w:lineRule="auto"/>
        <w:jc w:val="both"/>
        <w:rPr>
          <w:b/>
          <w:color w:val="000000" w:themeColor="text1"/>
          <w:sz w:val="28"/>
          <w:szCs w:val="28"/>
          <w:lang w:val="en-US"/>
        </w:rPr>
      </w:pPr>
    </w:p>
    <w:p w14:paraId="6BDD69E2" w14:textId="6C0CE5CD" w:rsidR="00ED006C" w:rsidRPr="00086A0A" w:rsidRDefault="00ED006C" w:rsidP="007D2610">
      <w:pPr>
        <w:spacing w:line="360" w:lineRule="auto"/>
        <w:jc w:val="both"/>
        <w:rPr>
          <w:b/>
          <w:color w:val="000000" w:themeColor="text1"/>
          <w:sz w:val="28"/>
          <w:szCs w:val="28"/>
          <w:lang w:val="en-US"/>
        </w:rPr>
      </w:pPr>
      <w:r w:rsidRPr="00086A0A">
        <w:rPr>
          <w:b/>
          <w:color w:val="000000" w:themeColor="text1"/>
          <w:sz w:val="28"/>
          <w:szCs w:val="28"/>
          <w:lang w:val="en-US"/>
        </w:rPr>
        <w:t xml:space="preserve">Funding </w:t>
      </w:r>
    </w:p>
    <w:p w14:paraId="6E195CF6" w14:textId="58E7CC04" w:rsidR="00ED006C" w:rsidRPr="00086A0A" w:rsidRDefault="00ED006C" w:rsidP="007D2610">
      <w:pPr>
        <w:spacing w:line="360" w:lineRule="auto"/>
        <w:jc w:val="both"/>
        <w:rPr>
          <w:color w:val="000000" w:themeColor="text1"/>
          <w:lang w:val="en-US"/>
        </w:rPr>
      </w:pPr>
      <w:r w:rsidRPr="00086A0A">
        <w:rPr>
          <w:color w:val="000000" w:themeColor="text1"/>
          <w:lang w:val="en-US"/>
        </w:rPr>
        <w:t>None</w:t>
      </w:r>
    </w:p>
    <w:p w14:paraId="163B8181" w14:textId="4F8AACF7" w:rsidR="00ED006C" w:rsidRPr="00086A0A" w:rsidRDefault="00ED006C" w:rsidP="007D2610">
      <w:pPr>
        <w:spacing w:line="360" w:lineRule="auto"/>
        <w:jc w:val="both"/>
        <w:rPr>
          <w:b/>
          <w:color w:val="000000" w:themeColor="text1"/>
          <w:sz w:val="28"/>
          <w:szCs w:val="28"/>
          <w:lang w:val="en-US"/>
        </w:rPr>
      </w:pPr>
    </w:p>
    <w:p w14:paraId="72DB7CB0" w14:textId="77777777" w:rsidR="00086A0A" w:rsidRPr="00086A0A" w:rsidRDefault="00086A0A" w:rsidP="00ED006C">
      <w:pPr>
        <w:spacing w:line="480" w:lineRule="auto"/>
        <w:jc w:val="both"/>
        <w:rPr>
          <w:color w:val="000000" w:themeColor="text1"/>
          <w:lang w:val="en-US"/>
        </w:rPr>
      </w:pPr>
    </w:p>
    <w:p w14:paraId="01BE027A" w14:textId="77777777" w:rsidR="00ED006C" w:rsidRPr="00086A0A" w:rsidRDefault="00ED006C" w:rsidP="00ED006C">
      <w:pPr>
        <w:widowControl w:val="0"/>
        <w:autoSpaceDE w:val="0"/>
        <w:autoSpaceDN w:val="0"/>
        <w:adjustRightInd w:val="0"/>
        <w:spacing w:line="480" w:lineRule="auto"/>
        <w:jc w:val="both"/>
        <w:rPr>
          <w:b/>
          <w:color w:val="000000" w:themeColor="text1"/>
          <w:sz w:val="8"/>
          <w:szCs w:val="8"/>
          <w:lang w:val="en-US"/>
        </w:rPr>
      </w:pPr>
    </w:p>
    <w:p w14:paraId="2AD9B65E" w14:textId="77777777" w:rsidR="00086A0A" w:rsidRPr="00086A0A" w:rsidRDefault="00086A0A" w:rsidP="00086A0A">
      <w:pPr>
        <w:spacing w:line="360" w:lineRule="auto"/>
        <w:jc w:val="both"/>
        <w:rPr>
          <w:b/>
          <w:color w:val="000000" w:themeColor="text1"/>
          <w:sz w:val="28"/>
          <w:szCs w:val="28"/>
          <w:lang w:val="en-US"/>
        </w:rPr>
        <w:sectPr w:rsidR="00086A0A" w:rsidRPr="00086A0A" w:rsidSect="00BC1941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4C6AD489" w14:textId="3791C079" w:rsidR="00086A0A" w:rsidRDefault="00086A0A" w:rsidP="00086A0A">
      <w:pPr>
        <w:spacing w:line="360" w:lineRule="auto"/>
        <w:jc w:val="both"/>
        <w:rPr>
          <w:b/>
          <w:color w:val="000000" w:themeColor="text1"/>
          <w:sz w:val="28"/>
          <w:szCs w:val="28"/>
          <w:lang w:val="en-US"/>
        </w:rPr>
      </w:pPr>
      <w:r w:rsidRPr="00086A0A">
        <w:rPr>
          <w:b/>
          <w:color w:val="000000" w:themeColor="text1"/>
          <w:sz w:val="28"/>
          <w:szCs w:val="28"/>
          <w:lang w:val="en-US"/>
        </w:rPr>
        <w:lastRenderedPageBreak/>
        <w:t>References</w:t>
      </w:r>
    </w:p>
    <w:p w14:paraId="6D91AD55" w14:textId="69069E44" w:rsidR="00645B02" w:rsidRPr="00645B02" w:rsidRDefault="00645B02" w:rsidP="00645B02">
      <w:pPr>
        <w:spacing w:line="360" w:lineRule="auto"/>
        <w:jc w:val="both"/>
        <w:rPr>
          <w:bCs/>
          <w:color w:val="000000" w:themeColor="text1"/>
          <w:lang w:val="en-US"/>
        </w:rPr>
      </w:pPr>
    </w:p>
    <w:p w14:paraId="7C663B3B" w14:textId="24C07142" w:rsidR="00645B02" w:rsidRPr="00645B02" w:rsidRDefault="00645B02" w:rsidP="00645B02">
      <w:pPr>
        <w:pStyle w:val="Listenabsatz"/>
        <w:numPr>
          <w:ilvl w:val="0"/>
          <w:numId w:val="9"/>
        </w:numPr>
        <w:spacing w:line="360" w:lineRule="auto"/>
        <w:jc w:val="both"/>
        <w:rPr>
          <w:bCs/>
          <w:color w:val="000000" w:themeColor="text1"/>
          <w:lang w:val="en-US"/>
        </w:rPr>
      </w:pPr>
      <w:proofErr w:type="spellStart"/>
      <w:r w:rsidRPr="00645B02">
        <w:rPr>
          <w:bCs/>
          <w:color w:val="000000" w:themeColor="text1"/>
          <w:lang w:val="en-US"/>
        </w:rPr>
        <w:t>Kirchhof</w:t>
      </w:r>
      <w:proofErr w:type="spellEnd"/>
      <w:r w:rsidRPr="00645B02">
        <w:rPr>
          <w:bCs/>
          <w:color w:val="000000" w:themeColor="text1"/>
          <w:lang w:val="en-US"/>
        </w:rPr>
        <w:t xml:space="preserve"> P, </w:t>
      </w:r>
      <w:proofErr w:type="spellStart"/>
      <w:r w:rsidRPr="00645B02">
        <w:rPr>
          <w:bCs/>
          <w:color w:val="000000" w:themeColor="text1"/>
          <w:lang w:val="en-US"/>
        </w:rPr>
        <w:t>Benussi</w:t>
      </w:r>
      <w:proofErr w:type="spellEnd"/>
      <w:r w:rsidRPr="00645B02">
        <w:rPr>
          <w:bCs/>
          <w:color w:val="000000" w:themeColor="text1"/>
          <w:lang w:val="en-US"/>
        </w:rPr>
        <w:t xml:space="preserve"> S, Kotecha D, </w:t>
      </w:r>
      <w:proofErr w:type="spellStart"/>
      <w:r w:rsidRPr="00645B02">
        <w:rPr>
          <w:bCs/>
          <w:color w:val="000000" w:themeColor="text1"/>
          <w:lang w:val="en-US"/>
        </w:rPr>
        <w:t>Ahlsson</w:t>
      </w:r>
      <w:proofErr w:type="spellEnd"/>
      <w:r w:rsidRPr="00645B02">
        <w:rPr>
          <w:bCs/>
          <w:color w:val="000000" w:themeColor="text1"/>
          <w:lang w:val="en-US"/>
        </w:rPr>
        <w:t xml:space="preserve"> A, </w:t>
      </w:r>
      <w:proofErr w:type="spellStart"/>
      <w:r w:rsidRPr="00645B02">
        <w:rPr>
          <w:bCs/>
          <w:color w:val="000000" w:themeColor="text1"/>
          <w:lang w:val="en-US"/>
        </w:rPr>
        <w:t>Atar</w:t>
      </w:r>
      <w:proofErr w:type="spellEnd"/>
      <w:r w:rsidRPr="00645B02">
        <w:rPr>
          <w:bCs/>
          <w:color w:val="000000" w:themeColor="text1"/>
          <w:lang w:val="en-US"/>
        </w:rPr>
        <w:t xml:space="preserve"> D, </w:t>
      </w:r>
      <w:proofErr w:type="spellStart"/>
      <w:r w:rsidRPr="00645B02">
        <w:rPr>
          <w:bCs/>
          <w:color w:val="000000" w:themeColor="text1"/>
          <w:lang w:val="en-US"/>
        </w:rPr>
        <w:t>Casadei</w:t>
      </w:r>
      <w:proofErr w:type="spellEnd"/>
      <w:r w:rsidRPr="00645B02">
        <w:rPr>
          <w:bCs/>
          <w:color w:val="000000" w:themeColor="text1"/>
          <w:lang w:val="en-US"/>
        </w:rPr>
        <w:t xml:space="preserve"> B, Castella M, Diener HC, </w:t>
      </w:r>
      <w:proofErr w:type="spellStart"/>
      <w:r w:rsidRPr="00645B02">
        <w:rPr>
          <w:bCs/>
          <w:color w:val="000000" w:themeColor="text1"/>
          <w:lang w:val="en-US"/>
        </w:rPr>
        <w:t>Heidbuchel</w:t>
      </w:r>
      <w:proofErr w:type="spellEnd"/>
      <w:r w:rsidRPr="00645B02">
        <w:rPr>
          <w:bCs/>
          <w:color w:val="000000" w:themeColor="text1"/>
          <w:lang w:val="en-US"/>
        </w:rPr>
        <w:t xml:space="preserve"> H, Hendriks J, </w:t>
      </w:r>
      <w:proofErr w:type="spellStart"/>
      <w:r w:rsidRPr="00645B02">
        <w:rPr>
          <w:bCs/>
          <w:color w:val="000000" w:themeColor="text1"/>
          <w:lang w:val="en-US"/>
        </w:rPr>
        <w:t>Hindricks</w:t>
      </w:r>
      <w:proofErr w:type="spellEnd"/>
      <w:r w:rsidRPr="00645B02">
        <w:rPr>
          <w:bCs/>
          <w:color w:val="000000" w:themeColor="text1"/>
          <w:lang w:val="en-US"/>
        </w:rPr>
        <w:t xml:space="preserve"> G, </w:t>
      </w:r>
      <w:proofErr w:type="spellStart"/>
      <w:r w:rsidRPr="00645B02">
        <w:rPr>
          <w:bCs/>
          <w:color w:val="000000" w:themeColor="text1"/>
          <w:lang w:val="en-US"/>
        </w:rPr>
        <w:t>Manolis</w:t>
      </w:r>
      <w:proofErr w:type="spellEnd"/>
      <w:r w:rsidRPr="00645B02">
        <w:rPr>
          <w:bCs/>
          <w:color w:val="000000" w:themeColor="text1"/>
          <w:lang w:val="en-US"/>
        </w:rPr>
        <w:t xml:space="preserve"> AS, </w:t>
      </w:r>
      <w:proofErr w:type="spellStart"/>
      <w:r w:rsidRPr="00645B02">
        <w:rPr>
          <w:bCs/>
          <w:color w:val="000000" w:themeColor="text1"/>
          <w:lang w:val="en-US"/>
        </w:rPr>
        <w:t>Oldgren</w:t>
      </w:r>
      <w:proofErr w:type="spellEnd"/>
      <w:r w:rsidRPr="00645B02">
        <w:rPr>
          <w:bCs/>
          <w:color w:val="000000" w:themeColor="text1"/>
          <w:lang w:val="en-US"/>
        </w:rPr>
        <w:t xml:space="preserve"> J, Popescu BA, </w:t>
      </w:r>
      <w:proofErr w:type="spellStart"/>
      <w:r w:rsidRPr="00645B02">
        <w:rPr>
          <w:bCs/>
          <w:color w:val="000000" w:themeColor="text1"/>
          <w:lang w:val="en-US"/>
        </w:rPr>
        <w:t>Schotten</w:t>
      </w:r>
      <w:proofErr w:type="spellEnd"/>
      <w:r w:rsidRPr="00645B02">
        <w:rPr>
          <w:bCs/>
          <w:color w:val="000000" w:themeColor="text1"/>
          <w:lang w:val="en-US"/>
        </w:rPr>
        <w:t xml:space="preserve"> U, Van </w:t>
      </w:r>
      <w:proofErr w:type="spellStart"/>
      <w:r w:rsidRPr="00645B02">
        <w:rPr>
          <w:bCs/>
          <w:color w:val="000000" w:themeColor="text1"/>
          <w:lang w:val="en-US"/>
        </w:rPr>
        <w:t>Putte</w:t>
      </w:r>
      <w:proofErr w:type="spellEnd"/>
      <w:r w:rsidRPr="00645B02">
        <w:rPr>
          <w:bCs/>
          <w:color w:val="000000" w:themeColor="text1"/>
          <w:lang w:val="en-US"/>
        </w:rPr>
        <w:t xml:space="preserve"> B, </w:t>
      </w:r>
      <w:proofErr w:type="spellStart"/>
      <w:r w:rsidRPr="00645B02">
        <w:rPr>
          <w:bCs/>
          <w:color w:val="000000" w:themeColor="text1"/>
          <w:lang w:val="en-US"/>
        </w:rPr>
        <w:t>Vardas</w:t>
      </w:r>
      <w:proofErr w:type="spellEnd"/>
      <w:r w:rsidRPr="00645B02">
        <w:rPr>
          <w:bCs/>
          <w:color w:val="000000" w:themeColor="text1"/>
          <w:lang w:val="en-US"/>
        </w:rPr>
        <w:t xml:space="preserve"> P; ESC Scientific Document Group. 2016 ESC Guidelines for the management of atrial fibrillation developed in collaboration with EACTS. Eur Heart J. 2016 Oct 7;37(38):2893-2962.</w:t>
      </w:r>
    </w:p>
    <w:p w14:paraId="6B04C738" w14:textId="315BAF53" w:rsidR="00645B02" w:rsidRPr="00645B02" w:rsidRDefault="00645B02" w:rsidP="00645B02">
      <w:pPr>
        <w:spacing w:line="360" w:lineRule="auto"/>
        <w:jc w:val="both"/>
        <w:rPr>
          <w:bCs/>
          <w:color w:val="000000" w:themeColor="text1"/>
          <w:lang w:val="en-US"/>
        </w:rPr>
      </w:pPr>
    </w:p>
    <w:p w14:paraId="2561BFEC" w14:textId="1678AE54" w:rsidR="00645B02" w:rsidRPr="00645B02" w:rsidRDefault="00645B02" w:rsidP="00645B02">
      <w:pPr>
        <w:pStyle w:val="Listenabsatz"/>
        <w:numPr>
          <w:ilvl w:val="0"/>
          <w:numId w:val="9"/>
        </w:numPr>
        <w:spacing w:line="360" w:lineRule="auto"/>
        <w:jc w:val="both"/>
        <w:rPr>
          <w:bCs/>
          <w:color w:val="000000" w:themeColor="text1"/>
          <w:lang w:val="en-US"/>
        </w:rPr>
      </w:pPr>
      <w:r w:rsidRPr="00645B02">
        <w:rPr>
          <w:bCs/>
          <w:color w:val="000000" w:themeColor="text1"/>
          <w:lang w:val="en-US"/>
        </w:rPr>
        <w:t xml:space="preserve">Sulzgruber P, </w:t>
      </w:r>
      <w:proofErr w:type="spellStart"/>
      <w:r w:rsidRPr="00645B02">
        <w:rPr>
          <w:bCs/>
          <w:color w:val="000000" w:themeColor="text1"/>
          <w:lang w:val="en-US"/>
        </w:rPr>
        <w:t>Wassmann</w:t>
      </w:r>
      <w:proofErr w:type="spellEnd"/>
      <w:r w:rsidRPr="00645B02">
        <w:rPr>
          <w:bCs/>
          <w:color w:val="000000" w:themeColor="text1"/>
          <w:lang w:val="en-US"/>
        </w:rPr>
        <w:t xml:space="preserve"> S, </w:t>
      </w:r>
      <w:proofErr w:type="spellStart"/>
      <w:r w:rsidRPr="00645B02">
        <w:rPr>
          <w:bCs/>
          <w:color w:val="000000" w:themeColor="text1"/>
          <w:lang w:val="en-US"/>
        </w:rPr>
        <w:t>Semb</w:t>
      </w:r>
      <w:proofErr w:type="spellEnd"/>
      <w:r w:rsidRPr="00645B02">
        <w:rPr>
          <w:bCs/>
          <w:color w:val="000000" w:themeColor="text1"/>
          <w:lang w:val="en-US"/>
        </w:rPr>
        <w:t xml:space="preserve"> AG, </w:t>
      </w:r>
      <w:proofErr w:type="spellStart"/>
      <w:r w:rsidRPr="00645B02">
        <w:rPr>
          <w:bCs/>
          <w:color w:val="000000" w:themeColor="text1"/>
          <w:lang w:val="en-US"/>
        </w:rPr>
        <w:t>Doehner</w:t>
      </w:r>
      <w:proofErr w:type="spellEnd"/>
      <w:r w:rsidRPr="00645B02">
        <w:rPr>
          <w:bCs/>
          <w:color w:val="000000" w:themeColor="text1"/>
          <w:lang w:val="en-US"/>
        </w:rPr>
        <w:t xml:space="preserve"> W, </w:t>
      </w:r>
      <w:proofErr w:type="spellStart"/>
      <w:r w:rsidRPr="00645B02">
        <w:rPr>
          <w:bCs/>
          <w:color w:val="000000" w:themeColor="text1"/>
          <w:lang w:val="en-US"/>
        </w:rPr>
        <w:t>Widimsky</w:t>
      </w:r>
      <w:proofErr w:type="spellEnd"/>
      <w:r w:rsidRPr="00645B02">
        <w:rPr>
          <w:bCs/>
          <w:color w:val="000000" w:themeColor="text1"/>
          <w:lang w:val="en-US"/>
        </w:rPr>
        <w:t xml:space="preserve"> P, Gremmel T, </w:t>
      </w:r>
      <w:proofErr w:type="spellStart"/>
      <w:r w:rsidRPr="00645B02">
        <w:rPr>
          <w:bCs/>
          <w:color w:val="000000" w:themeColor="text1"/>
          <w:lang w:val="en-US"/>
        </w:rPr>
        <w:t>Kaski</w:t>
      </w:r>
      <w:proofErr w:type="spellEnd"/>
      <w:r w:rsidRPr="00645B02">
        <w:rPr>
          <w:bCs/>
          <w:color w:val="000000" w:themeColor="text1"/>
          <w:lang w:val="en-US"/>
        </w:rPr>
        <w:t xml:space="preserve"> JC, Savarese G, </w:t>
      </w:r>
      <w:proofErr w:type="spellStart"/>
      <w:r w:rsidRPr="00645B02">
        <w:rPr>
          <w:bCs/>
          <w:color w:val="000000" w:themeColor="text1"/>
          <w:lang w:val="en-US"/>
        </w:rPr>
        <w:t>Rosano</w:t>
      </w:r>
      <w:proofErr w:type="spellEnd"/>
      <w:r w:rsidRPr="00645B02">
        <w:rPr>
          <w:bCs/>
          <w:color w:val="000000" w:themeColor="text1"/>
          <w:lang w:val="en-US"/>
        </w:rPr>
        <w:t xml:space="preserve"> GMC, </w:t>
      </w:r>
      <w:proofErr w:type="spellStart"/>
      <w:r w:rsidRPr="00645B02">
        <w:rPr>
          <w:bCs/>
          <w:color w:val="000000" w:themeColor="text1"/>
          <w:lang w:val="en-US"/>
        </w:rPr>
        <w:t>Borghi</w:t>
      </w:r>
      <w:proofErr w:type="spellEnd"/>
      <w:r w:rsidRPr="00645B02">
        <w:rPr>
          <w:bCs/>
          <w:color w:val="000000" w:themeColor="text1"/>
          <w:lang w:val="en-US"/>
        </w:rPr>
        <w:t xml:space="preserve"> C, Kjeldsen K, Torp-Pedersen C, Schmidt TA, Lewis BS, Drexel H, </w:t>
      </w:r>
      <w:proofErr w:type="spellStart"/>
      <w:r w:rsidRPr="00645B02">
        <w:rPr>
          <w:bCs/>
          <w:color w:val="000000" w:themeColor="text1"/>
          <w:lang w:val="en-US"/>
        </w:rPr>
        <w:t>Tamargo</w:t>
      </w:r>
      <w:proofErr w:type="spellEnd"/>
      <w:r w:rsidRPr="00645B02">
        <w:rPr>
          <w:bCs/>
          <w:color w:val="000000" w:themeColor="text1"/>
          <w:lang w:val="en-US"/>
        </w:rPr>
        <w:t xml:space="preserve"> J, </w:t>
      </w:r>
      <w:proofErr w:type="spellStart"/>
      <w:r w:rsidRPr="00645B02">
        <w:rPr>
          <w:bCs/>
          <w:color w:val="000000" w:themeColor="text1"/>
          <w:lang w:val="en-US"/>
        </w:rPr>
        <w:t>Atar</w:t>
      </w:r>
      <w:proofErr w:type="spellEnd"/>
      <w:r w:rsidRPr="00645B02">
        <w:rPr>
          <w:bCs/>
          <w:color w:val="000000" w:themeColor="text1"/>
          <w:lang w:val="en-US"/>
        </w:rPr>
        <w:t xml:space="preserve"> D, </w:t>
      </w:r>
      <w:proofErr w:type="spellStart"/>
      <w:r w:rsidRPr="00645B02">
        <w:rPr>
          <w:bCs/>
          <w:color w:val="000000" w:themeColor="text1"/>
          <w:lang w:val="en-US"/>
        </w:rPr>
        <w:t>Agewall</w:t>
      </w:r>
      <w:proofErr w:type="spellEnd"/>
      <w:r w:rsidRPr="00645B02">
        <w:rPr>
          <w:bCs/>
          <w:color w:val="000000" w:themeColor="text1"/>
          <w:lang w:val="en-US"/>
        </w:rPr>
        <w:t xml:space="preserve"> S, Niessner A</w:t>
      </w:r>
      <w:r w:rsidR="00B30D68">
        <w:rPr>
          <w:bCs/>
          <w:color w:val="000000" w:themeColor="text1"/>
          <w:lang w:val="en-US"/>
        </w:rPr>
        <w:t xml:space="preserve">. </w:t>
      </w:r>
      <w:r w:rsidRPr="00645B02">
        <w:rPr>
          <w:bCs/>
          <w:color w:val="000000" w:themeColor="text1"/>
          <w:lang w:val="en-US"/>
        </w:rPr>
        <w:t xml:space="preserve">Oral Anticoagulation in patients with non-valvular atrial fibrillation and a CHA2DS2-VASc score of 1 – a current opinion of the European Society of Cardiology Working Group on Cardiovascular Pharmacotherapy and European Society of Cardiology Council on Stroke. </w:t>
      </w:r>
      <w:r w:rsidR="00B30D68" w:rsidRPr="00B30D68">
        <w:rPr>
          <w:bCs/>
          <w:color w:val="000000" w:themeColor="text1"/>
          <w:lang w:val="en-US"/>
        </w:rPr>
        <w:t xml:space="preserve">Eur Heart J Cardiovasc </w:t>
      </w:r>
      <w:proofErr w:type="spellStart"/>
      <w:r w:rsidR="00B30D68" w:rsidRPr="00B30D68">
        <w:rPr>
          <w:bCs/>
          <w:color w:val="000000" w:themeColor="text1"/>
          <w:lang w:val="en-US"/>
        </w:rPr>
        <w:t>Pharmacother</w:t>
      </w:r>
      <w:proofErr w:type="spellEnd"/>
      <w:r w:rsidR="009A2623">
        <w:rPr>
          <w:bCs/>
          <w:color w:val="000000" w:themeColor="text1"/>
          <w:lang w:val="en-US"/>
        </w:rPr>
        <w:t xml:space="preserve">, pvz016, </w:t>
      </w:r>
      <w:r w:rsidR="009A2623" w:rsidRPr="009A2623">
        <w:rPr>
          <w:bCs/>
          <w:color w:val="000000" w:themeColor="text1"/>
          <w:lang w:val="en-US"/>
        </w:rPr>
        <w:t>doi.org/10.1093/</w:t>
      </w:r>
      <w:proofErr w:type="spellStart"/>
      <w:r w:rsidR="009A2623" w:rsidRPr="009A2623">
        <w:rPr>
          <w:bCs/>
          <w:color w:val="000000" w:themeColor="text1"/>
          <w:lang w:val="en-US"/>
        </w:rPr>
        <w:t>ehjcvp</w:t>
      </w:r>
      <w:proofErr w:type="spellEnd"/>
      <w:r w:rsidR="009A2623" w:rsidRPr="009A2623">
        <w:rPr>
          <w:bCs/>
          <w:color w:val="000000" w:themeColor="text1"/>
          <w:lang w:val="en-US"/>
        </w:rPr>
        <w:t>/pvz016</w:t>
      </w:r>
    </w:p>
    <w:p w14:paraId="20A68C5A" w14:textId="3E9D920D" w:rsidR="00645B02" w:rsidRPr="00645B02" w:rsidRDefault="00645B02" w:rsidP="00645B02">
      <w:pPr>
        <w:spacing w:line="360" w:lineRule="auto"/>
        <w:jc w:val="both"/>
        <w:rPr>
          <w:bCs/>
          <w:color w:val="000000" w:themeColor="text1"/>
          <w:lang w:val="en-US"/>
        </w:rPr>
      </w:pPr>
    </w:p>
    <w:p w14:paraId="196D1865" w14:textId="64F18A95" w:rsidR="00645B02" w:rsidRPr="00645B02" w:rsidRDefault="00645B02" w:rsidP="00645B02">
      <w:pPr>
        <w:pStyle w:val="Listenabsatz"/>
        <w:numPr>
          <w:ilvl w:val="0"/>
          <w:numId w:val="9"/>
        </w:numPr>
        <w:spacing w:line="360" w:lineRule="auto"/>
        <w:jc w:val="both"/>
        <w:rPr>
          <w:bCs/>
          <w:color w:val="000000" w:themeColor="text1"/>
          <w:lang w:val="en-US"/>
        </w:rPr>
      </w:pPr>
      <w:r w:rsidRPr="00645B02">
        <w:rPr>
          <w:bCs/>
          <w:color w:val="000000" w:themeColor="text1"/>
          <w:lang w:val="en-US"/>
        </w:rPr>
        <w:t xml:space="preserve">Lip GY, </w:t>
      </w:r>
      <w:proofErr w:type="spellStart"/>
      <w:r w:rsidRPr="00645B02">
        <w:rPr>
          <w:bCs/>
          <w:color w:val="000000" w:themeColor="text1"/>
          <w:lang w:val="en-US"/>
        </w:rPr>
        <w:t>Nieuwlaat</w:t>
      </w:r>
      <w:proofErr w:type="spellEnd"/>
      <w:r w:rsidRPr="00645B02">
        <w:rPr>
          <w:bCs/>
          <w:color w:val="000000" w:themeColor="text1"/>
          <w:lang w:val="en-US"/>
        </w:rPr>
        <w:t xml:space="preserve"> R, Pisters R, Lane DA, </w:t>
      </w:r>
      <w:proofErr w:type="spellStart"/>
      <w:r w:rsidRPr="00645B02">
        <w:rPr>
          <w:bCs/>
          <w:color w:val="000000" w:themeColor="text1"/>
          <w:lang w:val="en-US"/>
        </w:rPr>
        <w:t>Crijns</w:t>
      </w:r>
      <w:proofErr w:type="spellEnd"/>
      <w:r w:rsidRPr="00645B02">
        <w:rPr>
          <w:bCs/>
          <w:color w:val="000000" w:themeColor="text1"/>
          <w:lang w:val="en-US"/>
        </w:rPr>
        <w:t xml:space="preserve"> HJ. Refining clinical risk stratification for predicting stroke and thromboembolism in atrial fibrillation using a novel risk factor-based approach: the euro heart survey on atrial fibrillation. Chest. 2010 Feb;137(2):263-72. </w:t>
      </w:r>
      <w:proofErr w:type="spellStart"/>
      <w:r w:rsidRPr="00645B02">
        <w:rPr>
          <w:bCs/>
          <w:color w:val="000000" w:themeColor="text1"/>
          <w:lang w:val="en-US"/>
        </w:rPr>
        <w:t>doi</w:t>
      </w:r>
      <w:proofErr w:type="spellEnd"/>
      <w:r w:rsidRPr="00645B02">
        <w:rPr>
          <w:bCs/>
          <w:color w:val="000000" w:themeColor="text1"/>
          <w:lang w:val="en-US"/>
        </w:rPr>
        <w:t xml:space="preserve">: 10.1378/chest.09-1584. </w:t>
      </w:r>
      <w:proofErr w:type="spellStart"/>
      <w:r w:rsidRPr="00645B02">
        <w:rPr>
          <w:bCs/>
          <w:color w:val="000000" w:themeColor="text1"/>
          <w:lang w:val="en-US"/>
        </w:rPr>
        <w:t>Epub</w:t>
      </w:r>
      <w:proofErr w:type="spellEnd"/>
      <w:r w:rsidRPr="00645B02">
        <w:rPr>
          <w:bCs/>
          <w:color w:val="000000" w:themeColor="text1"/>
          <w:lang w:val="en-US"/>
        </w:rPr>
        <w:t xml:space="preserve"> 2009 Sep 17.</w:t>
      </w:r>
    </w:p>
    <w:p w14:paraId="094D9A76" w14:textId="77777777" w:rsidR="00645B02" w:rsidRPr="00645B02" w:rsidRDefault="00645B02" w:rsidP="00645B02">
      <w:pPr>
        <w:spacing w:line="360" w:lineRule="auto"/>
        <w:jc w:val="both"/>
        <w:rPr>
          <w:bCs/>
          <w:color w:val="000000" w:themeColor="text1"/>
          <w:lang w:val="en-US"/>
        </w:rPr>
      </w:pPr>
    </w:p>
    <w:p w14:paraId="3DF8D0CB" w14:textId="3E1FA15F" w:rsidR="00645B02" w:rsidRPr="00645B02" w:rsidRDefault="00645B02" w:rsidP="00645B02">
      <w:pPr>
        <w:pStyle w:val="Listenabsatz"/>
        <w:numPr>
          <w:ilvl w:val="0"/>
          <w:numId w:val="9"/>
        </w:numPr>
        <w:spacing w:line="360" w:lineRule="auto"/>
        <w:jc w:val="both"/>
        <w:rPr>
          <w:bCs/>
          <w:color w:val="000000" w:themeColor="text1"/>
          <w:lang w:val="en-US"/>
        </w:rPr>
      </w:pPr>
      <w:proofErr w:type="spellStart"/>
      <w:r w:rsidRPr="00645B02">
        <w:rPr>
          <w:bCs/>
          <w:color w:val="000000" w:themeColor="text1"/>
        </w:rPr>
        <w:t>Pisters</w:t>
      </w:r>
      <w:proofErr w:type="spellEnd"/>
      <w:r w:rsidRPr="00645B02">
        <w:rPr>
          <w:bCs/>
          <w:color w:val="000000" w:themeColor="text1"/>
        </w:rPr>
        <w:t xml:space="preserve"> R, Lane DA, </w:t>
      </w:r>
      <w:proofErr w:type="spellStart"/>
      <w:r w:rsidRPr="00645B02">
        <w:rPr>
          <w:bCs/>
          <w:color w:val="000000" w:themeColor="text1"/>
        </w:rPr>
        <w:t>Nieuwlaat</w:t>
      </w:r>
      <w:proofErr w:type="spellEnd"/>
      <w:r w:rsidRPr="00645B02">
        <w:rPr>
          <w:bCs/>
          <w:color w:val="000000" w:themeColor="text1"/>
        </w:rPr>
        <w:t xml:space="preserve"> R, de Vos CB, </w:t>
      </w:r>
      <w:proofErr w:type="spellStart"/>
      <w:r w:rsidRPr="00645B02">
        <w:rPr>
          <w:bCs/>
          <w:color w:val="000000" w:themeColor="text1"/>
        </w:rPr>
        <w:t>Crijns</w:t>
      </w:r>
      <w:proofErr w:type="spellEnd"/>
      <w:r w:rsidRPr="00645B02">
        <w:rPr>
          <w:bCs/>
          <w:color w:val="000000" w:themeColor="text1"/>
        </w:rPr>
        <w:t xml:space="preserve"> HJ, </w:t>
      </w:r>
      <w:proofErr w:type="spellStart"/>
      <w:r w:rsidRPr="00645B02">
        <w:rPr>
          <w:bCs/>
          <w:color w:val="000000" w:themeColor="text1"/>
        </w:rPr>
        <w:t>Lip</w:t>
      </w:r>
      <w:proofErr w:type="spellEnd"/>
      <w:r w:rsidRPr="00645B02">
        <w:rPr>
          <w:bCs/>
          <w:color w:val="000000" w:themeColor="text1"/>
        </w:rPr>
        <w:t xml:space="preserve"> GY. </w:t>
      </w:r>
      <w:r w:rsidRPr="00645B02">
        <w:rPr>
          <w:bCs/>
          <w:color w:val="000000" w:themeColor="text1"/>
          <w:lang w:val="en-US"/>
        </w:rPr>
        <w:t xml:space="preserve">A novel </w:t>
      </w:r>
      <w:proofErr w:type="spellStart"/>
      <w:r w:rsidRPr="00645B02">
        <w:rPr>
          <w:bCs/>
          <w:color w:val="000000" w:themeColor="text1"/>
          <w:lang w:val="en-US"/>
        </w:rPr>
        <w:t>userfriendly</w:t>
      </w:r>
      <w:proofErr w:type="spellEnd"/>
      <w:r w:rsidRPr="00645B02">
        <w:rPr>
          <w:bCs/>
          <w:color w:val="000000" w:themeColor="text1"/>
          <w:lang w:val="en-US"/>
        </w:rPr>
        <w:t xml:space="preserve"> score (HAS-BLED) to assess 1-year risk of major bleeding in patients with atrial fibrillation: the Euro Heart Survey. Chest </w:t>
      </w:r>
      <w:proofErr w:type="gramStart"/>
      <w:r w:rsidRPr="00645B02">
        <w:rPr>
          <w:bCs/>
          <w:color w:val="000000" w:themeColor="text1"/>
          <w:lang w:val="en-US"/>
        </w:rPr>
        <w:t>2010;138:1093</w:t>
      </w:r>
      <w:proofErr w:type="gramEnd"/>
      <w:r w:rsidRPr="00645B02">
        <w:rPr>
          <w:bCs/>
          <w:color w:val="000000" w:themeColor="text1"/>
          <w:lang w:val="en-US"/>
        </w:rPr>
        <w:t>–1100.</w:t>
      </w:r>
    </w:p>
    <w:p w14:paraId="6A749719" w14:textId="77777777" w:rsidR="00645B02" w:rsidRPr="00645B02" w:rsidRDefault="00645B02" w:rsidP="00645B02">
      <w:pPr>
        <w:spacing w:line="360" w:lineRule="auto"/>
        <w:jc w:val="both"/>
        <w:rPr>
          <w:bCs/>
          <w:color w:val="000000" w:themeColor="text1"/>
          <w:lang w:val="en-US"/>
        </w:rPr>
      </w:pPr>
    </w:p>
    <w:p w14:paraId="6B109FD6" w14:textId="3A88829E" w:rsidR="00645B02" w:rsidRPr="00645B02" w:rsidRDefault="00645B02" w:rsidP="00645B02">
      <w:pPr>
        <w:pStyle w:val="Listenabsatz"/>
        <w:numPr>
          <w:ilvl w:val="0"/>
          <w:numId w:val="9"/>
        </w:numPr>
        <w:spacing w:line="360" w:lineRule="auto"/>
        <w:jc w:val="both"/>
        <w:rPr>
          <w:bCs/>
          <w:color w:val="000000" w:themeColor="text1"/>
          <w:lang w:val="en-US"/>
        </w:rPr>
      </w:pPr>
      <w:r w:rsidRPr="00645B02">
        <w:rPr>
          <w:bCs/>
          <w:color w:val="000000" w:themeColor="text1"/>
          <w:lang w:val="en-US"/>
        </w:rPr>
        <w:t xml:space="preserve">Lip GY, </w:t>
      </w:r>
      <w:proofErr w:type="spellStart"/>
      <w:r w:rsidRPr="00645B02">
        <w:rPr>
          <w:bCs/>
          <w:color w:val="000000" w:themeColor="text1"/>
          <w:lang w:val="en-US"/>
        </w:rPr>
        <w:t>Frison</w:t>
      </w:r>
      <w:proofErr w:type="spellEnd"/>
      <w:r w:rsidRPr="00645B02">
        <w:rPr>
          <w:bCs/>
          <w:color w:val="000000" w:themeColor="text1"/>
          <w:lang w:val="en-US"/>
        </w:rPr>
        <w:t xml:space="preserve"> L, Halperin JL, Lane DA. Identifying patients at high risk for stroke despite anticoagulation: a comparison of contemporary stroke risk stratification schemes in an anticoagulated atrial fibrillation cohort. Stroke. 2010 Dec;41(12):2731-8. </w:t>
      </w:r>
      <w:proofErr w:type="spellStart"/>
      <w:r w:rsidRPr="00645B02">
        <w:rPr>
          <w:bCs/>
          <w:color w:val="000000" w:themeColor="text1"/>
          <w:lang w:val="en-US"/>
        </w:rPr>
        <w:t>doi</w:t>
      </w:r>
      <w:proofErr w:type="spellEnd"/>
      <w:r w:rsidRPr="00645B02">
        <w:rPr>
          <w:bCs/>
          <w:color w:val="000000" w:themeColor="text1"/>
          <w:lang w:val="en-US"/>
        </w:rPr>
        <w:t xml:space="preserve">: 10.1161/STROKEAHA.110.590257. </w:t>
      </w:r>
      <w:proofErr w:type="spellStart"/>
      <w:r w:rsidRPr="00645B02">
        <w:rPr>
          <w:bCs/>
          <w:color w:val="000000" w:themeColor="text1"/>
          <w:lang w:val="en-US"/>
        </w:rPr>
        <w:t>Epub</w:t>
      </w:r>
      <w:proofErr w:type="spellEnd"/>
      <w:r w:rsidRPr="00645B02">
        <w:rPr>
          <w:bCs/>
          <w:color w:val="000000" w:themeColor="text1"/>
          <w:lang w:val="en-US"/>
        </w:rPr>
        <w:t xml:space="preserve"> 2010 Oct 21.</w:t>
      </w:r>
    </w:p>
    <w:p w14:paraId="77D0CE7F" w14:textId="77777777" w:rsidR="00645B02" w:rsidRPr="00645B02" w:rsidRDefault="00645B02" w:rsidP="00645B02">
      <w:pPr>
        <w:spacing w:line="360" w:lineRule="auto"/>
        <w:jc w:val="both"/>
        <w:rPr>
          <w:bCs/>
          <w:color w:val="000000" w:themeColor="text1"/>
          <w:lang w:val="en-US"/>
        </w:rPr>
      </w:pPr>
    </w:p>
    <w:p w14:paraId="248520D0" w14:textId="7C4DCDAD" w:rsidR="00645B02" w:rsidRPr="00645B02" w:rsidRDefault="00645B02" w:rsidP="00645B02">
      <w:pPr>
        <w:pStyle w:val="Listenabsatz"/>
        <w:numPr>
          <w:ilvl w:val="0"/>
          <w:numId w:val="9"/>
        </w:numPr>
        <w:spacing w:line="360" w:lineRule="auto"/>
        <w:jc w:val="both"/>
        <w:rPr>
          <w:bCs/>
          <w:color w:val="000000" w:themeColor="text1"/>
          <w:lang w:val="en-US"/>
        </w:rPr>
      </w:pPr>
      <w:r w:rsidRPr="00645B02">
        <w:rPr>
          <w:bCs/>
          <w:color w:val="000000" w:themeColor="text1"/>
          <w:lang w:val="en-US"/>
        </w:rPr>
        <w:t xml:space="preserve">Friberg L, </w:t>
      </w:r>
      <w:proofErr w:type="spellStart"/>
      <w:r w:rsidRPr="00645B02">
        <w:rPr>
          <w:bCs/>
          <w:color w:val="000000" w:themeColor="text1"/>
          <w:lang w:val="en-US"/>
        </w:rPr>
        <w:t>Skeppholm</w:t>
      </w:r>
      <w:proofErr w:type="spellEnd"/>
      <w:r w:rsidRPr="00645B02">
        <w:rPr>
          <w:bCs/>
          <w:color w:val="000000" w:themeColor="text1"/>
          <w:lang w:val="en-US"/>
        </w:rPr>
        <w:t xml:space="preserve"> M, </w:t>
      </w:r>
      <w:proofErr w:type="spellStart"/>
      <w:r w:rsidRPr="00645B02">
        <w:rPr>
          <w:bCs/>
          <w:color w:val="000000" w:themeColor="text1"/>
          <w:lang w:val="en-US"/>
        </w:rPr>
        <w:t>Terént</w:t>
      </w:r>
      <w:proofErr w:type="spellEnd"/>
      <w:r w:rsidRPr="00645B02">
        <w:rPr>
          <w:bCs/>
          <w:color w:val="000000" w:themeColor="text1"/>
          <w:lang w:val="en-US"/>
        </w:rPr>
        <w:t xml:space="preserve"> A. Benefit of anticoagulation unlikely in patients with atrial fibrillation and a CHA2DS2-VASc score of 1. J Am Coll </w:t>
      </w:r>
      <w:proofErr w:type="spellStart"/>
      <w:r w:rsidRPr="00645B02">
        <w:rPr>
          <w:bCs/>
          <w:color w:val="000000" w:themeColor="text1"/>
          <w:lang w:val="en-US"/>
        </w:rPr>
        <w:t>Cardiol</w:t>
      </w:r>
      <w:proofErr w:type="spellEnd"/>
      <w:r w:rsidRPr="00645B02">
        <w:rPr>
          <w:bCs/>
          <w:color w:val="000000" w:themeColor="text1"/>
          <w:lang w:val="en-US"/>
        </w:rPr>
        <w:t xml:space="preserve">. 2015 Jan 27;65(3):225-32. </w:t>
      </w:r>
      <w:proofErr w:type="spellStart"/>
      <w:r w:rsidRPr="00645B02">
        <w:rPr>
          <w:bCs/>
          <w:color w:val="000000" w:themeColor="text1"/>
          <w:lang w:val="en-US"/>
        </w:rPr>
        <w:t>doi</w:t>
      </w:r>
      <w:proofErr w:type="spellEnd"/>
      <w:r w:rsidRPr="00645B02">
        <w:rPr>
          <w:bCs/>
          <w:color w:val="000000" w:themeColor="text1"/>
          <w:lang w:val="en-US"/>
        </w:rPr>
        <w:t>: 10.1016/j.jacc.2014.10.052.</w:t>
      </w:r>
    </w:p>
    <w:p w14:paraId="265DD1D6" w14:textId="77777777" w:rsidR="00645B02" w:rsidRDefault="00645B02" w:rsidP="00645B02">
      <w:pPr>
        <w:pStyle w:val="Titel1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  <w:color w:val="000000" w:themeColor="text1"/>
          <w:lang w:val="en-US"/>
        </w:rPr>
      </w:pPr>
      <w:r w:rsidRPr="00645B02">
        <w:rPr>
          <w:bCs/>
          <w:color w:val="000000" w:themeColor="text1"/>
          <w:lang w:val="en-US"/>
        </w:rPr>
        <w:lastRenderedPageBreak/>
        <w:t xml:space="preserve">Chao TF, Liu CJ, Wang KL, Lin YJ, Chang SL, Lo LW, Hu YF, Tuan TC, Chen TJ, Lip GY, Chen SA. Should atrial fibrillation patients with 1 additional risk factor of the CHA2DS2-VASc score (beyond sex) receive oral anticoagulation? J Am Coll </w:t>
      </w:r>
      <w:proofErr w:type="spellStart"/>
      <w:r w:rsidRPr="00645B02">
        <w:rPr>
          <w:bCs/>
          <w:color w:val="000000" w:themeColor="text1"/>
          <w:lang w:val="en-US"/>
        </w:rPr>
        <w:t>Cardiol</w:t>
      </w:r>
      <w:proofErr w:type="spellEnd"/>
      <w:r w:rsidRPr="00645B02">
        <w:rPr>
          <w:bCs/>
          <w:color w:val="000000" w:themeColor="text1"/>
          <w:lang w:val="en-US"/>
        </w:rPr>
        <w:t xml:space="preserve">. 2015 Feb 24;65(7):635-42. </w:t>
      </w:r>
      <w:proofErr w:type="spellStart"/>
      <w:r w:rsidRPr="00645B02">
        <w:rPr>
          <w:bCs/>
          <w:color w:val="000000" w:themeColor="text1"/>
          <w:lang w:val="en-US"/>
        </w:rPr>
        <w:t>doi</w:t>
      </w:r>
      <w:proofErr w:type="spellEnd"/>
      <w:r w:rsidRPr="00645B02">
        <w:rPr>
          <w:bCs/>
          <w:color w:val="000000" w:themeColor="text1"/>
          <w:lang w:val="en-US"/>
        </w:rPr>
        <w:t>: 10.1016/j.jacc.2014.11.046.</w:t>
      </w:r>
    </w:p>
    <w:p w14:paraId="7847B3CA" w14:textId="77777777" w:rsidR="00645B02" w:rsidRDefault="00645B02" w:rsidP="00645B02">
      <w:pPr>
        <w:pStyle w:val="Listenabsatz"/>
        <w:rPr>
          <w:bCs/>
          <w:color w:val="000000" w:themeColor="text1"/>
          <w:lang w:val="en-US"/>
        </w:rPr>
      </w:pPr>
    </w:p>
    <w:p w14:paraId="171D1EA3" w14:textId="661DF571" w:rsidR="00645B02" w:rsidRPr="00645B02" w:rsidRDefault="00645B02" w:rsidP="00645B02">
      <w:pPr>
        <w:pStyle w:val="Titel1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  <w:color w:val="000000" w:themeColor="text1"/>
          <w:lang w:val="en-US"/>
        </w:rPr>
      </w:pPr>
      <w:proofErr w:type="spellStart"/>
      <w:r w:rsidRPr="00645B02">
        <w:rPr>
          <w:bCs/>
          <w:color w:val="000000" w:themeColor="text1"/>
          <w:lang w:val="en-US"/>
        </w:rPr>
        <w:t>Savelieva</w:t>
      </w:r>
      <w:proofErr w:type="spellEnd"/>
      <w:r w:rsidRPr="00645B02">
        <w:rPr>
          <w:bCs/>
          <w:color w:val="000000" w:themeColor="text1"/>
          <w:lang w:val="en-US"/>
        </w:rPr>
        <w:t xml:space="preserve"> I, </w:t>
      </w:r>
      <w:proofErr w:type="spellStart"/>
      <w:r w:rsidRPr="00645B02">
        <w:rPr>
          <w:bCs/>
          <w:color w:val="000000" w:themeColor="text1"/>
          <w:lang w:val="en-US"/>
        </w:rPr>
        <w:t>Camm</w:t>
      </w:r>
      <w:proofErr w:type="spellEnd"/>
      <w:r w:rsidRPr="00645B02">
        <w:rPr>
          <w:bCs/>
          <w:color w:val="000000" w:themeColor="text1"/>
          <w:lang w:val="en-US"/>
        </w:rPr>
        <w:t xml:space="preserve"> AJ.  Clinical relevance of silent atrial fibrillation: prevalence, prognosis, quality of life, and management. J </w:t>
      </w:r>
      <w:proofErr w:type="spellStart"/>
      <w:r w:rsidRPr="00645B02">
        <w:rPr>
          <w:bCs/>
          <w:color w:val="000000" w:themeColor="text1"/>
          <w:lang w:val="en-US"/>
        </w:rPr>
        <w:t>Interv</w:t>
      </w:r>
      <w:proofErr w:type="spellEnd"/>
      <w:r w:rsidRPr="00645B02">
        <w:rPr>
          <w:bCs/>
          <w:color w:val="000000" w:themeColor="text1"/>
          <w:lang w:val="en-US"/>
        </w:rPr>
        <w:t xml:space="preserve"> Card </w:t>
      </w:r>
      <w:proofErr w:type="spellStart"/>
      <w:r w:rsidRPr="00645B02">
        <w:rPr>
          <w:bCs/>
          <w:color w:val="000000" w:themeColor="text1"/>
          <w:lang w:val="en-US"/>
        </w:rPr>
        <w:t>Electrophysiol</w:t>
      </w:r>
      <w:proofErr w:type="spellEnd"/>
      <w:r w:rsidRPr="00645B02">
        <w:rPr>
          <w:bCs/>
          <w:color w:val="000000" w:themeColor="text1"/>
          <w:lang w:val="en-US"/>
        </w:rPr>
        <w:t>. 2000 Jun;4(2):369-82</w:t>
      </w:r>
    </w:p>
    <w:p w14:paraId="5D48F873" w14:textId="77777777" w:rsidR="00645B02" w:rsidRPr="00645B02" w:rsidRDefault="00645B02" w:rsidP="00645B02">
      <w:pPr>
        <w:pStyle w:val="Titel1"/>
        <w:spacing w:before="0" w:beforeAutospacing="0" w:after="0" w:afterAutospacing="0" w:line="360" w:lineRule="auto"/>
        <w:jc w:val="both"/>
        <w:rPr>
          <w:bCs/>
          <w:color w:val="000000" w:themeColor="text1"/>
          <w:lang w:val="en-US"/>
        </w:rPr>
      </w:pPr>
    </w:p>
    <w:p w14:paraId="027A7990" w14:textId="53704B96" w:rsidR="00645B02" w:rsidRDefault="00645B02" w:rsidP="00645B02">
      <w:pPr>
        <w:pStyle w:val="Titel1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  <w:color w:val="000000" w:themeColor="text1"/>
          <w:lang w:val="en-US"/>
        </w:rPr>
      </w:pPr>
      <w:proofErr w:type="spellStart"/>
      <w:r w:rsidRPr="00645B02">
        <w:rPr>
          <w:bCs/>
          <w:color w:val="000000" w:themeColor="text1"/>
          <w:lang w:val="en-US"/>
        </w:rPr>
        <w:t>Vanassche</w:t>
      </w:r>
      <w:proofErr w:type="spellEnd"/>
      <w:r w:rsidRPr="00645B02">
        <w:rPr>
          <w:bCs/>
          <w:color w:val="000000" w:themeColor="text1"/>
          <w:lang w:val="en-US"/>
        </w:rPr>
        <w:t xml:space="preserve"> T, </w:t>
      </w:r>
      <w:proofErr w:type="spellStart"/>
      <w:r w:rsidRPr="00645B02">
        <w:rPr>
          <w:bCs/>
          <w:color w:val="000000" w:themeColor="text1"/>
          <w:lang w:val="en-US"/>
        </w:rPr>
        <w:t>Lauw</w:t>
      </w:r>
      <w:proofErr w:type="spellEnd"/>
      <w:r w:rsidRPr="00645B02">
        <w:rPr>
          <w:bCs/>
          <w:color w:val="000000" w:themeColor="text1"/>
          <w:lang w:val="en-US"/>
        </w:rPr>
        <w:t xml:space="preserve"> MN, </w:t>
      </w:r>
      <w:proofErr w:type="spellStart"/>
      <w:r w:rsidRPr="00645B02">
        <w:rPr>
          <w:bCs/>
          <w:color w:val="000000" w:themeColor="text1"/>
          <w:lang w:val="en-US"/>
        </w:rPr>
        <w:t>Eikelboom</w:t>
      </w:r>
      <w:proofErr w:type="spellEnd"/>
      <w:r w:rsidRPr="00645B02">
        <w:rPr>
          <w:bCs/>
          <w:color w:val="000000" w:themeColor="text1"/>
          <w:lang w:val="en-US"/>
        </w:rPr>
        <w:t xml:space="preserve"> JW, Healey JS, Hart RG, </w:t>
      </w:r>
      <w:proofErr w:type="spellStart"/>
      <w:r w:rsidRPr="00645B02">
        <w:rPr>
          <w:bCs/>
          <w:color w:val="000000" w:themeColor="text1"/>
          <w:lang w:val="en-US"/>
        </w:rPr>
        <w:t>Alings</w:t>
      </w:r>
      <w:proofErr w:type="spellEnd"/>
      <w:r w:rsidRPr="00645B02">
        <w:rPr>
          <w:bCs/>
          <w:color w:val="000000" w:themeColor="text1"/>
          <w:lang w:val="en-US"/>
        </w:rPr>
        <w:t xml:space="preserve"> M, </w:t>
      </w:r>
      <w:proofErr w:type="spellStart"/>
      <w:r w:rsidRPr="00645B02">
        <w:rPr>
          <w:bCs/>
          <w:color w:val="000000" w:themeColor="text1"/>
          <w:lang w:val="en-US"/>
        </w:rPr>
        <w:t>Avezum</w:t>
      </w:r>
      <w:proofErr w:type="spellEnd"/>
      <w:r w:rsidRPr="00645B02">
        <w:rPr>
          <w:bCs/>
          <w:color w:val="000000" w:themeColor="text1"/>
          <w:lang w:val="en-US"/>
        </w:rPr>
        <w:t xml:space="preserve"> A, Díaz R, </w:t>
      </w:r>
      <w:proofErr w:type="spellStart"/>
      <w:r w:rsidRPr="00645B02">
        <w:rPr>
          <w:bCs/>
          <w:color w:val="000000" w:themeColor="text1"/>
          <w:lang w:val="en-US"/>
        </w:rPr>
        <w:t>Hohnloser</w:t>
      </w:r>
      <w:proofErr w:type="spellEnd"/>
      <w:r w:rsidRPr="00645B02">
        <w:rPr>
          <w:bCs/>
          <w:color w:val="000000" w:themeColor="text1"/>
          <w:lang w:val="en-US"/>
        </w:rPr>
        <w:t xml:space="preserve"> SH, Lewis BS, </w:t>
      </w:r>
      <w:proofErr w:type="spellStart"/>
      <w:r w:rsidRPr="00645B02">
        <w:rPr>
          <w:bCs/>
          <w:color w:val="000000" w:themeColor="text1"/>
          <w:lang w:val="en-US"/>
        </w:rPr>
        <w:t>Shestakovska</w:t>
      </w:r>
      <w:proofErr w:type="spellEnd"/>
      <w:r w:rsidRPr="00645B02">
        <w:rPr>
          <w:bCs/>
          <w:color w:val="000000" w:themeColor="text1"/>
          <w:lang w:val="en-US"/>
        </w:rPr>
        <w:t xml:space="preserve"> O, Wang J, Connolly SJ. Risk of </w:t>
      </w:r>
      <w:proofErr w:type="spellStart"/>
      <w:r w:rsidRPr="00645B02">
        <w:rPr>
          <w:bCs/>
          <w:color w:val="000000" w:themeColor="text1"/>
          <w:lang w:val="en-US"/>
        </w:rPr>
        <w:t>ischaemic</w:t>
      </w:r>
      <w:proofErr w:type="spellEnd"/>
      <w:r w:rsidRPr="00645B02">
        <w:rPr>
          <w:bCs/>
          <w:color w:val="000000" w:themeColor="text1"/>
          <w:lang w:val="en-US"/>
        </w:rPr>
        <w:t xml:space="preserve"> stroke according to pattern of atrial fibrillation: analysis of 6563 aspirin-treated patients in ACTIVE-A and AVERROES. Eur Heart J. 2015 Feb 1;36(5):281-7a.</w:t>
      </w:r>
    </w:p>
    <w:p w14:paraId="1610A458" w14:textId="77777777" w:rsidR="00645B02" w:rsidRPr="00645B02" w:rsidRDefault="00645B02" w:rsidP="00645B02">
      <w:pPr>
        <w:pStyle w:val="Titel1"/>
        <w:spacing w:before="0" w:beforeAutospacing="0" w:after="0" w:afterAutospacing="0" w:line="360" w:lineRule="auto"/>
        <w:jc w:val="both"/>
        <w:rPr>
          <w:bCs/>
          <w:color w:val="000000" w:themeColor="text1"/>
          <w:lang w:val="en-US"/>
        </w:rPr>
      </w:pPr>
    </w:p>
    <w:p w14:paraId="2FC9B887" w14:textId="71C93D4C" w:rsidR="00645B02" w:rsidRDefault="00645B02" w:rsidP="00645B02">
      <w:pPr>
        <w:pStyle w:val="Titel1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  <w:color w:val="000000" w:themeColor="text1"/>
          <w:lang w:val="en-US"/>
        </w:rPr>
      </w:pPr>
      <w:r w:rsidRPr="00645B02">
        <w:rPr>
          <w:bCs/>
          <w:color w:val="000000" w:themeColor="text1"/>
          <w:lang w:val="en-US"/>
        </w:rPr>
        <w:t xml:space="preserve">Ganesan AN, Chew DP, Hartshorne T, </w:t>
      </w:r>
      <w:proofErr w:type="spellStart"/>
      <w:r w:rsidRPr="00645B02">
        <w:rPr>
          <w:bCs/>
          <w:color w:val="000000" w:themeColor="text1"/>
          <w:lang w:val="en-US"/>
        </w:rPr>
        <w:t>Selvanayagam</w:t>
      </w:r>
      <w:proofErr w:type="spellEnd"/>
      <w:r w:rsidRPr="00645B02">
        <w:rPr>
          <w:bCs/>
          <w:color w:val="000000" w:themeColor="text1"/>
          <w:lang w:val="en-US"/>
        </w:rPr>
        <w:t xml:space="preserve"> JB, Aylward PE, Sanders P, </w:t>
      </w:r>
      <w:proofErr w:type="spellStart"/>
      <w:r w:rsidRPr="00645B02">
        <w:rPr>
          <w:bCs/>
          <w:color w:val="000000" w:themeColor="text1"/>
          <w:lang w:val="en-US"/>
        </w:rPr>
        <w:t>McGavigan</w:t>
      </w:r>
      <w:proofErr w:type="spellEnd"/>
      <w:r w:rsidRPr="00645B02">
        <w:rPr>
          <w:bCs/>
          <w:color w:val="000000" w:themeColor="text1"/>
          <w:lang w:val="en-US"/>
        </w:rPr>
        <w:t xml:space="preserve"> AD. The impact of atrial fibrillation type on the risk of thromboembolism, mortality, and bleeding: a systematic review and meta-analysis. Eur Heart J. 2016 May 21;37(20):1591-602.</w:t>
      </w:r>
    </w:p>
    <w:p w14:paraId="5041829F" w14:textId="77777777" w:rsidR="00645B02" w:rsidRPr="00645B02" w:rsidRDefault="00645B02" w:rsidP="00645B02">
      <w:pPr>
        <w:pStyle w:val="Titel1"/>
        <w:spacing w:before="0" w:beforeAutospacing="0" w:after="0" w:afterAutospacing="0" w:line="360" w:lineRule="auto"/>
        <w:jc w:val="both"/>
        <w:rPr>
          <w:bCs/>
          <w:color w:val="000000" w:themeColor="text1"/>
          <w:lang w:val="en-US"/>
        </w:rPr>
      </w:pPr>
    </w:p>
    <w:p w14:paraId="3EEBDA50" w14:textId="0459B212" w:rsidR="00645B02" w:rsidRPr="00645B02" w:rsidRDefault="00645B02" w:rsidP="00645B02">
      <w:pPr>
        <w:pStyle w:val="Titel1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Cs/>
          <w:color w:val="000000" w:themeColor="text1"/>
          <w:lang w:val="en-US"/>
        </w:rPr>
      </w:pPr>
      <w:proofErr w:type="spellStart"/>
      <w:r w:rsidRPr="00645B02">
        <w:rPr>
          <w:bCs/>
          <w:color w:val="000000" w:themeColor="text1"/>
          <w:lang w:val="en-US"/>
        </w:rPr>
        <w:t>Scardi</w:t>
      </w:r>
      <w:proofErr w:type="spellEnd"/>
      <w:r w:rsidRPr="00645B02">
        <w:rPr>
          <w:bCs/>
          <w:color w:val="000000" w:themeColor="text1"/>
          <w:lang w:val="en-US"/>
        </w:rPr>
        <w:t xml:space="preserve"> S, Mazzone C, </w:t>
      </w:r>
      <w:proofErr w:type="spellStart"/>
      <w:r w:rsidRPr="00645B02">
        <w:rPr>
          <w:bCs/>
          <w:color w:val="000000" w:themeColor="text1"/>
          <w:lang w:val="en-US"/>
        </w:rPr>
        <w:t>Pandullo</w:t>
      </w:r>
      <w:proofErr w:type="spellEnd"/>
      <w:r w:rsidRPr="00645B02">
        <w:rPr>
          <w:bCs/>
          <w:color w:val="000000" w:themeColor="text1"/>
          <w:lang w:val="en-US"/>
        </w:rPr>
        <w:t xml:space="preserve"> C, Goldstein D, Poletti A, </w:t>
      </w:r>
      <w:proofErr w:type="spellStart"/>
      <w:r w:rsidRPr="00645B02">
        <w:rPr>
          <w:bCs/>
          <w:color w:val="000000" w:themeColor="text1"/>
          <w:lang w:val="en-US"/>
        </w:rPr>
        <w:t>Humar</w:t>
      </w:r>
      <w:proofErr w:type="spellEnd"/>
      <w:r w:rsidRPr="00645B02">
        <w:rPr>
          <w:bCs/>
          <w:color w:val="000000" w:themeColor="text1"/>
          <w:lang w:val="en-US"/>
        </w:rPr>
        <w:t xml:space="preserve"> F. </w:t>
      </w:r>
      <w:proofErr w:type="spellStart"/>
      <w:r w:rsidRPr="00645B02">
        <w:rPr>
          <w:bCs/>
          <w:color w:val="000000" w:themeColor="text1"/>
          <w:lang w:val="en-US"/>
        </w:rPr>
        <w:t>Loneatrialfibril</w:t>
      </w:r>
      <w:proofErr w:type="spellEnd"/>
      <w:r w:rsidRPr="00645B02">
        <w:rPr>
          <w:bCs/>
          <w:color w:val="000000" w:themeColor="text1"/>
          <w:lang w:val="en-US"/>
        </w:rPr>
        <w:t xml:space="preserve">- </w:t>
      </w:r>
      <w:proofErr w:type="spellStart"/>
      <w:r w:rsidRPr="00645B02">
        <w:rPr>
          <w:bCs/>
          <w:color w:val="000000" w:themeColor="text1"/>
          <w:lang w:val="en-US"/>
        </w:rPr>
        <w:t>lation</w:t>
      </w:r>
      <w:proofErr w:type="spellEnd"/>
      <w:r w:rsidRPr="00645B02">
        <w:rPr>
          <w:bCs/>
          <w:color w:val="000000" w:themeColor="text1"/>
          <w:lang w:val="en-US"/>
        </w:rPr>
        <w:t>: prognostic differences between paroxysmal and chronic forms after 10 years of follow-up. Am Heart J 1999;137(4 Pt 1):686–691.</w:t>
      </w:r>
    </w:p>
    <w:p w14:paraId="5ADEE992" w14:textId="6468BEC2" w:rsidR="00645B02" w:rsidRPr="00645B02" w:rsidRDefault="00645B02" w:rsidP="00645B02">
      <w:pPr>
        <w:spacing w:line="360" w:lineRule="auto"/>
        <w:jc w:val="both"/>
        <w:rPr>
          <w:bCs/>
          <w:color w:val="000000" w:themeColor="text1"/>
          <w:lang w:val="en-US"/>
        </w:rPr>
      </w:pPr>
    </w:p>
    <w:p w14:paraId="5BC29264" w14:textId="406CF822" w:rsidR="00645B02" w:rsidRPr="00645B02" w:rsidRDefault="00645B02" w:rsidP="00645B02">
      <w:pPr>
        <w:pStyle w:val="Listenabsatz"/>
        <w:numPr>
          <w:ilvl w:val="0"/>
          <w:numId w:val="9"/>
        </w:numPr>
        <w:spacing w:line="360" w:lineRule="auto"/>
        <w:jc w:val="both"/>
        <w:rPr>
          <w:bCs/>
          <w:color w:val="000000" w:themeColor="text1"/>
          <w:lang w:val="en-US"/>
        </w:rPr>
      </w:pPr>
      <w:r w:rsidRPr="00645B02">
        <w:rPr>
          <w:bCs/>
          <w:color w:val="000000" w:themeColor="text1"/>
          <w:lang w:val="en-US"/>
        </w:rPr>
        <w:t xml:space="preserve">Zeng WT, Sun XT, Tang K, Mei WY, Liu LJ, Xu Q, Cheng YJ. Risk of thromboembolic events in atrial fibrillation with chronic kidney disease. Stroke. 2015 Jan;46(1):157-63. </w:t>
      </w:r>
    </w:p>
    <w:p w14:paraId="5276EC74" w14:textId="77777777" w:rsidR="00645B02" w:rsidRPr="00645B02" w:rsidRDefault="00645B02" w:rsidP="00645B02">
      <w:pPr>
        <w:spacing w:line="360" w:lineRule="auto"/>
        <w:jc w:val="both"/>
        <w:rPr>
          <w:bCs/>
          <w:color w:val="000000" w:themeColor="text1"/>
          <w:lang w:val="en-US"/>
        </w:rPr>
      </w:pPr>
    </w:p>
    <w:p w14:paraId="375A0E16" w14:textId="3831EA06" w:rsidR="00645B02" w:rsidRPr="00645B02" w:rsidRDefault="00645B02" w:rsidP="00645B02">
      <w:pPr>
        <w:pStyle w:val="Listenabsatz"/>
        <w:numPr>
          <w:ilvl w:val="0"/>
          <w:numId w:val="9"/>
        </w:numPr>
        <w:spacing w:line="360" w:lineRule="auto"/>
        <w:jc w:val="both"/>
        <w:rPr>
          <w:bCs/>
          <w:color w:val="000000" w:themeColor="text1"/>
          <w:lang w:val="en-US"/>
        </w:rPr>
      </w:pPr>
      <w:proofErr w:type="spellStart"/>
      <w:r w:rsidRPr="00645B02">
        <w:rPr>
          <w:bCs/>
          <w:color w:val="000000" w:themeColor="text1"/>
          <w:lang w:val="en-US"/>
        </w:rPr>
        <w:t>Piccini</w:t>
      </w:r>
      <w:proofErr w:type="spellEnd"/>
      <w:r w:rsidRPr="00645B02">
        <w:rPr>
          <w:bCs/>
          <w:color w:val="000000" w:themeColor="text1"/>
          <w:lang w:val="en-US"/>
        </w:rPr>
        <w:t xml:space="preserve"> JP, Stevens SR, Chang Y, Singer DE, </w:t>
      </w:r>
      <w:proofErr w:type="spellStart"/>
      <w:r w:rsidRPr="00645B02">
        <w:rPr>
          <w:bCs/>
          <w:color w:val="000000" w:themeColor="text1"/>
          <w:lang w:val="en-US"/>
        </w:rPr>
        <w:t>Lokhnygina</w:t>
      </w:r>
      <w:proofErr w:type="spellEnd"/>
      <w:r w:rsidRPr="00645B02">
        <w:rPr>
          <w:bCs/>
          <w:color w:val="000000" w:themeColor="text1"/>
          <w:lang w:val="en-US"/>
        </w:rPr>
        <w:t xml:space="preserve"> Y, Go AS, et al. Renal dysfunction as a predictor of stroke and systemic embolism in patients with nonvalvular atrial fibrillation: validation of the R2CHADS2 index in the ROCKET AF (Rivaroxaban Once-Daily, Oral, Direct Factor </w:t>
      </w:r>
      <w:proofErr w:type="spellStart"/>
      <w:r w:rsidRPr="00645B02">
        <w:rPr>
          <w:bCs/>
          <w:color w:val="000000" w:themeColor="text1"/>
          <w:lang w:val="en-US"/>
        </w:rPr>
        <w:t>Xa</w:t>
      </w:r>
      <w:proofErr w:type="spellEnd"/>
      <w:r w:rsidRPr="00645B02">
        <w:rPr>
          <w:bCs/>
          <w:color w:val="000000" w:themeColor="text1"/>
          <w:lang w:val="en-US"/>
        </w:rPr>
        <w:t xml:space="preserve"> Inhibition Compared with Vitamin K Antagonism for Prevention of Stroke and Embolism Trial in Atrial Fibrillation) and ATRIA (Anticoagulation and Risk Factors in Atrial Fibrillation) study cohorts. Circulation. </w:t>
      </w:r>
      <w:proofErr w:type="gramStart"/>
      <w:r w:rsidRPr="00645B02">
        <w:rPr>
          <w:bCs/>
          <w:color w:val="000000" w:themeColor="text1"/>
          <w:lang w:val="en-US"/>
        </w:rPr>
        <w:t>2013;127:224</w:t>
      </w:r>
      <w:proofErr w:type="gramEnd"/>
      <w:r w:rsidRPr="00645B02">
        <w:rPr>
          <w:bCs/>
          <w:color w:val="000000" w:themeColor="text1"/>
          <w:lang w:val="en-US"/>
        </w:rPr>
        <w:t xml:space="preserve">–32. </w:t>
      </w:r>
    </w:p>
    <w:p w14:paraId="14DB23B5" w14:textId="77777777" w:rsidR="00645B02" w:rsidRPr="00645B02" w:rsidRDefault="00645B02" w:rsidP="00645B02">
      <w:pPr>
        <w:spacing w:line="360" w:lineRule="auto"/>
        <w:jc w:val="both"/>
        <w:rPr>
          <w:bCs/>
          <w:color w:val="000000" w:themeColor="text1"/>
          <w:lang w:val="en-US"/>
        </w:rPr>
      </w:pPr>
    </w:p>
    <w:p w14:paraId="681D80E4" w14:textId="09C77BD3" w:rsidR="00645B02" w:rsidRPr="00645B02" w:rsidRDefault="00645B02" w:rsidP="00086A0A">
      <w:pPr>
        <w:pStyle w:val="Listenabsatz"/>
        <w:numPr>
          <w:ilvl w:val="0"/>
          <w:numId w:val="9"/>
        </w:numPr>
        <w:spacing w:line="360" w:lineRule="auto"/>
        <w:jc w:val="both"/>
        <w:rPr>
          <w:bCs/>
          <w:color w:val="000000" w:themeColor="text1"/>
          <w:lang w:val="en-US"/>
        </w:rPr>
      </w:pPr>
      <w:r w:rsidRPr="00645B02">
        <w:rPr>
          <w:bCs/>
          <w:color w:val="000000" w:themeColor="text1"/>
          <w:lang w:val="en-US"/>
        </w:rPr>
        <w:lastRenderedPageBreak/>
        <w:t xml:space="preserve">Singer DE, Chang Y, </w:t>
      </w:r>
      <w:proofErr w:type="spellStart"/>
      <w:r w:rsidRPr="00645B02">
        <w:rPr>
          <w:bCs/>
          <w:color w:val="000000" w:themeColor="text1"/>
          <w:lang w:val="en-US"/>
        </w:rPr>
        <w:t>Borowsky</w:t>
      </w:r>
      <w:proofErr w:type="spellEnd"/>
      <w:r w:rsidRPr="00645B02">
        <w:rPr>
          <w:bCs/>
          <w:color w:val="000000" w:themeColor="text1"/>
          <w:lang w:val="en-US"/>
        </w:rPr>
        <w:t xml:space="preserve"> LH, Fang MC, </w:t>
      </w:r>
      <w:proofErr w:type="spellStart"/>
      <w:r w:rsidRPr="00645B02">
        <w:rPr>
          <w:bCs/>
          <w:color w:val="000000" w:themeColor="text1"/>
          <w:lang w:val="en-US"/>
        </w:rPr>
        <w:t>Pomernacki</w:t>
      </w:r>
      <w:proofErr w:type="spellEnd"/>
      <w:r w:rsidRPr="00645B02">
        <w:rPr>
          <w:bCs/>
          <w:color w:val="000000" w:themeColor="text1"/>
          <w:lang w:val="en-US"/>
        </w:rPr>
        <w:t xml:space="preserve"> NK, </w:t>
      </w:r>
      <w:proofErr w:type="spellStart"/>
      <w:r w:rsidRPr="00645B02">
        <w:rPr>
          <w:bCs/>
          <w:color w:val="000000" w:themeColor="text1"/>
          <w:lang w:val="en-US"/>
        </w:rPr>
        <w:t>Udaltsova</w:t>
      </w:r>
      <w:proofErr w:type="spellEnd"/>
      <w:r w:rsidRPr="00645B02">
        <w:rPr>
          <w:bCs/>
          <w:color w:val="000000" w:themeColor="text1"/>
          <w:lang w:val="en-US"/>
        </w:rPr>
        <w:t xml:space="preserve"> N, et al. A new risk scheme to predict ischemic stroke and other thromboembolism in atrial fibrillation: the ATRIA study stroke risk score. J Am Heart Assoc. 2013;</w:t>
      </w:r>
      <w:proofErr w:type="gramStart"/>
      <w:r w:rsidRPr="00645B02">
        <w:rPr>
          <w:bCs/>
          <w:color w:val="000000" w:themeColor="text1"/>
          <w:lang w:val="en-US"/>
        </w:rPr>
        <w:t>2:e</w:t>
      </w:r>
      <w:proofErr w:type="gramEnd"/>
      <w:r w:rsidRPr="00645B02">
        <w:rPr>
          <w:bCs/>
          <w:color w:val="000000" w:themeColor="text1"/>
          <w:lang w:val="en-US"/>
        </w:rPr>
        <w:t>000250.</w:t>
      </w:r>
    </w:p>
    <w:p w14:paraId="36E984A0" w14:textId="77777777" w:rsidR="00645B02" w:rsidRDefault="00645B02" w:rsidP="00ED006C">
      <w:pPr>
        <w:spacing w:line="480" w:lineRule="auto"/>
        <w:jc w:val="both"/>
        <w:rPr>
          <w:b/>
          <w:color w:val="000000" w:themeColor="text1"/>
          <w:sz w:val="28"/>
          <w:szCs w:val="28"/>
          <w:lang w:val="en-US"/>
        </w:rPr>
      </w:pPr>
    </w:p>
    <w:p w14:paraId="5649B7C8" w14:textId="2BC16FC4" w:rsidR="00645B02" w:rsidRPr="00086A0A" w:rsidRDefault="00645B02" w:rsidP="00ED006C">
      <w:pPr>
        <w:spacing w:line="480" w:lineRule="auto"/>
        <w:jc w:val="both"/>
        <w:rPr>
          <w:b/>
          <w:color w:val="000000" w:themeColor="text1"/>
          <w:sz w:val="28"/>
          <w:szCs w:val="28"/>
          <w:lang w:val="en-US"/>
        </w:rPr>
        <w:sectPr w:rsidR="00645B02" w:rsidRPr="00086A0A" w:rsidSect="00BC1941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36413441" w14:textId="77777777" w:rsidR="00086A0A" w:rsidRPr="00086A0A" w:rsidRDefault="00086A0A" w:rsidP="00E65D8F">
      <w:pPr>
        <w:spacing w:line="360" w:lineRule="auto"/>
        <w:jc w:val="center"/>
        <w:rPr>
          <w:b/>
          <w:color w:val="000000" w:themeColor="text1"/>
          <w:lang w:val="en-US"/>
        </w:rPr>
      </w:pPr>
    </w:p>
    <w:p w14:paraId="3DF174CF" w14:textId="6603AE43" w:rsidR="00CA0315" w:rsidRPr="00086A0A" w:rsidRDefault="00E65D8F" w:rsidP="00E65D8F">
      <w:pPr>
        <w:spacing w:line="360" w:lineRule="auto"/>
        <w:jc w:val="center"/>
        <w:rPr>
          <w:b/>
          <w:color w:val="000000" w:themeColor="text1"/>
          <w:lang w:val="en-US"/>
        </w:rPr>
      </w:pPr>
      <w:r w:rsidRPr="00086A0A">
        <w:rPr>
          <w:noProof/>
          <w:color w:val="000000" w:themeColor="text1"/>
          <w:lang w:eastAsia="de-AT"/>
        </w:rPr>
        <w:drawing>
          <wp:inline distT="0" distB="0" distL="0" distR="0" wp14:anchorId="66757649" wp14:editId="03B243E0">
            <wp:extent cx="7877629" cy="4052261"/>
            <wp:effectExtent l="25400" t="25400" r="22225" b="24765"/>
            <wp:docPr id="3" name="Grafik 3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695" cy="406669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E4C18F" w14:textId="77777777" w:rsidR="00E65D8F" w:rsidRPr="00086A0A" w:rsidRDefault="00E65D8F" w:rsidP="00EA7959">
      <w:pPr>
        <w:spacing w:line="360" w:lineRule="auto"/>
        <w:jc w:val="both"/>
        <w:rPr>
          <w:b/>
          <w:color w:val="000000" w:themeColor="text1"/>
          <w:lang w:val="en-US"/>
        </w:rPr>
      </w:pPr>
    </w:p>
    <w:p w14:paraId="20D86E9C" w14:textId="2A7732CE" w:rsidR="001A1F4D" w:rsidRPr="00086A0A" w:rsidRDefault="001A1F4D" w:rsidP="00EA7959">
      <w:pPr>
        <w:spacing w:line="360" w:lineRule="auto"/>
        <w:jc w:val="both"/>
        <w:rPr>
          <w:b/>
          <w:color w:val="000000" w:themeColor="text1"/>
          <w:lang w:val="en-US"/>
        </w:rPr>
      </w:pPr>
      <w:r w:rsidRPr="00086A0A">
        <w:rPr>
          <w:b/>
          <w:color w:val="000000" w:themeColor="text1"/>
          <w:lang w:val="en-US"/>
        </w:rPr>
        <w:t xml:space="preserve">Figure 1: Decision tree for OAC in </w:t>
      </w:r>
      <w:r w:rsidR="00687CF1" w:rsidRPr="00086A0A">
        <w:rPr>
          <w:b/>
          <w:color w:val="000000" w:themeColor="text1"/>
          <w:lang w:val="en-US"/>
        </w:rPr>
        <w:t>patients with AF and a CHA</w:t>
      </w:r>
      <w:r w:rsidR="00687CF1" w:rsidRPr="00086A0A">
        <w:rPr>
          <w:b/>
          <w:color w:val="000000" w:themeColor="text1"/>
          <w:vertAlign w:val="subscript"/>
          <w:lang w:val="en-US"/>
        </w:rPr>
        <w:t>2</w:t>
      </w:r>
      <w:r w:rsidR="00687CF1" w:rsidRPr="00086A0A">
        <w:rPr>
          <w:b/>
          <w:color w:val="000000" w:themeColor="text1"/>
          <w:lang w:val="en-US"/>
        </w:rPr>
        <w:t>DS</w:t>
      </w:r>
      <w:r w:rsidR="00687CF1" w:rsidRPr="00086A0A">
        <w:rPr>
          <w:b/>
          <w:color w:val="000000" w:themeColor="text1"/>
          <w:vertAlign w:val="subscript"/>
          <w:lang w:val="en-US"/>
        </w:rPr>
        <w:t>2</w:t>
      </w:r>
      <w:r w:rsidR="00687CF1" w:rsidRPr="00086A0A">
        <w:rPr>
          <w:b/>
          <w:color w:val="000000" w:themeColor="text1"/>
          <w:lang w:val="en-US"/>
        </w:rPr>
        <w:t xml:space="preserve">-VASc </w:t>
      </w:r>
      <w:r w:rsidR="0093332C" w:rsidRPr="00086A0A">
        <w:rPr>
          <w:b/>
          <w:color w:val="000000" w:themeColor="text1"/>
          <w:lang w:val="en-US"/>
        </w:rPr>
        <w:t>score</w:t>
      </w:r>
      <w:r w:rsidR="00687CF1" w:rsidRPr="00086A0A">
        <w:rPr>
          <w:b/>
          <w:color w:val="000000" w:themeColor="text1"/>
          <w:lang w:val="en-US"/>
        </w:rPr>
        <w:t xml:space="preserve"> of 1</w:t>
      </w:r>
      <w:r w:rsidR="00C96C1B" w:rsidRPr="00086A0A">
        <w:rPr>
          <w:b/>
          <w:color w:val="000000" w:themeColor="text1"/>
          <w:lang w:val="en-US"/>
        </w:rPr>
        <w:t xml:space="preserve"> and values for individual risk stratification. </w:t>
      </w:r>
      <w:r w:rsidR="00C96C1B" w:rsidRPr="00086A0A">
        <w:rPr>
          <w:color w:val="000000" w:themeColor="text1"/>
          <w:shd w:val="clear" w:color="auto" w:fill="FFFFFF"/>
          <w:lang w:val="en-US"/>
        </w:rPr>
        <w:t xml:space="preserve">Values that favor oral anticoagulation and allow individual thromboembolic risk stratification </w:t>
      </w:r>
      <w:r w:rsidR="00C96C1B" w:rsidRPr="00086A0A">
        <w:rPr>
          <w:color w:val="000000" w:themeColor="text1"/>
          <w:lang w:val="en-US"/>
        </w:rPr>
        <w:t xml:space="preserve">in AF patients with a </w:t>
      </w:r>
      <w:r w:rsidR="00C96C1B" w:rsidRPr="00086A0A">
        <w:rPr>
          <w:rFonts w:eastAsiaTheme="minorHAnsi"/>
          <w:color w:val="000000" w:themeColor="text1"/>
          <w:lang w:val="en-US" w:eastAsia="en-US"/>
        </w:rPr>
        <w:t>CHA</w:t>
      </w:r>
      <w:r w:rsidR="00C96C1B" w:rsidRPr="00086A0A">
        <w:rPr>
          <w:rFonts w:eastAsiaTheme="minorHAnsi"/>
          <w:color w:val="000000" w:themeColor="text1"/>
          <w:vertAlign w:val="subscript"/>
          <w:lang w:val="en-US" w:eastAsia="en-US"/>
        </w:rPr>
        <w:t>2</w:t>
      </w:r>
      <w:r w:rsidR="00C96C1B" w:rsidRPr="00086A0A">
        <w:rPr>
          <w:rFonts w:eastAsiaTheme="minorHAnsi"/>
          <w:color w:val="000000" w:themeColor="text1"/>
          <w:lang w:val="en-US" w:eastAsia="en-US"/>
        </w:rPr>
        <w:t>DS</w:t>
      </w:r>
      <w:r w:rsidR="00C96C1B" w:rsidRPr="00086A0A">
        <w:rPr>
          <w:rFonts w:eastAsiaTheme="minorHAnsi"/>
          <w:color w:val="000000" w:themeColor="text1"/>
          <w:vertAlign w:val="subscript"/>
          <w:lang w:val="en-US" w:eastAsia="en-US"/>
        </w:rPr>
        <w:t>2</w:t>
      </w:r>
      <w:r w:rsidR="00C96C1B" w:rsidRPr="00086A0A">
        <w:rPr>
          <w:rFonts w:eastAsiaTheme="minorHAnsi"/>
          <w:color w:val="000000" w:themeColor="text1"/>
          <w:lang w:val="en-US" w:eastAsia="en-US"/>
        </w:rPr>
        <w:t xml:space="preserve">-Vasc of 1. </w:t>
      </w:r>
      <w:r w:rsidR="00C96C1B" w:rsidRPr="00086A0A">
        <w:rPr>
          <w:color w:val="000000" w:themeColor="text1"/>
          <w:lang w:val="en-US"/>
        </w:rPr>
        <w:t xml:space="preserve">eGFR = estimated Glomerular Filtration Rate; </w:t>
      </w:r>
      <w:r w:rsidR="00C96C1B" w:rsidRPr="00086A0A">
        <w:rPr>
          <w:color w:val="000000" w:themeColor="text1"/>
          <w:lang w:val="en-GB"/>
        </w:rPr>
        <w:t>LA = Left Atrium;</w:t>
      </w:r>
      <w:r w:rsidR="00C96C1B" w:rsidRPr="00086A0A">
        <w:rPr>
          <w:color w:val="000000" w:themeColor="text1"/>
          <w:lang w:val="en-US"/>
        </w:rPr>
        <w:t xml:space="preserve"> </w:t>
      </w:r>
      <w:r w:rsidR="00C96C1B" w:rsidRPr="00086A0A">
        <w:rPr>
          <w:color w:val="000000" w:themeColor="text1"/>
          <w:lang w:val="en-GB"/>
        </w:rPr>
        <w:t xml:space="preserve">LAA = Left Atrial Appendage; </w:t>
      </w:r>
      <w:proofErr w:type="spellStart"/>
      <w:r w:rsidR="00C96C1B" w:rsidRPr="00086A0A">
        <w:rPr>
          <w:color w:val="000000" w:themeColor="text1"/>
          <w:lang w:val="en-US"/>
        </w:rPr>
        <w:t>Nt</w:t>
      </w:r>
      <w:proofErr w:type="spellEnd"/>
      <w:r w:rsidR="00C96C1B" w:rsidRPr="00086A0A">
        <w:rPr>
          <w:color w:val="000000" w:themeColor="text1"/>
          <w:lang w:val="en-US"/>
        </w:rPr>
        <w:t>-proBNP =</w:t>
      </w:r>
      <w:r w:rsidR="00C96C1B" w:rsidRPr="00086A0A">
        <w:rPr>
          <w:color w:val="000000" w:themeColor="text1"/>
          <w:lang w:val="en-GB"/>
        </w:rPr>
        <w:t xml:space="preserve"> N-terminal pro-B-type natriuretic peptide; </w:t>
      </w:r>
      <w:r w:rsidR="00CA0315" w:rsidRPr="00086A0A">
        <w:rPr>
          <w:color w:val="000000" w:themeColor="text1"/>
          <w:lang w:val="en-GB"/>
        </w:rPr>
        <w:t xml:space="preserve">NOAC = </w:t>
      </w:r>
      <w:r w:rsidR="00CA0315" w:rsidRPr="00086A0A">
        <w:rPr>
          <w:color w:val="000000" w:themeColor="text1"/>
          <w:lang w:val="en-US"/>
        </w:rPr>
        <w:t>non-Vitamin K antagonist oral anticoagulant</w:t>
      </w:r>
      <w:r w:rsidR="003F287E" w:rsidRPr="00086A0A">
        <w:rPr>
          <w:color w:val="000000" w:themeColor="text1"/>
          <w:lang w:val="en-US"/>
        </w:rPr>
        <w:t xml:space="preserve">s; </w:t>
      </w:r>
      <w:r w:rsidR="00CA0315" w:rsidRPr="00086A0A">
        <w:rPr>
          <w:color w:val="000000" w:themeColor="text1"/>
          <w:lang w:val="en-GB"/>
        </w:rPr>
        <w:t>OAC = Oral Anticoagulation</w:t>
      </w:r>
      <w:r w:rsidR="00ED006C" w:rsidRPr="00086A0A">
        <w:rPr>
          <w:color w:val="000000" w:themeColor="text1"/>
          <w:lang w:val="en-US"/>
        </w:rPr>
        <w:t xml:space="preserve">; </w:t>
      </w:r>
      <w:r w:rsidR="00CA0315" w:rsidRPr="00086A0A">
        <w:rPr>
          <w:color w:val="000000" w:themeColor="text1"/>
          <w:lang w:val="en-GB"/>
        </w:rPr>
        <w:t>VKA = Vitamin K Antagonist</w:t>
      </w:r>
      <w:r w:rsidR="00ED006C" w:rsidRPr="00086A0A">
        <w:rPr>
          <w:color w:val="000000" w:themeColor="text1"/>
          <w:lang w:val="en-GB"/>
        </w:rPr>
        <w:t>.</w:t>
      </w:r>
    </w:p>
    <w:sectPr w:rsidR="001A1F4D" w:rsidRPr="00086A0A" w:rsidSect="00E65D8F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4CDE4" w14:textId="77777777" w:rsidR="000C66C3" w:rsidRDefault="000C66C3" w:rsidP="000B3A8D">
      <w:r>
        <w:separator/>
      </w:r>
    </w:p>
  </w:endnote>
  <w:endnote w:type="continuationSeparator" w:id="0">
    <w:p w14:paraId="55ACAF8B" w14:textId="77777777" w:rsidR="000C66C3" w:rsidRDefault="000C66C3" w:rsidP="000B3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725C6" w14:textId="77777777" w:rsidR="0021286F" w:rsidRDefault="0021286F" w:rsidP="00AB4574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5B1065A" w14:textId="77777777" w:rsidR="0021286F" w:rsidRDefault="0021286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6C7CF" w14:textId="25F6FF42" w:rsidR="0021286F" w:rsidRDefault="0021286F" w:rsidP="00AB4574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832A7">
      <w:rPr>
        <w:rStyle w:val="Seitenzahl"/>
        <w:noProof/>
      </w:rPr>
      <w:t>6</w:t>
    </w:r>
    <w:r>
      <w:rPr>
        <w:rStyle w:val="Seitenzahl"/>
      </w:rPr>
      <w:fldChar w:fldCharType="end"/>
    </w:r>
  </w:p>
  <w:sdt>
    <w:sdtPr>
      <w:id w:val="209727058"/>
      <w:docPartObj>
        <w:docPartGallery w:val="Page Numbers (Bottom of Page)"/>
        <w:docPartUnique/>
      </w:docPartObj>
    </w:sdtPr>
    <w:sdtEndPr/>
    <w:sdtContent>
      <w:p w14:paraId="11CC1FA1" w14:textId="77777777" w:rsidR="0021286F" w:rsidRDefault="0021286F" w:rsidP="00AB4574">
        <w:pPr>
          <w:pStyle w:val="Fuzeile"/>
          <w:tabs>
            <w:tab w:val="clear" w:pos="9072"/>
            <w:tab w:val="left" w:pos="400"/>
            <w:tab w:val="right" w:pos="9065"/>
          </w:tabs>
        </w:pPr>
        <w:r>
          <w:tab/>
        </w:r>
        <w:r>
          <w:tab/>
        </w:r>
        <w:r>
          <w:tab/>
        </w:r>
      </w:p>
    </w:sdtContent>
  </w:sdt>
  <w:p w14:paraId="5EE61C48" w14:textId="77777777" w:rsidR="0021286F" w:rsidRDefault="0021286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14E0B" w14:textId="559C0AA5" w:rsidR="0021286F" w:rsidRDefault="0021286F" w:rsidP="00AB4574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942FE">
      <w:rPr>
        <w:rStyle w:val="Seitenzahl"/>
        <w:noProof/>
      </w:rPr>
      <w:t>0</w:t>
    </w:r>
    <w:r>
      <w:rPr>
        <w:rStyle w:val="Seitenzahl"/>
      </w:rPr>
      <w:fldChar w:fldCharType="end"/>
    </w:r>
  </w:p>
  <w:p w14:paraId="5E5BE4D2" w14:textId="77777777" w:rsidR="0021286F" w:rsidRDefault="002128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ED32B" w14:textId="77777777" w:rsidR="000C66C3" w:rsidRDefault="000C66C3" w:rsidP="000B3A8D">
      <w:r>
        <w:separator/>
      </w:r>
    </w:p>
  </w:footnote>
  <w:footnote w:type="continuationSeparator" w:id="0">
    <w:p w14:paraId="525439BE" w14:textId="77777777" w:rsidR="000C66C3" w:rsidRDefault="000C66C3" w:rsidP="000B3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643FD"/>
    <w:multiLevelType w:val="hybridMultilevel"/>
    <w:tmpl w:val="1A46538A"/>
    <w:lvl w:ilvl="0" w:tplc="33580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48563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28E5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585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FEC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AA6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44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E88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FA07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746735"/>
    <w:multiLevelType w:val="multilevel"/>
    <w:tmpl w:val="6BF4C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142B90"/>
    <w:multiLevelType w:val="hybridMultilevel"/>
    <w:tmpl w:val="D976398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06D00CE"/>
    <w:multiLevelType w:val="multilevel"/>
    <w:tmpl w:val="2320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250FA6"/>
    <w:multiLevelType w:val="hybridMultilevel"/>
    <w:tmpl w:val="2EFA86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E40E3"/>
    <w:multiLevelType w:val="hybridMultilevel"/>
    <w:tmpl w:val="3104EC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CC6297"/>
    <w:multiLevelType w:val="multilevel"/>
    <w:tmpl w:val="2C786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692A65"/>
    <w:multiLevelType w:val="hybridMultilevel"/>
    <w:tmpl w:val="3104EC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430234"/>
    <w:multiLevelType w:val="hybridMultilevel"/>
    <w:tmpl w:val="2EFA86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A8D"/>
    <w:rsid w:val="00001330"/>
    <w:rsid w:val="000106E0"/>
    <w:rsid w:val="00010E92"/>
    <w:rsid w:val="00010FAC"/>
    <w:rsid w:val="0001264B"/>
    <w:rsid w:val="00026009"/>
    <w:rsid w:val="00030C1E"/>
    <w:rsid w:val="0003344C"/>
    <w:rsid w:val="00035A72"/>
    <w:rsid w:val="00040190"/>
    <w:rsid w:val="000404A5"/>
    <w:rsid w:val="00042E83"/>
    <w:rsid w:val="00050703"/>
    <w:rsid w:val="00051A9B"/>
    <w:rsid w:val="000571BD"/>
    <w:rsid w:val="00057D1C"/>
    <w:rsid w:val="00060DBE"/>
    <w:rsid w:val="00073988"/>
    <w:rsid w:val="00077F98"/>
    <w:rsid w:val="000825AC"/>
    <w:rsid w:val="00083032"/>
    <w:rsid w:val="00085192"/>
    <w:rsid w:val="00086499"/>
    <w:rsid w:val="00086A0A"/>
    <w:rsid w:val="00092CF4"/>
    <w:rsid w:val="000933A6"/>
    <w:rsid w:val="00093900"/>
    <w:rsid w:val="000A1357"/>
    <w:rsid w:val="000A260A"/>
    <w:rsid w:val="000A4106"/>
    <w:rsid w:val="000B3A8D"/>
    <w:rsid w:val="000C039A"/>
    <w:rsid w:val="000C1F89"/>
    <w:rsid w:val="000C66C3"/>
    <w:rsid w:val="000C6813"/>
    <w:rsid w:val="000D2D5D"/>
    <w:rsid w:val="000D338E"/>
    <w:rsid w:val="000E385F"/>
    <w:rsid w:val="000E7458"/>
    <w:rsid w:val="000E7832"/>
    <w:rsid w:val="000E7F49"/>
    <w:rsid w:val="000F086A"/>
    <w:rsid w:val="000F0D23"/>
    <w:rsid w:val="000F1798"/>
    <w:rsid w:val="000F1952"/>
    <w:rsid w:val="000F2115"/>
    <w:rsid w:val="000F23F3"/>
    <w:rsid w:val="000F7B0B"/>
    <w:rsid w:val="00101D8F"/>
    <w:rsid w:val="00105971"/>
    <w:rsid w:val="00105ACA"/>
    <w:rsid w:val="001066E3"/>
    <w:rsid w:val="00107281"/>
    <w:rsid w:val="00111772"/>
    <w:rsid w:val="0011422D"/>
    <w:rsid w:val="00117B8B"/>
    <w:rsid w:val="00120C14"/>
    <w:rsid w:val="00123D3D"/>
    <w:rsid w:val="00123E2D"/>
    <w:rsid w:val="00125826"/>
    <w:rsid w:val="00126BB5"/>
    <w:rsid w:val="0013684E"/>
    <w:rsid w:val="00142CA3"/>
    <w:rsid w:val="00147737"/>
    <w:rsid w:val="00151C4A"/>
    <w:rsid w:val="00153D5C"/>
    <w:rsid w:val="00157945"/>
    <w:rsid w:val="001625A5"/>
    <w:rsid w:val="00171D07"/>
    <w:rsid w:val="00172D30"/>
    <w:rsid w:val="00173986"/>
    <w:rsid w:val="001778D5"/>
    <w:rsid w:val="0019283E"/>
    <w:rsid w:val="00193CB9"/>
    <w:rsid w:val="00194EDE"/>
    <w:rsid w:val="001950DE"/>
    <w:rsid w:val="001A1F4D"/>
    <w:rsid w:val="001B29C0"/>
    <w:rsid w:val="001B4EBB"/>
    <w:rsid w:val="001C16FD"/>
    <w:rsid w:val="001C29BF"/>
    <w:rsid w:val="001C778E"/>
    <w:rsid w:val="001D0E30"/>
    <w:rsid w:val="001F2FB2"/>
    <w:rsid w:val="001F4C1C"/>
    <w:rsid w:val="00200C53"/>
    <w:rsid w:val="002051D7"/>
    <w:rsid w:val="002072DA"/>
    <w:rsid w:val="0021286F"/>
    <w:rsid w:val="00213868"/>
    <w:rsid w:val="00216A2C"/>
    <w:rsid w:val="00232FB7"/>
    <w:rsid w:val="002407DE"/>
    <w:rsid w:val="00242D07"/>
    <w:rsid w:val="00257C9C"/>
    <w:rsid w:val="00277B08"/>
    <w:rsid w:val="00281FA3"/>
    <w:rsid w:val="00284BF6"/>
    <w:rsid w:val="00290701"/>
    <w:rsid w:val="00295B72"/>
    <w:rsid w:val="002A3096"/>
    <w:rsid w:val="002A38B2"/>
    <w:rsid w:val="002A5E15"/>
    <w:rsid w:val="002A5F62"/>
    <w:rsid w:val="002A6476"/>
    <w:rsid w:val="002B1AAB"/>
    <w:rsid w:val="002B347D"/>
    <w:rsid w:val="002B4558"/>
    <w:rsid w:val="002C0957"/>
    <w:rsid w:val="002C0DB0"/>
    <w:rsid w:val="002C4090"/>
    <w:rsid w:val="002C7BE2"/>
    <w:rsid w:val="002D1461"/>
    <w:rsid w:val="002D28CE"/>
    <w:rsid w:val="002D391F"/>
    <w:rsid w:val="002D3DFD"/>
    <w:rsid w:val="002E0B6D"/>
    <w:rsid w:val="002E222D"/>
    <w:rsid w:val="002E2FE5"/>
    <w:rsid w:val="002E6C88"/>
    <w:rsid w:val="002F1483"/>
    <w:rsid w:val="002F2C8A"/>
    <w:rsid w:val="002F52BC"/>
    <w:rsid w:val="002F604A"/>
    <w:rsid w:val="00302BDD"/>
    <w:rsid w:val="00303B8A"/>
    <w:rsid w:val="0030402A"/>
    <w:rsid w:val="0030540F"/>
    <w:rsid w:val="00307131"/>
    <w:rsid w:val="003159E3"/>
    <w:rsid w:val="0032145D"/>
    <w:rsid w:val="003222F8"/>
    <w:rsid w:val="003231B8"/>
    <w:rsid w:val="00332737"/>
    <w:rsid w:val="00332F0D"/>
    <w:rsid w:val="00336835"/>
    <w:rsid w:val="00337D2D"/>
    <w:rsid w:val="00341747"/>
    <w:rsid w:val="00346610"/>
    <w:rsid w:val="00350A49"/>
    <w:rsid w:val="00352343"/>
    <w:rsid w:val="003523B7"/>
    <w:rsid w:val="00355CFD"/>
    <w:rsid w:val="003627B2"/>
    <w:rsid w:val="0036573F"/>
    <w:rsid w:val="003671C4"/>
    <w:rsid w:val="003770C0"/>
    <w:rsid w:val="0038549F"/>
    <w:rsid w:val="00390EA3"/>
    <w:rsid w:val="00393C1A"/>
    <w:rsid w:val="00394D8A"/>
    <w:rsid w:val="003A33EA"/>
    <w:rsid w:val="003A3BFE"/>
    <w:rsid w:val="003A51E0"/>
    <w:rsid w:val="003A5EF9"/>
    <w:rsid w:val="003A624E"/>
    <w:rsid w:val="003B17DA"/>
    <w:rsid w:val="003B31F3"/>
    <w:rsid w:val="003C0F8E"/>
    <w:rsid w:val="003C22DA"/>
    <w:rsid w:val="003C2A06"/>
    <w:rsid w:val="003C65BB"/>
    <w:rsid w:val="003C7BCD"/>
    <w:rsid w:val="003D3450"/>
    <w:rsid w:val="003D6349"/>
    <w:rsid w:val="003E17B8"/>
    <w:rsid w:val="003E1ED5"/>
    <w:rsid w:val="003E2EEC"/>
    <w:rsid w:val="003E4CCA"/>
    <w:rsid w:val="003F184D"/>
    <w:rsid w:val="003F287E"/>
    <w:rsid w:val="003F483A"/>
    <w:rsid w:val="00400F31"/>
    <w:rsid w:val="00405725"/>
    <w:rsid w:val="00410DFD"/>
    <w:rsid w:val="00411AC9"/>
    <w:rsid w:val="004138A2"/>
    <w:rsid w:val="00415FFB"/>
    <w:rsid w:val="00416FA2"/>
    <w:rsid w:val="0042052C"/>
    <w:rsid w:val="00423845"/>
    <w:rsid w:val="00426540"/>
    <w:rsid w:val="00426617"/>
    <w:rsid w:val="00427D2A"/>
    <w:rsid w:val="0043088B"/>
    <w:rsid w:val="00431C0F"/>
    <w:rsid w:val="004325D1"/>
    <w:rsid w:val="00436D18"/>
    <w:rsid w:val="00436DA3"/>
    <w:rsid w:val="00443184"/>
    <w:rsid w:val="004438FD"/>
    <w:rsid w:val="00447827"/>
    <w:rsid w:val="00455D57"/>
    <w:rsid w:val="00460BEA"/>
    <w:rsid w:val="00464D78"/>
    <w:rsid w:val="00467B9A"/>
    <w:rsid w:val="00473191"/>
    <w:rsid w:val="00475B6D"/>
    <w:rsid w:val="00480B36"/>
    <w:rsid w:val="0048407C"/>
    <w:rsid w:val="00490DF4"/>
    <w:rsid w:val="00494D3F"/>
    <w:rsid w:val="004A1F2E"/>
    <w:rsid w:val="004A2119"/>
    <w:rsid w:val="004A59AF"/>
    <w:rsid w:val="004B3678"/>
    <w:rsid w:val="004B408F"/>
    <w:rsid w:val="004B638E"/>
    <w:rsid w:val="004D0464"/>
    <w:rsid w:val="004D46EF"/>
    <w:rsid w:val="004D6BFF"/>
    <w:rsid w:val="004E2D0B"/>
    <w:rsid w:val="004E5580"/>
    <w:rsid w:val="004E5861"/>
    <w:rsid w:val="004F1299"/>
    <w:rsid w:val="005038DB"/>
    <w:rsid w:val="00512885"/>
    <w:rsid w:val="005139F3"/>
    <w:rsid w:val="005153D7"/>
    <w:rsid w:val="00516A38"/>
    <w:rsid w:val="005174DD"/>
    <w:rsid w:val="00523C35"/>
    <w:rsid w:val="00531B4B"/>
    <w:rsid w:val="00542CA6"/>
    <w:rsid w:val="00544088"/>
    <w:rsid w:val="00544238"/>
    <w:rsid w:val="00547BB5"/>
    <w:rsid w:val="00553DCC"/>
    <w:rsid w:val="005566F7"/>
    <w:rsid w:val="00557DE2"/>
    <w:rsid w:val="00557FCE"/>
    <w:rsid w:val="00560834"/>
    <w:rsid w:val="005626D3"/>
    <w:rsid w:val="00563785"/>
    <w:rsid w:val="00563FF3"/>
    <w:rsid w:val="00570876"/>
    <w:rsid w:val="00572DEC"/>
    <w:rsid w:val="00573E51"/>
    <w:rsid w:val="00574EE4"/>
    <w:rsid w:val="005822B5"/>
    <w:rsid w:val="0058261F"/>
    <w:rsid w:val="005832A7"/>
    <w:rsid w:val="00586DE8"/>
    <w:rsid w:val="00587156"/>
    <w:rsid w:val="005936CC"/>
    <w:rsid w:val="0059678F"/>
    <w:rsid w:val="005A1703"/>
    <w:rsid w:val="005B043D"/>
    <w:rsid w:val="005B3CD6"/>
    <w:rsid w:val="005D0A3C"/>
    <w:rsid w:val="005D0BD0"/>
    <w:rsid w:val="005D2A52"/>
    <w:rsid w:val="005D36CE"/>
    <w:rsid w:val="005D7511"/>
    <w:rsid w:val="005E0A62"/>
    <w:rsid w:val="005E6B04"/>
    <w:rsid w:val="005F47DB"/>
    <w:rsid w:val="005F74E3"/>
    <w:rsid w:val="005F7A91"/>
    <w:rsid w:val="005F7E14"/>
    <w:rsid w:val="00601833"/>
    <w:rsid w:val="006066B8"/>
    <w:rsid w:val="00612381"/>
    <w:rsid w:val="00613D3E"/>
    <w:rsid w:val="00615808"/>
    <w:rsid w:val="0062258C"/>
    <w:rsid w:val="006229A5"/>
    <w:rsid w:val="0062459F"/>
    <w:rsid w:val="00631516"/>
    <w:rsid w:val="006416B1"/>
    <w:rsid w:val="00642C5E"/>
    <w:rsid w:val="00644C45"/>
    <w:rsid w:val="00645B02"/>
    <w:rsid w:val="00653DEF"/>
    <w:rsid w:val="00655386"/>
    <w:rsid w:val="00657B4A"/>
    <w:rsid w:val="006707B6"/>
    <w:rsid w:val="00671029"/>
    <w:rsid w:val="00672A25"/>
    <w:rsid w:val="00673360"/>
    <w:rsid w:val="00675A33"/>
    <w:rsid w:val="00687A72"/>
    <w:rsid w:val="00687CF1"/>
    <w:rsid w:val="0069116C"/>
    <w:rsid w:val="0069230F"/>
    <w:rsid w:val="00697FCA"/>
    <w:rsid w:val="006B08CF"/>
    <w:rsid w:val="006C3BBA"/>
    <w:rsid w:val="006C4BB3"/>
    <w:rsid w:val="006C5D03"/>
    <w:rsid w:val="006C67EA"/>
    <w:rsid w:val="006C6D7A"/>
    <w:rsid w:val="006C6E88"/>
    <w:rsid w:val="006D11AE"/>
    <w:rsid w:val="006D63BB"/>
    <w:rsid w:val="006E2205"/>
    <w:rsid w:val="006E6E82"/>
    <w:rsid w:val="006E7AA8"/>
    <w:rsid w:val="006F1329"/>
    <w:rsid w:val="00702F5A"/>
    <w:rsid w:val="00704576"/>
    <w:rsid w:val="00711F39"/>
    <w:rsid w:val="00714D22"/>
    <w:rsid w:val="00720898"/>
    <w:rsid w:val="0072534B"/>
    <w:rsid w:val="0072639C"/>
    <w:rsid w:val="0073339D"/>
    <w:rsid w:val="007359E7"/>
    <w:rsid w:val="00737696"/>
    <w:rsid w:val="00741C70"/>
    <w:rsid w:val="0074466B"/>
    <w:rsid w:val="00747F4D"/>
    <w:rsid w:val="00750040"/>
    <w:rsid w:val="00751C43"/>
    <w:rsid w:val="00753AC6"/>
    <w:rsid w:val="0077143E"/>
    <w:rsid w:val="00772B53"/>
    <w:rsid w:val="00773721"/>
    <w:rsid w:val="00785C83"/>
    <w:rsid w:val="0078623A"/>
    <w:rsid w:val="007A2D30"/>
    <w:rsid w:val="007A2F29"/>
    <w:rsid w:val="007A5F90"/>
    <w:rsid w:val="007B144B"/>
    <w:rsid w:val="007B24E9"/>
    <w:rsid w:val="007C01D5"/>
    <w:rsid w:val="007C2873"/>
    <w:rsid w:val="007C3169"/>
    <w:rsid w:val="007C31A9"/>
    <w:rsid w:val="007C56D3"/>
    <w:rsid w:val="007D2610"/>
    <w:rsid w:val="007D6C99"/>
    <w:rsid w:val="007E204B"/>
    <w:rsid w:val="007E42D5"/>
    <w:rsid w:val="007E6C0B"/>
    <w:rsid w:val="007E7470"/>
    <w:rsid w:val="007E7AA2"/>
    <w:rsid w:val="007F109D"/>
    <w:rsid w:val="007F78DC"/>
    <w:rsid w:val="008007F3"/>
    <w:rsid w:val="0080154E"/>
    <w:rsid w:val="00801761"/>
    <w:rsid w:val="00804F84"/>
    <w:rsid w:val="00810DBE"/>
    <w:rsid w:val="00811C8D"/>
    <w:rsid w:val="00812ECD"/>
    <w:rsid w:val="00814C3F"/>
    <w:rsid w:val="00823B52"/>
    <w:rsid w:val="00825234"/>
    <w:rsid w:val="0083225E"/>
    <w:rsid w:val="008327F4"/>
    <w:rsid w:val="008421FC"/>
    <w:rsid w:val="00842F0A"/>
    <w:rsid w:val="00846AB3"/>
    <w:rsid w:val="0085686B"/>
    <w:rsid w:val="00864572"/>
    <w:rsid w:val="0086508F"/>
    <w:rsid w:val="00867138"/>
    <w:rsid w:val="008712CE"/>
    <w:rsid w:val="00877E2B"/>
    <w:rsid w:val="008842D4"/>
    <w:rsid w:val="008849B9"/>
    <w:rsid w:val="00886F73"/>
    <w:rsid w:val="0089426F"/>
    <w:rsid w:val="008A0B29"/>
    <w:rsid w:val="008B20EE"/>
    <w:rsid w:val="008B2374"/>
    <w:rsid w:val="008B3D35"/>
    <w:rsid w:val="008B4D03"/>
    <w:rsid w:val="008B4E26"/>
    <w:rsid w:val="008B743A"/>
    <w:rsid w:val="008C0232"/>
    <w:rsid w:val="008D6804"/>
    <w:rsid w:val="008E54D5"/>
    <w:rsid w:val="008F3F5F"/>
    <w:rsid w:val="008F5840"/>
    <w:rsid w:val="008F5B6C"/>
    <w:rsid w:val="00900C37"/>
    <w:rsid w:val="00910191"/>
    <w:rsid w:val="00912A4D"/>
    <w:rsid w:val="009231D4"/>
    <w:rsid w:val="00923779"/>
    <w:rsid w:val="00930E48"/>
    <w:rsid w:val="0093332C"/>
    <w:rsid w:val="00934490"/>
    <w:rsid w:val="00940E4A"/>
    <w:rsid w:val="009462A2"/>
    <w:rsid w:val="00952B58"/>
    <w:rsid w:val="0096132F"/>
    <w:rsid w:val="00963083"/>
    <w:rsid w:val="009637BE"/>
    <w:rsid w:val="00966FA3"/>
    <w:rsid w:val="009708A6"/>
    <w:rsid w:val="009714E6"/>
    <w:rsid w:val="00972F77"/>
    <w:rsid w:val="00982B36"/>
    <w:rsid w:val="00983699"/>
    <w:rsid w:val="00993FC9"/>
    <w:rsid w:val="00995399"/>
    <w:rsid w:val="0099593F"/>
    <w:rsid w:val="00996003"/>
    <w:rsid w:val="00997F34"/>
    <w:rsid w:val="009A1061"/>
    <w:rsid w:val="009A16E6"/>
    <w:rsid w:val="009A23E5"/>
    <w:rsid w:val="009A2623"/>
    <w:rsid w:val="009A2A23"/>
    <w:rsid w:val="009A2C4B"/>
    <w:rsid w:val="009A6327"/>
    <w:rsid w:val="009A6CEE"/>
    <w:rsid w:val="009C4C5D"/>
    <w:rsid w:val="009D0F3A"/>
    <w:rsid w:val="009D29D3"/>
    <w:rsid w:val="009D2BF6"/>
    <w:rsid w:val="009E39E7"/>
    <w:rsid w:val="009E4132"/>
    <w:rsid w:val="009F17E6"/>
    <w:rsid w:val="009F1872"/>
    <w:rsid w:val="009F3587"/>
    <w:rsid w:val="009F6CA3"/>
    <w:rsid w:val="00A059EB"/>
    <w:rsid w:val="00A059FB"/>
    <w:rsid w:val="00A06530"/>
    <w:rsid w:val="00A0765B"/>
    <w:rsid w:val="00A1278D"/>
    <w:rsid w:val="00A146A7"/>
    <w:rsid w:val="00A21107"/>
    <w:rsid w:val="00A26EF2"/>
    <w:rsid w:val="00A30105"/>
    <w:rsid w:val="00A4240B"/>
    <w:rsid w:val="00A439D9"/>
    <w:rsid w:val="00A47296"/>
    <w:rsid w:val="00A47E63"/>
    <w:rsid w:val="00A55CC5"/>
    <w:rsid w:val="00A60269"/>
    <w:rsid w:val="00A6188B"/>
    <w:rsid w:val="00A713E7"/>
    <w:rsid w:val="00A714E8"/>
    <w:rsid w:val="00A73EC1"/>
    <w:rsid w:val="00A73F5F"/>
    <w:rsid w:val="00A77C75"/>
    <w:rsid w:val="00A826B3"/>
    <w:rsid w:val="00A8384E"/>
    <w:rsid w:val="00A922CF"/>
    <w:rsid w:val="00AA47D9"/>
    <w:rsid w:val="00AA4FCB"/>
    <w:rsid w:val="00AA5A4C"/>
    <w:rsid w:val="00AA7D14"/>
    <w:rsid w:val="00AB4574"/>
    <w:rsid w:val="00AB5917"/>
    <w:rsid w:val="00AC16D2"/>
    <w:rsid w:val="00AC664B"/>
    <w:rsid w:val="00AC6B02"/>
    <w:rsid w:val="00AC7C99"/>
    <w:rsid w:val="00AD0549"/>
    <w:rsid w:val="00AD6380"/>
    <w:rsid w:val="00AE034F"/>
    <w:rsid w:val="00AF2326"/>
    <w:rsid w:val="00AF3DCA"/>
    <w:rsid w:val="00AF49FE"/>
    <w:rsid w:val="00AF5E5B"/>
    <w:rsid w:val="00AF69DF"/>
    <w:rsid w:val="00B0430B"/>
    <w:rsid w:val="00B0641A"/>
    <w:rsid w:val="00B12E93"/>
    <w:rsid w:val="00B20D0E"/>
    <w:rsid w:val="00B30D68"/>
    <w:rsid w:val="00B32891"/>
    <w:rsid w:val="00B408B1"/>
    <w:rsid w:val="00B40D1B"/>
    <w:rsid w:val="00B4320C"/>
    <w:rsid w:val="00B4605C"/>
    <w:rsid w:val="00B55C81"/>
    <w:rsid w:val="00B563E0"/>
    <w:rsid w:val="00B5752F"/>
    <w:rsid w:val="00B57B18"/>
    <w:rsid w:val="00B61EA7"/>
    <w:rsid w:val="00B656CD"/>
    <w:rsid w:val="00B7166D"/>
    <w:rsid w:val="00B747D2"/>
    <w:rsid w:val="00B75DD6"/>
    <w:rsid w:val="00B77246"/>
    <w:rsid w:val="00B8281B"/>
    <w:rsid w:val="00B8700A"/>
    <w:rsid w:val="00B8775D"/>
    <w:rsid w:val="00B93752"/>
    <w:rsid w:val="00B9712F"/>
    <w:rsid w:val="00BB0084"/>
    <w:rsid w:val="00BC121D"/>
    <w:rsid w:val="00BC143C"/>
    <w:rsid w:val="00BC1675"/>
    <w:rsid w:val="00BC1941"/>
    <w:rsid w:val="00BC1CC2"/>
    <w:rsid w:val="00BC6ACA"/>
    <w:rsid w:val="00BD0B79"/>
    <w:rsid w:val="00BD2F3F"/>
    <w:rsid w:val="00BD2F83"/>
    <w:rsid w:val="00C025A4"/>
    <w:rsid w:val="00C07237"/>
    <w:rsid w:val="00C13B6D"/>
    <w:rsid w:val="00C16AB6"/>
    <w:rsid w:val="00C16EAB"/>
    <w:rsid w:val="00C31505"/>
    <w:rsid w:val="00C342BB"/>
    <w:rsid w:val="00C37BA6"/>
    <w:rsid w:val="00C37EAE"/>
    <w:rsid w:val="00C46170"/>
    <w:rsid w:val="00C47C04"/>
    <w:rsid w:val="00C563FA"/>
    <w:rsid w:val="00C57D23"/>
    <w:rsid w:val="00C62DAE"/>
    <w:rsid w:val="00C63CC7"/>
    <w:rsid w:val="00C6619F"/>
    <w:rsid w:val="00C713D5"/>
    <w:rsid w:val="00C71D64"/>
    <w:rsid w:val="00C73DA4"/>
    <w:rsid w:val="00C7719C"/>
    <w:rsid w:val="00C778D1"/>
    <w:rsid w:val="00C83211"/>
    <w:rsid w:val="00C8435D"/>
    <w:rsid w:val="00C845BD"/>
    <w:rsid w:val="00C935AF"/>
    <w:rsid w:val="00C93BD2"/>
    <w:rsid w:val="00C9412C"/>
    <w:rsid w:val="00C94ABF"/>
    <w:rsid w:val="00C96C1B"/>
    <w:rsid w:val="00CA0315"/>
    <w:rsid w:val="00CA1DAA"/>
    <w:rsid w:val="00CB1196"/>
    <w:rsid w:val="00CB3ACA"/>
    <w:rsid w:val="00CB60BB"/>
    <w:rsid w:val="00CC772B"/>
    <w:rsid w:val="00CC7B49"/>
    <w:rsid w:val="00CD087A"/>
    <w:rsid w:val="00CD34A2"/>
    <w:rsid w:val="00CD4142"/>
    <w:rsid w:val="00CD6E3E"/>
    <w:rsid w:val="00CE19B1"/>
    <w:rsid w:val="00CF0417"/>
    <w:rsid w:val="00CF1B64"/>
    <w:rsid w:val="00CF349C"/>
    <w:rsid w:val="00CF4410"/>
    <w:rsid w:val="00D036A9"/>
    <w:rsid w:val="00D039B9"/>
    <w:rsid w:val="00D12DF8"/>
    <w:rsid w:val="00D201D0"/>
    <w:rsid w:val="00D203A2"/>
    <w:rsid w:val="00D2164C"/>
    <w:rsid w:val="00D22E13"/>
    <w:rsid w:val="00D24450"/>
    <w:rsid w:val="00D33CA4"/>
    <w:rsid w:val="00D3434E"/>
    <w:rsid w:val="00D35F5C"/>
    <w:rsid w:val="00D40FDD"/>
    <w:rsid w:val="00D4652E"/>
    <w:rsid w:val="00D47BF9"/>
    <w:rsid w:val="00D500FE"/>
    <w:rsid w:val="00D51AB2"/>
    <w:rsid w:val="00D5764C"/>
    <w:rsid w:val="00D6159A"/>
    <w:rsid w:val="00D63CE7"/>
    <w:rsid w:val="00D67E77"/>
    <w:rsid w:val="00D71A74"/>
    <w:rsid w:val="00D77EA1"/>
    <w:rsid w:val="00D82F7C"/>
    <w:rsid w:val="00D90334"/>
    <w:rsid w:val="00D914E7"/>
    <w:rsid w:val="00D9271B"/>
    <w:rsid w:val="00D95F84"/>
    <w:rsid w:val="00D97B11"/>
    <w:rsid w:val="00DA1663"/>
    <w:rsid w:val="00DA6BB7"/>
    <w:rsid w:val="00DB2090"/>
    <w:rsid w:val="00DC1E62"/>
    <w:rsid w:val="00DC71B2"/>
    <w:rsid w:val="00DD17DA"/>
    <w:rsid w:val="00DE35E1"/>
    <w:rsid w:val="00DF0FD5"/>
    <w:rsid w:val="00DF1D5A"/>
    <w:rsid w:val="00DF6EFD"/>
    <w:rsid w:val="00E02283"/>
    <w:rsid w:val="00E05D4A"/>
    <w:rsid w:val="00E10EBB"/>
    <w:rsid w:val="00E12369"/>
    <w:rsid w:val="00E13CA8"/>
    <w:rsid w:val="00E147BD"/>
    <w:rsid w:val="00E20833"/>
    <w:rsid w:val="00E246D1"/>
    <w:rsid w:val="00E257EF"/>
    <w:rsid w:val="00E30873"/>
    <w:rsid w:val="00E32DF9"/>
    <w:rsid w:val="00E358A4"/>
    <w:rsid w:val="00E35D18"/>
    <w:rsid w:val="00E42CF9"/>
    <w:rsid w:val="00E5142B"/>
    <w:rsid w:val="00E528AD"/>
    <w:rsid w:val="00E53A9E"/>
    <w:rsid w:val="00E6252F"/>
    <w:rsid w:val="00E64980"/>
    <w:rsid w:val="00E65D8F"/>
    <w:rsid w:val="00E67920"/>
    <w:rsid w:val="00E71CED"/>
    <w:rsid w:val="00E815D5"/>
    <w:rsid w:val="00E82E18"/>
    <w:rsid w:val="00E905ED"/>
    <w:rsid w:val="00E90A04"/>
    <w:rsid w:val="00E9133A"/>
    <w:rsid w:val="00E91D97"/>
    <w:rsid w:val="00E935C9"/>
    <w:rsid w:val="00E93E7B"/>
    <w:rsid w:val="00E966D0"/>
    <w:rsid w:val="00EA777F"/>
    <w:rsid w:val="00EA7959"/>
    <w:rsid w:val="00EB1AD4"/>
    <w:rsid w:val="00EB1FEC"/>
    <w:rsid w:val="00EC33DC"/>
    <w:rsid w:val="00EC3C7E"/>
    <w:rsid w:val="00EC5768"/>
    <w:rsid w:val="00EC6514"/>
    <w:rsid w:val="00ED006C"/>
    <w:rsid w:val="00ED2549"/>
    <w:rsid w:val="00ED27C3"/>
    <w:rsid w:val="00ED7D07"/>
    <w:rsid w:val="00EE0D44"/>
    <w:rsid w:val="00EE1B3B"/>
    <w:rsid w:val="00EE1D90"/>
    <w:rsid w:val="00EE3793"/>
    <w:rsid w:val="00EF699E"/>
    <w:rsid w:val="00EF6E8D"/>
    <w:rsid w:val="00EF7436"/>
    <w:rsid w:val="00F02556"/>
    <w:rsid w:val="00F2634D"/>
    <w:rsid w:val="00F30828"/>
    <w:rsid w:val="00F342A9"/>
    <w:rsid w:val="00F34C45"/>
    <w:rsid w:val="00F4359D"/>
    <w:rsid w:val="00F439DA"/>
    <w:rsid w:val="00F43FEC"/>
    <w:rsid w:val="00F4463A"/>
    <w:rsid w:val="00F44987"/>
    <w:rsid w:val="00F509AD"/>
    <w:rsid w:val="00F55E12"/>
    <w:rsid w:val="00F61D5E"/>
    <w:rsid w:val="00F70427"/>
    <w:rsid w:val="00F704A9"/>
    <w:rsid w:val="00F70522"/>
    <w:rsid w:val="00F71154"/>
    <w:rsid w:val="00F71E99"/>
    <w:rsid w:val="00F72837"/>
    <w:rsid w:val="00F75317"/>
    <w:rsid w:val="00F80E3D"/>
    <w:rsid w:val="00F84551"/>
    <w:rsid w:val="00F85EC3"/>
    <w:rsid w:val="00F905ED"/>
    <w:rsid w:val="00F93564"/>
    <w:rsid w:val="00F942FE"/>
    <w:rsid w:val="00FA20D1"/>
    <w:rsid w:val="00FA2781"/>
    <w:rsid w:val="00FA6407"/>
    <w:rsid w:val="00FB2291"/>
    <w:rsid w:val="00FB4952"/>
    <w:rsid w:val="00FB7F61"/>
    <w:rsid w:val="00FC1F68"/>
    <w:rsid w:val="00FC7A1D"/>
    <w:rsid w:val="00FC7A2D"/>
    <w:rsid w:val="00FF0290"/>
    <w:rsid w:val="00FF1CC6"/>
    <w:rsid w:val="00FF56F7"/>
    <w:rsid w:val="00FF6BBE"/>
    <w:rsid w:val="00FF735F"/>
    <w:rsid w:val="00F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59CEE"/>
  <w14:defaultImageDpi w14:val="32767"/>
  <w15:docId w15:val="{F88AAE99-676D-2A42-8582-56D39E221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B08"/>
    <w:rPr>
      <w:rFonts w:ascii="Times New Roman" w:eastAsia="Times New Roman" w:hAnsi="Times New Roman" w:cs="Times New Roman"/>
      <w:lang w:val="de-AT" w:eastAsia="de-DE"/>
    </w:rPr>
  </w:style>
  <w:style w:type="paragraph" w:styleId="berschrift1">
    <w:name w:val="heading 1"/>
    <w:basedOn w:val="Standard"/>
    <w:link w:val="berschrift1Zchn"/>
    <w:uiPriority w:val="9"/>
    <w:qFormat/>
    <w:rsid w:val="00E5142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3A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B3A8D"/>
    <w:rPr>
      <w:sz w:val="22"/>
      <w:szCs w:val="22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0B3A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B3A8D"/>
    <w:rPr>
      <w:sz w:val="22"/>
      <w:szCs w:val="22"/>
      <w:lang w:val="de-AT"/>
    </w:rPr>
  </w:style>
  <w:style w:type="character" w:styleId="Seitenzahl">
    <w:name w:val="page number"/>
    <w:basedOn w:val="Absatz-Standardschriftart"/>
    <w:uiPriority w:val="99"/>
    <w:semiHidden/>
    <w:unhideWhenUsed/>
    <w:rsid w:val="000B3A8D"/>
  </w:style>
  <w:style w:type="paragraph" w:customStyle="1" w:styleId="p1">
    <w:name w:val="p1"/>
    <w:basedOn w:val="Standard"/>
    <w:rsid w:val="000B3A8D"/>
    <w:rPr>
      <w:rFonts w:ascii="Helvetica" w:hAnsi="Helvetica"/>
      <w:sz w:val="29"/>
      <w:szCs w:val="29"/>
      <w:lang w:val="de-DE"/>
    </w:rPr>
  </w:style>
  <w:style w:type="character" w:customStyle="1" w:styleId="s1">
    <w:name w:val="s1"/>
    <w:basedOn w:val="Absatz-Standardschriftart"/>
    <w:rsid w:val="000B3A8D"/>
    <w:rPr>
      <w:rFonts w:ascii="Helvetica" w:hAnsi="Helvetica" w:hint="default"/>
      <w:sz w:val="19"/>
      <w:szCs w:val="19"/>
    </w:rPr>
  </w:style>
  <w:style w:type="paragraph" w:styleId="Listenabsatz">
    <w:name w:val="List Paragraph"/>
    <w:basedOn w:val="Standard"/>
    <w:uiPriority w:val="34"/>
    <w:qFormat/>
    <w:rsid w:val="00040190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714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714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7143E"/>
    <w:rPr>
      <w:sz w:val="20"/>
      <w:szCs w:val="20"/>
      <w:lang w:val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14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7143E"/>
    <w:rPr>
      <w:b/>
      <w:bCs/>
      <w:sz w:val="20"/>
      <w:szCs w:val="20"/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143E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43E"/>
    <w:rPr>
      <w:rFonts w:ascii="Times New Roman" w:hAnsi="Times New Roman" w:cs="Times New Roman"/>
      <w:sz w:val="18"/>
      <w:szCs w:val="18"/>
      <w:lang w:val="de-AT"/>
    </w:rPr>
  </w:style>
  <w:style w:type="character" w:styleId="Hervorhebung">
    <w:name w:val="Emphasis"/>
    <w:basedOn w:val="Absatz-Standardschriftart"/>
    <w:uiPriority w:val="20"/>
    <w:qFormat/>
    <w:rsid w:val="000C039A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A77C75"/>
    <w:pPr>
      <w:spacing w:before="100" w:beforeAutospacing="1" w:after="100" w:afterAutospacing="1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E5142B"/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DE"/>
    </w:rPr>
  </w:style>
  <w:style w:type="character" w:customStyle="1" w:styleId="title-text">
    <w:name w:val="title-text"/>
    <w:basedOn w:val="Absatz-Standardschriftart"/>
    <w:rsid w:val="00E5142B"/>
  </w:style>
  <w:style w:type="character" w:styleId="Hyperlink">
    <w:name w:val="Hyperlink"/>
    <w:basedOn w:val="Absatz-Standardschriftart"/>
    <w:uiPriority w:val="99"/>
    <w:semiHidden/>
    <w:unhideWhenUsed/>
    <w:rsid w:val="00E5142B"/>
    <w:rPr>
      <w:color w:val="0000FF"/>
      <w:u w:val="single"/>
    </w:rPr>
  </w:style>
  <w:style w:type="character" w:customStyle="1" w:styleId="apple-converted-space">
    <w:name w:val="apple-converted-space"/>
    <w:basedOn w:val="Absatz-Standardschriftart"/>
    <w:rsid w:val="00E5142B"/>
  </w:style>
  <w:style w:type="paragraph" w:customStyle="1" w:styleId="Titel1">
    <w:name w:val="Titel1"/>
    <w:basedOn w:val="Standard"/>
    <w:rsid w:val="00416FA2"/>
    <w:pPr>
      <w:spacing w:before="100" w:beforeAutospacing="1" w:after="100" w:afterAutospacing="1"/>
    </w:pPr>
  </w:style>
  <w:style w:type="paragraph" w:customStyle="1" w:styleId="details">
    <w:name w:val="details"/>
    <w:basedOn w:val="Standard"/>
    <w:rsid w:val="00416FA2"/>
    <w:pPr>
      <w:spacing w:before="100" w:beforeAutospacing="1" w:after="100" w:afterAutospacing="1"/>
    </w:pPr>
  </w:style>
  <w:style w:type="character" w:customStyle="1" w:styleId="jrnl">
    <w:name w:val="jrnl"/>
    <w:basedOn w:val="Absatz-Standardschriftart"/>
    <w:rsid w:val="00416FA2"/>
  </w:style>
  <w:style w:type="character" w:customStyle="1" w:styleId="ref-journal">
    <w:name w:val="ref-journal"/>
    <w:basedOn w:val="Absatz-Standardschriftart"/>
    <w:rsid w:val="00416FA2"/>
  </w:style>
  <w:style w:type="character" w:customStyle="1" w:styleId="ref-vol">
    <w:name w:val="ref-vol"/>
    <w:basedOn w:val="Absatz-Standardschriftart"/>
    <w:rsid w:val="00416FA2"/>
  </w:style>
  <w:style w:type="character" w:styleId="BesuchterLink">
    <w:name w:val="FollowedHyperlink"/>
    <w:basedOn w:val="Absatz-Standardschriftart"/>
    <w:uiPriority w:val="99"/>
    <w:semiHidden/>
    <w:unhideWhenUsed/>
    <w:rsid w:val="00416FA2"/>
    <w:rPr>
      <w:color w:val="954F72" w:themeColor="followedHyperlink"/>
      <w:u w:val="single"/>
    </w:rPr>
  </w:style>
  <w:style w:type="paragraph" w:customStyle="1" w:styleId="xmsonormal">
    <w:name w:val="x_msonormal"/>
    <w:basedOn w:val="Standard"/>
    <w:rsid w:val="00295B72"/>
    <w:pPr>
      <w:spacing w:before="100" w:beforeAutospacing="1" w:after="100" w:afterAutospacing="1"/>
    </w:pPr>
  </w:style>
  <w:style w:type="paragraph" w:customStyle="1" w:styleId="gmail-m5902242704282861845yiv6727301602msonormal">
    <w:name w:val="gmail-m_5902242704282861845yiv6727301602msonormal"/>
    <w:basedOn w:val="Standard"/>
    <w:rsid w:val="006C67EA"/>
    <w:pPr>
      <w:spacing w:before="100" w:beforeAutospacing="1" w:after="100" w:afterAutospacing="1"/>
    </w:pPr>
  </w:style>
  <w:style w:type="paragraph" w:styleId="berarbeitung">
    <w:name w:val="Revision"/>
    <w:hidden/>
    <w:uiPriority w:val="99"/>
    <w:semiHidden/>
    <w:rsid w:val="00E67920"/>
    <w:rPr>
      <w:rFonts w:ascii="Times New Roman" w:eastAsia="Times New Roman" w:hAnsi="Times New Roman" w:cs="Times New Roman"/>
      <w:lang w:val="de-AT"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F942FE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F942FE"/>
    <w:rPr>
      <w:rFonts w:ascii="Calibri" w:hAnsi="Calibri"/>
      <w:sz w:val="22"/>
      <w:szCs w:val="21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5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8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5930">
          <w:marLeft w:val="59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5250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7610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0731">
          <w:marLeft w:val="59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222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923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36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6654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4035">
          <w:marLeft w:val="59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5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3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3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3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355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6614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0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85735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849567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512841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5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8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DA80C-7956-554B-9068-C3D836DCB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1702</Words>
  <Characters>10728</Characters>
  <Application>Microsoft Office Word</Application>
  <DocSecurity>0</DocSecurity>
  <Lines>89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Diakonhjemmet Sykehus</Company>
  <LinksUpToDate>false</LinksUpToDate>
  <CharactersWithSpaces>12406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Sulzgruber Patrick</dc:creator>
  <cp:lastModifiedBy>Patrick Sulzgruber</cp:lastModifiedBy>
  <cp:revision>9</cp:revision>
  <dcterms:created xsi:type="dcterms:W3CDTF">2019-05-20T09:22:00Z</dcterms:created>
  <dcterms:modified xsi:type="dcterms:W3CDTF">2022-01-06T12:26:00Z</dcterms:modified>
</cp:coreProperties>
</file>