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D57AF" w14:textId="4998AE36" w:rsidR="00D42F97" w:rsidRPr="00557281" w:rsidRDefault="00D42F97" w:rsidP="00233459">
      <w:pPr>
        <w:rPr>
          <w:rFonts w:ascii="Times New Roman" w:hAnsi="Times New Roman" w:cs="Times New Roman"/>
          <w:b/>
          <w:i/>
          <w:iCs/>
          <w:noProof/>
          <w:sz w:val="24"/>
          <w:szCs w:val="24"/>
        </w:rPr>
      </w:pPr>
      <w:bookmarkStart w:id="0" w:name="_Hlk82079724"/>
      <w:r w:rsidRPr="004F6997">
        <w:rPr>
          <w:rFonts w:ascii="Times New Roman" w:hAnsi="Times New Roman" w:cs="Times New Roman"/>
          <w:b/>
          <w:noProof/>
          <w:sz w:val="24"/>
          <w:szCs w:val="24"/>
        </w:rPr>
        <w:t xml:space="preserve">Supplementary </w:t>
      </w:r>
      <w:r w:rsidR="004F6997" w:rsidRPr="004F6997">
        <w:rPr>
          <w:rFonts w:ascii="Times New Roman" w:hAnsi="Times New Roman" w:cs="Times New Roman"/>
          <w:b/>
          <w:noProof/>
          <w:sz w:val="24"/>
          <w:szCs w:val="24"/>
        </w:rPr>
        <w:t>Material</w:t>
      </w:r>
      <w:r w:rsidR="00557281">
        <w:rPr>
          <w:rFonts w:ascii="Times New Roman" w:hAnsi="Times New Roman" w:cs="Times New Roman"/>
          <w:b/>
          <w:noProof/>
          <w:sz w:val="24"/>
          <w:szCs w:val="24"/>
        </w:rPr>
        <w:t xml:space="preserve">: </w:t>
      </w:r>
      <w:r w:rsidR="00557281" w:rsidRPr="009617DD">
        <w:rPr>
          <w:rFonts w:ascii="Times New Roman" w:hAnsi="Times New Roman" w:cs="Times New Roman"/>
          <w:bCs/>
          <w:noProof/>
          <w:sz w:val="24"/>
          <w:szCs w:val="24"/>
        </w:rPr>
        <w:t xml:space="preserve">Antibody persistence and neutralising activity in primary school students and staff: prospective active surveillance, June to December 2020, England </w:t>
      </w:r>
      <w:r w:rsidR="00557281" w:rsidRPr="009617DD">
        <w:rPr>
          <w:rFonts w:ascii="Times New Roman" w:hAnsi="Times New Roman" w:cs="Times New Roman"/>
          <w:bCs/>
          <w:i/>
          <w:iCs/>
          <w:noProof/>
          <w:sz w:val="24"/>
          <w:szCs w:val="24"/>
        </w:rPr>
        <w:t>Ireland et al.</w:t>
      </w:r>
      <w:r w:rsidR="00557281">
        <w:rPr>
          <w:rFonts w:ascii="Times New Roman" w:hAnsi="Times New Roman" w:cs="Times New Roman"/>
          <w:b/>
          <w:i/>
          <w:iCs/>
          <w:noProof/>
          <w:sz w:val="24"/>
          <w:szCs w:val="24"/>
        </w:rPr>
        <w:t xml:space="preserve"> </w:t>
      </w:r>
    </w:p>
    <w:p w14:paraId="06CCCA0B" w14:textId="71D29E73" w:rsidR="00DF71B0" w:rsidRDefault="00DF71B0" w:rsidP="00DF71B0">
      <w:pPr>
        <w:rPr>
          <w:rFonts w:ascii="Times New Roman" w:hAnsi="Times New Roman" w:cs="Times New Roman"/>
          <w:b/>
          <w:bCs/>
          <w:noProof/>
          <w:sz w:val="20"/>
          <w:szCs w:val="20"/>
        </w:rPr>
      </w:pPr>
    </w:p>
    <w:p w14:paraId="38159791" w14:textId="2F645DD5" w:rsidR="00DF71B0" w:rsidRDefault="00DF71B0" w:rsidP="00DF71B0">
      <w:pPr>
        <w:rPr>
          <w:rFonts w:ascii="Times New Roman" w:hAnsi="Times New Roman" w:cs="Times New Roman"/>
          <w:b/>
          <w:bCs/>
          <w:noProof/>
          <w:sz w:val="20"/>
          <w:szCs w:val="20"/>
        </w:rPr>
      </w:pPr>
    </w:p>
    <w:p w14:paraId="49B49953" w14:textId="77777777" w:rsidR="00DF71B0" w:rsidRDefault="00DF71B0" w:rsidP="00DF71B0">
      <w:pPr>
        <w:rPr>
          <w:rFonts w:ascii="Times New Roman" w:hAnsi="Times New Roman" w:cs="Times New Roman"/>
          <w:b/>
          <w:bCs/>
          <w:noProof/>
          <w:sz w:val="20"/>
          <w:szCs w:val="20"/>
        </w:rPr>
      </w:pPr>
    </w:p>
    <w:p w14:paraId="1493830E" w14:textId="71167D2B" w:rsidR="00DF71B0" w:rsidRDefault="00DF71B0" w:rsidP="00DF71B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F6997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Supplementary Figure 1: </w:t>
      </w:r>
      <w:r w:rsidRPr="004F6997">
        <w:rPr>
          <w:rFonts w:ascii="Times New Roman" w:hAnsi="Times New Roman" w:cs="Times New Roman"/>
          <w:b/>
          <w:bCs/>
          <w:sz w:val="20"/>
          <w:szCs w:val="20"/>
        </w:rPr>
        <w:t>Correlation between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live</w:t>
      </w:r>
      <w:r w:rsidRPr="004F6997">
        <w:rPr>
          <w:rFonts w:ascii="Times New Roman" w:hAnsi="Times New Roman" w:cs="Times New Roman"/>
          <w:b/>
          <w:bCs/>
          <w:sz w:val="20"/>
          <w:szCs w:val="20"/>
        </w:rPr>
        <w:t xml:space="preserve"> neutralising antibody </w:t>
      </w:r>
      <w:r>
        <w:rPr>
          <w:rFonts w:ascii="Times New Roman" w:hAnsi="Times New Roman" w:cs="Times New Roman"/>
          <w:b/>
          <w:bCs/>
          <w:sz w:val="20"/>
          <w:szCs w:val="20"/>
        </w:rPr>
        <w:t>titre</w:t>
      </w:r>
      <w:r w:rsidRPr="004F6997">
        <w:rPr>
          <w:rFonts w:ascii="Times New Roman" w:hAnsi="Times New Roman" w:cs="Times New Roman"/>
          <w:b/>
          <w:bCs/>
          <w:sz w:val="20"/>
          <w:szCs w:val="20"/>
        </w:rPr>
        <w:t xml:space="preserve"> and N-protein (a) and RBD (b) antibody quantitative results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(COI) </w:t>
      </w:r>
      <w:r w:rsidRPr="004F6997">
        <w:rPr>
          <w:rFonts w:ascii="Times New Roman" w:hAnsi="Times New Roman" w:cs="Times New Roman"/>
          <w:b/>
          <w:bCs/>
          <w:sz w:val="20"/>
          <w:szCs w:val="20"/>
        </w:rPr>
        <w:t xml:space="preserve">and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live </w:t>
      </w:r>
      <w:r w:rsidRPr="004F6997">
        <w:rPr>
          <w:rFonts w:ascii="Times New Roman" w:hAnsi="Times New Roman" w:cs="Times New Roman"/>
          <w:b/>
          <w:bCs/>
          <w:sz w:val="20"/>
          <w:szCs w:val="20"/>
        </w:rPr>
        <w:t xml:space="preserve">neutralising antibody </w:t>
      </w:r>
      <w:r>
        <w:rPr>
          <w:rFonts w:ascii="Times New Roman" w:hAnsi="Times New Roman" w:cs="Times New Roman"/>
          <w:b/>
          <w:bCs/>
          <w:sz w:val="20"/>
          <w:szCs w:val="20"/>
        </w:rPr>
        <w:t>titre</w:t>
      </w:r>
      <w:r w:rsidRPr="004F6997">
        <w:rPr>
          <w:rFonts w:ascii="Times New Roman" w:hAnsi="Times New Roman" w:cs="Times New Roman"/>
          <w:b/>
          <w:bCs/>
          <w:sz w:val="20"/>
          <w:szCs w:val="20"/>
        </w:rPr>
        <w:t xml:space="preserve"> in June (time 1) and July (time 2) (c)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in students</w:t>
      </w:r>
      <w:r w:rsidRPr="004F6997">
        <w:rPr>
          <w:rFonts w:ascii="Times New Roman" w:hAnsi="Times New Roman" w:cs="Times New Roman"/>
          <w:b/>
          <w:bCs/>
          <w:sz w:val="20"/>
          <w:szCs w:val="20"/>
        </w:rPr>
        <w:t xml:space="preserve">. Red lines denote the threshold values for reporting a positive result and brown line is where x=y. </w:t>
      </w:r>
    </w:p>
    <w:p w14:paraId="7A1775FE" w14:textId="77777777" w:rsidR="00DF71B0" w:rsidRDefault="00DF71B0" w:rsidP="00DF71B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F6997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Supplementary Figure 2: Violin Plot of </w:t>
      </w:r>
      <w:r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live </w:t>
      </w:r>
      <w:r w:rsidRPr="004F6997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neutralising antibody </w:t>
      </w:r>
      <w:r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titres </w:t>
      </w:r>
      <w:r w:rsidRPr="004F6997">
        <w:rPr>
          <w:rFonts w:ascii="Times New Roman" w:hAnsi="Times New Roman" w:cs="Times New Roman"/>
          <w:b/>
          <w:bCs/>
          <w:noProof/>
          <w:sz w:val="20"/>
          <w:szCs w:val="20"/>
        </w:rPr>
        <w:t>by age (in years) on first N-protein positive sample (n=89)</w:t>
      </w:r>
      <w:r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. </w:t>
      </w:r>
      <w:r w:rsidRPr="004F6997">
        <w:rPr>
          <w:rFonts w:ascii="Times New Roman" w:hAnsi="Times New Roman" w:cs="Times New Roman"/>
          <w:b/>
          <w:bCs/>
          <w:sz w:val="20"/>
          <w:szCs w:val="20"/>
        </w:rPr>
        <w:t xml:space="preserve">Red line </w:t>
      </w:r>
      <w:proofErr w:type="gramStart"/>
      <w:r w:rsidRPr="004F6997">
        <w:rPr>
          <w:rFonts w:ascii="Times New Roman" w:hAnsi="Times New Roman" w:cs="Times New Roman"/>
          <w:b/>
          <w:bCs/>
          <w:sz w:val="20"/>
          <w:szCs w:val="20"/>
        </w:rPr>
        <w:t>denote</w:t>
      </w:r>
      <w:proofErr w:type="gramEnd"/>
      <w:r w:rsidRPr="004F6997">
        <w:rPr>
          <w:rFonts w:ascii="Times New Roman" w:hAnsi="Times New Roman" w:cs="Times New Roman"/>
          <w:b/>
          <w:bCs/>
          <w:sz w:val="20"/>
          <w:szCs w:val="20"/>
        </w:rPr>
        <w:t xml:space="preserve"> the threshold values for reporting a positive result</w:t>
      </w:r>
      <w:r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Pr="004F699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65067F94" w14:textId="77777777" w:rsidR="004F6997" w:rsidRPr="004F6997" w:rsidRDefault="004F6997" w:rsidP="004F6997">
      <w:pPr>
        <w:rPr>
          <w:rFonts w:ascii="Times New Roman" w:hAnsi="Times New Roman" w:cs="Times New Roman"/>
          <w:b/>
          <w:noProof/>
          <w:sz w:val="28"/>
        </w:rPr>
      </w:pPr>
    </w:p>
    <w:p w14:paraId="4F0D5BE7" w14:textId="77777777" w:rsidR="00DF71B0" w:rsidRDefault="00DF71B0">
      <w:pPr>
        <w:rPr>
          <w:rFonts w:ascii="Times New Roman" w:hAnsi="Times New Roman" w:cs="Times New Roman"/>
          <w:b/>
          <w:bCs/>
          <w:noProof/>
          <w:sz w:val="20"/>
          <w:szCs w:val="20"/>
        </w:rPr>
      </w:pPr>
      <w:bookmarkStart w:id="1" w:name="_Hlk78294593"/>
      <w:r>
        <w:rPr>
          <w:rFonts w:ascii="Times New Roman" w:hAnsi="Times New Roman" w:cs="Times New Roman"/>
          <w:b/>
          <w:bCs/>
          <w:noProof/>
          <w:sz w:val="20"/>
          <w:szCs w:val="20"/>
        </w:rPr>
        <w:br w:type="page"/>
      </w:r>
    </w:p>
    <w:p w14:paraId="42C978C4" w14:textId="796FBF5D" w:rsidR="00D42F97" w:rsidRDefault="00D42F97" w:rsidP="00D42F97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F6997"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t xml:space="preserve">Supplementary Figure 1: </w:t>
      </w:r>
      <w:r w:rsidRPr="004F6997">
        <w:rPr>
          <w:rFonts w:ascii="Times New Roman" w:hAnsi="Times New Roman" w:cs="Times New Roman"/>
          <w:b/>
          <w:bCs/>
          <w:sz w:val="20"/>
          <w:szCs w:val="20"/>
        </w:rPr>
        <w:t>Correlation between</w:t>
      </w:r>
      <w:r w:rsidR="004C03C8">
        <w:rPr>
          <w:rFonts w:ascii="Times New Roman" w:hAnsi="Times New Roman" w:cs="Times New Roman"/>
          <w:b/>
          <w:bCs/>
          <w:sz w:val="20"/>
          <w:szCs w:val="20"/>
        </w:rPr>
        <w:t xml:space="preserve"> live</w:t>
      </w:r>
      <w:r w:rsidRPr="004F6997">
        <w:rPr>
          <w:rFonts w:ascii="Times New Roman" w:hAnsi="Times New Roman" w:cs="Times New Roman"/>
          <w:b/>
          <w:bCs/>
          <w:sz w:val="20"/>
          <w:szCs w:val="20"/>
        </w:rPr>
        <w:t xml:space="preserve"> neutralising antibody </w:t>
      </w:r>
      <w:r w:rsidR="004C03C8">
        <w:rPr>
          <w:rFonts w:ascii="Times New Roman" w:hAnsi="Times New Roman" w:cs="Times New Roman"/>
          <w:b/>
          <w:bCs/>
          <w:sz w:val="20"/>
          <w:szCs w:val="20"/>
        </w:rPr>
        <w:t>titre</w:t>
      </w:r>
      <w:r w:rsidRPr="004F6997">
        <w:rPr>
          <w:rFonts w:ascii="Times New Roman" w:hAnsi="Times New Roman" w:cs="Times New Roman"/>
          <w:b/>
          <w:bCs/>
          <w:sz w:val="20"/>
          <w:szCs w:val="20"/>
        </w:rPr>
        <w:t xml:space="preserve"> and N-protein (a) and RBD (b) antibody quantitative results </w:t>
      </w:r>
      <w:r w:rsidR="004C03C8">
        <w:rPr>
          <w:rFonts w:ascii="Times New Roman" w:hAnsi="Times New Roman" w:cs="Times New Roman"/>
          <w:b/>
          <w:bCs/>
          <w:sz w:val="20"/>
          <w:szCs w:val="20"/>
        </w:rPr>
        <w:t xml:space="preserve">(COI) </w:t>
      </w:r>
      <w:r w:rsidRPr="004F6997">
        <w:rPr>
          <w:rFonts w:ascii="Times New Roman" w:hAnsi="Times New Roman" w:cs="Times New Roman"/>
          <w:b/>
          <w:bCs/>
          <w:sz w:val="20"/>
          <w:szCs w:val="20"/>
        </w:rPr>
        <w:t xml:space="preserve">and </w:t>
      </w:r>
      <w:r w:rsidR="004C03C8">
        <w:rPr>
          <w:rFonts w:ascii="Times New Roman" w:hAnsi="Times New Roman" w:cs="Times New Roman"/>
          <w:b/>
          <w:bCs/>
          <w:sz w:val="20"/>
          <w:szCs w:val="20"/>
        </w:rPr>
        <w:t xml:space="preserve">live </w:t>
      </w:r>
      <w:r w:rsidRPr="004F6997">
        <w:rPr>
          <w:rFonts w:ascii="Times New Roman" w:hAnsi="Times New Roman" w:cs="Times New Roman"/>
          <w:b/>
          <w:bCs/>
          <w:sz w:val="20"/>
          <w:szCs w:val="20"/>
        </w:rPr>
        <w:t xml:space="preserve">neutralising antibody </w:t>
      </w:r>
      <w:r w:rsidR="004C03C8">
        <w:rPr>
          <w:rFonts w:ascii="Times New Roman" w:hAnsi="Times New Roman" w:cs="Times New Roman"/>
          <w:b/>
          <w:bCs/>
          <w:sz w:val="20"/>
          <w:szCs w:val="20"/>
        </w:rPr>
        <w:t>titre</w:t>
      </w:r>
      <w:r w:rsidRPr="004F6997">
        <w:rPr>
          <w:rFonts w:ascii="Times New Roman" w:hAnsi="Times New Roman" w:cs="Times New Roman"/>
          <w:b/>
          <w:bCs/>
          <w:sz w:val="20"/>
          <w:szCs w:val="20"/>
        </w:rPr>
        <w:t xml:space="preserve"> in June (time 1) and July (time 2) (c)</w:t>
      </w:r>
      <w:r w:rsidR="00471257">
        <w:rPr>
          <w:rFonts w:ascii="Times New Roman" w:hAnsi="Times New Roman" w:cs="Times New Roman"/>
          <w:b/>
          <w:bCs/>
          <w:sz w:val="20"/>
          <w:szCs w:val="20"/>
        </w:rPr>
        <w:t xml:space="preserve"> in students</w:t>
      </w:r>
      <w:r w:rsidRPr="004F6997">
        <w:rPr>
          <w:rFonts w:ascii="Times New Roman" w:hAnsi="Times New Roman" w:cs="Times New Roman"/>
          <w:b/>
          <w:bCs/>
          <w:sz w:val="20"/>
          <w:szCs w:val="20"/>
        </w:rPr>
        <w:t>. Red lines denote the threshold values for reporting a positive result and brown line is where x=y</w:t>
      </w:r>
      <w:bookmarkEnd w:id="1"/>
      <w:r w:rsidRPr="004F6997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</w:p>
    <w:bookmarkEnd w:id="0"/>
    <w:p w14:paraId="462AC6C7" w14:textId="77777777" w:rsidR="00D42F97" w:rsidRPr="004F6997" w:rsidRDefault="00D42F97" w:rsidP="00D42F97">
      <w:pPr>
        <w:rPr>
          <w:rFonts w:ascii="Times New Roman" w:hAnsi="Times New Roman" w:cs="Times New Roman"/>
          <w:i/>
          <w:iCs/>
          <w:noProof/>
        </w:rPr>
      </w:pPr>
    </w:p>
    <w:p w14:paraId="72189662" w14:textId="208B3724" w:rsidR="00D42F97" w:rsidRDefault="00D42F97" w:rsidP="00D42F9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iCs/>
          <w:noProof/>
        </w:rPr>
      </w:pPr>
      <w:r w:rsidRPr="004F6997">
        <w:rPr>
          <w:rFonts w:ascii="Times New Roman" w:hAnsi="Times New Roman" w:cs="Times New Roman"/>
          <w:i/>
          <w:iCs/>
          <w:noProof/>
          <w:lang w:eastAsia="en-GB"/>
        </w:rPr>
        <w:drawing>
          <wp:inline distT="0" distB="0" distL="0" distR="0" wp14:anchorId="49B3973F" wp14:editId="275694CD">
            <wp:extent cx="4577189" cy="3330501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Np-neutralisation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189" cy="333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F10C9" w14:textId="7DC3A50A" w:rsidR="004F6997" w:rsidRDefault="004F6997" w:rsidP="004F6997">
      <w:pPr>
        <w:pStyle w:val="ListParagraph"/>
        <w:rPr>
          <w:rFonts w:ascii="Times New Roman" w:hAnsi="Times New Roman" w:cs="Times New Roman"/>
          <w:i/>
          <w:iCs/>
          <w:noProof/>
        </w:rPr>
      </w:pPr>
    </w:p>
    <w:p w14:paraId="559F6F69" w14:textId="77777777" w:rsidR="004F6997" w:rsidRPr="004F6997" w:rsidRDefault="004F6997" w:rsidP="004F6997">
      <w:pPr>
        <w:pStyle w:val="ListParagraph"/>
        <w:rPr>
          <w:rFonts w:ascii="Times New Roman" w:hAnsi="Times New Roman" w:cs="Times New Roman"/>
          <w:i/>
          <w:iCs/>
          <w:noProof/>
        </w:rPr>
      </w:pPr>
    </w:p>
    <w:p w14:paraId="344E227E" w14:textId="77777777" w:rsidR="00D42F97" w:rsidRPr="004F6997" w:rsidRDefault="00D42F97" w:rsidP="00D42F9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noProof/>
        </w:rPr>
      </w:pPr>
      <w:r w:rsidRPr="004F6997">
        <w:rPr>
          <w:rFonts w:ascii="Times New Roman" w:hAnsi="Times New Roman" w:cs="Times New Roman"/>
          <w:b/>
          <w:bCs/>
          <w:noProof/>
          <w:lang w:eastAsia="en-GB"/>
        </w:rPr>
        <w:drawing>
          <wp:inline distT="0" distB="0" distL="0" distR="0" wp14:anchorId="61CDBECE" wp14:editId="0C4864FB">
            <wp:extent cx="4539335" cy="330295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BD-neutralisation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9335" cy="330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DFD09" w14:textId="77777777" w:rsidR="00D42F97" w:rsidRPr="004F6997" w:rsidRDefault="00D42F97" w:rsidP="00D42F97">
      <w:pPr>
        <w:rPr>
          <w:rFonts w:ascii="Times New Roman" w:hAnsi="Times New Roman" w:cs="Times New Roman"/>
          <w:b/>
          <w:bCs/>
          <w:noProof/>
        </w:rPr>
      </w:pPr>
    </w:p>
    <w:p w14:paraId="46312420" w14:textId="502920AD" w:rsidR="00D42F97" w:rsidRPr="004F6997" w:rsidRDefault="00D42F97" w:rsidP="00D42F9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</w:rPr>
      </w:pPr>
      <w:r w:rsidRPr="004F6997">
        <w:rPr>
          <w:rFonts w:ascii="Times New Roman" w:hAnsi="Times New Roman" w:cs="Times New Roman"/>
          <w:b/>
          <w:bCs/>
          <w:noProof/>
        </w:rPr>
        <w:lastRenderedPageBreak/>
        <w:t xml:space="preserve"> </w:t>
      </w:r>
      <w:r w:rsidR="00EC003F">
        <w:rPr>
          <w:rFonts w:ascii="Times New Roman" w:hAnsi="Times New Roman" w:cs="Times New Roman"/>
          <w:noProof/>
        </w:rPr>
        <w:drawing>
          <wp:inline distT="0" distB="0" distL="0" distR="0" wp14:anchorId="54D768B5" wp14:editId="5E1AB407">
            <wp:extent cx="4546996" cy="3306725"/>
            <wp:effectExtent l="0" t="0" r="6350" b="8255"/>
            <wp:docPr id="3" name="Picture 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_1c_Neutralisation_JunevsJuly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489" cy="334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C201" w14:textId="77777777" w:rsidR="00D42F97" w:rsidRPr="004F6997" w:rsidRDefault="00D42F97" w:rsidP="00D42F97">
      <w:pPr>
        <w:rPr>
          <w:rFonts w:ascii="Times New Roman" w:hAnsi="Times New Roman" w:cs="Times New Roman"/>
          <w:b/>
          <w:bCs/>
          <w:noProof/>
        </w:rPr>
      </w:pPr>
    </w:p>
    <w:p w14:paraId="50768D29" w14:textId="77777777" w:rsidR="00D42F97" w:rsidRPr="004F6997" w:rsidRDefault="00D42F97" w:rsidP="00D42F97">
      <w:pPr>
        <w:rPr>
          <w:rFonts w:ascii="Times New Roman" w:hAnsi="Times New Roman" w:cs="Times New Roman"/>
          <w:b/>
          <w:bCs/>
          <w:noProof/>
        </w:rPr>
      </w:pPr>
    </w:p>
    <w:p w14:paraId="06BBC527" w14:textId="77777777" w:rsidR="006E6124" w:rsidRDefault="006E6124" w:rsidP="00D42F97">
      <w:pPr>
        <w:rPr>
          <w:rFonts w:ascii="Times New Roman" w:hAnsi="Times New Roman" w:cs="Times New Roman"/>
          <w:b/>
          <w:bCs/>
          <w:noProof/>
          <w:sz w:val="20"/>
          <w:szCs w:val="20"/>
        </w:rPr>
      </w:pPr>
    </w:p>
    <w:p w14:paraId="18AFFD1B" w14:textId="77777777" w:rsidR="006E6124" w:rsidRDefault="006E6124" w:rsidP="00D42F97">
      <w:pPr>
        <w:rPr>
          <w:rFonts w:ascii="Times New Roman" w:hAnsi="Times New Roman" w:cs="Times New Roman"/>
          <w:b/>
          <w:bCs/>
          <w:noProof/>
          <w:sz w:val="20"/>
          <w:szCs w:val="20"/>
        </w:rPr>
      </w:pPr>
    </w:p>
    <w:p w14:paraId="7F4FCC42" w14:textId="77777777" w:rsidR="006E6124" w:rsidRDefault="006E6124" w:rsidP="00D42F97">
      <w:pPr>
        <w:rPr>
          <w:rFonts w:ascii="Times New Roman" w:hAnsi="Times New Roman" w:cs="Times New Roman"/>
          <w:b/>
          <w:bCs/>
          <w:noProof/>
          <w:sz w:val="20"/>
          <w:szCs w:val="20"/>
        </w:rPr>
      </w:pPr>
    </w:p>
    <w:p w14:paraId="69D089DB" w14:textId="77777777" w:rsidR="006E6124" w:rsidRDefault="006E6124" w:rsidP="00D42F97">
      <w:pPr>
        <w:rPr>
          <w:rFonts w:ascii="Times New Roman" w:hAnsi="Times New Roman" w:cs="Times New Roman"/>
          <w:b/>
          <w:bCs/>
          <w:noProof/>
          <w:sz w:val="20"/>
          <w:szCs w:val="20"/>
        </w:rPr>
      </w:pPr>
    </w:p>
    <w:p w14:paraId="5C13773F" w14:textId="77777777" w:rsidR="00DF71B0" w:rsidRDefault="00DF71B0">
      <w:pPr>
        <w:rPr>
          <w:rFonts w:ascii="Times New Roman" w:hAnsi="Times New Roman" w:cs="Times New Roman"/>
          <w:b/>
          <w:bCs/>
          <w:noProof/>
          <w:sz w:val="20"/>
          <w:szCs w:val="20"/>
        </w:rPr>
      </w:pPr>
      <w:bookmarkStart w:id="2" w:name="_Hlk82079732"/>
      <w:r>
        <w:rPr>
          <w:rFonts w:ascii="Times New Roman" w:hAnsi="Times New Roman" w:cs="Times New Roman"/>
          <w:b/>
          <w:bCs/>
          <w:noProof/>
          <w:sz w:val="20"/>
          <w:szCs w:val="20"/>
        </w:rPr>
        <w:br w:type="page"/>
      </w:r>
    </w:p>
    <w:p w14:paraId="0EB44E57" w14:textId="637E791C" w:rsidR="00EC1802" w:rsidRDefault="00D42F97" w:rsidP="00D42F97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4F6997"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t xml:space="preserve">Supplementary Figure 2: Violin Plot of </w:t>
      </w:r>
      <w:r w:rsidR="00F718A6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live </w:t>
      </w:r>
      <w:r w:rsidRPr="004F6997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neutralising antibody </w:t>
      </w:r>
      <w:r w:rsidR="00F718A6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titres </w:t>
      </w:r>
      <w:r w:rsidRPr="004F6997">
        <w:rPr>
          <w:rFonts w:ascii="Times New Roman" w:hAnsi="Times New Roman" w:cs="Times New Roman"/>
          <w:b/>
          <w:bCs/>
          <w:noProof/>
          <w:sz w:val="20"/>
          <w:szCs w:val="20"/>
        </w:rPr>
        <w:t>by age (in years) on first N-protein positive sample (n=89)</w:t>
      </w:r>
      <w:r w:rsidR="00EC1802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. </w:t>
      </w:r>
      <w:r w:rsidR="00EC1802" w:rsidRPr="004F6997">
        <w:rPr>
          <w:rFonts w:ascii="Times New Roman" w:hAnsi="Times New Roman" w:cs="Times New Roman"/>
          <w:b/>
          <w:bCs/>
          <w:sz w:val="20"/>
          <w:szCs w:val="20"/>
        </w:rPr>
        <w:t xml:space="preserve">Red line </w:t>
      </w:r>
      <w:proofErr w:type="gramStart"/>
      <w:r w:rsidR="00EC1802" w:rsidRPr="004F6997">
        <w:rPr>
          <w:rFonts w:ascii="Times New Roman" w:hAnsi="Times New Roman" w:cs="Times New Roman"/>
          <w:b/>
          <w:bCs/>
          <w:sz w:val="20"/>
          <w:szCs w:val="20"/>
        </w:rPr>
        <w:t>denote</w:t>
      </w:r>
      <w:proofErr w:type="gramEnd"/>
      <w:r w:rsidR="00EC1802" w:rsidRPr="004F6997">
        <w:rPr>
          <w:rFonts w:ascii="Times New Roman" w:hAnsi="Times New Roman" w:cs="Times New Roman"/>
          <w:b/>
          <w:bCs/>
          <w:sz w:val="20"/>
          <w:szCs w:val="20"/>
        </w:rPr>
        <w:t xml:space="preserve"> the threshold values for reporting a positive result</w:t>
      </w:r>
      <w:r w:rsidR="00EC1802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EC1802" w:rsidRPr="004F6997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05F91CBD" w14:textId="5EA716BC" w:rsidR="00D03244" w:rsidRPr="00D03244" w:rsidRDefault="00D03244" w:rsidP="00D42F97">
      <w:pPr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>
        <w:rPr>
          <w:rFonts w:ascii="Times New Roman" w:hAnsi="Times New Roman" w:cs="Times New Roman"/>
          <w:b/>
          <w:bCs/>
          <w:i/>
          <w:iCs/>
          <w:sz w:val="18"/>
          <w:szCs w:val="18"/>
        </w:rPr>
        <w:t>Within the violin plot: box = interquartile range (IQR), dot= median, vertical line= 1.5 IQR, curved line around boxplot= density plot</w:t>
      </w:r>
      <w:bookmarkStart w:id="3" w:name="_GoBack"/>
      <w:bookmarkEnd w:id="3"/>
    </w:p>
    <w:bookmarkEnd w:id="2"/>
    <w:p w14:paraId="27758A0B" w14:textId="5F6DC249" w:rsidR="00D42F97" w:rsidRPr="004F6997" w:rsidRDefault="006E6124" w:rsidP="00EC003F">
      <w:pPr>
        <w:jc w:val="center"/>
        <w:rPr>
          <w:rFonts w:ascii="Times New Roman" w:hAnsi="Times New Roman" w:cs="Times New Roman"/>
          <w:b/>
          <w:bCs/>
          <w:noProof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0C3493B" wp14:editId="32450F5B">
            <wp:extent cx="5209670" cy="3790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2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864" cy="379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D8210" w14:textId="77777777" w:rsidR="00D42F97" w:rsidRPr="004F6997" w:rsidRDefault="00D42F97" w:rsidP="00D42F97">
      <w:pPr>
        <w:spacing w:line="360" w:lineRule="auto"/>
        <w:rPr>
          <w:rFonts w:ascii="Times New Roman" w:hAnsi="Times New Roman" w:cs="Times New Roman"/>
        </w:rPr>
      </w:pPr>
    </w:p>
    <w:p w14:paraId="7EFEDA4C" w14:textId="77777777" w:rsidR="00E90694" w:rsidRPr="004F6997" w:rsidRDefault="00D03244">
      <w:pPr>
        <w:rPr>
          <w:rFonts w:ascii="Times New Roman" w:hAnsi="Times New Roman" w:cs="Times New Roman"/>
        </w:rPr>
      </w:pPr>
    </w:p>
    <w:sectPr w:rsidR="00E90694" w:rsidRPr="004F69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A80196"/>
    <w:multiLevelType w:val="hybridMultilevel"/>
    <w:tmpl w:val="9B50C628"/>
    <w:lvl w:ilvl="0" w:tplc="A5F8C02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F97"/>
    <w:rsid w:val="00233459"/>
    <w:rsid w:val="002F2235"/>
    <w:rsid w:val="0041195E"/>
    <w:rsid w:val="00471257"/>
    <w:rsid w:val="004C03C8"/>
    <w:rsid w:val="004F6997"/>
    <w:rsid w:val="00557281"/>
    <w:rsid w:val="0060136A"/>
    <w:rsid w:val="006E6124"/>
    <w:rsid w:val="00762700"/>
    <w:rsid w:val="009617DD"/>
    <w:rsid w:val="00BD55B9"/>
    <w:rsid w:val="00BE47FD"/>
    <w:rsid w:val="00D03244"/>
    <w:rsid w:val="00D42F97"/>
    <w:rsid w:val="00D45151"/>
    <w:rsid w:val="00DE28BB"/>
    <w:rsid w:val="00DF71B0"/>
    <w:rsid w:val="00EC003F"/>
    <w:rsid w:val="00EC1802"/>
    <w:rsid w:val="00F71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7BDDE"/>
  <w15:chartTrackingRefBased/>
  <w15:docId w15:val="{554B47CC-EB8C-45E0-A999-0A2FF3D86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F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2F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18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80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712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12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12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12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12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Public Health England</Company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Ireland</dc:creator>
  <cp:keywords/>
  <dc:description/>
  <cp:lastModifiedBy>Georgina Ireland</cp:lastModifiedBy>
  <cp:revision>7</cp:revision>
  <dcterms:created xsi:type="dcterms:W3CDTF">2021-08-23T09:22:00Z</dcterms:created>
  <dcterms:modified xsi:type="dcterms:W3CDTF">2021-09-09T11:57:00Z</dcterms:modified>
</cp:coreProperties>
</file>