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07DA" w14:textId="77777777" w:rsidR="00335177" w:rsidRPr="001C6C28" w:rsidRDefault="00335177" w:rsidP="00780FD2">
      <w:pPr>
        <w:ind w:left="-270"/>
        <w:rPr>
          <w:b/>
          <w:sz w:val="18"/>
          <w:szCs w:val="18"/>
        </w:rPr>
      </w:pPr>
      <w:r w:rsidRPr="001C6C28">
        <w:rPr>
          <w:b/>
          <w:sz w:val="18"/>
          <w:szCs w:val="18"/>
        </w:rPr>
        <w:t>Table 6. Sensitivity MR analyses evaluating the effect of genetically-determined LDL cholesterol on risk of different types of ischemic stroke: comparison of results using effect estimates for lipids using GLGC and the UK Biobank.</w:t>
      </w:r>
    </w:p>
    <w:tbl>
      <w:tblPr>
        <w:tblpPr w:leftFromText="180" w:rightFromText="180" w:vertAnchor="text" w:horzAnchor="margin" w:tblpXSpec="center" w:tblpY="2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882"/>
        <w:gridCol w:w="2878"/>
        <w:gridCol w:w="2430"/>
      </w:tblGrid>
      <w:tr w:rsidR="00335177" w:rsidRPr="001C6C28" w14:paraId="6EEBBB44" w14:textId="77777777" w:rsidTr="00780FD2">
        <w:trPr>
          <w:trHeight w:val="780"/>
        </w:trPr>
        <w:tc>
          <w:tcPr>
            <w:tcW w:w="1710" w:type="dxa"/>
            <w:shd w:val="clear" w:color="auto" w:fill="auto"/>
            <w:vAlign w:val="center"/>
            <w:hideMark/>
          </w:tcPr>
          <w:p w14:paraId="146FA2E4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Ischemic stroke subtype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14:paraId="19C8C26C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Lipid estimates</w:t>
            </w: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from</w:t>
            </w:r>
            <w:proofErr w:type="spellEnd"/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 GLGC</w:t>
            </w: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2019 </w:t>
            </w:r>
            <w:proofErr w:type="spellStart"/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Valdes-Marquez</w:t>
            </w:r>
            <w:proofErr w:type="spellEnd"/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et al*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14:paraId="45D7688C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Lipid estimates from the GLGC</w:t>
            </w: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2018 </w:t>
            </w:r>
            <w:proofErr w:type="spellStart"/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Hindy</w:t>
            </w:r>
            <w:proofErr w:type="spellEnd"/>
            <w:r w:rsidRPr="001C6C2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et al**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3D2AF5A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Lipid estimates from the</w:t>
            </w:r>
          </w:p>
          <w:p w14:paraId="749E107F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UK Biobank (this study)</w:t>
            </w:r>
          </w:p>
        </w:tc>
      </w:tr>
      <w:tr w:rsidR="00335177" w:rsidRPr="001C6C28" w14:paraId="31A4E16C" w14:textId="77777777" w:rsidTr="00780FD2">
        <w:trPr>
          <w:trHeight w:val="7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7C0587" w14:textId="77777777" w:rsidR="00335177" w:rsidRPr="001C6C28" w:rsidRDefault="00335177" w:rsidP="0033517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Cardioembolic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14:paraId="04ED068E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1.06 (0.84 - 1.33)</w:t>
            </w:r>
          </w:p>
        </w:tc>
        <w:tc>
          <w:tcPr>
            <w:tcW w:w="2878" w:type="dxa"/>
            <w:shd w:val="clear" w:color="auto" w:fill="auto"/>
            <w:noWrap/>
            <w:vAlign w:val="center"/>
            <w:hideMark/>
          </w:tcPr>
          <w:p w14:paraId="14212864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0.99 (0.84 - 1.16)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7173DA6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1.05 (0.97 -1.13)</w:t>
            </w:r>
          </w:p>
        </w:tc>
      </w:tr>
      <w:tr w:rsidR="00335177" w:rsidRPr="001C6C28" w14:paraId="30C76769" w14:textId="77777777" w:rsidTr="00780FD2">
        <w:trPr>
          <w:trHeight w:val="7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68B717" w14:textId="77777777" w:rsidR="00335177" w:rsidRPr="001C6C28" w:rsidRDefault="00335177" w:rsidP="0033517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Large artery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14:paraId="5544B270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1.10 (0.82 - 1.47)</w:t>
            </w:r>
          </w:p>
        </w:tc>
        <w:tc>
          <w:tcPr>
            <w:tcW w:w="2878" w:type="dxa"/>
            <w:shd w:val="clear" w:color="auto" w:fill="auto"/>
            <w:noWrap/>
            <w:vAlign w:val="center"/>
            <w:hideMark/>
          </w:tcPr>
          <w:p w14:paraId="477E5EA9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1.28 (1.07 - 1.53)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602496B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1.37 (1.24 - 1.51)</w:t>
            </w:r>
          </w:p>
        </w:tc>
      </w:tr>
      <w:tr w:rsidR="00335177" w:rsidRPr="001C6C28" w14:paraId="7681FEC2" w14:textId="77777777" w:rsidTr="00780FD2">
        <w:trPr>
          <w:trHeight w:val="7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D7034E" w14:textId="77777777" w:rsidR="00335177" w:rsidRPr="001C6C28" w:rsidRDefault="00335177" w:rsidP="0033517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Small vessel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14:paraId="0FA6B137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1.14 (0.88 - 1.48)</w:t>
            </w:r>
          </w:p>
        </w:tc>
        <w:tc>
          <w:tcPr>
            <w:tcW w:w="2878" w:type="dxa"/>
            <w:shd w:val="clear" w:color="auto" w:fill="auto"/>
            <w:noWrap/>
            <w:vAlign w:val="center"/>
            <w:hideMark/>
          </w:tcPr>
          <w:p w14:paraId="08E9316C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1.09 (0.93 - 1.28)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519B6AD" w14:textId="77777777" w:rsidR="00335177" w:rsidRPr="001C6C28" w:rsidRDefault="00335177" w:rsidP="0033517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C6C2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1.12 (1.03 - 1.22)</w:t>
            </w:r>
          </w:p>
        </w:tc>
      </w:tr>
    </w:tbl>
    <w:p w14:paraId="61E9F4D5" w14:textId="77777777" w:rsidR="00335177" w:rsidRPr="001C6C28" w:rsidRDefault="00335177" w:rsidP="00335177">
      <w:pPr>
        <w:rPr>
          <w:b/>
          <w:sz w:val="18"/>
          <w:szCs w:val="18"/>
        </w:rPr>
      </w:pPr>
    </w:p>
    <w:p w14:paraId="4DB121DE" w14:textId="77777777" w:rsidR="00335177" w:rsidRPr="001C6C28" w:rsidRDefault="00335177" w:rsidP="00335177">
      <w:pPr>
        <w:rPr>
          <w:b/>
          <w:sz w:val="18"/>
          <w:szCs w:val="18"/>
        </w:rPr>
      </w:pPr>
    </w:p>
    <w:p w14:paraId="1F6D1499" w14:textId="77777777" w:rsidR="00335177" w:rsidRPr="001C6C28" w:rsidRDefault="00335177" w:rsidP="00780FD2">
      <w:pPr>
        <w:ind w:left="-270"/>
        <w:rPr>
          <w:sz w:val="18"/>
          <w:szCs w:val="18"/>
        </w:rPr>
      </w:pPr>
      <w:r w:rsidRPr="001C6C28">
        <w:rPr>
          <w:b/>
          <w:bCs/>
          <w:sz w:val="18"/>
          <w:szCs w:val="18"/>
        </w:rPr>
        <w:t>Acronyms:</w:t>
      </w:r>
      <w:r w:rsidRPr="001C6C28">
        <w:rPr>
          <w:sz w:val="18"/>
          <w:szCs w:val="18"/>
        </w:rPr>
        <w:t xml:space="preserve"> MR: Mendelian Randomization; LDL: low-density lipoprotein; GLGC: Global Lipids Genetics Consortium; UK: United Kingdom.</w:t>
      </w:r>
    </w:p>
    <w:p w14:paraId="36BBE7FB" w14:textId="77777777" w:rsidR="00335177" w:rsidRPr="001C6C28" w:rsidRDefault="00335177" w:rsidP="00780FD2">
      <w:pPr>
        <w:ind w:left="-270"/>
        <w:rPr>
          <w:b/>
          <w:sz w:val="18"/>
          <w:szCs w:val="18"/>
        </w:rPr>
      </w:pPr>
    </w:p>
    <w:p w14:paraId="756B8F1E" w14:textId="3DF788C7" w:rsidR="00335177" w:rsidRPr="001C6C28" w:rsidRDefault="00335177" w:rsidP="00780FD2">
      <w:pPr>
        <w:ind w:left="-270"/>
        <w:rPr>
          <w:sz w:val="18"/>
          <w:szCs w:val="18"/>
        </w:rPr>
      </w:pPr>
      <w:r w:rsidRPr="001C6C28">
        <w:rPr>
          <w:sz w:val="18"/>
          <w:szCs w:val="18"/>
          <w:lang w:val="es-ES"/>
        </w:rPr>
        <w:t xml:space="preserve">* </w:t>
      </w:r>
      <w:proofErr w:type="spellStart"/>
      <w:r w:rsidRPr="001C6C28">
        <w:rPr>
          <w:sz w:val="18"/>
          <w:szCs w:val="18"/>
          <w:lang w:val="es-ES"/>
        </w:rPr>
        <w:t>Neurology</w:t>
      </w:r>
      <w:proofErr w:type="spellEnd"/>
      <w:r w:rsidRPr="001C6C28">
        <w:rPr>
          <w:sz w:val="18"/>
          <w:szCs w:val="18"/>
          <w:lang w:val="es-ES"/>
        </w:rPr>
        <w:t xml:space="preserve">. 2019 Mar 12;92(11):e1176-e1187. ** </w:t>
      </w:r>
      <w:proofErr w:type="spellStart"/>
      <w:r w:rsidRPr="001C6C28">
        <w:rPr>
          <w:sz w:val="18"/>
          <w:szCs w:val="18"/>
          <w:lang w:val="es-ES"/>
        </w:rPr>
        <w:t>Stroke</w:t>
      </w:r>
      <w:proofErr w:type="spellEnd"/>
      <w:r w:rsidRPr="001C6C28">
        <w:rPr>
          <w:sz w:val="18"/>
          <w:szCs w:val="18"/>
          <w:lang w:val="es-ES"/>
        </w:rPr>
        <w:t xml:space="preserve">. </w:t>
      </w:r>
      <w:r w:rsidRPr="001C6C28">
        <w:rPr>
          <w:sz w:val="18"/>
          <w:szCs w:val="18"/>
          <w:lang w:val="en-US"/>
        </w:rPr>
        <w:t>2018 Apr;49(4):820-827.</w:t>
      </w:r>
      <w:r w:rsidRPr="001C6C28">
        <w:rPr>
          <w:sz w:val="18"/>
          <w:szCs w:val="18"/>
        </w:rPr>
        <w:t xml:space="preserve"> </w:t>
      </w:r>
      <w:bookmarkStart w:id="0" w:name="_GoBack"/>
      <w:bookmarkEnd w:id="0"/>
    </w:p>
    <w:sectPr w:rsidR="00335177" w:rsidRPr="001C6C28" w:rsidSect="002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BA5A" w14:textId="77777777" w:rsidR="003C3581" w:rsidRDefault="003C3581" w:rsidP="00335177">
      <w:pPr>
        <w:spacing w:line="240" w:lineRule="auto"/>
      </w:pPr>
      <w:r>
        <w:separator/>
      </w:r>
    </w:p>
  </w:endnote>
  <w:endnote w:type="continuationSeparator" w:id="0">
    <w:p w14:paraId="497EA789" w14:textId="77777777" w:rsidR="003C3581" w:rsidRDefault="003C3581" w:rsidP="0033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A1DA" w14:textId="77777777" w:rsidR="003C3581" w:rsidRDefault="003C3581" w:rsidP="00335177">
      <w:pPr>
        <w:spacing w:line="240" w:lineRule="auto"/>
      </w:pPr>
      <w:r>
        <w:separator/>
      </w:r>
    </w:p>
  </w:footnote>
  <w:footnote w:type="continuationSeparator" w:id="0">
    <w:p w14:paraId="56CD1CEC" w14:textId="77777777" w:rsidR="003C3581" w:rsidRDefault="003C3581" w:rsidP="00335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7"/>
    <w:rsid w:val="001C6C28"/>
    <w:rsid w:val="002E6AB3"/>
    <w:rsid w:val="00335177"/>
    <w:rsid w:val="003C3581"/>
    <w:rsid w:val="00517B63"/>
    <w:rsid w:val="00780FD2"/>
    <w:rsid w:val="00A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EA03C"/>
  <w15:chartTrackingRefBased/>
  <w15:docId w15:val="{2329BB36-DE35-F641-AE2C-46300A7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7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351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7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Falcone, Guido</cp:lastModifiedBy>
  <cp:revision>3</cp:revision>
  <dcterms:created xsi:type="dcterms:W3CDTF">2019-12-18T17:33:00Z</dcterms:created>
  <dcterms:modified xsi:type="dcterms:W3CDTF">2020-01-27T16:47:00Z</dcterms:modified>
</cp:coreProperties>
</file>