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EA5AA" w14:textId="26023100" w:rsidR="00BD579F" w:rsidRDefault="00BD579F">
      <w:pPr>
        <w:spacing w:line="240" w:lineRule="auto"/>
        <w:jc w:val="both"/>
        <w:rPr>
          <w:rFonts w:ascii="Calibri" w:eastAsia="Calibri" w:hAnsi="Calibri" w:cs="Calibri"/>
          <w:b/>
          <w:sz w:val="28"/>
          <w:szCs w:val="28"/>
          <w:u w:val="single"/>
        </w:rPr>
      </w:pPr>
    </w:p>
    <w:p w14:paraId="65D62DD1" w14:textId="77777777" w:rsidR="00BD579F" w:rsidRDefault="00CE1CC9">
      <w:pPr>
        <w:spacing w:line="240" w:lineRule="auto"/>
        <w:jc w:val="both"/>
        <w:rPr>
          <w:rFonts w:ascii="Calibri" w:eastAsia="Calibri" w:hAnsi="Calibri" w:cs="Calibri"/>
          <w:b/>
          <w:sz w:val="28"/>
          <w:szCs w:val="28"/>
          <w:u w:val="single"/>
        </w:rPr>
      </w:pPr>
      <w:r>
        <w:rPr>
          <w:rFonts w:ascii="Calibri" w:eastAsia="Calibri" w:hAnsi="Calibri" w:cs="Calibri"/>
          <w:b/>
          <w:sz w:val="28"/>
          <w:szCs w:val="28"/>
          <w:u w:val="single"/>
        </w:rPr>
        <w:t>Abstract [250/250]</w:t>
      </w:r>
    </w:p>
    <w:p w14:paraId="64A89A91" w14:textId="4FE20760" w:rsidR="00BD579F" w:rsidRDefault="006D4408">
      <w:pPr>
        <w:spacing w:before="240" w:after="240" w:line="240" w:lineRule="auto"/>
        <w:jc w:val="both"/>
        <w:rPr>
          <w:rFonts w:ascii="Calibri" w:eastAsia="Calibri" w:hAnsi="Calibri" w:cs="Calibri"/>
          <w:sz w:val="28"/>
          <w:szCs w:val="28"/>
        </w:rPr>
      </w:pPr>
      <w:r>
        <w:rPr>
          <w:rFonts w:ascii="Calibri" w:eastAsia="Calibri" w:hAnsi="Calibri" w:cs="Calibri"/>
          <w:sz w:val="28"/>
          <w:szCs w:val="28"/>
        </w:rPr>
        <w:t>Objectives</w:t>
      </w:r>
    </w:p>
    <w:p w14:paraId="333E9F3E" w14:textId="458FC82A"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 xml:space="preserve">Recently emerging SARS-CoV-2 variants have been associated with an increased rate of transmission within the community. </w:t>
      </w:r>
      <w:r w:rsidR="006D4408">
        <w:rPr>
          <w:rFonts w:ascii="Calibri" w:eastAsia="Calibri" w:hAnsi="Calibri" w:cs="Calibri"/>
          <w:sz w:val="28"/>
          <w:szCs w:val="28"/>
        </w:rPr>
        <w:t xml:space="preserve">We sought to </w:t>
      </w:r>
      <w:r w:rsidR="00AC6D19">
        <w:rPr>
          <w:rFonts w:ascii="Calibri" w:eastAsia="Calibri" w:hAnsi="Calibri" w:cs="Calibri"/>
          <w:sz w:val="28"/>
          <w:szCs w:val="28"/>
        </w:rPr>
        <w:t xml:space="preserve">determine whether this also resulted in increased </w:t>
      </w:r>
      <w:r>
        <w:rPr>
          <w:rFonts w:ascii="Calibri" w:eastAsia="Calibri" w:hAnsi="Calibri" w:cs="Calibri"/>
          <w:sz w:val="28"/>
          <w:szCs w:val="28"/>
        </w:rPr>
        <w:t xml:space="preserve">transmission within hospitals. </w:t>
      </w:r>
    </w:p>
    <w:p w14:paraId="046FDCF4" w14:textId="77777777" w:rsidR="00BD579F" w:rsidRDefault="00CE1CC9">
      <w:pPr>
        <w:spacing w:line="240" w:lineRule="auto"/>
        <w:rPr>
          <w:rFonts w:ascii="Calibri" w:eastAsia="Calibri" w:hAnsi="Calibri" w:cs="Calibri"/>
          <w:sz w:val="28"/>
          <w:szCs w:val="28"/>
        </w:rPr>
      </w:pPr>
      <w:r>
        <w:rPr>
          <w:rFonts w:ascii="Calibri" w:eastAsia="Calibri" w:hAnsi="Calibri" w:cs="Calibri"/>
          <w:sz w:val="28"/>
          <w:szCs w:val="28"/>
        </w:rPr>
        <w:t>Methods</w:t>
      </w:r>
    </w:p>
    <w:p w14:paraId="527C1E6F"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 xml:space="preserve">We collected viral sequences and epidemiological data of patients with community and healthcare associated SARS-CoV-2 infections, sampled from 16th November 2020 to 10th January 2021, from nine hospitals participating in the COG-UK HOCI study. Outbreaks were identified using ward information, lineage and pairwise genetic differences between viral sequences. </w:t>
      </w:r>
    </w:p>
    <w:p w14:paraId="7EA85F16" w14:textId="65062079" w:rsidR="00BD579F" w:rsidRDefault="00810E09">
      <w:pPr>
        <w:spacing w:before="240" w:after="240" w:line="240" w:lineRule="auto"/>
        <w:jc w:val="both"/>
        <w:rPr>
          <w:rFonts w:ascii="Calibri" w:eastAsia="Calibri" w:hAnsi="Calibri" w:cs="Calibri"/>
          <w:sz w:val="28"/>
          <w:szCs w:val="28"/>
        </w:rPr>
      </w:pPr>
      <w:r>
        <w:rPr>
          <w:rFonts w:ascii="Calibri" w:eastAsia="Calibri" w:hAnsi="Calibri" w:cs="Calibri"/>
          <w:sz w:val="28"/>
          <w:szCs w:val="28"/>
        </w:rPr>
        <w:t>Results</w:t>
      </w:r>
    </w:p>
    <w:p w14:paraId="1C54DC3C"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Mixed effects logistic regression analysis of 4184 sequences showed healthcare-acquired infections were no more likely to be identified as the Alpha variant than community acquired infections. Nosocomial outbreaks were investigated based on overlapping ward stay and SARS-CoV-2 genome sequence similarity. There was no significant difference in the number of patients involved in outbreaks caused by the Alpha variant compared to outbreaks caused by other lineages.</w:t>
      </w:r>
    </w:p>
    <w:p w14:paraId="7E91AC68" w14:textId="16AFF635" w:rsidR="00BD579F" w:rsidRDefault="00810E09">
      <w:pPr>
        <w:spacing w:before="240" w:after="240" w:line="240" w:lineRule="auto"/>
        <w:jc w:val="both"/>
        <w:rPr>
          <w:rFonts w:ascii="Calibri" w:eastAsia="Calibri" w:hAnsi="Calibri" w:cs="Calibri"/>
          <w:sz w:val="28"/>
          <w:szCs w:val="28"/>
        </w:rPr>
      </w:pPr>
      <w:r>
        <w:rPr>
          <w:rFonts w:ascii="Calibri" w:eastAsia="Calibri" w:hAnsi="Calibri" w:cs="Calibri"/>
          <w:sz w:val="28"/>
          <w:szCs w:val="28"/>
        </w:rPr>
        <w:t>Conclusions</w:t>
      </w:r>
    </w:p>
    <w:p w14:paraId="358FFDFB" w14:textId="7A311AF0" w:rsidR="00BD579F" w:rsidRDefault="00AC6D19">
      <w:pPr>
        <w:spacing w:before="240" w:after="240" w:line="240" w:lineRule="auto"/>
        <w:jc w:val="both"/>
        <w:rPr>
          <w:rFonts w:ascii="Calibri" w:eastAsia="Calibri" w:hAnsi="Calibri" w:cs="Calibri"/>
          <w:sz w:val="28"/>
          <w:szCs w:val="28"/>
        </w:rPr>
      </w:pPr>
      <w:r>
        <w:rPr>
          <w:rFonts w:ascii="Calibri" w:eastAsia="Calibri" w:hAnsi="Calibri" w:cs="Calibri"/>
          <w:sz w:val="28"/>
          <w:szCs w:val="28"/>
        </w:rPr>
        <w:t>We</w:t>
      </w:r>
      <w:r w:rsidR="00CE1CC9">
        <w:rPr>
          <w:rFonts w:ascii="Calibri" w:eastAsia="Calibri" w:hAnsi="Calibri" w:cs="Calibri"/>
          <w:sz w:val="28"/>
          <w:szCs w:val="28"/>
        </w:rPr>
        <w:t xml:space="preserve"> find no evidence to support it causing more nosocomial transmission than previous lineages. This suggests that the stringent infection prevention measures already in place in UK hospitals contained the spread of the Alpha variant as effectively as other less transmissible lineages, providing reassurance of their efficacy against emerging variants of concern. </w:t>
      </w:r>
    </w:p>
    <w:p w14:paraId="700F44BF" w14:textId="77777777" w:rsidR="00BD579F" w:rsidRPr="006D4408" w:rsidRDefault="00CE1CC9">
      <w:pPr>
        <w:spacing w:before="240" w:after="240" w:line="240" w:lineRule="auto"/>
        <w:jc w:val="both"/>
        <w:rPr>
          <w:rFonts w:ascii="Calibri" w:eastAsia="Calibri" w:hAnsi="Calibri" w:cs="Calibri"/>
          <w:b/>
          <w:bCs/>
          <w:sz w:val="28"/>
          <w:szCs w:val="28"/>
        </w:rPr>
      </w:pPr>
      <w:r w:rsidRPr="006D4408">
        <w:rPr>
          <w:rFonts w:ascii="Calibri" w:eastAsia="Calibri" w:hAnsi="Calibri" w:cs="Calibri"/>
          <w:b/>
          <w:bCs/>
          <w:sz w:val="28"/>
          <w:szCs w:val="28"/>
        </w:rPr>
        <w:t>Funding</w:t>
      </w:r>
    </w:p>
    <w:p w14:paraId="14CD46EE" w14:textId="77777777" w:rsidR="00BD579F" w:rsidRDefault="00CE1CC9">
      <w:pPr>
        <w:rPr>
          <w:rFonts w:ascii="Calibri" w:eastAsia="Calibri" w:hAnsi="Calibri" w:cs="Calibri"/>
          <w:sz w:val="28"/>
          <w:szCs w:val="28"/>
        </w:rPr>
      </w:pPr>
      <w:r>
        <w:rPr>
          <w:rFonts w:ascii="Calibri" w:eastAsia="Calibri" w:hAnsi="Calibri" w:cs="Calibri"/>
          <w:sz w:val="28"/>
          <w:szCs w:val="28"/>
        </w:rPr>
        <w:t xml:space="preserve">COG-UK HOCI funded by COG-UK consortium. The COG-UK consortium is supported by funding from the Medical Research Council (MRC) part of UK Research &amp; Innovation (UKRI), the National Institute of Health Research (NIHR) and Genome Research Limited, operating as the </w:t>
      </w:r>
      <w:proofErr w:type="spellStart"/>
      <w:r>
        <w:rPr>
          <w:rFonts w:ascii="Calibri" w:eastAsia="Calibri" w:hAnsi="Calibri" w:cs="Calibri"/>
          <w:sz w:val="28"/>
          <w:szCs w:val="28"/>
        </w:rPr>
        <w:t>Wellcome</w:t>
      </w:r>
      <w:proofErr w:type="spellEnd"/>
      <w:r>
        <w:rPr>
          <w:rFonts w:ascii="Calibri" w:eastAsia="Calibri" w:hAnsi="Calibri" w:cs="Calibri"/>
          <w:sz w:val="28"/>
          <w:szCs w:val="28"/>
        </w:rPr>
        <w:t xml:space="preserve"> Sanger Institute.</w:t>
      </w:r>
    </w:p>
    <w:p w14:paraId="2226CF89" w14:textId="77777777" w:rsidR="00BD579F" w:rsidRDefault="00BD579F">
      <w:pPr>
        <w:spacing w:line="240" w:lineRule="auto"/>
        <w:rPr>
          <w:rFonts w:ascii="Calibri" w:eastAsia="Calibri" w:hAnsi="Calibri" w:cs="Calibri"/>
          <w:sz w:val="28"/>
          <w:szCs w:val="28"/>
        </w:rPr>
      </w:pPr>
    </w:p>
    <w:p w14:paraId="45F481A7"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b/>
          <w:sz w:val="28"/>
          <w:szCs w:val="28"/>
          <w:u w:val="single"/>
        </w:rPr>
        <w:lastRenderedPageBreak/>
        <w:t>Key words:</w:t>
      </w:r>
      <w:r>
        <w:rPr>
          <w:rFonts w:ascii="Calibri" w:eastAsia="Calibri" w:hAnsi="Calibri" w:cs="Calibri"/>
          <w:sz w:val="28"/>
          <w:szCs w:val="28"/>
        </w:rPr>
        <w:t xml:space="preserve"> COVID-19; </w:t>
      </w:r>
      <w:proofErr w:type="gramStart"/>
      <w:r>
        <w:rPr>
          <w:rFonts w:ascii="Calibri" w:eastAsia="Calibri" w:hAnsi="Calibri" w:cs="Calibri"/>
          <w:sz w:val="28"/>
          <w:szCs w:val="28"/>
        </w:rPr>
        <w:t>transmissibility ;nosocomial</w:t>
      </w:r>
      <w:proofErr w:type="gramEnd"/>
      <w:r>
        <w:rPr>
          <w:rFonts w:ascii="Calibri" w:eastAsia="Calibri" w:hAnsi="Calibri" w:cs="Calibri"/>
          <w:sz w:val="28"/>
          <w:szCs w:val="28"/>
        </w:rPr>
        <w:t xml:space="preserve"> outbreaks; lineage B.1.1.7; Alpha variant; SARS-CoV-2; variants of concern</w:t>
      </w:r>
    </w:p>
    <w:p w14:paraId="0D888EBA" w14:textId="798F05BD" w:rsidR="00810E09" w:rsidRDefault="00810E09" w:rsidP="00810E09">
      <w:pPr>
        <w:spacing w:line="240" w:lineRule="auto"/>
        <w:jc w:val="both"/>
        <w:rPr>
          <w:rFonts w:ascii="Calibri" w:eastAsia="Calibri" w:hAnsi="Calibri" w:cs="Calibri"/>
          <w:b/>
          <w:sz w:val="28"/>
          <w:szCs w:val="28"/>
          <w:u w:val="single"/>
        </w:rPr>
      </w:pPr>
      <w:proofErr w:type="gramStart"/>
      <w:r w:rsidRPr="00810E09">
        <w:rPr>
          <w:rFonts w:ascii="Calibri" w:eastAsia="Times New Roman" w:hAnsi="Calibri" w:cs="Calibri"/>
          <w:b/>
          <w:bCs/>
          <w:color w:val="000000"/>
          <w:sz w:val="28"/>
          <w:szCs w:val="28"/>
        </w:rPr>
        <w:t>40 word</w:t>
      </w:r>
      <w:proofErr w:type="gramEnd"/>
      <w:r w:rsidRPr="00810E09">
        <w:rPr>
          <w:rFonts w:ascii="Calibri" w:eastAsia="Times New Roman" w:hAnsi="Calibri" w:cs="Calibri"/>
          <w:b/>
          <w:bCs/>
          <w:color w:val="000000"/>
          <w:sz w:val="28"/>
          <w:szCs w:val="28"/>
        </w:rPr>
        <w:t xml:space="preserve"> summary: </w:t>
      </w:r>
      <w:r w:rsidRPr="00810E09">
        <w:rPr>
          <w:rFonts w:ascii="Calibri" w:eastAsia="Times New Roman" w:hAnsi="Calibri" w:cs="Calibri"/>
          <w:color w:val="000000"/>
          <w:sz w:val="28"/>
          <w:szCs w:val="28"/>
        </w:rPr>
        <w:t xml:space="preserve">This </w:t>
      </w:r>
      <w:r>
        <w:rPr>
          <w:rFonts w:ascii="Calibri" w:eastAsia="Times New Roman" w:hAnsi="Calibri" w:cs="Calibri"/>
          <w:color w:val="000000"/>
          <w:sz w:val="28"/>
          <w:szCs w:val="28"/>
        </w:rPr>
        <w:t xml:space="preserve">UK </w:t>
      </w:r>
      <w:r w:rsidRPr="00810E09">
        <w:rPr>
          <w:rFonts w:ascii="Calibri" w:eastAsia="Times New Roman" w:hAnsi="Calibri" w:cs="Calibri"/>
          <w:color w:val="000000"/>
          <w:sz w:val="28"/>
          <w:szCs w:val="28"/>
        </w:rPr>
        <w:t xml:space="preserve">multicentre study found no </w:t>
      </w:r>
      <w:r>
        <w:rPr>
          <w:rFonts w:ascii="Calibri" w:eastAsia="Times New Roman" w:hAnsi="Calibri" w:cs="Calibri"/>
          <w:color w:val="000000"/>
          <w:sz w:val="28"/>
          <w:szCs w:val="28"/>
        </w:rPr>
        <w:t xml:space="preserve">evidence to support the Alpha variant as having caused more nosocomial transmission that previous </w:t>
      </w:r>
      <w:r w:rsidRPr="00810E09">
        <w:rPr>
          <w:rFonts w:ascii="Calibri" w:eastAsia="Times New Roman" w:hAnsi="Calibri" w:cs="Calibri"/>
          <w:color w:val="000000"/>
          <w:sz w:val="28"/>
          <w:szCs w:val="28"/>
        </w:rPr>
        <w:t>SARS-CoV-2 variant</w:t>
      </w:r>
      <w:r>
        <w:rPr>
          <w:rFonts w:ascii="Calibri" w:eastAsia="Times New Roman" w:hAnsi="Calibri" w:cs="Calibri"/>
          <w:color w:val="000000"/>
          <w:sz w:val="28"/>
          <w:szCs w:val="28"/>
        </w:rPr>
        <w:t>s</w:t>
      </w:r>
      <w:r w:rsidRPr="00810E09">
        <w:rPr>
          <w:rFonts w:ascii="Calibri" w:eastAsia="Times New Roman" w:hAnsi="Calibri" w:cs="Calibri"/>
          <w:color w:val="000000"/>
          <w:sz w:val="28"/>
          <w:szCs w:val="28"/>
        </w:rPr>
        <w:t xml:space="preserve">. </w:t>
      </w:r>
      <w:r>
        <w:rPr>
          <w:rFonts w:ascii="Calibri" w:eastAsia="Times New Roman" w:hAnsi="Calibri" w:cs="Calibri"/>
          <w:color w:val="000000"/>
          <w:sz w:val="28"/>
          <w:szCs w:val="28"/>
        </w:rPr>
        <w:t xml:space="preserve">This provides </w:t>
      </w:r>
      <w:r>
        <w:rPr>
          <w:rFonts w:ascii="Calibri" w:eastAsia="Calibri" w:hAnsi="Calibri" w:cs="Calibri"/>
          <w:sz w:val="28"/>
          <w:szCs w:val="28"/>
        </w:rPr>
        <w:t>some reassurance that currently implemented IPC measures may be as effective against more transmissible variants.</w:t>
      </w:r>
    </w:p>
    <w:p w14:paraId="07344191" w14:textId="3F9026A3" w:rsidR="00810E09" w:rsidRDefault="00810E09">
      <w:pPr>
        <w:rPr>
          <w:rFonts w:ascii="Calibri" w:eastAsia="Calibri" w:hAnsi="Calibri" w:cs="Calibri"/>
          <w:b/>
          <w:sz w:val="28"/>
          <w:szCs w:val="28"/>
          <w:u w:val="single"/>
        </w:rPr>
      </w:pPr>
      <w:r>
        <w:rPr>
          <w:rFonts w:ascii="Calibri" w:eastAsia="Calibri" w:hAnsi="Calibri" w:cs="Calibri"/>
          <w:b/>
          <w:sz w:val="28"/>
          <w:szCs w:val="28"/>
          <w:u w:val="single"/>
        </w:rPr>
        <w:br w:type="page"/>
      </w:r>
    </w:p>
    <w:p w14:paraId="5B9E2662" w14:textId="5E6B1B7A" w:rsidR="00810E09" w:rsidRDefault="00810E09">
      <w:pPr>
        <w:spacing w:before="240" w:after="240" w:line="240" w:lineRule="auto"/>
        <w:jc w:val="both"/>
        <w:rPr>
          <w:rFonts w:ascii="Calibri" w:eastAsia="Calibri" w:hAnsi="Calibri" w:cs="Calibri"/>
          <w:b/>
          <w:sz w:val="28"/>
          <w:szCs w:val="28"/>
        </w:rPr>
      </w:pPr>
      <w:r>
        <w:rPr>
          <w:rFonts w:ascii="Calibri" w:eastAsia="Calibri" w:hAnsi="Calibri" w:cs="Calibri"/>
          <w:b/>
          <w:sz w:val="28"/>
          <w:szCs w:val="28"/>
        </w:rPr>
        <w:lastRenderedPageBreak/>
        <w:t>[2663/3000]</w:t>
      </w:r>
    </w:p>
    <w:p w14:paraId="32427092" w14:textId="7EDC11A7" w:rsidR="00BD579F" w:rsidRDefault="00CE1CC9">
      <w:pPr>
        <w:spacing w:before="240" w:after="240" w:line="240" w:lineRule="auto"/>
        <w:jc w:val="both"/>
        <w:rPr>
          <w:rFonts w:ascii="Calibri" w:eastAsia="Calibri" w:hAnsi="Calibri" w:cs="Calibri"/>
          <w:b/>
          <w:sz w:val="28"/>
          <w:szCs w:val="28"/>
        </w:rPr>
      </w:pPr>
      <w:r>
        <w:rPr>
          <w:rFonts w:ascii="Calibri" w:eastAsia="Calibri" w:hAnsi="Calibri" w:cs="Calibri"/>
          <w:b/>
          <w:sz w:val="28"/>
          <w:szCs w:val="28"/>
        </w:rPr>
        <w:t>Introduction</w:t>
      </w:r>
    </w:p>
    <w:p w14:paraId="39E55C45"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At least four severe acute respiratory syndrome coronavirus 2 (SARS-CoV-2) lineages which resulted in strain replacement have been documented in the UK. For two of these, the Alpha variant (lineage B.1.1.7), and the Delta variant (lineage B.1.617.2), increased spread has been associated with increased variant transmissibility. The Alpha variant, which originated in the UK, was estimated to be up to 70% more transmissible than previously B.1 circulating variants and by March 2021 accounted for over 86% of cases in the UK</w:t>
      </w:r>
      <w:hyperlink r:id="rId4">
        <w:r>
          <w:rPr>
            <w:rFonts w:ascii="Calibri" w:eastAsia="Calibri" w:hAnsi="Calibri" w:cs="Calibri"/>
            <w:sz w:val="28"/>
            <w:szCs w:val="28"/>
            <w:vertAlign w:val="superscript"/>
          </w:rPr>
          <w:t>1–4</w:t>
        </w:r>
      </w:hyperlink>
      <w:r>
        <w:rPr>
          <w:rFonts w:ascii="Calibri" w:eastAsia="Calibri" w:hAnsi="Calibri" w:cs="Calibri"/>
          <w:sz w:val="28"/>
          <w:szCs w:val="28"/>
        </w:rPr>
        <w:t>. The more recently emerged Delta variant is thought to be 40-60% more transmissible than the Alpha variant, and as of June 2021 replaced the latter as the most dominant variant in the UK</w:t>
      </w:r>
      <w:hyperlink r:id="rId5">
        <w:r>
          <w:rPr>
            <w:rFonts w:ascii="Calibri" w:eastAsia="Calibri" w:hAnsi="Calibri" w:cs="Calibri"/>
            <w:sz w:val="28"/>
            <w:szCs w:val="28"/>
            <w:vertAlign w:val="superscript"/>
          </w:rPr>
          <w:t>5,6</w:t>
        </w:r>
      </w:hyperlink>
      <w:r>
        <w:rPr>
          <w:rFonts w:ascii="Calibri" w:eastAsia="Calibri" w:hAnsi="Calibri" w:cs="Calibri"/>
          <w:sz w:val="28"/>
          <w:szCs w:val="28"/>
        </w:rPr>
        <w:t>. Both variants possess distinct mutations associated with increased transmissibility and antibody escape which might help explain their rise</w:t>
      </w:r>
      <w:hyperlink r:id="rId6">
        <w:r>
          <w:rPr>
            <w:rFonts w:ascii="Calibri" w:eastAsia="Calibri" w:hAnsi="Calibri" w:cs="Calibri"/>
            <w:sz w:val="28"/>
            <w:szCs w:val="28"/>
            <w:vertAlign w:val="superscript"/>
          </w:rPr>
          <w:t>3,7–10</w:t>
        </w:r>
      </w:hyperlink>
      <w:r>
        <w:rPr>
          <w:rFonts w:ascii="Calibri" w:eastAsia="Calibri" w:hAnsi="Calibri" w:cs="Calibri"/>
          <w:sz w:val="28"/>
          <w:szCs w:val="28"/>
        </w:rPr>
        <w:t xml:space="preserve">. </w:t>
      </w:r>
    </w:p>
    <w:p w14:paraId="2F1184A1"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All SARS CoV-2 variants are associated with nosocomial transmission. For example, during the March-April 2020 peak of the COVID-19 outbreak it was estimated that up to 15% of inpatient cases were acquired in a healthcare setting</w:t>
      </w:r>
      <w:hyperlink r:id="rId7">
        <w:r>
          <w:rPr>
            <w:rFonts w:ascii="Calibri" w:eastAsia="Calibri" w:hAnsi="Calibri" w:cs="Calibri"/>
            <w:sz w:val="28"/>
            <w:szCs w:val="28"/>
            <w:vertAlign w:val="superscript"/>
          </w:rPr>
          <w:t>11–14</w:t>
        </w:r>
      </w:hyperlink>
      <w:r>
        <w:rPr>
          <w:rFonts w:ascii="Calibri" w:eastAsia="Calibri" w:hAnsi="Calibri" w:cs="Calibri"/>
          <w:sz w:val="28"/>
          <w:szCs w:val="28"/>
        </w:rPr>
        <w:t>. With the recognition of highly transmissible variants, consideration has been given as to whether more stringent control measures would be needed to prevent increased spread in healthcare settings</w:t>
      </w:r>
      <w:hyperlink r:id="rId8">
        <w:r>
          <w:rPr>
            <w:rFonts w:ascii="Calibri" w:eastAsia="Calibri" w:hAnsi="Calibri" w:cs="Calibri"/>
            <w:sz w:val="28"/>
            <w:szCs w:val="28"/>
            <w:vertAlign w:val="superscript"/>
          </w:rPr>
          <w:t>15,16</w:t>
        </w:r>
      </w:hyperlink>
      <w:r>
        <w:rPr>
          <w:rFonts w:ascii="Calibri" w:eastAsia="Calibri" w:hAnsi="Calibri" w:cs="Calibri"/>
          <w:sz w:val="28"/>
          <w:szCs w:val="28"/>
        </w:rPr>
        <w:t xml:space="preserve">.  </w:t>
      </w:r>
    </w:p>
    <w:p w14:paraId="4E19EBDB"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This study aimed to determine if the reported increased community transmissibility of the Alpha variant is replicated in hospitals. To address this, we identified nosocomial outbreaks using data from the COVID-19 Genomics UK Consortium (COG-UK) Hospital Onset COVID-19 Infection (HOCI) study, which collected epidemiological information and viral sequences from healthcare/hospital acquired COVID-19 infections during the winter of 2020-21.</w:t>
      </w:r>
    </w:p>
    <w:p w14:paraId="537A0274" w14:textId="77777777" w:rsidR="00BD579F" w:rsidRDefault="00BD579F">
      <w:pPr>
        <w:spacing w:before="240" w:after="240" w:line="240" w:lineRule="auto"/>
        <w:jc w:val="both"/>
        <w:rPr>
          <w:rFonts w:ascii="Calibri" w:eastAsia="Calibri" w:hAnsi="Calibri" w:cs="Calibri"/>
          <w:sz w:val="28"/>
          <w:szCs w:val="28"/>
          <w:highlight w:val="green"/>
        </w:rPr>
      </w:pPr>
    </w:p>
    <w:p w14:paraId="0ABD0A70" w14:textId="77777777" w:rsidR="00BD579F" w:rsidRDefault="00CE1CC9">
      <w:pPr>
        <w:spacing w:before="240" w:after="240" w:line="240" w:lineRule="auto"/>
        <w:jc w:val="both"/>
        <w:rPr>
          <w:rFonts w:ascii="Calibri" w:eastAsia="Calibri" w:hAnsi="Calibri" w:cs="Calibri"/>
          <w:b/>
          <w:sz w:val="28"/>
          <w:szCs w:val="28"/>
          <w:u w:val="single"/>
        </w:rPr>
      </w:pPr>
      <w:r>
        <w:rPr>
          <w:rFonts w:ascii="Calibri" w:eastAsia="Calibri" w:hAnsi="Calibri" w:cs="Calibri"/>
          <w:b/>
          <w:sz w:val="28"/>
          <w:szCs w:val="28"/>
          <w:u w:val="single"/>
        </w:rPr>
        <w:t>Methods</w:t>
      </w:r>
    </w:p>
    <w:p w14:paraId="11462C8D" w14:textId="77777777" w:rsidR="00BD579F" w:rsidRDefault="00CE1CC9">
      <w:pPr>
        <w:spacing w:before="240" w:after="240" w:line="240" w:lineRule="auto"/>
        <w:jc w:val="both"/>
        <w:rPr>
          <w:rFonts w:ascii="Calibri" w:eastAsia="Calibri" w:hAnsi="Calibri" w:cs="Calibri"/>
          <w:sz w:val="28"/>
          <w:szCs w:val="28"/>
          <w:u w:val="single"/>
        </w:rPr>
      </w:pPr>
      <w:r>
        <w:rPr>
          <w:rFonts w:ascii="Calibri" w:eastAsia="Calibri" w:hAnsi="Calibri" w:cs="Calibri"/>
          <w:sz w:val="28"/>
          <w:szCs w:val="28"/>
          <w:u w:val="single"/>
        </w:rPr>
        <w:t>Sequence and patient meta-data</w:t>
      </w:r>
    </w:p>
    <w:p w14:paraId="4C27EA19"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 xml:space="preserve">Data were collected as part of the COG-UK HOCI variant </w:t>
      </w:r>
      <w:proofErr w:type="spellStart"/>
      <w:r>
        <w:rPr>
          <w:rFonts w:ascii="Calibri" w:eastAsia="Calibri" w:hAnsi="Calibri" w:cs="Calibri"/>
          <w:sz w:val="28"/>
          <w:szCs w:val="28"/>
        </w:rPr>
        <w:t>substudy</w:t>
      </w:r>
      <w:proofErr w:type="spellEnd"/>
      <w:r>
        <w:rPr>
          <w:rFonts w:ascii="Calibri" w:eastAsia="Calibri" w:hAnsi="Calibri" w:cs="Calibri"/>
          <w:sz w:val="28"/>
          <w:szCs w:val="28"/>
        </w:rPr>
        <w:t xml:space="preserve"> from nine NHS hospitals across the UK, six of which were within London. The first SARS-CoV-2 positive sample from all inpatients, outpatient, A&amp;E patients and healthcare workers (HCW), tested by hospital laboratories between 16</w:t>
      </w:r>
      <w:r>
        <w:rPr>
          <w:rFonts w:ascii="Calibri" w:eastAsia="Calibri" w:hAnsi="Calibri" w:cs="Calibri"/>
          <w:sz w:val="28"/>
          <w:szCs w:val="28"/>
          <w:vertAlign w:val="superscript"/>
        </w:rPr>
        <w:t>th</w:t>
      </w:r>
      <w:r>
        <w:rPr>
          <w:rFonts w:ascii="Calibri" w:eastAsia="Calibri" w:hAnsi="Calibri" w:cs="Calibri"/>
          <w:sz w:val="28"/>
          <w:szCs w:val="28"/>
        </w:rPr>
        <w:t xml:space="preserve"> November 2020 and 10</w:t>
      </w:r>
      <w:r>
        <w:rPr>
          <w:rFonts w:ascii="Calibri" w:eastAsia="Calibri" w:hAnsi="Calibri" w:cs="Calibri"/>
          <w:sz w:val="28"/>
          <w:szCs w:val="28"/>
          <w:vertAlign w:val="superscript"/>
        </w:rPr>
        <w:t>th</w:t>
      </w:r>
      <w:r>
        <w:rPr>
          <w:rFonts w:ascii="Calibri" w:eastAsia="Calibri" w:hAnsi="Calibri" w:cs="Calibri"/>
          <w:sz w:val="28"/>
          <w:szCs w:val="28"/>
        </w:rPr>
        <w:t xml:space="preserve"> January 2021, were sequenced. In </w:t>
      </w:r>
      <w:proofErr w:type="gramStart"/>
      <w:r>
        <w:rPr>
          <w:rFonts w:ascii="Calibri" w:eastAsia="Calibri" w:hAnsi="Calibri" w:cs="Calibri"/>
          <w:sz w:val="28"/>
          <w:szCs w:val="28"/>
        </w:rPr>
        <w:t>addition</w:t>
      </w:r>
      <w:proofErr w:type="gramEnd"/>
      <w:r>
        <w:rPr>
          <w:rFonts w:ascii="Calibri" w:eastAsia="Calibri" w:hAnsi="Calibri" w:cs="Calibri"/>
          <w:sz w:val="28"/>
          <w:szCs w:val="28"/>
        </w:rPr>
        <w:t xml:space="preserve"> metadata were collected on patient age, sex (f/m/other/unknown), date of hospital admission and ward </w:t>
      </w:r>
      <w:r>
        <w:rPr>
          <w:rFonts w:ascii="Calibri" w:eastAsia="Calibri" w:hAnsi="Calibri" w:cs="Calibri"/>
          <w:sz w:val="28"/>
          <w:szCs w:val="28"/>
        </w:rPr>
        <w:lastRenderedPageBreak/>
        <w:t>location. Ethical approval for the HOCI study was provided by REC 20/EE/0118. Additional clinical details and comorbidities for this dataset are available elsewhere</w:t>
      </w:r>
      <w:hyperlink r:id="rId9">
        <w:r>
          <w:rPr>
            <w:rFonts w:ascii="Calibri" w:eastAsia="Calibri" w:hAnsi="Calibri" w:cs="Calibri"/>
            <w:sz w:val="28"/>
            <w:szCs w:val="28"/>
            <w:vertAlign w:val="superscript"/>
          </w:rPr>
          <w:t>17</w:t>
        </w:r>
      </w:hyperlink>
      <w:r>
        <w:rPr>
          <w:rFonts w:ascii="Calibri" w:eastAsia="Calibri" w:hAnsi="Calibri" w:cs="Calibri"/>
          <w:sz w:val="28"/>
          <w:szCs w:val="28"/>
        </w:rPr>
        <w:t xml:space="preserve">. </w:t>
      </w:r>
    </w:p>
    <w:p w14:paraId="324CA8DC"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highlight w:val="white"/>
        </w:rPr>
        <w:t xml:space="preserve">Inpatients were classified into 3 groups: </w:t>
      </w:r>
      <w:proofErr w:type="spellStart"/>
      <w:r>
        <w:rPr>
          <w:rFonts w:ascii="Calibri" w:eastAsia="Calibri" w:hAnsi="Calibri" w:cs="Calibri"/>
          <w:sz w:val="28"/>
          <w:szCs w:val="28"/>
          <w:highlight w:val="white"/>
        </w:rPr>
        <w:t>i</w:t>
      </w:r>
      <w:proofErr w:type="spellEnd"/>
      <w:r>
        <w:rPr>
          <w:rFonts w:ascii="Calibri" w:eastAsia="Calibri" w:hAnsi="Calibri" w:cs="Calibri"/>
          <w:sz w:val="28"/>
          <w:szCs w:val="28"/>
          <w:highlight w:val="white"/>
        </w:rPr>
        <w:t>) patients admitted with SARS-CoV-2 (community-acquired infections, CAIs), ii) those without symptoms of COVID 19 on admission, testing negative upon admission but testing positive between 3-7 days following admission (indeterminate healthcare-associated infections, HCAIs) and iii) those without symptoms of COVID-19 on admission with a positive test &gt;=8 days post-admission</w:t>
      </w:r>
      <w:r>
        <w:rPr>
          <w:rFonts w:ascii="Calibri" w:eastAsia="Calibri" w:hAnsi="Calibri" w:cs="Calibri"/>
          <w:sz w:val="28"/>
          <w:szCs w:val="28"/>
        </w:rPr>
        <w:t xml:space="preserve"> (probable/definite HCAIs)</w:t>
      </w:r>
      <w:hyperlink r:id="rId10">
        <w:r>
          <w:rPr>
            <w:rFonts w:ascii="Calibri" w:eastAsia="Calibri" w:hAnsi="Calibri" w:cs="Calibri"/>
            <w:sz w:val="28"/>
            <w:szCs w:val="28"/>
            <w:vertAlign w:val="superscript"/>
          </w:rPr>
          <w:t>18</w:t>
        </w:r>
      </w:hyperlink>
      <w:r>
        <w:rPr>
          <w:rFonts w:ascii="Calibri" w:eastAsia="Calibri" w:hAnsi="Calibri" w:cs="Calibri"/>
          <w:sz w:val="28"/>
          <w:szCs w:val="28"/>
        </w:rPr>
        <w:t xml:space="preserve">. Sequence data were also available for patients who presented to hospital but were not admitted, hospital outpatients and healthcare workers. The non-inpatients groups are included in the evaluation of Alpha variant prevalence only. </w:t>
      </w:r>
    </w:p>
    <w:p w14:paraId="41F6C95A" w14:textId="77777777" w:rsidR="00BD579F" w:rsidRDefault="00CE1CC9">
      <w:pPr>
        <w:spacing w:before="240" w:after="240" w:line="240" w:lineRule="auto"/>
        <w:jc w:val="both"/>
        <w:rPr>
          <w:rFonts w:ascii="Calibri" w:eastAsia="Calibri" w:hAnsi="Calibri" w:cs="Calibri"/>
          <w:sz w:val="28"/>
          <w:szCs w:val="28"/>
          <w:u w:val="single"/>
        </w:rPr>
      </w:pPr>
      <w:r>
        <w:rPr>
          <w:rFonts w:ascii="Calibri" w:eastAsia="Calibri" w:hAnsi="Calibri" w:cs="Calibri"/>
          <w:sz w:val="28"/>
          <w:szCs w:val="28"/>
          <w:u w:val="single"/>
        </w:rPr>
        <w:t xml:space="preserve">SARS-CoV-2 sequencing </w:t>
      </w:r>
    </w:p>
    <w:p w14:paraId="33975BD6"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Samples were sequenced by Oxford Nanopore Technologies (ONT)-based or Illumina-based methods as part of the COG-UK consortium</w:t>
      </w:r>
      <w:hyperlink r:id="rId11">
        <w:r>
          <w:rPr>
            <w:rFonts w:ascii="Calibri" w:eastAsia="Calibri" w:hAnsi="Calibri" w:cs="Calibri"/>
            <w:sz w:val="28"/>
            <w:szCs w:val="28"/>
            <w:vertAlign w:val="superscript"/>
          </w:rPr>
          <w:t>19</w:t>
        </w:r>
      </w:hyperlink>
      <w:r>
        <w:rPr>
          <w:rFonts w:ascii="Calibri" w:eastAsia="Calibri" w:hAnsi="Calibri" w:cs="Calibri"/>
          <w:sz w:val="28"/>
          <w:szCs w:val="28"/>
        </w:rPr>
        <w:t>. To maximise success 3 of 9 labs sequenced only those samples with qPCR cycle thresholds (Ct) values of ≤32 or equivalent, corresponding to 54% of samples (2268/4184). Sequences were assigned to lineages using COG-UK Pangolin (date 2021-04-14)</w:t>
      </w:r>
      <w:hyperlink r:id="rId12">
        <w:r>
          <w:rPr>
            <w:rFonts w:ascii="Calibri" w:eastAsia="Calibri" w:hAnsi="Calibri" w:cs="Calibri"/>
            <w:sz w:val="28"/>
            <w:szCs w:val="28"/>
            <w:vertAlign w:val="superscript"/>
          </w:rPr>
          <w:t>20</w:t>
        </w:r>
      </w:hyperlink>
      <w:r>
        <w:rPr>
          <w:rFonts w:ascii="Calibri" w:eastAsia="Calibri" w:hAnsi="Calibri" w:cs="Calibri"/>
          <w:sz w:val="28"/>
          <w:szCs w:val="28"/>
        </w:rPr>
        <w:t>. The GISAID and/or ENA accession number of 3589 sequences which are publicly available are in supplementary table 1.</w:t>
      </w:r>
    </w:p>
    <w:p w14:paraId="50AAE7EC" w14:textId="77777777" w:rsidR="00BD579F" w:rsidRDefault="00CE1CC9">
      <w:pPr>
        <w:spacing w:before="240" w:after="240" w:line="240" w:lineRule="auto"/>
        <w:jc w:val="both"/>
        <w:rPr>
          <w:rFonts w:ascii="Calibri" w:eastAsia="Calibri" w:hAnsi="Calibri" w:cs="Calibri"/>
          <w:i/>
          <w:sz w:val="28"/>
          <w:szCs w:val="28"/>
          <w:u w:val="single"/>
        </w:rPr>
      </w:pPr>
      <w:r>
        <w:rPr>
          <w:rFonts w:ascii="Calibri" w:eastAsia="Calibri" w:hAnsi="Calibri" w:cs="Calibri"/>
          <w:sz w:val="28"/>
          <w:szCs w:val="28"/>
          <w:u w:val="single"/>
        </w:rPr>
        <w:t>Prevalence in community testing (Pillar 2) from COG-UK</w:t>
      </w:r>
    </w:p>
    <w:p w14:paraId="47903801"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The number of samples in the COG-UK dataset collected between 16</w:t>
      </w:r>
      <w:r>
        <w:rPr>
          <w:rFonts w:ascii="Calibri" w:eastAsia="Calibri" w:hAnsi="Calibri" w:cs="Calibri"/>
          <w:sz w:val="28"/>
          <w:szCs w:val="28"/>
          <w:vertAlign w:val="superscript"/>
        </w:rPr>
        <w:t>th</w:t>
      </w:r>
      <w:r>
        <w:rPr>
          <w:rFonts w:ascii="Calibri" w:eastAsia="Calibri" w:hAnsi="Calibri" w:cs="Calibri"/>
          <w:sz w:val="28"/>
          <w:szCs w:val="28"/>
        </w:rPr>
        <w:t xml:space="preserve"> November 2020 and 10</w:t>
      </w:r>
      <w:r>
        <w:rPr>
          <w:rFonts w:ascii="Calibri" w:eastAsia="Calibri" w:hAnsi="Calibri" w:cs="Calibri"/>
          <w:sz w:val="28"/>
          <w:szCs w:val="28"/>
          <w:vertAlign w:val="superscript"/>
        </w:rPr>
        <w:t>th</w:t>
      </w:r>
      <w:r>
        <w:rPr>
          <w:rFonts w:ascii="Calibri" w:eastAsia="Calibri" w:hAnsi="Calibri" w:cs="Calibri"/>
          <w:sz w:val="28"/>
          <w:szCs w:val="28"/>
        </w:rPr>
        <w:t xml:space="preserve"> January 2021 from community areas, local to participating hospitals (</w:t>
      </w:r>
      <w:proofErr w:type="gramStart"/>
      <w:r>
        <w:rPr>
          <w:rFonts w:ascii="Calibri" w:eastAsia="Calibri" w:hAnsi="Calibri" w:cs="Calibri"/>
          <w:sz w:val="28"/>
          <w:szCs w:val="28"/>
        </w:rPr>
        <w:t>i.e.</w:t>
      </w:r>
      <w:proofErr w:type="gramEnd"/>
      <w:r>
        <w:rPr>
          <w:rFonts w:ascii="Calibri" w:eastAsia="Calibri" w:hAnsi="Calibri" w:cs="Calibri"/>
          <w:sz w:val="28"/>
          <w:szCs w:val="28"/>
        </w:rPr>
        <w:t xml:space="preserve"> shared adm2 designation), was tallied by week</w:t>
      </w:r>
      <w:hyperlink r:id="rId13">
        <w:r>
          <w:rPr>
            <w:rFonts w:ascii="Calibri" w:eastAsia="Calibri" w:hAnsi="Calibri" w:cs="Calibri"/>
            <w:sz w:val="28"/>
            <w:szCs w:val="28"/>
            <w:vertAlign w:val="superscript"/>
          </w:rPr>
          <w:t>21</w:t>
        </w:r>
      </w:hyperlink>
      <w:r>
        <w:rPr>
          <w:rFonts w:ascii="Calibri" w:eastAsia="Calibri" w:hAnsi="Calibri" w:cs="Calibri"/>
          <w:sz w:val="28"/>
          <w:szCs w:val="28"/>
        </w:rPr>
        <w:t xml:space="preserve">. </w:t>
      </w:r>
    </w:p>
    <w:p w14:paraId="02C14E17" w14:textId="77777777" w:rsidR="00BD579F" w:rsidRDefault="00CE1CC9">
      <w:pPr>
        <w:spacing w:before="240" w:after="240" w:line="240" w:lineRule="auto"/>
        <w:jc w:val="both"/>
        <w:rPr>
          <w:rFonts w:ascii="Calibri" w:eastAsia="Calibri" w:hAnsi="Calibri" w:cs="Calibri"/>
          <w:sz w:val="28"/>
          <w:szCs w:val="28"/>
          <w:u w:val="single"/>
        </w:rPr>
      </w:pPr>
      <w:r>
        <w:rPr>
          <w:rFonts w:ascii="Calibri" w:eastAsia="Calibri" w:hAnsi="Calibri" w:cs="Calibri"/>
          <w:sz w:val="28"/>
          <w:szCs w:val="28"/>
          <w:u w:val="single"/>
        </w:rPr>
        <w:t>Statistical analysis</w:t>
      </w:r>
    </w:p>
    <w:p w14:paraId="4CDD8605"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Differences between patient groups in the prevalence of the Alpha variant among positive samples were evaluated using mixed effects logistic regression</w:t>
      </w:r>
      <w:hyperlink r:id="rId14">
        <w:r>
          <w:rPr>
            <w:rFonts w:ascii="Calibri" w:eastAsia="Calibri" w:hAnsi="Calibri" w:cs="Calibri"/>
            <w:sz w:val="28"/>
            <w:szCs w:val="28"/>
            <w:vertAlign w:val="superscript"/>
          </w:rPr>
          <w:t>22</w:t>
        </w:r>
      </w:hyperlink>
      <w:r>
        <w:rPr>
          <w:rFonts w:ascii="Calibri" w:eastAsia="Calibri" w:hAnsi="Calibri" w:cs="Calibri"/>
          <w:sz w:val="28"/>
          <w:szCs w:val="28"/>
        </w:rPr>
        <w:t xml:space="preserve">. CAI or HCAI, sex, age and sample week were included as predictive variables. Parameters for sample weeks were fitted separately for London sites compared with other sites grouped, and random intercept terms were included for each hospital and for weekly periods nested within hospitals. This analysis was also repeated including only the London sites. </w:t>
      </w:r>
    </w:p>
    <w:p w14:paraId="696B5A76"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 xml:space="preserve">Outbreak analyses were conducted using sequences with greater than 90% coverage across the SARS-CoV-2 genome (1043 sequences). Sequence diversity was measured by pairwise distance, defined as the number of single nucleotide </w:t>
      </w:r>
      <w:r>
        <w:rPr>
          <w:rFonts w:ascii="Calibri" w:eastAsia="Calibri" w:hAnsi="Calibri" w:cs="Calibri"/>
          <w:sz w:val="28"/>
          <w:szCs w:val="28"/>
        </w:rPr>
        <w:lastRenderedPageBreak/>
        <w:t>polymorphisms (SNPs) differences between two sequences (excluding Ns), calculated in the R `ape` package</w:t>
      </w:r>
      <w:hyperlink r:id="rId15">
        <w:r>
          <w:rPr>
            <w:rFonts w:ascii="Calibri" w:eastAsia="Calibri" w:hAnsi="Calibri" w:cs="Calibri"/>
            <w:sz w:val="28"/>
            <w:szCs w:val="28"/>
            <w:vertAlign w:val="superscript"/>
          </w:rPr>
          <w:t>23</w:t>
        </w:r>
      </w:hyperlink>
      <w:r>
        <w:rPr>
          <w:rFonts w:ascii="Calibri" w:eastAsia="Calibri" w:hAnsi="Calibri" w:cs="Calibri"/>
          <w:sz w:val="28"/>
          <w:szCs w:val="28"/>
        </w:rPr>
        <w:t>. The summary results were then grouped by lineage. To determine whether sequences were part of a nosocomial outbreak, we only focused on probable/definite HCAIs diagnosed ≥8 days post-admission. Cases occurring on the same wards (excluding known COVID-19 wards), with a pairwise distance of 0 (</w:t>
      </w:r>
      <w:proofErr w:type="gramStart"/>
      <w:r>
        <w:rPr>
          <w:rFonts w:ascii="Calibri" w:eastAsia="Calibri" w:hAnsi="Calibri" w:cs="Calibri"/>
          <w:sz w:val="28"/>
          <w:szCs w:val="28"/>
        </w:rPr>
        <w:t>i.e.</w:t>
      </w:r>
      <w:proofErr w:type="gramEnd"/>
      <w:r>
        <w:rPr>
          <w:rFonts w:ascii="Calibri" w:eastAsia="Calibri" w:hAnsi="Calibri" w:cs="Calibri"/>
          <w:sz w:val="28"/>
          <w:szCs w:val="28"/>
        </w:rPr>
        <w:t xml:space="preserve"> identical sequences) and within a time window of ⩽ 7 days were considered linked and part of the same outbreak. We also included, as independent outbreaks, all samples not linked to any other (</w:t>
      </w:r>
      <w:proofErr w:type="gramStart"/>
      <w:r>
        <w:rPr>
          <w:rFonts w:ascii="Calibri" w:eastAsia="Calibri" w:hAnsi="Calibri" w:cs="Calibri"/>
          <w:sz w:val="28"/>
          <w:szCs w:val="28"/>
        </w:rPr>
        <w:t>i.e.</w:t>
      </w:r>
      <w:proofErr w:type="gramEnd"/>
      <w:r>
        <w:rPr>
          <w:rFonts w:ascii="Calibri" w:eastAsia="Calibri" w:hAnsi="Calibri" w:cs="Calibri"/>
          <w:sz w:val="28"/>
          <w:szCs w:val="28"/>
        </w:rPr>
        <w:t xml:space="preserve"> one unlinked sample irrespective of time and location will count as an outbreak of size 1). As these patients all acquired the infection in hospital, they are likely to represent nosocomial transmission (for example from other patients or HCWs whose virus was not sequenced or did not achieve adequate coverage). </w:t>
      </w:r>
    </w:p>
    <w:p w14:paraId="567A603F" w14:textId="77777777" w:rsidR="00BD579F" w:rsidRDefault="00CE1CC9">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sz w:val="28"/>
          <w:szCs w:val="28"/>
        </w:rPr>
        <w:t xml:space="preserve">All analyses were conducted in R version 4.0.2, using </w:t>
      </w:r>
      <w:proofErr w:type="spellStart"/>
      <w:r>
        <w:rPr>
          <w:rFonts w:ascii="Calibri" w:eastAsia="Calibri" w:hAnsi="Calibri" w:cs="Calibri"/>
          <w:sz w:val="28"/>
          <w:szCs w:val="28"/>
        </w:rPr>
        <w:t>tidyverse</w:t>
      </w:r>
      <w:proofErr w:type="spellEnd"/>
      <w:r>
        <w:rPr>
          <w:rFonts w:ascii="Calibri" w:eastAsia="Calibri" w:hAnsi="Calibri" w:cs="Calibri"/>
          <w:sz w:val="28"/>
          <w:szCs w:val="28"/>
        </w:rPr>
        <w:t xml:space="preserve"> collection of packages and other statistical packages such as lme4</w:t>
      </w:r>
      <w:hyperlink r:id="rId16">
        <w:r>
          <w:rPr>
            <w:rFonts w:ascii="Calibri" w:eastAsia="Calibri" w:hAnsi="Calibri" w:cs="Calibri"/>
            <w:sz w:val="28"/>
            <w:szCs w:val="28"/>
            <w:vertAlign w:val="superscript"/>
          </w:rPr>
          <w:t>22</w:t>
        </w:r>
      </w:hyperlink>
      <w:r>
        <w:rPr>
          <w:rFonts w:ascii="Calibri" w:eastAsia="Calibri" w:hAnsi="Calibri" w:cs="Calibri"/>
          <w:sz w:val="28"/>
          <w:szCs w:val="28"/>
        </w:rPr>
        <w:t>, jtools</w:t>
      </w:r>
      <w:hyperlink r:id="rId17">
        <w:r>
          <w:rPr>
            <w:rFonts w:ascii="Calibri" w:eastAsia="Calibri" w:hAnsi="Calibri" w:cs="Calibri"/>
            <w:sz w:val="28"/>
            <w:szCs w:val="28"/>
            <w:vertAlign w:val="superscript"/>
          </w:rPr>
          <w:t>24</w:t>
        </w:r>
      </w:hyperlink>
      <w:r>
        <w:rPr>
          <w:rFonts w:ascii="Calibri" w:eastAsia="Calibri" w:hAnsi="Calibri" w:cs="Calibri"/>
          <w:sz w:val="28"/>
          <w:szCs w:val="28"/>
        </w:rPr>
        <w:t xml:space="preserve"> and rcompanion</w:t>
      </w:r>
      <w:hyperlink r:id="rId18">
        <w:r>
          <w:rPr>
            <w:rFonts w:ascii="Calibri" w:eastAsia="Calibri" w:hAnsi="Calibri" w:cs="Calibri"/>
            <w:sz w:val="28"/>
            <w:szCs w:val="28"/>
            <w:vertAlign w:val="superscript"/>
          </w:rPr>
          <w:t>25</w:t>
        </w:r>
      </w:hyperlink>
      <w:r>
        <w:rPr>
          <w:rFonts w:ascii="Calibri" w:eastAsia="Calibri" w:hAnsi="Calibri" w:cs="Calibri"/>
          <w:sz w:val="28"/>
          <w:szCs w:val="28"/>
        </w:rPr>
        <w:t>. All plots were generated using ggplot2</w:t>
      </w:r>
      <w:hyperlink r:id="rId19">
        <w:r>
          <w:rPr>
            <w:rFonts w:ascii="Calibri" w:eastAsia="Calibri" w:hAnsi="Calibri" w:cs="Calibri"/>
            <w:sz w:val="28"/>
            <w:szCs w:val="28"/>
            <w:vertAlign w:val="superscript"/>
          </w:rPr>
          <w:t>26</w:t>
        </w:r>
      </w:hyperlink>
      <w:r>
        <w:rPr>
          <w:rFonts w:ascii="Calibri" w:eastAsia="Calibri" w:hAnsi="Calibri" w:cs="Calibri"/>
          <w:sz w:val="28"/>
          <w:szCs w:val="28"/>
        </w:rPr>
        <w:t xml:space="preserve">. </w:t>
      </w:r>
    </w:p>
    <w:p w14:paraId="2FCB22A3" w14:textId="77777777" w:rsidR="00BD579F" w:rsidRDefault="00CE1CC9">
      <w:pPr>
        <w:spacing w:before="240" w:after="240" w:line="240" w:lineRule="auto"/>
        <w:jc w:val="both"/>
        <w:rPr>
          <w:rFonts w:ascii="Calibri" w:eastAsia="Calibri" w:hAnsi="Calibri" w:cs="Calibri"/>
          <w:b/>
          <w:sz w:val="28"/>
          <w:szCs w:val="28"/>
        </w:rPr>
      </w:pPr>
      <w:r>
        <w:rPr>
          <w:rFonts w:ascii="Calibri" w:eastAsia="Calibri" w:hAnsi="Calibri" w:cs="Calibri"/>
          <w:b/>
          <w:sz w:val="28"/>
          <w:szCs w:val="28"/>
        </w:rPr>
        <w:t xml:space="preserve">Results </w:t>
      </w:r>
    </w:p>
    <w:p w14:paraId="1EFC8136" w14:textId="77777777" w:rsidR="00BD579F" w:rsidRDefault="00CE1CC9">
      <w:pPr>
        <w:spacing w:before="240" w:after="240" w:line="240" w:lineRule="auto"/>
        <w:jc w:val="both"/>
        <w:rPr>
          <w:rFonts w:ascii="Calibri" w:eastAsia="Calibri" w:hAnsi="Calibri" w:cs="Calibri"/>
          <w:sz w:val="28"/>
          <w:szCs w:val="28"/>
          <w:u w:val="single"/>
        </w:rPr>
      </w:pPr>
      <w:r>
        <w:rPr>
          <w:rFonts w:ascii="Calibri" w:eastAsia="Calibri" w:hAnsi="Calibri" w:cs="Calibri"/>
          <w:sz w:val="28"/>
          <w:szCs w:val="28"/>
          <w:u w:val="single"/>
        </w:rPr>
        <w:t>Study dataset</w:t>
      </w:r>
    </w:p>
    <w:p w14:paraId="57F5BEB8" w14:textId="118DA955"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Between November 16</w:t>
      </w:r>
      <w:r>
        <w:rPr>
          <w:rFonts w:ascii="Calibri" w:eastAsia="Calibri" w:hAnsi="Calibri" w:cs="Calibri"/>
          <w:sz w:val="28"/>
          <w:szCs w:val="28"/>
          <w:vertAlign w:val="superscript"/>
        </w:rPr>
        <w:t>th</w:t>
      </w:r>
      <w:proofErr w:type="gramStart"/>
      <w:r>
        <w:rPr>
          <w:rFonts w:ascii="Calibri" w:eastAsia="Calibri" w:hAnsi="Calibri" w:cs="Calibri"/>
          <w:sz w:val="28"/>
          <w:szCs w:val="28"/>
        </w:rPr>
        <w:t xml:space="preserve"> 2020</w:t>
      </w:r>
      <w:proofErr w:type="gramEnd"/>
      <w:r>
        <w:rPr>
          <w:rFonts w:ascii="Calibri" w:eastAsia="Calibri" w:hAnsi="Calibri" w:cs="Calibri"/>
          <w:sz w:val="28"/>
          <w:szCs w:val="28"/>
        </w:rPr>
        <w:t xml:space="preserve"> and January 10</w:t>
      </w:r>
      <w:r>
        <w:rPr>
          <w:rFonts w:ascii="Calibri" w:eastAsia="Calibri" w:hAnsi="Calibri" w:cs="Calibri"/>
          <w:sz w:val="28"/>
          <w:szCs w:val="28"/>
          <w:vertAlign w:val="superscript"/>
        </w:rPr>
        <w:t>th</w:t>
      </w:r>
      <w:r>
        <w:rPr>
          <w:rFonts w:ascii="Calibri" w:eastAsia="Calibri" w:hAnsi="Calibri" w:cs="Calibri"/>
          <w:sz w:val="28"/>
          <w:szCs w:val="28"/>
        </w:rPr>
        <w:t xml:space="preserve"> 2021 SARS-CoV-2 RNA positive upper respiratory tract samples from 4184 subjects were successfully sequenced, including 2455 inpatients, 450 outpatients, 1166 HCWs and 113 (4.4 %) with unknown status. Of the inpatients, 1666 (64.9 %) were hospitalised with community-acquired infection, 215 (8.4 %) with indeterminate HCAI and 574 (22.4 %) with probable/definite HCAI, (Table 1). In total, 2058 samples were the Alpha variant, 4 samples were the </w:t>
      </w:r>
      <w:r w:rsidR="00BE34C0">
        <w:rPr>
          <w:rFonts w:ascii="Calibri" w:eastAsia="Calibri" w:hAnsi="Calibri" w:cs="Calibri"/>
          <w:sz w:val="28"/>
          <w:szCs w:val="28"/>
        </w:rPr>
        <w:t>Beta</w:t>
      </w:r>
      <w:r>
        <w:rPr>
          <w:rFonts w:ascii="Calibri" w:eastAsia="Calibri" w:hAnsi="Calibri" w:cs="Calibri"/>
          <w:sz w:val="28"/>
          <w:szCs w:val="28"/>
        </w:rPr>
        <w:t xml:space="preserve"> variant (lineage B.1.351) and 2122 were of lineages not designated variants of </w:t>
      </w:r>
      <w:proofErr w:type="spellStart"/>
      <w:proofErr w:type="gramStart"/>
      <w:r>
        <w:rPr>
          <w:rFonts w:ascii="Calibri" w:eastAsia="Calibri" w:hAnsi="Calibri" w:cs="Calibri"/>
          <w:sz w:val="28"/>
          <w:szCs w:val="28"/>
        </w:rPr>
        <w:t>concern.The</w:t>
      </w:r>
      <w:proofErr w:type="spellEnd"/>
      <w:proofErr w:type="gramEnd"/>
      <w:r>
        <w:rPr>
          <w:rFonts w:ascii="Calibri" w:eastAsia="Calibri" w:hAnsi="Calibri" w:cs="Calibri"/>
          <w:sz w:val="28"/>
          <w:szCs w:val="28"/>
        </w:rPr>
        <w:t xml:space="preserve"> two most prominent lineages across the dataset were B.1.1.7 (the Alpha variant) and B.1.177. This was also true when restricting to HCAI samples alone (Supplementary Figure 1). </w:t>
      </w:r>
    </w:p>
    <w:p w14:paraId="09A28B56"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 xml:space="preserve">Data from laboratories not using Ct or equivalent thresholds confirmed that the proportions of the Alpha variant and non-Alpha variant viruses did not differ in samples with Ct values &lt;=32 (Supplementary Figure 2, Chi-square test p=0.16). </w:t>
      </w:r>
    </w:p>
    <w:p w14:paraId="3BC82AB3" w14:textId="77777777" w:rsidR="00BD579F" w:rsidRDefault="00CE1CC9">
      <w:pPr>
        <w:spacing w:before="240" w:after="240" w:line="240" w:lineRule="auto"/>
        <w:jc w:val="both"/>
        <w:rPr>
          <w:rFonts w:ascii="Calibri" w:eastAsia="Calibri" w:hAnsi="Calibri" w:cs="Calibri"/>
          <w:sz w:val="28"/>
          <w:szCs w:val="28"/>
          <w:u w:val="single"/>
        </w:rPr>
      </w:pPr>
      <w:r>
        <w:rPr>
          <w:rFonts w:ascii="Calibri" w:eastAsia="Calibri" w:hAnsi="Calibri" w:cs="Calibri"/>
          <w:sz w:val="28"/>
          <w:szCs w:val="28"/>
          <w:u w:val="single"/>
        </w:rPr>
        <w:t>Prevalence of the Alpha variant</w:t>
      </w:r>
    </w:p>
    <w:p w14:paraId="091AE14F"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 xml:space="preserve">The prevalence of the Alpha variant was highest in London and Hampshire (South of England), but substantially increased at all sites over the study period (Figure 1). On mixed effects logistic regression analysis of the Alpha variant, using 4165 samples with complete metadata, samples from HCWs (OR 0.78, 95 </w:t>
      </w:r>
      <w:r>
        <w:rPr>
          <w:rFonts w:ascii="Calibri" w:eastAsia="Calibri" w:hAnsi="Calibri" w:cs="Calibri"/>
          <w:sz w:val="28"/>
          <w:szCs w:val="28"/>
        </w:rPr>
        <w:lastRenderedPageBreak/>
        <w:t>CI% 0.60 to 1.01), indeterminate HCAIs (OR 0.45, 95 CI% 0.30 to 0.70) or probable/definite HCAI (0.45, 0.34 to 0.59) were less likely to be identified as the Alpha variant compared to CAIs than non-Alpha variant. Suggesting that the proportion of hospital-acquired infections due to the Alpha variant was lower in any given week than the proportion among those presenting to hospital with community-acquired infection. However, changes in the frequency of the Alpha variant in CAIs correlated with those in HCAIs on a regional basis (Pearson’s correlation coefficient in London 0.90, 95% CI: 0.54-0.98, p-value&lt;0.01, outside London 0.88, 95% CI 0.45-0.98, p-value&lt;0.05) (Supplementary figure 3a). This relationship was confirmed also between HCAIs and community data from the general population (Pillar2, Supplementary figure 3b). Following the rapid growth of the Alpha variant within the community and hospitals, we observed a decrease of other lineages. In particular, B.1.177, which was the dominant strain in Europe before November 2020</w:t>
      </w:r>
      <w:hyperlink r:id="rId20">
        <w:r>
          <w:rPr>
            <w:rFonts w:ascii="Calibri" w:eastAsia="Calibri" w:hAnsi="Calibri" w:cs="Calibri"/>
            <w:sz w:val="28"/>
            <w:szCs w:val="28"/>
            <w:vertAlign w:val="superscript"/>
          </w:rPr>
          <w:t>27,28</w:t>
        </w:r>
      </w:hyperlink>
      <w:r>
        <w:rPr>
          <w:rFonts w:ascii="Calibri" w:eastAsia="Calibri" w:hAnsi="Calibri" w:cs="Calibri"/>
          <w:sz w:val="28"/>
          <w:szCs w:val="28"/>
        </w:rPr>
        <w:t xml:space="preserve">, showed a correlation between CAIs and HCAIs (overall correlation 0.85) and an opposite trend to the Alpha variant with frequencies decreasing overtime (Supplementary figure 4). </w:t>
      </w:r>
    </w:p>
    <w:p w14:paraId="674243BA" w14:textId="77777777" w:rsidR="00BD579F" w:rsidRDefault="00CE1CC9">
      <w:pPr>
        <w:spacing w:line="240" w:lineRule="auto"/>
        <w:jc w:val="both"/>
        <w:rPr>
          <w:rFonts w:ascii="Calibri" w:eastAsia="Calibri" w:hAnsi="Calibri" w:cs="Calibri"/>
          <w:sz w:val="28"/>
          <w:szCs w:val="28"/>
          <w:u w:val="single"/>
        </w:rPr>
      </w:pPr>
      <w:r>
        <w:rPr>
          <w:rFonts w:ascii="Calibri" w:eastAsia="Calibri" w:hAnsi="Calibri" w:cs="Calibri"/>
          <w:sz w:val="28"/>
          <w:szCs w:val="28"/>
          <w:u w:val="single"/>
        </w:rPr>
        <w:t xml:space="preserve">Pairwise distance in HCAI </w:t>
      </w:r>
    </w:p>
    <w:p w14:paraId="742D20F7" w14:textId="77777777" w:rsidR="00BD579F" w:rsidRDefault="00BD579F">
      <w:pPr>
        <w:spacing w:line="240" w:lineRule="auto"/>
        <w:jc w:val="both"/>
        <w:rPr>
          <w:rFonts w:ascii="Calibri" w:eastAsia="Calibri" w:hAnsi="Calibri" w:cs="Calibri"/>
          <w:sz w:val="28"/>
          <w:szCs w:val="28"/>
        </w:rPr>
      </w:pPr>
    </w:p>
    <w:p w14:paraId="0256A13D" w14:textId="77777777" w:rsidR="00BD579F" w:rsidRDefault="00CE1CC9">
      <w:pPr>
        <w:spacing w:line="240" w:lineRule="auto"/>
        <w:jc w:val="both"/>
        <w:rPr>
          <w:rFonts w:ascii="Calibri" w:eastAsia="Calibri" w:hAnsi="Calibri" w:cs="Calibri"/>
          <w:sz w:val="28"/>
          <w:szCs w:val="28"/>
        </w:rPr>
      </w:pPr>
      <w:r>
        <w:rPr>
          <w:rFonts w:ascii="Calibri" w:eastAsia="Calibri" w:hAnsi="Calibri" w:cs="Calibri"/>
          <w:sz w:val="28"/>
          <w:szCs w:val="28"/>
        </w:rPr>
        <w:t>To help define outbreaks within hospitals, we used the sequence diversity within outbreaks involving patients with defined probable/definite HCAIs. We first compared the genetic distance among the Alpha variant sequences and separately among non-Alpha variant sequences of the same lineage. We found the mean pairwise distance (measured as number of SNPs difference) was lower between the Alpha variant samples than between samples from other lineages (mean=6.75 SNPs (95% CI 6.74-6.78) vs mean=8.01 SNPs (95% CI 7.95-8.07), Mann-Whitney U test p &lt;0.05, Supplementary Figure 5). We next considered only viruses from patients who had very likely acquired their infection in hospital (</w:t>
      </w:r>
      <w:proofErr w:type="gramStart"/>
      <w:r>
        <w:rPr>
          <w:rFonts w:ascii="Calibri" w:eastAsia="Calibri" w:hAnsi="Calibri" w:cs="Calibri"/>
          <w:sz w:val="28"/>
          <w:szCs w:val="28"/>
        </w:rPr>
        <w:t>i.e.</w:t>
      </w:r>
      <w:proofErr w:type="gramEnd"/>
      <w:r>
        <w:rPr>
          <w:rFonts w:ascii="Calibri" w:eastAsia="Calibri" w:hAnsi="Calibri" w:cs="Calibri"/>
          <w:sz w:val="28"/>
          <w:szCs w:val="28"/>
        </w:rPr>
        <w:t xml:space="preserve"> probable/definite HCAIs). Excluding wards that were used for </w:t>
      </w:r>
      <w:proofErr w:type="spellStart"/>
      <w:r>
        <w:rPr>
          <w:rFonts w:ascii="Calibri" w:eastAsia="Calibri" w:hAnsi="Calibri" w:cs="Calibri"/>
          <w:sz w:val="28"/>
          <w:szCs w:val="28"/>
        </w:rPr>
        <w:t>cohorting</w:t>
      </w:r>
      <w:proofErr w:type="spellEnd"/>
      <w:r>
        <w:rPr>
          <w:rFonts w:ascii="Calibri" w:eastAsia="Calibri" w:hAnsi="Calibri" w:cs="Calibri"/>
          <w:sz w:val="28"/>
          <w:szCs w:val="28"/>
        </w:rPr>
        <w:t xml:space="preserve"> COVID-19 patients, the mean pairwise distance between sequences from patients on the same ward was higher for the Alpha variant acquired in hospital than for non-Alpha (mean=1.95 SNPs (95% CI 1.64-2.27) vs mean = 0.71 SNPS (95% CI 0.635-0.78), Mann-Whitney U test p &lt;0.05). However, for both the Alpha variant and non-Alpha variants the pairwise distance between samples in the same ward was low. </w:t>
      </w:r>
    </w:p>
    <w:p w14:paraId="50745E3A" w14:textId="77777777" w:rsidR="00BD579F" w:rsidRDefault="00BD579F">
      <w:pPr>
        <w:spacing w:line="240" w:lineRule="auto"/>
        <w:jc w:val="both"/>
        <w:rPr>
          <w:rFonts w:ascii="Calibri" w:eastAsia="Calibri" w:hAnsi="Calibri" w:cs="Calibri"/>
          <w:sz w:val="28"/>
          <w:szCs w:val="28"/>
        </w:rPr>
      </w:pPr>
    </w:p>
    <w:p w14:paraId="1B4FB256" w14:textId="77777777" w:rsidR="00BD579F" w:rsidRDefault="00CE1CC9">
      <w:pPr>
        <w:spacing w:line="240" w:lineRule="auto"/>
        <w:jc w:val="both"/>
        <w:rPr>
          <w:rFonts w:ascii="Calibri" w:eastAsia="Calibri" w:hAnsi="Calibri" w:cs="Calibri"/>
          <w:sz w:val="28"/>
          <w:szCs w:val="28"/>
        </w:rPr>
      </w:pPr>
      <w:r>
        <w:rPr>
          <w:rFonts w:ascii="Calibri" w:eastAsia="Calibri" w:hAnsi="Calibri" w:cs="Calibri"/>
          <w:sz w:val="28"/>
          <w:szCs w:val="28"/>
          <w:u w:val="single"/>
        </w:rPr>
        <w:t>Outbreaks</w:t>
      </w:r>
      <w:r>
        <w:rPr>
          <w:rFonts w:ascii="Calibri" w:eastAsia="Calibri" w:hAnsi="Calibri" w:cs="Calibri"/>
          <w:sz w:val="28"/>
          <w:szCs w:val="28"/>
        </w:rPr>
        <w:t xml:space="preserve"> </w:t>
      </w:r>
    </w:p>
    <w:p w14:paraId="5B7960DC"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Given the low diversity observed within wards, and in agreement with previous studies</w:t>
      </w:r>
      <w:hyperlink r:id="rId21">
        <w:r>
          <w:rPr>
            <w:rFonts w:ascii="Calibri" w:eastAsia="Calibri" w:hAnsi="Calibri" w:cs="Calibri"/>
            <w:sz w:val="28"/>
            <w:szCs w:val="28"/>
            <w:vertAlign w:val="superscript"/>
          </w:rPr>
          <w:t>14</w:t>
        </w:r>
      </w:hyperlink>
      <w:r>
        <w:rPr>
          <w:rFonts w:ascii="Calibri" w:eastAsia="Calibri" w:hAnsi="Calibri" w:cs="Calibri"/>
          <w:sz w:val="28"/>
          <w:szCs w:val="28"/>
        </w:rPr>
        <w:t xml:space="preserve">, a stringent definition was applied to define linked infections. Samples were considered linked, and part of the same outbreak, when the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sequences </w:t>
      </w:r>
      <w:r>
        <w:rPr>
          <w:rFonts w:ascii="Calibri" w:eastAsia="Calibri" w:hAnsi="Calibri" w:cs="Calibri"/>
          <w:sz w:val="28"/>
          <w:szCs w:val="28"/>
        </w:rPr>
        <w:lastRenderedPageBreak/>
        <w:t xml:space="preserve">were completely identical and occurred on the same ward within a period of 7 days. Outbreaks of size one, corresponding to samples not linked to any other sample, were allowed. The </w:t>
      </w:r>
      <w:proofErr w:type="gramStart"/>
      <w:r>
        <w:rPr>
          <w:rFonts w:ascii="Calibri" w:eastAsia="Calibri" w:hAnsi="Calibri" w:cs="Calibri"/>
          <w:sz w:val="28"/>
          <w:szCs w:val="28"/>
        </w:rPr>
        <w:t>7 day</w:t>
      </w:r>
      <w:proofErr w:type="gramEnd"/>
      <w:r>
        <w:rPr>
          <w:rFonts w:ascii="Calibri" w:eastAsia="Calibri" w:hAnsi="Calibri" w:cs="Calibri"/>
          <w:sz w:val="28"/>
          <w:szCs w:val="28"/>
        </w:rPr>
        <w:t xml:space="preserve"> threshold is consistent with evidence that most people become symptomatic 7 days after exposure </w:t>
      </w:r>
      <w:hyperlink r:id="rId22">
        <w:r>
          <w:rPr>
            <w:rFonts w:ascii="Calibri" w:eastAsia="Calibri" w:hAnsi="Calibri" w:cs="Calibri"/>
            <w:sz w:val="28"/>
            <w:szCs w:val="28"/>
            <w:vertAlign w:val="superscript"/>
          </w:rPr>
          <w:t>29,30</w:t>
        </w:r>
      </w:hyperlink>
      <w:r>
        <w:rPr>
          <w:rFonts w:ascii="Calibri" w:eastAsia="Calibri" w:hAnsi="Calibri" w:cs="Calibri"/>
          <w:sz w:val="28"/>
          <w:szCs w:val="28"/>
        </w:rPr>
        <w:t xml:space="preserve">. This choice was also </w:t>
      </w:r>
      <w:proofErr w:type="spellStart"/>
      <w:r>
        <w:rPr>
          <w:rFonts w:ascii="Calibri" w:eastAsia="Calibri" w:hAnsi="Calibri" w:cs="Calibri"/>
          <w:sz w:val="28"/>
          <w:szCs w:val="28"/>
        </w:rPr>
        <w:t>inline</w:t>
      </w:r>
      <w:proofErr w:type="spellEnd"/>
      <w:r>
        <w:rPr>
          <w:rFonts w:ascii="Calibri" w:eastAsia="Calibri" w:hAnsi="Calibri" w:cs="Calibri"/>
          <w:sz w:val="28"/>
          <w:szCs w:val="28"/>
        </w:rPr>
        <w:t xml:space="preserve"> with previous transmission studies</w:t>
      </w:r>
      <w:hyperlink r:id="rId23">
        <w:r>
          <w:rPr>
            <w:rFonts w:ascii="Calibri" w:eastAsia="Calibri" w:hAnsi="Calibri" w:cs="Calibri"/>
            <w:sz w:val="28"/>
            <w:szCs w:val="28"/>
            <w:vertAlign w:val="superscript"/>
          </w:rPr>
          <w:t>16</w:t>
        </w:r>
      </w:hyperlink>
      <w:r>
        <w:rPr>
          <w:rFonts w:ascii="Calibri" w:eastAsia="Calibri" w:hAnsi="Calibri" w:cs="Calibri"/>
          <w:sz w:val="28"/>
          <w:szCs w:val="28"/>
        </w:rPr>
        <w:t xml:space="preserve">. The impact of allowing for multi-ward outbreaks and varying the time period and the pairwise SNP differences defining an outbreak was tested in a sensitivity analysis.  </w:t>
      </w:r>
    </w:p>
    <w:p w14:paraId="5A85CD09"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 xml:space="preserve">Ward data was available for a total of 497 probable/definite HCAI patients.  A total of 83 outbreaks were identified (by the above definition) caused by any lineage across all hospitals, 19 of which were caused by the Alpha variant. Outbreaks caused by the Alpha variant in hospitals increased with time, associated with the changing prevalence of the Alpha variant within the community (Figure 2). In contrast outbreaks due to other lineages decreased in line with reduced circulation of those lineages in the community. Whilst this trend is observed both within and outside London, the dominance of the Alpha variant outbreaks occurs earlier within London, reflecting the earlier rise in the community. </w:t>
      </w:r>
    </w:p>
    <w:p w14:paraId="5A17A870" w14:textId="77777777" w:rsidR="00BD579F" w:rsidRDefault="00CE1CC9">
      <w:pPr>
        <w:spacing w:before="240" w:after="240" w:line="240" w:lineRule="auto"/>
        <w:jc w:val="both"/>
        <w:rPr>
          <w:rFonts w:ascii="Calibri" w:eastAsia="Calibri" w:hAnsi="Calibri" w:cs="Calibri"/>
          <w:b/>
          <w:sz w:val="28"/>
          <w:szCs w:val="28"/>
        </w:rPr>
      </w:pPr>
      <w:r>
        <w:rPr>
          <w:rFonts w:ascii="Calibri" w:eastAsia="Calibri" w:hAnsi="Calibri" w:cs="Calibri"/>
          <w:sz w:val="28"/>
          <w:szCs w:val="28"/>
        </w:rPr>
        <w:t xml:space="preserve">The sizes of outbreak clusters within hospitals caused by the Alpha variant and by other lineages were compared. The total number of probable/definite HCAI patients in a single outbreak ranged from 1 to 11. There was no significant difference in the number of patients involved in outbreaks caused by the Alpha variant compared to outbreaks caused by other lineages (global Kruskal-Wallis p-value=0.27, pairwise comparisons non-significant, Figure 3). The mean size for the Alpha variant outbreaks was 2.22 in London (95% CI 1.22-3.22) and 3.30 in other locations (95% CI 1.39-5.21). Outbreaks of non-B.1.1.7 lineages had a mean size of 3.72 and 2.78 in London and outside respectively (95% CI 2.32-5.13 in London and 95% CI 2.08-3.49 outside). These conclusions were unchanged, by the sensitivity analyses (Supplementary Figure 6). </w:t>
      </w:r>
    </w:p>
    <w:p w14:paraId="58A5A62E" w14:textId="77777777" w:rsidR="00BD579F" w:rsidRDefault="00CE1CC9">
      <w:pPr>
        <w:spacing w:before="240" w:after="240" w:line="240" w:lineRule="auto"/>
        <w:jc w:val="both"/>
        <w:rPr>
          <w:rFonts w:ascii="Calibri" w:eastAsia="Calibri" w:hAnsi="Calibri" w:cs="Calibri"/>
          <w:b/>
          <w:sz w:val="28"/>
          <w:szCs w:val="28"/>
        </w:rPr>
      </w:pPr>
      <w:r>
        <w:rPr>
          <w:rFonts w:ascii="Calibri" w:eastAsia="Calibri" w:hAnsi="Calibri" w:cs="Calibri"/>
          <w:b/>
          <w:sz w:val="28"/>
          <w:szCs w:val="28"/>
        </w:rPr>
        <w:t xml:space="preserve">Discussion </w:t>
      </w:r>
    </w:p>
    <w:p w14:paraId="65E51637"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Nosocomial transmission continues to present a major challenge to the control of SARS-CoV-2 infection. Overall SARS-CoV-2 acquired in hospitals is estimated to have accounted for up to 20% COVID-19 inpatient cases during the first wave</w:t>
      </w:r>
      <w:hyperlink r:id="rId24">
        <w:r>
          <w:rPr>
            <w:rFonts w:ascii="Calibri" w:eastAsia="Calibri" w:hAnsi="Calibri" w:cs="Calibri"/>
            <w:sz w:val="28"/>
            <w:szCs w:val="28"/>
            <w:vertAlign w:val="superscript"/>
          </w:rPr>
          <w:t>31</w:t>
        </w:r>
      </w:hyperlink>
      <w:r>
        <w:rPr>
          <w:rFonts w:ascii="Calibri" w:eastAsia="Calibri" w:hAnsi="Calibri" w:cs="Calibri"/>
          <w:sz w:val="28"/>
          <w:szCs w:val="28"/>
        </w:rPr>
        <w:t>. Recent data from Scotland suggest that up to 36% of severe COVID-19 is associated with recent exposure in hospital (from 1 March 2020 to 28 January 2021)</w:t>
      </w:r>
      <w:hyperlink r:id="rId25">
        <w:r>
          <w:rPr>
            <w:rFonts w:ascii="Calibri" w:eastAsia="Calibri" w:hAnsi="Calibri" w:cs="Calibri"/>
            <w:sz w:val="28"/>
            <w:szCs w:val="28"/>
            <w:vertAlign w:val="superscript"/>
          </w:rPr>
          <w:t>32</w:t>
        </w:r>
      </w:hyperlink>
      <w:r>
        <w:rPr>
          <w:rFonts w:ascii="Calibri" w:eastAsia="Calibri" w:hAnsi="Calibri" w:cs="Calibri"/>
          <w:sz w:val="28"/>
          <w:szCs w:val="28"/>
        </w:rPr>
        <w:t xml:space="preserve">. This is in line with the proportions identified in our data, with 22.4% of inpatients having probable/definite HCAI and 8.4% having indeterminate HCAI across all sites. The emergence of new variants with evidence of greater transmissibility in the community presents a potentially increased threat of </w:t>
      </w:r>
      <w:r>
        <w:rPr>
          <w:rFonts w:ascii="Calibri" w:eastAsia="Calibri" w:hAnsi="Calibri" w:cs="Calibri"/>
          <w:sz w:val="28"/>
          <w:szCs w:val="28"/>
        </w:rPr>
        <w:lastRenderedPageBreak/>
        <w:t>nosocomial transmission leading to calls for better protection for staff and patients</w:t>
      </w:r>
      <w:hyperlink r:id="rId26">
        <w:r>
          <w:rPr>
            <w:rFonts w:ascii="Calibri" w:eastAsia="Calibri" w:hAnsi="Calibri" w:cs="Calibri"/>
            <w:sz w:val="28"/>
            <w:szCs w:val="28"/>
            <w:vertAlign w:val="superscript"/>
          </w:rPr>
          <w:t>15</w:t>
        </w:r>
      </w:hyperlink>
      <w:r>
        <w:rPr>
          <w:rFonts w:ascii="Calibri" w:eastAsia="Calibri" w:hAnsi="Calibri" w:cs="Calibri"/>
          <w:sz w:val="28"/>
          <w:szCs w:val="28"/>
        </w:rPr>
        <w:t xml:space="preserve">. </w:t>
      </w:r>
    </w:p>
    <w:p w14:paraId="20921E37"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Using detailed metadata on community and healthcare-acquired infections from 2455 inpatients in 9 hospitals across the UK linked to genomic data sequenced during the winter of 20/21 as part of COG-UK HOCI study, logistic regression analysis showed that having a healthcare-acquired infection was predictive of non-Alpha variants. This implies that the Alpha variant was not spreading faster within hospitals than in the community (Table 2). This finding was despite a rise in numbers of COVID-19 cases among both inpatients and the community, with an increasing proportion caused by the Alpha variant (Figure 1). As has been previously reported, the total numbers of HCAIs were closely correlated with the rising numbers of cases in the community and the increase in HCAI infections caused by the Alpha variant also correlated with increasing prevalence of the Alpha variant overall</w:t>
      </w:r>
      <w:hyperlink r:id="rId27">
        <w:r>
          <w:rPr>
            <w:rFonts w:ascii="Calibri" w:eastAsia="Calibri" w:hAnsi="Calibri" w:cs="Calibri"/>
            <w:sz w:val="28"/>
            <w:szCs w:val="28"/>
            <w:vertAlign w:val="superscript"/>
          </w:rPr>
          <w:t>29</w:t>
        </w:r>
      </w:hyperlink>
      <w:r>
        <w:rPr>
          <w:rFonts w:ascii="Calibri" w:eastAsia="Calibri" w:hAnsi="Calibri" w:cs="Calibri"/>
          <w:sz w:val="28"/>
          <w:szCs w:val="28"/>
        </w:rPr>
        <w:t xml:space="preserve">. </w:t>
      </w:r>
    </w:p>
    <w:p w14:paraId="209DDC7B"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We made use of the genomic data and detailed information on hospital acquired infections to better identify and quantify linked hospital infections. The definition of an outbreak was considered carefully. Previous outbreak data suggest that the mutation rate of SARS-CoV-2 is low, with an average of less than one fixed mutation occurring for each transmission</w:t>
      </w:r>
      <w:hyperlink r:id="rId28">
        <w:r>
          <w:rPr>
            <w:rFonts w:ascii="Calibri" w:eastAsia="Calibri" w:hAnsi="Calibri" w:cs="Calibri"/>
            <w:sz w:val="28"/>
            <w:szCs w:val="28"/>
            <w:vertAlign w:val="superscript"/>
          </w:rPr>
          <w:t>33</w:t>
        </w:r>
      </w:hyperlink>
      <w:r>
        <w:rPr>
          <w:rFonts w:ascii="Calibri" w:eastAsia="Calibri" w:hAnsi="Calibri" w:cs="Calibri"/>
          <w:sz w:val="28"/>
          <w:szCs w:val="28"/>
        </w:rPr>
        <w:t>. Nonetheless, up to 2 single nucleotide differences have been described in viruses that are known to be part of a single nosocomial outbreak</w:t>
      </w:r>
      <w:hyperlink r:id="rId29">
        <w:r>
          <w:rPr>
            <w:rFonts w:ascii="Calibri" w:eastAsia="Calibri" w:hAnsi="Calibri" w:cs="Calibri"/>
            <w:sz w:val="28"/>
            <w:szCs w:val="28"/>
            <w:vertAlign w:val="superscript"/>
          </w:rPr>
          <w:t>34</w:t>
        </w:r>
      </w:hyperlink>
      <w:r>
        <w:rPr>
          <w:rFonts w:ascii="Calibri" w:eastAsia="Calibri" w:hAnsi="Calibri" w:cs="Calibri"/>
          <w:sz w:val="28"/>
          <w:szCs w:val="28"/>
        </w:rPr>
        <w:t>. In our data, we noted very little genetic diversity across the Alpha variant (Supplementary figure 5), reflecting the rapid expansion and selective sweep that occurred as the variant rapidly spread. We therefore chose a stringent definition of linked infections, requiring identical sequences and included only patients with a high likelihood of having acquired their infection in hospital (</w:t>
      </w:r>
      <w:proofErr w:type="gramStart"/>
      <w:r>
        <w:rPr>
          <w:rFonts w:ascii="Calibri" w:eastAsia="Calibri" w:hAnsi="Calibri" w:cs="Calibri"/>
          <w:sz w:val="28"/>
          <w:szCs w:val="28"/>
        </w:rPr>
        <w:t>i.e.</w:t>
      </w:r>
      <w:proofErr w:type="gramEnd"/>
      <w:r>
        <w:rPr>
          <w:rFonts w:ascii="Calibri" w:eastAsia="Calibri" w:hAnsi="Calibri" w:cs="Calibri"/>
          <w:sz w:val="28"/>
          <w:szCs w:val="28"/>
        </w:rPr>
        <w:t xml:space="preserve"> probable or definite hospital onset SARS-CoV-2 infection). We also restricted putatively linked cases to those on the same ward and within a time window of 7 days to further increase the specificity of outbreak definition. Within these constraints, the genomic data failed to identify a difference between the size of outbreaks occurring on wards between the Alpha variant and previously circulating lineages.</w:t>
      </w:r>
    </w:p>
    <w:p w14:paraId="63200C82"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 xml:space="preserve">However, the outbreak definition implemented in our primary analysis is rather stringent. First, as we lack complete records of </w:t>
      </w:r>
      <w:proofErr w:type="gramStart"/>
      <w:r>
        <w:rPr>
          <w:rFonts w:ascii="Calibri" w:eastAsia="Calibri" w:hAnsi="Calibri" w:cs="Calibri"/>
          <w:sz w:val="28"/>
          <w:szCs w:val="28"/>
        </w:rPr>
        <w:t>patients</w:t>
      </w:r>
      <w:proofErr w:type="gramEnd"/>
      <w:r>
        <w:rPr>
          <w:rFonts w:ascii="Calibri" w:eastAsia="Calibri" w:hAnsi="Calibri" w:cs="Calibri"/>
          <w:sz w:val="28"/>
          <w:szCs w:val="28"/>
        </w:rPr>
        <w:t xml:space="preserve"> movement, we potentially exclude linked cases in different wards, for example patients who were infected by the same health-care worker or patients who moved before/after diagnosis. Second, our choice of a 7 days window is rather conservative, considering that estimates of the incubation period vary with some outbreak studies opting for a larger period of 14 days</w:t>
      </w:r>
      <w:hyperlink r:id="rId30">
        <w:r>
          <w:rPr>
            <w:rFonts w:ascii="Calibri" w:eastAsia="Calibri" w:hAnsi="Calibri" w:cs="Calibri"/>
            <w:sz w:val="28"/>
            <w:szCs w:val="28"/>
            <w:vertAlign w:val="superscript"/>
          </w:rPr>
          <w:t>29</w:t>
        </w:r>
      </w:hyperlink>
      <w:r>
        <w:rPr>
          <w:rFonts w:ascii="Calibri" w:eastAsia="Calibri" w:hAnsi="Calibri" w:cs="Calibri"/>
          <w:sz w:val="28"/>
          <w:szCs w:val="28"/>
        </w:rPr>
        <w:t xml:space="preserve">. Third, using only </w:t>
      </w:r>
      <w:r>
        <w:rPr>
          <w:rFonts w:ascii="Calibri" w:eastAsia="Calibri" w:hAnsi="Calibri" w:cs="Calibri"/>
          <w:sz w:val="28"/>
          <w:szCs w:val="28"/>
        </w:rPr>
        <w:lastRenderedPageBreak/>
        <w:t xml:space="preserve">identical sequences we could bias against lineages with smaller diversity. To assess the impact of our parameters’ choice and the robustness of our results, we carried out a sensitivity analysis varying our parameters to link cases. Allowing for multi-ward outbreaks, increasing the numbers of SNP differences to two and varying the time interval for defining linked cases (0, 7 and 14 days) failed to change the findings. </w:t>
      </w:r>
    </w:p>
    <w:p w14:paraId="5F8CCF69" w14:textId="77777777" w:rsidR="00BD579F" w:rsidRDefault="00BD579F">
      <w:pPr>
        <w:spacing w:before="240" w:after="240" w:line="240" w:lineRule="auto"/>
        <w:jc w:val="both"/>
        <w:rPr>
          <w:rFonts w:ascii="Calibri" w:eastAsia="Calibri" w:hAnsi="Calibri" w:cs="Calibri"/>
          <w:sz w:val="28"/>
          <w:szCs w:val="28"/>
        </w:rPr>
      </w:pPr>
    </w:p>
    <w:p w14:paraId="37FDD679"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 xml:space="preserve">There are a number of limitations to our work. First, we were not able to sequence all positive cases. Five of nine centres only sequenced samples with PCR cycle thresholds of 32 and below </w:t>
      </w:r>
      <w:proofErr w:type="gramStart"/>
      <w:r>
        <w:rPr>
          <w:rFonts w:ascii="Calibri" w:eastAsia="Calibri" w:hAnsi="Calibri" w:cs="Calibri"/>
          <w:sz w:val="28"/>
          <w:szCs w:val="28"/>
        </w:rPr>
        <w:t>i.e.</w:t>
      </w:r>
      <w:proofErr w:type="gramEnd"/>
      <w:r>
        <w:rPr>
          <w:rFonts w:ascii="Calibri" w:eastAsia="Calibri" w:hAnsi="Calibri" w:cs="Calibri"/>
          <w:sz w:val="28"/>
          <w:szCs w:val="28"/>
        </w:rPr>
        <w:t xml:space="preserve"> higher viral loads. Notably though, sequencing of 694 cases, from three labs not using Ct thresholds with available Ct data, did not find any difference in the distribution of genotypes in samples with Ct values below and above 32 (supplementary figure 1). A second limitation of our work is that towards the end of the study all three trusts outside London were using a sequence reporting tool (SRT), as part of the HOCI study</w:t>
      </w:r>
      <w:hyperlink r:id="rId31">
        <w:r>
          <w:rPr>
            <w:rFonts w:ascii="Calibri" w:eastAsia="Calibri" w:hAnsi="Calibri" w:cs="Calibri"/>
            <w:sz w:val="28"/>
            <w:szCs w:val="28"/>
            <w:vertAlign w:val="superscript"/>
          </w:rPr>
          <w:t>33</w:t>
        </w:r>
      </w:hyperlink>
      <w:r>
        <w:rPr>
          <w:rFonts w:ascii="Calibri" w:eastAsia="Calibri" w:hAnsi="Calibri" w:cs="Calibri"/>
          <w:sz w:val="28"/>
          <w:szCs w:val="28"/>
        </w:rPr>
        <w:t>, rather than phylogenetic analysis alone to help determine whether cases were part of linked outbreaks. It is not known whether the SRT may have limited the extent of outbreaks as data processing and analysis for the HOCI study is still ongoing.</w:t>
      </w:r>
      <w:r>
        <w:rPr>
          <w:rFonts w:ascii="Calibri" w:eastAsia="Calibri" w:hAnsi="Calibri" w:cs="Calibri"/>
          <w:strike/>
          <w:sz w:val="28"/>
          <w:szCs w:val="28"/>
        </w:rPr>
        <w:t xml:space="preserve"> </w:t>
      </w:r>
      <w:r>
        <w:rPr>
          <w:rFonts w:ascii="Calibri" w:eastAsia="Calibri" w:hAnsi="Calibri" w:cs="Calibri"/>
          <w:sz w:val="28"/>
          <w:szCs w:val="28"/>
        </w:rPr>
        <w:t>Finally, this study was not designed to account for use of personal protective equipment (PPE), aerosol generating procedures (AGP) or ventilation which may also impact transmission.</w:t>
      </w:r>
    </w:p>
    <w:p w14:paraId="2019A5F1"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sz w:val="28"/>
          <w:szCs w:val="28"/>
        </w:rPr>
        <w:t xml:space="preserve">In summary notwithstanding its greater transmissibility in the community, we find no evidence to support the Alpha variant as having caused more nosocomial transmission than previous variants. This suggests that the stringent infection prevention measures already in place in UK hospitals are similarly effective at containing the spread of SARS-CoV-2 in a healthcare setting irrespective of its transmissibility. This finding implies that ongoing nosocomial spread of SARS-CoV-2 is likely to be influenced by factors such as fixed estate, </w:t>
      </w:r>
      <w:proofErr w:type="gramStart"/>
      <w:r>
        <w:rPr>
          <w:rFonts w:ascii="Calibri" w:eastAsia="Calibri" w:hAnsi="Calibri" w:cs="Calibri"/>
          <w:sz w:val="28"/>
          <w:szCs w:val="28"/>
        </w:rPr>
        <w:t>e.g.</w:t>
      </w:r>
      <w:proofErr w:type="gramEnd"/>
      <w:r>
        <w:rPr>
          <w:rFonts w:ascii="Calibri" w:eastAsia="Calibri" w:hAnsi="Calibri" w:cs="Calibri"/>
          <w:sz w:val="28"/>
          <w:szCs w:val="28"/>
        </w:rPr>
        <w:t xml:space="preserve"> building infrastructure, beds in bays, shared facilities and ventilation, which are not readily mitigated by the existing infection prevention and control (IPC) measures. However, there is some reassurance that currently implemented IPC measures are likely to be as effective against more transmissible variants.</w:t>
      </w:r>
    </w:p>
    <w:p w14:paraId="12FFDB0E" w14:textId="77777777" w:rsidR="00BD579F" w:rsidRDefault="00BD579F">
      <w:pPr>
        <w:spacing w:before="240" w:after="240" w:line="240" w:lineRule="auto"/>
        <w:jc w:val="both"/>
        <w:rPr>
          <w:rFonts w:ascii="Calibri" w:eastAsia="Calibri" w:hAnsi="Calibri" w:cs="Calibri"/>
          <w:sz w:val="28"/>
          <w:szCs w:val="28"/>
        </w:rPr>
        <w:sectPr w:rsidR="00BD579F">
          <w:pgSz w:w="11909" w:h="16834"/>
          <w:pgMar w:top="1440" w:right="1440" w:bottom="1440" w:left="1440" w:header="720" w:footer="720" w:gutter="0"/>
          <w:pgNumType w:start="1"/>
          <w:cols w:space="720"/>
        </w:sectPr>
      </w:pPr>
    </w:p>
    <w:p w14:paraId="7C836D04" w14:textId="77777777" w:rsidR="00BD579F" w:rsidRDefault="00CE1CC9" w:rsidP="00CE1CC9">
      <w:pPr>
        <w:spacing w:line="480" w:lineRule="auto"/>
        <w:jc w:val="both"/>
        <w:rPr>
          <w:rFonts w:ascii="Calibri" w:eastAsia="Calibri" w:hAnsi="Calibri" w:cs="Calibri"/>
          <w:b/>
          <w:sz w:val="28"/>
          <w:szCs w:val="28"/>
        </w:rPr>
      </w:pPr>
      <w:r>
        <w:rPr>
          <w:rFonts w:ascii="Calibri" w:eastAsia="Calibri" w:hAnsi="Calibri" w:cs="Calibri"/>
          <w:b/>
          <w:sz w:val="28"/>
          <w:szCs w:val="28"/>
        </w:rPr>
        <w:lastRenderedPageBreak/>
        <w:t>References</w:t>
      </w:r>
    </w:p>
    <w:p w14:paraId="58FA36DA"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32">
        <w:r w:rsidR="00CE1CC9">
          <w:t>1</w:t>
        </w:r>
        <w:r w:rsidR="00CE1CC9">
          <w:tab/>
          <w:t xml:space="preserve">Volz E, Mishra S, Chand M, </w:t>
        </w:r>
      </w:hyperlink>
      <w:hyperlink r:id="rId33">
        <w:r w:rsidR="00CE1CC9">
          <w:rPr>
            <w:i/>
          </w:rPr>
          <w:t>et al.</w:t>
        </w:r>
      </w:hyperlink>
      <w:hyperlink r:id="rId34">
        <w:r w:rsidR="00CE1CC9">
          <w:t xml:space="preserve"> Transmission of SARS-CoV-2 Lineage B.1.1.7 in England: Insights from linking epidemiological and genetic data. </w:t>
        </w:r>
      </w:hyperlink>
      <w:hyperlink r:id="rId35">
        <w:proofErr w:type="spellStart"/>
        <w:r w:rsidR="00CE1CC9">
          <w:rPr>
            <w:i/>
          </w:rPr>
          <w:t>medRxiv</w:t>
        </w:r>
        <w:proofErr w:type="spellEnd"/>
      </w:hyperlink>
      <w:hyperlink r:id="rId36">
        <w:r w:rsidR="00CE1CC9">
          <w:t xml:space="preserve"> 2021</w:t>
        </w:r>
        <w:proofErr w:type="gramStart"/>
        <w:r w:rsidR="00CE1CC9">
          <w:t>; :</w:t>
        </w:r>
        <w:proofErr w:type="gramEnd"/>
        <w:r w:rsidR="00CE1CC9">
          <w:t xml:space="preserve"> 2020.12.30.20249034.</w:t>
        </w:r>
      </w:hyperlink>
    </w:p>
    <w:p w14:paraId="1217218A"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37">
        <w:r w:rsidR="00CE1CC9">
          <w:t>2</w:t>
        </w:r>
        <w:r w:rsidR="00CE1CC9">
          <w:tab/>
          <w:t xml:space="preserve">Davies NG, Abbott S, Barnard RC, </w:t>
        </w:r>
      </w:hyperlink>
      <w:hyperlink r:id="rId38">
        <w:r w:rsidR="00CE1CC9">
          <w:rPr>
            <w:i/>
          </w:rPr>
          <w:t>et al.</w:t>
        </w:r>
      </w:hyperlink>
      <w:hyperlink r:id="rId39">
        <w:r w:rsidR="00CE1CC9">
          <w:t xml:space="preserve"> Estimated transmissibility and severity of novel SARS-CoV-2 Variant of Concern 202012/01 in England. </w:t>
        </w:r>
      </w:hyperlink>
      <w:hyperlink r:id="rId40">
        <w:proofErr w:type="spellStart"/>
        <w:r w:rsidR="00CE1CC9">
          <w:rPr>
            <w:i/>
          </w:rPr>
          <w:t>medRxiv</w:t>
        </w:r>
        <w:proofErr w:type="spellEnd"/>
      </w:hyperlink>
      <w:hyperlink r:id="rId41">
        <w:r w:rsidR="00CE1CC9">
          <w:t xml:space="preserve"> 2021</w:t>
        </w:r>
        <w:proofErr w:type="gramStart"/>
        <w:r w:rsidR="00CE1CC9">
          <w:t>; :</w:t>
        </w:r>
        <w:proofErr w:type="gramEnd"/>
        <w:r w:rsidR="00CE1CC9">
          <w:t xml:space="preserve"> 2020.12.24.20248822.</w:t>
        </w:r>
      </w:hyperlink>
    </w:p>
    <w:p w14:paraId="1C6E6488"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42">
        <w:r w:rsidR="00CE1CC9">
          <w:t>3</w:t>
        </w:r>
        <w:r w:rsidR="00CE1CC9">
          <w:tab/>
          <w:t>PANGO lineages. https://cov-lineages.org/global_report.html (accessed Feb 9, 2021).</w:t>
        </w:r>
      </w:hyperlink>
    </w:p>
    <w:p w14:paraId="52136E20"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43">
        <w:r w:rsidR="00CE1CC9">
          <w:t>4</w:t>
        </w:r>
        <w:r w:rsidR="00CE1CC9">
          <w:tab/>
          <w:t>Lineage-specific growth of SARS-CoV-2 B.1.1.7 during the English national lockdown - SARS-CoV-2 coronavirus / nCoV-2019 Genomic Epidemiology. Virological. 2020; published online Dec 30. https://virological.org/t/lineage-specific-growth-of-sars-cov-2-b-1-1-7-during-the-english-national-lockdown/575 (accessed Feb 8, 2021).</w:t>
        </w:r>
      </w:hyperlink>
    </w:p>
    <w:p w14:paraId="4E74AEB8"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44">
        <w:r w:rsidR="00CE1CC9">
          <w:t>5</w:t>
        </w:r>
        <w:r w:rsidR="00CE1CC9">
          <w:tab/>
          <w:t>Confirmed cases of COVID-19 variants identified in UK. GOV.UK. https://www.gov.uk/government/news/confirmed-cases-of-covid-19-variants-identified-in-uk (accessed June 29, 2021).</w:t>
        </w:r>
      </w:hyperlink>
    </w:p>
    <w:p w14:paraId="6D5FB4AA"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45">
        <w:r w:rsidR="00CE1CC9">
          <w:t>6</w:t>
        </w:r>
        <w:r w:rsidR="00CE1CC9">
          <w:tab/>
          <w:t>SPI-M-O: Consensus statement on COVID-19, 3 June 2021. GOV.UK. https://www.gov.uk/government/publications/spi-m-o-consensus-statement-on-covid-19-3-june-2021 (accessed June 29, 2021).</w:t>
        </w:r>
      </w:hyperlink>
    </w:p>
    <w:p w14:paraId="0BA2C636"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46">
        <w:r w:rsidR="00CE1CC9">
          <w:t>7</w:t>
        </w:r>
        <w:r w:rsidR="00CE1CC9">
          <w:tab/>
          <w:t xml:space="preserve">Kemp SA, Collier DA, </w:t>
        </w:r>
        <w:proofErr w:type="spellStart"/>
        <w:r w:rsidR="00CE1CC9">
          <w:t>Datir</w:t>
        </w:r>
        <w:proofErr w:type="spellEnd"/>
        <w:r w:rsidR="00CE1CC9">
          <w:t xml:space="preserve"> RP, </w:t>
        </w:r>
      </w:hyperlink>
      <w:hyperlink r:id="rId47">
        <w:r w:rsidR="00CE1CC9">
          <w:rPr>
            <w:i/>
          </w:rPr>
          <w:t>et al.</w:t>
        </w:r>
      </w:hyperlink>
      <w:hyperlink r:id="rId48">
        <w:r w:rsidR="00CE1CC9">
          <w:t xml:space="preserve"> SARS-CoV-2 evolution during treatment of chronic infection. </w:t>
        </w:r>
      </w:hyperlink>
      <w:hyperlink r:id="rId49">
        <w:r w:rsidR="00CE1CC9">
          <w:rPr>
            <w:i/>
          </w:rPr>
          <w:t>Nature</w:t>
        </w:r>
      </w:hyperlink>
      <w:hyperlink r:id="rId50">
        <w:r w:rsidR="00CE1CC9">
          <w:t xml:space="preserve"> 2021</w:t>
        </w:r>
        <w:proofErr w:type="gramStart"/>
        <w:r w:rsidR="00CE1CC9">
          <w:t>; :</w:t>
        </w:r>
        <w:proofErr w:type="gramEnd"/>
        <w:r w:rsidR="00CE1CC9">
          <w:t xml:space="preserve"> 1–10.</w:t>
        </w:r>
      </w:hyperlink>
    </w:p>
    <w:p w14:paraId="7E9AC12F"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51">
        <w:r w:rsidR="00CE1CC9">
          <w:t>8</w:t>
        </w:r>
        <w:r w:rsidR="00CE1CC9">
          <w:tab/>
          <w:t xml:space="preserve">Wise J. Covid-19: New coronavirus variant is identified in UK. </w:t>
        </w:r>
      </w:hyperlink>
      <w:hyperlink r:id="rId52">
        <w:r w:rsidR="00CE1CC9">
          <w:rPr>
            <w:i/>
          </w:rPr>
          <w:t>BMJ</w:t>
        </w:r>
      </w:hyperlink>
      <w:hyperlink r:id="rId53">
        <w:r w:rsidR="00CE1CC9">
          <w:t xml:space="preserve"> 2020; </w:t>
        </w:r>
      </w:hyperlink>
      <w:hyperlink r:id="rId54">
        <w:r w:rsidR="00CE1CC9">
          <w:rPr>
            <w:b/>
          </w:rPr>
          <w:t>371</w:t>
        </w:r>
      </w:hyperlink>
      <w:hyperlink r:id="rId55">
        <w:r w:rsidR="00CE1CC9">
          <w:t>: m4857.</w:t>
        </w:r>
      </w:hyperlink>
    </w:p>
    <w:p w14:paraId="11F2116D"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56">
        <w:r w:rsidR="00CE1CC9">
          <w:t>9</w:t>
        </w:r>
        <w:r w:rsidR="00CE1CC9">
          <w:tab/>
          <w:t xml:space="preserve">Starr TN, Greaney AJ, </w:t>
        </w:r>
        <w:proofErr w:type="spellStart"/>
        <w:r w:rsidR="00CE1CC9">
          <w:t>Dingens</w:t>
        </w:r>
        <w:proofErr w:type="spellEnd"/>
        <w:r w:rsidR="00CE1CC9">
          <w:t xml:space="preserve"> AS, Bloom JD. Complete map of SARS-CoV-2 RBD mutations that escape the monoclonal antibody LY-CoV555 and its cocktail with LY-CoV016. </w:t>
        </w:r>
      </w:hyperlink>
      <w:hyperlink r:id="rId57">
        <w:r w:rsidR="00CE1CC9">
          <w:rPr>
            <w:i/>
          </w:rPr>
          <w:t>Cell Rep Med</w:t>
        </w:r>
      </w:hyperlink>
      <w:hyperlink r:id="rId58">
        <w:r w:rsidR="00CE1CC9">
          <w:t xml:space="preserve"> 2021; </w:t>
        </w:r>
      </w:hyperlink>
      <w:hyperlink r:id="rId59">
        <w:r w:rsidR="00CE1CC9">
          <w:rPr>
            <w:b/>
          </w:rPr>
          <w:t>2</w:t>
        </w:r>
      </w:hyperlink>
      <w:hyperlink r:id="rId60">
        <w:r w:rsidR="00CE1CC9">
          <w:t>: 100255.</w:t>
        </w:r>
      </w:hyperlink>
    </w:p>
    <w:p w14:paraId="0E934510"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61">
        <w:r w:rsidR="00CE1CC9">
          <w:t>10</w:t>
        </w:r>
        <w:r w:rsidR="00CE1CC9">
          <w:tab/>
          <w:t xml:space="preserve">Zhang W, Davis BD, Chen SS, </w:t>
        </w:r>
        <w:proofErr w:type="spellStart"/>
        <w:r w:rsidR="00CE1CC9">
          <w:t>Sincuir</w:t>
        </w:r>
        <w:proofErr w:type="spellEnd"/>
        <w:r w:rsidR="00CE1CC9">
          <w:t xml:space="preserve"> Martinez JM, Plummer JT, Vail E. Emergence of a Novel SARS-CoV-2 Variant in Southern California. </w:t>
        </w:r>
      </w:hyperlink>
      <w:hyperlink r:id="rId62">
        <w:r w:rsidR="00CE1CC9">
          <w:rPr>
            <w:i/>
          </w:rPr>
          <w:t>JAMA</w:t>
        </w:r>
      </w:hyperlink>
      <w:hyperlink r:id="rId63">
        <w:r w:rsidR="00CE1CC9">
          <w:t xml:space="preserve"> 2021; </w:t>
        </w:r>
      </w:hyperlink>
      <w:hyperlink r:id="rId64">
        <w:r w:rsidR="00CE1CC9">
          <w:rPr>
            <w:b/>
          </w:rPr>
          <w:t>325</w:t>
        </w:r>
      </w:hyperlink>
      <w:hyperlink r:id="rId65">
        <w:r w:rsidR="00CE1CC9">
          <w:t>: 1324.</w:t>
        </w:r>
      </w:hyperlink>
    </w:p>
    <w:p w14:paraId="42CD2EB6"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66">
        <w:r w:rsidR="00CE1CC9">
          <w:t>11</w:t>
        </w:r>
        <w:r w:rsidR="00CE1CC9">
          <w:tab/>
          <w:t xml:space="preserve">Rickman HM, </w:t>
        </w:r>
        <w:proofErr w:type="spellStart"/>
        <w:r w:rsidR="00CE1CC9">
          <w:t>Rampling</w:t>
        </w:r>
        <w:proofErr w:type="spellEnd"/>
        <w:r w:rsidR="00CE1CC9">
          <w:t xml:space="preserve"> T, Shaw K, </w:t>
        </w:r>
      </w:hyperlink>
      <w:hyperlink r:id="rId67">
        <w:r w:rsidR="00CE1CC9">
          <w:rPr>
            <w:i/>
          </w:rPr>
          <w:t>et al.</w:t>
        </w:r>
      </w:hyperlink>
      <w:hyperlink r:id="rId68">
        <w:r w:rsidR="00CE1CC9">
          <w:t xml:space="preserve"> Nosocomial Transmission of Coronavirus </w:t>
        </w:r>
        <w:r w:rsidR="00CE1CC9">
          <w:lastRenderedPageBreak/>
          <w:t xml:space="preserve">Disease 2019: A Retrospective Study of 66 Hospital-acquired Cases in a London Teaching Hospital. </w:t>
        </w:r>
      </w:hyperlink>
      <w:hyperlink r:id="rId69">
        <w:r w:rsidR="00CE1CC9">
          <w:rPr>
            <w:i/>
          </w:rPr>
          <w:t>Clin Infect Dis</w:t>
        </w:r>
      </w:hyperlink>
      <w:hyperlink r:id="rId70">
        <w:r w:rsidR="00CE1CC9">
          <w:t xml:space="preserve"> 2021; </w:t>
        </w:r>
      </w:hyperlink>
      <w:hyperlink r:id="rId71">
        <w:r w:rsidR="00CE1CC9">
          <w:rPr>
            <w:b/>
          </w:rPr>
          <w:t>72</w:t>
        </w:r>
      </w:hyperlink>
      <w:hyperlink r:id="rId72">
        <w:r w:rsidR="00CE1CC9">
          <w:t>: 690–3.</w:t>
        </w:r>
      </w:hyperlink>
    </w:p>
    <w:p w14:paraId="5485C2EC"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73">
        <w:r w:rsidR="00CE1CC9">
          <w:t>12</w:t>
        </w:r>
        <w:r w:rsidR="00CE1CC9">
          <w:tab/>
          <w:t xml:space="preserve">Wang D, Hu B, Hu C, </w:t>
        </w:r>
      </w:hyperlink>
      <w:hyperlink r:id="rId74">
        <w:r w:rsidR="00CE1CC9">
          <w:rPr>
            <w:i/>
          </w:rPr>
          <w:t>et al.</w:t>
        </w:r>
      </w:hyperlink>
      <w:hyperlink r:id="rId75">
        <w:r w:rsidR="00CE1CC9">
          <w:t xml:space="preserve"> Clinical Characteristics of 138 Hospitalized Patients With 2019 Novel Coronavirus–Infected Pneumonia in Wuhan, China. </w:t>
        </w:r>
      </w:hyperlink>
      <w:hyperlink r:id="rId76">
        <w:r w:rsidR="00CE1CC9">
          <w:rPr>
            <w:i/>
          </w:rPr>
          <w:t>JAMA</w:t>
        </w:r>
      </w:hyperlink>
      <w:hyperlink r:id="rId77">
        <w:r w:rsidR="00CE1CC9">
          <w:t xml:space="preserve"> 2020; </w:t>
        </w:r>
      </w:hyperlink>
      <w:hyperlink r:id="rId78">
        <w:r w:rsidR="00CE1CC9">
          <w:rPr>
            <w:b/>
          </w:rPr>
          <w:t>323</w:t>
        </w:r>
      </w:hyperlink>
      <w:hyperlink r:id="rId79">
        <w:r w:rsidR="00CE1CC9">
          <w:t>: 1061–9.</w:t>
        </w:r>
      </w:hyperlink>
    </w:p>
    <w:p w14:paraId="2A93CA87"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80">
        <w:r w:rsidR="00CE1CC9">
          <w:t>13</w:t>
        </w:r>
        <w:r w:rsidR="00CE1CC9">
          <w:tab/>
          <w:t xml:space="preserve">Bhattacharya A, Collin SM, Stimson J, </w:t>
        </w:r>
      </w:hyperlink>
      <w:hyperlink r:id="rId81">
        <w:r w:rsidR="00CE1CC9">
          <w:rPr>
            <w:i/>
          </w:rPr>
          <w:t>et al.</w:t>
        </w:r>
      </w:hyperlink>
      <w:hyperlink r:id="rId82">
        <w:r w:rsidR="00CE1CC9">
          <w:t xml:space="preserve"> Healthcare-associated COVID-19 in England: a national data linkage study. Infectious Diseases (except HIV/AIDS), 2021 DOI:10.1101/2021.02.16.21251625.</w:t>
        </w:r>
      </w:hyperlink>
    </w:p>
    <w:p w14:paraId="02CD5B03"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83">
        <w:r w:rsidR="00CE1CC9">
          <w:t>14</w:t>
        </w:r>
        <w:r w:rsidR="00CE1CC9">
          <w:tab/>
          <w:t xml:space="preserve">Meredith LW, Hamilton WL, Warne B, </w:t>
        </w:r>
      </w:hyperlink>
      <w:hyperlink r:id="rId84">
        <w:r w:rsidR="00CE1CC9">
          <w:rPr>
            <w:i/>
          </w:rPr>
          <w:t>et al.</w:t>
        </w:r>
      </w:hyperlink>
      <w:hyperlink r:id="rId85">
        <w:r w:rsidR="00CE1CC9">
          <w:t xml:space="preserve"> Rapid implementation of SARS-CoV-2 sequencing to investigate cases of health-care associated COVID-19: a prospective genomic surveillance study. </w:t>
        </w:r>
      </w:hyperlink>
      <w:hyperlink r:id="rId86">
        <w:r w:rsidR="00CE1CC9">
          <w:rPr>
            <w:i/>
          </w:rPr>
          <w:t>Lancet Infect Dis</w:t>
        </w:r>
      </w:hyperlink>
      <w:hyperlink r:id="rId87">
        <w:r w:rsidR="00CE1CC9">
          <w:t xml:space="preserve"> 2020; </w:t>
        </w:r>
      </w:hyperlink>
      <w:hyperlink r:id="rId88">
        <w:r w:rsidR="00CE1CC9">
          <w:rPr>
            <w:b/>
          </w:rPr>
          <w:t>20</w:t>
        </w:r>
      </w:hyperlink>
      <w:hyperlink r:id="rId89">
        <w:r w:rsidR="00CE1CC9">
          <w:t>: 1263–71.</w:t>
        </w:r>
      </w:hyperlink>
    </w:p>
    <w:p w14:paraId="1B293DE3"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90">
        <w:r w:rsidR="00CE1CC9">
          <w:t>15</w:t>
        </w:r>
        <w:r w:rsidR="00CE1CC9">
          <w:tab/>
          <w:t xml:space="preserve">Oliver D. David Oliver: Could we do better on hospital acquired covid-19 in a future wave? </w:t>
        </w:r>
      </w:hyperlink>
      <w:hyperlink r:id="rId91">
        <w:r w:rsidR="00CE1CC9">
          <w:rPr>
            <w:i/>
          </w:rPr>
          <w:t>BMJ</w:t>
        </w:r>
      </w:hyperlink>
      <w:hyperlink r:id="rId92">
        <w:r w:rsidR="00CE1CC9">
          <w:t xml:space="preserve"> 2021; </w:t>
        </w:r>
      </w:hyperlink>
      <w:hyperlink r:id="rId93">
        <w:r w:rsidR="00CE1CC9">
          <w:rPr>
            <w:b/>
          </w:rPr>
          <w:t>372</w:t>
        </w:r>
      </w:hyperlink>
      <w:hyperlink r:id="rId94">
        <w:r w:rsidR="00CE1CC9">
          <w:t>: n70.</w:t>
        </w:r>
      </w:hyperlink>
    </w:p>
    <w:p w14:paraId="1837DEFF"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95">
        <w:r w:rsidR="00CE1CC9">
          <w:t>16</w:t>
        </w:r>
        <w:r w:rsidR="00CE1CC9">
          <w:tab/>
          <w:t xml:space="preserve">Duverger C, </w:t>
        </w:r>
        <w:proofErr w:type="spellStart"/>
        <w:r w:rsidR="00CE1CC9">
          <w:t>Souyri</w:t>
        </w:r>
        <w:proofErr w:type="spellEnd"/>
        <w:r w:rsidR="00CE1CC9">
          <w:t xml:space="preserve"> V, </w:t>
        </w:r>
        <w:proofErr w:type="spellStart"/>
        <w:r w:rsidR="00CE1CC9">
          <w:t>Monteil</w:t>
        </w:r>
        <w:proofErr w:type="spellEnd"/>
        <w:r w:rsidR="00CE1CC9">
          <w:t xml:space="preserve"> C, </w:t>
        </w:r>
      </w:hyperlink>
      <w:hyperlink r:id="rId96">
        <w:r w:rsidR="00CE1CC9">
          <w:rPr>
            <w:i/>
          </w:rPr>
          <w:t>et al.</w:t>
        </w:r>
      </w:hyperlink>
      <w:hyperlink r:id="rId97">
        <w:r w:rsidR="00CE1CC9">
          <w:t xml:space="preserve"> Controlling healthcare-associated transmission of SARS-CoV-2 variant of concern 202012/01 in a large hospital network. </w:t>
        </w:r>
      </w:hyperlink>
      <w:hyperlink r:id="rId98">
        <w:r w:rsidR="00CE1CC9">
          <w:rPr>
            <w:i/>
          </w:rPr>
          <w:t>J Hosp Infect</w:t>
        </w:r>
      </w:hyperlink>
      <w:hyperlink r:id="rId99">
        <w:r w:rsidR="00CE1CC9">
          <w:t xml:space="preserve"> 2021; </w:t>
        </w:r>
      </w:hyperlink>
      <w:hyperlink r:id="rId100">
        <w:r w:rsidR="00CE1CC9">
          <w:rPr>
            <w:b/>
          </w:rPr>
          <w:t>0</w:t>
        </w:r>
      </w:hyperlink>
      <w:hyperlink r:id="rId101">
        <w:r w:rsidR="00CE1CC9">
          <w:t xml:space="preserve">. </w:t>
        </w:r>
        <w:proofErr w:type="gramStart"/>
        <w:r w:rsidR="00CE1CC9">
          <w:t>DOI:10.1016/j.jhin</w:t>
        </w:r>
        <w:proofErr w:type="gramEnd"/>
        <w:r w:rsidR="00CE1CC9">
          <w:t>.2021.04.031.</w:t>
        </w:r>
      </w:hyperlink>
    </w:p>
    <w:p w14:paraId="3272A997"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02">
        <w:r w:rsidR="00CE1CC9">
          <w:t>17</w:t>
        </w:r>
        <w:r w:rsidR="00CE1CC9">
          <w:tab/>
          <w:t xml:space="preserve">Stirrup OT, </w:t>
        </w:r>
        <w:proofErr w:type="spellStart"/>
        <w:r w:rsidR="00CE1CC9">
          <w:t>Boshier</w:t>
        </w:r>
        <w:proofErr w:type="spellEnd"/>
        <w:r w:rsidR="00CE1CC9">
          <w:t xml:space="preserve"> FAT, </w:t>
        </w:r>
        <w:proofErr w:type="spellStart"/>
        <w:r w:rsidR="00CE1CC9">
          <w:t>Venturini</w:t>
        </w:r>
        <w:proofErr w:type="spellEnd"/>
        <w:r w:rsidR="00CE1CC9">
          <w:t xml:space="preserve"> C, </w:t>
        </w:r>
      </w:hyperlink>
      <w:hyperlink r:id="rId103">
        <w:r w:rsidR="00CE1CC9">
          <w:rPr>
            <w:i/>
          </w:rPr>
          <w:t>et al.</w:t>
        </w:r>
      </w:hyperlink>
      <w:hyperlink r:id="rId104">
        <w:r w:rsidR="00CE1CC9">
          <w:t xml:space="preserve"> SARS-CoV-2 lineage B.1.1.7 is associated with greater disease severity among hospitalised women but not men. </w:t>
        </w:r>
      </w:hyperlink>
      <w:hyperlink r:id="rId105">
        <w:proofErr w:type="spellStart"/>
        <w:r w:rsidR="00CE1CC9">
          <w:rPr>
            <w:i/>
          </w:rPr>
          <w:t>medRxiv</w:t>
        </w:r>
        <w:proofErr w:type="spellEnd"/>
      </w:hyperlink>
      <w:hyperlink r:id="rId106">
        <w:r w:rsidR="00CE1CC9">
          <w:t xml:space="preserve"> 2021</w:t>
        </w:r>
        <w:proofErr w:type="gramStart"/>
        <w:r w:rsidR="00CE1CC9">
          <w:t>; :</w:t>
        </w:r>
        <w:proofErr w:type="gramEnd"/>
        <w:r w:rsidR="00CE1CC9">
          <w:t xml:space="preserve"> 2021.06.24.21259107.</w:t>
        </w:r>
      </w:hyperlink>
    </w:p>
    <w:p w14:paraId="73E0CE3C"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07">
        <w:r w:rsidR="00CE1CC9">
          <w:t>18</w:t>
        </w:r>
        <w:r w:rsidR="00CE1CC9">
          <w:tab/>
          <w:t>COVID-19: epidemiological definitions of outbreaks and clusters. GOV.UK. https://www.gov.uk/government/publications/covid-19-epidemiological-definitions-of-outbreaks-and-clusters (accessed Feb 9, 2021).</w:t>
        </w:r>
      </w:hyperlink>
    </w:p>
    <w:p w14:paraId="1254BF79"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08">
        <w:r w:rsidR="00CE1CC9">
          <w:t>19</w:t>
        </w:r>
        <w:r w:rsidR="00CE1CC9">
          <w:tab/>
          <w:t>Protocols | COVID-19 Genomics UK Consortium. COVID-19 Genomics UK Consort. UK-Wide Genomic Seq. 2021; published online Jan 12. https://www.cogconsortium.uk/tools-analysis/public-data-analysis/ (accessed July 6, 2021).</w:t>
        </w:r>
      </w:hyperlink>
    </w:p>
    <w:p w14:paraId="5842392E"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09">
        <w:r w:rsidR="00CE1CC9">
          <w:t>20</w:t>
        </w:r>
        <w:r w:rsidR="00CE1CC9">
          <w:tab/>
          <w:t>cov-lineages/pangolin. CoV-lineages, 2021 https://github.com/cov-lineages/pangolin (accessed Feb 9, 2021).</w:t>
        </w:r>
      </w:hyperlink>
    </w:p>
    <w:p w14:paraId="7F988AB3"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10">
        <w:r w:rsidR="00CE1CC9">
          <w:t>21</w:t>
        </w:r>
        <w:r w:rsidR="00CE1CC9">
          <w:tab/>
          <w:t>Home - COG-UK Consortium. https://www.cogconsortium.uk/ (accessed Feb 10, 2021).</w:t>
        </w:r>
      </w:hyperlink>
    </w:p>
    <w:p w14:paraId="1A0DF1EF"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11">
        <w:r w:rsidR="00CE1CC9">
          <w:t>22</w:t>
        </w:r>
        <w:r w:rsidR="00CE1CC9">
          <w:tab/>
          <w:t xml:space="preserve">Bates D, </w:t>
        </w:r>
        <w:proofErr w:type="spellStart"/>
        <w:r w:rsidR="00CE1CC9">
          <w:t>Mächler</w:t>
        </w:r>
        <w:proofErr w:type="spellEnd"/>
        <w:r w:rsidR="00CE1CC9">
          <w:t xml:space="preserve"> M, </w:t>
        </w:r>
        <w:proofErr w:type="spellStart"/>
        <w:r w:rsidR="00CE1CC9">
          <w:t>Bolker</w:t>
        </w:r>
        <w:proofErr w:type="spellEnd"/>
        <w:r w:rsidR="00CE1CC9">
          <w:t xml:space="preserve"> B, Walker S. Fitting Linear Mixed-Effects Models Using lme4. </w:t>
        </w:r>
      </w:hyperlink>
      <w:hyperlink r:id="rId112">
        <w:r w:rsidR="00CE1CC9">
          <w:rPr>
            <w:i/>
          </w:rPr>
          <w:t xml:space="preserve">J Stat </w:t>
        </w:r>
        <w:proofErr w:type="spellStart"/>
        <w:r w:rsidR="00CE1CC9">
          <w:rPr>
            <w:i/>
          </w:rPr>
          <w:t>Softw</w:t>
        </w:r>
        <w:proofErr w:type="spellEnd"/>
      </w:hyperlink>
      <w:hyperlink r:id="rId113">
        <w:r w:rsidR="00CE1CC9">
          <w:t xml:space="preserve"> 2015; </w:t>
        </w:r>
      </w:hyperlink>
      <w:hyperlink r:id="rId114">
        <w:r w:rsidR="00CE1CC9">
          <w:rPr>
            <w:b/>
          </w:rPr>
          <w:t>67</w:t>
        </w:r>
      </w:hyperlink>
      <w:hyperlink r:id="rId115">
        <w:r w:rsidR="00CE1CC9">
          <w:t>: 1–48.</w:t>
        </w:r>
      </w:hyperlink>
    </w:p>
    <w:p w14:paraId="24072FDF"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16">
        <w:r w:rsidR="00CE1CC9">
          <w:t>23</w:t>
        </w:r>
        <w:r w:rsidR="00CE1CC9">
          <w:tab/>
          <w:t xml:space="preserve">Paradis E, </w:t>
        </w:r>
        <w:proofErr w:type="spellStart"/>
        <w:r w:rsidR="00CE1CC9">
          <w:t>Schliep</w:t>
        </w:r>
        <w:proofErr w:type="spellEnd"/>
        <w:r w:rsidR="00CE1CC9">
          <w:t xml:space="preserve"> K. ape 5.0: an environment for modern phylogenetics and evolutionary analyses in R. </w:t>
        </w:r>
      </w:hyperlink>
      <w:hyperlink r:id="rId117">
        <w:r w:rsidR="00CE1CC9">
          <w:rPr>
            <w:i/>
          </w:rPr>
          <w:t>Bioinformatics</w:t>
        </w:r>
      </w:hyperlink>
      <w:hyperlink r:id="rId118">
        <w:r w:rsidR="00CE1CC9">
          <w:t xml:space="preserve"> 2019; </w:t>
        </w:r>
      </w:hyperlink>
      <w:hyperlink r:id="rId119">
        <w:r w:rsidR="00CE1CC9">
          <w:rPr>
            <w:b/>
          </w:rPr>
          <w:t>35</w:t>
        </w:r>
      </w:hyperlink>
      <w:hyperlink r:id="rId120">
        <w:r w:rsidR="00CE1CC9">
          <w:t>: 526–8.</w:t>
        </w:r>
      </w:hyperlink>
    </w:p>
    <w:p w14:paraId="42C453E1"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21">
        <w:r w:rsidR="00CE1CC9">
          <w:t>24</w:t>
        </w:r>
        <w:r w:rsidR="00CE1CC9">
          <w:tab/>
          <w:t>Analysis and Presentation of Social Scientific Data. https://jtools.jacob-long.com/ (accessed June 16, 2021).</w:t>
        </w:r>
      </w:hyperlink>
    </w:p>
    <w:p w14:paraId="00D2BEBA"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22">
        <w:r w:rsidR="00CE1CC9">
          <w:t>25</w:t>
        </w:r>
        <w:r w:rsidR="00CE1CC9">
          <w:tab/>
          <w:t>Mangiafico S. Functions to Support Extension Education Program Evaluation [R package rcompanion version 2.4.1]. 2021; published online May 18. https://CRAN.R-project.org/package=rcompanion (accessed June 16, 2021).</w:t>
        </w:r>
      </w:hyperlink>
    </w:p>
    <w:p w14:paraId="2FEB8CD6"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23">
        <w:r w:rsidR="00CE1CC9">
          <w:t>26</w:t>
        </w:r>
        <w:r w:rsidR="00CE1CC9">
          <w:tab/>
          <w:t xml:space="preserve">Wickham H, </w:t>
        </w:r>
        <w:proofErr w:type="spellStart"/>
        <w:r w:rsidR="00CE1CC9">
          <w:t>Averick</w:t>
        </w:r>
        <w:proofErr w:type="spellEnd"/>
        <w:r w:rsidR="00CE1CC9">
          <w:t xml:space="preserve"> M, Bryan J, </w:t>
        </w:r>
      </w:hyperlink>
      <w:hyperlink r:id="rId124">
        <w:r w:rsidR="00CE1CC9">
          <w:rPr>
            <w:i/>
          </w:rPr>
          <w:t>et al.</w:t>
        </w:r>
      </w:hyperlink>
      <w:hyperlink r:id="rId125">
        <w:r w:rsidR="00CE1CC9">
          <w:t xml:space="preserve"> Welcome to the </w:t>
        </w:r>
        <w:proofErr w:type="spellStart"/>
        <w:r w:rsidR="00CE1CC9">
          <w:t>Tidyverse</w:t>
        </w:r>
        <w:proofErr w:type="spellEnd"/>
        <w:r w:rsidR="00CE1CC9">
          <w:t xml:space="preserve">. </w:t>
        </w:r>
      </w:hyperlink>
      <w:hyperlink r:id="rId126">
        <w:r w:rsidR="00CE1CC9">
          <w:rPr>
            <w:i/>
          </w:rPr>
          <w:t xml:space="preserve">J Open Source </w:t>
        </w:r>
        <w:proofErr w:type="spellStart"/>
        <w:r w:rsidR="00CE1CC9">
          <w:rPr>
            <w:i/>
          </w:rPr>
          <w:t>Softw</w:t>
        </w:r>
        <w:proofErr w:type="spellEnd"/>
      </w:hyperlink>
      <w:hyperlink r:id="rId127">
        <w:r w:rsidR="00CE1CC9">
          <w:t xml:space="preserve"> 2019; </w:t>
        </w:r>
      </w:hyperlink>
      <w:hyperlink r:id="rId128">
        <w:r w:rsidR="00CE1CC9">
          <w:rPr>
            <w:b/>
          </w:rPr>
          <w:t>4</w:t>
        </w:r>
      </w:hyperlink>
      <w:hyperlink r:id="rId129">
        <w:r w:rsidR="00CE1CC9">
          <w:t>: 1686.</w:t>
        </w:r>
      </w:hyperlink>
    </w:p>
    <w:p w14:paraId="7A86A81C"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30">
        <w:r w:rsidR="00CE1CC9">
          <w:t>27</w:t>
        </w:r>
        <w:r w:rsidR="00CE1CC9">
          <w:tab/>
          <w:t xml:space="preserve">Di </w:t>
        </w:r>
        <w:proofErr w:type="spellStart"/>
        <w:r w:rsidR="00CE1CC9">
          <w:t>Giallonardo</w:t>
        </w:r>
        <w:proofErr w:type="spellEnd"/>
        <w:r w:rsidR="00CE1CC9">
          <w:t xml:space="preserve"> F, Puglia I, </w:t>
        </w:r>
        <w:proofErr w:type="spellStart"/>
        <w:r w:rsidR="00CE1CC9">
          <w:t>Curini</w:t>
        </w:r>
        <w:proofErr w:type="spellEnd"/>
        <w:r w:rsidR="00CE1CC9">
          <w:t xml:space="preserve"> V, </w:t>
        </w:r>
      </w:hyperlink>
      <w:hyperlink r:id="rId131">
        <w:r w:rsidR="00CE1CC9">
          <w:rPr>
            <w:i/>
          </w:rPr>
          <w:t>et al.</w:t>
        </w:r>
      </w:hyperlink>
      <w:hyperlink r:id="rId132">
        <w:r w:rsidR="00CE1CC9">
          <w:t xml:space="preserve"> Emergence and Spread of SARS-CoV-2 Lineages B.1.1.7 and P.1 in Italy. </w:t>
        </w:r>
      </w:hyperlink>
      <w:hyperlink r:id="rId133">
        <w:r w:rsidR="00CE1CC9">
          <w:rPr>
            <w:i/>
          </w:rPr>
          <w:t>Viruses</w:t>
        </w:r>
      </w:hyperlink>
      <w:hyperlink r:id="rId134">
        <w:r w:rsidR="00CE1CC9">
          <w:t xml:space="preserve"> 2021; </w:t>
        </w:r>
      </w:hyperlink>
      <w:hyperlink r:id="rId135">
        <w:r w:rsidR="00CE1CC9">
          <w:rPr>
            <w:b/>
          </w:rPr>
          <w:t>13</w:t>
        </w:r>
      </w:hyperlink>
      <w:hyperlink r:id="rId136">
        <w:r w:rsidR="00CE1CC9">
          <w:t>: 794.</w:t>
        </w:r>
      </w:hyperlink>
    </w:p>
    <w:p w14:paraId="1AEC329F"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37">
        <w:r w:rsidR="00CE1CC9">
          <w:t>28</w:t>
        </w:r>
        <w:r w:rsidR="00CE1CC9">
          <w:tab/>
          <w:t>Recombinant SARS-CoV-2 genomes involving lineage B.1.1.7 in the UK - SARS-CoV-2 coronavirus / SARS-CoV-2 Molecular Evolution. Virological. 2021; published online March 17. https://virological.org/t/recombinant-sars-cov-2-genomes-involving-lineage-b-1-1-7-in-the-uk/658 (accessed May 11, 2021).</w:t>
        </w:r>
      </w:hyperlink>
    </w:p>
    <w:p w14:paraId="725EC3F7"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38">
        <w:r w:rsidR="00CE1CC9">
          <w:t>29</w:t>
        </w:r>
        <w:r w:rsidR="00CE1CC9">
          <w:tab/>
          <w:t xml:space="preserve">Snell LB, Fisher CL, Taj U, </w:t>
        </w:r>
      </w:hyperlink>
      <w:hyperlink r:id="rId139">
        <w:r w:rsidR="00CE1CC9">
          <w:rPr>
            <w:i/>
          </w:rPr>
          <w:t>et al.</w:t>
        </w:r>
      </w:hyperlink>
      <w:hyperlink r:id="rId140">
        <w:r w:rsidR="00CE1CC9">
          <w:t xml:space="preserve"> Combined epidemiological and genomic analysis of nosocomial SARS-CoV-2 transmission identifies community social distancing as the dominant intervention reducing outbreaks. </w:t>
        </w:r>
      </w:hyperlink>
      <w:hyperlink r:id="rId141">
        <w:proofErr w:type="spellStart"/>
        <w:r w:rsidR="00CE1CC9">
          <w:rPr>
            <w:i/>
          </w:rPr>
          <w:t>medRxiv</w:t>
        </w:r>
        <w:proofErr w:type="spellEnd"/>
      </w:hyperlink>
      <w:hyperlink r:id="rId142">
        <w:r w:rsidR="00CE1CC9">
          <w:t xml:space="preserve"> 2020</w:t>
        </w:r>
        <w:proofErr w:type="gramStart"/>
        <w:r w:rsidR="00CE1CC9">
          <w:t>; :</w:t>
        </w:r>
        <w:proofErr w:type="gramEnd"/>
        <w:r w:rsidR="00CE1CC9">
          <w:t xml:space="preserve"> 2020.11.17.20232827.</w:t>
        </w:r>
      </w:hyperlink>
    </w:p>
    <w:p w14:paraId="3890E280"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43">
        <w:r w:rsidR="00CE1CC9">
          <w:t>30</w:t>
        </w:r>
        <w:r w:rsidR="00CE1CC9">
          <w:tab/>
        </w:r>
        <w:proofErr w:type="spellStart"/>
        <w:r w:rsidR="00CE1CC9">
          <w:t>Wiersinga</w:t>
        </w:r>
        <w:proofErr w:type="spellEnd"/>
        <w:r w:rsidR="00CE1CC9">
          <w:t xml:space="preserve"> WJ, Rhodes A, Cheng AC, Peacock SJ, Prescott HC. Pathophysiology, Transmission, Diagnosis, and Treatment of Coronavirus Disease 2019 (COVID-19): A Review. </w:t>
        </w:r>
      </w:hyperlink>
      <w:hyperlink r:id="rId144">
        <w:r w:rsidR="00CE1CC9">
          <w:rPr>
            <w:i/>
          </w:rPr>
          <w:t>JAMA</w:t>
        </w:r>
      </w:hyperlink>
      <w:hyperlink r:id="rId145">
        <w:r w:rsidR="00CE1CC9">
          <w:t xml:space="preserve"> 2020; </w:t>
        </w:r>
      </w:hyperlink>
      <w:hyperlink r:id="rId146">
        <w:r w:rsidR="00CE1CC9">
          <w:rPr>
            <w:b/>
          </w:rPr>
          <w:t>324</w:t>
        </w:r>
      </w:hyperlink>
      <w:hyperlink r:id="rId147">
        <w:r w:rsidR="00CE1CC9">
          <w:t>: 782–93.</w:t>
        </w:r>
      </w:hyperlink>
    </w:p>
    <w:p w14:paraId="294E2770"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48">
        <w:r w:rsidR="00CE1CC9">
          <w:t>31</w:t>
        </w:r>
        <w:r w:rsidR="00CE1CC9">
          <w:tab/>
          <w:t>The impact of testing and infection prevention and control strategies on within-hospital transmission dynamics of COVID-19 in English hospitals | Philosophical Transactions of the Royal Society B: Biological Sciences. https://royalsocietypublishing.org/doi/full/10.1098/rstb.2020.0268 (accessed June 25, 2021).</w:t>
        </w:r>
      </w:hyperlink>
    </w:p>
    <w:p w14:paraId="364BAC7C"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49">
        <w:r w:rsidR="00CE1CC9">
          <w:t>32</w:t>
        </w:r>
        <w:r w:rsidR="00CE1CC9">
          <w:tab/>
          <w:t xml:space="preserve">Relation of severe COVID-19 in Scotland to transmission-related factors and risk </w:t>
        </w:r>
        <w:r w:rsidR="00CE1CC9">
          <w:lastRenderedPageBreak/>
          <w:t>conditions eligible for shielding support: REACT-SCOT case-control study | medRxiv. https://www.medrxiv.org/content/10.1101/2021.03.02.21252734v1 (accessed June 25, 2021).</w:t>
        </w:r>
      </w:hyperlink>
    </w:p>
    <w:p w14:paraId="1024DEC0"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50">
        <w:r w:rsidR="00CE1CC9">
          <w:t>33</w:t>
        </w:r>
        <w:r w:rsidR="00CE1CC9">
          <w:tab/>
          <w:t xml:space="preserve">Stirrup O, Hughes J, Parker M, </w:t>
        </w:r>
      </w:hyperlink>
      <w:hyperlink r:id="rId151">
        <w:r w:rsidR="00CE1CC9">
          <w:rPr>
            <w:i/>
          </w:rPr>
          <w:t>et al.</w:t>
        </w:r>
      </w:hyperlink>
      <w:hyperlink r:id="rId152">
        <w:r w:rsidR="00CE1CC9">
          <w:t xml:space="preserve"> Rapid feedback on hospital onset SARS-CoV-2 infections combining epidemiological and sequencing data. </w:t>
        </w:r>
      </w:hyperlink>
      <w:hyperlink r:id="rId153">
        <w:proofErr w:type="spellStart"/>
        <w:r w:rsidR="00CE1CC9">
          <w:rPr>
            <w:i/>
          </w:rPr>
          <w:t>eLife</w:t>
        </w:r>
        <w:proofErr w:type="spellEnd"/>
      </w:hyperlink>
      <w:hyperlink r:id="rId154">
        <w:r w:rsidR="00CE1CC9">
          <w:t xml:space="preserve"> 2021; </w:t>
        </w:r>
      </w:hyperlink>
      <w:hyperlink r:id="rId155">
        <w:r w:rsidR="00CE1CC9">
          <w:rPr>
            <w:b/>
          </w:rPr>
          <w:t>10</w:t>
        </w:r>
      </w:hyperlink>
      <w:hyperlink r:id="rId156">
        <w:r w:rsidR="00CE1CC9">
          <w:t>: e65828.</w:t>
        </w:r>
      </w:hyperlink>
    </w:p>
    <w:p w14:paraId="71822D16" w14:textId="77777777" w:rsidR="00BD579F" w:rsidRDefault="006D4408" w:rsidP="00CE1CC9">
      <w:pPr>
        <w:widowControl w:val="0"/>
        <w:pBdr>
          <w:top w:val="nil"/>
          <w:left w:val="nil"/>
          <w:bottom w:val="nil"/>
          <w:right w:val="nil"/>
          <w:between w:val="nil"/>
        </w:pBdr>
        <w:spacing w:line="480" w:lineRule="auto"/>
        <w:ind w:left="264" w:hanging="264"/>
        <w:rPr>
          <w:rFonts w:ascii="Calibri" w:eastAsia="Calibri" w:hAnsi="Calibri" w:cs="Calibri"/>
          <w:b/>
          <w:sz w:val="28"/>
          <w:szCs w:val="28"/>
        </w:rPr>
      </w:pPr>
      <w:hyperlink r:id="rId157">
        <w:r w:rsidR="00CE1CC9">
          <w:t>34</w:t>
        </w:r>
        <w:r w:rsidR="00CE1CC9">
          <w:tab/>
        </w:r>
        <w:proofErr w:type="spellStart"/>
        <w:r w:rsidR="00CE1CC9">
          <w:t>Rockett</w:t>
        </w:r>
        <w:proofErr w:type="spellEnd"/>
        <w:r w:rsidR="00CE1CC9">
          <w:t xml:space="preserve"> RJ, Arnott A, Lam C, </w:t>
        </w:r>
      </w:hyperlink>
      <w:hyperlink r:id="rId158">
        <w:r w:rsidR="00CE1CC9">
          <w:rPr>
            <w:i/>
          </w:rPr>
          <w:t>et al.</w:t>
        </w:r>
      </w:hyperlink>
      <w:hyperlink r:id="rId159">
        <w:r w:rsidR="00CE1CC9">
          <w:t xml:space="preserve"> Revealing COVID-19 transmission in Australia by SARS-CoV-2 genome sequencing and agent-based </w:t>
        </w:r>
        <w:proofErr w:type="spellStart"/>
        <w:r w:rsidR="00CE1CC9">
          <w:t>modeling</w:t>
        </w:r>
        <w:proofErr w:type="spellEnd"/>
        <w:r w:rsidR="00CE1CC9">
          <w:t xml:space="preserve">. </w:t>
        </w:r>
      </w:hyperlink>
      <w:hyperlink r:id="rId160">
        <w:r w:rsidR="00CE1CC9">
          <w:rPr>
            <w:i/>
          </w:rPr>
          <w:t>Nat Med</w:t>
        </w:r>
      </w:hyperlink>
      <w:hyperlink r:id="rId161">
        <w:r w:rsidR="00CE1CC9">
          <w:t xml:space="preserve"> 2020; </w:t>
        </w:r>
      </w:hyperlink>
      <w:hyperlink r:id="rId162">
        <w:r w:rsidR="00CE1CC9">
          <w:rPr>
            <w:b/>
          </w:rPr>
          <w:t>26</w:t>
        </w:r>
      </w:hyperlink>
      <w:hyperlink r:id="rId163">
        <w:r w:rsidR="00CE1CC9">
          <w:t>: 1398–404.</w:t>
        </w:r>
      </w:hyperlink>
    </w:p>
    <w:p w14:paraId="2A088DD2" w14:textId="77777777" w:rsidR="00BD579F" w:rsidRDefault="00BD579F">
      <w:pPr>
        <w:spacing w:line="240" w:lineRule="auto"/>
        <w:jc w:val="both"/>
        <w:rPr>
          <w:rFonts w:ascii="Calibri" w:eastAsia="Calibri" w:hAnsi="Calibri" w:cs="Calibri"/>
          <w:sz w:val="28"/>
          <w:szCs w:val="28"/>
        </w:rPr>
      </w:pPr>
    </w:p>
    <w:p w14:paraId="25356943" w14:textId="77777777" w:rsidR="00BD579F" w:rsidRDefault="00CE1CC9">
      <w:pPr>
        <w:spacing w:before="240" w:after="240" w:line="240" w:lineRule="auto"/>
        <w:jc w:val="both"/>
        <w:rPr>
          <w:rFonts w:ascii="Calibri" w:eastAsia="Calibri" w:hAnsi="Calibri" w:cs="Calibri"/>
          <w:sz w:val="28"/>
          <w:szCs w:val="28"/>
        </w:rPr>
      </w:pPr>
      <w:r>
        <w:br w:type="page"/>
      </w:r>
    </w:p>
    <w:p w14:paraId="0D13FD1E"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b/>
          <w:sz w:val="28"/>
          <w:szCs w:val="28"/>
        </w:rPr>
        <w:lastRenderedPageBreak/>
        <w:t>Table 1</w:t>
      </w:r>
      <w:r>
        <w:rPr>
          <w:rFonts w:ascii="Calibri" w:eastAsia="Calibri" w:hAnsi="Calibri" w:cs="Calibri"/>
          <w:sz w:val="28"/>
          <w:szCs w:val="28"/>
        </w:rPr>
        <w:t xml:space="preserve"> Proportion of SARS-CoV-2 due to the Alpha variant for all sequenced samples </w:t>
      </w:r>
    </w:p>
    <w:tbl>
      <w:tblPr>
        <w:tblStyle w:val="a"/>
        <w:tblW w:w="888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2475"/>
        <w:gridCol w:w="1980"/>
        <w:gridCol w:w="1980"/>
        <w:gridCol w:w="2445"/>
      </w:tblGrid>
      <w:tr w:rsidR="00BD579F" w14:paraId="129A28A8" w14:textId="77777777">
        <w:trPr>
          <w:trHeight w:val="27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52E23034" w14:textId="77777777" w:rsidR="00BD579F" w:rsidRDefault="00BD579F">
            <w:pPr>
              <w:widowControl w:val="0"/>
              <w:spacing w:line="240" w:lineRule="auto"/>
              <w:jc w:val="both"/>
              <w:rPr>
                <w:rFonts w:ascii="Calibri" w:eastAsia="Calibri" w:hAnsi="Calibri" w:cs="Calibri"/>
              </w:rPr>
            </w:pP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4A601F98" w14:textId="77777777" w:rsidR="00BD579F" w:rsidRDefault="00CE1CC9">
            <w:pPr>
              <w:widowControl w:val="0"/>
              <w:spacing w:line="240" w:lineRule="auto"/>
              <w:jc w:val="both"/>
              <w:rPr>
                <w:rFonts w:ascii="Calibri" w:eastAsia="Calibri" w:hAnsi="Calibri" w:cs="Calibri"/>
                <w:b/>
              </w:rPr>
            </w:pPr>
            <w:r>
              <w:rPr>
                <w:rFonts w:ascii="Calibri" w:eastAsia="Calibri" w:hAnsi="Calibri" w:cs="Calibri"/>
                <w:b/>
              </w:rPr>
              <w:t>Alpha variant (n=2058)</w:t>
            </w: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64A8E8DA" w14:textId="77777777" w:rsidR="00BD579F" w:rsidRDefault="00CE1CC9">
            <w:pPr>
              <w:widowControl w:val="0"/>
              <w:spacing w:line="240" w:lineRule="auto"/>
              <w:jc w:val="both"/>
              <w:rPr>
                <w:rFonts w:ascii="Calibri" w:eastAsia="Calibri" w:hAnsi="Calibri" w:cs="Calibri"/>
                <w:b/>
              </w:rPr>
            </w:pPr>
            <w:r>
              <w:rPr>
                <w:rFonts w:ascii="Calibri" w:eastAsia="Calibri" w:hAnsi="Calibri" w:cs="Calibri"/>
                <w:b/>
              </w:rPr>
              <w:t>Non-Alpha variant (n=2126)</w:t>
            </w:r>
          </w:p>
        </w:tc>
        <w:tc>
          <w:tcPr>
            <w:tcW w:w="244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3EF9DCD8" w14:textId="77777777" w:rsidR="00BD579F" w:rsidRDefault="00CE1CC9">
            <w:pPr>
              <w:widowControl w:val="0"/>
              <w:spacing w:line="240" w:lineRule="auto"/>
              <w:jc w:val="both"/>
              <w:rPr>
                <w:rFonts w:ascii="Calibri" w:eastAsia="Calibri" w:hAnsi="Calibri" w:cs="Calibri"/>
              </w:rPr>
            </w:pPr>
            <w:r>
              <w:rPr>
                <w:rFonts w:ascii="Calibri" w:eastAsia="Calibri" w:hAnsi="Calibri" w:cs="Calibri"/>
                <w:b/>
              </w:rPr>
              <w:t>Total (n=4184)</w:t>
            </w:r>
          </w:p>
        </w:tc>
      </w:tr>
      <w:tr w:rsidR="00BD579F" w14:paraId="6C96BECA" w14:textId="77777777">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3F1674DF" w14:textId="77777777" w:rsidR="00BD579F" w:rsidRDefault="00CE1CC9">
            <w:pPr>
              <w:widowControl w:val="0"/>
              <w:spacing w:line="240" w:lineRule="auto"/>
              <w:jc w:val="both"/>
              <w:rPr>
                <w:rFonts w:ascii="Calibri" w:eastAsia="Calibri" w:hAnsi="Calibri" w:cs="Calibri"/>
              </w:rPr>
            </w:pPr>
            <w:r>
              <w:rPr>
                <w:rFonts w:ascii="Calibri" w:eastAsia="Calibri" w:hAnsi="Calibri" w:cs="Calibri"/>
                <w:b/>
              </w:rPr>
              <w:t>Age [mean (</w:t>
            </w:r>
            <w:proofErr w:type="spellStart"/>
            <w:r>
              <w:rPr>
                <w:rFonts w:ascii="Calibri" w:eastAsia="Calibri" w:hAnsi="Calibri" w:cs="Calibri"/>
                <w:b/>
              </w:rPr>
              <w:t>sd</w:t>
            </w:r>
            <w:proofErr w:type="spellEnd"/>
            <w:r>
              <w:rPr>
                <w:rFonts w:ascii="Calibri" w:eastAsia="Calibri" w:hAnsi="Calibri" w:cs="Calibri"/>
                <w:b/>
              </w:rPr>
              <w:t>)]</w:t>
            </w: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5B8E5F8F" w14:textId="77777777" w:rsidR="00BD579F" w:rsidRDefault="00BD579F">
            <w:pPr>
              <w:widowControl w:val="0"/>
              <w:spacing w:line="240" w:lineRule="auto"/>
              <w:jc w:val="both"/>
              <w:rPr>
                <w:rFonts w:ascii="Calibri" w:eastAsia="Calibri" w:hAnsi="Calibri" w:cs="Calibri"/>
              </w:rPr>
            </w:pP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7FF4D4E6" w14:textId="77777777" w:rsidR="00BD579F" w:rsidRDefault="00BD579F">
            <w:pPr>
              <w:widowControl w:val="0"/>
              <w:spacing w:line="240" w:lineRule="auto"/>
              <w:jc w:val="both"/>
              <w:rPr>
                <w:rFonts w:ascii="Calibri" w:eastAsia="Calibri" w:hAnsi="Calibri" w:cs="Calibri"/>
              </w:rPr>
            </w:pPr>
          </w:p>
        </w:tc>
        <w:tc>
          <w:tcPr>
            <w:tcW w:w="244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6E988798" w14:textId="77777777" w:rsidR="00BD579F" w:rsidRDefault="00BD579F">
            <w:pPr>
              <w:widowControl w:val="0"/>
              <w:spacing w:line="240" w:lineRule="auto"/>
              <w:jc w:val="both"/>
              <w:rPr>
                <w:rFonts w:ascii="Calibri" w:eastAsia="Calibri" w:hAnsi="Calibri" w:cs="Calibri"/>
              </w:rPr>
            </w:pPr>
          </w:p>
        </w:tc>
      </w:tr>
      <w:tr w:rsidR="00BD579F" w14:paraId="78772AF6" w14:textId="77777777">
        <w:trPr>
          <w:trHeight w:val="175"/>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6E222CDD" w14:textId="77777777" w:rsidR="00BD579F" w:rsidRDefault="00BD579F">
            <w:pPr>
              <w:widowControl w:val="0"/>
              <w:spacing w:line="240" w:lineRule="auto"/>
              <w:jc w:val="both"/>
              <w:rPr>
                <w:rFonts w:ascii="Calibri" w:eastAsia="Calibri" w:hAnsi="Calibri" w:cs="Calibri"/>
              </w:rPr>
            </w:pP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020004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53.4 (21.8)</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56B6EC6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58 (22.6)</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298BC2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55.7 (22.3)</w:t>
            </w:r>
          </w:p>
        </w:tc>
      </w:tr>
      <w:tr w:rsidR="00BD579F" w14:paraId="23B00521" w14:textId="77777777">
        <w:trPr>
          <w:trHeight w:val="16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0EB816C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missing</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74FA4F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55797B0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072158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w:t>
            </w:r>
          </w:p>
        </w:tc>
      </w:tr>
      <w:tr w:rsidR="00BD579F" w14:paraId="08CFC6F1" w14:textId="77777777">
        <w:trPr>
          <w:trHeight w:val="55"/>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32C181DB" w14:textId="77777777" w:rsidR="00BD579F" w:rsidRDefault="00CE1CC9">
            <w:pPr>
              <w:widowControl w:val="0"/>
              <w:spacing w:line="240" w:lineRule="auto"/>
              <w:jc w:val="both"/>
              <w:rPr>
                <w:rFonts w:ascii="Calibri" w:eastAsia="Calibri" w:hAnsi="Calibri" w:cs="Calibri"/>
              </w:rPr>
            </w:pPr>
            <w:r>
              <w:rPr>
                <w:rFonts w:ascii="Calibri" w:eastAsia="Calibri" w:hAnsi="Calibri" w:cs="Calibri"/>
                <w:b/>
              </w:rPr>
              <w:t>Sex</w:t>
            </w: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449F713F" w14:textId="77777777" w:rsidR="00BD579F" w:rsidRDefault="00BD579F">
            <w:pPr>
              <w:widowControl w:val="0"/>
              <w:spacing w:line="240" w:lineRule="auto"/>
              <w:jc w:val="both"/>
              <w:rPr>
                <w:rFonts w:ascii="Calibri" w:eastAsia="Calibri" w:hAnsi="Calibri" w:cs="Calibri"/>
              </w:rPr>
            </w:pP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33C84AB0" w14:textId="77777777" w:rsidR="00BD579F" w:rsidRDefault="00BD579F">
            <w:pPr>
              <w:widowControl w:val="0"/>
              <w:spacing w:line="240" w:lineRule="auto"/>
              <w:jc w:val="both"/>
              <w:rPr>
                <w:rFonts w:ascii="Calibri" w:eastAsia="Calibri" w:hAnsi="Calibri" w:cs="Calibri"/>
              </w:rPr>
            </w:pPr>
          </w:p>
        </w:tc>
        <w:tc>
          <w:tcPr>
            <w:tcW w:w="244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25E622BF" w14:textId="77777777" w:rsidR="00BD579F" w:rsidRDefault="00BD579F">
            <w:pPr>
              <w:widowControl w:val="0"/>
              <w:spacing w:line="240" w:lineRule="auto"/>
              <w:jc w:val="both"/>
              <w:rPr>
                <w:rFonts w:ascii="Calibri" w:eastAsia="Calibri" w:hAnsi="Calibri" w:cs="Calibri"/>
              </w:rPr>
            </w:pPr>
          </w:p>
        </w:tc>
      </w:tr>
      <w:tr w:rsidR="00BD579F" w14:paraId="0ECA3D0C" w14:textId="77777777">
        <w:trPr>
          <w:trHeight w:val="175"/>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260FBEF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Female</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51D615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1109 (48.6)</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132C4A7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1175 (51.4)</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5321E89"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2,284 (100.0)</w:t>
            </w:r>
          </w:p>
        </w:tc>
      </w:tr>
      <w:tr w:rsidR="00BD579F" w14:paraId="02EBF69F" w14:textId="77777777">
        <w:trPr>
          <w:trHeight w:val="13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7F94AF9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Male</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06209FC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938 (49.8)</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C9E550F"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944 (50.2)</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5131EA0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1,882 (100.0)</w:t>
            </w:r>
          </w:p>
        </w:tc>
      </w:tr>
      <w:tr w:rsidR="00BD579F" w14:paraId="1F5F9443" w14:textId="77777777">
        <w:trPr>
          <w:trHeight w:val="115"/>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3160F0B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missing</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6EFEF30C"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11</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5BEF30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7</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97EC53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18</w:t>
            </w:r>
          </w:p>
        </w:tc>
      </w:tr>
      <w:tr w:rsidR="00BD579F" w14:paraId="1C2AAF9E" w14:textId="77777777">
        <w:trPr>
          <w:trHeight w:val="115"/>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30C78F4E" w14:textId="77777777" w:rsidR="00BD579F" w:rsidRDefault="00CE1CC9">
            <w:pPr>
              <w:widowControl w:val="0"/>
              <w:spacing w:line="240" w:lineRule="auto"/>
              <w:jc w:val="both"/>
              <w:rPr>
                <w:rFonts w:ascii="Calibri" w:eastAsia="Calibri" w:hAnsi="Calibri" w:cs="Calibri"/>
                <w:b/>
              </w:rPr>
            </w:pPr>
            <w:r>
              <w:rPr>
                <w:rFonts w:ascii="Calibri" w:eastAsia="Calibri" w:hAnsi="Calibri" w:cs="Calibri"/>
                <w:b/>
              </w:rPr>
              <w:t>Week starting:</w:t>
            </w: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72D16951" w14:textId="77777777" w:rsidR="00BD579F" w:rsidRDefault="00BD579F">
            <w:pPr>
              <w:widowControl w:val="0"/>
              <w:spacing w:line="240" w:lineRule="auto"/>
              <w:jc w:val="both"/>
              <w:rPr>
                <w:rFonts w:ascii="Calibri" w:eastAsia="Calibri" w:hAnsi="Calibri" w:cs="Calibri"/>
              </w:rPr>
            </w:pP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66C23B4A" w14:textId="77777777" w:rsidR="00BD579F" w:rsidRDefault="00BD579F">
            <w:pPr>
              <w:widowControl w:val="0"/>
              <w:spacing w:line="240" w:lineRule="auto"/>
              <w:jc w:val="both"/>
              <w:rPr>
                <w:rFonts w:ascii="Calibri" w:eastAsia="Calibri" w:hAnsi="Calibri" w:cs="Calibri"/>
              </w:rPr>
            </w:pPr>
          </w:p>
        </w:tc>
        <w:tc>
          <w:tcPr>
            <w:tcW w:w="244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44697141" w14:textId="77777777" w:rsidR="00BD579F" w:rsidRDefault="00BD579F">
            <w:pPr>
              <w:widowControl w:val="0"/>
              <w:spacing w:line="240" w:lineRule="auto"/>
              <w:jc w:val="both"/>
              <w:rPr>
                <w:rFonts w:ascii="Calibri" w:eastAsia="Calibri" w:hAnsi="Calibri" w:cs="Calibri"/>
              </w:rPr>
            </w:pPr>
          </w:p>
        </w:tc>
      </w:tr>
      <w:tr w:rsidR="00BD579F" w14:paraId="1FF85575" w14:textId="77777777">
        <w:trPr>
          <w:trHeight w:val="528"/>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2CA0148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16/11/2020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1440F1A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22 (8.5)</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1A83C01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238 (91.5)</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B6C976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260 (100.0)</w:t>
            </w:r>
          </w:p>
        </w:tc>
      </w:tr>
      <w:tr w:rsidR="00BD579F" w14:paraId="45FDA854" w14:textId="77777777">
        <w:trPr>
          <w:trHeight w:val="13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14F32E9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23/11/2020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504F1C7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50 (15.0)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0603D14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284 (85.0)</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5B7F842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334 (100.0)</w:t>
            </w:r>
          </w:p>
        </w:tc>
      </w:tr>
      <w:tr w:rsidR="00BD579F" w14:paraId="0AD636F6" w14:textId="77777777">
        <w:trPr>
          <w:trHeight w:val="175"/>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2F2F886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30/11/2020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D90310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83 (20.4)</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FB6BFE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324 (79.6)</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10EDB8C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407 (100.0)</w:t>
            </w:r>
          </w:p>
        </w:tc>
      </w:tr>
      <w:tr w:rsidR="00BD579F" w14:paraId="14A80EDA" w14:textId="77777777">
        <w:trPr>
          <w:trHeight w:val="13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5707233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07/12/2020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7DF5A3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128 (30.0)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5E93AF6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299 (70.0)</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62BD566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427 (100.0)</w:t>
            </w:r>
          </w:p>
        </w:tc>
      </w:tr>
      <w:tr w:rsidR="00BD579F" w14:paraId="77A68653" w14:textId="77777777">
        <w:trPr>
          <w:trHeight w:val="19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0E4E707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14/12/2020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723DC36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312 (45.7)</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67DFA0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370 (54.3)</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69EE57A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682 (100.0)</w:t>
            </w:r>
          </w:p>
        </w:tc>
      </w:tr>
      <w:tr w:rsidR="00BD579F" w14:paraId="3663C265" w14:textId="77777777">
        <w:trPr>
          <w:trHeight w:val="22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4A7C0F5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21/12/2020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146674AC"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411 (57.2)</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996B71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307 (42.8)</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65F9ACB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718 (100.0)</w:t>
            </w:r>
          </w:p>
        </w:tc>
      </w:tr>
      <w:tr w:rsidR="00BD579F" w14:paraId="288D55D4" w14:textId="77777777">
        <w:trPr>
          <w:trHeight w:val="175"/>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2C25755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28/12/2020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413132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648 (75.2)</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5AD2676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214 (24.8)</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54D5C90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862 (100.0)</w:t>
            </w:r>
          </w:p>
        </w:tc>
      </w:tr>
      <w:tr w:rsidR="00BD579F" w14:paraId="02E52D7B" w14:textId="77777777">
        <w:trPr>
          <w:trHeight w:val="115"/>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5122626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04/01/2021</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F26190F"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404 (81.8)</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639C0FC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90 (18.2)</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7516B33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494 (100.0)</w:t>
            </w:r>
          </w:p>
        </w:tc>
      </w:tr>
      <w:tr w:rsidR="00BD579F" w14:paraId="2CCF8EF2" w14:textId="77777777">
        <w:trPr>
          <w:trHeight w:val="7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2D0E70AC" w14:textId="77777777" w:rsidR="00BD579F" w:rsidRDefault="00CE1CC9">
            <w:pPr>
              <w:widowControl w:val="0"/>
              <w:spacing w:line="240" w:lineRule="auto"/>
              <w:jc w:val="both"/>
              <w:rPr>
                <w:rFonts w:ascii="Calibri" w:eastAsia="Calibri" w:hAnsi="Calibri" w:cs="Calibri"/>
              </w:rPr>
            </w:pPr>
            <w:r>
              <w:rPr>
                <w:rFonts w:ascii="Calibri" w:eastAsia="Calibri" w:hAnsi="Calibri" w:cs="Calibri"/>
                <w:b/>
              </w:rPr>
              <w:t>Patient Class</w:t>
            </w: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1E0537AD" w14:textId="77777777" w:rsidR="00BD579F" w:rsidRDefault="00BD579F">
            <w:pPr>
              <w:widowControl w:val="0"/>
              <w:spacing w:line="240" w:lineRule="auto"/>
              <w:jc w:val="both"/>
              <w:rPr>
                <w:rFonts w:ascii="Calibri" w:eastAsia="Calibri" w:hAnsi="Calibri" w:cs="Calibri"/>
              </w:rPr>
            </w:pP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4935B360" w14:textId="77777777" w:rsidR="00BD579F" w:rsidRDefault="00BD579F">
            <w:pPr>
              <w:widowControl w:val="0"/>
              <w:spacing w:line="240" w:lineRule="auto"/>
              <w:jc w:val="both"/>
              <w:rPr>
                <w:rFonts w:ascii="Calibri" w:eastAsia="Calibri" w:hAnsi="Calibri" w:cs="Calibri"/>
              </w:rPr>
            </w:pPr>
          </w:p>
        </w:tc>
        <w:tc>
          <w:tcPr>
            <w:tcW w:w="244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2C2F4750" w14:textId="77777777" w:rsidR="00BD579F" w:rsidRDefault="00BD579F">
            <w:pPr>
              <w:widowControl w:val="0"/>
              <w:spacing w:line="240" w:lineRule="auto"/>
              <w:jc w:val="both"/>
              <w:rPr>
                <w:rFonts w:ascii="Calibri" w:eastAsia="Calibri" w:hAnsi="Calibri" w:cs="Calibri"/>
              </w:rPr>
            </w:pPr>
          </w:p>
        </w:tc>
      </w:tr>
      <w:tr w:rsidR="00BD579F" w14:paraId="796C5CAD" w14:textId="77777777">
        <w:trPr>
          <w:trHeight w:val="330"/>
        </w:trPr>
        <w:tc>
          <w:tcPr>
            <w:tcW w:w="247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1ABAD4F"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Outpatients</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2248FE9"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250 (55.6)</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6FB199CF"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200 (44.4)</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0B6694EF"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450 (100.0)</w:t>
            </w:r>
          </w:p>
        </w:tc>
      </w:tr>
      <w:tr w:rsidR="00BD579F" w14:paraId="7049273F" w14:textId="77777777">
        <w:trPr>
          <w:trHeight w:val="330"/>
        </w:trPr>
        <w:tc>
          <w:tcPr>
            <w:tcW w:w="247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D2C607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Any HCW</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A7DACB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559 (47.9)</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0258C40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607 (52.1)</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263F8B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1,166 (100.0)</w:t>
            </w:r>
          </w:p>
        </w:tc>
      </w:tr>
      <w:tr w:rsidR="00BD579F" w14:paraId="3C294D5F" w14:textId="77777777">
        <w:trPr>
          <w:trHeight w:val="330"/>
        </w:trPr>
        <w:tc>
          <w:tcPr>
            <w:tcW w:w="247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173978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Inpatients</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0A88981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1182 (48.1)</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53E9A5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1273 (51.9)</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DB3F77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2,455 (100.0)</w:t>
            </w:r>
          </w:p>
        </w:tc>
      </w:tr>
      <w:tr w:rsidR="00BD579F" w14:paraId="52D64680" w14:textId="77777777">
        <w:trPr>
          <w:trHeight w:val="33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178A17BF"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 xml:space="preserve">  CAI*</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7BDB2E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926 (55.6)</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384604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740 (44.4)</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786EEF11"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1,666 (100.0)</w:t>
            </w:r>
          </w:p>
        </w:tc>
      </w:tr>
      <w:tr w:rsidR="00BD579F" w14:paraId="1486CC5A" w14:textId="77777777">
        <w:trPr>
          <w:trHeight w:val="7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015B88E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 xml:space="preserve">  Indeterminate HCAI†</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FA0993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56 (26.0)</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F22471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159 (74.0)</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10D411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215 (100.0)</w:t>
            </w:r>
          </w:p>
        </w:tc>
      </w:tr>
      <w:tr w:rsidR="00BD579F" w14:paraId="41B3F150" w14:textId="77777777">
        <w:trPr>
          <w:trHeight w:val="16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125A46A1"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 xml:space="preserve">  Probable/definite HCAI‡</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C544F3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200 (34.8)</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9703B8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374 (65.2)</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1A7E97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574 (100.0)</w:t>
            </w:r>
          </w:p>
        </w:tc>
      </w:tr>
      <w:tr w:rsidR="00BD579F" w14:paraId="16CA8AFC" w14:textId="77777777">
        <w:trPr>
          <w:trHeight w:val="130"/>
        </w:trPr>
        <w:tc>
          <w:tcPr>
            <w:tcW w:w="247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F3D72A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Unknown category</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6364AD1C"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67 (59.3)</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85204B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46 (40.7)</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6D8B5F0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113 (100.0)</w:t>
            </w:r>
          </w:p>
        </w:tc>
      </w:tr>
      <w:tr w:rsidR="00BD579F" w14:paraId="4E4771E8" w14:textId="77777777">
        <w:trPr>
          <w:trHeight w:val="13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7342926D" w14:textId="77777777" w:rsidR="00BD579F" w:rsidRDefault="00CE1CC9">
            <w:pPr>
              <w:widowControl w:val="0"/>
              <w:spacing w:line="240" w:lineRule="auto"/>
              <w:jc w:val="both"/>
              <w:rPr>
                <w:rFonts w:ascii="Calibri" w:eastAsia="Calibri" w:hAnsi="Calibri" w:cs="Calibri"/>
              </w:rPr>
            </w:pPr>
            <w:r>
              <w:rPr>
                <w:rFonts w:ascii="Calibri" w:eastAsia="Calibri" w:hAnsi="Calibri" w:cs="Calibri"/>
                <w:b/>
              </w:rPr>
              <w:t>Region</w:t>
            </w: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5BF8583B" w14:textId="77777777" w:rsidR="00BD579F" w:rsidRDefault="00BD579F">
            <w:pPr>
              <w:widowControl w:val="0"/>
              <w:spacing w:line="240" w:lineRule="auto"/>
              <w:jc w:val="both"/>
              <w:rPr>
                <w:rFonts w:ascii="Calibri" w:eastAsia="Calibri" w:hAnsi="Calibri" w:cs="Calibri"/>
              </w:rPr>
            </w:pPr>
          </w:p>
        </w:tc>
        <w:tc>
          <w:tcPr>
            <w:tcW w:w="1980"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615DBA5B" w14:textId="77777777" w:rsidR="00BD579F" w:rsidRDefault="00BD579F">
            <w:pPr>
              <w:widowControl w:val="0"/>
              <w:spacing w:line="240" w:lineRule="auto"/>
              <w:jc w:val="both"/>
              <w:rPr>
                <w:rFonts w:ascii="Calibri" w:eastAsia="Calibri" w:hAnsi="Calibri" w:cs="Calibri"/>
              </w:rPr>
            </w:pPr>
          </w:p>
        </w:tc>
        <w:tc>
          <w:tcPr>
            <w:tcW w:w="244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63C3169D" w14:textId="77777777" w:rsidR="00BD579F" w:rsidRDefault="00BD579F">
            <w:pPr>
              <w:widowControl w:val="0"/>
              <w:spacing w:line="240" w:lineRule="auto"/>
              <w:jc w:val="both"/>
              <w:rPr>
                <w:rFonts w:ascii="Calibri" w:eastAsia="Calibri" w:hAnsi="Calibri" w:cs="Calibri"/>
              </w:rPr>
            </w:pPr>
          </w:p>
        </w:tc>
      </w:tr>
      <w:tr w:rsidR="00BD579F" w14:paraId="70D1AC9D" w14:textId="77777777">
        <w:trPr>
          <w:trHeight w:val="19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25E9A83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Glasgow</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0FE67AF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91 (31.6)</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1808A97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197 (68.4)</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1F5A934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288 (100.0)</w:t>
            </w:r>
          </w:p>
        </w:tc>
      </w:tr>
      <w:tr w:rsidR="00BD579F" w14:paraId="1436747A" w14:textId="77777777">
        <w:trPr>
          <w:trHeight w:val="175"/>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36D7F35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Hampshire</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159FA85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288 (66.2)</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9094FD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147 (33.8)</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6547F2B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435 (100.0)</w:t>
            </w:r>
          </w:p>
        </w:tc>
      </w:tr>
      <w:tr w:rsidR="00BD579F" w14:paraId="443AB279" w14:textId="77777777">
        <w:trPr>
          <w:trHeight w:val="22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081F2FAF"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London</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2F750B5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1480 (65.6)</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841D0D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775 (34.4)</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FF6A59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2,255 (100.0)</w:t>
            </w:r>
          </w:p>
        </w:tc>
      </w:tr>
      <w:tr w:rsidR="00BD579F" w14:paraId="74FB5012" w14:textId="77777777">
        <w:trPr>
          <w:trHeight w:val="160"/>
        </w:trPr>
        <w:tc>
          <w:tcPr>
            <w:tcW w:w="2475" w:type="dxa"/>
            <w:tcBorders>
              <w:top w:val="single" w:sz="8" w:space="0" w:color="EFEFEF"/>
              <w:left w:val="single" w:sz="8" w:space="0" w:color="EFEFEF"/>
              <w:bottom w:val="single" w:sz="8" w:space="0" w:color="EFEFEF"/>
              <w:right w:val="single" w:sz="8" w:space="0" w:color="EFEFEF"/>
            </w:tcBorders>
            <w:tcMar>
              <w:top w:w="40" w:type="dxa"/>
              <w:left w:w="40" w:type="dxa"/>
              <w:bottom w:w="40" w:type="dxa"/>
              <w:right w:w="40" w:type="dxa"/>
            </w:tcMar>
            <w:vAlign w:val="bottom"/>
          </w:tcPr>
          <w:p w14:paraId="1ADD9D0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lastRenderedPageBreak/>
              <w:t>South Yorkshire</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42DE03E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199 (16.5)</w:t>
            </w:r>
          </w:p>
        </w:tc>
        <w:tc>
          <w:tcPr>
            <w:tcW w:w="1980"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5A48F0D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1007 (83.5)</w:t>
            </w:r>
          </w:p>
        </w:tc>
        <w:tc>
          <w:tcPr>
            <w:tcW w:w="2445" w:type="dxa"/>
            <w:tcBorders>
              <w:top w:val="single" w:sz="8" w:space="0" w:color="EFEFEF"/>
              <w:left w:val="single" w:sz="8" w:space="0" w:color="EFEFEF"/>
              <w:bottom w:val="single" w:sz="8" w:space="0" w:color="EFEFEF"/>
              <w:right w:val="single" w:sz="8" w:space="0" w:color="EFEFEF"/>
            </w:tcBorders>
            <w:tcMar>
              <w:top w:w="20" w:type="dxa"/>
              <w:left w:w="20" w:type="dxa"/>
              <w:bottom w:w="100" w:type="dxa"/>
              <w:right w:w="20" w:type="dxa"/>
            </w:tcMar>
            <w:vAlign w:val="bottom"/>
          </w:tcPr>
          <w:p w14:paraId="3B4C30D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1,206 (100.0)</w:t>
            </w:r>
          </w:p>
        </w:tc>
      </w:tr>
    </w:tbl>
    <w:p w14:paraId="683BAECF" w14:textId="77777777" w:rsidR="00BD579F" w:rsidRDefault="00BD579F">
      <w:pPr>
        <w:spacing w:line="240" w:lineRule="auto"/>
        <w:jc w:val="both"/>
        <w:rPr>
          <w:rFonts w:ascii="Calibri" w:eastAsia="Calibri" w:hAnsi="Calibri" w:cs="Calibri"/>
          <w:b/>
          <w:sz w:val="28"/>
          <w:szCs w:val="28"/>
          <w:u w:val="single"/>
        </w:rPr>
      </w:pPr>
    </w:p>
    <w:p w14:paraId="54AE272C" w14:textId="77777777" w:rsidR="00BD579F" w:rsidRDefault="00CE1CC9">
      <w:pPr>
        <w:spacing w:line="240" w:lineRule="auto"/>
        <w:jc w:val="both"/>
        <w:rPr>
          <w:rFonts w:ascii="Calibri" w:eastAsia="Calibri" w:hAnsi="Calibri" w:cs="Calibri"/>
          <w:b/>
          <w:sz w:val="28"/>
          <w:szCs w:val="28"/>
          <w:u w:val="single"/>
        </w:rPr>
      </w:pPr>
      <w:r>
        <w:rPr>
          <w:rFonts w:ascii="Calibri" w:eastAsia="Calibri" w:hAnsi="Calibri" w:cs="Calibri"/>
          <w:sz w:val="24"/>
          <w:szCs w:val="24"/>
        </w:rPr>
        <w:t>*Diagnosed at or ≤2 days from admission. †Diagnosed 3-7 days from admission. ‡Diagnosed ≥8 days from admission. CAI, community-acquired infection; HCAI, healthcare-associated infection; HCW, healthcare worker.</w:t>
      </w:r>
      <w:r>
        <w:br w:type="page"/>
      </w:r>
      <w:r>
        <w:rPr>
          <w:rFonts w:ascii="Calibri" w:eastAsia="Calibri" w:hAnsi="Calibri" w:cs="Calibri"/>
          <w:b/>
          <w:sz w:val="28"/>
          <w:szCs w:val="28"/>
        </w:rPr>
        <w:lastRenderedPageBreak/>
        <w:t>Table 2</w:t>
      </w:r>
      <w:r>
        <w:rPr>
          <w:rFonts w:ascii="Calibri" w:eastAsia="Calibri" w:hAnsi="Calibri" w:cs="Calibri"/>
          <w:sz w:val="28"/>
          <w:szCs w:val="28"/>
        </w:rPr>
        <w:t xml:space="preserve"> Multivariable mixed effects logistic regression for prediction of being infected with the Alpha variant among positive samples sequenced by hospital labs.</w:t>
      </w:r>
    </w:p>
    <w:tbl>
      <w:tblPr>
        <w:tblStyle w:val="a0"/>
        <w:tblW w:w="9510" w:type="dxa"/>
        <w:tblBorders>
          <w:top w:val="nil"/>
          <w:left w:val="nil"/>
          <w:bottom w:val="nil"/>
          <w:right w:val="nil"/>
          <w:insideH w:val="nil"/>
          <w:insideV w:val="nil"/>
        </w:tblBorders>
        <w:tblLayout w:type="fixed"/>
        <w:tblLook w:val="0600" w:firstRow="0" w:lastRow="0" w:firstColumn="0" w:lastColumn="0" w:noHBand="1" w:noVBand="1"/>
      </w:tblPr>
      <w:tblGrid>
        <w:gridCol w:w="2325"/>
        <w:gridCol w:w="2220"/>
        <w:gridCol w:w="1440"/>
        <w:gridCol w:w="120"/>
        <w:gridCol w:w="2130"/>
        <w:gridCol w:w="1275"/>
      </w:tblGrid>
      <w:tr w:rsidR="00BD579F" w14:paraId="6175C670" w14:textId="77777777">
        <w:tc>
          <w:tcPr>
            <w:tcW w:w="2325" w:type="dxa"/>
            <w:tcBorders>
              <w:top w:val="single" w:sz="7" w:space="0" w:color="CCCCCC"/>
              <w:left w:val="single" w:sz="7" w:space="0" w:color="CCCCCC"/>
              <w:bottom w:val="single" w:sz="7" w:space="0" w:color="000000"/>
              <w:right w:val="single" w:sz="7" w:space="0" w:color="CCCCCC"/>
            </w:tcBorders>
            <w:shd w:val="clear" w:color="auto" w:fill="auto"/>
            <w:tcMar>
              <w:top w:w="14" w:type="dxa"/>
              <w:left w:w="14" w:type="dxa"/>
              <w:bottom w:w="14" w:type="dxa"/>
              <w:right w:w="14" w:type="dxa"/>
            </w:tcMar>
            <w:vAlign w:val="bottom"/>
          </w:tcPr>
          <w:p w14:paraId="38219302" w14:textId="77777777" w:rsidR="00BD579F" w:rsidRDefault="00BD579F">
            <w:pPr>
              <w:widowControl w:val="0"/>
              <w:spacing w:line="240" w:lineRule="auto"/>
              <w:jc w:val="both"/>
              <w:rPr>
                <w:rFonts w:ascii="Calibri" w:eastAsia="Calibri" w:hAnsi="Calibri" w:cs="Calibri"/>
                <w:sz w:val="24"/>
                <w:szCs w:val="24"/>
              </w:rPr>
            </w:pPr>
          </w:p>
        </w:tc>
        <w:tc>
          <w:tcPr>
            <w:tcW w:w="3660" w:type="dxa"/>
            <w:gridSpan w:val="2"/>
            <w:tcBorders>
              <w:top w:val="single" w:sz="7" w:space="0" w:color="CCCCCC"/>
              <w:left w:val="single" w:sz="7" w:space="0" w:color="CCCCCC"/>
              <w:bottom w:val="single" w:sz="7" w:space="0" w:color="000000"/>
              <w:right w:val="single" w:sz="7" w:space="0" w:color="CCCCCC"/>
            </w:tcBorders>
            <w:shd w:val="clear" w:color="auto" w:fill="auto"/>
            <w:tcMar>
              <w:top w:w="14" w:type="dxa"/>
              <w:left w:w="14" w:type="dxa"/>
              <w:bottom w:w="14" w:type="dxa"/>
              <w:right w:w="14" w:type="dxa"/>
            </w:tcMar>
            <w:vAlign w:val="bottom"/>
          </w:tcPr>
          <w:p w14:paraId="7B118D43" w14:textId="77777777" w:rsidR="00BD579F" w:rsidRDefault="00CE1CC9">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 xml:space="preserve"> All samples</w:t>
            </w:r>
          </w:p>
        </w:tc>
        <w:tc>
          <w:tcPr>
            <w:tcW w:w="120" w:type="dxa"/>
            <w:tcBorders>
              <w:top w:val="single" w:sz="7" w:space="0" w:color="CCCCCC"/>
              <w:left w:val="single" w:sz="7" w:space="0" w:color="CCCCCC"/>
              <w:bottom w:val="single" w:sz="7" w:space="0" w:color="000000"/>
              <w:right w:val="single" w:sz="7" w:space="0" w:color="CCCCCC"/>
            </w:tcBorders>
            <w:shd w:val="clear" w:color="auto" w:fill="auto"/>
            <w:tcMar>
              <w:top w:w="14" w:type="dxa"/>
              <w:left w:w="14" w:type="dxa"/>
              <w:bottom w:w="14" w:type="dxa"/>
              <w:right w:w="14" w:type="dxa"/>
            </w:tcMar>
            <w:vAlign w:val="bottom"/>
          </w:tcPr>
          <w:p w14:paraId="6B6545DD" w14:textId="77777777" w:rsidR="00BD579F" w:rsidRDefault="00BD579F">
            <w:pPr>
              <w:widowControl w:val="0"/>
              <w:spacing w:line="240" w:lineRule="auto"/>
              <w:jc w:val="both"/>
              <w:rPr>
                <w:rFonts w:ascii="Calibri" w:eastAsia="Calibri" w:hAnsi="Calibri" w:cs="Calibri"/>
                <w:sz w:val="24"/>
                <w:szCs w:val="24"/>
              </w:rPr>
            </w:pPr>
          </w:p>
        </w:tc>
        <w:tc>
          <w:tcPr>
            <w:tcW w:w="3405" w:type="dxa"/>
            <w:gridSpan w:val="2"/>
            <w:tcBorders>
              <w:top w:val="single" w:sz="7" w:space="0" w:color="CCCCCC"/>
              <w:left w:val="single" w:sz="7" w:space="0" w:color="CCCCCC"/>
              <w:bottom w:val="single" w:sz="7" w:space="0" w:color="000000"/>
              <w:right w:val="single" w:sz="7" w:space="0" w:color="CCCCCC"/>
            </w:tcBorders>
            <w:shd w:val="clear" w:color="auto" w:fill="auto"/>
            <w:tcMar>
              <w:top w:w="14" w:type="dxa"/>
              <w:left w:w="14" w:type="dxa"/>
              <w:bottom w:w="14" w:type="dxa"/>
              <w:right w:w="14" w:type="dxa"/>
            </w:tcMar>
            <w:vAlign w:val="bottom"/>
          </w:tcPr>
          <w:p w14:paraId="2736194F" w14:textId="77777777" w:rsidR="00BD579F" w:rsidRDefault="00CE1CC9">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London sites only</w:t>
            </w:r>
          </w:p>
        </w:tc>
      </w:tr>
      <w:tr w:rsidR="00BD579F" w14:paraId="1AEBEA2D" w14:textId="77777777">
        <w:tc>
          <w:tcPr>
            <w:tcW w:w="2325" w:type="dxa"/>
            <w:tcBorders>
              <w:top w:val="single" w:sz="7" w:space="0" w:color="CCCCCC"/>
              <w:left w:val="single" w:sz="7" w:space="0" w:color="CCCCCC"/>
              <w:bottom w:val="single" w:sz="7" w:space="0" w:color="000000"/>
              <w:right w:val="single" w:sz="7" w:space="0" w:color="CCCCCC"/>
            </w:tcBorders>
            <w:shd w:val="clear" w:color="auto" w:fill="auto"/>
            <w:tcMar>
              <w:top w:w="14" w:type="dxa"/>
              <w:left w:w="14" w:type="dxa"/>
              <w:bottom w:w="14" w:type="dxa"/>
              <w:right w:w="14" w:type="dxa"/>
            </w:tcMar>
            <w:vAlign w:val="bottom"/>
          </w:tcPr>
          <w:p w14:paraId="7E4A8F40" w14:textId="77777777" w:rsidR="00BD579F" w:rsidRDefault="00BD579F">
            <w:pPr>
              <w:widowControl w:val="0"/>
              <w:spacing w:line="240" w:lineRule="auto"/>
              <w:jc w:val="both"/>
              <w:rPr>
                <w:rFonts w:ascii="Calibri" w:eastAsia="Calibri" w:hAnsi="Calibri" w:cs="Calibri"/>
                <w:sz w:val="24"/>
                <w:szCs w:val="24"/>
              </w:rPr>
            </w:pPr>
          </w:p>
        </w:tc>
        <w:tc>
          <w:tcPr>
            <w:tcW w:w="2220" w:type="dxa"/>
            <w:tcBorders>
              <w:top w:val="single" w:sz="7" w:space="0" w:color="CCCCCC"/>
              <w:left w:val="single" w:sz="7" w:space="0" w:color="CCCCCC"/>
              <w:bottom w:val="single" w:sz="7" w:space="0" w:color="000000"/>
              <w:right w:val="single" w:sz="7" w:space="0" w:color="CCCCCC"/>
            </w:tcBorders>
            <w:shd w:val="clear" w:color="auto" w:fill="auto"/>
            <w:tcMar>
              <w:top w:w="14" w:type="dxa"/>
              <w:left w:w="14" w:type="dxa"/>
              <w:bottom w:w="14" w:type="dxa"/>
              <w:right w:w="14" w:type="dxa"/>
            </w:tcMar>
            <w:vAlign w:val="bottom"/>
          </w:tcPr>
          <w:p w14:paraId="0D667EEB" w14:textId="77777777" w:rsidR="00BD579F" w:rsidRDefault="00CE1CC9">
            <w:pPr>
              <w:widowControl w:val="0"/>
              <w:spacing w:line="240" w:lineRule="auto"/>
              <w:jc w:val="both"/>
              <w:rPr>
                <w:rFonts w:ascii="Calibri" w:eastAsia="Calibri" w:hAnsi="Calibri" w:cs="Calibri"/>
                <w:sz w:val="24"/>
                <w:szCs w:val="24"/>
              </w:rPr>
            </w:pPr>
            <w:r>
              <w:rPr>
                <w:rFonts w:ascii="Calibri" w:eastAsia="Calibri" w:hAnsi="Calibri" w:cs="Calibri"/>
                <w:b/>
                <w:sz w:val="24"/>
                <w:szCs w:val="24"/>
              </w:rPr>
              <w:t>OR (95% CI)</w:t>
            </w:r>
          </w:p>
        </w:tc>
        <w:tc>
          <w:tcPr>
            <w:tcW w:w="1440" w:type="dxa"/>
            <w:tcBorders>
              <w:top w:val="single" w:sz="7" w:space="0" w:color="CCCCCC"/>
              <w:left w:val="single" w:sz="7" w:space="0" w:color="CCCCCC"/>
              <w:bottom w:val="single" w:sz="7" w:space="0" w:color="000000"/>
              <w:right w:val="single" w:sz="7" w:space="0" w:color="CCCCCC"/>
            </w:tcBorders>
            <w:shd w:val="clear" w:color="auto" w:fill="auto"/>
            <w:tcMar>
              <w:top w:w="14" w:type="dxa"/>
              <w:left w:w="14" w:type="dxa"/>
              <w:bottom w:w="14" w:type="dxa"/>
              <w:right w:w="14" w:type="dxa"/>
            </w:tcMar>
            <w:vAlign w:val="bottom"/>
          </w:tcPr>
          <w:p w14:paraId="301FA9CE" w14:textId="77777777" w:rsidR="00BD579F" w:rsidRDefault="00CE1CC9">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p-value</w:t>
            </w:r>
          </w:p>
        </w:tc>
        <w:tc>
          <w:tcPr>
            <w:tcW w:w="120" w:type="dxa"/>
            <w:tcBorders>
              <w:top w:val="single" w:sz="7" w:space="0" w:color="CCCCCC"/>
              <w:left w:val="single" w:sz="7" w:space="0" w:color="CCCCCC"/>
              <w:bottom w:val="single" w:sz="7" w:space="0" w:color="000000"/>
              <w:right w:val="single" w:sz="7" w:space="0" w:color="CCCCCC"/>
            </w:tcBorders>
            <w:shd w:val="clear" w:color="auto" w:fill="auto"/>
            <w:tcMar>
              <w:top w:w="14" w:type="dxa"/>
              <w:left w:w="14" w:type="dxa"/>
              <w:bottom w:w="14" w:type="dxa"/>
              <w:right w:w="14" w:type="dxa"/>
            </w:tcMar>
            <w:vAlign w:val="bottom"/>
          </w:tcPr>
          <w:p w14:paraId="49C212A9" w14:textId="77777777" w:rsidR="00BD579F" w:rsidRDefault="00BD579F">
            <w:pPr>
              <w:widowControl w:val="0"/>
              <w:spacing w:line="240" w:lineRule="auto"/>
              <w:jc w:val="both"/>
              <w:rPr>
                <w:rFonts w:ascii="Calibri" w:eastAsia="Calibri" w:hAnsi="Calibri" w:cs="Calibri"/>
                <w:sz w:val="24"/>
                <w:szCs w:val="24"/>
              </w:rPr>
            </w:pPr>
          </w:p>
        </w:tc>
        <w:tc>
          <w:tcPr>
            <w:tcW w:w="2130" w:type="dxa"/>
            <w:tcBorders>
              <w:top w:val="single" w:sz="7" w:space="0" w:color="CCCCCC"/>
              <w:left w:val="single" w:sz="7" w:space="0" w:color="CCCCCC"/>
              <w:bottom w:val="single" w:sz="7" w:space="0" w:color="000000"/>
              <w:right w:val="single" w:sz="7" w:space="0" w:color="CCCCCC"/>
            </w:tcBorders>
            <w:shd w:val="clear" w:color="auto" w:fill="auto"/>
            <w:tcMar>
              <w:top w:w="14" w:type="dxa"/>
              <w:left w:w="14" w:type="dxa"/>
              <w:bottom w:w="14" w:type="dxa"/>
              <w:right w:w="14" w:type="dxa"/>
            </w:tcMar>
            <w:vAlign w:val="bottom"/>
          </w:tcPr>
          <w:p w14:paraId="3552BA88" w14:textId="77777777" w:rsidR="00BD579F" w:rsidRDefault="00CE1CC9">
            <w:pPr>
              <w:widowControl w:val="0"/>
              <w:spacing w:line="240" w:lineRule="auto"/>
              <w:jc w:val="both"/>
              <w:rPr>
                <w:rFonts w:ascii="Calibri" w:eastAsia="Calibri" w:hAnsi="Calibri" w:cs="Calibri"/>
                <w:sz w:val="24"/>
                <w:szCs w:val="24"/>
              </w:rPr>
            </w:pPr>
            <w:r>
              <w:rPr>
                <w:rFonts w:ascii="Calibri" w:eastAsia="Calibri" w:hAnsi="Calibri" w:cs="Calibri"/>
                <w:b/>
                <w:sz w:val="24"/>
                <w:szCs w:val="24"/>
              </w:rPr>
              <w:t>OR (95% CI)</w:t>
            </w:r>
          </w:p>
        </w:tc>
        <w:tc>
          <w:tcPr>
            <w:tcW w:w="1275" w:type="dxa"/>
            <w:tcBorders>
              <w:top w:val="single" w:sz="7" w:space="0" w:color="CCCCCC"/>
              <w:left w:val="single" w:sz="7" w:space="0" w:color="CCCCCC"/>
              <w:bottom w:val="single" w:sz="7" w:space="0" w:color="000000"/>
              <w:right w:val="single" w:sz="7" w:space="0" w:color="CCCCCC"/>
            </w:tcBorders>
            <w:shd w:val="clear" w:color="auto" w:fill="auto"/>
            <w:tcMar>
              <w:top w:w="14" w:type="dxa"/>
              <w:left w:w="14" w:type="dxa"/>
              <w:bottom w:w="14" w:type="dxa"/>
              <w:right w:w="14" w:type="dxa"/>
            </w:tcMar>
            <w:vAlign w:val="bottom"/>
          </w:tcPr>
          <w:p w14:paraId="41CAC4C7" w14:textId="77777777" w:rsidR="00BD579F" w:rsidRDefault="00CE1CC9">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p-value</w:t>
            </w:r>
          </w:p>
        </w:tc>
      </w:tr>
      <w:tr w:rsidR="00BD579F" w14:paraId="26A891E5"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78378B1" w14:textId="77777777" w:rsidR="00BD579F" w:rsidRDefault="00CE1CC9">
            <w:pPr>
              <w:widowControl w:val="0"/>
              <w:spacing w:line="240" w:lineRule="auto"/>
              <w:jc w:val="both"/>
              <w:rPr>
                <w:rFonts w:ascii="Calibri" w:eastAsia="Calibri" w:hAnsi="Calibri" w:cs="Calibri"/>
              </w:rPr>
            </w:pPr>
            <w:r>
              <w:rPr>
                <w:rFonts w:ascii="Calibri" w:eastAsia="Calibri" w:hAnsi="Calibri" w:cs="Calibri"/>
                <w:b/>
              </w:rPr>
              <w:t>Age</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9BA0EEB" w14:textId="77777777" w:rsidR="00BD579F" w:rsidRDefault="00BD579F">
            <w:pPr>
              <w:widowControl w:val="0"/>
              <w:spacing w:line="240" w:lineRule="auto"/>
              <w:jc w:val="both"/>
              <w:rPr>
                <w:rFonts w:ascii="Calibri" w:eastAsia="Calibri" w:hAnsi="Calibri" w:cs="Calibri"/>
              </w:rPr>
            </w:pP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1DB277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0.03</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F84B3E7"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0F671F1" w14:textId="77777777" w:rsidR="00BD579F" w:rsidRDefault="00BD579F">
            <w:pPr>
              <w:widowControl w:val="0"/>
              <w:spacing w:line="240" w:lineRule="auto"/>
              <w:jc w:val="both"/>
              <w:rPr>
                <w:rFonts w:ascii="Calibri" w:eastAsia="Calibri" w:hAnsi="Calibri" w:cs="Calibri"/>
              </w:rPr>
            </w:pP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97E204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0.09</w:t>
            </w:r>
          </w:p>
        </w:tc>
      </w:tr>
      <w:tr w:rsidR="00BD579F" w14:paraId="15E19D0C"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BF1B2B8" w14:textId="77777777" w:rsidR="00BD579F" w:rsidRDefault="00BD579F">
            <w:pPr>
              <w:widowControl w:val="0"/>
              <w:spacing w:line="240" w:lineRule="auto"/>
              <w:jc w:val="both"/>
              <w:rPr>
                <w:rFonts w:ascii="Calibri" w:eastAsia="Calibri" w:hAnsi="Calibri" w:cs="Calibri"/>
              </w:rPr>
            </w:pP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7261FCF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0.99</w:t>
            </w:r>
          </w:p>
          <w:p w14:paraId="3433159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(0.99 to 1.00)</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6D0AEDB" w14:textId="77777777" w:rsidR="00BD579F" w:rsidRDefault="00BD579F">
            <w:pPr>
              <w:widowControl w:val="0"/>
              <w:spacing w:line="240" w:lineRule="auto"/>
              <w:jc w:val="both"/>
              <w:rPr>
                <w:rFonts w:ascii="Calibri" w:eastAsia="Calibri" w:hAnsi="Calibri" w:cs="Calibri"/>
              </w:rPr>
            </w:pP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ED0CF57"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BAF16E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1.00</w:t>
            </w:r>
          </w:p>
          <w:p w14:paraId="270E245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(0.99 to 1.00)</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493D1B9" w14:textId="77777777" w:rsidR="00BD579F" w:rsidRDefault="00BD579F">
            <w:pPr>
              <w:widowControl w:val="0"/>
              <w:spacing w:line="240" w:lineRule="auto"/>
              <w:jc w:val="both"/>
              <w:rPr>
                <w:rFonts w:ascii="Calibri" w:eastAsia="Calibri" w:hAnsi="Calibri" w:cs="Calibri"/>
              </w:rPr>
            </w:pPr>
          </w:p>
        </w:tc>
      </w:tr>
      <w:tr w:rsidR="00BD579F" w14:paraId="29F21BD6"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B528BFC" w14:textId="77777777" w:rsidR="00BD579F" w:rsidRDefault="00CE1CC9">
            <w:pPr>
              <w:widowControl w:val="0"/>
              <w:spacing w:line="240" w:lineRule="auto"/>
              <w:jc w:val="both"/>
              <w:rPr>
                <w:rFonts w:ascii="Calibri" w:eastAsia="Calibri" w:hAnsi="Calibri" w:cs="Calibri"/>
              </w:rPr>
            </w:pPr>
            <w:r>
              <w:rPr>
                <w:rFonts w:ascii="Calibri" w:eastAsia="Calibri" w:hAnsi="Calibri" w:cs="Calibri"/>
                <w:b/>
              </w:rPr>
              <w:t>Sex</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78D105FB" w14:textId="77777777" w:rsidR="00BD579F" w:rsidRDefault="00BD579F">
            <w:pPr>
              <w:widowControl w:val="0"/>
              <w:spacing w:line="240" w:lineRule="auto"/>
              <w:jc w:val="both"/>
              <w:rPr>
                <w:rFonts w:ascii="Calibri" w:eastAsia="Calibri" w:hAnsi="Calibri" w:cs="Calibri"/>
              </w:rPr>
            </w:pP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5DF5A4F"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0.51</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498405E"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FEA54C7" w14:textId="77777777" w:rsidR="00BD579F" w:rsidRDefault="00BD579F">
            <w:pPr>
              <w:widowControl w:val="0"/>
              <w:spacing w:line="240" w:lineRule="auto"/>
              <w:jc w:val="both"/>
              <w:rPr>
                <w:rFonts w:ascii="Calibri" w:eastAsia="Calibri" w:hAnsi="Calibri" w:cs="Calibri"/>
              </w:rPr>
            </w:pP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BC32F1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0.43</w:t>
            </w:r>
          </w:p>
        </w:tc>
      </w:tr>
      <w:tr w:rsidR="00BD579F" w14:paraId="1C7278D8"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822A71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Female</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7471596C" w14:textId="77777777" w:rsidR="00BD579F" w:rsidRDefault="00CE1CC9">
            <w:pPr>
              <w:widowControl w:val="0"/>
              <w:spacing w:line="240" w:lineRule="auto"/>
              <w:jc w:val="both"/>
              <w:rPr>
                <w:rFonts w:ascii="Calibri" w:eastAsia="Calibri" w:hAnsi="Calibri" w:cs="Calibri"/>
              </w:rPr>
            </w:pPr>
            <w:r>
              <w:rPr>
                <w:rFonts w:ascii="Calibri" w:eastAsia="Calibri" w:hAnsi="Calibri" w:cs="Calibri"/>
                <w:i/>
              </w:rPr>
              <w:t>Reference</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B80814A" w14:textId="77777777" w:rsidR="00BD579F" w:rsidRDefault="00BD579F">
            <w:pPr>
              <w:widowControl w:val="0"/>
              <w:spacing w:line="240" w:lineRule="auto"/>
              <w:jc w:val="both"/>
              <w:rPr>
                <w:rFonts w:ascii="Calibri" w:eastAsia="Calibri" w:hAnsi="Calibri" w:cs="Calibri"/>
                <w:i/>
              </w:rPr>
            </w:pP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BECD3DE"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788B946" w14:textId="77777777" w:rsidR="00BD579F" w:rsidRDefault="00CE1CC9">
            <w:pPr>
              <w:widowControl w:val="0"/>
              <w:spacing w:line="240" w:lineRule="auto"/>
              <w:jc w:val="both"/>
              <w:rPr>
                <w:rFonts w:ascii="Calibri" w:eastAsia="Calibri" w:hAnsi="Calibri" w:cs="Calibri"/>
              </w:rPr>
            </w:pPr>
            <w:r>
              <w:rPr>
                <w:rFonts w:ascii="Calibri" w:eastAsia="Calibri" w:hAnsi="Calibri" w:cs="Calibri"/>
                <w:i/>
              </w:rPr>
              <w:t>Reference</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338932A" w14:textId="77777777" w:rsidR="00BD579F" w:rsidRDefault="00BD579F">
            <w:pPr>
              <w:widowControl w:val="0"/>
              <w:spacing w:line="240" w:lineRule="auto"/>
              <w:jc w:val="both"/>
              <w:rPr>
                <w:rFonts w:ascii="Calibri" w:eastAsia="Calibri" w:hAnsi="Calibri" w:cs="Calibri"/>
              </w:rPr>
            </w:pPr>
          </w:p>
        </w:tc>
      </w:tr>
      <w:tr w:rsidR="00BD579F" w14:paraId="3E664EB4"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E92ADF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Male</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C29B39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0.95</w:t>
            </w:r>
          </w:p>
          <w:p w14:paraId="36DBFBF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(0.80 to 1.12)</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05E8847" w14:textId="77777777" w:rsidR="00BD579F" w:rsidRDefault="00BD579F">
            <w:pPr>
              <w:widowControl w:val="0"/>
              <w:spacing w:line="240" w:lineRule="auto"/>
              <w:jc w:val="both"/>
              <w:rPr>
                <w:rFonts w:ascii="Calibri" w:eastAsia="Calibri" w:hAnsi="Calibri" w:cs="Calibri"/>
              </w:rPr>
            </w:pP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59ED932"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9FF1EF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0.92</w:t>
            </w:r>
          </w:p>
          <w:p w14:paraId="3B54C93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(0.74 to 1.14)</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EB8461B" w14:textId="77777777" w:rsidR="00BD579F" w:rsidRDefault="00BD579F">
            <w:pPr>
              <w:widowControl w:val="0"/>
              <w:spacing w:line="240" w:lineRule="auto"/>
              <w:jc w:val="both"/>
              <w:rPr>
                <w:rFonts w:ascii="Calibri" w:eastAsia="Calibri" w:hAnsi="Calibri" w:cs="Calibri"/>
              </w:rPr>
            </w:pPr>
          </w:p>
        </w:tc>
      </w:tr>
      <w:tr w:rsidR="00BD579F" w14:paraId="21BB8678" w14:textId="77777777">
        <w:tc>
          <w:tcPr>
            <w:tcW w:w="2325" w:type="dxa"/>
            <w:tcBorders>
              <w:top w:val="single" w:sz="7" w:space="0" w:color="CCCCCC"/>
              <w:left w:val="single" w:sz="7" w:space="0" w:color="CCCCCC"/>
              <w:bottom w:val="single" w:sz="7" w:space="0" w:color="CCCCCC"/>
              <w:right w:val="single" w:sz="7" w:space="0" w:color="000000"/>
            </w:tcBorders>
            <w:shd w:val="clear" w:color="auto" w:fill="auto"/>
            <w:tcMar>
              <w:top w:w="14" w:type="dxa"/>
              <w:left w:w="14" w:type="dxa"/>
              <w:bottom w:w="14" w:type="dxa"/>
              <w:right w:w="14" w:type="dxa"/>
            </w:tcMar>
            <w:vAlign w:val="bottom"/>
          </w:tcPr>
          <w:p w14:paraId="75E62182" w14:textId="77777777" w:rsidR="00BD579F" w:rsidRDefault="00CE1CC9">
            <w:pPr>
              <w:widowControl w:val="0"/>
              <w:spacing w:line="240" w:lineRule="auto"/>
              <w:jc w:val="both"/>
              <w:rPr>
                <w:rFonts w:ascii="Calibri" w:eastAsia="Calibri" w:hAnsi="Calibri" w:cs="Calibri"/>
                <w:b/>
              </w:rPr>
            </w:pPr>
            <w:r>
              <w:rPr>
                <w:rFonts w:ascii="Calibri" w:eastAsia="Calibri" w:hAnsi="Calibri" w:cs="Calibri"/>
                <w:b/>
              </w:rPr>
              <w:t>Patient class</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8A07B6E" w14:textId="77777777" w:rsidR="00BD579F" w:rsidRDefault="00BD579F">
            <w:pPr>
              <w:widowControl w:val="0"/>
              <w:spacing w:line="240" w:lineRule="auto"/>
              <w:jc w:val="both"/>
              <w:rPr>
                <w:rFonts w:ascii="Calibri" w:eastAsia="Calibri" w:hAnsi="Calibri" w:cs="Calibri"/>
              </w:rPr>
            </w:pP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FABE08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&lt;0.001</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FD1BCBD"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C4277C1" w14:textId="77777777" w:rsidR="00BD579F" w:rsidRDefault="00BD579F">
            <w:pPr>
              <w:widowControl w:val="0"/>
              <w:spacing w:line="240" w:lineRule="auto"/>
              <w:jc w:val="both"/>
              <w:rPr>
                <w:rFonts w:ascii="Calibri" w:eastAsia="Calibri" w:hAnsi="Calibri" w:cs="Calibri"/>
              </w:rPr>
            </w:pP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CF8D97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&lt;0.001</w:t>
            </w:r>
          </w:p>
        </w:tc>
      </w:tr>
      <w:tr w:rsidR="00BD579F" w14:paraId="476A3EC7"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222742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Inpatient (CAI)</w:t>
            </w:r>
            <w:r>
              <w:rPr>
                <w:rFonts w:ascii="Calibri" w:eastAsia="Calibri" w:hAnsi="Calibri" w:cs="Calibri"/>
                <w:sz w:val="24"/>
                <w:szCs w:val="24"/>
              </w:rPr>
              <w:t>†</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ECEA560" w14:textId="77777777" w:rsidR="00BD579F" w:rsidRDefault="00CE1CC9">
            <w:pPr>
              <w:widowControl w:val="0"/>
              <w:spacing w:line="240" w:lineRule="auto"/>
              <w:jc w:val="both"/>
              <w:rPr>
                <w:rFonts w:ascii="Calibri" w:eastAsia="Calibri" w:hAnsi="Calibri" w:cs="Calibri"/>
              </w:rPr>
            </w:pPr>
            <w:r>
              <w:rPr>
                <w:rFonts w:ascii="Calibri" w:eastAsia="Calibri" w:hAnsi="Calibri" w:cs="Calibri"/>
                <w:i/>
              </w:rPr>
              <w:t>Reference</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8AB5056" w14:textId="77777777" w:rsidR="00BD579F" w:rsidRDefault="00BD579F">
            <w:pPr>
              <w:widowControl w:val="0"/>
              <w:spacing w:line="240" w:lineRule="auto"/>
              <w:jc w:val="both"/>
              <w:rPr>
                <w:rFonts w:ascii="Calibri" w:eastAsia="Calibri" w:hAnsi="Calibri" w:cs="Calibri"/>
                <w:i/>
              </w:rPr>
            </w:pP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F359B7B"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69A85EA" w14:textId="77777777" w:rsidR="00BD579F" w:rsidRDefault="00CE1CC9">
            <w:pPr>
              <w:widowControl w:val="0"/>
              <w:spacing w:line="240" w:lineRule="auto"/>
              <w:jc w:val="both"/>
              <w:rPr>
                <w:rFonts w:ascii="Calibri" w:eastAsia="Calibri" w:hAnsi="Calibri" w:cs="Calibri"/>
              </w:rPr>
            </w:pPr>
            <w:r>
              <w:rPr>
                <w:rFonts w:ascii="Calibri" w:eastAsia="Calibri" w:hAnsi="Calibri" w:cs="Calibri"/>
                <w:i/>
              </w:rPr>
              <w:t>Reference</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1103FBE" w14:textId="77777777" w:rsidR="00BD579F" w:rsidRDefault="00BD579F">
            <w:pPr>
              <w:widowControl w:val="0"/>
              <w:spacing w:line="240" w:lineRule="auto"/>
              <w:jc w:val="both"/>
              <w:rPr>
                <w:rFonts w:ascii="Calibri" w:eastAsia="Calibri" w:hAnsi="Calibri" w:cs="Calibri"/>
              </w:rPr>
            </w:pPr>
          </w:p>
        </w:tc>
      </w:tr>
      <w:tr w:rsidR="00BD579F" w14:paraId="4BE58EC2"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1F74191"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A&amp;E attendee</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59B396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1.35</w:t>
            </w:r>
          </w:p>
          <w:p w14:paraId="7EF5390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(0.87 to 2.09)</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09A5009" w14:textId="77777777" w:rsidR="00BD579F" w:rsidRDefault="00BD579F">
            <w:pPr>
              <w:widowControl w:val="0"/>
              <w:spacing w:line="240" w:lineRule="auto"/>
              <w:jc w:val="both"/>
              <w:rPr>
                <w:rFonts w:ascii="Calibri" w:eastAsia="Calibri" w:hAnsi="Calibri" w:cs="Calibri"/>
              </w:rPr>
            </w:pP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AFD389E"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F71ECF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1.25 (0.76 to 2.05)</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09C012B" w14:textId="77777777" w:rsidR="00BD579F" w:rsidRDefault="00BD579F">
            <w:pPr>
              <w:widowControl w:val="0"/>
              <w:spacing w:line="240" w:lineRule="auto"/>
              <w:jc w:val="both"/>
              <w:rPr>
                <w:rFonts w:ascii="Calibri" w:eastAsia="Calibri" w:hAnsi="Calibri" w:cs="Calibri"/>
              </w:rPr>
            </w:pPr>
          </w:p>
        </w:tc>
      </w:tr>
      <w:tr w:rsidR="00BD579F" w14:paraId="1471CBE0"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0A294E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Outpatient</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8370F0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0.86</w:t>
            </w:r>
          </w:p>
          <w:p w14:paraId="3348405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(0.58 to 1.26)</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75D9C177" w14:textId="77777777" w:rsidR="00BD579F" w:rsidRDefault="00BD579F">
            <w:pPr>
              <w:widowControl w:val="0"/>
              <w:spacing w:line="240" w:lineRule="auto"/>
              <w:jc w:val="both"/>
              <w:rPr>
                <w:rFonts w:ascii="Calibri" w:eastAsia="Calibri" w:hAnsi="Calibri" w:cs="Calibri"/>
              </w:rPr>
            </w:pP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DDFED57"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2A0E6D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0.78 (0.47 to 1.32)</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1C59856" w14:textId="77777777" w:rsidR="00BD579F" w:rsidRDefault="00BD579F">
            <w:pPr>
              <w:widowControl w:val="0"/>
              <w:spacing w:line="240" w:lineRule="auto"/>
              <w:jc w:val="both"/>
              <w:rPr>
                <w:rFonts w:ascii="Calibri" w:eastAsia="Calibri" w:hAnsi="Calibri" w:cs="Calibri"/>
              </w:rPr>
            </w:pPr>
          </w:p>
        </w:tc>
      </w:tr>
      <w:tr w:rsidR="00BD579F" w14:paraId="02E5DF10"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CA6FF6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Any HCW</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DA2128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0.78</w:t>
            </w:r>
          </w:p>
          <w:p w14:paraId="2DAC95F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(0.60 to 1.01)</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100DF12" w14:textId="77777777" w:rsidR="00BD579F" w:rsidRDefault="00BD579F">
            <w:pPr>
              <w:widowControl w:val="0"/>
              <w:spacing w:line="240" w:lineRule="auto"/>
              <w:jc w:val="both"/>
              <w:rPr>
                <w:rFonts w:ascii="Calibri" w:eastAsia="Calibri" w:hAnsi="Calibri" w:cs="Calibri"/>
              </w:rPr>
            </w:pP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97A88F0"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CE4190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0.67 (0.48 to 0.93)</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5A12A70" w14:textId="77777777" w:rsidR="00BD579F" w:rsidRDefault="00BD579F">
            <w:pPr>
              <w:widowControl w:val="0"/>
              <w:spacing w:line="240" w:lineRule="auto"/>
              <w:jc w:val="both"/>
              <w:rPr>
                <w:rFonts w:ascii="Calibri" w:eastAsia="Calibri" w:hAnsi="Calibri" w:cs="Calibri"/>
              </w:rPr>
            </w:pPr>
          </w:p>
        </w:tc>
      </w:tr>
      <w:tr w:rsidR="00BD579F" w14:paraId="65851A5C"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7AB0A2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Indeterminate HCAI</w:t>
            </w:r>
            <w:r>
              <w:rPr>
                <w:rFonts w:ascii="Calibri" w:eastAsia="Calibri" w:hAnsi="Calibri" w:cs="Calibri"/>
                <w:sz w:val="24"/>
                <w:szCs w:val="24"/>
              </w:rPr>
              <w:t>‡</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7B173DC"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0.45</w:t>
            </w:r>
          </w:p>
          <w:p w14:paraId="3DB6627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(0.30 to 0.70)</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8EB4047" w14:textId="77777777" w:rsidR="00BD579F" w:rsidRDefault="00BD579F">
            <w:pPr>
              <w:widowControl w:val="0"/>
              <w:spacing w:line="240" w:lineRule="auto"/>
              <w:jc w:val="both"/>
              <w:rPr>
                <w:rFonts w:ascii="Calibri" w:eastAsia="Calibri" w:hAnsi="Calibri" w:cs="Calibri"/>
              </w:rPr>
            </w:pP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40D9240"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7B06C6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0.33 (0.19 to 0.58)</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763B8C5F" w14:textId="77777777" w:rsidR="00BD579F" w:rsidRDefault="00BD579F">
            <w:pPr>
              <w:widowControl w:val="0"/>
              <w:spacing w:line="240" w:lineRule="auto"/>
              <w:jc w:val="both"/>
              <w:rPr>
                <w:rFonts w:ascii="Calibri" w:eastAsia="Calibri" w:hAnsi="Calibri" w:cs="Calibri"/>
              </w:rPr>
            </w:pPr>
          </w:p>
        </w:tc>
      </w:tr>
      <w:tr w:rsidR="00BD579F" w14:paraId="3DDCC465"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E51336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Probable/definite HCAI</w:t>
            </w:r>
            <w:r>
              <w:rPr>
                <w:rFonts w:ascii="Calibri" w:eastAsia="Calibri" w:hAnsi="Calibri" w:cs="Calibri"/>
                <w:sz w:val="24"/>
                <w:szCs w:val="24"/>
              </w:rPr>
              <w:t>⁋</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C2D090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0.45</w:t>
            </w:r>
          </w:p>
          <w:p w14:paraId="76BFFD8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(0.34 to 0.59)</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E6DEF6C" w14:textId="77777777" w:rsidR="00BD579F" w:rsidRDefault="00BD579F">
            <w:pPr>
              <w:widowControl w:val="0"/>
              <w:spacing w:line="240" w:lineRule="auto"/>
              <w:jc w:val="both"/>
              <w:rPr>
                <w:rFonts w:ascii="Calibri" w:eastAsia="Calibri" w:hAnsi="Calibri" w:cs="Calibri"/>
              </w:rPr>
            </w:pP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A86D1E3"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12EA82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0.29 (0.20 to 0.41)</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5F61DAA" w14:textId="77777777" w:rsidR="00BD579F" w:rsidRDefault="00BD579F">
            <w:pPr>
              <w:widowControl w:val="0"/>
              <w:spacing w:line="240" w:lineRule="auto"/>
              <w:jc w:val="both"/>
              <w:rPr>
                <w:rFonts w:ascii="Calibri" w:eastAsia="Calibri" w:hAnsi="Calibri" w:cs="Calibri"/>
              </w:rPr>
            </w:pPr>
          </w:p>
        </w:tc>
      </w:tr>
      <w:tr w:rsidR="00BD579F" w14:paraId="2B0DA7F3" w14:textId="77777777">
        <w:tc>
          <w:tcPr>
            <w:tcW w:w="232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967350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Unknown</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76A1B51"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2.46</w:t>
            </w:r>
          </w:p>
          <w:p w14:paraId="6CA6E11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(1.41 to 4.30)</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9163A6C" w14:textId="77777777" w:rsidR="00BD579F" w:rsidRDefault="00BD579F">
            <w:pPr>
              <w:widowControl w:val="0"/>
              <w:spacing w:line="240" w:lineRule="auto"/>
              <w:jc w:val="both"/>
              <w:rPr>
                <w:rFonts w:ascii="Calibri" w:eastAsia="Calibri" w:hAnsi="Calibri" w:cs="Calibri"/>
              </w:rPr>
            </w:pP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4CC1FDE"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5EF714C"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3.19 (1.28 to 7.92)</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DDA4ECC" w14:textId="77777777" w:rsidR="00BD579F" w:rsidRDefault="00BD579F">
            <w:pPr>
              <w:widowControl w:val="0"/>
              <w:spacing w:line="240" w:lineRule="auto"/>
              <w:jc w:val="both"/>
              <w:rPr>
                <w:rFonts w:ascii="Calibri" w:eastAsia="Calibri" w:hAnsi="Calibri" w:cs="Calibri"/>
              </w:rPr>
            </w:pPr>
          </w:p>
        </w:tc>
      </w:tr>
      <w:tr w:rsidR="00BD579F" w14:paraId="472BAF06" w14:textId="77777777">
        <w:tc>
          <w:tcPr>
            <w:tcW w:w="2325" w:type="dxa"/>
            <w:tcBorders>
              <w:top w:val="single" w:sz="7" w:space="0" w:color="CCCCCC"/>
              <w:left w:val="single" w:sz="7" w:space="0" w:color="CCCCCC"/>
              <w:bottom w:val="single" w:sz="7" w:space="0" w:color="CCCCCC"/>
              <w:right w:val="single" w:sz="7" w:space="0" w:color="000000"/>
            </w:tcBorders>
            <w:tcMar>
              <w:top w:w="14" w:type="dxa"/>
              <w:left w:w="14" w:type="dxa"/>
              <w:bottom w:w="14" w:type="dxa"/>
              <w:right w:w="14" w:type="dxa"/>
            </w:tcMar>
            <w:vAlign w:val="bottom"/>
          </w:tcPr>
          <w:p w14:paraId="45F0E5D3" w14:textId="77777777" w:rsidR="00BD579F" w:rsidRDefault="00CE1CC9">
            <w:pPr>
              <w:widowControl w:val="0"/>
              <w:spacing w:line="240" w:lineRule="auto"/>
              <w:jc w:val="both"/>
              <w:rPr>
                <w:rFonts w:ascii="Calibri" w:eastAsia="Calibri" w:hAnsi="Calibri" w:cs="Calibri"/>
                <w:b/>
              </w:rPr>
            </w:pPr>
            <w:r>
              <w:rPr>
                <w:rFonts w:ascii="Calibri" w:eastAsia="Calibri" w:hAnsi="Calibri" w:cs="Calibri"/>
                <w:b/>
              </w:rPr>
              <w:t>Week starting:</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5ADB39B" w14:textId="77777777" w:rsidR="00BD579F" w:rsidRDefault="00CE1CC9">
            <w:pPr>
              <w:widowControl w:val="0"/>
              <w:spacing w:line="240" w:lineRule="auto"/>
              <w:jc w:val="both"/>
              <w:rPr>
                <w:rFonts w:ascii="Calibri" w:eastAsia="Calibri" w:hAnsi="Calibri" w:cs="Calibri"/>
                <w:b/>
              </w:rPr>
            </w:pPr>
            <w:r>
              <w:rPr>
                <w:rFonts w:ascii="Calibri" w:eastAsia="Calibri" w:hAnsi="Calibri" w:cs="Calibri"/>
                <w:b/>
              </w:rPr>
              <w:t>Mean Prop. London</w:t>
            </w:r>
            <w:r>
              <w:rPr>
                <w:rFonts w:ascii="Calibri" w:eastAsia="Calibri" w:hAnsi="Calibri" w:cs="Calibri"/>
                <w:b/>
                <w:sz w:val="24"/>
                <w:szCs w:val="24"/>
              </w:rPr>
              <w:t>#</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3D026FD" w14:textId="77777777" w:rsidR="00BD579F" w:rsidRDefault="00CE1CC9">
            <w:pPr>
              <w:widowControl w:val="0"/>
              <w:spacing w:line="240" w:lineRule="auto"/>
              <w:jc w:val="both"/>
              <w:rPr>
                <w:rFonts w:ascii="Calibri" w:eastAsia="Calibri" w:hAnsi="Calibri" w:cs="Calibri"/>
                <w:b/>
              </w:rPr>
            </w:pPr>
            <w:r>
              <w:rPr>
                <w:rFonts w:ascii="Calibri" w:eastAsia="Calibri" w:hAnsi="Calibri" w:cs="Calibri"/>
                <w:b/>
              </w:rPr>
              <w:t>Mean Prop. Elsewhere</w:t>
            </w:r>
            <w:r>
              <w:rPr>
                <w:rFonts w:ascii="Calibri" w:eastAsia="Calibri" w:hAnsi="Calibri" w:cs="Calibri"/>
                <w:b/>
                <w:sz w:val="24"/>
                <w:szCs w:val="24"/>
              </w:rPr>
              <w:t>#</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3747E0B" w14:textId="77777777" w:rsidR="00BD579F" w:rsidRDefault="00BD579F">
            <w:pPr>
              <w:widowControl w:val="0"/>
              <w:spacing w:line="240" w:lineRule="auto"/>
              <w:jc w:val="both"/>
              <w:rPr>
                <w:rFonts w:ascii="Calibri" w:eastAsia="Calibri" w:hAnsi="Calibri" w:cs="Calibri"/>
                <w:b/>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714466F" w14:textId="77777777" w:rsidR="00BD579F" w:rsidRDefault="00CE1CC9">
            <w:pPr>
              <w:widowControl w:val="0"/>
              <w:spacing w:line="240" w:lineRule="auto"/>
              <w:jc w:val="both"/>
              <w:rPr>
                <w:rFonts w:ascii="Calibri" w:eastAsia="Calibri" w:hAnsi="Calibri" w:cs="Calibri"/>
                <w:b/>
              </w:rPr>
            </w:pPr>
            <w:r>
              <w:rPr>
                <w:rFonts w:ascii="Calibri" w:eastAsia="Calibri" w:hAnsi="Calibri" w:cs="Calibri"/>
                <w:b/>
              </w:rPr>
              <w:t xml:space="preserve">Mean </w:t>
            </w:r>
            <w:proofErr w:type="gramStart"/>
            <w:r>
              <w:rPr>
                <w:rFonts w:ascii="Calibri" w:eastAsia="Calibri" w:hAnsi="Calibri" w:cs="Calibri"/>
                <w:b/>
              </w:rPr>
              <w:t>Prop.</w:t>
            </w:r>
            <w:r>
              <w:rPr>
                <w:rFonts w:ascii="Calibri" w:eastAsia="Calibri" w:hAnsi="Calibri" w:cs="Calibri"/>
                <w:b/>
                <w:sz w:val="24"/>
                <w:szCs w:val="24"/>
              </w:rPr>
              <w:t>#</w:t>
            </w:r>
            <w:proofErr w:type="gramEnd"/>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FDEF362" w14:textId="77777777" w:rsidR="00BD579F" w:rsidRDefault="00BD579F">
            <w:pPr>
              <w:widowControl w:val="0"/>
              <w:spacing w:line="240" w:lineRule="auto"/>
              <w:jc w:val="both"/>
              <w:rPr>
                <w:rFonts w:ascii="Calibri" w:eastAsia="Calibri" w:hAnsi="Calibri" w:cs="Calibri"/>
                <w:b/>
              </w:rPr>
            </w:pPr>
          </w:p>
        </w:tc>
      </w:tr>
      <w:tr w:rsidR="00BD579F" w14:paraId="2E29A85F" w14:textId="77777777">
        <w:tc>
          <w:tcPr>
            <w:tcW w:w="2325" w:type="dxa"/>
            <w:tcBorders>
              <w:top w:val="single" w:sz="7" w:space="0" w:color="CCCCCC"/>
              <w:left w:val="single" w:sz="7" w:space="0" w:color="CCCCCC"/>
              <w:bottom w:val="single" w:sz="7" w:space="0" w:color="CCCCCC"/>
              <w:right w:val="single" w:sz="7" w:space="0" w:color="CCCCCC"/>
            </w:tcBorders>
            <w:tcMar>
              <w:top w:w="14" w:type="dxa"/>
              <w:left w:w="14" w:type="dxa"/>
              <w:bottom w:w="14" w:type="dxa"/>
              <w:right w:w="14" w:type="dxa"/>
            </w:tcMar>
            <w:vAlign w:val="bottom"/>
          </w:tcPr>
          <w:p w14:paraId="71E64A6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16/11/2020</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AC1275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0.14</w:t>
            </w:r>
          </w:p>
          <w:p w14:paraId="4F0FDB7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(0.09 to 0.21)</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E629B4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0.02</w:t>
            </w:r>
          </w:p>
          <w:p w14:paraId="17EAC33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 to 0.07)</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450BE99"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8ACB95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0.08</w:t>
            </w:r>
          </w:p>
          <w:p w14:paraId="254F1C91"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(0.06 to 0.13)</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707B7F9" w14:textId="77777777" w:rsidR="00BD579F" w:rsidRDefault="00BD579F">
            <w:pPr>
              <w:widowControl w:val="0"/>
              <w:spacing w:line="240" w:lineRule="auto"/>
              <w:jc w:val="both"/>
              <w:rPr>
                <w:rFonts w:ascii="Calibri" w:eastAsia="Calibri" w:hAnsi="Calibri" w:cs="Calibri"/>
              </w:rPr>
            </w:pPr>
          </w:p>
        </w:tc>
      </w:tr>
      <w:tr w:rsidR="00BD579F" w14:paraId="1A911CAB" w14:textId="77777777">
        <w:tc>
          <w:tcPr>
            <w:tcW w:w="2325" w:type="dxa"/>
            <w:tcBorders>
              <w:top w:val="single" w:sz="7" w:space="0" w:color="CCCCCC"/>
              <w:left w:val="single" w:sz="7" w:space="0" w:color="CCCCCC"/>
              <w:bottom w:val="single" w:sz="7" w:space="0" w:color="CCCCCC"/>
              <w:right w:val="single" w:sz="7" w:space="0" w:color="CCCCCC"/>
            </w:tcBorders>
            <w:tcMar>
              <w:top w:w="14" w:type="dxa"/>
              <w:left w:w="14" w:type="dxa"/>
              <w:bottom w:w="14" w:type="dxa"/>
              <w:right w:w="14" w:type="dxa"/>
            </w:tcMar>
            <w:vAlign w:val="bottom"/>
          </w:tcPr>
          <w:p w14:paraId="0F2D00F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23/11/2020</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C8B671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0.23</w:t>
            </w:r>
          </w:p>
          <w:p w14:paraId="1AFDAE6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(0.17 to 0.30)</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11853E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0.03</w:t>
            </w:r>
          </w:p>
          <w:p w14:paraId="6D56838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(0.01 to 0.08)</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B00B300"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4DFE2A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0.15</w:t>
            </w:r>
          </w:p>
          <w:p w14:paraId="2C0666A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(0.11 to 0.19)</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C9DBE10" w14:textId="77777777" w:rsidR="00BD579F" w:rsidRDefault="00BD579F">
            <w:pPr>
              <w:widowControl w:val="0"/>
              <w:spacing w:line="240" w:lineRule="auto"/>
              <w:jc w:val="both"/>
              <w:rPr>
                <w:rFonts w:ascii="Calibri" w:eastAsia="Calibri" w:hAnsi="Calibri" w:cs="Calibri"/>
              </w:rPr>
            </w:pPr>
          </w:p>
        </w:tc>
      </w:tr>
      <w:tr w:rsidR="00BD579F" w14:paraId="20C732FA" w14:textId="77777777">
        <w:tc>
          <w:tcPr>
            <w:tcW w:w="2325" w:type="dxa"/>
            <w:tcBorders>
              <w:top w:val="single" w:sz="7" w:space="0" w:color="CCCCCC"/>
              <w:left w:val="single" w:sz="7" w:space="0" w:color="CCCCCC"/>
              <w:bottom w:val="single" w:sz="7" w:space="0" w:color="CCCCCC"/>
              <w:right w:val="single" w:sz="7" w:space="0" w:color="CCCCCC"/>
            </w:tcBorders>
            <w:tcMar>
              <w:top w:w="14" w:type="dxa"/>
              <w:left w:w="14" w:type="dxa"/>
              <w:bottom w:w="14" w:type="dxa"/>
              <w:right w:w="14" w:type="dxa"/>
            </w:tcMar>
            <w:vAlign w:val="bottom"/>
          </w:tcPr>
          <w:p w14:paraId="4C05901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30/11/2020</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C7545CE"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0.36</w:t>
            </w:r>
          </w:p>
          <w:p w14:paraId="0A03B0F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(0.30 to 0.44)</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AA82E3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0.05</w:t>
            </w:r>
          </w:p>
          <w:p w14:paraId="31011EC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(0.03 to 0.09)</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306F112"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C5AF02C"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0.20</w:t>
            </w:r>
          </w:p>
          <w:p w14:paraId="17BC770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(0.17 to 0.25)</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42F972C" w14:textId="77777777" w:rsidR="00BD579F" w:rsidRDefault="00BD579F">
            <w:pPr>
              <w:widowControl w:val="0"/>
              <w:spacing w:line="240" w:lineRule="auto"/>
              <w:jc w:val="both"/>
              <w:rPr>
                <w:rFonts w:ascii="Calibri" w:eastAsia="Calibri" w:hAnsi="Calibri" w:cs="Calibri"/>
              </w:rPr>
            </w:pPr>
          </w:p>
        </w:tc>
      </w:tr>
      <w:tr w:rsidR="00BD579F" w14:paraId="0E603419" w14:textId="77777777">
        <w:tc>
          <w:tcPr>
            <w:tcW w:w="2325" w:type="dxa"/>
            <w:tcBorders>
              <w:top w:val="single" w:sz="7" w:space="0" w:color="CCCCCC"/>
              <w:left w:val="single" w:sz="7" w:space="0" w:color="CCCCCC"/>
              <w:bottom w:val="single" w:sz="7" w:space="0" w:color="CCCCCC"/>
              <w:right w:val="single" w:sz="7" w:space="0" w:color="CCCCCC"/>
            </w:tcBorders>
            <w:tcMar>
              <w:top w:w="14" w:type="dxa"/>
              <w:left w:w="14" w:type="dxa"/>
              <w:bottom w:w="14" w:type="dxa"/>
              <w:right w:w="14" w:type="dxa"/>
            </w:tcMar>
            <w:vAlign w:val="bottom"/>
          </w:tcPr>
          <w:p w14:paraId="14FB58F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07/12/2020</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98FF14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0.50</w:t>
            </w:r>
          </w:p>
          <w:p w14:paraId="72277DC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(0.43 to 0.57)</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7010ADA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0.10</w:t>
            </w:r>
          </w:p>
          <w:p w14:paraId="4AE2DDC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(0.07 to 0.15)</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7C62C360"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73EE40E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0.30</w:t>
            </w:r>
          </w:p>
          <w:p w14:paraId="163C775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(0.26 to 0.35)</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8BA4E72" w14:textId="77777777" w:rsidR="00BD579F" w:rsidRDefault="00BD579F">
            <w:pPr>
              <w:widowControl w:val="0"/>
              <w:spacing w:line="240" w:lineRule="auto"/>
              <w:jc w:val="both"/>
              <w:rPr>
                <w:rFonts w:ascii="Calibri" w:eastAsia="Calibri" w:hAnsi="Calibri" w:cs="Calibri"/>
              </w:rPr>
            </w:pPr>
          </w:p>
        </w:tc>
      </w:tr>
      <w:tr w:rsidR="00BD579F" w14:paraId="65E87571" w14:textId="77777777">
        <w:tc>
          <w:tcPr>
            <w:tcW w:w="2325" w:type="dxa"/>
            <w:tcBorders>
              <w:top w:val="single" w:sz="7" w:space="0" w:color="CCCCCC"/>
              <w:left w:val="single" w:sz="7" w:space="0" w:color="CCCCCC"/>
              <w:bottom w:val="single" w:sz="7" w:space="0" w:color="CCCCCC"/>
              <w:right w:val="single" w:sz="7" w:space="0" w:color="CCCCCC"/>
            </w:tcBorders>
            <w:tcMar>
              <w:top w:w="14" w:type="dxa"/>
              <w:left w:w="14" w:type="dxa"/>
              <w:bottom w:w="14" w:type="dxa"/>
              <w:right w:w="14" w:type="dxa"/>
            </w:tcMar>
            <w:vAlign w:val="bottom"/>
          </w:tcPr>
          <w:p w14:paraId="1BBB5DE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14/12/2020</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7E0E30F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0.76</w:t>
            </w:r>
          </w:p>
          <w:p w14:paraId="01789F71"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(0.67 to 0.81)</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B89585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0.18</w:t>
            </w:r>
          </w:p>
          <w:p w14:paraId="2F0ED47B"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(0.14 to 0.22)</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66FA2D9D"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6B4C7B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0.46</w:t>
            </w:r>
          </w:p>
          <w:p w14:paraId="005DF027"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(0.42 to 0.50)</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ED2BEA4" w14:textId="77777777" w:rsidR="00BD579F" w:rsidRDefault="00BD579F">
            <w:pPr>
              <w:widowControl w:val="0"/>
              <w:spacing w:line="240" w:lineRule="auto"/>
              <w:jc w:val="both"/>
              <w:rPr>
                <w:rFonts w:ascii="Calibri" w:eastAsia="Calibri" w:hAnsi="Calibri" w:cs="Calibri"/>
              </w:rPr>
            </w:pPr>
          </w:p>
        </w:tc>
      </w:tr>
      <w:tr w:rsidR="00BD579F" w14:paraId="489B5B0F" w14:textId="77777777">
        <w:tc>
          <w:tcPr>
            <w:tcW w:w="2325" w:type="dxa"/>
            <w:tcBorders>
              <w:top w:val="single" w:sz="7" w:space="0" w:color="CCCCCC"/>
              <w:left w:val="single" w:sz="7" w:space="0" w:color="CCCCCC"/>
              <w:bottom w:val="single" w:sz="7" w:space="0" w:color="CCCCCC"/>
              <w:right w:val="single" w:sz="7" w:space="0" w:color="CCCCCC"/>
            </w:tcBorders>
            <w:tcMar>
              <w:top w:w="14" w:type="dxa"/>
              <w:left w:w="14" w:type="dxa"/>
              <w:bottom w:w="14" w:type="dxa"/>
              <w:right w:w="14" w:type="dxa"/>
            </w:tcMar>
            <w:vAlign w:val="bottom"/>
          </w:tcPr>
          <w:p w14:paraId="21EE4C71"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21/12/2020</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DF73D1A"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0.77</w:t>
            </w:r>
          </w:p>
          <w:p w14:paraId="20EFF52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(0.72 to 0.81)</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09D73F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0.30</w:t>
            </w:r>
          </w:p>
          <w:p w14:paraId="2375F863"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(0.25 to 0.36)</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7FC6AFE6"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45704C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0.57</w:t>
            </w:r>
          </w:p>
          <w:p w14:paraId="195E909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(0.53 to 0.60)</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BDD01CF" w14:textId="77777777" w:rsidR="00BD579F" w:rsidRDefault="00BD579F">
            <w:pPr>
              <w:widowControl w:val="0"/>
              <w:spacing w:line="240" w:lineRule="auto"/>
              <w:jc w:val="both"/>
              <w:rPr>
                <w:rFonts w:ascii="Calibri" w:eastAsia="Calibri" w:hAnsi="Calibri" w:cs="Calibri"/>
              </w:rPr>
            </w:pPr>
          </w:p>
        </w:tc>
      </w:tr>
      <w:tr w:rsidR="00BD579F" w14:paraId="2F46597B" w14:textId="77777777">
        <w:tc>
          <w:tcPr>
            <w:tcW w:w="2325" w:type="dxa"/>
            <w:tcBorders>
              <w:top w:val="single" w:sz="7" w:space="0" w:color="CCCCCC"/>
              <w:left w:val="single" w:sz="7" w:space="0" w:color="CCCCCC"/>
              <w:bottom w:val="single" w:sz="7" w:space="0" w:color="CCCCCC"/>
              <w:right w:val="single" w:sz="7" w:space="0" w:color="CCCCCC"/>
            </w:tcBorders>
            <w:tcMar>
              <w:top w:w="14" w:type="dxa"/>
              <w:left w:w="14" w:type="dxa"/>
              <w:bottom w:w="14" w:type="dxa"/>
              <w:right w:w="14" w:type="dxa"/>
            </w:tcMar>
            <w:vAlign w:val="bottom"/>
          </w:tcPr>
          <w:p w14:paraId="0B0127C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28/12/2020</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465F5176"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0.86</w:t>
            </w:r>
          </w:p>
          <w:p w14:paraId="51C4EBB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(0.83 to 0.89)</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A94A3A1"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0.60</w:t>
            </w:r>
          </w:p>
          <w:p w14:paraId="03561588"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(0.55 to 0.65)</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884C52C"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388CD66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0.75</w:t>
            </w:r>
          </w:p>
          <w:p w14:paraId="0E09970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(0.72 to 0.78)</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0F34261" w14:textId="77777777" w:rsidR="00BD579F" w:rsidRDefault="00BD579F">
            <w:pPr>
              <w:widowControl w:val="0"/>
              <w:spacing w:line="240" w:lineRule="auto"/>
              <w:jc w:val="both"/>
              <w:rPr>
                <w:rFonts w:ascii="Calibri" w:eastAsia="Calibri" w:hAnsi="Calibri" w:cs="Calibri"/>
              </w:rPr>
            </w:pPr>
          </w:p>
        </w:tc>
      </w:tr>
      <w:tr w:rsidR="00BD579F" w14:paraId="4118C3BF" w14:textId="77777777">
        <w:tc>
          <w:tcPr>
            <w:tcW w:w="2325" w:type="dxa"/>
            <w:tcBorders>
              <w:top w:val="single" w:sz="7" w:space="0" w:color="CCCCCC"/>
              <w:left w:val="single" w:sz="7" w:space="0" w:color="CCCCCC"/>
              <w:bottom w:val="single" w:sz="7" w:space="0" w:color="CCCCCC"/>
              <w:right w:val="single" w:sz="7" w:space="0" w:color="CCCCCC"/>
            </w:tcBorders>
            <w:tcMar>
              <w:top w:w="14" w:type="dxa"/>
              <w:left w:w="14" w:type="dxa"/>
              <w:bottom w:w="14" w:type="dxa"/>
              <w:right w:w="14" w:type="dxa"/>
            </w:tcMar>
            <w:vAlign w:val="bottom"/>
          </w:tcPr>
          <w:p w14:paraId="38E3A02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04/01/2021</w:t>
            </w:r>
          </w:p>
        </w:tc>
        <w:tc>
          <w:tcPr>
            <w:tcW w:w="22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0F838AD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0.88</w:t>
            </w:r>
          </w:p>
          <w:p w14:paraId="4471A342"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(0.84 to 0.92)</w:t>
            </w:r>
          </w:p>
        </w:tc>
        <w:tc>
          <w:tcPr>
            <w:tcW w:w="144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5690F650"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0.74</w:t>
            </w:r>
          </w:p>
          <w:p w14:paraId="12464504"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(0.67 to 0.79)</w:t>
            </w:r>
          </w:p>
        </w:tc>
        <w:tc>
          <w:tcPr>
            <w:tcW w:w="12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2CD257C9" w14:textId="77777777" w:rsidR="00BD579F" w:rsidRDefault="00BD579F">
            <w:pPr>
              <w:widowControl w:val="0"/>
              <w:spacing w:line="240" w:lineRule="auto"/>
              <w:jc w:val="both"/>
              <w:rPr>
                <w:rFonts w:ascii="Calibri" w:eastAsia="Calibri" w:hAnsi="Calibri" w:cs="Calibri"/>
              </w:rPr>
            </w:pPr>
          </w:p>
        </w:tc>
        <w:tc>
          <w:tcPr>
            <w:tcW w:w="2130"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C7E8FBD"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0.82</w:t>
            </w:r>
          </w:p>
          <w:p w14:paraId="3E5D17B5" w14:textId="77777777" w:rsidR="00BD579F" w:rsidRDefault="00CE1CC9">
            <w:pPr>
              <w:widowControl w:val="0"/>
              <w:spacing w:line="240" w:lineRule="auto"/>
              <w:jc w:val="both"/>
              <w:rPr>
                <w:rFonts w:ascii="Calibri" w:eastAsia="Calibri" w:hAnsi="Calibri" w:cs="Calibri"/>
              </w:rPr>
            </w:pPr>
            <w:r>
              <w:rPr>
                <w:rFonts w:ascii="Calibri" w:eastAsia="Calibri" w:hAnsi="Calibri" w:cs="Calibri"/>
              </w:rPr>
              <w:t>(0.78 to 0.84)</w:t>
            </w:r>
          </w:p>
        </w:tc>
        <w:tc>
          <w:tcPr>
            <w:tcW w:w="1275" w:type="dxa"/>
            <w:tcBorders>
              <w:top w:val="single" w:sz="7" w:space="0" w:color="CCCCCC"/>
              <w:left w:val="single" w:sz="7" w:space="0" w:color="CCCCCC"/>
              <w:bottom w:val="single" w:sz="7" w:space="0" w:color="CCCCCC"/>
              <w:right w:val="single" w:sz="7" w:space="0" w:color="CCCCCC"/>
            </w:tcBorders>
            <w:shd w:val="clear" w:color="auto" w:fill="auto"/>
            <w:tcMar>
              <w:top w:w="14" w:type="dxa"/>
              <w:left w:w="14" w:type="dxa"/>
              <w:bottom w:w="14" w:type="dxa"/>
              <w:right w:w="14" w:type="dxa"/>
            </w:tcMar>
            <w:vAlign w:val="bottom"/>
          </w:tcPr>
          <w:p w14:paraId="146350A0" w14:textId="77777777" w:rsidR="00BD579F" w:rsidRDefault="00BD579F">
            <w:pPr>
              <w:widowControl w:val="0"/>
              <w:spacing w:line="240" w:lineRule="auto"/>
              <w:jc w:val="both"/>
              <w:rPr>
                <w:rFonts w:ascii="Calibri" w:eastAsia="Calibri" w:hAnsi="Calibri" w:cs="Calibri"/>
              </w:rPr>
            </w:pPr>
          </w:p>
        </w:tc>
      </w:tr>
    </w:tbl>
    <w:p w14:paraId="6E1A4403" w14:textId="77777777" w:rsidR="00BD579F" w:rsidRDefault="00CE1CC9">
      <w:pPr>
        <w:spacing w:line="240" w:lineRule="auto"/>
        <w:jc w:val="both"/>
        <w:rPr>
          <w:rFonts w:ascii="Calibri" w:eastAsia="Calibri" w:hAnsi="Calibri" w:cs="Calibri"/>
          <w:sz w:val="24"/>
          <w:szCs w:val="24"/>
        </w:rPr>
      </w:pPr>
      <w:r>
        <w:rPr>
          <w:rFonts w:ascii="Calibri" w:eastAsia="Calibri" w:hAnsi="Calibri" w:cs="Calibri"/>
          <w:sz w:val="24"/>
          <w:szCs w:val="24"/>
        </w:rPr>
        <w:t xml:space="preserve">†Diagnosed at or ≤2 days from admission. ‡Diagnosed 3-7 days from admission. ⁋Diagnosed ≥8 days from admission. </w:t>
      </w:r>
      <w:r>
        <w:rPr>
          <w:rFonts w:ascii="Calibri" w:eastAsia="Calibri" w:hAnsi="Calibri" w:cs="Calibri"/>
          <w:b/>
          <w:sz w:val="24"/>
          <w:szCs w:val="24"/>
        </w:rPr>
        <w:t>#</w:t>
      </w:r>
      <w:r>
        <w:rPr>
          <w:rFonts w:ascii="Calibri" w:eastAsia="Calibri" w:hAnsi="Calibri" w:cs="Calibri"/>
          <w:sz w:val="24"/>
          <w:szCs w:val="24"/>
        </w:rPr>
        <w:t xml:space="preserve">Estimate of proportion infected with the Alpha variant from model </w:t>
      </w:r>
      <w:r>
        <w:rPr>
          <w:rFonts w:ascii="Calibri" w:eastAsia="Calibri" w:hAnsi="Calibri" w:cs="Calibri"/>
          <w:sz w:val="24"/>
          <w:szCs w:val="24"/>
        </w:rPr>
        <w:lastRenderedPageBreak/>
        <w:t xml:space="preserve">for a 55-year-old male inpatient admitted with COVID-19. CAI, community-acquired infection; HCAI, healthcare-associated infection; HCW, healthcare worker; </w:t>
      </w:r>
      <w:proofErr w:type="gramStart"/>
      <w:r>
        <w:rPr>
          <w:rFonts w:ascii="Calibri" w:eastAsia="Calibri" w:hAnsi="Calibri" w:cs="Calibri"/>
          <w:sz w:val="24"/>
          <w:szCs w:val="24"/>
        </w:rPr>
        <w:t>OR,</w:t>
      </w:r>
      <w:proofErr w:type="gramEnd"/>
      <w:r>
        <w:rPr>
          <w:rFonts w:ascii="Calibri" w:eastAsia="Calibri" w:hAnsi="Calibri" w:cs="Calibri"/>
          <w:sz w:val="24"/>
          <w:szCs w:val="24"/>
        </w:rPr>
        <w:t xml:space="preserve"> odds ratio.</w:t>
      </w:r>
    </w:p>
    <w:p w14:paraId="00B007D4" w14:textId="77777777" w:rsidR="00BD579F" w:rsidRDefault="00CE1CC9">
      <w:pPr>
        <w:spacing w:line="240" w:lineRule="auto"/>
        <w:jc w:val="both"/>
        <w:rPr>
          <w:rFonts w:ascii="Calibri" w:eastAsia="Calibri" w:hAnsi="Calibri" w:cs="Calibri"/>
          <w:b/>
          <w:sz w:val="28"/>
          <w:szCs w:val="28"/>
          <w:u w:val="single"/>
        </w:rPr>
      </w:pPr>
      <w:r>
        <w:br w:type="page"/>
      </w:r>
    </w:p>
    <w:p w14:paraId="7C28F04E"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b/>
          <w:sz w:val="28"/>
          <w:szCs w:val="28"/>
        </w:rPr>
        <w:lastRenderedPageBreak/>
        <w:t>Figure 1</w:t>
      </w:r>
      <w:r>
        <w:rPr>
          <w:rFonts w:ascii="Calibri" w:eastAsia="Calibri" w:hAnsi="Calibri" w:cs="Calibri"/>
          <w:sz w:val="28"/>
          <w:szCs w:val="28"/>
        </w:rPr>
        <w:t xml:space="preserve"> Prevalence over time of the Alpha variant in hospitalized patients, healthcare workers (HCWs) and community samples (Pillar 2 data as described in methods) from different geographical regions in the UK. Hospitalized patients are displayed according to community-acquired infection (CAI) (diagnosed at or ≤2 days from admission) or healthcare-associated infection (HCAI) (diagnosed ≥3 days from admission).</w:t>
      </w:r>
    </w:p>
    <w:p w14:paraId="4997EB8E" w14:textId="77777777" w:rsidR="00BD579F" w:rsidRDefault="00BD579F">
      <w:pPr>
        <w:spacing w:line="240" w:lineRule="auto"/>
        <w:jc w:val="both"/>
        <w:rPr>
          <w:rFonts w:ascii="Calibri" w:eastAsia="Calibri" w:hAnsi="Calibri" w:cs="Calibri"/>
          <w:sz w:val="28"/>
          <w:szCs w:val="28"/>
        </w:rPr>
      </w:pPr>
    </w:p>
    <w:p w14:paraId="64347855" w14:textId="77777777" w:rsidR="00BD579F" w:rsidRDefault="00CE1CC9">
      <w:pPr>
        <w:spacing w:line="240" w:lineRule="auto"/>
        <w:jc w:val="both"/>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CC3A57B" wp14:editId="78B05D7C">
            <wp:extent cx="5731200" cy="44577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4"/>
                    <a:srcRect/>
                    <a:stretch>
                      <a:fillRect/>
                    </a:stretch>
                  </pic:blipFill>
                  <pic:spPr>
                    <a:xfrm>
                      <a:off x="0" y="0"/>
                      <a:ext cx="5731200" cy="4457700"/>
                    </a:xfrm>
                    <a:prstGeom prst="rect">
                      <a:avLst/>
                    </a:prstGeom>
                    <a:ln/>
                  </pic:spPr>
                </pic:pic>
              </a:graphicData>
            </a:graphic>
          </wp:inline>
        </w:drawing>
      </w:r>
    </w:p>
    <w:p w14:paraId="4BF9353C" w14:textId="77777777" w:rsidR="00BD579F" w:rsidRDefault="00BD579F">
      <w:pPr>
        <w:spacing w:before="240" w:after="240" w:line="240" w:lineRule="auto"/>
        <w:jc w:val="both"/>
        <w:rPr>
          <w:rFonts w:ascii="Calibri" w:eastAsia="Calibri" w:hAnsi="Calibri" w:cs="Calibri"/>
          <w:b/>
          <w:sz w:val="28"/>
          <w:szCs w:val="28"/>
        </w:rPr>
      </w:pPr>
    </w:p>
    <w:p w14:paraId="327C2F44" w14:textId="77777777" w:rsidR="00BD579F" w:rsidRDefault="00BD579F">
      <w:pPr>
        <w:spacing w:before="240" w:after="240" w:line="240" w:lineRule="auto"/>
        <w:jc w:val="both"/>
        <w:rPr>
          <w:rFonts w:ascii="Calibri" w:eastAsia="Calibri" w:hAnsi="Calibri" w:cs="Calibri"/>
          <w:b/>
          <w:sz w:val="28"/>
          <w:szCs w:val="28"/>
        </w:rPr>
      </w:pPr>
    </w:p>
    <w:p w14:paraId="612E0FD4" w14:textId="77777777" w:rsidR="00BD579F" w:rsidRDefault="00BD579F">
      <w:pPr>
        <w:spacing w:before="240" w:after="240" w:line="240" w:lineRule="auto"/>
        <w:jc w:val="both"/>
        <w:rPr>
          <w:rFonts w:ascii="Calibri" w:eastAsia="Calibri" w:hAnsi="Calibri" w:cs="Calibri"/>
          <w:b/>
          <w:sz w:val="28"/>
          <w:szCs w:val="28"/>
        </w:rPr>
      </w:pPr>
    </w:p>
    <w:p w14:paraId="3F2226D6" w14:textId="77777777" w:rsidR="00BD579F" w:rsidRDefault="00BD579F">
      <w:pPr>
        <w:spacing w:before="240" w:after="240" w:line="240" w:lineRule="auto"/>
        <w:jc w:val="both"/>
        <w:rPr>
          <w:rFonts w:ascii="Calibri" w:eastAsia="Calibri" w:hAnsi="Calibri" w:cs="Calibri"/>
          <w:b/>
          <w:sz w:val="28"/>
          <w:szCs w:val="28"/>
        </w:rPr>
      </w:pPr>
    </w:p>
    <w:p w14:paraId="1C38AC06" w14:textId="77777777" w:rsidR="00BD579F" w:rsidRDefault="00BD579F">
      <w:pPr>
        <w:spacing w:before="240" w:after="240" w:line="240" w:lineRule="auto"/>
        <w:jc w:val="both"/>
        <w:rPr>
          <w:rFonts w:ascii="Calibri" w:eastAsia="Calibri" w:hAnsi="Calibri" w:cs="Calibri"/>
          <w:b/>
          <w:sz w:val="28"/>
          <w:szCs w:val="28"/>
        </w:rPr>
      </w:pPr>
    </w:p>
    <w:p w14:paraId="452C1235" w14:textId="77777777" w:rsidR="00BD579F" w:rsidRDefault="00BD579F">
      <w:pPr>
        <w:spacing w:before="240" w:after="240" w:line="240" w:lineRule="auto"/>
        <w:jc w:val="both"/>
        <w:rPr>
          <w:rFonts w:ascii="Calibri" w:eastAsia="Calibri" w:hAnsi="Calibri" w:cs="Calibri"/>
          <w:b/>
          <w:sz w:val="28"/>
          <w:szCs w:val="28"/>
        </w:rPr>
      </w:pPr>
    </w:p>
    <w:p w14:paraId="46C365A7" w14:textId="77777777" w:rsidR="00BD579F" w:rsidRDefault="00BD579F">
      <w:pPr>
        <w:spacing w:before="240" w:after="240" w:line="240" w:lineRule="auto"/>
        <w:jc w:val="both"/>
        <w:rPr>
          <w:rFonts w:ascii="Calibri" w:eastAsia="Calibri" w:hAnsi="Calibri" w:cs="Calibri"/>
          <w:b/>
          <w:sz w:val="28"/>
          <w:szCs w:val="28"/>
        </w:rPr>
      </w:pPr>
    </w:p>
    <w:p w14:paraId="511F8ECF" w14:textId="77777777" w:rsidR="00BD579F" w:rsidRDefault="00BD579F">
      <w:pPr>
        <w:spacing w:before="240" w:after="240" w:line="240" w:lineRule="auto"/>
        <w:jc w:val="both"/>
        <w:rPr>
          <w:rFonts w:ascii="Calibri" w:eastAsia="Calibri" w:hAnsi="Calibri" w:cs="Calibri"/>
          <w:b/>
          <w:sz w:val="28"/>
          <w:szCs w:val="28"/>
        </w:rPr>
      </w:pPr>
    </w:p>
    <w:p w14:paraId="42B67E8E" w14:textId="77777777" w:rsidR="00BD579F" w:rsidRDefault="00BD579F">
      <w:pPr>
        <w:spacing w:before="240" w:after="240" w:line="240" w:lineRule="auto"/>
        <w:jc w:val="both"/>
        <w:rPr>
          <w:rFonts w:ascii="Calibri" w:eastAsia="Calibri" w:hAnsi="Calibri" w:cs="Calibri"/>
          <w:b/>
          <w:sz w:val="28"/>
          <w:szCs w:val="28"/>
        </w:rPr>
      </w:pPr>
    </w:p>
    <w:p w14:paraId="6E21E1E1" w14:textId="77777777" w:rsidR="00BD579F" w:rsidRDefault="00BD579F">
      <w:pPr>
        <w:spacing w:before="240" w:after="240" w:line="240" w:lineRule="auto"/>
        <w:jc w:val="both"/>
        <w:rPr>
          <w:rFonts w:ascii="Calibri" w:eastAsia="Calibri" w:hAnsi="Calibri" w:cs="Calibri"/>
          <w:b/>
          <w:sz w:val="28"/>
          <w:szCs w:val="28"/>
        </w:rPr>
      </w:pPr>
    </w:p>
    <w:p w14:paraId="24E35BD7" w14:textId="77777777" w:rsidR="00BD579F" w:rsidRDefault="00BD579F">
      <w:pPr>
        <w:spacing w:before="240" w:after="240" w:line="240" w:lineRule="auto"/>
        <w:jc w:val="both"/>
        <w:rPr>
          <w:rFonts w:ascii="Calibri" w:eastAsia="Calibri" w:hAnsi="Calibri" w:cs="Calibri"/>
          <w:b/>
          <w:sz w:val="28"/>
          <w:szCs w:val="28"/>
        </w:rPr>
      </w:pPr>
    </w:p>
    <w:p w14:paraId="41471E8C" w14:textId="77777777" w:rsidR="00BD579F" w:rsidRDefault="00BD579F">
      <w:pPr>
        <w:spacing w:before="240" w:after="240" w:line="240" w:lineRule="auto"/>
        <w:jc w:val="both"/>
        <w:rPr>
          <w:rFonts w:ascii="Calibri" w:eastAsia="Calibri" w:hAnsi="Calibri" w:cs="Calibri"/>
          <w:b/>
          <w:sz w:val="28"/>
          <w:szCs w:val="28"/>
        </w:rPr>
      </w:pPr>
    </w:p>
    <w:p w14:paraId="606BB9B9" w14:textId="77777777" w:rsidR="00BD579F" w:rsidRDefault="00CE1CC9">
      <w:pPr>
        <w:spacing w:before="240" w:after="240" w:line="240" w:lineRule="auto"/>
        <w:jc w:val="both"/>
        <w:rPr>
          <w:rFonts w:ascii="Calibri" w:eastAsia="Calibri" w:hAnsi="Calibri" w:cs="Calibri"/>
          <w:sz w:val="28"/>
          <w:szCs w:val="28"/>
        </w:rPr>
      </w:pPr>
      <w:r>
        <w:rPr>
          <w:rFonts w:ascii="Calibri" w:eastAsia="Calibri" w:hAnsi="Calibri" w:cs="Calibri"/>
          <w:b/>
          <w:sz w:val="28"/>
          <w:szCs w:val="28"/>
        </w:rPr>
        <w:t xml:space="preserve">Figure 2 </w:t>
      </w:r>
      <w:proofErr w:type="spellStart"/>
      <w:r>
        <w:rPr>
          <w:rFonts w:ascii="Calibri" w:eastAsia="Calibri" w:hAnsi="Calibri" w:cs="Calibri"/>
          <w:sz w:val="28"/>
          <w:szCs w:val="28"/>
        </w:rPr>
        <w:t>Barplot</w:t>
      </w:r>
      <w:proofErr w:type="spellEnd"/>
      <w:r>
        <w:rPr>
          <w:rFonts w:ascii="Calibri" w:eastAsia="Calibri" w:hAnsi="Calibri" w:cs="Calibri"/>
          <w:sz w:val="28"/>
          <w:szCs w:val="28"/>
        </w:rPr>
        <w:t xml:space="preserve"> showing number of HOCI patients involved in outbreaks by week and location, coloured by variant (Alpha vs non-Alpha). Line-chart represents the number of CAI (community-acquired infections, including inpatients, outpatient, A&amp;E patients and healthcare workers) overtime coloured by variant (Alpha variant presence/absence). </w:t>
      </w:r>
    </w:p>
    <w:p w14:paraId="1FC0D862" w14:textId="77777777" w:rsidR="00BD579F" w:rsidRDefault="00BD579F">
      <w:pPr>
        <w:spacing w:before="240" w:after="240" w:line="240" w:lineRule="auto"/>
        <w:jc w:val="both"/>
        <w:rPr>
          <w:rFonts w:ascii="Calibri" w:eastAsia="Calibri" w:hAnsi="Calibri" w:cs="Calibri"/>
          <w:b/>
          <w:sz w:val="28"/>
          <w:szCs w:val="28"/>
        </w:rPr>
      </w:pPr>
    </w:p>
    <w:p w14:paraId="4439E9D7" w14:textId="77777777" w:rsidR="00BD579F" w:rsidRDefault="00CE1CC9">
      <w:pPr>
        <w:spacing w:line="240" w:lineRule="auto"/>
        <w:jc w:val="both"/>
        <w:rPr>
          <w:rFonts w:ascii="Calibri" w:eastAsia="Calibri" w:hAnsi="Calibri" w:cs="Calibri"/>
          <w:i/>
          <w:color w:val="44546A"/>
          <w:sz w:val="28"/>
          <w:szCs w:val="28"/>
        </w:rPr>
      </w:pPr>
      <w:r>
        <w:rPr>
          <w:rFonts w:ascii="Calibri" w:eastAsia="Calibri" w:hAnsi="Calibri" w:cs="Calibri"/>
          <w:i/>
          <w:noProof/>
          <w:color w:val="44546A"/>
          <w:sz w:val="28"/>
          <w:szCs w:val="28"/>
        </w:rPr>
        <w:drawing>
          <wp:inline distT="114300" distB="114300" distL="114300" distR="114300" wp14:anchorId="20FF5D5A" wp14:editId="7FAD108C">
            <wp:extent cx="5731200" cy="34417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5"/>
                    <a:srcRect/>
                    <a:stretch>
                      <a:fillRect/>
                    </a:stretch>
                  </pic:blipFill>
                  <pic:spPr>
                    <a:xfrm>
                      <a:off x="0" y="0"/>
                      <a:ext cx="5731200" cy="3441700"/>
                    </a:xfrm>
                    <a:prstGeom prst="rect">
                      <a:avLst/>
                    </a:prstGeom>
                    <a:ln/>
                  </pic:spPr>
                </pic:pic>
              </a:graphicData>
            </a:graphic>
          </wp:inline>
        </w:drawing>
      </w:r>
    </w:p>
    <w:p w14:paraId="7CCCA675" w14:textId="77777777" w:rsidR="00BD579F" w:rsidRDefault="00BD579F">
      <w:pPr>
        <w:spacing w:before="240" w:after="240" w:line="240" w:lineRule="auto"/>
        <w:jc w:val="both"/>
        <w:rPr>
          <w:rFonts w:ascii="Calibri" w:eastAsia="Calibri" w:hAnsi="Calibri" w:cs="Calibri"/>
          <w:b/>
          <w:sz w:val="28"/>
          <w:szCs w:val="28"/>
        </w:rPr>
      </w:pPr>
    </w:p>
    <w:p w14:paraId="521AD009" w14:textId="77777777" w:rsidR="00BD579F" w:rsidRDefault="00BD579F">
      <w:pPr>
        <w:spacing w:before="240" w:after="240" w:line="240" w:lineRule="auto"/>
        <w:jc w:val="both"/>
        <w:rPr>
          <w:rFonts w:ascii="Calibri" w:eastAsia="Calibri" w:hAnsi="Calibri" w:cs="Calibri"/>
          <w:b/>
          <w:sz w:val="28"/>
          <w:szCs w:val="28"/>
        </w:rPr>
      </w:pPr>
    </w:p>
    <w:p w14:paraId="69ABDB15" w14:textId="77777777" w:rsidR="00BD579F" w:rsidRDefault="00BD579F">
      <w:pPr>
        <w:spacing w:before="240" w:after="240" w:line="240" w:lineRule="auto"/>
        <w:jc w:val="both"/>
        <w:rPr>
          <w:rFonts w:ascii="Calibri" w:eastAsia="Calibri" w:hAnsi="Calibri" w:cs="Calibri"/>
          <w:b/>
          <w:sz w:val="28"/>
          <w:szCs w:val="28"/>
        </w:rPr>
      </w:pPr>
    </w:p>
    <w:p w14:paraId="0100B177" w14:textId="77777777" w:rsidR="00BD579F" w:rsidRDefault="00BD579F">
      <w:pPr>
        <w:spacing w:before="240" w:after="240" w:line="240" w:lineRule="auto"/>
        <w:jc w:val="both"/>
        <w:rPr>
          <w:rFonts w:ascii="Calibri" w:eastAsia="Calibri" w:hAnsi="Calibri" w:cs="Calibri"/>
          <w:b/>
          <w:sz w:val="28"/>
          <w:szCs w:val="28"/>
        </w:rPr>
      </w:pPr>
    </w:p>
    <w:p w14:paraId="12A4C6E0" w14:textId="77777777" w:rsidR="00BD579F" w:rsidRDefault="00CE1CC9">
      <w:pPr>
        <w:spacing w:before="240" w:after="240" w:line="240" w:lineRule="auto"/>
        <w:jc w:val="both"/>
        <w:rPr>
          <w:rFonts w:ascii="Calibri" w:eastAsia="Calibri" w:hAnsi="Calibri" w:cs="Calibri"/>
          <w:b/>
          <w:sz w:val="28"/>
          <w:szCs w:val="28"/>
        </w:rPr>
      </w:pPr>
      <w:r>
        <w:rPr>
          <w:rFonts w:ascii="Calibri" w:eastAsia="Calibri" w:hAnsi="Calibri" w:cs="Calibri"/>
          <w:b/>
          <w:sz w:val="28"/>
          <w:szCs w:val="28"/>
        </w:rPr>
        <w:lastRenderedPageBreak/>
        <w:t xml:space="preserve">Figure 3 </w:t>
      </w:r>
      <w:r>
        <w:rPr>
          <w:rFonts w:ascii="Calibri" w:eastAsia="Calibri" w:hAnsi="Calibri" w:cs="Calibri"/>
          <w:sz w:val="28"/>
          <w:szCs w:val="28"/>
        </w:rPr>
        <w:t>Violin plot showing the size of outbreaks in hospital-onset COVID-19 infection patients for four categories: outbreaks caused by the Alpha variant in London and other locations and outbreaks caused by other lineages in London and outside London. Colour represents lineages: in lighter grey the Alpha variant and in black non-Alpha variant. Non-parametric global Kruskal-Wallis p-value=0.27, pairwise comparisons (Mann-Whitney) non-significant. The number below each violin shows the number of clusters/outbreaks for that category.</w:t>
      </w:r>
    </w:p>
    <w:p w14:paraId="566E2C08" w14:textId="77777777" w:rsidR="00BD579F" w:rsidRDefault="00CE1CC9">
      <w:pPr>
        <w:spacing w:before="240" w:after="240" w:line="240" w:lineRule="auto"/>
        <w:jc w:val="both"/>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2D60B64F" wp14:editId="723EBA74">
            <wp:extent cx="5731200" cy="35814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6"/>
                    <a:srcRect/>
                    <a:stretch>
                      <a:fillRect/>
                    </a:stretch>
                  </pic:blipFill>
                  <pic:spPr>
                    <a:xfrm>
                      <a:off x="0" y="0"/>
                      <a:ext cx="5731200" cy="3581400"/>
                    </a:xfrm>
                    <a:prstGeom prst="rect">
                      <a:avLst/>
                    </a:prstGeom>
                    <a:ln/>
                  </pic:spPr>
                </pic:pic>
              </a:graphicData>
            </a:graphic>
          </wp:inline>
        </w:drawing>
      </w:r>
    </w:p>
    <w:p w14:paraId="5B9C1E23" w14:textId="77777777" w:rsidR="00BD579F" w:rsidRDefault="00BD579F">
      <w:pPr>
        <w:spacing w:line="240" w:lineRule="auto"/>
        <w:jc w:val="both"/>
        <w:rPr>
          <w:rFonts w:ascii="Calibri" w:eastAsia="Calibri" w:hAnsi="Calibri" w:cs="Calibri"/>
          <w:b/>
          <w:sz w:val="28"/>
          <w:szCs w:val="28"/>
        </w:rPr>
      </w:pPr>
    </w:p>
    <w:p w14:paraId="0F3D042D" w14:textId="77777777" w:rsidR="00BD579F" w:rsidRDefault="00CE1CC9">
      <w:pPr>
        <w:spacing w:line="240" w:lineRule="auto"/>
        <w:jc w:val="both"/>
        <w:rPr>
          <w:rFonts w:ascii="Calibri" w:eastAsia="Calibri" w:hAnsi="Calibri" w:cs="Calibri"/>
          <w:b/>
          <w:sz w:val="28"/>
          <w:szCs w:val="28"/>
        </w:rPr>
      </w:pPr>
      <w:r>
        <w:rPr>
          <w:rFonts w:ascii="Calibri" w:eastAsia="Calibri" w:hAnsi="Calibri" w:cs="Calibri"/>
          <w:b/>
          <w:sz w:val="28"/>
          <w:szCs w:val="28"/>
        </w:rPr>
        <w:t>Acknowledgments</w:t>
      </w:r>
    </w:p>
    <w:p w14:paraId="32D5F58F" w14:textId="77777777" w:rsidR="00BD579F" w:rsidRDefault="00CE1CC9">
      <w:pPr>
        <w:spacing w:line="240" w:lineRule="auto"/>
        <w:jc w:val="both"/>
        <w:rPr>
          <w:rFonts w:ascii="Calibri" w:eastAsia="Calibri" w:hAnsi="Calibri" w:cs="Calibri"/>
          <w:sz w:val="28"/>
          <w:szCs w:val="28"/>
        </w:rPr>
      </w:pPr>
      <w:r>
        <w:rPr>
          <w:rFonts w:ascii="Calibri" w:eastAsia="Calibri" w:hAnsi="Calibri" w:cs="Calibri"/>
          <w:sz w:val="28"/>
          <w:szCs w:val="28"/>
        </w:rPr>
        <w:t xml:space="preserve">This report was produced by members of the </w:t>
      </w:r>
      <w:r>
        <w:rPr>
          <w:rFonts w:ascii="Calibri" w:eastAsia="Calibri" w:hAnsi="Calibri" w:cs="Calibri"/>
          <w:b/>
          <w:sz w:val="28"/>
          <w:szCs w:val="28"/>
        </w:rPr>
        <w:t xml:space="preserve">COG-UK HOCI Variant </w:t>
      </w:r>
      <w:proofErr w:type="spellStart"/>
      <w:r>
        <w:rPr>
          <w:rFonts w:ascii="Calibri" w:eastAsia="Calibri" w:hAnsi="Calibri" w:cs="Calibri"/>
          <w:b/>
          <w:sz w:val="28"/>
          <w:szCs w:val="28"/>
        </w:rPr>
        <w:t>substudy</w:t>
      </w:r>
      <w:proofErr w:type="spellEnd"/>
      <w:r>
        <w:rPr>
          <w:rFonts w:ascii="Calibri" w:eastAsia="Calibri" w:hAnsi="Calibri" w:cs="Calibri"/>
          <w:b/>
          <w:sz w:val="28"/>
          <w:szCs w:val="28"/>
        </w:rPr>
        <w:t xml:space="preserve"> consortium</w:t>
      </w:r>
      <w:r>
        <w:rPr>
          <w:rFonts w:ascii="Calibri" w:eastAsia="Calibri" w:hAnsi="Calibri" w:cs="Calibri"/>
          <w:sz w:val="28"/>
          <w:szCs w:val="28"/>
        </w:rPr>
        <w:t xml:space="preserve">. </w:t>
      </w:r>
      <w:r>
        <w:rPr>
          <w:rFonts w:ascii="Calibri" w:eastAsia="Calibri" w:hAnsi="Calibri" w:cs="Calibri"/>
          <w:b/>
          <w:sz w:val="28"/>
          <w:szCs w:val="28"/>
        </w:rPr>
        <w:t>COG-UK HOCI</w:t>
      </w:r>
      <w:r>
        <w:rPr>
          <w:rFonts w:ascii="Calibri" w:eastAsia="Calibri" w:hAnsi="Calibri" w:cs="Calibri"/>
          <w:sz w:val="28"/>
          <w:szCs w:val="28"/>
        </w:rPr>
        <w:t xml:space="preserve"> is part of </w:t>
      </w:r>
      <w:r>
        <w:rPr>
          <w:rFonts w:ascii="Calibri" w:eastAsia="Calibri" w:hAnsi="Calibri" w:cs="Calibri"/>
          <w:b/>
          <w:sz w:val="28"/>
          <w:szCs w:val="28"/>
        </w:rPr>
        <w:t>COG-UK</w:t>
      </w:r>
      <w:r>
        <w:rPr>
          <w:rFonts w:ascii="Calibri" w:eastAsia="Calibri" w:hAnsi="Calibri" w:cs="Calibri"/>
          <w:sz w:val="28"/>
          <w:szCs w:val="28"/>
        </w:rPr>
        <w:t xml:space="preserve">. COG-UK is supported by funding from the Medical Research Council (MRC) part of UK Research &amp; Innovation (UKRI), the National Institute of Health Research (NIHR) and Genome Research Limited, operating as the </w:t>
      </w:r>
      <w:proofErr w:type="spellStart"/>
      <w:r>
        <w:rPr>
          <w:rFonts w:ascii="Calibri" w:eastAsia="Calibri" w:hAnsi="Calibri" w:cs="Calibri"/>
          <w:sz w:val="28"/>
          <w:szCs w:val="28"/>
        </w:rPr>
        <w:t>Wellcome</w:t>
      </w:r>
      <w:proofErr w:type="spellEnd"/>
      <w:r>
        <w:rPr>
          <w:rFonts w:ascii="Calibri" w:eastAsia="Calibri" w:hAnsi="Calibri" w:cs="Calibri"/>
          <w:sz w:val="28"/>
          <w:szCs w:val="28"/>
        </w:rPr>
        <w:t xml:space="preserve"> Sanger Institute.</w:t>
      </w:r>
    </w:p>
    <w:p w14:paraId="553A462A" w14:textId="77777777" w:rsidR="00BD579F" w:rsidRDefault="00BD579F">
      <w:pPr>
        <w:spacing w:line="240" w:lineRule="auto"/>
        <w:jc w:val="both"/>
        <w:rPr>
          <w:rFonts w:ascii="Calibri" w:eastAsia="Calibri" w:hAnsi="Calibri" w:cs="Calibri"/>
          <w:b/>
          <w:sz w:val="28"/>
          <w:szCs w:val="28"/>
        </w:rPr>
      </w:pPr>
    </w:p>
    <w:p w14:paraId="37A2A395" w14:textId="77777777" w:rsidR="00BD579F" w:rsidRDefault="00BD579F">
      <w:pPr>
        <w:spacing w:line="240" w:lineRule="auto"/>
        <w:jc w:val="both"/>
        <w:rPr>
          <w:rFonts w:ascii="Calibri" w:eastAsia="Calibri" w:hAnsi="Calibri" w:cs="Calibri"/>
          <w:b/>
          <w:sz w:val="28"/>
          <w:szCs w:val="28"/>
        </w:rPr>
      </w:pPr>
    </w:p>
    <w:p w14:paraId="756A5B4D" w14:textId="77777777" w:rsidR="00BD579F" w:rsidRDefault="00BD579F">
      <w:pPr>
        <w:spacing w:line="240" w:lineRule="auto"/>
        <w:jc w:val="both"/>
        <w:rPr>
          <w:rFonts w:ascii="Calibri" w:eastAsia="Calibri" w:hAnsi="Calibri" w:cs="Calibri"/>
          <w:b/>
          <w:sz w:val="28"/>
          <w:szCs w:val="28"/>
        </w:rPr>
      </w:pPr>
    </w:p>
    <w:p w14:paraId="0C3D8074" w14:textId="77777777" w:rsidR="00BD579F" w:rsidRDefault="00BD579F">
      <w:pPr>
        <w:spacing w:line="240" w:lineRule="auto"/>
        <w:jc w:val="both"/>
        <w:rPr>
          <w:rFonts w:ascii="Calibri" w:eastAsia="Calibri" w:hAnsi="Calibri" w:cs="Calibri"/>
          <w:b/>
          <w:sz w:val="28"/>
          <w:szCs w:val="28"/>
        </w:rPr>
      </w:pPr>
    </w:p>
    <w:p w14:paraId="2E758FC6" w14:textId="77777777" w:rsidR="00BD579F" w:rsidRDefault="00BD579F">
      <w:pPr>
        <w:spacing w:line="240" w:lineRule="auto"/>
        <w:jc w:val="both"/>
        <w:rPr>
          <w:rFonts w:ascii="Calibri" w:eastAsia="Calibri" w:hAnsi="Calibri" w:cs="Calibri"/>
          <w:b/>
          <w:sz w:val="28"/>
          <w:szCs w:val="28"/>
        </w:rPr>
      </w:pPr>
    </w:p>
    <w:p w14:paraId="6F196A28" w14:textId="77777777" w:rsidR="00BD579F" w:rsidRDefault="00BD579F">
      <w:pPr>
        <w:spacing w:line="240" w:lineRule="auto"/>
        <w:jc w:val="both"/>
        <w:rPr>
          <w:rFonts w:ascii="Calibri" w:eastAsia="Calibri" w:hAnsi="Calibri" w:cs="Calibri"/>
          <w:b/>
          <w:sz w:val="28"/>
          <w:szCs w:val="28"/>
        </w:rPr>
      </w:pPr>
    </w:p>
    <w:p w14:paraId="3D0A6875" w14:textId="77777777" w:rsidR="00BD579F" w:rsidRDefault="00BD579F">
      <w:pPr>
        <w:spacing w:line="240" w:lineRule="auto"/>
        <w:jc w:val="both"/>
        <w:rPr>
          <w:rFonts w:ascii="Calibri" w:eastAsia="Calibri" w:hAnsi="Calibri" w:cs="Calibri"/>
          <w:b/>
          <w:sz w:val="28"/>
          <w:szCs w:val="28"/>
        </w:rPr>
      </w:pPr>
    </w:p>
    <w:p w14:paraId="535627F2" w14:textId="77777777" w:rsidR="00BD579F" w:rsidRDefault="00CE1CC9">
      <w:pPr>
        <w:spacing w:line="240" w:lineRule="auto"/>
        <w:jc w:val="both"/>
        <w:rPr>
          <w:rFonts w:ascii="Calibri" w:eastAsia="Calibri" w:hAnsi="Calibri" w:cs="Calibri"/>
          <w:b/>
          <w:sz w:val="28"/>
          <w:szCs w:val="28"/>
        </w:rPr>
      </w:pPr>
      <w:r>
        <w:rPr>
          <w:rFonts w:ascii="Calibri" w:eastAsia="Calibri" w:hAnsi="Calibri" w:cs="Calibri"/>
          <w:b/>
          <w:sz w:val="28"/>
          <w:szCs w:val="28"/>
        </w:rPr>
        <w:t>SUPPLEMENTARY MATERIAL</w:t>
      </w:r>
    </w:p>
    <w:p w14:paraId="2B4747C8" w14:textId="77777777" w:rsidR="00BD579F" w:rsidRDefault="00CE1CC9">
      <w:pPr>
        <w:spacing w:line="240" w:lineRule="auto"/>
        <w:jc w:val="both"/>
        <w:rPr>
          <w:rFonts w:ascii="Calibri" w:eastAsia="Calibri" w:hAnsi="Calibri" w:cs="Calibri"/>
          <w:sz w:val="28"/>
          <w:szCs w:val="28"/>
          <w:highlight w:val="yellow"/>
        </w:rPr>
      </w:pPr>
      <w:r>
        <w:rPr>
          <w:rFonts w:ascii="Calibri" w:eastAsia="Calibri" w:hAnsi="Calibri" w:cs="Calibri"/>
          <w:b/>
          <w:sz w:val="28"/>
          <w:szCs w:val="28"/>
        </w:rPr>
        <w:lastRenderedPageBreak/>
        <w:t xml:space="preserve">Supplementary Figure 1. </w:t>
      </w:r>
      <w:r>
        <w:rPr>
          <w:rFonts w:ascii="Calibri" w:eastAsia="Calibri" w:hAnsi="Calibri" w:cs="Calibri"/>
          <w:sz w:val="28"/>
          <w:szCs w:val="28"/>
        </w:rPr>
        <w:t>Proportion of lineages with &gt;5% frequency in all samples and inpatients with HCAI. The two most frequent lineages are B.1.1.7 (the Alpha variant) and B.1.177 in both populations. The number by each segment represents the sample size.</w:t>
      </w:r>
    </w:p>
    <w:p w14:paraId="68998777" w14:textId="77777777" w:rsidR="00BD579F" w:rsidRDefault="00BD579F">
      <w:pPr>
        <w:spacing w:line="240" w:lineRule="auto"/>
        <w:jc w:val="both"/>
        <w:rPr>
          <w:rFonts w:ascii="Calibri" w:eastAsia="Calibri" w:hAnsi="Calibri" w:cs="Calibri"/>
          <w:b/>
          <w:sz w:val="28"/>
          <w:szCs w:val="28"/>
        </w:rPr>
      </w:pPr>
    </w:p>
    <w:p w14:paraId="64EEC8D4" w14:textId="77777777" w:rsidR="00BD579F" w:rsidRDefault="00CE1CC9">
      <w:pPr>
        <w:spacing w:line="240" w:lineRule="auto"/>
        <w:jc w:val="both"/>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6B83F876" wp14:editId="40DFBEAE">
            <wp:extent cx="5603875" cy="315567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7"/>
                    <a:srcRect/>
                    <a:stretch>
                      <a:fillRect/>
                    </a:stretch>
                  </pic:blipFill>
                  <pic:spPr>
                    <a:xfrm>
                      <a:off x="0" y="0"/>
                      <a:ext cx="5603875" cy="3155670"/>
                    </a:xfrm>
                    <a:prstGeom prst="rect">
                      <a:avLst/>
                    </a:prstGeom>
                    <a:ln/>
                  </pic:spPr>
                </pic:pic>
              </a:graphicData>
            </a:graphic>
          </wp:inline>
        </w:drawing>
      </w:r>
    </w:p>
    <w:p w14:paraId="379B5CBC" w14:textId="77777777" w:rsidR="00BD579F" w:rsidRDefault="00CE1CC9">
      <w:pPr>
        <w:spacing w:before="240" w:after="240" w:line="240" w:lineRule="auto"/>
        <w:rPr>
          <w:rFonts w:ascii="Calibri" w:eastAsia="Calibri" w:hAnsi="Calibri" w:cs="Calibri"/>
          <w:b/>
          <w:sz w:val="28"/>
          <w:szCs w:val="28"/>
        </w:rPr>
      </w:pPr>
      <w:r>
        <w:rPr>
          <w:rFonts w:ascii="Calibri" w:eastAsia="Calibri" w:hAnsi="Calibri" w:cs="Calibri"/>
          <w:b/>
          <w:sz w:val="28"/>
          <w:szCs w:val="28"/>
        </w:rPr>
        <w:t>Supplementary Figure 2</w:t>
      </w:r>
      <w:r>
        <w:rPr>
          <w:rFonts w:ascii="Calibri" w:eastAsia="Calibri" w:hAnsi="Calibri" w:cs="Calibri"/>
          <w:sz w:val="28"/>
          <w:szCs w:val="28"/>
        </w:rPr>
        <w:t xml:space="preserve"> Proportions of the Alpha variant and non-Alpha variants sequencing successfully at Ct values above and below 32 for 3 trusts not using a Ct threshold. No significant difference was found in the proportion of lineages detected in each category. Number of samples in each category are inlaid in each bar.</w:t>
      </w:r>
    </w:p>
    <w:p w14:paraId="5E416B77" w14:textId="77777777" w:rsidR="00BD579F" w:rsidRDefault="00CE1CC9">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62A2DDC5" wp14:editId="1D22B020">
            <wp:extent cx="3797138" cy="2843744"/>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8"/>
                    <a:srcRect/>
                    <a:stretch>
                      <a:fillRect/>
                    </a:stretch>
                  </pic:blipFill>
                  <pic:spPr>
                    <a:xfrm>
                      <a:off x="0" y="0"/>
                      <a:ext cx="3797138" cy="2843744"/>
                    </a:xfrm>
                    <a:prstGeom prst="rect">
                      <a:avLst/>
                    </a:prstGeom>
                    <a:ln/>
                  </pic:spPr>
                </pic:pic>
              </a:graphicData>
            </a:graphic>
          </wp:inline>
        </w:drawing>
      </w:r>
    </w:p>
    <w:p w14:paraId="0EC4A5E6" w14:textId="77777777" w:rsidR="00BD579F" w:rsidRDefault="00BD579F">
      <w:pPr>
        <w:spacing w:line="240" w:lineRule="auto"/>
        <w:jc w:val="both"/>
        <w:rPr>
          <w:rFonts w:ascii="Calibri" w:eastAsia="Calibri" w:hAnsi="Calibri" w:cs="Calibri"/>
          <w:sz w:val="28"/>
          <w:szCs w:val="28"/>
        </w:rPr>
      </w:pPr>
    </w:p>
    <w:p w14:paraId="291D3116" w14:textId="77777777" w:rsidR="00BD579F" w:rsidRDefault="00CE1CC9">
      <w:pPr>
        <w:spacing w:line="240" w:lineRule="auto"/>
        <w:jc w:val="both"/>
        <w:rPr>
          <w:rFonts w:ascii="Calibri" w:eastAsia="Calibri" w:hAnsi="Calibri" w:cs="Calibri"/>
          <w:sz w:val="28"/>
          <w:szCs w:val="28"/>
        </w:rPr>
      </w:pPr>
      <w:r>
        <w:rPr>
          <w:rFonts w:ascii="Calibri" w:eastAsia="Calibri" w:hAnsi="Calibri" w:cs="Calibri"/>
          <w:b/>
          <w:sz w:val="28"/>
          <w:szCs w:val="28"/>
        </w:rPr>
        <w:lastRenderedPageBreak/>
        <w:t xml:space="preserve">Supplementary figure 3. Correlation of Alpha variant proportions in HCAI inpatients (only probable/definite HCAI) and (a) </w:t>
      </w:r>
      <w:proofErr w:type="spellStart"/>
      <w:r>
        <w:rPr>
          <w:rFonts w:ascii="Calibri" w:eastAsia="Calibri" w:hAnsi="Calibri" w:cs="Calibri"/>
          <w:b/>
          <w:sz w:val="28"/>
          <w:szCs w:val="28"/>
        </w:rPr>
        <w:t>CAIand</w:t>
      </w:r>
      <w:proofErr w:type="spellEnd"/>
      <w:r>
        <w:rPr>
          <w:rFonts w:ascii="Calibri" w:eastAsia="Calibri" w:hAnsi="Calibri" w:cs="Calibri"/>
          <w:b/>
          <w:sz w:val="28"/>
          <w:szCs w:val="28"/>
        </w:rPr>
        <w:t xml:space="preserve"> (b) in Pillar2 by week and location. </w:t>
      </w:r>
      <w:r>
        <w:rPr>
          <w:rFonts w:ascii="Calibri" w:eastAsia="Calibri" w:hAnsi="Calibri" w:cs="Calibri"/>
          <w:sz w:val="28"/>
          <w:szCs w:val="28"/>
        </w:rPr>
        <w:t>Each dot represents a week counting from 16th November 2020.</w:t>
      </w:r>
      <w:r>
        <w:rPr>
          <w:rFonts w:ascii="Calibri" w:eastAsia="Calibri" w:hAnsi="Calibri" w:cs="Calibri"/>
          <w:b/>
          <w:sz w:val="28"/>
          <w:szCs w:val="28"/>
        </w:rPr>
        <w:t xml:space="preserve"> </w:t>
      </w:r>
      <w:r>
        <w:rPr>
          <w:rFonts w:ascii="Calibri" w:eastAsia="Calibri" w:hAnsi="Calibri" w:cs="Calibri"/>
          <w:sz w:val="28"/>
          <w:szCs w:val="28"/>
        </w:rPr>
        <w:t xml:space="preserve">In (a) the overall correlation is 0.89 (95% CI: 0.71-0.96), p-value=3.712e-06. In London it is 0.90 (95% CI: 0.54-0.98), p-value=0.002 and outside London is 0.88 (95% CI: 0.45-0.98), p-value=0.004. In (b) the overall correlation is 0.87 (95% CI: 0.67-0.96) p-value=9.461e-06. In London it is 0.91 (95% CI: 0.58-0.98), p-value=0.001 and outside London is 0.75 (95% CI: 0.11-0.95), p-value=0.031. </w:t>
      </w:r>
    </w:p>
    <w:p w14:paraId="5FF0EC3C" w14:textId="77777777" w:rsidR="00BD579F" w:rsidRDefault="00BD579F">
      <w:pPr>
        <w:spacing w:line="240" w:lineRule="auto"/>
        <w:jc w:val="both"/>
        <w:rPr>
          <w:rFonts w:ascii="Calibri" w:eastAsia="Calibri" w:hAnsi="Calibri" w:cs="Calibri"/>
          <w:b/>
          <w:sz w:val="28"/>
          <w:szCs w:val="28"/>
        </w:rPr>
      </w:pPr>
    </w:p>
    <w:p w14:paraId="38A3B26F" w14:textId="77777777" w:rsidR="00BD579F" w:rsidRDefault="00BD579F">
      <w:pPr>
        <w:spacing w:line="240" w:lineRule="auto"/>
        <w:jc w:val="both"/>
        <w:rPr>
          <w:rFonts w:ascii="Calibri" w:eastAsia="Calibri" w:hAnsi="Calibri" w:cs="Calibri"/>
          <w:b/>
          <w:sz w:val="28"/>
          <w:szCs w:val="28"/>
        </w:rPr>
      </w:pPr>
    </w:p>
    <w:p w14:paraId="7B0110BB" w14:textId="77777777" w:rsidR="00BD579F" w:rsidRDefault="00CE1CC9">
      <w:pPr>
        <w:spacing w:line="240" w:lineRule="auto"/>
        <w:jc w:val="both"/>
        <w:rPr>
          <w:rFonts w:ascii="Calibri" w:eastAsia="Calibri" w:hAnsi="Calibri" w:cs="Calibri"/>
          <w:b/>
          <w:sz w:val="28"/>
          <w:szCs w:val="28"/>
        </w:rPr>
      </w:pPr>
      <w:r>
        <w:rPr>
          <w:rFonts w:ascii="Calibri" w:eastAsia="Calibri" w:hAnsi="Calibri" w:cs="Calibri"/>
          <w:b/>
          <w:sz w:val="28"/>
          <w:szCs w:val="28"/>
        </w:rPr>
        <w:t>a)</w:t>
      </w:r>
      <w:r>
        <w:rPr>
          <w:rFonts w:ascii="Calibri" w:eastAsia="Calibri" w:hAnsi="Calibri" w:cs="Calibri"/>
          <w:b/>
          <w:noProof/>
          <w:sz w:val="28"/>
          <w:szCs w:val="28"/>
        </w:rPr>
        <w:drawing>
          <wp:inline distT="114300" distB="114300" distL="114300" distR="114300" wp14:anchorId="56CB8222" wp14:editId="584C2944">
            <wp:extent cx="5731200" cy="2552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9"/>
                    <a:srcRect/>
                    <a:stretch>
                      <a:fillRect/>
                    </a:stretch>
                  </pic:blipFill>
                  <pic:spPr>
                    <a:xfrm>
                      <a:off x="0" y="0"/>
                      <a:ext cx="5731200" cy="2552700"/>
                    </a:xfrm>
                    <a:prstGeom prst="rect">
                      <a:avLst/>
                    </a:prstGeom>
                    <a:ln/>
                  </pic:spPr>
                </pic:pic>
              </a:graphicData>
            </a:graphic>
          </wp:inline>
        </w:drawing>
      </w:r>
    </w:p>
    <w:p w14:paraId="72EBCFEA" w14:textId="77777777" w:rsidR="00BD579F" w:rsidRDefault="00BD579F">
      <w:pPr>
        <w:spacing w:line="240" w:lineRule="auto"/>
        <w:jc w:val="both"/>
        <w:rPr>
          <w:rFonts w:ascii="Calibri" w:eastAsia="Calibri" w:hAnsi="Calibri" w:cs="Calibri"/>
          <w:b/>
          <w:sz w:val="28"/>
          <w:szCs w:val="28"/>
        </w:rPr>
      </w:pPr>
    </w:p>
    <w:p w14:paraId="5B94391F" w14:textId="77777777" w:rsidR="00BD579F" w:rsidRDefault="00CE1CC9">
      <w:pPr>
        <w:spacing w:line="240" w:lineRule="auto"/>
        <w:jc w:val="both"/>
        <w:rPr>
          <w:rFonts w:ascii="Calibri" w:eastAsia="Calibri" w:hAnsi="Calibri" w:cs="Calibri"/>
          <w:b/>
          <w:sz w:val="28"/>
          <w:szCs w:val="28"/>
        </w:rPr>
      </w:pPr>
      <w:r>
        <w:rPr>
          <w:rFonts w:ascii="Calibri" w:eastAsia="Calibri" w:hAnsi="Calibri" w:cs="Calibri"/>
          <w:b/>
          <w:sz w:val="28"/>
          <w:szCs w:val="28"/>
        </w:rPr>
        <w:t>b)</w:t>
      </w:r>
      <w:r>
        <w:rPr>
          <w:rFonts w:ascii="Calibri" w:eastAsia="Calibri" w:hAnsi="Calibri" w:cs="Calibri"/>
          <w:b/>
          <w:noProof/>
          <w:sz w:val="28"/>
          <w:szCs w:val="28"/>
        </w:rPr>
        <w:drawing>
          <wp:inline distT="114300" distB="114300" distL="114300" distR="114300" wp14:anchorId="7CD80A83" wp14:editId="07184A9D">
            <wp:extent cx="5731200" cy="2552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0"/>
                    <a:srcRect/>
                    <a:stretch>
                      <a:fillRect/>
                    </a:stretch>
                  </pic:blipFill>
                  <pic:spPr>
                    <a:xfrm>
                      <a:off x="0" y="0"/>
                      <a:ext cx="5731200" cy="2552700"/>
                    </a:xfrm>
                    <a:prstGeom prst="rect">
                      <a:avLst/>
                    </a:prstGeom>
                    <a:ln/>
                  </pic:spPr>
                </pic:pic>
              </a:graphicData>
            </a:graphic>
          </wp:inline>
        </w:drawing>
      </w:r>
    </w:p>
    <w:p w14:paraId="60603081" w14:textId="77777777" w:rsidR="00BD579F" w:rsidRDefault="00BD579F">
      <w:pPr>
        <w:spacing w:line="240" w:lineRule="auto"/>
        <w:jc w:val="both"/>
        <w:rPr>
          <w:rFonts w:ascii="Calibri" w:eastAsia="Calibri" w:hAnsi="Calibri" w:cs="Calibri"/>
          <w:b/>
          <w:sz w:val="28"/>
          <w:szCs w:val="28"/>
        </w:rPr>
      </w:pPr>
    </w:p>
    <w:p w14:paraId="6531A153" w14:textId="77777777" w:rsidR="00BD579F" w:rsidRDefault="00CE1CC9">
      <w:pPr>
        <w:spacing w:line="240" w:lineRule="auto"/>
        <w:jc w:val="both"/>
        <w:rPr>
          <w:rFonts w:ascii="Calibri" w:eastAsia="Calibri" w:hAnsi="Calibri" w:cs="Calibri"/>
          <w:sz w:val="28"/>
          <w:szCs w:val="28"/>
        </w:rPr>
      </w:pPr>
      <w:r>
        <w:rPr>
          <w:rFonts w:ascii="Calibri" w:eastAsia="Calibri" w:hAnsi="Calibri" w:cs="Calibri"/>
          <w:b/>
          <w:sz w:val="28"/>
          <w:szCs w:val="28"/>
        </w:rPr>
        <w:t xml:space="preserve">Supplementary figure 4. Correlation B.1.177 (non-Alpha variant) proportions in healthcare-acquired infection (HCAI) inpatients (only probable/definite HCAI) and community-acquired infection (CAI) by week and location. </w:t>
      </w:r>
      <w:r>
        <w:rPr>
          <w:rFonts w:ascii="Calibri" w:eastAsia="Calibri" w:hAnsi="Calibri" w:cs="Calibri"/>
          <w:sz w:val="28"/>
          <w:szCs w:val="28"/>
        </w:rPr>
        <w:t xml:space="preserve">The </w:t>
      </w:r>
      <w:r>
        <w:rPr>
          <w:rFonts w:ascii="Calibri" w:eastAsia="Calibri" w:hAnsi="Calibri" w:cs="Calibri"/>
          <w:sz w:val="28"/>
          <w:szCs w:val="28"/>
        </w:rPr>
        <w:lastRenderedPageBreak/>
        <w:t xml:space="preserve">overall correlation is 0.85 (95% CI: 0.62-0.95), p-value=2.791e-05. In London it is 0.84 (95% CI: 0.32-0.97), p-value=0.01 and outside London is 0.7 (95% CI: -0.005-0.94), p-value=0.052. </w:t>
      </w:r>
    </w:p>
    <w:p w14:paraId="3C06CC89" w14:textId="77777777" w:rsidR="00BD579F" w:rsidRDefault="00BD579F">
      <w:pPr>
        <w:spacing w:line="240" w:lineRule="auto"/>
        <w:jc w:val="both"/>
        <w:rPr>
          <w:rFonts w:ascii="Calibri" w:eastAsia="Calibri" w:hAnsi="Calibri" w:cs="Calibri"/>
          <w:b/>
          <w:sz w:val="28"/>
          <w:szCs w:val="28"/>
        </w:rPr>
      </w:pPr>
    </w:p>
    <w:p w14:paraId="6BE1865F" w14:textId="77777777" w:rsidR="00BD579F" w:rsidRDefault="00BD579F">
      <w:pPr>
        <w:spacing w:line="240" w:lineRule="auto"/>
        <w:jc w:val="both"/>
        <w:rPr>
          <w:rFonts w:ascii="Calibri" w:eastAsia="Calibri" w:hAnsi="Calibri" w:cs="Calibri"/>
          <w:sz w:val="28"/>
          <w:szCs w:val="28"/>
          <w:highlight w:val="yellow"/>
        </w:rPr>
      </w:pPr>
    </w:p>
    <w:p w14:paraId="45ECEC36" w14:textId="77777777" w:rsidR="00BD579F" w:rsidRDefault="00BD579F">
      <w:pPr>
        <w:spacing w:line="240" w:lineRule="auto"/>
        <w:jc w:val="both"/>
        <w:rPr>
          <w:rFonts w:ascii="Calibri" w:eastAsia="Calibri" w:hAnsi="Calibri" w:cs="Calibri"/>
          <w:b/>
          <w:sz w:val="28"/>
          <w:szCs w:val="28"/>
        </w:rPr>
      </w:pPr>
    </w:p>
    <w:p w14:paraId="2D2EBDA4" w14:textId="77777777" w:rsidR="00BD579F" w:rsidRDefault="00CE1CC9">
      <w:pPr>
        <w:spacing w:line="240" w:lineRule="auto"/>
        <w:jc w:val="both"/>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49F328CD" wp14:editId="10710A0E">
            <wp:extent cx="5731200" cy="25527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1"/>
                    <a:srcRect/>
                    <a:stretch>
                      <a:fillRect/>
                    </a:stretch>
                  </pic:blipFill>
                  <pic:spPr>
                    <a:xfrm>
                      <a:off x="0" y="0"/>
                      <a:ext cx="5731200" cy="2552700"/>
                    </a:xfrm>
                    <a:prstGeom prst="rect">
                      <a:avLst/>
                    </a:prstGeom>
                    <a:ln/>
                  </pic:spPr>
                </pic:pic>
              </a:graphicData>
            </a:graphic>
          </wp:inline>
        </w:drawing>
      </w:r>
    </w:p>
    <w:p w14:paraId="752E173D" w14:textId="77777777" w:rsidR="00BD579F" w:rsidRDefault="00BD579F">
      <w:pPr>
        <w:spacing w:line="240" w:lineRule="auto"/>
        <w:jc w:val="both"/>
        <w:rPr>
          <w:rFonts w:ascii="Calibri" w:eastAsia="Calibri" w:hAnsi="Calibri" w:cs="Calibri"/>
          <w:b/>
          <w:sz w:val="28"/>
          <w:szCs w:val="28"/>
        </w:rPr>
      </w:pPr>
    </w:p>
    <w:p w14:paraId="043E7720" w14:textId="77777777" w:rsidR="00BD579F" w:rsidRDefault="00BD579F">
      <w:pPr>
        <w:spacing w:line="240" w:lineRule="auto"/>
        <w:jc w:val="both"/>
        <w:rPr>
          <w:rFonts w:ascii="Calibri" w:eastAsia="Calibri" w:hAnsi="Calibri" w:cs="Calibri"/>
          <w:b/>
          <w:sz w:val="28"/>
          <w:szCs w:val="28"/>
        </w:rPr>
      </w:pPr>
    </w:p>
    <w:p w14:paraId="6B6CB2C1" w14:textId="77777777" w:rsidR="00BD579F" w:rsidRDefault="00BD579F">
      <w:pPr>
        <w:spacing w:line="240" w:lineRule="auto"/>
        <w:jc w:val="both"/>
        <w:rPr>
          <w:rFonts w:ascii="Calibri" w:eastAsia="Calibri" w:hAnsi="Calibri" w:cs="Calibri"/>
          <w:b/>
          <w:sz w:val="28"/>
          <w:szCs w:val="28"/>
        </w:rPr>
      </w:pPr>
    </w:p>
    <w:p w14:paraId="441295CB" w14:textId="77777777" w:rsidR="00BD579F" w:rsidRDefault="00BD579F">
      <w:pPr>
        <w:spacing w:line="240" w:lineRule="auto"/>
        <w:jc w:val="both"/>
        <w:rPr>
          <w:rFonts w:ascii="Calibri" w:eastAsia="Calibri" w:hAnsi="Calibri" w:cs="Calibri"/>
          <w:b/>
          <w:sz w:val="28"/>
          <w:szCs w:val="28"/>
        </w:rPr>
      </w:pPr>
    </w:p>
    <w:p w14:paraId="18095401" w14:textId="77777777" w:rsidR="00BD579F" w:rsidRDefault="00BD579F">
      <w:pPr>
        <w:spacing w:line="240" w:lineRule="auto"/>
        <w:jc w:val="both"/>
        <w:rPr>
          <w:rFonts w:ascii="Calibri" w:eastAsia="Calibri" w:hAnsi="Calibri" w:cs="Calibri"/>
          <w:b/>
          <w:sz w:val="28"/>
          <w:szCs w:val="28"/>
        </w:rPr>
      </w:pPr>
    </w:p>
    <w:p w14:paraId="38E87A3D" w14:textId="77777777" w:rsidR="00BD579F" w:rsidRDefault="00BD579F">
      <w:pPr>
        <w:spacing w:line="240" w:lineRule="auto"/>
        <w:jc w:val="both"/>
        <w:rPr>
          <w:rFonts w:ascii="Calibri" w:eastAsia="Calibri" w:hAnsi="Calibri" w:cs="Calibri"/>
          <w:b/>
          <w:sz w:val="28"/>
          <w:szCs w:val="28"/>
        </w:rPr>
      </w:pPr>
    </w:p>
    <w:p w14:paraId="49A641C3" w14:textId="77777777" w:rsidR="00BD579F" w:rsidRDefault="00BD579F">
      <w:pPr>
        <w:spacing w:line="240" w:lineRule="auto"/>
        <w:jc w:val="both"/>
        <w:rPr>
          <w:rFonts w:ascii="Calibri" w:eastAsia="Calibri" w:hAnsi="Calibri" w:cs="Calibri"/>
          <w:b/>
          <w:sz w:val="28"/>
          <w:szCs w:val="28"/>
        </w:rPr>
      </w:pPr>
    </w:p>
    <w:p w14:paraId="0A35BA3F" w14:textId="77777777" w:rsidR="00BD579F" w:rsidRDefault="00BD579F">
      <w:pPr>
        <w:spacing w:line="240" w:lineRule="auto"/>
        <w:jc w:val="both"/>
        <w:rPr>
          <w:rFonts w:ascii="Calibri" w:eastAsia="Calibri" w:hAnsi="Calibri" w:cs="Calibri"/>
          <w:b/>
          <w:sz w:val="28"/>
          <w:szCs w:val="28"/>
        </w:rPr>
      </w:pPr>
    </w:p>
    <w:p w14:paraId="4A36C5A6" w14:textId="77777777" w:rsidR="00BD579F" w:rsidRDefault="00BD579F">
      <w:pPr>
        <w:spacing w:line="240" w:lineRule="auto"/>
        <w:jc w:val="both"/>
        <w:rPr>
          <w:rFonts w:ascii="Calibri" w:eastAsia="Calibri" w:hAnsi="Calibri" w:cs="Calibri"/>
          <w:b/>
          <w:sz w:val="28"/>
          <w:szCs w:val="28"/>
        </w:rPr>
      </w:pPr>
    </w:p>
    <w:p w14:paraId="32494513" w14:textId="77777777" w:rsidR="00BD579F" w:rsidRDefault="00BD579F">
      <w:pPr>
        <w:spacing w:line="240" w:lineRule="auto"/>
        <w:jc w:val="both"/>
        <w:rPr>
          <w:rFonts w:ascii="Calibri" w:eastAsia="Calibri" w:hAnsi="Calibri" w:cs="Calibri"/>
          <w:b/>
          <w:sz w:val="28"/>
          <w:szCs w:val="28"/>
        </w:rPr>
      </w:pPr>
    </w:p>
    <w:p w14:paraId="3FEBC697" w14:textId="77777777" w:rsidR="00BD579F" w:rsidRDefault="00BD579F">
      <w:pPr>
        <w:spacing w:line="240" w:lineRule="auto"/>
        <w:jc w:val="both"/>
        <w:rPr>
          <w:rFonts w:ascii="Calibri" w:eastAsia="Calibri" w:hAnsi="Calibri" w:cs="Calibri"/>
          <w:b/>
          <w:sz w:val="28"/>
          <w:szCs w:val="28"/>
        </w:rPr>
      </w:pPr>
    </w:p>
    <w:p w14:paraId="532E5CC8" w14:textId="77777777" w:rsidR="00BD579F" w:rsidRDefault="00BD579F">
      <w:pPr>
        <w:spacing w:line="240" w:lineRule="auto"/>
        <w:jc w:val="both"/>
        <w:rPr>
          <w:rFonts w:ascii="Calibri" w:eastAsia="Calibri" w:hAnsi="Calibri" w:cs="Calibri"/>
          <w:b/>
          <w:sz w:val="28"/>
          <w:szCs w:val="28"/>
        </w:rPr>
      </w:pPr>
    </w:p>
    <w:p w14:paraId="34AA3AE6" w14:textId="77777777" w:rsidR="00BD579F" w:rsidRDefault="00BD579F">
      <w:pPr>
        <w:spacing w:line="240" w:lineRule="auto"/>
        <w:jc w:val="both"/>
        <w:rPr>
          <w:rFonts w:ascii="Calibri" w:eastAsia="Calibri" w:hAnsi="Calibri" w:cs="Calibri"/>
          <w:b/>
          <w:sz w:val="28"/>
          <w:szCs w:val="28"/>
        </w:rPr>
      </w:pPr>
    </w:p>
    <w:p w14:paraId="01A26605" w14:textId="77777777" w:rsidR="00BD579F" w:rsidRDefault="00BD579F">
      <w:pPr>
        <w:spacing w:line="240" w:lineRule="auto"/>
        <w:jc w:val="both"/>
        <w:rPr>
          <w:rFonts w:ascii="Calibri" w:eastAsia="Calibri" w:hAnsi="Calibri" w:cs="Calibri"/>
          <w:b/>
          <w:sz w:val="28"/>
          <w:szCs w:val="28"/>
        </w:rPr>
      </w:pPr>
    </w:p>
    <w:p w14:paraId="4E3086D6" w14:textId="77777777" w:rsidR="00BD579F" w:rsidRDefault="00BD579F">
      <w:pPr>
        <w:spacing w:line="240" w:lineRule="auto"/>
        <w:jc w:val="both"/>
        <w:rPr>
          <w:rFonts w:ascii="Calibri" w:eastAsia="Calibri" w:hAnsi="Calibri" w:cs="Calibri"/>
          <w:b/>
          <w:sz w:val="28"/>
          <w:szCs w:val="28"/>
        </w:rPr>
      </w:pPr>
    </w:p>
    <w:p w14:paraId="36B1A25A" w14:textId="77777777" w:rsidR="00BD579F" w:rsidRDefault="00BD579F">
      <w:pPr>
        <w:spacing w:line="240" w:lineRule="auto"/>
        <w:jc w:val="both"/>
        <w:rPr>
          <w:rFonts w:ascii="Calibri" w:eastAsia="Calibri" w:hAnsi="Calibri" w:cs="Calibri"/>
          <w:b/>
          <w:sz w:val="28"/>
          <w:szCs w:val="28"/>
        </w:rPr>
      </w:pPr>
    </w:p>
    <w:p w14:paraId="57AE1722" w14:textId="77777777" w:rsidR="00BD579F" w:rsidRDefault="00BD579F">
      <w:pPr>
        <w:spacing w:line="240" w:lineRule="auto"/>
        <w:jc w:val="both"/>
        <w:rPr>
          <w:rFonts w:ascii="Calibri" w:eastAsia="Calibri" w:hAnsi="Calibri" w:cs="Calibri"/>
          <w:b/>
          <w:sz w:val="28"/>
          <w:szCs w:val="28"/>
        </w:rPr>
      </w:pPr>
    </w:p>
    <w:p w14:paraId="4CBA5548" w14:textId="77777777" w:rsidR="00BD579F" w:rsidRDefault="00BD579F">
      <w:pPr>
        <w:spacing w:line="240" w:lineRule="auto"/>
        <w:jc w:val="both"/>
        <w:rPr>
          <w:rFonts w:ascii="Calibri" w:eastAsia="Calibri" w:hAnsi="Calibri" w:cs="Calibri"/>
          <w:b/>
          <w:sz w:val="28"/>
          <w:szCs w:val="28"/>
        </w:rPr>
      </w:pPr>
    </w:p>
    <w:p w14:paraId="23669482" w14:textId="77777777" w:rsidR="00BD579F" w:rsidRDefault="00BD579F">
      <w:pPr>
        <w:spacing w:line="240" w:lineRule="auto"/>
        <w:jc w:val="both"/>
        <w:rPr>
          <w:rFonts w:ascii="Calibri" w:eastAsia="Calibri" w:hAnsi="Calibri" w:cs="Calibri"/>
          <w:b/>
          <w:sz w:val="28"/>
          <w:szCs w:val="28"/>
        </w:rPr>
      </w:pPr>
    </w:p>
    <w:p w14:paraId="315C018A" w14:textId="77777777" w:rsidR="00BD579F" w:rsidRDefault="00CE1CC9">
      <w:pPr>
        <w:spacing w:line="240" w:lineRule="auto"/>
        <w:jc w:val="both"/>
        <w:rPr>
          <w:rFonts w:ascii="Calibri" w:eastAsia="Calibri" w:hAnsi="Calibri" w:cs="Calibri"/>
          <w:sz w:val="28"/>
          <w:szCs w:val="28"/>
        </w:rPr>
      </w:pPr>
      <w:r>
        <w:rPr>
          <w:rFonts w:ascii="Calibri" w:eastAsia="Calibri" w:hAnsi="Calibri" w:cs="Calibri"/>
          <w:b/>
          <w:sz w:val="28"/>
          <w:szCs w:val="28"/>
        </w:rPr>
        <w:t xml:space="preserve">Supplementary Figure 5 </w:t>
      </w:r>
      <w:r>
        <w:rPr>
          <w:rFonts w:ascii="Calibri" w:eastAsia="Calibri" w:hAnsi="Calibri" w:cs="Calibri"/>
          <w:sz w:val="28"/>
          <w:szCs w:val="28"/>
        </w:rPr>
        <w:t>Violin plot of pairwise distance of probable/definite HCAI samples with 90% coverage from the Alpha variant and non-Alpha variant a) across all samples b) within samples in the same trust and ward. The mean pairwise distance of HCAI samples was lower for the Alpha variant than non-</w:t>
      </w:r>
      <w:r>
        <w:rPr>
          <w:rFonts w:ascii="Calibri" w:eastAsia="Calibri" w:hAnsi="Calibri" w:cs="Calibri"/>
          <w:sz w:val="28"/>
          <w:szCs w:val="28"/>
        </w:rPr>
        <w:lastRenderedPageBreak/>
        <w:t xml:space="preserve">Alpha </w:t>
      </w:r>
      <w:proofErr w:type="gramStart"/>
      <w:r>
        <w:rPr>
          <w:rFonts w:ascii="Calibri" w:eastAsia="Calibri" w:hAnsi="Calibri" w:cs="Calibri"/>
          <w:sz w:val="28"/>
          <w:szCs w:val="28"/>
        </w:rPr>
        <w:t>variant  (</w:t>
      </w:r>
      <w:proofErr w:type="gramEnd"/>
      <w:r>
        <w:rPr>
          <w:rFonts w:ascii="Calibri" w:eastAsia="Calibri" w:hAnsi="Calibri" w:cs="Calibri"/>
          <w:sz w:val="28"/>
          <w:szCs w:val="28"/>
        </w:rPr>
        <w:t>mean=6.75 SNPs (95% CI 6.74-6.78) vs mean=8.01 SNPs (95% CI 7.95-8.07), Mann-Whitney U test p &lt;0.05). The mean pairwise distance between probable/definite HCAI samples taken from the same trust and ward was higher for the Alpha variant than non-Alpha variant (mean=1.95 SNPs (95% CI 1.64-2.27) vs mean = 0.71 SNPs (95% CI 0.64-0.78), Mann-Whitney U test p &lt;0.05).  The number below the violin plots indicates the corresponding number of pairwise comparisons.</w:t>
      </w:r>
    </w:p>
    <w:p w14:paraId="31B3DB75" w14:textId="77777777" w:rsidR="00BD579F" w:rsidRDefault="00BD579F">
      <w:pPr>
        <w:spacing w:line="240" w:lineRule="auto"/>
        <w:jc w:val="both"/>
        <w:rPr>
          <w:rFonts w:ascii="Calibri" w:eastAsia="Calibri" w:hAnsi="Calibri" w:cs="Calibri"/>
          <w:b/>
          <w:sz w:val="28"/>
          <w:szCs w:val="28"/>
        </w:rPr>
      </w:pPr>
    </w:p>
    <w:p w14:paraId="5BF6E68D" w14:textId="77777777" w:rsidR="00BD579F" w:rsidRDefault="00BD579F">
      <w:pPr>
        <w:spacing w:line="240" w:lineRule="auto"/>
        <w:jc w:val="both"/>
        <w:rPr>
          <w:rFonts w:ascii="Calibri" w:eastAsia="Calibri" w:hAnsi="Calibri" w:cs="Calibri"/>
          <w:b/>
          <w:sz w:val="28"/>
          <w:szCs w:val="28"/>
        </w:rPr>
      </w:pPr>
    </w:p>
    <w:p w14:paraId="29F7A144" w14:textId="77777777" w:rsidR="00BD579F" w:rsidRDefault="00CE1CC9">
      <w:pPr>
        <w:spacing w:line="240" w:lineRule="auto"/>
        <w:jc w:val="both"/>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5B9B7CCC" wp14:editId="770F8369">
            <wp:extent cx="5731200" cy="2870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2"/>
                    <a:srcRect/>
                    <a:stretch>
                      <a:fillRect/>
                    </a:stretch>
                  </pic:blipFill>
                  <pic:spPr>
                    <a:xfrm>
                      <a:off x="0" y="0"/>
                      <a:ext cx="5731200" cy="2870200"/>
                    </a:xfrm>
                    <a:prstGeom prst="rect">
                      <a:avLst/>
                    </a:prstGeom>
                    <a:ln/>
                  </pic:spPr>
                </pic:pic>
              </a:graphicData>
            </a:graphic>
          </wp:inline>
        </w:drawing>
      </w:r>
    </w:p>
    <w:p w14:paraId="1BF272B7" w14:textId="77777777" w:rsidR="00BD579F" w:rsidRDefault="00BD579F">
      <w:pPr>
        <w:spacing w:line="240" w:lineRule="auto"/>
        <w:jc w:val="both"/>
        <w:rPr>
          <w:rFonts w:ascii="Calibri" w:eastAsia="Calibri" w:hAnsi="Calibri" w:cs="Calibri"/>
          <w:b/>
          <w:sz w:val="28"/>
          <w:szCs w:val="28"/>
        </w:rPr>
      </w:pPr>
    </w:p>
    <w:p w14:paraId="3F27951F" w14:textId="77777777" w:rsidR="00BD579F" w:rsidRDefault="00BD579F">
      <w:pPr>
        <w:spacing w:line="240" w:lineRule="auto"/>
        <w:jc w:val="both"/>
        <w:rPr>
          <w:rFonts w:ascii="Calibri" w:eastAsia="Calibri" w:hAnsi="Calibri" w:cs="Calibri"/>
          <w:b/>
          <w:sz w:val="28"/>
          <w:szCs w:val="28"/>
        </w:rPr>
      </w:pPr>
    </w:p>
    <w:p w14:paraId="6C909A67" w14:textId="77777777" w:rsidR="00BD579F" w:rsidRDefault="00BD579F">
      <w:pPr>
        <w:spacing w:line="240" w:lineRule="auto"/>
        <w:jc w:val="both"/>
        <w:rPr>
          <w:rFonts w:ascii="Calibri" w:eastAsia="Calibri" w:hAnsi="Calibri" w:cs="Calibri"/>
          <w:b/>
          <w:sz w:val="28"/>
          <w:szCs w:val="28"/>
        </w:rPr>
      </w:pPr>
    </w:p>
    <w:p w14:paraId="028060F3" w14:textId="77777777" w:rsidR="00BD579F" w:rsidRDefault="00BD579F">
      <w:pPr>
        <w:spacing w:line="240" w:lineRule="auto"/>
        <w:jc w:val="both"/>
        <w:rPr>
          <w:rFonts w:ascii="Calibri" w:eastAsia="Calibri" w:hAnsi="Calibri" w:cs="Calibri"/>
          <w:b/>
          <w:sz w:val="28"/>
          <w:szCs w:val="28"/>
        </w:rPr>
      </w:pPr>
    </w:p>
    <w:p w14:paraId="121403C0" w14:textId="77777777" w:rsidR="00BD579F" w:rsidRDefault="00BD579F">
      <w:pPr>
        <w:spacing w:line="240" w:lineRule="auto"/>
        <w:jc w:val="both"/>
        <w:rPr>
          <w:rFonts w:ascii="Calibri" w:eastAsia="Calibri" w:hAnsi="Calibri" w:cs="Calibri"/>
          <w:b/>
          <w:sz w:val="28"/>
          <w:szCs w:val="28"/>
        </w:rPr>
      </w:pPr>
    </w:p>
    <w:p w14:paraId="24E09C72" w14:textId="77777777" w:rsidR="00BD579F" w:rsidRDefault="00BD579F">
      <w:pPr>
        <w:spacing w:line="240" w:lineRule="auto"/>
        <w:jc w:val="both"/>
        <w:rPr>
          <w:rFonts w:ascii="Calibri" w:eastAsia="Calibri" w:hAnsi="Calibri" w:cs="Calibri"/>
          <w:b/>
          <w:sz w:val="28"/>
          <w:szCs w:val="28"/>
        </w:rPr>
      </w:pPr>
    </w:p>
    <w:p w14:paraId="57DE74AA" w14:textId="77777777" w:rsidR="00BD579F" w:rsidRDefault="00BD579F">
      <w:pPr>
        <w:spacing w:line="240" w:lineRule="auto"/>
        <w:jc w:val="both"/>
        <w:rPr>
          <w:rFonts w:ascii="Calibri" w:eastAsia="Calibri" w:hAnsi="Calibri" w:cs="Calibri"/>
          <w:b/>
          <w:sz w:val="28"/>
          <w:szCs w:val="28"/>
        </w:rPr>
      </w:pPr>
    </w:p>
    <w:p w14:paraId="0C2E80E4" w14:textId="77777777" w:rsidR="00BD579F" w:rsidRDefault="00BD579F">
      <w:pPr>
        <w:spacing w:line="240" w:lineRule="auto"/>
        <w:jc w:val="both"/>
        <w:rPr>
          <w:rFonts w:ascii="Calibri" w:eastAsia="Calibri" w:hAnsi="Calibri" w:cs="Calibri"/>
          <w:b/>
          <w:sz w:val="28"/>
          <w:szCs w:val="28"/>
        </w:rPr>
      </w:pPr>
    </w:p>
    <w:p w14:paraId="6F136A37" w14:textId="77777777" w:rsidR="00BD579F" w:rsidRDefault="00BD579F">
      <w:pPr>
        <w:spacing w:line="240" w:lineRule="auto"/>
        <w:jc w:val="both"/>
        <w:rPr>
          <w:rFonts w:ascii="Calibri" w:eastAsia="Calibri" w:hAnsi="Calibri" w:cs="Calibri"/>
          <w:b/>
          <w:sz w:val="28"/>
          <w:szCs w:val="28"/>
        </w:rPr>
      </w:pPr>
    </w:p>
    <w:p w14:paraId="56DEB372" w14:textId="77777777" w:rsidR="00BD579F" w:rsidRDefault="00BD579F">
      <w:pPr>
        <w:spacing w:line="240" w:lineRule="auto"/>
        <w:jc w:val="both"/>
        <w:rPr>
          <w:rFonts w:ascii="Calibri" w:eastAsia="Calibri" w:hAnsi="Calibri" w:cs="Calibri"/>
          <w:b/>
          <w:sz w:val="28"/>
          <w:szCs w:val="28"/>
        </w:rPr>
      </w:pPr>
    </w:p>
    <w:p w14:paraId="3896F2CF" w14:textId="77777777" w:rsidR="00BD579F" w:rsidRDefault="00CE1CC9">
      <w:pPr>
        <w:spacing w:line="240" w:lineRule="auto"/>
        <w:jc w:val="both"/>
        <w:rPr>
          <w:rFonts w:ascii="Calibri" w:eastAsia="Calibri" w:hAnsi="Calibri" w:cs="Calibri"/>
          <w:sz w:val="28"/>
          <w:szCs w:val="28"/>
        </w:rPr>
      </w:pPr>
      <w:r>
        <w:rPr>
          <w:rFonts w:ascii="Calibri" w:eastAsia="Calibri" w:hAnsi="Calibri" w:cs="Calibri"/>
          <w:b/>
          <w:sz w:val="28"/>
          <w:szCs w:val="28"/>
        </w:rPr>
        <w:t xml:space="preserve">Supplementary Figure 6: Sensitivity analysis comparing different outbreak/cluster definitions. </w:t>
      </w:r>
      <w:r>
        <w:rPr>
          <w:rFonts w:ascii="Calibri" w:eastAsia="Calibri" w:hAnsi="Calibri" w:cs="Calibri"/>
          <w:sz w:val="28"/>
          <w:szCs w:val="28"/>
        </w:rPr>
        <w:t xml:space="preserve">The violin plot shows the size of outbreaks in hospital-onset COVID-19 infection patients for four categories: </w:t>
      </w: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Alpha variant in hospitals in London and outside London, non-Alpha variant in London and outside London. Different outbreak’s definitions are presented: A) same lineage, no time threshold (A1), 7-days threshold, (A2) 14 days threshold (A3); B) SNPs difference = 0 (identical sequence), no time threshold (B1), 7-days threshold (same as figure 3), (B2) 14 days threshold (B3); C) SNPs difference &lt;=2, no time </w:t>
      </w:r>
      <w:r>
        <w:rPr>
          <w:rFonts w:ascii="Calibri" w:eastAsia="Calibri" w:hAnsi="Calibri" w:cs="Calibri"/>
          <w:sz w:val="28"/>
          <w:szCs w:val="28"/>
        </w:rPr>
        <w:lastRenderedPageBreak/>
        <w:t>threshold (C1), 7-days threshold (same as figure 3), (C2) 14 days threshold (C3); D) SNPs difference = 0 multi-ward within hospital , no time threshold (D1), 7-days threshold (D2),  14 days threshold (D3).</w:t>
      </w:r>
    </w:p>
    <w:p w14:paraId="11EDB33D" w14:textId="77777777" w:rsidR="00BD579F" w:rsidRDefault="00BD579F">
      <w:pPr>
        <w:spacing w:line="240" w:lineRule="auto"/>
        <w:jc w:val="both"/>
        <w:rPr>
          <w:rFonts w:ascii="Calibri" w:eastAsia="Calibri" w:hAnsi="Calibri" w:cs="Calibri"/>
          <w:b/>
          <w:sz w:val="28"/>
          <w:szCs w:val="28"/>
        </w:rPr>
      </w:pPr>
    </w:p>
    <w:p w14:paraId="6701DBF0" w14:textId="77777777" w:rsidR="00BD579F" w:rsidRDefault="00BD579F">
      <w:pPr>
        <w:spacing w:line="240" w:lineRule="auto"/>
        <w:jc w:val="both"/>
        <w:rPr>
          <w:rFonts w:ascii="Calibri" w:eastAsia="Calibri" w:hAnsi="Calibri" w:cs="Calibri"/>
          <w:b/>
          <w:sz w:val="28"/>
          <w:szCs w:val="28"/>
        </w:rPr>
      </w:pPr>
    </w:p>
    <w:p w14:paraId="4D5F698B" w14:textId="77777777" w:rsidR="00BD579F" w:rsidRDefault="00BD579F">
      <w:pPr>
        <w:spacing w:before="240" w:after="240" w:line="240" w:lineRule="auto"/>
        <w:jc w:val="both"/>
        <w:rPr>
          <w:rFonts w:ascii="Calibri" w:eastAsia="Calibri" w:hAnsi="Calibri" w:cs="Calibri"/>
          <w:b/>
          <w:sz w:val="28"/>
          <w:szCs w:val="28"/>
        </w:rPr>
      </w:pPr>
    </w:p>
    <w:p w14:paraId="6060CDCA" w14:textId="77777777" w:rsidR="00BD579F" w:rsidRDefault="00CE1CC9">
      <w:pPr>
        <w:spacing w:before="240" w:after="240" w:line="240" w:lineRule="auto"/>
        <w:jc w:val="both"/>
      </w:pPr>
      <w:r>
        <w:rPr>
          <w:noProof/>
        </w:rPr>
        <w:drawing>
          <wp:inline distT="114300" distB="114300" distL="114300" distR="114300" wp14:anchorId="2931432A" wp14:editId="61EA6B03">
            <wp:extent cx="6415405" cy="408156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3"/>
                    <a:srcRect/>
                    <a:stretch>
                      <a:fillRect/>
                    </a:stretch>
                  </pic:blipFill>
                  <pic:spPr>
                    <a:xfrm>
                      <a:off x="0" y="0"/>
                      <a:ext cx="6415405" cy="4081562"/>
                    </a:xfrm>
                    <a:prstGeom prst="rect">
                      <a:avLst/>
                    </a:prstGeom>
                    <a:ln/>
                  </pic:spPr>
                </pic:pic>
              </a:graphicData>
            </a:graphic>
          </wp:inline>
        </w:drawing>
      </w:r>
    </w:p>
    <w:sectPr w:rsidR="00BD579F">
      <w:pgSz w:w="11909" w:h="16834"/>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79F"/>
    <w:rsid w:val="00383B69"/>
    <w:rsid w:val="00515AA9"/>
    <w:rsid w:val="005D3A4B"/>
    <w:rsid w:val="006D4408"/>
    <w:rsid w:val="007A20D5"/>
    <w:rsid w:val="00810E09"/>
    <w:rsid w:val="00A11C92"/>
    <w:rsid w:val="00A20460"/>
    <w:rsid w:val="00AC6D19"/>
    <w:rsid w:val="00BD579F"/>
    <w:rsid w:val="00BE34C0"/>
    <w:rsid w:val="00C440C1"/>
    <w:rsid w:val="00CB2870"/>
    <w:rsid w:val="00CE1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17F226F"/>
  <w15:docId w15:val="{B97A5EF0-B9D8-2848-BA47-1237F4FF6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810E0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287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87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534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ynL1xC" TargetMode="External"/><Relationship Id="rId21" Type="http://schemas.openxmlformats.org/officeDocument/2006/relationships/hyperlink" Target="https://www.zotero.org/google-docs/?b5jLUu" TargetMode="External"/><Relationship Id="rId42" Type="http://schemas.openxmlformats.org/officeDocument/2006/relationships/hyperlink" Target="https://www.zotero.org/google-docs/?ynL1xC" TargetMode="External"/><Relationship Id="rId63" Type="http://schemas.openxmlformats.org/officeDocument/2006/relationships/hyperlink" Target="https://www.zotero.org/google-docs/?ynL1xC" TargetMode="External"/><Relationship Id="rId84" Type="http://schemas.openxmlformats.org/officeDocument/2006/relationships/hyperlink" Target="https://www.zotero.org/google-docs/?ynL1xC" TargetMode="External"/><Relationship Id="rId138" Type="http://schemas.openxmlformats.org/officeDocument/2006/relationships/hyperlink" Target="https://www.zotero.org/google-docs/?ynL1xC" TargetMode="External"/><Relationship Id="rId159" Type="http://schemas.openxmlformats.org/officeDocument/2006/relationships/hyperlink" Target="https://www.zotero.org/google-docs/?ynL1xC" TargetMode="External"/><Relationship Id="rId170" Type="http://schemas.openxmlformats.org/officeDocument/2006/relationships/image" Target="media/image7.png"/><Relationship Id="rId107" Type="http://schemas.openxmlformats.org/officeDocument/2006/relationships/hyperlink" Target="https://www.zotero.org/google-docs/?ynL1xC" TargetMode="External"/><Relationship Id="rId11" Type="http://schemas.openxmlformats.org/officeDocument/2006/relationships/hyperlink" Target="https://www.zotero.org/google-docs/?jY13R4" TargetMode="External"/><Relationship Id="rId32" Type="http://schemas.openxmlformats.org/officeDocument/2006/relationships/hyperlink" Target="https://www.zotero.org/google-docs/?ynL1xC" TargetMode="External"/><Relationship Id="rId53" Type="http://schemas.openxmlformats.org/officeDocument/2006/relationships/hyperlink" Target="https://www.zotero.org/google-docs/?ynL1xC" TargetMode="External"/><Relationship Id="rId74" Type="http://schemas.openxmlformats.org/officeDocument/2006/relationships/hyperlink" Target="https://www.zotero.org/google-docs/?ynL1xC" TargetMode="External"/><Relationship Id="rId128" Type="http://schemas.openxmlformats.org/officeDocument/2006/relationships/hyperlink" Target="https://www.zotero.org/google-docs/?ynL1xC" TargetMode="External"/><Relationship Id="rId149" Type="http://schemas.openxmlformats.org/officeDocument/2006/relationships/hyperlink" Target="https://www.zotero.org/google-docs/?ynL1xC" TargetMode="External"/><Relationship Id="rId5" Type="http://schemas.openxmlformats.org/officeDocument/2006/relationships/hyperlink" Target="https://www.zotero.org/google-docs/?7BjvPc" TargetMode="External"/><Relationship Id="rId95" Type="http://schemas.openxmlformats.org/officeDocument/2006/relationships/hyperlink" Target="https://www.zotero.org/google-docs/?ynL1xC" TargetMode="External"/><Relationship Id="rId160" Type="http://schemas.openxmlformats.org/officeDocument/2006/relationships/hyperlink" Target="https://www.zotero.org/google-docs/?ynL1xC" TargetMode="External"/><Relationship Id="rId22" Type="http://schemas.openxmlformats.org/officeDocument/2006/relationships/hyperlink" Target="https://www.zotero.org/google-docs/?SXn5Ci" TargetMode="External"/><Relationship Id="rId43" Type="http://schemas.openxmlformats.org/officeDocument/2006/relationships/hyperlink" Target="https://www.zotero.org/google-docs/?ynL1xC" TargetMode="External"/><Relationship Id="rId64" Type="http://schemas.openxmlformats.org/officeDocument/2006/relationships/hyperlink" Target="https://www.zotero.org/google-docs/?ynL1xC" TargetMode="External"/><Relationship Id="rId118" Type="http://schemas.openxmlformats.org/officeDocument/2006/relationships/hyperlink" Target="https://www.zotero.org/google-docs/?ynL1xC" TargetMode="External"/><Relationship Id="rId139" Type="http://schemas.openxmlformats.org/officeDocument/2006/relationships/hyperlink" Target="https://www.zotero.org/google-docs/?ynL1xC" TargetMode="External"/><Relationship Id="rId85" Type="http://schemas.openxmlformats.org/officeDocument/2006/relationships/hyperlink" Target="https://www.zotero.org/google-docs/?ynL1xC" TargetMode="External"/><Relationship Id="rId150" Type="http://schemas.openxmlformats.org/officeDocument/2006/relationships/hyperlink" Target="https://www.zotero.org/google-docs/?ynL1xC" TargetMode="External"/><Relationship Id="rId171" Type="http://schemas.openxmlformats.org/officeDocument/2006/relationships/image" Target="media/image8.png"/><Relationship Id="rId12" Type="http://schemas.openxmlformats.org/officeDocument/2006/relationships/hyperlink" Target="https://www.zotero.org/google-docs/?nSn1Y1" TargetMode="External"/><Relationship Id="rId33" Type="http://schemas.openxmlformats.org/officeDocument/2006/relationships/hyperlink" Target="https://www.zotero.org/google-docs/?ynL1xC" TargetMode="External"/><Relationship Id="rId108" Type="http://schemas.openxmlformats.org/officeDocument/2006/relationships/hyperlink" Target="https://www.zotero.org/google-docs/?ynL1xC" TargetMode="External"/><Relationship Id="rId129" Type="http://schemas.openxmlformats.org/officeDocument/2006/relationships/hyperlink" Target="https://www.zotero.org/google-docs/?ynL1xC" TargetMode="External"/><Relationship Id="rId54" Type="http://schemas.openxmlformats.org/officeDocument/2006/relationships/hyperlink" Target="https://www.zotero.org/google-docs/?ynL1xC" TargetMode="External"/><Relationship Id="rId75" Type="http://schemas.openxmlformats.org/officeDocument/2006/relationships/hyperlink" Target="https://www.zotero.org/google-docs/?ynL1xC" TargetMode="External"/><Relationship Id="rId96" Type="http://schemas.openxmlformats.org/officeDocument/2006/relationships/hyperlink" Target="https://www.zotero.org/google-docs/?ynL1xC" TargetMode="External"/><Relationship Id="rId140" Type="http://schemas.openxmlformats.org/officeDocument/2006/relationships/hyperlink" Target="https://www.zotero.org/google-docs/?ynL1xC" TargetMode="External"/><Relationship Id="rId161" Type="http://schemas.openxmlformats.org/officeDocument/2006/relationships/hyperlink" Target="https://www.zotero.org/google-docs/?ynL1xC" TargetMode="External"/><Relationship Id="rId1" Type="http://schemas.openxmlformats.org/officeDocument/2006/relationships/styles" Target="styles.xml"/><Relationship Id="rId6" Type="http://schemas.openxmlformats.org/officeDocument/2006/relationships/hyperlink" Target="https://www.zotero.org/google-docs/?VDbml5" TargetMode="External"/><Relationship Id="rId23" Type="http://schemas.openxmlformats.org/officeDocument/2006/relationships/hyperlink" Target="https://www.zotero.org/google-docs/?vBPWef" TargetMode="External"/><Relationship Id="rId28" Type="http://schemas.openxmlformats.org/officeDocument/2006/relationships/hyperlink" Target="https://www.zotero.org/google-docs/?Dhv3pC" TargetMode="External"/><Relationship Id="rId49" Type="http://schemas.openxmlformats.org/officeDocument/2006/relationships/hyperlink" Target="https://www.zotero.org/google-docs/?ynL1xC" TargetMode="External"/><Relationship Id="rId114" Type="http://schemas.openxmlformats.org/officeDocument/2006/relationships/hyperlink" Target="https://www.zotero.org/google-docs/?ynL1xC" TargetMode="External"/><Relationship Id="rId119" Type="http://schemas.openxmlformats.org/officeDocument/2006/relationships/hyperlink" Target="https://www.zotero.org/google-docs/?ynL1xC" TargetMode="External"/><Relationship Id="rId44" Type="http://schemas.openxmlformats.org/officeDocument/2006/relationships/hyperlink" Target="https://www.zotero.org/google-docs/?ynL1xC" TargetMode="External"/><Relationship Id="rId60" Type="http://schemas.openxmlformats.org/officeDocument/2006/relationships/hyperlink" Target="https://www.zotero.org/google-docs/?ynL1xC" TargetMode="External"/><Relationship Id="rId65" Type="http://schemas.openxmlformats.org/officeDocument/2006/relationships/hyperlink" Target="https://www.zotero.org/google-docs/?ynL1xC" TargetMode="External"/><Relationship Id="rId81" Type="http://schemas.openxmlformats.org/officeDocument/2006/relationships/hyperlink" Target="https://www.zotero.org/google-docs/?ynL1xC" TargetMode="External"/><Relationship Id="rId86" Type="http://schemas.openxmlformats.org/officeDocument/2006/relationships/hyperlink" Target="https://www.zotero.org/google-docs/?ynL1xC" TargetMode="External"/><Relationship Id="rId130" Type="http://schemas.openxmlformats.org/officeDocument/2006/relationships/hyperlink" Target="https://www.zotero.org/google-docs/?ynL1xC" TargetMode="External"/><Relationship Id="rId135" Type="http://schemas.openxmlformats.org/officeDocument/2006/relationships/hyperlink" Target="https://www.zotero.org/google-docs/?ynL1xC" TargetMode="External"/><Relationship Id="rId151" Type="http://schemas.openxmlformats.org/officeDocument/2006/relationships/hyperlink" Target="https://www.zotero.org/google-docs/?ynL1xC" TargetMode="External"/><Relationship Id="rId156" Type="http://schemas.openxmlformats.org/officeDocument/2006/relationships/hyperlink" Target="https://www.zotero.org/google-docs/?ynL1xC" TargetMode="External"/><Relationship Id="rId172" Type="http://schemas.openxmlformats.org/officeDocument/2006/relationships/image" Target="media/image9.png"/><Relationship Id="rId13" Type="http://schemas.openxmlformats.org/officeDocument/2006/relationships/hyperlink" Target="https://www.zotero.org/google-docs/?KqD5Po" TargetMode="External"/><Relationship Id="rId18" Type="http://schemas.openxmlformats.org/officeDocument/2006/relationships/hyperlink" Target="https://www.zotero.org/google-docs/?iNBwoG" TargetMode="External"/><Relationship Id="rId39" Type="http://schemas.openxmlformats.org/officeDocument/2006/relationships/hyperlink" Target="https://www.zotero.org/google-docs/?ynL1xC" TargetMode="External"/><Relationship Id="rId109" Type="http://schemas.openxmlformats.org/officeDocument/2006/relationships/hyperlink" Target="https://www.zotero.org/google-docs/?ynL1xC" TargetMode="External"/><Relationship Id="rId34" Type="http://schemas.openxmlformats.org/officeDocument/2006/relationships/hyperlink" Target="https://www.zotero.org/google-docs/?ynL1xC" TargetMode="External"/><Relationship Id="rId50" Type="http://schemas.openxmlformats.org/officeDocument/2006/relationships/hyperlink" Target="https://www.zotero.org/google-docs/?ynL1xC" TargetMode="External"/><Relationship Id="rId55" Type="http://schemas.openxmlformats.org/officeDocument/2006/relationships/hyperlink" Target="https://www.zotero.org/google-docs/?ynL1xC" TargetMode="External"/><Relationship Id="rId76" Type="http://schemas.openxmlformats.org/officeDocument/2006/relationships/hyperlink" Target="https://www.zotero.org/google-docs/?ynL1xC" TargetMode="External"/><Relationship Id="rId97" Type="http://schemas.openxmlformats.org/officeDocument/2006/relationships/hyperlink" Target="https://www.zotero.org/google-docs/?ynL1xC" TargetMode="External"/><Relationship Id="rId104" Type="http://schemas.openxmlformats.org/officeDocument/2006/relationships/hyperlink" Target="https://www.zotero.org/google-docs/?ynL1xC" TargetMode="External"/><Relationship Id="rId120" Type="http://schemas.openxmlformats.org/officeDocument/2006/relationships/hyperlink" Target="https://www.zotero.org/google-docs/?ynL1xC" TargetMode="External"/><Relationship Id="rId125" Type="http://schemas.openxmlformats.org/officeDocument/2006/relationships/hyperlink" Target="https://www.zotero.org/google-docs/?ynL1xC" TargetMode="External"/><Relationship Id="rId141" Type="http://schemas.openxmlformats.org/officeDocument/2006/relationships/hyperlink" Target="https://www.zotero.org/google-docs/?ynL1xC" TargetMode="External"/><Relationship Id="rId146" Type="http://schemas.openxmlformats.org/officeDocument/2006/relationships/hyperlink" Target="https://www.zotero.org/google-docs/?ynL1xC" TargetMode="External"/><Relationship Id="rId167" Type="http://schemas.openxmlformats.org/officeDocument/2006/relationships/image" Target="media/image4.png"/><Relationship Id="rId7" Type="http://schemas.openxmlformats.org/officeDocument/2006/relationships/hyperlink" Target="https://www.zotero.org/google-docs/?cixz1j" TargetMode="External"/><Relationship Id="rId71" Type="http://schemas.openxmlformats.org/officeDocument/2006/relationships/hyperlink" Target="https://www.zotero.org/google-docs/?ynL1xC" TargetMode="External"/><Relationship Id="rId92" Type="http://schemas.openxmlformats.org/officeDocument/2006/relationships/hyperlink" Target="https://www.zotero.org/google-docs/?ynL1xC" TargetMode="External"/><Relationship Id="rId162" Type="http://schemas.openxmlformats.org/officeDocument/2006/relationships/hyperlink" Target="https://www.zotero.org/google-docs/?ynL1xC" TargetMode="External"/><Relationship Id="rId2" Type="http://schemas.openxmlformats.org/officeDocument/2006/relationships/settings" Target="settings.xml"/><Relationship Id="rId29" Type="http://schemas.openxmlformats.org/officeDocument/2006/relationships/hyperlink" Target="https://www.zotero.org/google-docs/?anYo9U" TargetMode="External"/><Relationship Id="rId24" Type="http://schemas.openxmlformats.org/officeDocument/2006/relationships/hyperlink" Target="https://www.zotero.org/google-docs/?QBBgHj" TargetMode="External"/><Relationship Id="rId40" Type="http://schemas.openxmlformats.org/officeDocument/2006/relationships/hyperlink" Target="https://www.zotero.org/google-docs/?ynL1xC" TargetMode="External"/><Relationship Id="rId45" Type="http://schemas.openxmlformats.org/officeDocument/2006/relationships/hyperlink" Target="https://www.zotero.org/google-docs/?ynL1xC" TargetMode="External"/><Relationship Id="rId66" Type="http://schemas.openxmlformats.org/officeDocument/2006/relationships/hyperlink" Target="https://www.zotero.org/google-docs/?ynL1xC" TargetMode="External"/><Relationship Id="rId87" Type="http://schemas.openxmlformats.org/officeDocument/2006/relationships/hyperlink" Target="https://www.zotero.org/google-docs/?ynL1xC" TargetMode="External"/><Relationship Id="rId110" Type="http://schemas.openxmlformats.org/officeDocument/2006/relationships/hyperlink" Target="https://www.zotero.org/google-docs/?ynL1xC" TargetMode="External"/><Relationship Id="rId115" Type="http://schemas.openxmlformats.org/officeDocument/2006/relationships/hyperlink" Target="https://www.zotero.org/google-docs/?ynL1xC" TargetMode="External"/><Relationship Id="rId131" Type="http://schemas.openxmlformats.org/officeDocument/2006/relationships/hyperlink" Target="https://www.zotero.org/google-docs/?ynL1xC" TargetMode="External"/><Relationship Id="rId136" Type="http://schemas.openxmlformats.org/officeDocument/2006/relationships/hyperlink" Target="https://www.zotero.org/google-docs/?ynL1xC" TargetMode="External"/><Relationship Id="rId157" Type="http://schemas.openxmlformats.org/officeDocument/2006/relationships/hyperlink" Target="https://www.zotero.org/google-docs/?ynL1xC" TargetMode="External"/><Relationship Id="rId61" Type="http://schemas.openxmlformats.org/officeDocument/2006/relationships/hyperlink" Target="https://www.zotero.org/google-docs/?ynL1xC" TargetMode="External"/><Relationship Id="rId82" Type="http://schemas.openxmlformats.org/officeDocument/2006/relationships/hyperlink" Target="https://www.zotero.org/google-docs/?ynL1xC" TargetMode="External"/><Relationship Id="rId152" Type="http://schemas.openxmlformats.org/officeDocument/2006/relationships/hyperlink" Target="https://www.zotero.org/google-docs/?ynL1xC" TargetMode="External"/><Relationship Id="rId173" Type="http://schemas.openxmlformats.org/officeDocument/2006/relationships/image" Target="media/image10.png"/><Relationship Id="rId19" Type="http://schemas.openxmlformats.org/officeDocument/2006/relationships/hyperlink" Target="https://www.zotero.org/google-docs/?KsAAdw" TargetMode="External"/><Relationship Id="rId14" Type="http://schemas.openxmlformats.org/officeDocument/2006/relationships/hyperlink" Target="https://www.zotero.org/google-docs/?rinGlH" TargetMode="External"/><Relationship Id="rId30" Type="http://schemas.openxmlformats.org/officeDocument/2006/relationships/hyperlink" Target="https://www.zotero.org/google-docs/?ou6sgJ" TargetMode="External"/><Relationship Id="rId35" Type="http://schemas.openxmlformats.org/officeDocument/2006/relationships/hyperlink" Target="https://www.zotero.org/google-docs/?ynL1xC" TargetMode="External"/><Relationship Id="rId56" Type="http://schemas.openxmlformats.org/officeDocument/2006/relationships/hyperlink" Target="https://www.zotero.org/google-docs/?ynL1xC" TargetMode="External"/><Relationship Id="rId77" Type="http://schemas.openxmlformats.org/officeDocument/2006/relationships/hyperlink" Target="https://www.zotero.org/google-docs/?ynL1xC" TargetMode="External"/><Relationship Id="rId100" Type="http://schemas.openxmlformats.org/officeDocument/2006/relationships/hyperlink" Target="https://www.zotero.org/google-docs/?ynL1xC" TargetMode="External"/><Relationship Id="rId105" Type="http://schemas.openxmlformats.org/officeDocument/2006/relationships/hyperlink" Target="https://www.zotero.org/google-docs/?ynL1xC" TargetMode="External"/><Relationship Id="rId126" Type="http://schemas.openxmlformats.org/officeDocument/2006/relationships/hyperlink" Target="https://www.zotero.org/google-docs/?ynL1xC" TargetMode="External"/><Relationship Id="rId147" Type="http://schemas.openxmlformats.org/officeDocument/2006/relationships/hyperlink" Target="https://www.zotero.org/google-docs/?ynL1xC" TargetMode="External"/><Relationship Id="rId168" Type="http://schemas.openxmlformats.org/officeDocument/2006/relationships/image" Target="media/image5.png"/><Relationship Id="rId8" Type="http://schemas.openxmlformats.org/officeDocument/2006/relationships/hyperlink" Target="https://www.zotero.org/google-docs/?Ux4Cqq" TargetMode="External"/><Relationship Id="rId51" Type="http://schemas.openxmlformats.org/officeDocument/2006/relationships/hyperlink" Target="https://www.zotero.org/google-docs/?ynL1xC" TargetMode="External"/><Relationship Id="rId72" Type="http://schemas.openxmlformats.org/officeDocument/2006/relationships/hyperlink" Target="https://www.zotero.org/google-docs/?ynL1xC" TargetMode="External"/><Relationship Id="rId93" Type="http://schemas.openxmlformats.org/officeDocument/2006/relationships/hyperlink" Target="https://www.zotero.org/google-docs/?ynL1xC" TargetMode="External"/><Relationship Id="rId98" Type="http://schemas.openxmlformats.org/officeDocument/2006/relationships/hyperlink" Target="https://www.zotero.org/google-docs/?ynL1xC" TargetMode="External"/><Relationship Id="rId121" Type="http://schemas.openxmlformats.org/officeDocument/2006/relationships/hyperlink" Target="https://www.zotero.org/google-docs/?ynL1xC" TargetMode="External"/><Relationship Id="rId142" Type="http://schemas.openxmlformats.org/officeDocument/2006/relationships/hyperlink" Target="https://www.zotero.org/google-docs/?ynL1xC" TargetMode="External"/><Relationship Id="rId163" Type="http://schemas.openxmlformats.org/officeDocument/2006/relationships/hyperlink" Target="https://www.zotero.org/google-docs/?ynL1xC" TargetMode="External"/><Relationship Id="rId3" Type="http://schemas.openxmlformats.org/officeDocument/2006/relationships/webSettings" Target="webSettings.xml"/><Relationship Id="rId25" Type="http://schemas.openxmlformats.org/officeDocument/2006/relationships/hyperlink" Target="https://www.zotero.org/google-docs/?IguX31" TargetMode="External"/><Relationship Id="rId46" Type="http://schemas.openxmlformats.org/officeDocument/2006/relationships/hyperlink" Target="https://www.zotero.org/google-docs/?ynL1xC" TargetMode="External"/><Relationship Id="rId67" Type="http://schemas.openxmlformats.org/officeDocument/2006/relationships/hyperlink" Target="https://www.zotero.org/google-docs/?ynL1xC" TargetMode="External"/><Relationship Id="rId116" Type="http://schemas.openxmlformats.org/officeDocument/2006/relationships/hyperlink" Target="https://www.zotero.org/google-docs/?ynL1xC" TargetMode="External"/><Relationship Id="rId137" Type="http://schemas.openxmlformats.org/officeDocument/2006/relationships/hyperlink" Target="https://www.zotero.org/google-docs/?ynL1xC" TargetMode="External"/><Relationship Id="rId158" Type="http://schemas.openxmlformats.org/officeDocument/2006/relationships/hyperlink" Target="https://www.zotero.org/google-docs/?ynL1xC" TargetMode="External"/><Relationship Id="rId20" Type="http://schemas.openxmlformats.org/officeDocument/2006/relationships/hyperlink" Target="https://www.zotero.org/google-docs/?HyC2B3" TargetMode="External"/><Relationship Id="rId41" Type="http://schemas.openxmlformats.org/officeDocument/2006/relationships/hyperlink" Target="https://www.zotero.org/google-docs/?ynL1xC" TargetMode="External"/><Relationship Id="rId62" Type="http://schemas.openxmlformats.org/officeDocument/2006/relationships/hyperlink" Target="https://www.zotero.org/google-docs/?ynL1xC" TargetMode="External"/><Relationship Id="rId83" Type="http://schemas.openxmlformats.org/officeDocument/2006/relationships/hyperlink" Target="https://www.zotero.org/google-docs/?ynL1xC" TargetMode="External"/><Relationship Id="rId88" Type="http://schemas.openxmlformats.org/officeDocument/2006/relationships/hyperlink" Target="https://www.zotero.org/google-docs/?ynL1xC" TargetMode="External"/><Relationship Id="rId111" Type="http://schemas.openxmlformats.org/officeDocument/2006/relationships/hyperlink" Target="https://www.zotero.org/google-docs/?ynL1xC" TargetMode="External"/><Relationship Id="rId132" Type="http://schemas.openxmlformats.org/officeDocument/2006/relationships/hyperlink" Target="https://www.zotero.org/google-docs/?ynL1xC" TargetMode="External"/><Relationship Id="rId153" Type="http://schemas.openxmlformats.org/officeDocument/2006/relationships/hyperlink" Target="https://www.zotero.org/google-docs/?ynL1xC" TargetMode="External"/><Relationship Id="rId174" Type="http://schemas.openxmlformats.org/officeDocument/2006/relationships/fontTable" Target="fontTable.xml"/><Relationship Id="rId15" Type="http://schemas.openxmlformats.org/officeDocument/2006/relationships/hyperlink" Target="https://www.zotero.org/google-docs/?6cPr9V" TargetMode="External"/><Relationship Id="rId36" Type="http://schemas.openxmlformats.org/officeDocument/2006/relationships/hyperlink" Target="https://www.zotero.org/google-docs/?ynL1xC" TargetMode="External"/><Relationship Id="rId57" Type="http://schemas.openxmlformats.org/officeDocument/2006/relationships/hyperlink" Target="https://www.zotero.org/google-docs/?ynL1xC" TargetMode="External"/><Relationship Id="rId106" Type="http://schemas.openxmlformats.org/officeDocument/2006/relationships/hyperlink" Target="https://www.zotero.org/google-docs/?ynL1xC" TargetMode="External"/><Relationship Id="rId127" Type="http://schemas.openxmlformats.org/officeDocument/2006/relationships/hyperlink" Target="https://www.zotero.org/google-docs/?ynL1xC" TargetMode="External"/><Relationship Id="rId10" Type="http://schemas.openxmlformats.org/officeDocument/2006/relationships/hyperlink" Target="https://www.zotero.org/google-docs/?WVKc82" TargetMode="External"/><Relationship Id="rId31" Type="http://schemas.openxmlformats.org/officeDocument/2006/relationships/hyperlink" Target="https://www.zotero.org/google-docs/?k6zPPP" TargetMode="External"/><Relationship Id="rId52" Type="http://schemas.openxmlformats.org/officeDocument/2006/relationships/hyperlink" Target="https://www.zotero.org/google-docs/?ynL1xC" TargetMode="External"/><Relationship Id="rId73" Type="http://schemas.openxmlformats.org/officeDocument/2006/relationships/hyperlink" Target="https://www.zotero.org/google-docs/?ynL1xC" TargetMode="External"/><Relationship Id="rId78" Type="http://schemas.openxmlformats.org/officeDocument/2006/relationships/hyperlink" Target="https://www.zotero.org/google-docs/?ynL1xC" TargetMode="External"/><Relationship Id="rId94" Type="http://schemas.openxmlformats.org/officeDocument/2006/relationships/hyperlink" Target="https://www.zotero.org/google-docs/?ynL1xC" TargetMode="External"/><Relationship Id="rId99" Type="http://schemas.openxmlformats.org/officeDocument/2006/relationships/hyperlink" Target="https://www.zotero.org/google-docs/?ynL1xC" TargetMode="External"/><Relationship Id="rId101" Type="http://schemas.openxmlformats.org/officeDocument/2006/relationships/hyperlink" Target="https://www.zotero.org/google-docs/?ynL1xC" TargetMode="External"/><Relationship Id="rId122" Type="http://schemas.openxmlformats.org/officeDocument/2006/relationships/hyperlink" Target="https://www.zotero.org/google-docs/?ynL1xC" TargetMode="External"/><Relationship Id="rId143" Type="http://schemas.openxmlformats.org/officeDocument/2006/relationships/hyperlink" Target="https://www.zotero.org/google-docs/?ynL1xC" TargetMode="External"/><Relationship Id="rId148" Type="http://schemas.openxmlformats.org/officeDocument/2006/relationships/hyperlink" Target="https://www.zotero.org/google-docs/?ynL1xC" TargetMode="External"/><Relationship Id="rId164" Type="http://schemas.openxmlformats.org/officeDocument/2006/relationships/image" Target="media/image1.png"/><Relationship Id="rId169" Type="http://schemas.openxmlformats.org/officeDocument/2006/relationships/image" Target="media/image6.png"/><Relationship Id="rId4" Type="http://schemas.openxmlformats.org/officeDocument/2006/relationships/hyperlink" Target="https://www.zotero.org/google-docs/?ksirZX" TargetMode="External"/><Relationship Id="rId9" Type="http://schemas.openxmlformats.org/officeDocument/2006/relationships/hyperlink" Target="https://www.zotero.org/google-docs/?pYcdUf" TargetMode="External"/><Relationship Id="rId26" Type="http://schemas.openxmlformats.org/officeDocument/2006/relationships/hyperlink" Target="https://www.zotero.org/google-docs/?NkaIRN" TargetMode="External"/><Relationship Id="rId47" Type="http://schemas.openxmlformats.org/officeDocument/2006/relationships/hyperlink" Target="https://www.zotero.org/google-docs/?ynL1xC" TargetMode="External"/><Relationship Id="rId68" Type="http://schemas.openxmlformats.org/officeDocument/2006/relationships/hyperlink" Target="https://www.zotero.org/google-docs/?ynL1xC" TargetMode="External"/><Relationship Id="rId89" Type="http://schemas.openxmlformats.org/officeDocument/2006/relationships/hyperlink" Target="https://www.zotero.org/google-docs/?ynL1xC" TargetMode="External"/><Relationship Id="rId112" Type="http://schemas.openxmlformats.org/officeDocument/2006/relationships/hyperlink" Target="https://www.zotero.org/google-docs/?ynL1xC" TargetMode="External"/><Relationship Id="rId133" Type="http://schemas.openxmlformats.org/officeDocument/2006/relationships/hyperlink" Target="https://www.zotero.org/google-docs/?ynL1xC" TargetMode="External"/><Relationship Id="rId154" Type="http://schemas.openxmlformats.org/officeDocument/2006/relationships/hyperlink" Target="https://www.zotero.org/google-docs/?ynL1xC" TargetMode="External"/><Relationship Id="rId175" Type="http://schemas.openxmlformats.org/officeDocument/2006/relationships/theme" Target="theme/theme1.xml"/><Relationship Id="rId16" Type="http://schemas.openxmlformats.org/officeDocument/2006/relationships/hyperlink" Target="https://www.zotero.org/google-docs/?NwOMub" TargetMode="External"/><Relationship Id="rId37" Type="http://schemas.openxmlformats.org/officeDocument/2006/relationships/hyperlink" Target="https://www.zotero.org/google-docs/?ynL1xC" TargetMode="External"/><Relationship Id="rId58" Type="http://schemas.openxmlformats.org/officeDocument/2006/relationships/hyperlink" Target="https://www.zotero.org/google-docs/?ynL1xC" TargetMode="External"/><Relationship Id="rId79" Type="http://schemas.openxmlformats.org/officeDocument/2006/relationships/hyperlink" Target="https://www.zotero.org/google-docs/?ynL1xC" TargetMode="External"/><Relationship Id="rId102" Type="http://schemas.openxmlformats.org/officeDocument/2006/relationships/hyperlink" Target="https://www.zotero.org/google-docs/?ynL1xC" TargetMode="External"/><Relationship Id="rId123" Type="http://schemas.openxmlformats.org/officeDocument/2006/relationships/hyperlink" Target="https://www.zotero.org/google-docs/?ynL1xC" TargetMode="External"/><Relationship Id="rId144" Type="http://schemas.openxmlformats.org/officeDocument/2006/relationships/hyperlink" Target="https://www.zotero.org/google-docs/?ynL1xC" TargetMode="External"/><Relationship Id="rId90" Type="http://schemas.openxmlformats.org/officeDocument/2006/relationships/hyperlink" Target="https://www.zotero.org/google-docs/?ynL1xC" TargetMode="External"/><Relationship Id="rId165" Type="http://schemas.openxmlformats.org/officeDocument/2006/relationships/image" Target="media/image2.png"/><Relationship Id="rId27" Type="http://schemas.openxmlformats.org/officeDocument/2006/relationships/hyperlink" Target="https://www.zotero.org/google-docs/?ONQM7d" TargetMode="External"/><Relationship Id="rId48" Type="http://schemas.openxmlformats.org/officeDocument/2006/relationships/hyperlink" Target="https://www.zotero.org/google-docs/?ynL1xC" TargetMode="External"/><Relationship Id="rId69" Type="http://schemas.openxmlformats.org/officeDocument/2006/relationships/hyperlink" Target="https://www.zotero.org/google-docs/?ynL1xC" TargetMode="External"/><Relationship Id="rId113" Type="http://schemas.openxmlformats.org/officeDocument/2006/relationships/hyperlink" Target="https://www.zotero.org/google-docs/?ynL1xC" TargetMode="External"/><Relationship Id="rId134" Type="http://schemas.openxmlformats.org/officeDocument/2006/relationships/hyperlink" Target="https://www.zotero.org/google-docs/?ynL1xC" TargetMode="External"/><Relationship Id="rId80" Type="http://schemas.openxmlformats.org/officeDocument/2006/relationships/hyperlink" Target="https://www.zotero.org/google-docs/?ynL1xC" TargetMode="External"/><Relationship Id="rId155" Type="http://schemas.openxmlformats.org/officeDocument/2006/relationships/hyperlink" Target="https://www.zotero.org/google-docs/?ynL1xC" TargetMode="External"/><Relationship Id="rId17" Type="http://schemas.openxmlformats.org/officeDocument/2006/relationships/hyperlink" Target="https://www.zotero.org/google-docs/?15CL6A" TargetMode="External"/><Relationship Id="rId38" Type="http://schemas.openxmlformats.org/officeDocument/2006/relationships/hyperlink" Target="https://www.zotero.org/google-docs/?ynL1xC" TargetMode="External"/><Relationship Id="rId59" Type="http://schemas.openxmlformats.org/officeDocument/2006/relationships/hyperlink" Target="https://www.zotero.org/google-docs/?ynL1xC" TargetMode="External"/><Relationship Id="rId103" Type="http://schemas.openxmlformats.org/officeDocument/2006/relationships/hyperlink" Target="https://www.zotero.org/google-docs/?ynL1xC" TargetMode="External"/><Relationship Id="rId124" Type="http://schemas.openxmlformats.org/officeDocument/2006/relationships/hyperlink" Target="https://www.zotero.org/google-docs/?ynL1xC" TargetMode="External"/><Relationship Id="rId70" Type="http://schemas.openxmlformats.org/officeDocument/2006/relationships/hyperlink" Target="https://www.zotero.org/google-docs/?ynL1xC" TargetMode="External"/><Relationship Id="rId91" Type="http://schemas.openxmlformats.org/officeDocument/2006/relationships/hyperlink" Target="https://www.zotero.org/google-docs/?ynL1xC" TargetMode="External"/><Relationship Id="rId145" Type="http://schemas.openxmlformats.org/officeDocument/2006/relationships/hyperlink" Target="https://www.zotero.org/google-docs/?ynL1xC" TargetMode="External"/><Relationship Id="rId16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6615</Words>
  <Characters>37710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Tettamanti Boshier, Florencia</cp:lastModifiedBy>
  <cp:revision>4</cp:revision>
  <dcterms:created xsi:type="dcterms:W3CDTF">2021-09-06T10:33:00Z</dcterms:created>
  <dcterms:modified xsi:type="dcterms:W3CDTF">2021-09-06T11:42:00Z</dcterms:modified>
</cp:coreProperties>
</file>