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4EB5" w14:textId="01686562" w:rsidR="00E03817" w:rsidRPr="00284492" w:rsidRDefault="00001DD5" w:rsidP="00E03817">
      <w:pPr>
        <w:rPr>
          <w:b/>
          <w:bCs/>
        </w:rPr>
      </w:pPr>
      <w:bookmarkStart w:id="0" w:name="_Hlk80104305"/>
      <w:r>
        <w:rPr>
          <w:b/>
          <w:bCs/>
        </w:rPr>
        <w:t>S8</w:t>
      </w:r>
      <w:bookmarkStart w:id="1" w:name="_GoBack"/>
      <w:bookmarkEnd w:id="1"/>
      <w:r w:rsidR="00E03817">
        <w:rPr>
          <w:b/>
          <w:bCs/>
        </w:rPr>
        <w:t xml:space="preserve"> </w:t>
      </w:r>
      <w:r w:rsidR="00E03817" w:rsidRPr="00284492">
        <w:rPr>
          <w:b/>
          <w:bCs/>
        </w:rPr>
        <w:t xml:space="preserve">Table. </w:t>
      </w:r>
      <w:r w:rsidR="00E03817">
        <w:rPr>
          <w:b/>
          <w:bCs/>
        </w:rPr>
        <w:t>Very short stature</w:t>
      </w:r>
      <w:r w:rsidR="00E03817" w:rsidRPr="00284492">
        <w:rPr>
          <w:b/>
          <w:bCs/>
        </w:rPr>
        <w:t xml:space="preserve"> (&lt;-2.6</w:t>
      </w:r>
      <w:r w:rsidR="00E03817">
        <w:rPr>
          <w:b/>
          <w:bCs/>
        </w:rPr>
        <w:t>7</w:t>
      </w:r>
      <w:r w:rsidR="00E03817" w:rsidRPr="00284492">
        <w:rPr>
          <w:b/>
          <w:bCs/>
        </w:rPr>
        <w:t xml:space="preserve"> SDS) clusters in England, 2006-07 to 2018-19, unadjusted, adjusted for ethnicity, and adjusted for ethnicity and IMD (n=5,765,707).</w:t>
      </w:r>
    </w:p>
    <w:tbl>
      <w:tblPr>
        <w:tblStyle w:val="Rcsostblzat"/>
        <w:tblW w:w="9067" w:type="dxa"/>
        <w:tblLayout w:type="fixed"/>
        <w:tblLook w:val="04A0" w:firstRow="1" w:lastRow="0" w:firstColumn="1" w:lastColumn="0" w:noHBand="0" w:noVBand="1"/>
      </w:tblPr>
      <w:tblGrid>
        <w:gridCol w:w="2830"/>
        <w:gridCol w:w="1276"/>
        <w:gridCol w:w="1134"/>
        <w:gridCol w:w="992"/>
        <w:gridCol w:w="1276"/>
        <w:gridCol w:w="851"/>
        <w:gridCol w:w="708"/>
      </w:tblGrid>
      <w:tr w:rsidR="00E03817" w:rsidRPr="00795484" w14:paraId="5F4798C7" w14:textId="77777777" w:rsidTr="00F333AD">
        <w:tc>
          <w:tcPr>
            <w:tcW w:w="2830" w:type="dxa"/>
          </w:tcPr>
          <w:bookmarkEnd w:id="0"/>
          <w:p w14:paraId="1E025896" w14:textId="77777777" w:rsidR="00E03817" w:rsidRPr="00795484" w:rsidRDefault="00E03817" w:rsidP="00F333AD">
            <w:pPr>
              <w:rPr>
                <w:sz w:val="20"/>
                <w:szCs w:val="20"/>
              </w:rPr>
            </w:pPr>
            <w:r w:rsidRPr="00795484">
              <w:rPr>
                <w:sz w:val="20"/>
                <w:szCs w:val="20"/>
              </w:rPr>
              <w:t>Cluster</w:t>
            </w:r>
            <w:r w:rsidRPr="00A624EB">
              <w:rPr>
                <w:rFonts w:cstheme="minorHAnsi"/>
                <w:sz w:val="20"/>
                <w:szCs w:val="20"/>
                <w:vertAlign w:val="superscript"/>
              </w:rPr>
              <w:t xml:space="preserve"> a</w:t>
            </w:r>
          </w:p>
        </w:tc>
        <w:tc>
          <w:tcPr>
            <w:tcW w:w="1276" w:type="dxa"/>
          </w:tcPr>
          <w:p w14:paraId="5B0D3C5F" w14:textId="77777777" w:rsidR="00E03817" w:rsidRPr="00795484" w:rsidRDefault="00E03817" w:rsidP="00F333AD">
            <w:pPr>
              <w:rPr>
                <w:sz w:val="20"/>
                <w:szCs w:val="20"/>
              </w:rPr>
            </w:pPr>
            <w:r w:rsidRPr="00795484">
              <w:rPr>
                <w:sz w:val="20"/>
                <w:szCs w:val="20"/>
              </w:rPr>
              <w:t>Region</w:t>
            </w:r>
          </w:p>
        </w:tc>
        <w:tc>
          <w:tcPr>
            <w:tcW w:w="1134" w:type="dxa"/>
          </w:tcPr>
          <w:p w14:paraId="25D1E619" w14:textId="77777777" w:rsidR="00E03817" w:rsidRPr="00E36873" w:rsidRDefault="00E03817" w:rsidP="00F333AD">
            <w:pPr>
              <w:rPr>
                <w:rFonts w:cstheme="minorHAnsi"/>
                <w:sz w:val="20"/>
                <w:szCs w:val="20"/>
                <w:vertAlign w:val="superscript"/>
              </w:rPr>
            </w:pPr>
            <w:r w:rsidRPr="00795484">
              <w:rPr>
                <w:sz w:val="20"/>
                <w:szCs w:val="20"/>
              </w:rPr>
              <w:t>White ethnicity</w:t>
            </w:r>
            <w:r w:rsidRPr="00A624EB">
              <w:rPr>
                <w:rFonts w:cstheme="minorHAnsi"/>
                <w:sz w:val="20"/>
                <w:szCs w:val="20"/>
                <w:vertAlign w:val="superscript"/>
              </w:rPr>
              <w:t xml:space="preserve"> b</w:t>
            </w:r>
          </w:p>
          <w:p w14:paraId="007521E8" w14:textId="77777777" w:rsidR="00E03817" w:rsidRPr="00795484" w:rsidRDefault="00E03817" w:rsidP="00F333AD">
            <w:pPr>
              <w:rPr>
                <w:sz w:val="20"/>
                <w:szCs w:val="20"/>
              </w:rPr>
            </w:pPr>
            <w:r w:rsidRPr="00795484">
              <w:rPr>
                <w:sz w:val="20"/>
                <w:szCs w:val="20"/>
              </w:rPr>
              <w:t>%</w:t>
            </w:r>
            <w:r>
              <w:rPr>
                <w:sz w:val="20"/>
                <w:szCs w:val="20"/>
              </w:rPr>
              <w:t xml:space="preserve"> (n)</w:t>
            </w:r>
          </w:p>
        </w:tc>
        <w:tc>
          <w:tcPr>
            <w:tcW w:w="992" w:type="dxa"/>
          </w:tcPr>
          <w:p w14:paraId="28A26613" w14:textId="77777777" w:rsidR="00E03817" w:rsidRPr="00795484" w:rsidRDefault="00E03817" w:rsidP="00F333AD">
            <w:pPr>
              <w:rPr>
                <w:sz w:val="20"/>
                <w:szCs w:val="20"/>
              </w:rPr>
            </w:pPr>
            <w:r w:rsidRPr="00795484">
              <w:rPr>
                <w:sz w:val="20"/>
                <w:szCs w:val="20"/>
              </w:rPr>
              <w:t>Cluster average IMD</w:t>
            </w:r>
            <w:r w:rsidRPr="00A624EB">
              <w:rPr>
                <w:rFonts w:cstheme="minorHAnsi"/>
                <w:sz w:val="20"/>
                <w:szCs w:val="20"/>
                <w:vertAlign w:val="superscript"/>
              </w:rPr>
              <w:t xml:space="preserve"> b</w:t>
            </w:r>
          </w:p>
        </w:tc>
        <w:tc>
          <w:tcPr>
            <w:tcW w:w="1276" w:type="dxa"/>
          </w:tcPr>
          <w:p w14:paraId="7932A17F" w14:textId="77777777" w:rsidR="00E03817" w:rsidRPr="00795484" w:rsidRDefault="00E03817" w:rsidP="00F333AD">
            <w:pPr>
              <w:rPr>
                <w:sz w:val="20"/>
                <w:szCs w:val="20"/>
              </w:rPr>
            </w:pPr>
            <w:r w:rsidRPr="00795484">
              <w:rPr>
                <w:sz w:val="20"/>
                <w:szCs w:val="20"/>
              </w:rPr>
              <w:t>Population</w:t>
            </w:r>
            <w:r w:rsidRPr="00A624EB">
              <w:rPr>
                <w:rFonts w:cstheme="minorHAnsi"/>
                <w:sz w:val="20"/>
                <w:szCs w:val="20"/>
                <w:vertAlign w:val="superscript"/>
              </w:rPr>
              <w:t xml:space="preserve"> c</w:t>
            </w:r>
          </w:p>
        </w:tc>
        <w:tc>
          <w:tcPr>
            <w:tcW w:w="851" w:type="dxa"/>
          </w:tcPr>
          <w:p w14:paraId="266A6C21" w14:textId="77777777" w:rsidR="00E03817" w:rsidRPr="00795484" w:rsidRDefault="00E03817" w:rsidP="00F333AD">
            <w:pPr>
              <w:rPr>
                <w:sz w:val="20"/>
                <w:szCs w:val="20"/>
              </w:rPr>
            </w:pPr>
            <w:r w:rsidRPr="00795484">
              <w:rPr>
                <w:sz w:val="20"/>
                <w:szCs w:val="20"/>
              </w:rPr>
              <w:t>S</w:t>
            </w:r>
            <w:r>
              <w:rPr>
                <w:sz w:val="20"/>
                <w:szCs w:val="20"/>
              </w:rPr>
              <w:t xml:space="preserve">hort stature </w:t>
            </w:r>
            <w:r w:rsidRPr="00795484">
              <w:rPr>
                <w:sz w:val="20"/>
                <w:szCs w:val="20"/>
              </w:rPr>
              <w:t>%</w:t>
            </w:r>
            <w:r>
              <w:rPr>
                <w:sz w:val="20"/>
                <w:szCs w:val="20"/>
              </w:rPr>
              <w:t xml:space="preserve"> (n)</w:t>
            </w:r>
          </w:p>
        </w:tc>
        <w:tc>
          <w:tcPr>
            <w:tcW w:w="708" w:type="dxa"/>
          </w:tcPr>
          <w:p w14:paraId="5BC2E7E8" w14:textId="77777777" w:rsidR="00E03817" w:rsidRPr="00795484" w:rsidRDefault="00E03817" w:rsidP="00F333AD">
            <w:pPr>
              <w:rPr>
                <w:sz w:val="20"/>
                <w:szCs w:val="20"/>
              </w:rPr>
            </w:pPr>
            <w:r w:rsidRPr="00795484">
              <w:rPr>
                <w:sz w:val="20"/>
                <w:szCs w:val="20"/>
              </w:rPr>
              <w:t>RR</w:t>
            </w:r>
            <w:r w:rsidRPr="00A624EB">
              <w:rPr>
                <w:rFonts w:cstheme="minorHAnsi"/>
                <w:sz w:val="20"/>
                <w:szCs w:val="20"/>
                <w:vertAlign w:val="superscript"/>
              </w:rPr>
              <w:t xml:space="preserve"> d</w:t>
            </w:r>
          </w:p>
        </w:tc>
      </w:tr>
      <w:tr w:rsidR="00E03817" w:rsidRPr="00795484" w14:paraId="0658C4AC" w14:textId="77777777" w:rsidTr="00F333AD">
        <w:tc>
          <w:tcPr>
            <w:tcW w:w="2830" w:type="dxa"/>
            <w:shd w:val="clear" w:color="auto" w:fill="A5A5A5" w:themeFill="accent3"/>
          </w:tcPr>
          <w:p w14:paraId="58BD00E7" w14:textId="77777777" w:rsidR="00E03817" w:rsidRPr="00795484" w:rsidRDefault="00E03817" w:rsidP="00F333AD">
            <w:pPr>
              <w:rPr>
                <w:sz w:val="20"/>
                <w:szCs w:val="20"/>
              </w:rPr>
            </w:pPr>
            <w:r w:rsidRPr="00795484">
              <w:rPr>
                <w:sz w:val="20"/>
                <w:szCs w:val="20"/>
              </w:rPr>
              <w:t>Unadjusted</w:t>
            </w:r>
          </w:p>
        </w:tc>
        <w:tc>
          <w:tcPr>
            <w:tcW w:w="1276" w:type="dxa"/>
            <w:shd w:val="clear" w:color="auto" w:fill="A5A5A5" w:themeFill="accent3"/>
          </w:tcPr>
          <w:p w14:paraId="65D88C5C" w14:textId="77777777" w:rsidR="00E03817" w:rsidRPr="00795484" w:rsidRDefault="00E03817" w:rsidP="00F333AD">
            <w:pPr>
              <w:rPr>
                <w:sz w:val="20"/>
                <w:szCs w:val="20"/>
              </w:rPr>
            </w:pPr>
          </w:p>
        </w:tc>
        <w:tc>
          <w:tcPr>
            <w:tcW w:w="1134" w:type="dxa"/>
            <w:shd w:val="clear" w:color="auto" w:fill="A5A5A5" w:themeFill="accent3"/>
          </w:tcPr>
          <w:p w14:paraId="3F8D9B96" w14:textId="77777777" w:rsidR="00E03817" w:rsidRPr="00795484" w:rsidRDefault="00E03817" w:rsidP="00F333AD">
            <w:pPr>
              <w:rPr>
                <w:sz w:val="20"/>
                <w:szCs w:val="20"/>
              </w:rPr>
            </w:pPr>
          </w:p>
        </w:tc>
        <w:tc>
          <w:tcPr>
            <w:tcW w:w="992" w:type="dxa"/>
            <w:shd w:val="clear" w:color="auto" w:fill="A5A5A5" w:themeFill="accent3"/>
          </w:tcPr>
          <w:p w14:paraId="36968E21" w14:textId="77777777" w:rsidR="00E03817" w:rsidRPr="00795484" w:rsidRDefault="00E03817" w:rsidP="00F333AD">
            <w:pPr>
              <w:rPr>
                <w:sz w:val="20"/>
                <w:szCs w:val="20"/>
              </w:rPr>
            </w:pPr>
          </w:p>
        </w:tc>
        <w:tc>
          <w:tcPr>
            <w:tcW w:w="1276" w:type="dxa"/>
            <w:shd w:val="clear" w:color="auto" w:fill="A5A5A5" w:themeFill="accent3"/>
          </w:tcPr>
          <w:p w14:paraId="48D74A26" w14:textId="77777777" w:rsidR="00E03817" w:rsidRPr="00795484" w:rsidRDefault="00E03817" w:rsidP="00F333AD">
            <w:pPr>
              <w:rPr>
                <w:sz w:val="20"/>
                <w:szCs w:val="20"/>
              </w:rPr>
            </w:pPr>
          </w:p>
        </w:tc>
        <w:tc>
          <w:tcPr>
            <w:tcW w:w="851" w:type="dxa"/>
            <w:shd w:val="clear" w:color="auto" w:fill="A5A5A5" w:themeFill="accent3"/>
          </w:tcPr>
          <w:p w14:paraId="06447C8F" w14:textId="77777777" w:rsidR="00E03817" w:rsidRPr="00795484" w:rsidRDefault="00E03817" w:rsidP="00F333AD">
            <w:pPr>
              <w:rPr>
                <w:sz w:val="20"/>
                <w:szCs w:val="20"/>
              </w:rPr>
            </w:pPr>
          </w:p>
        </w:tc>
        <w:tc>
          <w:tcPr>
            <w:tcW w:w="708" w:type="dxa"/>
            <w:shd w:val="clear" w:color="auto" w:fill="A5A5A5" w:themeFill="accent3"/>
          </w:tcPr>
          <w:p w14:paraId="0C6B2AE2" w14:textId="77777777" w:rsidR="00E03817" w:rsidRPr="00795484" w:rsidRDefault="00E03817" w:rsidP="00F333AD">
            <w:pPr>
              <w:rPr>
                <w:sz w:val="20"/>
                <w:szCs w:val="20"/>
              </w:rPr>
            </w:pPr>
          </w:p>
        </w:tc>
      </w:tr>
      <w:tr w:rsidR="00E03817" w:rsidRPr="00795484" w14:paraId="7038857A" w14:textId="77777777" w:rsidTr="00F333AD">
        <w:tc>
          <w:tcPr>
            <w:tcW w:w="2830" w:type="dxa"/>
          </w:tcPr>
          <w:p w14:paraId="167DA02D" w14:textId="77777777" w:rsidR="00E03817" w:rsidRPr="0008431A" w:rsidRDefault="00E03817" w:rsidP="00F333AD">
            <w:pPr>
              <w:rPr>
                <w:b/>
                <w:bCs/>
                <w:sz w:val="20"/>
                <w:szCs w:val="20"/>
              </w:rPr>
            </w:pPr>
            <w:r w:rsidRPr="0008431A">
              <w:rPr>
                <w:b/>
                <w:bCs/>
                <w:sz w:val="20"/>
                <w:szCs w:val="20"/>
              </w:rPr>
              <w:t>Leicester</w:t>
            </w:r>
          </w:p>
        </w:tc>
        <w:tc>
          <w:tcPr>
            <w:tcW w:w="1276" w:type="dxa"/>
          </w:tcPr>
          <w:p w14:paraId="6C769FD5" w14:textId="77777777" w:rsidR="00E03817" w:rsidRPr="00795484" w:rsidRDefault="00E03817" w:rsidP="00F333AD">
            <w:pPr>
              <w:rPr>
                <w:sz w:val="20"/>
                <w:szCs w:val="20"/>
              </w:rPr>
            </w:pPr>
            <w:r w:rsidRPr="00795484">
              <w:rPr>
                <w:sz w:val="20"/>
                <w:szCs w:val="20"/>
              </w:rPr>
              <w:t>East Midlands</w:t>
            </w:r>
          </w:p>
        </w:tc>
        <w:tc>
          <w:tcPr>
            <w:tcW w:w="1134" w:type="dxa"/>
          </w:tcPr>
          <w:p w14:paraId="1DDEA525" w14:textId="77777777" w:rsidR="00E03817" w:rsidRDefault="00E03817" w:rsidP="00F333AD">
            <w:pPr>
              <w:rPr>
                <w:sz w:val="20"/>
                <w:szCs w:val="20"/>
              </w:rPr>
            </w:pPr>
            <w:r w:rsidRPr="00795484">
              <w:rPr>
                <w:sz w:val="20"/>
                <w:szCs w:val="20"/>
              </w:rPr>
              <w:t>41</w:t>
            </w:r>
          </w:p>
          <w:p w14:paraId="01722C2D" w14:textId="77777777" w:rsidR="00E03817" w:rsidRPr="00795484" w:rsidRDefault="00E03817" w:rsidP="00F333AD">
            <w:pPr>
              <w:rPr>
                <w:sz w:val="20"/>
                <w:szCs w:val="20"/>
              </w:rPr>
            </w:pPr>
            <w:r>
              <w:rPr>
                <w:sz w:val="20"/>
                <w:szCs w:val="20"/>
              </w:rPr>
              <w:t>(20,737)</w:t>
            </w:r>
          </w:p>
        </w:tc>
        <w:tc>
          <w:tcPr>
            <w:tcW w:w="992" w:type="dxa"/>
          </w:tcPr>
          <w:p w14:paraId="14156283" w14:textId="77777777" w:rsidR="00E03817" w:rsidRDefault="00E03817" w:rsidP="00F333AD">
            <w:pPr>
              <w:rPr>
                <w:sz w:val="20"/>
                <w:szCs w:val="20"/>
              </w:rPr>
            </w:pPr>
            <w:r w:rsidRPr="00795484">
              <w:rPr>
                <w:sz w:val="20"/>
                <w:szCs w:val="20"/>
              </w:rPr>
              <w:t xml:space="preserve">2.89 </w:t>
            </w:r>
          </w:p>
          <w:p w14:paraId="1370FCDB" w14:textId="77777777" w:rsidR="00E03817" w:rsidRPr="00795484" w:rsidRDefault="00E03817" w:rsidP="00F333AD">
            <w:pPr>
              <w:rPr>
                <w:sz w:val="20"/>
                <w:szCs w:val="20"/>
              </w:rPr>
            </w:pPr>
            <w:r w:rsidRPr="00795484">
              <w:rPr>
                <w:sz w:val="20"/>
                <w:szCs w:val="20"/>
              </w:rPr>
              <w:t>(1.97)</w:t>
            </w:r>
          </w:p>
        </w:tc>
        <w:tc>
          <w:tcPr>
            <w:tcW w:w="1276" w:type="dxa"/>
          </w:tcPr>
          <w:p w14:paraId="70A1248D" w14:textId="77777777" w:rsidR="00E03817" w:rsidRPr="00795484" w:rsidRDefault="00E03817" w:rsidP="00F333AD">
            <w:pPr>
              <w:rPr>
                <w:sz w:val="20"/>
                <w:szCs w:val="20"/>
              </w:rPr>
            </w:pPr>
            <w:r w:rsidRPr="00795484">
              <w:rPr>
                <w:sz w:val="20"/>
                <w:szCs w:val="20"/>
              </w:rPr>
              <w:t>50,088</w:t>
            </w:r>
          </w:p>
        </w:tc>
        <w:tc>
          <w:tcPr>
            <w:tcW w:w="851" w:type="dxa"/>
          </w:tcPr>
          <w:p w14:paraId="71042640" w14:textId="77777777" w:rsidR="00E03817" w:rsidRPr="00795484" w:rsidRDefault="00E03817" w:rsidP="00F333AD">
            <w:pPr>
              <w:rPr>
                <w:sz w:val="20"/>
                <w:szCs w:val="20"/>
              </w:rPr>
            </w:pPr>
            <w:r w:rsidRPr="00795484">
              <w:rPr>
                <w:sz w:val="20"/>
                <w:szCs w:val="20"/>
              </w:rPr>
              <w:t>0.5</w:t>
            </w:r>
            <w:r>
              <w:rPr>
                <w:sz w:val="20"/>
                <w:szCs w:val="20"/>
              </w:rPr>
              <w:t>7</w:t>
            </w:r>
          </w:p>
        </w:tc>
        <w:tc>
          <w:tcPr>
            <w:tcW w:w="708" w:type="dxa"/>
          </w:tcPr>
          <w:p w14:paraId="473C5292" w14:textId="77777777" w:rsidR="00E03817" w:rsidRPr="00795484" w:rsidRDefault="00E03817" w:rsidP="00F333AD">
            <w:pPr>
              <w:rPr>
                <w:sz w:val="20"/>
                <w:szCs w:val="20"/>
              </w:rPr>
            </w:pPr>
            <w:r w:rsidRPr="00795484">
              <w:rPr>
                <w:sz w:val="20"/>
                <w:szCs w:val="20"/>
              </w:rPr>
              <w:t>1.5</w:t>
            </w:r>
            <w:r>
              <w:rPr>
                <w:sz w:val="20"/>
                <w:szCs w:val="20"/>
              </w:rPr>
              <w:t>8</w:t>
            </w:r>
          </w:p>
        </w:tc>
      </w:tr>
      <w:tr w:rsidR="00E03817" w:rsidRPr="00795484" w14:paraId="20EBA5BB" w14:textId="77777777" w:rsidTr="00F333AD">
        <w:tc>
          <w:tcPr>
            <w:tcW w:w="2830" w:type="dxa"/>
          </w:tcPr>
          <w:p w14:paraId="43657C60" w14:textId="77777777" w:rsidR="00E03817" w:rsidRPr="00795484" w:rsidRDefault="00E03817" w:rsidP="00F333AD">
            <w:pPr>
              <w:rPr>
                <w:sz w:val="20"/>
                <w:szCs w:val="20"/>
              </w:rPr>
            </w:pPr>
            <w:r w:rsidRPr="00612497">
              <w:rPr>
                <w:b/>
                <w:bCs/>
                <w:sz w:val="20"/>
                <w:szCs w:val="20"/>
              </w:rPr>
              <w:t>Pendle, Burnley, Ribble Valley, Craven, Hyndburn, Bradford, Rossendale, Calderdale, Blackburn with Darwen, Rochdale, Bury, Preston, Chorley</w:t>
            </w:r>
            <w:r w:rsidRPr="00795484">
              <w:rPr>
                <w:sz w:val="20"/>
                <w:szCs w:val="20"/>
              </w:rPr>
              <w:t xml:space="preserve">, Lancaster, </w:t>
            </w:r>
            <w:r w:rsidRPr="00612497">
              <w:rPr>
                <w:b/>
                <w:bCs/>
                <w:sz w:val="20"/>
                <w:szCs w:val="20"/>
              </w:rPr>
              <w:t>Oldham, Kirklees, Bolton, South Ribble</w:t>
            </w:r>
            <w:r w:rsidRPr="00795484">
              <w:rPr>
                <w:sz w:val="20"/>
                <w:szCs w:val="20"/>
              </w:rPr>
              <w:t xml:space="preserve"> </w:t>
            </w:r>
          </w:p>
        </w:tc>
        <w:tc>
          <w:tcPr>
            <w:tcW w:w="1276" w:type="dxa"/>
          </w:tcPr>
          <w:p w14:paraId="27614DD0" w14:textId="77777777" w:rsidR="00E03817" w:rsidRPr="00795484" w:rsidRDefault="00E03817" w:rsidP="00F333AD">
            <w:pPr>
              <w:rPr>
                <w:sz w:val="20"/>
                <w:szCs w:val="20"/>
              </w:rPr>
            </w:pPr>
            <w:r w:rsidRPr="00795484">
              <w:rPr>
                <w:sz w:val="20"/>
                <w:szCs w:val="20"/>
              </w:rPr>
              <w:t xml:space="preserve">North West, </w:t>
            </w:r>
          </w:p>
          <w:p w14:paraId="5AF2DD5B" w14:textId="77777777" w:rsidR="00E03817" w:rsidRPr="00795484" w:rsidRDefault="00E03817" w:rsidP="00F333AD">
            <w:pPr>
              <w:rPr>
                <w:sz w:val="20"/>
                <w:szCs w:val="20"/>
              </w:rPr>
            </w:pPr>
            <w:r w:rsidRPr="00795484">
              <w:rPr>
                <w:sz w:val="20"/>
                <w:szCs w:val="20"/>
              </w:rPr>
              <w:t>Yorkshire and the Humber</w:t>
            </w:r>
          </w:p>
        </w:tc>
        <w:tc>
          <w:tcPr>
            <w:tcW w:w="1134" w:type="dxa"/>
          </w:tcPr>
          <w:p w14:paraId="3222E020" w14:textId="77777777" w:rsidR="00E03817" w:rsidRDefault="00E03817" w:rsidP="00F333AD">
            <w:pPr>
              <w:rPr>
                <w:sz w:val="20"/>
                <w:szCs w:val="20"/>
              </w:rPr>
            </w:pPr>
            <w:r w:rsidRPr="00795484">
              <w:rPr>
                <w:sz w:val="20"/>
                <w:szCs w:val="20"/>
              </w:rPr>
              <w:t>69</w:t>
            </w:r>
          </w:p>
          <w:p w14:paraId="7EFCECF5" w14:textId="77777777" w:rsidR="00E03817" w:rsidRPr="00795484" w:rsidRDefault="00E03817" w:rsidP="00F333AD">
            <w:pPr>
              <w:rPr>
                <w:sz w:val="20"/>
                <w:szCs w:val="20"/>
              </w:rPr>
            </w:pPr>
            <w:r>
              <w:rPr>
                <w:sz w:val="20"/>
                <w:szCs w:val="20"/>
              </w:rPr>
              <w:t>(277,899)</w:t>
            </w:r>
          </w:p>
        </w:tc>
        <w:tc>
          <w:tcPr>
            <w:tcW w:w="992" w:type="dxa"/>
          </w:tcPr>
          <w:p w14:paraId="481B8231" w14:textId="77777777" w:rsidR="00E03817" w:rsidRPr="00795484" w:rsidRDefault="00E03817" w:rsidP="00F333AD">
            <w:pPr>
              <w:rPr>
                <w:sz w:val="20"/>
                <w:szCs w:val="20"/>
              </w:rPr>
            </w:pPr>
            <w:r w:rsidRPr="00795484">
              <w:rPr>
                <w:sz w:val="20"/>
                <w:szCs w:val="20"/>
              </w:rPr>
              <w:t>3.95</w:t>
            </w:r>
          </w:p>
          <w:p w14:paraId="625E7022" w14:textId="77777777" w:rsidR="00E03817" w:rsidRPr="00795484" w:rsidRDefault="00E03817" w:rsidP="00F333AD">
            <w:pPr>
              <w:rPr>
                <w:sz w:val="20"/>
                <w:szCs w:val="20"/>
              </w:rPr>
            </w:pPr>
            <w:r w:rsidRPr="00795484">
              <w:rPr>
                <w:sz w:val="20"/>
                <w:szCs w:val="20"/>
              </w:rPr>
              <w:t>(2.81)</w:t>
            </w:r>
          </w:p>
        </w:tc>
        <w:tc>
          <w:tcPr>
            <w:tcW w:w="1276" w:type="dxa"/>
          </w:tcPr>
          <w:p w14:paraId="5C00BC7D" w14:textId="77777777" w:rsidR="00E03817" w:rsidRPr="00795484" w:rsidRDefault="00E03817" w:rsidP="00F333AD">
            <w:pPr>
              <w:rPr>
                <w:sz w:val="20"/>
                <w:szCs w:val="20"/>
              </w:rPr>
            </w:pPr>
            <w:r w:rsidRPr="00795484">
              <w:rPr>
                <w:sz w:val="20"/>
                <w:szCs w:val="20"/>
              </w:rPr>
              <w:t>401,796</w:t>
            </w:r>
          </w:p>
        </w:tc>
        <w:tc>
          <w:tcPr>
            <w:tcW w:w="851" w:type="dxa"/>
          </w:tcPr>
          <w:p w14:paraId="234BF615" w14:textId="77777777" w:rsidR="00E03817" w:rsidRPr="00795484" w:rsidRDefault="00E03817" w:rsidP="00F333AD">
            <w:pPr>
              <w:rPr>
                <w:sz w:val="20"/>
                <w:szCs w:val="20"/>
              </w:rPr>
            </w:pPr>
            <w:r w:rsidRPr="00795484">
              <w:rPr>
                <w:sz w:val="20"/>
                <w:szCs w:val="20"/>
              </w:rPr>
              <w:t>0.5</w:t>
            </w:r>
            <w:r>
              <w:rPr>
                <w:sz w:val="20"/>
                <w:szCs w:val="20"/>
              </w:rPr>
              <w:t>1</w:t>
            </w:r>
          </w:p>
        </w:tc>
        <w:tc>
          <w:tcPr>
            <w:tcW w:w="708" w:type="dxa"/>
          </w:tcPr>
          <w:p w14:paraId="342C41F8" w14:textId="77777777" w:rsidR="00E03817" w:rsidRPr="00795484" w:rsidRDefault="00E03817" w:rsidP="00F333AD">
            <w:pPr>
              <w:rPr>
                <w:sz w:val="20"/>
                <w:szCs w:val="20"/>
              </w:rPr>
            </w:pPr>
            <w:r w:rsidRPr="00795484">
              <w:rPr>
                <w:sz w:val="20"/>
                <w:szCs w:val="20"/>
              </w:rPr>
              <w:t>1.4</w:t>
            </w:r>
            <w:r>
              <w:rPr>
                <w:sz w:val="20"/>
                <w:szCs w:val="20"/>
              </w:rPr>
              <w:t>4</w:t>
            </w:r>
          </w:p>
        </w:tc>
      </w:tr>
      <w:tr w:rsidR="00E03817" w:rsidRPr="00795484" w14:paraId="6CCABD16" w14:textId="77777777" w:rsidTr="00F333AD">
        <w:tc>
          <w:tcPr>
            <w:tcW w:w="2830" w:type="dxa"/>
          </w:tcPr>
          <w:p w14:paraId="0B41BA39" w14:textId="77777777" w:rsidR="00E03817" w:rsidRPr="00795484" w:rsidRDefault="00E03817" w:rsidP="00F333AD">
            <w:pPr>
              <w:rPr>
                <w:sz w:val="20"/>
                <w:szCs w:val="20"/>
              </w:rPr>
            </w:pPr>
            <w:r w:rsidRPr="00824C5F">
              <w:rPr>
                <w:b/>
                <w:bCs/>
                <w:sz w:val="20"/>
                <w:szCs w:val="20"/>
              </w:rPr>
              <w:t>South Staffordshire,</w:t>
            </w:r>
            <w:r w:rsidRPr="00795484">
              <w:rPr>
                <w:sz w:val="20"/>
                <w:szCs w:val="20"/>
              </w:rPr>
              <w:t xml:space="preserve"> </w:t>
            </w:r>
            <w:r w:rsidRPr="00612497">
              <w:rPr>
                <w:b/>
                <w:bCs/>
                <w:sz w:val="20"/>
                <w:szCs w:val="20"/>
              </w:rPr>
              <w:t>Wolverhampton,</w:t>
            </w:r>
            <w:r w:rsidRPr="00795484">
              <w:rPr>
                <w:sz w:val="20"/>
                <w:szCs w:val="20"/>
              </w:rPr>
              <w:t xml:space="preserve"> </w:t>
            </w:r>
            <w:r w:rsidRPr="00824C5F">
              <w:rPr>
                <w:b/>
                <w:bCs/>
                <w:sz w:val="20"/>
                <w:szCs w:val="20"/>
              </w:rPr>
              <w:t>Cannock Chase,</w:t>
            </w:r>
            <w:r w:rsidRPr="00795484">
              <w:rPr>
                <w:sz w:val="20"/>
                <w:szCs w:val="20"/>
              </w:rPr>
              <w:t xml:space="preserve"> </w:t>
            </w:r>
            <w:r w:rsidRPr="00612497">
              <w:rPr>
                <w:b/>
                <w:bCs/>
                <w:sz w:val="20"/>
                <w:szCs w:val="20"/>
              </w:rPr>
              <w:t>Walsall,</w:t>
            </w:r>
            <w:r w:rsidRPr="00795484">
              <w:rPr>
                <w:sz w:val="20"/>
                <w:szCs w:val="20"/>
              </w:rPr>
              <w:t xml:space="preserve"> </w:t>
            </w:r>
            <w:r w:rsidRPr="00824C5F">
              <w:rPr>
                <w:b/>
                <w:bCs/>
                <w:sz w:val="20"/>
                <w:szCs w:val="20"/>
              </w:rPr>
              <w:t>Stafford,</w:t>
            </w:r>
            <w:r w:rsidRPr="00795484">
              <w:rPr>
                <w:sz w:val="20"/>
                <w:szCs w:val="20"/>
              </w:rPr>
              <w:t xml:space="preserve"> </w:t>
            </w:r>
            <w:r w:rsidRPr="00612497">
              <w:rPr>
                <w:b/>
                <w:bCs/>
                <w:sz w:val="20"/>
                <w:szCs w:val="20"/>
              </w:rPr>
              <w:t xml:space="preserve">Sandwell, </w:t>
            </w:r>
            <w:r w:rsidRPr="00824C5F">
              <w:rPr>
                <w:b/>
                <w:bCs/>
                <w:sz w:val="20"/>
                <w:szCs w:val="20"/>
              </w:rPr>
              <w:t xml:space="preserve">Telford and Wrekin, </w:t>
            </w:r>
            <w:r w:rsidRPr="00612497">
              <w:rPr>
                <w:b/>
                <w:bCs/>
                <w:sz w:val="20"/>
                <w:szCs w:val="20"/>
              </w:rPr>
              <w:t>Dudley,</w:t>
            </w:r>
            <w:r w:rsidRPr="00795484">
              <w:rPr>
                <w:sz w:val="20"/>
                <w:szCs w:val="20"/>
              </w:rPr>
              <w:t xml:space="preserve"> </w:t>
            </w:r>
            <w:r w:rsidRPr="00824C5F">
              <w:rPr>
                <w:b/>
                <w:bCs/>
                <w:sz w:val="20"/>
                <w:szCs w:val="20"/>
              </w:rPr>
              <w:t xml:space="preserve">Lichfield, East Staffordshire, </w:t>
            </w:r>
            <w:r w:rsidRPr="00612497">
              <w:rPr>
                <w:b/>
                <w:bCs/>
                <w:sz w:val="20"/>
                <w:szCs w:val="20"/>
              </w:rPr>
              <w:t>Birmingham</w:t>
            </w:r>
            <w:r w:rsidRPr="00795484">
              <w:rPr>
                <w:sz w:val="20"/>
                <w:szCs w:val="20"/>
              </w:rPr>
              <w:t xml:space="preserve">, </w:t>
            </w:r>
            <w:r w:rsidRPr="00824C5F">
              <w:rPr>
                <w:b/>
                <w:bCs/>
                <w:sz w:val="20"/>
                <w:szCs w:val="20"/>
              </w:rPr>
              <w:t>Tamworth,</w:t>
            </w:r>
            <w:r w:rsidRPr="00795484">
              <w:rPr>
                <w:sz w:val="20"/>
                <w:szCs w:val="20"/>
              </w:rPr>
              <w:t xml:space="preserve"> Wyre Forest, Stoke-on-Trent</w:t>
            </w:r>
          </w:p>
        </w:tc>
        <w:tc>
          <w:tcPr>
            <w:tcW w:w="1276" w:type="dxa"/>
          </w:tcPr>
          <w:p w14:paraId="7391D487" w14:textId="77777777" w:rsidR="00E03817" w:rsidRPr="00795484" w:rsidRDefault="00E03817" w:rsidP="00F333AD">
            <w:pPr>
              <w:rPr>
                <w:sz w:val="20"/>
                <w:szCs w:val="20"/>
              </w:rPr>
            </w:pPr>
            <w:r w:rsidRPr="00795484">
              <w:rPr>
                <w:sz w:val="20"/>
                <w:szCs w:val="20"/>
              </w:rPr>
              <w:t>West Midlands</w:t>
            </w:r>
          </w:p>
        </w:tc>
        <w:tc>
          <w:tcPr>
            <w:tcW w:w="1134" w:type="dxa"/>
          </w:tcPr>
          <w:p w14:paraId="3C93253F" w14:textId="77777777" w:rsidR="00E03817" w:rsidRDefault="00E03817" w:rsidP="00F333AD">
            <w:pPr>
              <w:rPr>
                <w:sz w:val="20"/>
                <w:szCs w:val="20"/>
              </w:rPr>
            </w:pPr>
            <w:r w:rsidRPr="00795484">
              <w:rPr>
                <w:sz w:val="20"/>
                <w:szCs w:val="20"/>
              </w:rPr>
              <w:t>6</w:t>
            </w:r>
            <w:r>
              <w:rPr>
                <w:sz w:val="20"/>
                <w:szCs w:val="20"/>
              </w:rPr>
              <w:t>2</w:t>
            </w:r>
          </w:p>
          <w:p w14:paraId="7408B26F" w14:textId="77777777" w:rsidR="00E03817" w:rsidRPr="00795484" w:rsidRDefault="00E03817" w:rsidP="00F333AD">
            <w:pPr>
              <w:rPr>
                <w:sz w:val="20"/>
                <w:szCs w:val="20"/>
              </w:rPr>
            </w:pPr>
            <w:r>
              <w:rPr>
                <w:sz w:val="20"/>
                <w:szCs w:val="20"/>
              </w:rPr>
              <w:t>(272,336)</w:t>
            </w:r>
          </w:p>
        </w:tc>
        <w:tc>
          <w:tcPr>
            <w:tcW w:w="992" w:type="dxa"/>
          </w:tcPr>
          <w:p w14:paraId="0CB23048" w14:textId="77777777" w:rsidR="00E03817" w:rsidRDefault="00E03817" w:rsidP="00F333AD">
            <w:pPr>
              <w:rPr>
                <w:sz w:val="20"/>
                <w:szCs w:val="20"/>
              </w:rPr>
            </w:pPr>
            <w:r w:rsidRPr="00795484">
              <w:rPr>
                <w:sz w:val="20"/>
                <w:szCs w:val="20"/>
              </w:rPr>
              <w:t xml:space="preserve">3.43 </w:t>
            </w:r>
          </w:p>
          <w:p w14:paraId="2AF2F99F" w14:textId="77777777" w:rsidR="00E03817" w:rsidRPr="00795484" w:rsidRDefault="00E03817" w:rsidP="00F333AD">
            <w:pPr>
              <w:rPr>
                <w:sz w:val="20"/>
                <w:szCs w:val="20"/>
              </w:rPr>
            </w:pPr>
            <w:r w:rsidRPr="00795484">
              <w:rPr>
                <w:sz w:val="20"/>
                <w:szCs w:val="20"/>
              </w:rPr>
              <w:t>(2.66)</w:t>
            </w:r>
          </w:p>
          <w:p w14:paraId="465F1CD5" w14:textId="77777777" w:rsidR="00E03817" w:rsidRPr="00795484" w:rsidRDefault="00E03817" w:rsidP="00F333AD">
            <w:pPr>
              <w:rPr>
                <w:sz w:val="20"/>
                <w:szCs w:val="20"/>
              </w:rPr>
            </w:pPr>
          </w:p>
        </w:tc>
        <w:tc>
          <w:tcPr>
            <w:tcW w:w="1276" w:type="dxa"/>
          </w:tcPr>
          <w:p w14:paraId="49E1E993" w14:textId="77777777" w:rsidR="00E03817" w:rsidRPr="00795484" w:rsidRDefault="00E03817" w:rsidP="00F333AD">
            <w:pPr>
              <w:rPr>
                <w:sz w:val="20"/>
                <w:szCs w:val="20"/>
              </w:rPr>
            </w:pPr>
            <w:r w:rsidRPr="00795484">
              <w:rPr>
                <w:sz w:val="20"/>
                <w:szCs w:val="20"/>
              </w:rPr>
              <w:t>439,577</w:t>
            </w:r>
          </w:p>
        </w:tc>
        <w:tc>
          <w:tcPr>
            <w:tcW w:w="851" w:type="dxa"/>
          </w:tcPr>
          <w:p w14:paraId="7ACA9034" w14:textId="77777777" w:rsidR="00E03817" w:rsidRPr="00795484" w:rsidRDefault="00E03817" w:rsidP="00F333AD">
            <w:pPr>
              <w:rPr>
                <w:sz w:val="20"/>
                <w:szCs w:val="20"/>
              </w:rPr>
            </w:pPr>
            <w:r w:rsidRPr="00795484">
              <w:rPr>
                <w:sz w:val="20"/>
                <w:szCs w:val="20"/>
              </w:rPr>
              <w:t>0.4</w:t>
            </w:r>
            <w:r>
              <w:rPr>
                <w:sz w:val="20"/>
                <w:szCs w:val="20"/>
              </w:rPr>
              <w:t>4</w:t>
            </w:r>
          </w:p>
        </w:tc>
        <w:tc>
          <w:tcPr>
            <w:tcW w:w="708" w:type="dxa"/>
          </w:tcPr>
          <w:p w14:paraId="480B18FF" w14:textId="77777777" w:rsidR="00E03817" w:rsidRPr="00795484" w:rsidRDefault="00E03817" w:rsidP="00F333AD">
            <w:pPr>
              <w:rPr>
                <w:sz w:val="20"/>
                <w:szCs w:val="20"/>
              </w:rPr>
            </w:pPr>
            <w:r w:rsidRPr="00795484">
              <w:rPr>
                <w:sz w:val="20"/>
                <w:szCs w:val="20"/>
              </w:rPr>
              <w:t>1.2</w:t>
            </w:r>
            <w:r>
              <w:rPr>
                <w:sz w:val="20"/>
                <w:szCs w:val="20"/>
              </w:rPr>
              <w:t>3</w:t>
            </w:r>
          </w:p>
        </w:tc>
      </w:tr>
      <w:tr w:rsidR="00E03817" w:rsidRPr="00795484" w14:paraId="3CC48016" w14:textId="77777777" w:rsidTr="00F333AD">
        <w:tc>
          <w:tcPr>
            <w:tcW w:w="2830" w:type="dxa"/>
          </w:tcPr>
          <w:p w14:paraId="38C4D5A7" w14:textId="77777777" w:rsidR="00E03817" w:rsidRPr="00795484" w:rsidRDefault="00E03817" w:rsidP="00F333AD">
            <w:pPr>
              <w:rPr>
                <w:sz w:val="20"/>
                <w:szCs w:val="20"/>
              </w:rPr>
            </w:pPr>
            <w:r w:rsidRPr="00037E58">
              <w:rPr>
                <w:b/>
                <w:bCs/>
                <w:sz w:val="20"/>
                <w:szCs w:val="20"/>
              </w:rPr>
              <w:t>Scarborough, Ryedale, Redcar and Cleveland, Middlesbrough, East Riding of Yorkshire, Hambleton, York, Stockton-on-Tees, Hartlepool, Kingston upon Hull, Darlington, Harrogate, Selby, Sunderland, North Lincolnshire, Leeds, South Tyneside, County Durham, Richmondshire, North East Lincolnshire, Wakefield, North Tyneside, Doncaster, Gateshead</w:t>
            </w:r>
          </w:p>
        </w:tc>
        <w:tc>
          <w:tcPr>
            <w:tcW w:w="1276" w:type="dxa"/>
          </w:tcPr>
          <w:p w14:paraId="7245276E" w14:textId="77777777" w:rsidR="00E03817" w:rsidRPr="00795484" w:rsidRDefault="00E03817" w:rsidP="00F333AD">
            <w:pPr>
              <w:rPr>
                <w:sz w:val="20"/>
                <w:szCs w:val="20"/>
              </w:rPr>
            </w:pPr>
            <w:r w:rsidRPr="00795484">
              <w:rPr>
                <w:sz w:val="20"/>
                <w:szCs w:val="20"/>
              </w:rPr>
              <w:t xml:space="preserve">Yorkshire and the Humber, </w:t>
            </w:r>
          </w:p>
          <w:p w14:paraId="620696E7" w14:textId="77777777" w:rsidR="00E03817" w:rsidRPr="00795484" w:rsidRDefault="00E03817" w:rsidP="00F333AD">
            <w:pPr>
              <w:rPr>
                <w:sz w:val="20"/>
                <w:szCs w:val="20"/>
              </w:rPr>
            </w:pPr>
            <w:r w:rsidRPr="00795484">
              <w:rPr>
                <w:sz w:val="20"/>
                <w:szCs w:val="20"/>
              </w:rPr>
              <w:t>North East</w:t>
            </w:r>
          </w:p>
          <w:p w14:paraId="31D80425" w14:textId="77777777" w:rsidR="00E03817" w:rsidRPr="00795484" w:rsidRDefault="00E03817" w:rsidP="00F333AD">
            <w:pPr>
              <w:rPr>
                <w:sz w:val="20"/>
                <w:szCs w:val="20"/>
              </w:rPr>
            </w:pPr>
          </w:p>
          <w:p w14:paraId="4723CC51" w14:textId="77777777" w:rsidR="00E03817" w:rsidRPr="00795484" w:rsidRDefault="00E03817" w:rsidP="00F333AD">
            <w:pPr>
              <w:rPr>
                <w:sz w:val="20"/>
                <w:szCs w:val="20"/>
              </w:rPr>
            </w:pPr>
          </w:p>
          <w:p w14:paraId="43622734" w14:textId="77777777" w:rsidR="00E03817" w:rsidRPr="00795484" w:rsidRDefault="00E03817" w:rsidP="00F333AD">
            <w:pPr>
              <w:rPr>
                <w:sz w:val="20"/>
                <w:szCs w:val="20"/>
              </w:rPr>
            </w:pPr>
          </w:p>
        </w:tc>
        <w:tc>
          <w:tcPr>
            <w:tcW w:w="1134" w:type="dxa"/>
          </w:tcPr>
          <w:p w14:paraId="2786BF52" w14:textId="77777777" w:rsidR="00E03817" w:rsidRPr="007D6FA6" w:rsidRDefault="00E03817" w:rsidP="00F333AD">
            <w:pPr>
              <w:rPr>
                <w:sz w:val="20"/>
                <w:szCs w:val="20"/>
              </w:rPr>
            </w:pPr>
            <w:r w:rsidRPr="007D6FA6">
              <w:rPr>
                <w:sz w:val="20"/>
                <w:szCs w:val="20"/>
              </w:rPr>
              <w:t>89.64</w:t>
            </w:r>
          </w:p>
        </w:tc>
        <w:tc>
          <w:tcPr>
            <w:tcW w:w="992" w:type="dxa"/>
            <w:shd w:val="clear" w:color="auto" w:fill="auto"/>
          </w:tcPr>
          <w:p w14:paraId="776686ED" w14:textId="77777777" w:rsidR="00E03817" w:rsidRPr="007D6FA6" w:rsidRDefault="00E03817" w:rsidP="00F333AD">
            <w:pPr>
              <w:rPr>
                <w:sz w:val="20"/>
                <w:szCs w:val="20"/>
              </w:rPr>
            </w:pPr>
            <w:r w:rsidRPr="007D6FA6">
              <w:rPr>
                <w:sz w:val="20"/>
                <w:szCs w:val="20"/>
              </w:rPr>
              <w:t>4.54</w:t>
            </w:r>
          </w:p>
          <w:p w14:paraId="33531FA5" w14:textId="77777777" w:rsidR="00E03817" w:rsidRPr="007D6FA6" w:rsidRDefault="00E03817" w:rsidP="00F333AD">
            <w:pPr>
              <w:rPr>
                <w:sz w:val="20"/>
                <w:szCs w:val="20"/>
              </w:rPr>
            </w:pPr>
            <w:r w:rsidRPr="007D6FA6">
              <w:rPr>
                <w:sz w:val="20"/>
                <w:szCs w:val="20"/>
              </w:rPr>
              <w:t>(2.99)</w:t>
            </w:r>
          </w:p>
        </w:tc>
        <w:tc>
          <w:tcPr>
            <w:tcW w:w="1276" w:type="dxa"/>
          </w:tcPr>
          <w:p w14:paraId="16F1C600" w14:textId="77777777" w:rsidR="00E03817" w:rsidRPr="00795484" w:rsidRDefault="00E03817" w:rsidP="00F333AD">
            <w:pPr>
              <w:rPr>
                <w:sz w:val="20"/>
                <w:szCs w:val="20"/>
              </w:rPr>
            </w:pPr>
            <w:r w:rsidRPr="00795484">
              <w:rPr>
                <w:sz w:val="20"/>
                <w:szCs w:val="20"/>
              </w:rPr>
              <w:t>553,409</w:t>
            </w:r>
          </w:p>
        </w:tc>
        <w:tc>
          <w:tcPr>
            <w:tcW w:w="851" w:type="dxa"/>
          </w:tcPr>
          <w:p w14:paraId="5445A54C" w14:textId="77777777" w:rsidR="00E03817" w:rsidRPr="00795484" w:rsidRDefault="00E03817" w:rsidP="00F333AD">
            <w:pPr>
              <w:rPr>
                <w:sz w:val="20"/>
                <w:szCs w:val="20"/>
              </w:rPr>
            </w:pPr>
            <w:r w:rsidRPr="00795484">
              <w:rPr>
                <w:sz w:val="20"/>
                <w:szCs w:val="20"/>
              </w:rPr>
              <w:t>0.4</w:t>
            </w:r>
            <w:r>
              <w:rPr>
                <w:sz w:val="20"/>
                <w:szCs w:val="20"/>
              </w:rPr>
              <w:t>2</w:t>
            </w:r>
          </w:p>
        </w:tc>
        <w:tc>
          <w:tcPr>
            <w:tcW w:w="708" w:type="dxa"/>
          </w:tcPr>
          <w:p w14:paraId="0EE33066" w14:textId="77777777" w:rsidR="00E03817" w:rsidRPr="00795484" w:rsidRDefault="00E03817" w:rsidP="00F333AD">
            <w:pPr>
              <w:rPr>
                <w:sz w:val="20"/>
                <w:szCs w:val="20"/>
              </w:rPr>
            </w:pPr>
            <w:r w:rsidRPr="00795484">
              <w:rPr>
                <w:sz w:val="20"/>
                <w:szCs w:val="20"/>
              </w:rPr>
              <w:t>1.17</w:t>
            </w:r>
          </w:p>
        </w:tc>
      </w:tr>
      <w:tr w:rsidR="00E03817" w:rsidRPr="00795484" w14:paraId="6B29CF01" w14:textId="77777777" w:rsidTr="00F333AD">
        <w:tc>
          <w:tcPr>
            <w:tcW w:w="2830" w:type="dxa"/>
            <w:shd w:val="clear" w:color="auto" w:fill="A5A5A5" w:themeFill="accent3"/>
          </w:tcPr>
          <w:p w14:paraId="5972AD53" w14:textId="77777777" w:rsidR="00E03817" w:rsidRPr="00795484" w:rsidRDefault="00E03817" w:rsidP="00F333AD">
            <w:pPr>
              <w:rPr>
                <w:sz w:val="20"/>
                <w:szCs w:val="20"/>
              </w:rPr>
            </w:pPr>
            <w:r w:rsidRPr="00795484">
              <w:rPr>
                <w:sz w:val="20"/>
                <w:szCs w:val="20"/>
              </w:rPr>
              <w:t>Adjusted for ethnicity</w:t>
            </w:r>
          </w:p>
        </w:tc>
        <w:tc>
          <w:tcPr>
            <w:tcW w:w="1276" w:type="dxa"/>
            <w:shd w:val="clear" w:color="auto" w:fill="A5A5A5" w:themeFill="accent3"/>
          </w:tcPr>
          <w:p w14:paraId="1F70211F" w14:textId="77777777" w:rsidR="00E03817" w:rsidRPr="00795484" w:rsidRDefault="00E03817" w:rsidP="00F333AD">
            <w:pPr>
              <w:rPr>
                <w:sz w:val="20"/>
                <w:szCs w:val="20"/>
              </w:rPr>
            </w:pPr>
          </w:p>
        </w:tc>
        <w:tc>
          <w:tcPr>
            <w:tcW w:w="1134" w:type="dxa"/>
            <w:shd w:val="clear" w:color="auto" w:fill="A5A5A5" w:themeFill="accent3"/>
          </w:tcPr>
          <w:p w14:paraId="2BB35F2E" w14:textId="77777777" w:rsidR="00E03817" w:rsidRPr="00795484" w:rsidRDefault="00E03817" w:rsidP="00F333AD">
            <w:pPr>
              <w:rPr>
                <w:sz w:val="20"/>
                <w:szCs w:val="20"/>
              </w:rPr>
            </w:pPr>
          </w:p>
        </w:tc>
        <w:tc>
          <w:tcPr>
            <w:tcW w:w="992" w:type="dxa"/>
            <w:shd w:val="clear" w:color="auto" w:fill="A5A5A5" w:themeFill="accent3"/>
          </w:tcPr>
          <w:p w14:paraId="1B57350A" w14:textId="77777777" w:rsidR="00E03817" w:rsidRPr="00795484" w:rsidRDefault="00E03817" w:rsidP="00F333AD">
            <w:pPr>
              <w:rPr>
                <w:sz w:val="20"/>
                <w:szCs w:val="20"/>
              </w:rPr>
            </w:pPr>
          </w:p>
        </w:tc>
        <w:tc>
          <w:tcPr>
            <w:tcW w:w="1276" w:type="dxa"/>
            <w:shd w:val="clear" w:color="auto" w:fill="A5A5A5" w:themeFill="accent3"/>
          </w:tcPr>
          <w:p w14:paraId="7B9A857D" w14:textId="77777777" w:rsidR="00E03817" w:rsidRPr="00795484" w:rsidRDefault="00E03817" w:rsidP="00F333AD">
            <w:pPr>
              <w:rPr>
                <w:sz w:val="20"/>
                <w:szCs w:val="20"/>
              </w:rPr>
            </w:pPr>
          </w:p>
        </w:tc>
        <w:tc>
          <w:tcPr>
            <w:tcW w:w="851" w:type="dxa"/>
            <w:shd w:val="clear" w:color="auto" w:fill="A5A5A5" w:themeFill="accent3"/>
          </w:tcPr>
          <w:p w14:paraId="720009D6" w14:textId="77777777" w:rsidR="00E03817" w:rsidRPr="00795484" w:rsidRDefault="00E03817" w:rsidP="00F333AD">
            <w:pPr>
              <w:rPr>
                <w:sz w:val="20"/>
                <w:szCs w:val="20"/>
              </w:rPr>
            </w:pPr>
          </w:p>
        </w:tc>
        <w:tc>
          <w:tcPr>
            <w:tcW w:w="708" w:type="dxa"/>
            <w:shd w:val="clear" w:color="auto" w:fill="A5A5A5" w:themeFill="accent3"/>
          </w:tcPr>
          <w:p w14:paraId="068659A5" w14:textId="77777777" w:rsidR="00E03817" w:rsidRPr="00795484" w:rsidRDefault="00E03817" w:rsidP="00F333AD">
            <w:pPr>
              <w:rPr>
                <w:sz w:val="20"/>
                <w:szCs w:val="20"/>
              </w:rPr>
            </w:pPr>
          </w:p>
        </w:tc>
      </w:tr>
      <w:tr w:rsidR="00E03817" w:rsidRPr="00795484" w14:paraId="13AA1143" w14:textId="77777777" w:rsidTr="00F333AD">
        <w:tc>
          <w:tcPr>
            <w:tcW w:w="2830" w:type="dxa"/>
          </w:tcPr>
          <w:p w14:paraId="3DF73ED1" w14:textId="77777777" w:rsidR="00E03817" w:rsidRPr="00086676" w:rsidRDefault="00E03817" w:rsidP="00F333AD">
            <w:pPr>
              <w:rPr>
                <w:b/>
                <w:bCs/>
                <w:sz w:val="20"/>
                <w:szCs w:val="20"/>
              </w:rPr>
            </w:pPr>
            <w:r w:rsidRPr="00086676">
              <w:rPr>
                <w:b/>
                <w:bCs/>
                <w:sz w:val="20"/>
                <w:szCs w:val="20"/>
              </w:rPr>
              <w:t>Brent</w:t>
            </w:r>
          </w:p>
        </w:tc>
        <w:tc>
          <w:tcPr>
            <w:tcW w:w="1276" w:type="dxa"/>
          </w:tcPr>
          <w:p w14:paraId="5131AFAB" w14:textId="77777777" w:rsidR="00E03817" w:rsidRPr="00795484" w:rsidRDefault="00E03817" w:rsidP="00F333AD">
            <w:pPr>
              <w:rPr>
                <w:sz w:val="20"/>
                <w:szCs w:val="20"/>
              </w:rPr>
            </w:pPr>
            <w:r w:rsidRPr="00795484">
              <w:rPr>
                <w:sz w:val="20"/>
                <w:szCs w:val="20"/>
              </w:rPr>
              <w:t>London</w:t>
            </w:r>
          </w:p>
        </w:tc>
        <w:tc>
          <w:tcPr>
            <w:tcW w:w="1134" w:type="dxa"/>
          </w:tcPr>
          <w:p w14:paraId="7A2D017E" w14:textId="77777777" w:rsidR="00E03817" w:rsidRDefault="00E03817" w:rsidP="00F333AD">
            <w:pPr>
              <w:rPr>
                <w:sz w:val="20"/>
                <w:szCs w:val="20"/>
              </w:rPr>
            </w:pPr>
            <w:r w:rsidRPr="00795484">
              <w:rPr>
                <w:sz w:val="20"/>
                <w:szCs w:val="20"/>
              </w:rPr>
              <w:t>25</w:t>
            </w:r>
          </w:p>
          <w:p w14:paraId="2B9F3ED4" w14:textId="77777777" w:rsidR="00E03817" w:rsidRPr="00795484" w:rsidRDefault="00E03817" w:rsidP="00F333AD">
            <w:pPr>
              <w:rPr>
                <w:sz w:val="20"/>
                <w:szCs w:val="20"/>
              </w:rPr>
            </w:pPr>
            <w:r>
              <w:rPr>
                <w:sz w:val="20"/>
                <w:szCs w:val="20"/>
              </w:rPr>
              <w:t>(9,057)</w:t>
            </w:r>
          </w:p>
        </w:tc>
        <w:tc>
          <w:tcPr>
            <w:tcW w:w="992" w:type="dxa"/>
          </w:tcPr>
          <w:p w14:paraId="173A0ED4" w14:textId="77777777" w:rsidR="00E03817" w:rsidRPr="00795484" w:rsidRDefault="00E03817" w:rsidP="00F333AD">
            <w:pPr>
              <w:rPr>
                <w:sz w:val="20"/>
                <w:szCs w:val="20"/>
              </w:rPr>
            </w:pPr>
            <w:r w:rsidRPr="00795484">
              <w:rPr>
                <w:sz w:val="20"/>
                <w:szCs w:val="20"/>
              </w:rPr>
              <w:t>3.30</w:t>
            </w:r>
          </w:p>
          <w:p w14:paraId="29579D41" w14:textId="77777777" w:rsidR="00E03817" w:rsidRPr="00795484" w:rsidRDefault="00E03817" w:rsidP="00F333AD">
            <w:pPr>
              <w:rPr>
                <w:sz w:val="20"/>
                <w:szCs w:val="20"/>
              </w:rPr>
            </w:pPr>
            <w:r w:rsidRPr="00795484">
              <w:rPr>
                <w:sz w:val="20"/>
                <w:szCs w:val="20"/>
              </w:rPr>
              <w:t>(1.55)</w:t>
            </w:r>
          </w:p>
        </w:tc>
        <w:tc>
          <w:tcPr>
            <w:tcW w:w="1276" w:type="dxa"/>
          </w:tcPr>
          <w:p w14:paraId="21388FF8" w14:textId="77777777" w:rsidR="00E03817" w:rsidRPr="00795484" w:rsidRDefault="00E03817" w:rsidP="00F333AD">
            <w:pPr>
              <w:rPr>
                <w:sz w:val="20"/>
                <w:szCs w:val="20"/>
              </w:rPr>
            </w:pPr>
            <w:r w:rsidRPr="00795484">
              <w:rPr>
                <w:sz w:val="20"/>
                <w:szCs w:val="20"/>
              </w:rPr>
              <w:t>35,997</w:t>
            </w:r>
          </w:p>
        </w:tc>
        <w:tc>
          <w:tcPr>
            <w:tcW w:w="851" w:type="dxa"/>
          </w:tcPr>
          <w:p w14:paraId="11F7F044" w14:textId="77777777" w:rsidR="00E03817" w:rsidRPr="00795484" w:rsidRDefault="00E03817" w:rsidP="00F333AD">
            <w:pPr>
              <w:rPr>
                <w:sz w:val="20"/>
                <w:szCs w:val="20"/>
              </w:rPr>
            </w:pPr>
            <w:r w:rsidRPr="00795484">
              <w:rPr>
                <w:sz w:val="20"/>
                <w:szCs w:val="20"/>
              </w:rPr>
              <w:t>0.6</w:t>
            </w:r>
            <w:r>
              <w:rPr>
                <w:sz w:val="20"/>
                <w:szCs w:val="20"/>
              </w:rPr>
              <w:t>3</w:t>
            </w:r>
          </w:p>
        </w:tc>
        <w:tc>
          <w:tcPr>
            <w:tcW w:w="708" w:type="dxa"/>
          </w:tcPr>
          <w:p w14:paraId="6FC92C01" w14:textId="77777777" w:rsidR="00E03817" w:rsidRPr="00795484" w:rsidRDefault="00E03817" w:rsidP="00F333AD">
            <w:pPr>
              <w:rPr>
                <w:sz w:val="20"/>
                <w:szCs w:val="20"/>
              </w:rPr>
            </w:pPr>
            <w:r w:rsidRPr="00795484">
              <w:rPr>
                <w:sz w:val="20"/>
                <w:szCs w:val="20"/>
              </w:rPr>
              <w:t>1.5</w:t>
            </w:r>
            <w:r>
              <w:rPr>
                <w:sz w:val="20"/>
                <w:szCs w:val="20"/>
              </w:rPr>
              <w:t>9</w:t>
            </w:r>
          </w:p>
        </w:tc>
      </w:tr>
      <w:tr w:rsidR="00E03817" w:rsidRPr="00795484" w14:paraId="139827CD" w14:textId="77777777" w:rsidTr="00F333AD">
        <w:tc>
          <w:tcPr>
            <w:tcW w:w="2830" w:type="dxa"/>
          </w:tcPr>
          <w:p w14:paraId="7E64E438" w14:textId="77777777" w:rsidR="00E03817" w:rsidRPr="00612497" w:rsidRDefault="00E03817" w:rsidP="00F333AD">
            <w:pPr>
              <w:rPr>
                <w:b/>
                <w:bCs/>
                <w:sz w:val="20"/>
                <w:szCs w:val="20"/>
              </w:rPr>
            </w:pPr>
            <w:r w:rsidRPr="00612497">
              <w:rPr>
                <w:b/>
                <w:bCs/>
                <w:sz w:val="20"/>
                <w:szCs w:val="20"/>
              </w:rPr>
              <w:t>Leicester</w:t>
            </w:r>
          </w:p>
        </w:tc>
        <w:tc>
          <w:tcPr>
            <w:tcW w:w="1276" w:type="dxa"/>
          </w:tcPr>
          <w:p w14:paraId="7F9430FA" w14:textId="77777777" w:rsidR="00E03817" w:rsidRPr="00795484" w:rsidRDefault="00E03817" w:rsidP="00F333AD">
            <w:pPr>
              <w:rPr>
                <w:sz w:val="20"/>
                <w:szCs w:val="20"/>
              </w:rPr>
            </w:pPr>
            <w:r w:rsidRPr="00795484">
              <w:rPr>
                <w:sz w:val="20"/>
                <w:szCs w:val="20"/>
              </w:rPr>
              <w:t>East Midlands</w:t>
            </w:r>
          </w:p>
        </w:tc>
        <w:tc>
          <w:tcPr>
            <w:tcW w:w="1134" w:type="dxa"/>
          </w:tcPr>
          <w:p w14:paraId="7327D1BD" w14:textId="77777777" w:rsidR="00E03817" w:rsidRDefault="00E03817" w:rsidP="00F333AD">
            <w:pPr>
              <w:rPr>
                <w:sz w:val="20"/>
                <w:szCs w:val="20"/>
              </w:rPr>
            </w:pPr>
            <w:r w:rsidRPr="00795484">
              <w:rPr>
                <w:sz w:val="20"/>
                <w:szCs w:val="20"/>
              </w:rPr>
              <w:t>41</w:t>
            </w:r>
          </w:p>
          <w:p w14:paraId="59A647A7" w14:textId="77777777" w:rsidR="00E03817" w:rsidRPr="00795484" w:rsidRDefault="00E03817" w:rsidP="00F333AD">
            <w:pPr>
              <w:rPr>
                <w:sz w:val="20"/>
                <w:szCs w:val="20"/>
              </w:rPr>
            </w:pPr>
            <w:r>
              <w:rPr>
                <w:sz w:val="20"/>
                <w:szCs w:val="20"/>
              </w:rPr>
              <w:t>(20,737)</w:t>
            </w:r>
          </w:p>
        </w:tc>
        <w:tc>
          <w:tcPr>
            <w:tcW w:w="992" w:type="dxa"/>
          </w:tcPr>
          <w:p w14:paraId="5B17C595" w14:textId="77777777" w:rsidR="00E03817" w:rsidRPr="00795484" w:rsidRDefault="00E03817" w:rsidP="00F333AD">
            <w:pPr>
              <w:rPr>
                <w:sz w:val="20"/>
                <w:szCs w:val="20"/>
              </w:rPr>
            </w:pPr>
            <w:r w:rsidRPr="00795484">
              <w:rPr>
                <w:sz w:val="20"/>
                <w:szCs w:val="20"/>
              </w:rPr>
              <w:t>2.89</w:t>
            </w:r>
          </w:p>
          <w:p w14:paraId="3A03BEE5" w14:textId="77777777" w:rsidR="00E03817" w:rsidRPr="00795484" w:rsidRDefault="00E03817" w:rsidP="00F333AD">
            <w:pPr>
              <w:rPr>
                <w:sz w:val="20"/>
                <w:szCs w:val="20"/>
              </w:rPr>
            </w:pPr>
            <w:r w:rsidRPr="00795484">
              <w:rPr>
                <w:sz w:val="20"/>
                <w:szCs w:val="20"/>
              </w:rPr>
              <w:t>(1.97)</w:t>
            </w:r>
          </w:p>
        </w:tc>
        <w:tc>
          <w:tcPr>
            <w:tcW w:w="1276" w:type="dxa"/>
          </w:tcPr>
          <w:p w14:paraId="3CBF21E5" w14:textId="77777777" w:rsidR="00E03817" w:rsidRPr="00795484" w:rsidRDefault="00E03817" w:rsidP="00F333AD">
            <w:pPr>
              <w:rPr>
                <w:sz w:val="20"/>
                <w:szCs w:val="20"/>
              </w:rPr>
            </w:pPr>
            <w:r w:rsidRPr="00795484">
              <w:rPr>
                <w:sz w:val="20"/>
                <w:szCs w:val="20"/>
              </w:rPr>
              <w:t>50,088</w:t>
            </w:r>
          </w:p>
        </w:tc>
        <w:tc>
          <w:tcPr>
            <w:tcW w:w="851" w:type="dxa"/>
          </w:tcPr>
          <w:p w14:paraId="0B842BB5" w14:textId="77777777" w:rsidR="00E03817" w:rsidRPr="00795484" w:rsidRDefault="00E03817" w:rsidP="00F333AD">
            <w:pPr>
              <w:rPr>
                <w:sz w:val="20"/>
                <w:szCs w:val="20"/>
              </w:rPr>
            </w:pPr>
            <w:r w:rsidRPr="00795484">
              <w:rPr>
                <w:sz w:val="20"/>
                <w:szCs w:val="20"/>
              </w:rPr>
              <w:t>0.6</w:t>
            </w:r>
            <w:r>
              <w:rPr>
                <w:sz w:val="20"/>
                <w:szCs w:val="20"/>
              </w:rPr>
              <w:t>2</w:t>
            </w:r>
          </w:p>
        </w:tc>
        <w:tc>
          <w:tcPr>
            <w:tcW w:w="708" w:type="dxa"/>
          </w:tcPr>
          <w:p w14:paraId="688D663D" w14:textId="77777777" w:rsidR="00E03817" w:rsidRPr="00795484" w:rsidRDefault="00E03817" w:rsidP="00F333AD">
            <w:pPr>
              <w:rPr>
                <w:sz w:val="20"/>
                <w:szCs w:val="20"/>
              </w:rPr>
            </w:pPr>
            <w:r w:rsidRPr="00795484">
              <w:rPr>
                <w:sz w:val="20"/>
                <w:szCs w:val="20"/>
              </w:rPr>
              <w:t>1.5</w:t>
            </w:r>
            <w:r>
              <w:rPr>
                <w:sz w:val="20"/>
                <w:szCs w:val="20"/>
              </w:rPr>
              <w:t>7</w:t>
            </w:r>
          </w:p>
        </w:tc>
      </w:tr>
      <w:tr w:rsidR="00E03817" w:rsidRPr="00795484" w14:paraId="09B22810" w14:textId="77777777" w:rsidTr="00F333AD">
        <w:tc>
          <w:tcPr>
            <w:tcW w:w="2830" w:type="dxa"/>
          </w:tcPr>
          <w:p w14:paraId="4F3B9DB1" w14:textId="77777777" w:rsidR="00E03817" w:rsidRPr="004B78E5" w:rsidRDefault="00E03817" w:rsidP="00F333AD">
            <w:pPr>
              <w:rPr>
                <w:sz w:val="20"/>
                <w:szCs w:val="20"/>
              </w:rPr>
            </w:pPr>
            <w:r w:rsidRPr="00612497">
              <w:rPr>
                <w:b/>
                <w:bCs/>
                <w:sz w:val="20"/>
                <w:szCs w:val="20"/>
              </w:rPr>
              <w:t>Burnley, Rossendale, Hyndburn, Pendle, Blackburn with Darwen, Calderdale, Rochdale, Ribble Valley, Bury, Bradford, Bolton, Oldham, Chorley, Craven, Preston, Kirklees, South Ribble,</w:t>
            </w:r>
            <w:r w:rsidRPr="004B78E5">
              <w:rPr>
                <w:sz w:val="20"/>
                <w:szCs w:val="20"/>
              </w:rPr>
              <w:t xml:space="preserve"> Manchester, Salford</w:t>
            </w:r>
          </w:p>
        </w:tc>
        <w:tc>
          <w:tcPr>
            <w:tcW w:w="1276" w:type="dxa"/>
          </w:tcPr>
          <w:p w14:paraId="3D1D6E4F" w14:textId="77777777" w:rsidR="00E03817" w:rsidRPr="00795484" w:rsidRDefault="00E03817" w:rsidP="00F333AD">
            <w:pPr>
              <w:rPr>
                <w:sz w:val="20"/>
                <w:szCs w:val="20"/>
              </w:rPr>
            </w:pPr>
            <w:r w:rsidRPr="00795484">
              <w:rPr>
                <w:sz w:val="20"/>
                <w:szCs w:val="20"/>
              </w:rPr>
              <w:t xml:space="preserve">North West, </w:t>
            </w:r>
          </w:p>
          <w:p w14:paraId="2D1DB2D4" w14:textId="77777777" w:rsidR="00E03817" w:rsidRPr="00795484" w:rsidRDefault="00E03817" w:rsidP="00F333AD">
            <w:pPr>
              <w:rPr>
                <w:sz w:val="20"/>
                <w:szCs w:val="20"/>
              </w:rPr>
            </w:pPr>
            <w:r w:rsidRPr="00795484">
              <w:rPr>
                <w:sz w:val="20"/>
                <w:szCs w:val="20"/>
              </w:rPr>
              <w:t>Yorkshire and the Humber</w:t>
            </w:r>
          </w:p>
        </w:tc>
        <w:tc>
          <w:tcPr>
            <w:tcW w:w="1134" w:type="dxa"/>
          </w:tcPr>
          <w:p w14:paraId="67623898" w14:textId="77777777" w:rsidR="00E03817" w:rsidRDefault="00E03817" w:rsidP="00F333AD">
            <w:pPr>
              <w:rPr>
                <w:sz w:val="20"/>
                <w:szCs w:val="20"/>
              </w:rPr>
            </w:pPr>
            <w:r w:rsidRPr="00795484">
              <w:rPr>
                <w:sz w:val="20"/>
                <w:szCs w:val="20"/>
              </w:rPr>
              <w:t>6</w:t>
            </w:r>
            <w:r>
              <w:rPr>
                <w:sz w:val="20"/>
                <w:szCs w:val="20"/>
              </w:rPr>
              <w:t>7</w:t>
            </w:r>
          </w:p>
          <w:p w14:paraId="3E22074B" w14:textId="77777777" w:rsidR="00E03817" w:rsidRPr="00795484" w:rsidRDefault="00E03817" w:rsidP="00F333AD">
            <w:pPr>
              <w:rPr>
                <w:sz w:val="20"/>
                <w:szCs w:val="20"/>
              </w:rPr>
            </w:pPr>
            <w:r>
              <w:rPr>
                <w:sz w:val="20"/>
                <w:szCs w:val="20"/>
              </w:rPr>
              <w:t>(317,638)</w:t>
            </w:r>
          </w:p>
        </w:tc>
        <w:tc>
          <w:tcPr>
            <w:tcW w:w="992" w:type="dxa"/>
          </w:tcPr>
          <w:p w14:paraId="3A7EAD8D" w14:textId="77777777" w:rsidR="00E03817" w:rsidRPr="00795484" w:rsidRDefault="00E03817" w:rsidP="00F333AD">
            <w:pPr>
              <w:rPr>
                <w:sz w:val="20"/>
                <w:szCs w:val="20"/>
              </w:rPr>
            </w:pPr>
            <w:r w:rsidRPr="00795484">
              <w:rPr>
                <w:sz w:val="20"/>
                <w:szCs w:val="20"/>
              </w:rPr>
              <w:t>3.64</w:t>
            </w:r>
          </w:p>
          <w:p w14:paraId="28D4C3E1" w14:textId="77777777" w:rsidR="00E03817" w:rsidRPr="00795484" w:rsidRDefault="00E03817" w:rsidP="00F333AD">
            <w:pPr>
              <w:rPr>
                <w:sz w:val="20"/>
                <w:szCs w:val="20"/>
              </w:rPr>
            </w:pPr>
            <w:r w:rsidRPr="00795484">
              <w:rPr>
                <w:sz w:val="20"/>
                <w:szCs w:val="20"/>
              </w:rPr>
              <w:t>(2.74)</w:t>
            </w:r>
          </w:p>
        </w:tc>
        <w:tc>
          <w:tcPr>
            <w:tcW w:w="1276" w:type="dxa"/>
          </w:tcPr>
          <w:p w14:paraId="056B576C" w14:textId="77777777" w:rsidR="00E03817" w:rsidRPr="00795484" w:rsidRDefault="00E03817" w:rsidP="00F333AD">
            <w:pPr>
              <w:rPr>
                <w:sz w:val="20"/>
                <w:szCs w:val="20"/>
              </w:rPr>
            </w:pPr>
            <w:r w:rsidRPr="00795484">
              <w:rPr>
                <w:sz w:val="20"/>
                <w:szCs w:val="20"/>
              </w:rPr>
              <w:t>476,894</w:t>
            </w:r>
          </w:p>
        </w:tc>
        <w:tc>
          <w:tcPr>
            <w:tcW w:w="851" w:type="dxa"/>
          </w:tcPr>
          <w:p w14:paraId="0205850F" w14:textId="77777777" w:rsidR="00E03817" w:rsidRPr="00795484" w:rsidRDefault="00E03817" w:rsidP="00F333AD">
            <w:pPr>
              <w:rPr>
                <w:sz w:val="20"/>
                <w:szCs w:val="20"/>
              </w:rPr>
            </w:pPr>
            <w:r w:rsidRPr="00795484">
              <w:rPr>
                <w:sz w:val="20"/>
                <w:szCs w:val="20"/>
              </w:rPr>
              <w:t>0.5</w:t>
            </w:r>
            <w:r>
              <w:rPr>
                <w:sz w:val="20"/>
                <w:szCs w:val="20"/>
              </w:rPr>
              <w:t>3</w:t>
            </w:r>
          </w:p>
        </w:tc>
        <w:tc>
          <w:tcPr>
            <w:tcW w:w="708" w:type="dxa"/>
          </w:tcPr>
          <w:p w14:paraId="28CE341E" w14:textId="77777777" w:rsidR="00E03817" w:rsidRPr="00795484" w:rsidRDefault="00E03817" w:rsidP="00F333AD">
            <w:pPr>
              <w:rPr>
                <w:sz w:val="20"/>
                <w:szCs w:val="20"/>
              </w:rPr>
            </w:pPr>
            <w:r w:rsidRPr="00795484">
              <w:rPr>
                <w:sz w:val="20"/>
                <w:szCs w:val="20"/>
              </w:rPr>
              <w:t>1.3</w:t>
            </w:r>
            <w:r>
              <w:rPr>
                <w:sz w:val="20"/>
                <w:szCs w:val="20"/>
              </w:rPr>
              <w:t>6</w:t>
            </w:r>
          </w:p>
        </w:tc>
      </w:tr>
      <w:tr w:rsidR="00E03817" w:rsidRPr="00795484" w14:paraId="6EDD9B5A" w14:textId="77777777" w:rsidTr="00F333AD">
        <w:tc>
          <w:tcPr>
            <w:tcW w:w="2830" w:type="dxa"/>
          </w:tcPr>
          <w:p w14:paraId="12B7AB08" w14:textId="77777777" w:rsidR="00E03817" w:rsidRPr="00612497" w:rsidRDefault="00E03817" w:rsidP="00F333AD">
            <w:pPr>
              <w:rPr>
                <w:b/>
                <w:bCs/>
                <w:sz w:val="20"/>
                <w:szCs w:val="20"/>
              </w:rPr>
            </w:pPr>
            <w:r w:rsidRPr="00086676">
              <w:rPr>
                <w:b/>
                <w:bCs/>
                <w:sz w:val="20"/>
                <w:szCs w:val="20"/>
              </w:rPr>
              <w:t>Tower Hamlets,</w:t>
            </w:r>
            <w:r>
              <w:rPr>
                <w:b/>
                <w:bCs/>
                <w:sz w:val="20"/>
                <w:szCs w:val="20"/>
              </w:rPr>
              <w:t xml:space="preserve"> Newham</w:t>
            </w:r>
          </w:p>
        </w:tc>
        <w:tc>
          <w:tcPr>
            <w:tcW w:w="1276" w:type="dxa"/>
          </w:tcPr>
          <w:p w14:paraId="2B2914BE" w14:textId="77777777" w:rsidR="00E03817" w:rsidRPr="00795484" w:rsidRDefault="00E03817" w:rsidP="00F333AD">
            <w:pPr>
              <w:rPr>
                <w:sz w:val="20"/>
                <w:szCs w:val="20"/>
              </w:rPr>
            </w:pPr>
            <w:r w:rsidRPr="00795484">
              <w:rPr>
                <w:sz w:val="20"/>
                <w:szCs w:val="20"/>
              </w:rPr>
              <w:t>London</w:t>
            </w:r>
          </w:p>
        </w:tc>
        <w:tc>
          <w:tcPr>
            <w:tcW w:w="1134" w:type="dxa"/>
          </w:tcPr>
          <w:p w14:paraId="620D97C3" w14:textId="77777777" w:rsidR="00E03817" w:rsidRDefault="00E03817" w:rsidP="00F333AD">
            <w:pPr>
              <w:rPr>
                <w:sz w:val="20"/>
                <w:szCs w:val="20"/>
              </w:rPr>
            </w:pPr>
            <w:r>
              <w:rPr>
                <w:sz w:val="20"/>
                <w:szCs w:val="20"/>
              </w:rPr>
              <w:t>17</w:t>
            </w:r>
          </w:p>
          <w:p w14:paraId="3E83EC68" w14:textId="77777777" w:rsidR="00E03817" w:rsidRPr="00795484" w:rsidRDefault="00E03817" w:rsidP="00F333AD">
            <w:pPr>
              <w:rPr>
                <w:sz w:val="20"/>
                <w:szCs w:val="20"/>
              </w:rPr>
            </w:pPr>
            <w:r>
              <w:rPr>
                <w:sz w:val="20"/>
                <w:szCs w:val="20"/>
              </w:rPr>
              <w:t>(14,552)</w:t>
            </w:r>
          </w:p>
        </w:tc>
        <w:tc>
          <w:tcPr>
            <w:tcW w:w="992" w:type="dxa"/>
          </w:tcPr>
          <w:p w14:paraId="66112014" w14:textId="77777777" w:rsidR="00E03817" w:rsidRPr="007D6FA6" w:rsidRDefault="00E03817" w:rsidP="00F333AD">
            <w:pPr>
              <w:rPr>
                <w:sz w:val="20"/>
                <w:szCs w:val="20"/>
              </w:rPr>
            </w:pPr>
            <w:r w:rsidRPr="007D6FA6">
              <w:rPr>
                <w:sz w:val="20"/>
                <w:szCs w:val="20"/>
              </w:rPr>
              <w:t>2.11</w:t>
            </w:r>
          </w:p>
          <w:p w14:paraId="3A08985A" w14:textId="77777777" w:rsidR="00E03817" w:rsidRPr="00795484" w:rsidRDefault="00E03817" w:rsidP="00F333AD">
            <w:pPr>
              <w:rPr>
                <w:sz w:val="20"/>
                <w:szCs w:val="20"/>
              </w:rPr>
            </w:pPr>
            <w:r w:rsidRPr="007D6FA6">
              <w:rPr>
                <w:sz w:val="20"/>
                <w:szCs w:val="20"/>
              </w:rPr>
              <w:t>(1.11)</w:t>
            </w:r>
          </w:p>
        </w:tc>
        <w:tc>
          <w:tcPr>
            <w:tcW w:w="1276" w:type="dxa"/>
          </w:tcPr>
          <w:p w14:paraId="76C97C8C" w14:textId="77777777" w:rsidR="00E03817" w:rsidRPr="00795484" w:rsidRDefault="00E03817" w:rsidP="00F333AD">
            <w:pPr>
              <w:rPr>
                <w:sz w:val="20"/>
                <w:szCs w:val="20"/>
              </w:rPr>
            </w:pPr>
            <w:r>
              <w:rPr>
                <w:sz w:val="20"/>
                <w:szCs w:val="20"/>
              </w:rPr>
              <w:t>85,168</w:t>
            </w:r>
          </w:p>
        </w:tc>
        <w:tc>
          <w:tcPr>
            <w:tcW w:w="851" w:type="dxa"/>
          </w:tcPr>
          <w:p w14:paraId="2ABC0E7B" w14:textId="77777777" w:rsidR="00E03817" w:rsidRPr="00795484" w:rsidRDefault="00E03817" w:rsidP="00F333AD">
            <w:pPr>
              <w:rPr>
                <w:sz w:val="20"/>
                <w:szCs w:val="20"/>
              </w:rPr>
            </w:pPr>
            <w:r w:rsidRPr="00795484">
              <w:rPr>
                <w:sz w:val="20"/>
                <w:szCs w:val="20"/>
              </w:rPr>
              <w:t>0.5</w:t>
            </w:r>
            <w:r>
              <w:rPr>
                <w:sz w:val="20"/>
                <w:szCs w:val="20"/>
              </w:rPr>
              <w:t>5</w:t>
            </w:r>
          </w:p>
        </w:tc>
        <w:tc>
          <w:tcPr>
            <w:tcW w:w="708" w:type="dxa"/>
          </w:tcPr>
          <w:p w14:paraId="0B8455D6" w14:textId="77777777" w:rsidR="00E03817" w:rsidRPr="00795484" w:rsidRDefault="00E03817" w:rsidP="00F333AD">
            <w:pPr>
              <w:rPr>
                <w:sz w:val="20"/>
                <w:szCs w:val="20"/>
              </w:rPr>
            </w:pPr>
            <w:r w:rsidRPr="00795484">
              <w:rPr>
                <w:sz w:val="20"/>
                <w:szCs w:val="20"/>
              </w:rPr>
              <w:t>1.</w:t>
            </w:r>
            <w:r>
              <w:rPr>
                <w:sz w:val="20"/>
                <w:szCs w:val="20"/>
              </w:rPr>
              <w:t>40</w:t>
            </w:r>
          </w:p>
        </w:tc>
      </w:tr>
      <w:tr w:rsidR="00E03817" w:rsidRPr="00795484" w14:paraId="26D9FF1A" w14:textId="77777777" w:rsidTr="00F333AD">
        <w:tc>
          <w:tcPr>
            <w:tcW w:w="2830" w:type="dxa"/>
          </w:tcPr>
          <w:p w14:paraId="469DB6C5" w14:textId="77777777" w:rsidR="00E03817" w:rsidRPr="00612497" w:rsidRDefault="00E03817" w:rsidP="00F333AD">
            <w:pPr>
              <w:rPr>
                <w:b/>
                <w:bCs/>
                <w:sz w:val="20"/>
                <w:szCs w:val="20"/>
              </w:rPr>
            </w:pPr>
            <w:r w:rsidRPr="00612497">
              <w:rPr>
                <w:b/>
                <w:bCs/>
                <w:sz w:val="20"/>
                <w:szCs w:val="20"/>
              </w:rPr>
              <w:t>Dudley, Sandwell, Wolverhampton, Birmingham, Walsall</w:t>
            </w:r>
            <w:r>
              <w:rPr>
                <w:b/>
                <w:bCs/>
                <w:sz w:val="20"/>
                <w:szCs w:val="20"/>
              </w:rPr>
              <w:t>, Wyre Forest</w:t>
            </w:r>
          </w:p>
        </w:tc>
        <w:tc>
          <w:tcPr>
            <w:tcW w:w="1276" w:type="dxa"/>
          </w:tcPr>
          <w:p w14:paraId="2B796CC6" w14:textId="77777777" w:rsidR="00E03817" w:rsidRPr="00795484" w:rsidRDefault="00E03817" w:rsidP="00F333AD">
            <w:pPr>
              <w:rPr>
                <w:sz w:val="20"/>
                <w:szCs w:val="20"/>
              </w:rPr>
            </w:pPr>
            <w:r w:rsidRPr="00795484">
              <w:rPr>
                <w:sz w:val="20"/>
                <w:szCs w:val="20"/>
              </w:rPr>
              <w:t>West Midlands</w:t>
            </w:r>
          </w:p>
        </w:tc>
        <w:tc>
          <w:tcPr>
            <w:tcW w:w="1134" w:type="dxa"/>
          </w:tcPr>
          <w:p w14:paraId="6C4EAD29" w14:textId="77777777" w:rsidR="00E03817" w:rsidRPr="007D6FA6" w:rsidRDefault="00E03817" w:rsidP="00F333AD">
            <w:pPr>
              <w:rPr>
                <w:sz w:val="20"/>
                <w:szCs w:val="20"/>
              </w:rPr>
            </w:pPr>
            <w:r w:rsidRPr="007D6FA6">
              <w:rPr>
                <w:sz w:val="20"/>
                <w:szCs w:val="20"/>
              </w:rPr>
              <w:t>54</w:t>
            </w:r>
          </w:p>
          <w:p w14:paraId="2155F7CE" w14:textId="77777777" w:rsidR="00E03817" w:rsidRPr="007D6FA6" w:rsidRDefault="00E03817" w:rsidP="00F333AD">
            <w:pPr>
              <w:rPr>
                <w:sz w:val="20"/>
                <w:szCs w:val="20"/>
              </w:rPr>
            </w:pPr>
            <w:r w:rsidRPr="007D6FA6">
              <w:rPr>
                <w:sz w:val="20"/>
                <w:szCs w:val="20"/>
              </w:rPr>
              <w:t>(177,266)</w:t>
            </w:r>
          </w:p>
        </w:tc>
        <w:tc>
          <w:tcPr>
            <w:tcW w:w="992" w:type="dxa"/>
          </w:tcPr>
          <w:p w14:paraId="7A1061B0" w14:textId="77777777" w:rsidR="00E03817" w:rsidRPr="007D6FA6" w:rsidRDefault="00E03817" w:rsidP="00F333AD">
            <w:pPr>
              <w:rPr>
                <w:sz w:val="20"/>
                <w:szCs w:val="20"/>
              </w:rPr>
            </w:pPr>
            <w:r w:rsidRPr="007D6FA6">
              <w:rPr>
                <w:sz w:val="20"/>
                <w:szCs w:val="20"/>
              </w:rPr>
              <w:t>2.96</w:t>
            </w:r>
          </w:p>
          <w:p w14:paraId="6180A48E" w14:textId="77777777" w:rsidR="00E03817" w:rsidRPr="00E36873" w:rsidRDefault="00E03817" w:rsidP="00F333AD">
            <w:pPr>
              <w:rPr>
                <w:sz w:val="20"/>
                <w:szCs w:val="20"/>
                <w:highlight w:val="yellow"/>
              </w:rPr>
            </w:pPr>
            <w:r w:rsidRPr="007D6FA6">
              <w:rPr>
                <w:sz w:val="20"/>
                <w:szCs w:val="20"/>
              </w:rPr>
              <w:t>(2.37)</w:t>
            </w:r>
          </w:p>
        </w:tc>
        <w:tc>
          <w:tcPr>
            <w:tcW w:w="1276" w:type="dxa"/>
          </w:tcPr>
          <w:p w14:paraId="1F35D319" w14:textId="77777777" w:rsidR="00E03817" w:rsidRPr="00795484" w:rsidRDefault="00E03817" w:rsidP="00F333AD">
            <w:pPr>
              <w:rPr>
                <w:sz w:val="20"/>
                <w:szCs w:val="20"/>
              </w:rPr>
            </w:pPr>
            <w:r w:rsidRPr="00795484">
              <w:rPr>
                <w:sz w:val="20"/>
                <w:szCs w:val="20"/>
              </w:rPr>
              <w:t>3</w:t>
            </w:r>
            <w:r>
              <w:rPr>
                <w:sz w:val="20"/>
                <w:szCs w:val="20"/>
              </w:rPr>
              <w:t>30,203</w:t>
            </w:r>
          </w:p>
        </w:tc>
        <w:tc>
          <w:tcPr>
            <w:tcW w:w="851" w:type="dxa"/>
          </w:tcPr>
          <w:p w14:paraId="6EF0350E" w14:textId="77777777" w:rsidR="00E03817" w:rsidRPr="00795484" w:rsidRDefault="00E03817" w:rsidP="00F333AD">
            <w:pPr>
              <w:rPr>
                <w:sz w:val="20"/>
                <w:szCs w:val="20"/>
              </w:rPr>
            </w:pPr>
            <w:r w:rsidRPr="00795484">
              <w:rPr>
                <w:sz w:val="20"/>
                <w:szCs w:val="20"/>
              </w:rPr>
              <w:t>0.5</w:t>
            </w:r>
            <w:r>
              <w:rPr>
                <w:sz w:val="20"/>
                <w:szCs w:val="20"/>
              </w:rPr>
              <w:t>1</w:t>
            </w:r>
          </w:p>
        </w:tc>
        <w:tc>
          <w:tcPr>
            <w:tcW w:w="708" w:type="dxa"/>
          </w:tcPr>
          <w:p w14:paraId="10304529" w14:textId="77777777" w:rsidR="00E03817" w:rsidRPr="00795484" w:rsidRDefault="00E03817" w:rsidP="00F333AD">
            <w:pPr>
              <w:rPr>
                <w:sz w:val="20"/>
                <w:szCs w:val="20"/>
              </w:rPr>
            </w:pPr>
            <w:r w:rsidRPr="00795484">
              <w:rPr>
                <w:sz w:val="20"/>
                <w:szCs w:val="20"/>
              </w:rPr>
              <w:t>1.30</w:t>
            </w:r>
          </w:p>
        </w:tc>
      </w:tr>
      <w:tr w:rsidR="00E03817" w:rsidRPr="00795484" w14:paraId="061C0396" w14:textId="77777777" w:rsidTr="00F333AD">
        <w:tc>
          <w:tcPr>
            <w:tcW w:w="2830" w:type="dxa"/>
          </w:tcPr>
          <w:p w14:paraId="141C4DAF" w14:textId="77777777" w:rsidR="00E03817" w:rsidRPr="004B78E5" w:rsidRDefault="00E03817" w:rsidP="00F333AD">
            <w:pPr>
              <w:rPr>
                <w:sz w:val="20"/>
                <w:szCs w:val="20"/>
              </w:rPr>
            </w:pPr>
            <w:r w:rsidRPr="00037E58">
              <w:rPr>
                <w:b/>
                <w:bCs/>
                <w:sz w:val="20"/>
                <w:szCs w:val="20"/>
              </w:rPr>
              <w:lastRenderedPageBreak/>
              <w:t>Scarborough, Ryedale, Redcar and Cleveland, Middlesbrough, East Riding of Yorkshire, Hambleton, York, Stockton-on-Tees, Hartlepool, Kingston upon Hull, Darlington, Harrogate, Selby, Sunderland, North</w:t>
            </w:r>
            <w:r w:rsidRPr="004B78E5">
              <w:rPr>
                <w:sz w:val="20"/>
                <w:szCs w:val="20"/>
              </w:rPr>
              <w:t xml:space="preserve"> </w:t>
            </w:r>
            <w:r w:rsidRPr="00037E58">
              <w:rPr>
                <w:b/>
                <w:bCs/>
                <w:sz w:val="20"/>
                <w:szCs w:val="20"/>
              </w:rPr>
              <w:t>Lincolnshire, Leeds, South Tyneside, County Durham, Richmondshire, North East Lincolnshire, Wakefield, North Tyneside, Doncaster, Gateshead</w:t>
            </w:r>
          </w:p>
        </w:tc>
        <w:tc>
          <w:tcPr>
            <w:tcW w:w="1276" w:type="dxa"/>
          </w:tcPr>
          <w:p w14:paraId="1CDCDFC2" w14:textId="77777777" w:rsidR="00E03817" w:rsidRPr="00795484" w:rsidRDefault="00E03817" w:rsidP="00F333AD">
            <w:pPr>
              <w:rPr>
                <w:sz w:val="20"/>
                <w:szCs w:val="20"/>
              </w:rPr>
            </w:pPr>
            <w:r w:rsidRPr="00795484">
              <w:rPr>
                <w:sz w:val="20"/>
                <w:szCs w:val="20"/>
              </w:rPr>
              <w:t xml:space="preserve">Yorkshire and the Humber, North East </w:t>
            </w:r>
          </w:p>
        </w:tc>
        <w:tc>
          <w:tcPr>
            <w:tcW w:w="1134" w:type="dxa"/>
          </w:tcPr>
          <w:p w14:paraId="6080DD42" w14:textId="77777777" w:rsidR="00E03817" w:rsidRPr="00DE234D" w:rsidRDefault="00E03817" w:rsidP="00F333AD">
            <w:pPr>
              <w:rPr>
                <w:sz w:val="20"/>
                <w:szCs w:val="20"/>
              </w:rPr>
            </w:pPr>
            <w:r w:rsidRPr="00DE234D">
              <w:rPr>
                <w:sz w:val="20"/>
                <w:szCs w:val="20"/>
              </w:rPr>
              <w:t>90</w:t>
            </w:r>
          </w:p>
          <w:p w14:paraId="4AB50744" w14:textId="77777777" w:rsidR="00E03817" w:rsidRPr="00DE234D" w:rsidRDefault="00E03817" w:rsidP="00F333AD">
            <w:pPr>
              <w:rPr>
                <w:sz w:val="20"/>
                <w:szCs w:val="20"/>
              </w:rPr>
            </w:pPr>
            <w:r w:rsidRPr="00DE234D">
              <w:rPr>
                <w:sz w:val="20"/>
                <w:szCs w:val="20"/>
              </w:rPr>
              <w:t>(496,097)</w:t>
            </w:r>
          </w:p>
        </w:tc>
        <w:tc>
          <w:tcPr>
            <w:tcW w:w="992" w:type="dxa"/>
          </w:tcPr>
          <w:p w14:paraId="1DE490D3" w14:textId="77777777" w:rsidR="00E03817" w:rsidRPr="00795484" w:rsidRDefault="00E03817" w:rsidP="00F333AD">
            <w:pPr>
              <w:rPr>
                <w:sz w:val="20"/>
                <w:szCs w:val="20"/>
              </w:rPr>
            </w:pPr>
            <w:r w:rsidRPr="00795484">
              <w:rPr>
                <w:sz w:val="20"/>
                <w:szCs w:val="20"/>
              </w:rPr>
              <w:t>4.54</w:t>
            </w:r>
          </w:p>
          <w:p w14:paraId="6494AF50" w14:textId="77777777" w:rsidR="00E03817" w:rsidRPr="00795484" w:rsidRDefault="00E03817" w:rsidP="00F333AD">
            <w:pPr>
              <w:rPr>
                <w:sz w:val="20"/>
                <w:szCs w:val="20"/>
              </w:rPr>
            </w:pPr>
            <w:r w:rsidRPr="00795484">
              <w:rPr>
                <w:sz w:val="20"/>
                <w:szCs w:val="20"/>
              </w:rPr>
              <w:t>(2.99)</w:t>
            </w:r>
          </w:p>
        </w:tc>
        <w:tc>
          <w:tcPr>
            <w:tcW w:w="1276" w:type="dxa"/>
          </w:tcPr>
          <w:p w14:paraId="371686E6" w14:textId="77777777" w:rsidR="00E03817" w:rsidRPr="00795484" w:rsidRDefault="00E03817" w:rsidP="00F333AD">
            <w:pPr>
              <w:rPr>
                <w:sz w:val="20"/>
                <w:szCs w:val="20"/>
              </w:rPr>
            </w:pPr>
            <w:r w:rsidRPr="00795484">
              <w:rPr>
                <w:sz w:val="20"/>
                <w:szCs w:val="20"/>
              </w:rPr>
              <w:t>553,409</w:t>
            </w:r>
          </w:p>
        </w:tc>
        <w:tc>
          <w:tcPr>
            <w:tcW w:w="851" w:type="dxa"/>
          </w:tcPr>
          <w:p w14:paraId="7642028A" w14:textId="77777777" w:rsidR="00E03817" w:rsidRPr="00795484" w:rsidRDefault="00E03817" w:rsidP="00F333AD">
            <w:pPr>
              <w:rPr>
                <w:sz w:val="20"/>
                <w:szCs w:val="20"/>
              </w:rPr>
            </w:pPr>
            <w:r w:rsidRPr="00795484">
              <w:rPr>
                <w:sz w:val="20"/>
                <w:szCs w:val="20"/>
              </w:rPr>
              <w:t>0.4</w:t>
            </w:r>
            <w:r>
              <w:rPr>
                <w:sz w:val="20"/>
                <w:szCs w:val="20"/>
              </w:rPr>
              <w:t>3</w:t>
            </w:r>
          </w:p>
        </w:tc>
        <w:tc>
          <w:tcPr>
            <w:tcW w:w="708" w:type="dxa"/>
          </w:tcPr>
          <w:p w14:paraId="5D6851EE" w14:textId="77777777" w:rsidR="00E03817" w:rsidRPr="00795484" w:rsidRDefault="00E03817" w:rsidP="00F333AD">
            <w:pPr>
              <w:rPr>
                <w:sz w:val="20"/>
                <w:szCs w:val="20"/>
              </w:rPr>
            </w:pPr>
            <w:r w:rsidRPr="00795484">
              <w:rPr>
                <w:sz w:val="20"/>
                <w:szCs w:val="20"/>
              </w:rPr>
              <w:t>1.11</w:t>
            </w:r>
          </w:p>
        </w:tc>
      </w:tr>
      <w:tr w:rsidR="00E03817" w:rsidRPr="00795484" w14:paraId="10ECC76E" w14:textId="77777777" w:rsidTr="00F333AD">
        <w:tc>
          <w:tcPr>
            <w:tcW w:w="2830" w:type="dxa"/>
            <w:shd w:val="clear" w:color="auto" w:fill="A5A5A5" w:themeFill="accent3"/>
          </w:tcPr>
          <w:p w14:paraId="7BC24916" w14:textId="77777777" w:rsidR="00E03817" w:rsidRPr="00795484" w:rsidRDefault="00E03817" w:rsidP="00F333AD">
            <w:pPr>
              <w:rPr>
                <w:sz w:val="20"/>
                <w:szCs w:val="20"/>
              </w:rPr>
            </w:pPr>
            <w:r w:rsidRPr="00795484">
              <w:rPr>
                <w:sz w:val="20"/>
                <w:szCs w:val="20"/>
              </w:rPr>
              <w:t>Adjusted for ethnicity and IMD</w:t>
            </w:r>
          </w:p>
        </w:tc>
        <w:tc>
          <w:tcPr>
            <w:tcW w:w="1276" w:type="dxa"/>
            <w:shd w:val="clear" w:color="auto" w:fill="A5A5A5" w:themeFill="accent3"/>
          </w:tcPr>
          <w:p w14:paraId="677AC8A7" w14:textId="77777777" w:rsidR="00E03817" w:rsidRPr="00795484" w:rsidRDefault="00E03817" w:rsidP="00F333AD">
            <w:pPr>
              <w:rPr>
                <w:sz w:val="20"/>
                <w:szCs w:val="20"/>
              </w:rPr>
            </w:pPr>
          </w:p>
        </w:tc>
        <w:tc>
          <w:tcPr>
            <w:tcW w:w="1134" w:type="dxa"/>
            <w:shd w:val="clear" w:color="auto" w:fill="A5A5A5" w:themeFill="accent3"/>
          </w:tcPr>
          <w:p w14:paraId="6C708BA7" w14:textId="77777777" w:rsidR="00E03817" w:rsidRPr="00795484" w:rsidRDefault="00E03817" w:rsidP="00F333AD">
            <w:pPr>
              <w:rPr>
                <w:sz w:val="20"/>
                <w:szCs w:val="20"/>
              </w:rPr>
            </w:pPr>
          </w:p>
        </w:tc>
        <w:tc>
          <w:tcPr>
            <w:tcW w:w="992" w:type="dxa"/>
            <w:shd w:val="clear" w:color="auto" w:fill="A5A5A5" w:themeFill="accent3"/>
          </w:tcPr>
          <w:p w14:paraId="34AA6F78" w14:textId="77777777" w:rsidR="00E03817" w:rsidRPr="00795484" w:rsidRDefault="00E03817" w:rsidP="00F333AD">
            <w:pPr>
              <w:rPr>
                <w:sz w:val="20"/>
                <w:szCs w:val="20"/>
              </w:rPr>
            </w:pPr>
          </w:p>
        </w:tc>
        <w:tc>
          <w:tcPr>
            <w:tcW w:w="1276" w:type="dxa"/>
            <w:shd w:val="clear" w:color="auto" w:fill="A5A5A5" w:themeFill="accent3"/>
          </w:tcPr>
          <w:p w14:paraId="0983145B" w14:textId="77777777" w:rsidR="00E03817" w:rsidRPr="00795484" w:rsidRDefault="00E03817" w:rsidP="00F333AD">
            <w:pPr>
              <w:rPr>
                <w:sz w:val="20"/>
                <w:szCs w:val="20"/>
              </w:rPr>
            </w:pPr>
          </w:p>
        </w:tc>
        <w:tc>
          <w:tcPr>
            <w:tcW w:w="851" w:type="dxa"/>
            <w:shd w:val="clear" w:color="auto" w:fill="A5A5A5" w:themeFill="accent3"/>
          </w:tcPr>
          <w:p w14:paraId="04B09EA9" w14:textId="77777777" w:rsidR="00E03817" w:rsidRPr="00795484" w:rsidRDefault="00E03817" w:rsidP="00F333AD">
            <w:pPr>
              <w:rPr>
                <w:sz w:val="20"/>
                <w:szCs w:val="20"/>
              </w:rPr>
            </w:pPr>
          </w:p>
        </w:tc>
        <w:tc>
          <w:tcPr>
            <w:tcW w:w="708" w:type="dxa"/>
            <w:shd w:val="clear" w:color="auto" w:fill="A5A5A5" w:themeFill="accent3"/>
          </w:tcPr>
          <w:p w14:paraId="06C36455" w14:textId="77777777" w:rsidR="00E03817" w:rsidRPr="00795484" w:rsidRDefault="00E03817" w:rsidP="00F333AD">
            <w:pPr>
              <w:rPr>
                <w:sz w:val="20"/>
                <w:szCs w:val="20"/>
              </w:rPr>
            </w:pPr>
          </w:p>
        </w:tc>
      </w:tr>
      <w:tr w:rsidR="00E03817" w:rsidRPr="00795484" w14:paraId="640EDBB6" w14:textId="77777777" w:rsidTr="00F333AD">
        <w:tc>
          <w:tcPr>
            <w:tcW w:w="2830" w:type="dxa"/>
            <w:shd w:val="clear" w:color="auto" w:fill="FFFFFF" w:themeFill="background1"/>
          </w:tcPr>
          <w:p w14:paraId="66AB836D" w14:textId="77777777" w:rsidR="00E03817" w:rsidRPr="00037E58" w:rsidRDefault="00E03817" w:rsidP="00F333AD">
            <w:pPr>
              <w:rPr>
                <w:b/>
                <w:bCs/>
                <w:sz w:val="20"/>
                <w:szCs w:val="20"/>
              </w:rPr>
            </w:pPr>
            <w:r w:rsidRPr="00037E58">
              <w:rPr>
                <w:b/>
                <w:bCs/>
                <w:sz w:val="20"/>
                <w:szCs w:val="20"/>
              </w:rPr>
              <w:t>Brent</w:t>
            </w:r>
          </w:p>
        </w:tc>
        <w:tc>
          <w:tcPr>
            <w:tcW w:w="1276" w:type="dxa"/>
            <w:shd w:val="clear" w:color="auto" w:fill="FFFFFF" w:themeFill="background1"/>
          </w:tcPr>
          <w:p w14:paraId="5CDDDCD7" w14:textId="77777777" w:rsidR="00E03817" w:rsidRPr="00795484" w:rsidRDefault="00E03817" w:rsidP="00F333AD">
            <w:pPr>
              <w:rPr>
                <w:sz w:val="20"/>
                <w:szCs w:val="20"/>
              </w:rPr>
            </w:pPr>
            <w:r w:rsidRPr="00795484">
              <w:rPr>
                <w:sz w:val="20"/>
                <w:szCs w:val="20"/>
              </w:rPr>
              <w:t>London</w:t>
            </w:r>
          </w:p>
        </w:tc>
        <w:tc>
          <w:tcPr>
            <w:tcW w:w="1134" w:type="dxa"/>
            <w:shd w:val="clear" w:color="auto" w:fill="FFFFFF" w:themeFill="background1"/>
          </w:tcPr>
          <w:p w14:paraId="466E01B1" w14:textId="77777777" w:rsidR="00E03817" w:rsidRDefault="00E03817" w:rsidP="00F333AD">
            <w:pPr>
              <w:rPr>
                <w:sz w:val="20"/>
                <w:szCs w:val="20"/>
              </w:rPr>
            </w:pPr>
            <w:r w:rsidRPr="00795484">
              <w:rPr>
                <w:sz w:val="20"/>
                <w:szCs w:val="20"/>
              </w:rPr>
              <w:t>25</w:t>
            </w:r>
          </w:p>
          <w:p w14:paraId="0543B820" w14:textId="77777777" w:rsidR="00E03817" w:rsidRPr="00795484" w:rsidRDefault="00E03817" w:rsidP="00F333AD">
            <w:pPr>
              <w:rPr>
                <w:sz w:val="20"/>
                <w:szCs w:val="20"/>
              </w:rPr>
            </w:pPr>
            <w:r>
              <w:rPr>
                <w:sz w:val="20"/>
                <w:szCs w:val="20"/>
              </w:rPr>
              <w:t>(9,057)</w:t>
            </w:r>
          </w:p>
        </w:tc>
        <w:tc>
          <w:tcPr>
            <w:tcW w:w="992" w:type="dxa"/>
            <w:shd w:val="clear" w:color="auto" w:fill="FFFFFF" w:themeFill="background1"/>
          </w:tcPr>
          <w:p w14:paraId="11FB486B" w14:textId="77777777" w:rsidR="00E03817" w:rsidRPr="00795484" w:rsidRDefault="00E03817" w:rsidP="00F333AD">
            <w:pPr>
              <w:rPr>
                <w:sz w:val="20"/>
                <w:szCs w:val="20"/>
              </w:rPr>
            </w:pPr>
            <w:r w:rsidRPr="00795484">
              <w:rPr>
                <w:sz w:val="20"/>
                <w:szCs w:val="20"/>
              </w:rPr>
              <w:t>3.30</w:t>
            </w:r>
          </w:p>
          <w:p w14:paraId="7015EB76" w14:textId="77777777" w:rsidR="00E03817" w:rsidRPr="00795484" w:rsidRDefault="00E03817" w:rsidP="00F333AD">
            <w:pPr>
              <w:rPr>
                <w:sz w:val="20"/>
                <w:szCs w:val="20"/>
              </w:rPr>
            </w:pPr>
            <w:r w:rsidRPr="00795484">
              <w:rPr>
                <w:sz w:val="20"/>
                <w:szCs w:val="20"/>
              </w:rPr>
              <w:t>(1.55)</w:t>
            </w:r>
          </w:p>
        </w:tc>
        <w:tc>
          <w:tcPr>
            <w:tcW w:w="1276" w:type="dxa"/>
            <w:shd w:val="clear" w:color="auto" w:fill="FFFFFF" w:themeFill="background1"/>
          </w:tcPr>
          <w:p w14:paraId="13F70FB9" w14:textId="77777777" w:rsidR="00E03817" w:rsidRPr="00795484" w:rsidRDefault="00E03817" w:rsidP="00F333AD">
            <w:pPr>
              <w:rPr>
                <w:sz w:val="20"/>
                <w:szCs w:val="20"/>
              </w:rPr>
            </w:pPr>
            <w:r w:rsidRPr="00795484">
              <w:rPr>
                <w:sz w:val="20"/>
                <w:szCs w:val="20"/>
              </w:rPr>
              <w:t>35,997</w:t>
            </w:r>
          </w:p>
        </w:tc>
        <w:tc>
          <w:tcPr>
            <w:tcW w:w="851" w:type="dxa"/>
            <w:shd w:val="clear" w:color="auto" w:fill="FFFFFF" w:themeFill="background1"/>
          </w:tcPr>
          <w:p w14:paraId="0822D772" w14:textId="77777777" w:rsidR="00E03817" w:rsidRDefault="00E03817" w:rsidP="00F333AD">
            <w:pPr>
              <w:rPr>
                <w:sz w:val="20"/>
                <w:szCs w:val="20"/>
              </w:rPr>
            </w:pPr>
            <w:r w:rsidRPr="00795484">
              <w:rPr>
                <w:sz w:val="20"/>
                <w:szCs w:val="20"/>
              </w:rPr>
              <w:t>0.6</w:t>
            </w:r>
          </w:p>
          <w:p w14:paraId="3BAFDC79" w14:textId="77777777" w:rsidR="00E03817" w:rsidRPr="00795484" w:rsidRDefault="00E03817" w:rsidP="00F333AD">
            <w:pPr>
              <w:rPr>
                <w:sz w:val="20"/>
                <w:szCs w:val="20"/>
              </w:rPr>
            </w:pPr>
            <w:r>
              <w:rPr>
                <w:sz w:val="20"/>
                <w:szCs w:val="20"/>
              </w:rPr>
              <w:t>(220)</w:t>
            </w:r>
          </w:p>
        </w:tc>
        <w:tc>
          <w:tcPr>
            <w:tcW w:w="708" w:type="dxa"/>
            <w:shd w:val="clear" w:color="auto" w:fill="FFFFFF" w:themeFill="background1"/>
          </w:tcPr>
          <w:p w14:paraId="64A9E04D" w14:textId="77777777" w:rsidR="00E03817" w:rsidRPr="00795484" w:rsidRDefault="00E03817" w:rsidP="00F333AD">
            <w:pPr>
              <w:rPr>
                <w:sz w:val="20"/>
                <w:szCs w:val="20"/>
              </w:rPr>
            </w:pPr>
            <w:r w:rsidRPr="00795484">
              <w:rPr>
                <w:sz w:val="20"/>
                <w:szCs w:val="20"/>
              </w:rPr>
              <w:t>1.58</w:t>
            </w:r>
          </w:p>
        </w:tc>
      </w:tr>
      <w:tr w:rsidR="00E03817" w:rsidRPr="00795484" w14:paraId="60A3847E" w14:textId="77777777" w:rsidTr="00F333AD">
        <w:tc>
          <w:tcPr>
            <w:tcW w:w="2830" w:type="dxa"/>
          </w:tcPr>
          <w:p w14:paraId="290FCAFB" w14:textId="77777777" w:rsidR="00E03817" w:rsidRPr="00BB7728" w:rsidRDefault="00E03817" w:rsidP="00F333AD">
            <w:pPr>
              <w:rPr>
                <w:sz w:val="20"/>
                <w:szCs w:val="20"/>
              </w:rPr>
            </w:pPr>
            <w:r w:rsidRPr="00086676">
              <w:rPr>
                <w:b/>
                <w:bCs/>
                <w:sz w:val="20"/>
                <w:szCs w:val="20"/>
              </w:rPr>
              <w:t>Leicester</w:t>
            </w:r>
            <w:r w:rsidRPr="00BB7728">
              <w:rPr>
                <w:sz w:val="20"/>
                <w:szCs w:val="20"/>
              </w:rPr>
              <w:t xml:space="preserve">, Oadby and Wigston </w:t>
            </w:r>
          </w:p>
        </w:tc>
        <w:tc>
          <w:tcPr>
            <w:tcW w:w="1276" w:type="dxa"/>
          </w:tcPr>
          <w:p w14:paraId="5DEACE4E" w14:textId="77777777" w:rsidR="00E03817" w:rsidRPr="00795484" w:rsidRDefault="00E03817" w:rsidP="00F333AD">
            <w:pPr>
              <w:rPr>
                <w:sz w:val="20"/>
                <w:szCs w:val="20"/>
              </w:rPr>
            </w:pPr>
            <w:r w:rsidRPr="00795484">
              <w:rPr>
                <w:sz w:val="20"/>
                <w:szCs w:val="20"/>
              </w:rPr>
              <w:t>East Midlands</w:t>
            </w:r>
          </w:p>
        </w:tc>
        <w:tc>
          <w:tcPr>
            <w:tcW w:w="1134" w:type="dxa"/>
          </w:tcPr>
          <w:p w14:paraId="13F97F59" w14:textId="77777777" w:rsidR="00E03817" w:rsidRDefault="00E03817" w:rsidP="00F333AD">
            <w:pPr>
              <w:rPr>
                <w:sz w:val="20"/>
                <w:szCs w:val="20"/>
              </w:rPr>
            </w:pPr>
            <w:r w:rsidRPr="00795484">
              <w:rPr>
                <w:sz w:val="20"/>
                <w:szCs w:val="20"/>
              </w:rPr>
              <w:t>43</w:t>
            </w:r>
          </w:p>
          <w:p w14:paraId="65973A38" w14:textId="77777777" w:rsidR="00E03817" w:rsidRPr="00795484" w:rsidRDefault="00E03817" w:rsidP="00F333AD">
            <w:pPr>
              <w:rPr>
                <w:sz w:val="20"/>
                <w:szCs w:val="20"/>
              </w:rPr>
            </w:pPr>
            <w:r>
              <w:rPr>
                <w:sz w:val="20"/>
                <w:szCs w:val="20"/>
              </w:rPr>
              <w:t>(24,344)43</w:t>
            </w:r>
          </w:p>
        </w:tc>
        <w:tc>
          <w:tcPr>
            <w:tcW w:w="992" w:type="dxa"/>
          </w:tcPr>
          <w:p w14:paraId="75A15BB8" w14:textId="77777777" w:rsidR="00E03817" w:rsidRPr="00795484" w:rsidRDefault="00E03817" w:rsidP="00F333AD">
            <w:pPr>
              <w:rPr>
                <w:sz w:val="20"/>
                <w:szCs w:val="20"/>
              </w:rPr>
            </w:pPr>
            <w:r w:rsidRPr="00795484">
              <w:rPr>
                <w:sz w:val="20"/>
                <w:szCs w:val="20"/>
              </w:rPr>
              <w:t>3.35</w:t>
            </w:r>
          </w:p>
          <w:p w14:paraId="4A4898D4" w14:textId="77777777" w:rsidR="00E03817" w:rsidRPr="00795484" w:rsidRDefault="00E03817" w:rsidP="00F333AD">
            <w:pPr>
              <w:rPr>
                <w:sz w:val="20"/>
                <w:szCs w:val="20"/>
              </w:rPr>
            </w:pPr>
            <w:r w:rsidRPr="00795484">
              <w:rPr>
                <w:sz w:val="20"/>
                <w:szCs w:val="20"/>
              </w:rPr>
              <w:t>(2.43)</w:t>
            </w:r>
          </w:p>
        </w:tc>
        <w:tc>
          <w:tcPr>
            <w:tcW w:w="1276" w:type="dxa"/>
          </w:tcPr>
          <w:p w14:paraId="5E1BE7F0" w14:textId="77777777" w:rsidR="00E03817" w:rsidRPr="00795484" w:rsidRDefault="00E03817" w:rsidP="00F333AD">
            <w:pPr>
              <w:rPr>
                <w:sz w:val="20"/>
                <w:szCs w:val="20"/>
              </w:rPr>
            </w:pPr>
            <w:r w:rsidRPr="00795484">
              <w:rPr>
                <w:sz w:val="20"/>
                <w:szCs w:val="20"/>
              </w:rPr>
              <w:t>56,081</w:t>
            </w:r>
          </w:p>
        </w:tc>
        <w:tc>
          <w:tcPr>
            <w:tcW w:w="851" w:type="dxa"/>
          </w:tcPr>
          <w:p w14:paraId="6F9DC3BE" w14:textId="77777777" w:rsidR="00E03817" w:rsidRDefault="00E03817" w:rsidP="00F333AD">
            <w:pPr>
              <w:rPr>
                <w:sz w:val="20"/>
                <w:szCs w:val="20"/>
              </w:rPr>
            </w:pPr>
            <w:r w:rsidRPr="00795484">
              <w:rPr>
                <w:sz w:val="20"/>
                <w:szCs w:val="20"/>
              </w:rPr>
              <w:t>0.</w:t>
            </w:r>
            <w:r>
              <w:rPr>
                <w:sz w:val="20"/>
                <w:szCs w:val="20"/>
              </w:rPr>
              <w:t>6</w:t>
            </w:r>
          </w:p>
          <w:p w14:paraId="126B3CE6" w14:textId="77777777" w:rsidR="00E03817" w:rsidRPr="00795484" w:rsidRDefault="00E03817" w:rsidP="00F333AD">
            <w:pPr>
              <w:rPr>
                <w:sz w:val="20"/>
                <w:szCs w:val="20"/>
              </w:rPr>
            </w:pPr>
            <w:r>
              <w:rPr>
                <w:sz w:val="20"/>
                <w:szCs w:val="20"/>
              </w:rPr>
              <w:t>(312)</w:t>
            </w:r>
          </w:p>
        </w:tc>
        <w:tc>
          <w:tcPr>
            <w:tcW w:w="708" w:type="dxa"/>
          </w:tcPr>
          <w:p w14:paraId="370BF42F" w14:textId="77777777" w:rsidR="00E03817" w:rsidRPr="00795484" w:rsidRDefault="00E03817" w:rsidP="00F333AD">
            <w:pPr>
              <w:rPr>
                <w:sz w:val="20"/>
                <w:szCs w:val="20"/>
              </w:rPr>
            </w:pPr>
            <w:r w:rsidRPr="00795484">
              <w:rPr>
                <w:sz w:val="20"/>
                <w:szCs w:val="20"/>
              </w:rPr>
              <w:t>1.4</w:t>
            </w:r>
            <w:r>
              <w:rPr>
                <w:sz w:val="20"/>
                <w:szCs w:val="20"/>
              </w:rPr>
              <w:t>4</w:t>
            </w:r>
          </w:p>
        </w:tc>
      </w:tr>
      <w:tr w:rsidR="00E03817" w:rsidRPr="00795484" w14:paraId="529BB4D2" w14:textId="77777777" w:rsidTr="00F333AD">
        <w:tc>
          <w:tcPr>
            <w:tcW w:w="2830" w:type="dxa"/>
          </w:tcPr>
          <w:p w14:paraId="7C1EB24E" w14:textId="77777777" w:rsidR="00E03817" w:rsidRPr="00086676" w:rsidRDefault="00E03817" w:rsidP="00F333AD">
            <w:pPr>
              <w:rPr>
                <w:b/>
                <w:bCs/>
                <w:sz w:val="20"/>
                <w:szCs w:val="20"/>
              </w:rPr>
            </w:pPr>
            <w:r w:rsidRPr="00612497">
              <w:rPr>
                <w:b/>
                <w:bCs/>
                <w:sz w:val="20"/>
                <w:szCs w:val="20"/>
              </w:rPr>
              <w:t>Pendle, Burnley, Ribble Valley, Craven, Hyndburn, Bradford, Rossendale, Calderdale, Blackburn with Darwen, Rochdale, Bury, Preston, Chorley</w:t>
            </w:r>
            <w:r w:rsidRPr="00795484">
              <w:rPr>
                <w:sz w:val="20"/>
                <w:szCs w:val="20"/>
              </w:rPr>
              <w:t xml:space="preserve">, Lancaster, </w:t>
            </w:r>
            <w:r w:rsidRPr="00612497">
              <w:rPr>
                <w:b/>
                <w:bCs/>
                <w:sz w:val="20"/>
                <w:szCs w:val="20"/>
              </w:rPr>
              <w:t>Oldham, Kirklees, Bolton, South Ribble</w:t>
            </w:r>
            <w:r w:rsidRPr="00795484">
              <w:rPr>
                <w:sz w:val="20"/>
                <w:szCs w:val="20"/>
              </w:rPr>
              <w:t xml:space="preserve"> </w:t>
            </w:r>
          </w:p>
        </w:tc>
        <w:tc>
          <w:tcPr>
            <w:tcW w:w="1276" w:type="dxa"/>
          </w:tcPr>
          <w:p w14:paraId="40AB670D" w14:textId="77777777" w:rsidR="00E03817" w:rsidRPr="00795484" w:rsidRDefault="00E03817" w:rsidP="00F333AD">
            <w:pPr>
              <w:rPr>
                <w:sz w:val="20"/>
                <w:szCs w:val="20"/>
              </w:rPr>
            </w:pPr>
            <w:r w:rsidRPr="00795484">
              <w:rPr>
                <w:sz w:val="20"/>
                <w:szCs w:val="20"/>
              </w:rPr>
              <w:t xml:space="preserve">North West, </w:t>
            </w:r>
          </w:p>
          <w:p w14:paraId="0A9D3C5C" w14:textId="77777777" w:rsidR="00E03817" w:rsidRPr="00795484" w:rsidRDefault="00E03817" w:rsidP="00F333AD">
            <w:pPr>
              <w:rPr>
                <w:sz w:val="20"/>
                <w:szCs w:val="20"/>
              </w:rPr>
            </w:pPr>
            <w:r w:rsidRPr="00795484">
              <w:rPr>
                <w:sz w:val="20"/>
                <w:szCs w:val="20"/>
              </w:rPr>
              <w:t>Yorkshire and the Humber</w:t>
            </w:r>
          </w:p>
        </w:tc>
        <w:tc>
          <w:tcPr>
            <w:tcW w:w="1134" w:type="dxa"/>
          </w:tcPr>
          <w:p w14:paraId="4D2158B5" w14:textId="77777777" w:rsidR="00E03817" w:rsidRDefault="00E03817" w:rsidP="00F333AD">
            <w:pPr>
              <w:rPr>
                <w:sz w:val="20"/>
                <w:szCs w:val="20"/>
              </w:rPr>
            </w:pPr>
            <w:r w:rsidRPr="00795484">
              <w:rPr>
                <w:sz w:val="20"/>
                <w:szCs w:val="20"/>
              </w:rPr>
              <w:t>69</w:t>
            </w:r>
          </w:p>
          <w:p w14:paraId="1354F5F1" w14:textId="77777777" w:rsidR="00E03817" w:rsidRPr="00795484" w:rsidRDefault="00E03817" w:rsidP="00F333AD">
            <w:pPr>
              <w:rPr>
                <w:sz w:val="20"/>
                <w:szCs w:val="20"/>
              </w:rPr>
            </w:pPr>
            <w:r>
              <w:rPr>
                <w:sz w:val="20"/>
                <w:szCs w:val="20"/>
              </w:rPr>
              <w:t>(277,899)</w:t>
            </w:r>
          </w:p>
        </w:tc>
        <w:tc>
          <w:tcPr>
            <w:tcW w:w="992" w:type="dxa"/>
          </w:tcPr>
          <w:p w14:paraId="3D6BDE64" w14:textId="77777777" w:rsidR="00E03817" w:rsidRPr="00795484" w:rsidRDefault="00E03817" w:rsidP="00F333AD">
            <w:pPr>
              <w:rPr>
                <w:sz w:val="20"/>
                <w:szCs w:val="20"/>
              </w:rPr>
            </w:pPr>
            <w:r w:rsidRPr="00795484">
              <w:rPr>
                <w:sz w:val="20"/>
                <w:szCs w:val="20"/>
              </w:rPr>
              <w:t>3.95</w:t>
            </w:r>
          </w:p>
          <w:p w14:paraId="6E3F72E0" w14:textId="77777777" w:rsidR="00E03817" w:rsidRPr="00795484" w:rsidRDefault="00E03817" w:rsidP="00F333AD">
            <w:pPr>
              <w:rPr>
                <w:sz w:val="20"/>
                <w:szCs w:val="20"/>
              </w:rPr>
            </w:pPr>
            <w:r w:rsidRPr="00795484">
              <w:rPr>
                <w:sz w:val="20"/>
                <w:szCs w:val="20"/>
              </w:rPr>
              <w:t>(2.81)</w:t>
            </w:r>
          </w:p>
        </w:tc>
        <w:tc>
          <w:tcPr>
            <w:tcW w:w="1276" w:type="dxa"/>
          </w:tcPr>
          <w:p w14:paraId="1326DF55" w14:textId="77777777" w:rsidR="00E03817" w:rsidRPr="00795484" w:rsidRDefault="00E03817" w:rsidP="00F333AD">
            <w:pPr>
              <w:rPr>
                <w:sz w:val="20"/>
                <w:szCs w:val="20"/>
              </w:rPr>
            </w:pPr>
            <w:r w:rsidRPr="00795484">
              <w:rPr>
                <w:sz w:val="20"/>
                <w:szCs w:val="20"/>
              </w:rPr>
              <w:t>401,796</w:t>
            </w:r>
          </w:p>
        </w:tc>
        <w:tc>
          <w:tcPr>
            <w:tcW w:w="851" w:type="dxa"/>
          </w:tcPr>
          <w:p w14:paraId="55527F58" w14:textId="77777777" w:rsidR="00E03817" w:rsidRDefault="00E03817" w:rsidP="00F333AD">
            <w:pPr>
              <w:rPr>
                <w:sz w:val="20"/>
                <w:szCs w:val="20"/>
              </w:rPr>
            </w:pPr>
            <w:r>
              <w:rPr>
                <w:sz w:val="20"/>
                <w:szCs w:val="20"/>
              </w:rPr>
              <w:t>0.5</w:t>
            </w:r>
          </w:p>
          <w:p w14:paraId="58EC2709" w14:textId="77777777" w:rsidR="00E03817" w:rsidRPr="00795484" w:rsidRDefault="00E03817" w:rsidP="00F333AD">
            <w:pPr>
              <w:rPr>
                <w:sz w:val="20"/>
                <w:szCs w:val="20"/>
              </w:rPr>
            </w:pPr>
            <w:r>
              <w:rPr>
                <w:sz w:val="20"/>
                <w:szCs w:val="20"/>
              </w:rPr>
              <w:t>(2,001)</w:t>
            </w:r>
          </w:p>
        </w:tc>
        <w:tc>
          <w:tcPr>
            <w:tcW w:w="708" w:type="dxa"/>
          </w:tcPr>
          <w:p w14:paraId="76A27CD3" w14:textId="77777777" w:rsidR="00E03817" w:rsidRPr="00795484" w:rsidRDefault="00E03817" w:rsidP="00F333AD">
            <w:pPr>
              <w:rPr>
                <w:sz w:val="20"/>
                <w:szCs w:val="20"/>
              </w:rPr>
            </w:pPr>
            <w:r>
              <w:rPr>
                <w:sz w:val="20"/>
                <w:szCs w:val="20"/>
              </w:rPr>
              <w:t>1.31</w:t>
            </w:r>
          </w:p>
        </w:tc>
      </w:tr>
      <w:tr w:rsidR="00E03817" w:rsidRPr="00795484" w14:paraId="5094568F" w14:textId="77777777" w:rsidTr="00F333AD">
        <w:tc>
          <w:tcPr>
            <w:tcW w:w="2830" w:type="dxa"/>
          </w:tcPr>
          <w:p w14:paraId="3A74B408" w14:textId="77777777" w:rsidR="00E03817" w:rsidRPr="00086676" w:rsidRDefault="00E03817" w:rsidP="00F333AD">
            <w:pPr>
              <w:rPr>
                <w:b/>
                <w:bCs/>
                <w:sz w:val="20"/>
                <w:szCs w:val="20"/>
              </w:rPr>
            </w:pPr>
            <w:r w:rsidRPr="00086676">
              <w:rPr>
                <w:b/>
                <w:bCs/>
                <w:sz w:val="20"/>
                <w:szCs w:val="20"/>
              </w:rPr>
              <w:t>Tower Hamlets, Newham, Hackney, Redbridge</w:t>
            </w:r>
          </w:p>
        </w:tc>
        <w:tc>
          <w:tcPr>
            <w:tcW w:w="1276" w:type="dxa"/>
          </w:tcPr>
          <w:p w14:paraId="2A2B6548" w14:textId="77777777" w:rsidR="00E03817" w:rsidRPr="00795484" w:rsidRDefault="00E03817" w:rsidP="00F333AD">
            <w:pPr>
              <w:rPr>
                <w:sz w:val="20"/>
                <w:szCs w:val="20"/>
              </w:rPr>
            </w:pPr>
            <w:r w:rsidRPr="00795484">
              <w:rPr>
                <w:sz w:val="20"/>
                <w:szCs w:val="20"/>
              </w:rPr>
              <w:t>London</w:t>
            </w:r>
          </w:p>
        </w:tc>
        <w:tc>
          <w:tcPr>
            <w:tcW w:w="1134" w:type="dxa"/>
          </w:tcPr>
          <w:p w14:paraId="5DD954D8" w14:textId="77777777" w:rsidR="00E03817" w:rsidRDefault="00E03817" w:rsidP="00F333AD">
            <w:pPr>
              <w:rPr>
                <w:sz w:val="20"/>
                <w:szCs w:val="20"/>
              </w:rPr>
            </w:pPr>
            <w:r w:rsidRPr="00795484">
              <w:rPr>
                <w:sz w:val="20"/>
                <w:szCs w:val="20"/>
              </w:rPr>
              <w:t>23</w:t>
            </w:r>
          </w:p>
          <w:p w14:paraId="7598CC90" w14:textId="77777777" w:rsidR="00E03817" w:rsidRPr="00795484" w:rsidRDefault="00E03817" w:rsidP="00F333AD">
            <w:pPr>
              <w:rPr>
                <w:sz w:val="20"/>
                <w:szCs w:val="20"/>
              </w:rPr>
            </w:pPr>
            <w:r>
              <w:rPr>
                <w:sz w:val="20"/>
                <w:szCs w:val="20"/>
              </w:rPr>
              <w:t>(36,038)</w:t>
            </w:r>
          </w:p>
        </w:tc>
        <w:tc>
          <w:tcPr>
            <w:tcW w:w="992" w:type="dxa"/>
          </w:tcPr>
          <w:p w14:paraId="01ECB850" w14:textId="77777777" w:rsidR="00E03817" w:rsidRPr="00795484" w:rsidRDefault="00E03817" w:rsidP="00F333AD">
            <w:pPr>
              <w:rPr>
                <w:sz w:val="20"/>
                <w:szCs w:val="20"/>
              </w:rPr>
            </w:pPr>
            <w:r w:rsidRPr="00795484">
              <w:rPr>
                <w:sz w:val="20"/>
                <w:szCs w:val="20"/>
              </w:rPr>
              <w:t>2.76</w:t>
            </w:r>
          </w:p>
          <w:p w14:paraId="71677C3F" w14:textId="77777777" w:rsidR="00E03817" w:rsidRPr="00795484" w:rsidRDefault="00E03817" w:rsidP="00F333AD">
            <w:pPr>
              <w:rPr>
                <w:sz w:val="20"/>
                <w:szCs w:val="20"/>
              </w:rPr>
            </w:pPr>
            <w:r w:rsidRPr="00795484">
              <w:rPr>
                <w:sz w:val="20"/>
                <w:szCs w:val="20"/>
              </w:rPr>
              <w:t>(1.76)</w:t>
            </w:r>
          </w:p>
        </w:tc>
        <w:tc>
          <w:tcPr>
            <w:tcW w:w="1276" w:type="dxa"/>
          </w:tcPr>
          <w:p w14:paraId="2A167D05" w14:textId="77777777" w:rsidR="00E03817" w:rsidRPr="00795484" w:rsidRDefault="00E03817" w:rsidP="00F333AD">
            <w:pPr>
              <w:rPr>
                <w:sz w:val="20"/>
                <w:szCs w:val="20"/>
              </w:rPr>
            </w:pPr>
            <w:r w:rsidRPr="00795484">
              <w:rPr>
                <w:sz w:val="20"/>
                <w:szCs w:val="20"/>
              </w:rPr>
              <w:t>156,295</w:t>
            </w:r>
          </w:p>
        </w:tc>
        <w:tc>
          <w:tcPr>
            <w:tcW w:w="851" w:type="dxa"/>
          </w:tcPr>
          <w:p w14:paraId="3BC6E43C" w14:textId="77777777" w:rsidR="00E03817" w:rsidRDefault="00E03817" w:rsidP="00F333AD">
            <w:pPr>
              <w:rPr>
                <w:sz w:val="20"/>
                <w:szCs w:val="20"/>
              </w:rPr>
            </w:pPr>
            <w:r w:rsidRPr="00795484">
              <w:rPr>
                <w:sz w:val="20"/>
                <w:szCs w:val="20"/>
              </w:rPr>
              <w:t>0.</w:t>
            </w:r>
            <w:r>
              <w:rPr>
                <w:sz w:val="20"/>
                <w:szCs w:val="20"/>
              </w:rPr>
              <w:t>5</w:t>
            </w:r>
          </w:p>
          <w:p w14:paraId="582EAD35" w14:textId="77777777" w:rsidR="00E03817" w:rsidRPr="00795484" w:rsidRDefault="00E03817" w:rsidP="00F333AD">
            <w:pPr>
              <w:rPr>
                <w:sz w:val="20"/>
                <w:szCs w:val="20"/>
              </w:rPr>
            </w:pPr>
            <w:r>
              <w:rPr>
                <w:sz w:val="20"/>
                <w:szCs w:val="20"/>
              </w:rPr>
              <w:t>(758)</w:t>
            </w:r>
          </w:p>
        </w:tc>
        <w:tc>
          <w:tcPr>
            <w:tcW w:w="708" w:type="dxa"/>
          </w:tcPr>
          <w:p w14:paraId="11B7BB2D" w14:textId="77777777" w:rsidR="00E03817" w:rsidRPr="00795484" w:rsidRDefault="00E03817" w:rsidP="00F333AD">
            <w:pPr>
              <w:rPr>
                <w:sz w:val="20"/>
                <w:szCs w:val="20"/>
              </w:rPr>
            </w:pPr>
            <w:r w:rsidRPr="00795484">
              <w:rPr>
                <w:sz w:val="20"/>
                <w:szCs w:val="20"/>
              </w:rPr>
              <w:t>1.26</w:t>
            </w:r>
          </w:p>
        </w:tc>
      </w:tr>
      <w:tr w:rsidR="00E03817" w:rsidRPr="00795484" w14:paraId="5F4241C4" w14:textId="77777777" w:rsidTr="00F333AD">
        <w:tc>
          <w:tcPr>
            <w:tcW w:w="2830" w:type="dxa"/>
          </w:tcPr>
          <w:p w14:paraId="65C9820A" w14:textId="77777777" w:rsidR="00E03817" w:rsidRPr="007D539E" w:rsidRDefault="00E03817" w:rsidP="00F333AD">
            <w:pPr>
              <w:rPr>
                <w:sz w:val="20"/>
                <w:szCs w:val="20"/>
              </w:rPr>
            </w:pPr>
            <w:r w:rsidRPr="00612497">
              <w:rPr>
                <w:b/>
                <w:bCs/>
                <w:sz w:val="20"/>
                <w:szCs w:val="20"/>
              </w:rPr>
              <w:t>Dudley, Sandwell, Wolverhampton, Birmingham, Walsall</w:t>
            </w:r>
            <w:r>
              <w:rPr>
                <w:b/>
                <w:bCs/>
                <w:sz w:val="20"/>
                <w:szCs w:val="20"/>
              </w:rPr>
              <w:t>, Wyre Forest</w:t>
            </w:r>
          </w:p>
        </w:tc>
        <w:tc>
          <w:tcPr>
            <w:tcW w:w="1276" w:type="dxa"/>
          </w:tcPr>
          <w:p w14:paraId="7E8EAE84" w14:textId="77777777" w:rsidR="00E03817" w:rsidRPr="00795484" w:rsidRDefault="00E03817" w:rsidP="00F333AD">
            <w:pPr>
              <w:rPr>
                <w:sz w:val="20"/>
                <w:szCs w:val="20"/>
              </w:rPr>
            </w:pPr>
            <w:r w:rsidRPr="00795484">
              <w:rPr>
                <w:sz w:val="20"/>
                <w:szCs w:val="20"/>
              </w:rPr>
              <w:t>West Midlands</w:t>
            </w:r>
          </w:p>
        </w:tc>
        <w:tc>
          <w:tcPr>
            <w:tcW w:w="1134" w:type="dxa"/>
          </w:tcPr>
          <w:p w14:paraId="42CA0BF1" w14:textId="77777777" w:rsidR="00E03817" w:rsidRPr="007D6FA6" w:rsidRDefault="00E03817" w:rsidP="00F333AD">
            <w:pPr>
              <w:rPr>
                <w:sz w:val="20"/>
                <w:szCs w:val="20"/>
              </w:rPr>
            </w:pPr>
            <w:r w:rsidRPr="007D6FA6">
              <w:rPr>
                <w:sz w:val="20"/>
                <w:szCs w:val="20"/>
              </w:rPr>
              <w:t>54</w:t>
            </w:r>
          </w:p>
          <w:p w14:paraId="5C38FE7B" w14:textId="77777777" w:rsidR="00E03817" w:rsidRPr="00E36873" w:rsidRDefault="00E03817" w:rsidP="00F333AD">
            <w:pPr>
              <w:rPr>
                <w:sz w:val="20"/>
                <w:szCs w:val="20"/>
                <w:highlight w:val="yellow"/>
              </w:rPr>
            </w:pPr>
            <w:r w:rsidRPr="007D6FA6">
              <w:rPr>
                <w:sz w:val="20"/>
                <w:szCs w:val="20"/>
              </w:rPr>
              <w:t>(177,266)</w:t>
            </w:r>
          </w:p>
        </w:tc>
        <w:tc>
          <w:tcPr>
            <w:tcW w:w="992" w:type="dxa"/>
          </w:tcPr>
          <w:p w14:paraId="11879E09" w14:textId="77777777" w:rsidR="00E03817" w:rsidRPr="007D6FA6" w:rsidRDefault="00E03817" w:rsidP="00F333AD">
            <w:pPr>
              <w:rPr>
                <w:sz w:val="20"/>
                <w:szCs w:val="20"/>
              </w:rPr>
            </w:pPr>
            <w:r w:rsidRPr="007D6FA6">
              <w:rPr>
                <w:sz w:val="20"/>
                <w:szCs w:val="20"/>
              </w:rPr>
              <w:t>2.96</w:t>
            </w:r>
          </w:p>
          <w:p w14:paraId="1AC68195" w14:textId="77777777" w:rsidR="00E03817" w:rsidRPr="00E36873" w:rsidRDefault="00E03817" w:rsidP="00F333AD">
            <w:pPr>
              <w:rPr>
                <w:sz w:val="20"/>
                <w:szCs w:val="20"/>
                <w:highlight w:val="yellow"/>
              </w:rPr>
            </w:pPr>
            <w:r w:rsidRPr="007D6FA6">
              <w:rPr>
                <w:sz w:val="20"/>
                <w:szCs w:val="20"/>
              </w:rPr>
              <w:t>(2.37)</w:t>
            </w:r>
          </w:p>
        </w:tc>
        <w:tc>
          <w:tcPr>
            <w:tcW w:w="1276" w:type="dxa"/>
          </w:tcPr>
          <w:p w14:paraId="4C660174" w14:textId="77777777" w:rsidR="00E03817" w:rsidRPr="00795484" w:rsidRDefault="00E03817" w:rsidP="00F333AD">
            <w:pPr>
              <w:rPr>
                <w:sz w:val="20"/>
                <w:szCs w:val="20"/>
              </w:rPr>
            </w:pPr>
            <w:r>
              <w:rPr>
                <w:sz w:val="20"/>
                <w:szCs w:val="20"/>
              </w:rPr>
              <w:t>330,203</w:t>
            </w:r>
          </w:p>
        </w:tc>
        <w:tc>
          <w:tcPr>
            <w:tcW w:w="851" w:type="dxa"/>
          </w:tcPr>
          <w:p w14:paraId="00528E32" w14:textId="77777777" w:rsidR="00E03817" w:rsidRDefault="00E03817" w:rsidP="00F333AD">
            <w:pPr>
              <w:rPr>
                <w:sz w:val="20"/>
                <w:szCs w:val="20"/>
              </w:rPr>
            </w:pPr>
            <w:r w:rsidRPr="00795484">
              <w:rPr>
                <w:sz w:val="20"/>
                <w:szCs w:val="20"/>
              </w:rPr>
              <w:t>0.</w:t>
            </w:r>
            <w:r>
              <w:rPr>
                <w:sz w:val="20"/>
                <w:szCs w:val="20"/>
              </w:rPr>
              <w:t>5</w:t>
            </w:r>
          </w:p>
          <w:p w14:paraId="7A25B97A" w14:textId="77777777" w:rsidR="00E03817" w:rsidRPr="00795484" w:rsidRDefault="00E03817" w:rsidP="00F333AD">
            <w:pPr>
              <w:rPr>
                <w:sz w:val="20"/>
                <w:szCs w:val="20"/>
              </w:rPr>
            </w:pPr>
            <w:r>
              <w:rPr>
                <w:sz w:val="20"/>
                <w:szCs w:val="20"/>
              </w:rPr>
              <w:t>(1,523)</w:t>
            </w:r>
          </w:p>
        </w:tc>
        <w:tc>
          <w:tcPr>
            <w:tcW w:w="708" w:type="dxa"/>
          </w:tcPr>
          <w:p w14:paraId="144968B2" w14:textId="77777777" w:rsidR="00E03817" w:rsidRPr="00795484" w:rsidRDefault="00E03817" w:rsidP="00F333AD">
            <w:pPr>
              <w:rPr>
                <w:sz w:val="20"/>
                <w:szCs w:val="20"/>
              </w:rPr>
            </w:pPr>
            <w:r w:rsidRPr="00795484">
              <w:rPr>
                <w:sz w:val="20"/>
                <w:szCs w:val="20"/>
              </w:rPr>
              <w:t>1.</w:t>
            </w:r>
            <w:r>
              <w:rPr>
                <w:sz w:val="20"/>
                <w:szCs w:val="20"/>
              </w:rPr>
              <w:t>20</w:t>
            </w:r>
          </w:p>
        </w:tc>
      </w:tr>
    </w:tbl>
    <w:p w14:paraId="0BE1D286" w14:textId="77777777" w:rsidR="00E03817" w:rsidRPr="00A624EB" w:rsidRDefault="00E03817" w:rsidP="00E03817">
      <w:pPr>
        <w:spacing w:after="0"/>
        <w:rPr>
          <w:rFonts w:cstheme="minorHAnsi"/>
          <w:sz w:val="20"/>
          <w:szCs w:val="20"/>
        </w:rPr>
      </w:pPr>
      <w:r w:rsidRPr="00A624EB">
        <w:rPr>
          <w:rFonts w:cstheme="minorHAnsi"/>
          <w:sz w:val="20"/>
          <w:szCs w:val="20"/>
          <w:vertAlign w:val="superscript"/>
        </w:rPr>
        <w:t>a</w:t>
      </w:r>
      <w:r>
        <w:rPr>
          <w:rFonts w:cstheme="minorHAnsi"/>
          <w:sz w:val="20"/>
          <w:szCs w:val="20"/>
          <w:vertAlign w:val="superscript"/>
        </w:rPr>
        <w:t xml:space="preserve"> </w:t>
      </w:r>
      <w:r w:rsidRPr="00A624EB">
        <w:rPr>
          <w:rFonts w:cstheme="minorHAnsi"/>
          <w:sz w:val="20"/>
          <w:szCs w:val="20"/>
        </w:rPr>
        <w:t xml:space="preserve">Clusters are referred to in the text by the name of the first LA in the cluster description. These are determined by SatScan and represent the centre point of the cluster. Clusters are ordered from highest to lowest RR. </w:t>
      </w:r>
      <w:r>
        <w:rPr>
          <w:rFonts w:cstheme="minorHAnsi"/>
          <w:sz w:val="20"/>
          <w:szCs w:val="20"/>
        </w:rPr>
        <w:t>LAs present in more than one model (unadjusted, adjusted for ethnicity and adjusted for IMD and ethnicity) are presented in bold.</w:t>
      </w:r>
    </w:p>
    <w:p w14:paraId="71561BBE" w14:textId="77777777" w:rsidR="00E03817" w:rsidRPr="00A624EB" w:rsidRDefault="00E03817" w:rsidP="00E03817">
      <w:pPr>
        <w:spacing w:after="0"/>
        <w:rPr>
          <w:rFonts w:cstheme="minorHAnsi"/>
          <w:sz w:val="20"/>
          <w:szCs w:val="20"/>
        </w:rPr>
      </w:pPr>
      <w:r w:rsidRPr="00A624EB">
        <w:rPr>
          <w:rFonts w:cstheme="minorHAnsi"/>
          <w:sz w:val="20"/>
          <w:szCs w:val="20"/>
          <w:vertAlign w:val="superscript"/>
        </w:rPr>
        <w:t>b</w:t>
      </w:r>
      <w:r>
        <w:rPr>
          <w:rFonts w:cstheme="minorHAnsi"/>
          <w:sz w:val="20"/>
          <w:szCs w:val="20"/>
          <w:vertAlign w:val="superscript"/>
        </w:rPr>
        <w:t xml:space="preserve"> </w:t>
      </w:r>
      <w:r w:rsidRPr="00A624EB">
        <w:rPr>
          <w:rFonts w:cstheme="minorHAnsi"/>
          <w:sz w:val="20"/>
          <w:szCs w:val="20"/>
        </w:rPr>
        <w:t xml:space="preserve">Cluster white ethnicity % and mean IMD are derived from NCMP data for children in each cluster. </w:t>
      </w:r>
    </w:p>
    <w:p w14:paraId="0F7349A7" w14:textId="77777777" w:rsidR="00E03817" w:rsidRPr="00A624EB" w:rsidRDefault="00E03817" w:rsidP="00E03817">
      <w:pPr>
        <w:spacing w:after="0"/>
        <w:rPr>
          <w:rFonts w:cstheme="minorHAnsi"/>
          <w:sz w:val="20"/>
          <w:szCs w:val="20"/>
        </w:rPr>
      </w:pPr>
      <w:r w:rsidRPr="00A624EB">
        <w:rPr>
          <w:rFonts w:cstheme="minorHAnsi"/>
          <w:sz w:val="20"/>
          <w:szCs w:val="20"/>
          <w:vertAlign w:val="superscript"/>
        </w:rPr>
        <w:t>c</w:t>
      </w:r>
      <w:r>
        <w:rPr>
          <w:rFonts w:cstheme="minorHAnsi"/>
          <w:sz w:val="20"/>
          <w:szCs w:val="20"/>
          <w:vertAlign w:val="superscript"/>
        </w:rPr>
        <w:t xml:space="preserve"> </w:t>
      </w:r>
      <w:r w:rsidRPr="00A624EB">
        <w:rPr>
          <w:rFonts w:cstheme="minorHAnsi"/>
          <w:sz w:val="20"/>
          <w:szCs w:val="20"/>
        </w:rPr>
        <w:t xml:space="preserve">Cluster population is the total population of NCMP children included in the analysis for each cluster.  </w:t>
      </w:r>
    </w:p>
    <w:p w14:paraId="54DD486F" w14:textId="77777777" w:rsidR="00E03817" w:rsidRDefault="00E03817" w:rsidP="00E03817">
      <w:pPr>
        <w:rPr>
          <w:rFonts w:cstheme="minorHAnsi"/>
          <w:sz w:val="20"/>
          <w:szCs w:val="20"/>
        </w:rPr>
      </w:pPr>
      <w:r w:rsidRPr="00A624EB">
        <w:rPr>
          <w:rFonts w:cstheme="minorHAnsi"/>
          <w:sz w:val="20"/>
          <w:szCs w:val="20"/>
          <w:vertAlign w:val="superscript"/>
        </w:rPr>
        <w:t>d</w:t>
      </w:r>
      <w:r>
        <w:rPr>
          <w:rFonts w:cstheme="minorHAnsi"/>
          <w:sz w:val="20"/>
          <w:szCs w:val="20"/>
          <w:vertAlign w:val="superscript"/>
        </w:rPr>
        <w:t xml:space="preserve"> </w:t>
      </w:r>
      <w:r w:rsidRPr="00A624EB">
        <w:rPr>
          <w:rFonts w:cstheme="minorHAnsi"/>
          <w:sz w:val="20"/>
          <w:szCs w:val="20"/>
        </w:rPr>
        <w:t xml:space="preserve">No 95% CI is calculated for </w:t>
      </w:r>
      <w:r>
        <w:rPr>
          <w:rFonts w:cstheme="minorHAnsi"/>
          <w:sz w:val="20"/>
          <w:szCs w:val="20"/>
        </w:rPr>
        <w:t>RR</w:t>
      </w:r>
      <w:r w:rsidRPr="00A624EB">
        <w:rPr>
          <w:rFonts w:cstheme="minorHAnsi"/>
          <w:sz w:val="20"/>
          <w:szCs w:val="20"/>
        </w:rPr>
        <w:t xml:space="preserve"> as the method for identifying clusters is data-driven, and 95% CIs would be inappropriate</w:t>
      </w:r>
      <w:r>
        <w:rPr>
          <w:rFonts w:cstheme="minorHAnsi"/>
          <w:sz w:val="20"/>
          <w:szCs w:val="20"/>
        </w:rPr>
        <w:t>.</w:t>
      </w:r>
    </w:p>
    <w:p w14:paraId="13ED3EBB" w14:textId="77777777" w:rsidR="00E03817" w:rsidRDefault="00E03817"/>
    <w:sectPr w:rsidR="00E03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17"/>
    <w:rsid w:val="00001DD5"/>
    <w:rsid w:val="00E038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F47F"/>
  <w15:chartTrackingRefBased/>
  <w15:docId w15:val="{CF20A5D7-38DC-4C3E-9352-B15E89E5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381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0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3257</Characters>
  <Application>Microsoft Office Word</Application>
  <DocSecurity>0</DocSecurity>
  <Lines>27</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Orr</dc:creator>
  <cp:keywords/>
  <dc:description/>
  <cp:lastModifiedBy>Kata</cp:lastModifiedBy>
  <cp:revision>2</cp:revision>
  <dcterms:created xsi:type="dcterms:W3CDTF">2021-08-17T14:33:00Z</dcterms:created>
  <dcterms:modified xsi:type="dcterms:W3CDTF">2021-08-25T09:39:00Z</dcterms:modified>
</cp:coreProperties>
</file>