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241C" w14:textId="51A7DB11" w:rsidR="006C61B5" w:rsidRPr="001E7454" w:rsidRDefault="006C61B5" w:rsidP="006C61B5">
      <w:pPr>
        <w:spacing w:line="360" w:lineRule="auto"/>
        <w:jc w:val="center"/>
        <w:rPr>
          <w:rFonts w:cstheme="minorHAnsi"/>
          <w:b/>
          <w:bCs/>
        </w:rPr>
      </w:pPr>
      <w:r w:rsidRPr="006C61B5">
        <w:rPr>
          <w:rFonts w:cstheme="minorHAnsi"/>
          <w:b/>
          <w:bCs/>
        </w:rPr>
        <w:t>Regional differences in short stature in England between 2006-2019: A cross-sectional analysis from the National Child Measurement Programme</w:t>
      </w:r>
    </w:p>
    <w:p w14:paraId="158B7B1F" w14:textId="77777777" w:rsidR="001E7454" w:rsidRPr="001E7454" w:rsidRDefault="001E7454" w:rsidP="000C65B2">
      <w:pPr>
        <w:spacing w:line="360" w:lineRule="auto"/>
        <w:jc w:val="center"/>
        <w:rPr>
          <w:rFonts w:cstheme="minorHAnsi"/>
          <w:b/>
          <w:bCs/>
        </w:rPr>
      </w:pPr>
    </w:p>
    <w:p w14:paraId="762D5BB0" w14:textId="040B7FD2" w:rsidR="00095C93" w:rsidRDefault="001E7454" w:rsidP="00867ABE">
      <w:pPr>
        <w:spacing w:line="360" w:lineRule="auto"/>
        <w:rPr>
          <w:rFonts w:cstheme="minorHAnsi"/>
          <w:vertAlign w:val="superscript"/>
        </w:rPr>
      </w:pPr>
      <w:r w:rsidRPr="00E06F37">
        <w:rPr>
          <w:rFonts w:cstheme="minorHAnsi"/>
        </w:rPr>
        <w:t>Joanna Orr</w:t>
      </w:r>
      <w:r w:rsidRPr="00E06F37">
        <w:rPr>
          <w:rFonts w:cstheme="minorHAnsi"/>
          <w:vertAlign w:val="superscript"/>
        </w:rPr>
        <w:t>1</w:t>
      </w:r>
      <w:r w:rsidR="00040BF7">
        <w:rPr>
          <w:rFonts w:cstheme="minorHAnsi"/>
        </w:rPr>
        <w:t>,</w:t>
      </w:r>
      <w:r w:rsidR="00783728">
        <w:rPr>
          <w:rFonts w:cstheme="minorHAnsi"/>
        </w:rPr>
        <w:t xml:space="preserve"> Joseph </w:t>
      </w:r>
      <w:r w:rsidRPr="00E06F37">
        <w:rPr>
          <w:rFonts w:cstheme="minorHAnsi"/>
        </w:rPr>
        <w:t>Freer</w:t>
      </w:r>
      <w:r w:rsidRPr="00E06F37">
        <w:rPr>
          <w:rFonts w:cstheme="minorHAnsi"/>
          <w:vertAlign w:val="superscript"/>
        </w:rPr>
        <w:t>1</w:t>
      </w:r>
      <w:r w:rsidR="00040BF7">
        <w:rPr>
          <w:rFonts w:cstheme="minorHAnsi"/>
        </w:rPr>
        <w:t>,</w:t>
      </w:r>
      <w:r w:rsidRPr="00E06F37">
        <w:rPr>
          <w:rFonts w:cstheme="minorHAnsi"/>
        </w:rPr>
        <w:t xml:space="preserve"> Joan</w:t>
      </w:r>
      <w:r w:rsidR="00040BF7">
        <w:rPr>
          <w:rFonts w:cstheme="minorHAnsi"/>
        </w:rPr>
        <w:t xml:space="preserve"> K</w:t>
      </w:r>
      <w:r w:rsidRPr="00E06F37">
        <w:rPr>
          <w:rFonts w:cstheme="minorHAnsi"/>
        </w:rPr>
        <w:t xml:space="preserve"> Morris</w:t>
      </w:r>
      <w:r w:rsidR="00E06F37">
        <w:rPr>
          <w:rFonts w:cstheme="minorHAnsi"/>
          <w:vertAlign w:val="superscript"/>
        </w:rPr>
        <w:t>2</w:t>
      </w:r>
      <w:r w:rsidR="00095C93">
        <w:rPr>
          <w:rFonts w:cstheme="minorHAnsi"/>
        </w:rPr>
        <w:t>,</w:t>
      </w:r>
      <w:r w:rsidRPr="00E06F37">
        <w:rPr>
          <w:rFonts w:cstheme="minorHAnsi"/>
        </w:rPr>
        <w:t xml:space="preserve"> Caroline Hancock</w:t>
      </w:r>
      <w:r w:rsidR="00E06F37">
        <w:rPr>
          <w:rFonts w:cstheme="minorHAnsi"/>
          <w:vertAlign w:val="superscript"/>
        </w:rPr>
        <w:t>3</w:t>
      </w:r>
      <w:r w:rsidR="00566A6E">
        <w:rPr>
          <w:rFonts w:cstheme="minorHAnsi"/>
        </w:rPr>
        <w:t xml:space="preserve">, </w:t>
      </w:r>
      <w:r w:rsidRPr="00E06F37">
        <w:rPr>
          <w:rFonts w:cstheme="minorHAnsi"/>
        </w:rPr>
        <w:t>Robert Walton</w:t>
      </w:r>
      <w:r w:rsidRPr="00E06F37">
        <w:rPr>
          <w:rFonts w:cstheme="minorHAnsi"/>
          <w:vertAlign w:val="superscript"/>
        </w:rPr>
        <w:t>1</w:t>
      </w:r>
      <w:r w:rsidR="00095C93">
        <w:rPr>
          <w:rFonts w:cstheme="minorHAnsi"/>
        </w:rPr>
        <w:t>,</w:t>
      </w:r>
      <w:r w:rsidRPr="00E06F37">
        <w:rPr>
          <w:rFonts w:cstheme="minorHAnsi"/>
        </w:rPr>
        <w:t xml:space="preserve"> Leo Dunkel</w:t>
      </w:r>
      <w:r w:rsidRPr="00E06F37">
        <w:rPr>
          <w:rFonts w:cstheme="minorHAnsi"/>
          <w:vertAlign w:val="superscript"/>
        </w:rPr>
        <w:t>1</w:t>
      </w:r>
      <w:r w:rsidR="00095C93">
        <w:rPr>
          <w:rFonts w:cstheme="minorHAnsi"/>
        </w:rPr>
        <w:t>,</w:t>
      </w:r>
      <w:r w:rsidRPr="00E06F37">
        <w:rPr>
          <w:rFonts w:cstheme="minorHAnsi"/>
        </w:rPr>
        <w:t xml:space="preserve"> Helen </w:t>
      </w:r>
      <w:r w:rsidR="007037FD">
        <w:rPr>
          <w:rFonts w:cstheme="minorHAnsi"/>
        </w:rPr>
        <w:t xml:space="preserve">L </w:t>
      </w:r>
      <w:r w:rsidRPr="00E06F37">
        <w:rPr>
          <w:rFonts w:cstheme="minorHAnsi"/>
        </w:rPr>
        <w:t>Storr</w:t>
      </w:r>
      <w:r w:rsidRPr="00E06F37">
        <w:rPr>
          <w:rFonts w:cstheme="minorHAnsi"/>
          <w:vertAlign w:val="superscript"/>
        </w:rPr>
        <w:t>1</w:t>
      </w:r>
      <w:r w:rsidR="00095C93">
        <w:rPr>
          <w:rFonts w:cstheme="minorHAnsi"/>
        </w:rPr>
        <w:t>,</w:t>
      </w:r>
      <w:r w:rsidRPr="00E06F37">
        <w:rPr>
          <w:rFonts w:cstheme="minorHAnsi"/>
        </w:rPr>
        <w:t xml:space="preserve"> Andrew J Prendergast</w:t>
      </w:r>
      <w:r w:rsidRPr="00E06F37">
        <w:rPr>
          <w:rFonts w:cstheme="minorHAnsi"/>
          <w:vertAlign w:val="superscript"/>
        </w:rPr>
        <w:t>1</w:t>
      </w:r>
      <w:r w:rsidR="00095C93">
        <w:rPr>
          <w:rFonts w:cstheme="minorHAnsi"/>
          <w:vertAlign w:val="superscript"/>
        </w:rPr>
        <w:t xml:space="preserve"> </w:t>
      </w:r>
    </w:p>
    <w:p w14:paraId="549CEA77" w14:textId="77777777" w:rsidR="00095C93" w:rsidRPr="00095C93" w:rsidRDefault="00095C93" w:rsidP="00867ABE">
      <w:pPr>
        <w:spacing w:line="360" w:lineRule="auto"/>
        <w:rPr>
          <w:rFonts w:cstheme="minorHAnsi"/>
          <w:vertAlign w:val="superscript"/>
        </w:rPr>
      </w:pPr>
    </w:p>
    <w:p w14:paraId="60914D58" w14:textId="77777777" w:rsidR="001E7454" w:rsidRPr="001E7454" w:rsidRDefault="001E7454" w:rsidP="00867ABE">
      <w:pPr>
        <w:spacing w:line="360" w:lineRule="auto"/>
        <w:rPr>
          <w:rFonts w:cstheme="minorHAnsi"/>
          <w:b/>
          <w:bCs/>
        </w:rPr>
      </w:pPr>
      <w:r w:rsidRPr="001E7454">
        <w:rPr>
          <w:rFonts w:cstheme="minorHAnsi"/>
          <w:b/>
          <w:bCs/>
          <w:vertAlign w:val="superscript"/>
        </w:rPr>
        <w:t>1</w:t>
      </w:r>
      <w:r w:rsidRPr="001E7454">
        <w:rPr>
          <w:rFonts w:cstheme="minorHAnsi"/>
          <w:b/>
          <w:bCs/>
        </w:rPr>
        <w:t>Queen Mary University of London, UK</w:t>
      </w:r>
    </w:p>
    <w:p w14:paraId="5ED6AEFC" w14:textId="796209DA" w:rsidR="001E7454" w:rsidRDefault="00E06F37" w:rsidP="00867ABE">
      <w:pPr>
        <w:spacing w:line="360" w:lineRule="auto"/>
        <w:rPr>
          <w:rFonts w:cstheme="minorHAnsi"/>
          <w:b/>
          <w:bCs/>
        </w:rPr>
      </w:pPr>
      <w:proofErr w:type="gramStart"/>
      <w:r>
        <w:rPr>
          <w:rFonts w:cstheme="minorHAnsi"/>
          <w:b/>
          <w:bCs/>
          <w:vertAlign w:val="superscript"/>
        </w:rPr>
        <w:t>2</w:t>
      </w:r>
      <w:r w:rsidR="001E7454" w:rsidRPr="001E7454">
        <w:rPr>
          <w:rFonts w:cstheme="minorHAnsi"/>
          <w:b/>
          <w:bCs/>
        </w:rPr>
        <w:t>St</w:t>
      </w:r>
      <w:proofErr w:type="gramEnd"/>
      <w:r w:rsidR="001E7454" w:rsidRPr="001E7454">
        <w:rPr>
          <w:rFonts w:cstheme="minorHAnsi"/>
          <w:b/>
          <w:bCs/>
        </w:rPr>
        <w:t xml:space="preserve"> George’s, University of London</w:t>
      </w:r>
      <w:r>
        <w:rPr>
          <w:rFonts w:cstheme="minorHAnsi"/>
          <w:b/>
          <w:bCs/>
        </w:rPr>
        <w:t>, UK</w:t>
      </w:r>
    </w:p>
    <w:p w14:paraId="7DEC97C5" w14:textId="790EBFF9" w:rsidR="00E06F37" w:rsidRPr="001E7454" w:rsidRDefault="00E06F37" w:rsidP="00867ABE">
      <w:pPr>
        <w:spacing w:line="360" w:lineRule="auto"/>
        <w:rPr>
          <w:rFonts w:cstheme="minorHAnsi"/>
          <w:b/>
          <w:bCs/>
        </w:rPr>
      </w:pPr>
      <w:r>
        <w:rPr>
          <w:rFonts w:cstheme="minorHAnsi"/>
          <w:b/>
          <w:bCs/>
          <w:vertAlign w:val="superscript"/>
        </w:rPr>
        <w:t>3</w:t>
      </w:r>
      <w:r w:rsidRPr="001E7454">
        <w:rPr>
          <w:rFonts w:cstheme="minorHAnsi"/>
          <w:b/>
          <w:bCs/>
        </w:rPr>
        <w:t>Public Health England</w:t>
      </w:r>
    </w:p>
    <w:p w14:paraId="6A071140" w14:textId="77777777" w:rsidR="00FB1336" w:rsidRDefault="00FB1336" w:rsidP="00867ABE">
      <w:pPr>
        <w:spacing w:line="360" w:lineRule="auto"/>
        <w:rPr>
          <w:rFonts w:cstheme="minorHAnsi"/>
          <w:b/>
          <w:bCs/>
        </w:rPr>
      </w:pPr>
    </w:p>
    <w:p w14:paraId="669E706E" w14:textId="35803175" w:rsidR="004D2BAC" w:rsidRDefault="004D2BAC" w:rsidP="00867ABE">
      <w:pPr>
        <w:spacing w:line="360" w:lineRule="auto"/>
        <w:rPr>
          <w:rFonts w:cstheme="minorHAnsi"/>
        </w:rPr>
      </w:pPr>
      <w:r>
        <w:rPr>
          <w:rFonts w:cstheme="minorHAnsi"/>
          <w:b/>
          <w:bCs/>
        </w:rPr>
        <w:t xml:space="preserve">Running title: </w:t>
      </w:r>
      <w:r>
        <w:rPr>
          <w:rFonts w:cstheme="minorHAnsi"/>
        </w:rPr>
        <w:t xml:space="preserve"> </w:t>
      </w:r>
      <w:r w:rsidR="004A6FD1">
        <w:rPr>
          <w:rFonts w:cstheme="minorHAnsi"/>
        </w:rPr>
        <w:t>Child s</w:t>
      </w:r>
      <w:r w:rsidR="00B625AF">
        <w:rPr>
          <w:rFonts w:cstheme="minorHAnsi"/>
        </w:rPr>
        <w:t xml:space="preserve">hort stature </w:t>
      </w:r>
      <w:r w:rsidR="004A6FD1">
        <w:rPr>
          <w:rFonts w:cstheme="minorHAnsi"/>
        </w:rPr>
        <w:t xml:space="preserve">in </w:t>
      </w:r>
      <w:r>
        <w:rPr>
          <w:rFonts w:cstheme="minorHAnsi"/>
        </w:rPr>
        <w:t>England</w:t>
      </w:r>
    </w:p>
    <w:p w14:paraId="6C8FA3BC" w14:textId="77777777" w:rsidR="004D2BAC" w:rsidRDefault="004D2BAC" w:rsidP="00867ABE">
      <w:pPr>
        <w:spacing w:line="360" w:lineRule="auto"/>
        <w:rPr>
          <w:rFonts w:cstheme="minorHAnsi"/>
        </w:rPr>
      </w:pPr>
    </w:p>
    <w:p w14:paraId="768982AE" w14:textId="2CD670E4" w:rsidR="004D2BAC" w:rsidRDefault="008B2D63" w:rsidP="00867ABE">
      <w:pPr>
        <w:spacing w:line="360" w:lineRule="auto"/>
        <w:rPr>
          <w:rFonts w:cstheme="minorHAnsi"/>
          <w:b/>
          <w:bCs/>
        </w:rPr>
      </w:pPr>
      <w:r>
        <w:rPr>
          <w:rFonts w:cstheme="minorHAnsi"/>
          <w:b/>
          <w:bCs/>
        </w:rPr>
        <w:t>Main text w</w:t>
      </w:r>
      <w:r w:rsidR="004D2BAC">
        <w:rPr>
          <w:rFonts w:cstheme="minorHAnsi"/>
          <w:b/>
          <w:bCs/>
        </w:rPr>
        <w:t>ord count:</w:t>
      </w:r>
      <w:r>
        <w:rPr>
          <w:rFonts w:cstheme="minorHAnsi"/>
          <w:b/>
          <w:bCs/>
        </w:rPr>
        <w:t xml:space="preserve"> </w:t>
      </w:r>
    </w:p>
    <w:p w14:paraId="5B22C10B" w14:textId="77777777" w:rsidR="004D2BAC" w:rsidRDefault="004D2BAC" w:rsidP="00867ABE">
      <w:pPr>
        <w:spacing w:line="360" w:lineRule="auto"/>
        <w:rPr>
          <w:rFonts w:cstheme="minorHAnsi"/>
          <w:b/>
          <w:bCs/>
        </w:rPr>
      </w:pPr>
    </w:p>
    <w:p w14:paraId="1A46EA1F" w14:textId="1157D3C4" w:rsidR="001E7454" w:rsidRPr="001E7454" w:rsidRDefault="004D2BAC" w:rsidP="00867ABE">
      <w:pPr>
        <w:spacing w:line="360" w:lineRule="auto"/>
        <w:rPr>
          <w:rFonts w:cstheme="minorHAnsi"/>
          <w:b/>
          <w:bCs/>
        </w:rPr>
      </w:pPr>
      <w:r>
        <w:rPr>
          <w:rFonts w:cstheme="minorHAnsi"/>
          <w:b/>
          <w:bCs/>
        </w:rPr>
        <w:t>Corresponding author:</w:t>
      </w:r>
      <w:r>
        <w:rPr>
          <w:rFonts w:cstheme="minorHAnsi"/>
        </w:rPr>
        <w:t xml:space="preserve"> Dr Joanna Orr, Centre for Genomics and Child Health, Blizard Institute, 4 Newark Street, London E1 2AT.  Tel +44 207 882 2269. Fax +44 207 882 2195. Email: Joanna.orr@qmul.ac.uk</w:t>
      </w:r>
      <w:r w:rsidR="001E7454" w:rsidRPr="001E7454">
        <w:rPr>
          <w:rFonts w:cstheme="minorHAnsi"/>
          <w:b/>
          <w:bCs/>
        </w:rPr>
        <w:br w:type="page"/>
      </w:r>
    </w:p>
    <w:p w14:paraId="1EBCDCEF" w14:textId="77777777" w:rsidR="00E76D6C" w:rsidRDefault="00E76D6C">
      <w:pPr>
        <w:rPr>
          <w:rFonts w:cstheme="minorHAnsi"/>
          <w:b/>
          <w:bCs/>
        </w:rPr>
      </w:pPr>
      <w:r w:rsidRPr="00867ABE">
        <w:rPr>
          <w:rFonts w:cstheme="minorHAnsi"/>
          <w:b/>
          <w:bCs/>
        </w:rPr>
        <w:lastRenderedPageBreak/>
        <w:t>ABSTRACT</w:t>
      </w:r>
    </w:p>
    <w:p w14:paraId="4E747133" w14:textId="39B5AFCC" w:rsidR="00E76D6C" w:rsidRDefault="006318F2" w:rsidP="00E76D6C">
      <w:pPr>
        <w:rPr>
          <w:b/>
          <w:bCs/>
        </w:rPr>
      </w:pPr>
      <w:r>
        <w:rPr>
          <w:b/>
          <w:bCs/>
        </w:rPr>
        <w:t>Background</w:t>
      </w:r>
    </w:p>
    <w:p w14:paraId="64278A17" w14:textId="026FFDC4" w:rsidR="00E76D6C" w:rsidRDefault="00B625AF" w:rsidP="00E76D6C">
      <w:r w:rsidRPr="00325B2E">
        <w:rPr>
          <w:rFonts w:cstheme="minorHAnsi"/>
        </w:rPr>
        <w:t>S</w:t>
      </w:r>
      <w:r>
        <w:rPr>
          <w:rFonts w:cstheme="minorHAnsi"/>
        </w:rPr>
        <w:t>hort stature</w:t>
      </w:r>
      <w:r w:rsidRPr="00325B2E">
        <w:rPr>
          <w:rFonts w:cstheme="minorHAnsi"/>
        </w:rPr>
        <w:t xml:space="preserve">, defined as height-for-age </w:t>
      </w:r>
      <w:r w:rsidR="00C609E3">
        <w:rPr>
          <w:rFonts w:cstheme="minorHAnsi"/>
        </w:rPr>
        <w:t xml:space="preserve">more than </w:t>
      </w:r>
      <w:r w:rsidRPr="00325B2E">
        <w:rPr>
          <w:rFonts w:cstheme="minorHAnsi"/>
        </w:rPr>
        <w:t>2 standard deviations below the population median, is an important indicator of child health. S</w:t>
      </w:r>
      <w:r w:rsidR="00804D31">
        <w:rPr>
          <w:rFonts w:cstheme="minorHAnsi"/>
        </w:rPr>
        <w:t>hort stature</w:t>
      </w:r>
      <w:r w:rsidR="00D45482">
        <w:rPr>
          <w:rFonts w:cstheme="minorHAnsi"/>
        </w:rPr>
        <w:t xml:space="preserve"> (often </w:t>
      </w:r>
      <w:r w:rsidR="00C609E3">
        <w:rPr>
          <w:rFonts w:cstheme="minorHAnsi"/>
        </w:rPr>
        <w:t>termed</w:t>
      </w:r>
      <w:r w:rsidR="00D45482">
        <w:rPr>
          <w:rFonts w:cstheme="minorHAnsi"/>
        </w:rPr>
        <w:t xml:space="preserve"> </w:t>
      </w:r>
      <w:r w:rsidR="00804D31">
        <w:rPr>
          <w:rFonts w:cstheme="minorHAnsi"/>
        </w:rPr>
        <w:t>stunting</w:t>
      </w:r>
      <w:r w:rsidR="00D45482">
        <w:rPr>
          <w:rFonts w:cstheme="minorHAnsi"/>
        </w:rPr>
        <w:t>)</w:t>
      </w:r>
      <w:r w:rsidR="00804D31">
        <w:rPr>
          <w:rFonts w:cstheme="minorHAnsi"/>
        </w:rPr>
        <w:t xml:space="preserve"> ha</w:t>
      </w:r>
      <w:r w:rsidR="0027222F">
        <w:rPr>
          <w:rFonts w:cstheme="minorHAnsi"/>
        </w:rPr>
        <w:t>s</w:t>
      </w:r>
      <w:r w:rsidR="00804D31">
        <w:rPr>
          <w:rFonts w:cstheme="minorHAnsi"/>
        </w:rPr>
        <w:t xml:space="preserve"> </w:t>
      </w:r>
      <w:r w:rsidRPr="00325B2E">
        <w:rPr>
          <w:rFonts w:cstheme="minorHAnsi"/>
        </w:rPr>
        <w:t xml:space="preserve">been </w:t>
      </w:r>
      <w:r w:rsidR="00804D31">
        <w:rPr>
          <w:rFonts w:cstheme="minorHAnsi"/>
        </w:rPr>
        <w:t>widely</w:t>
      </w:r>
      <w:r w:rsidRPr="00325B2E">
        <w:rPr>
          <w:rFonts w:cstheme="minorHAnsi"/>
        </w:rPr>
        <w:t xml:space="preserve"> researched in low-and-middle income countries, but less is known about the extent and burden in high income settings. </w:t>
      </w:r>
      <w:r w:rsidR="00804D31">
        <w:rPr>
          <w:rFonts w:cstheme="minorHAnsi"/>
        </w:rPr>
        <w:t>We aimed t</w:t>
      </w:r>
      <w:r w:rsidR="00E76D6C">
        <w:t xml:space="preserve">o map </w:t>
      </w:r>
      <w:r w:rsidR="00287DE2">
        <w:t>the</w:t>
      </w:r>
      <w:r w:rsidR="00AD471E">
        <w:t xml:space="preserve"> prevalence</w:t>
      </w:r>
      <w:r w:rsidR="00287DE2">
        <w:t xml:space="preserve"> of short stature</w:t>
      </w:r>
      <w:r w:rsidR="00E76D6C">
        <w:t xml:space="preserve"> in children aged 4-5 years in England between 2006 and 2019. </w:t>
      </w:r>
    </w:p>
    <w:p w14:paraId="5BE98904" w14:textId="472F8474" w:rsidR="00E76D6C" w:rsidRPr="0024490B" w:rsidRDefault="002A5514" w:rsidP="00E76D6C">
      <w:pPr>
        <w:rPr>
          <w:b/>
          <w:bCs/>
        </w:rPr>
      </w:pPr>
      <w:r>
        <w:rPr>
          <w:b/>
          <w:bCs/>
        </w:rPr>
        <w:t>Method</w:t>
      </w:r>
      <w:r w:rsidR="006318F2">
        <w:rPr>
          <w:b/>
          <w:bCs/>
        </w:rPr>
        <w:t>s and findings</w:t>
      </w:r>
    </w:p>
    <w:p w14:paraId="518CC54A" w14:textId="030DAA91" w:rsidR="00E76D6C" w:rsidRPr="00450A3C" w:rsidRDefault="002A5514" w:rsidP="00E76D6C">
      <w:r>
        <w:t>We used d</w:t>
      </w:r>
      <w:r w:rsidR="00E76D6C">
        <w:t>ata from the National Child Measurement Programme (NCMP) for the school years 2006/07 to 2018/19</w:t>
      </w:r>
      <w:r>
        <w:t>. A</w:t>
      </w:r>
      <w:r w:rsidR="00E76D6C">
        <w:t>ll children attending state-maintained primary schools in England are invited to participate</w:t>
      </w:r>
      <w:r>
        <w:t xml:space="preserve"> in the NCMP, and </w:t>
      </w:r>
      <w:r w:rsidR="002858DF">
        <w:t xml:space="preserve">heights from </w:t>
      </w:r>
      <w:r>
        <w:t>a total of 7,062,071 children aged 4-5 years were analysed. We assessed s</w:t>
      </w:r>
      <w:r w:rsidR="00D45482">
        <w:t>hort stature</w:t>
      </w:r>
      <w:r>
        <w:t xml:space="preserve">, defined as a height-for-age standard deviation score below -2 using UK-WHO </w:t>
      </w:r>
      <w:r w:rsidR="00D45482">
        <w:t>references</w:t>
      </w:r>
      <w:r>
        <w:t>, by sex, index of multiple deprivation (IMD), ethnicity and region. Geographic clustering of s</w:t>
      </w:r>
      <w:r w:rsidR="00D45482">
        <w:t>hort stature</w:t>
      </w:r>
      <w:r>
        <w:t xml:space="preserve"> was analysed using spatial analysis in </w:t>
      </w:r>
      <w:proofErr w:type="spellStart"/>
      <w:r>
        <w:t>SatScan</w:t>
      </w:r>
      <w:proofErr w:type="spellEnd"/>
      <w:r>
        <w:t xml:space="preserve">. </w:t>
      </w:r>
      <w:r w:rsidR="00C8630F">
        <w:t xml:space="preserve">The prevalence of short stature </w:t>
      </w:r>
      <w:r w:rsidR="00E76D6C">
        <w:t xml:space="preserve">in </w:t>
      </w:r>
      <w:r w:rsidR="00176DE2">
        <w:t>England</w:t>
      </w:r>
      <w:r w:rsidR="00E76D6C">
        <w:t xml:space="preserve"> was </w:t>
      </w:r>
      <w:r w:rsidR="00E76D6C" w:rsidRPr="00450A3C">
        <w:t>1.93%</w:t>
      </w:r>
      <w:r w:rsidR="00E76D6C">
        <w:t xml:space="preserve"> (95% confidence interval (95%CI) 1.92 to 1.94)</w:t>
      </w:r>
      <w:r w:rsidR="00E76D6C" w:rsidRPr="00450A3C">
        <w:t xml:space="preserve">. </w:t>
      </w:r>
      <w:r w:rsidR="00610584">
        <w:rPr>
          <w:rFonts w:cstheme="minorHAnsi"/>
        </w:rPr>
        <w:t>Ethnicity adjusted s</w:t>
      </w:r>
      <w:r w:rsidR="00176DE2">
        <w:rPr>
          <w:rFonts w:cstheme="minorHAnsi"/>
        </w:rPr>
        <w:t>patial analys</w:t>
      </w:r>
      <w:r w:rsidR="00610584">
        <w:rPr>
          <w:rFonts w:cstheme="minorHAnsi"/>
        </w:rPr>
        <w:t>es</w:t>
      </w:r>
      <w:r w:rsidR="00176DE2">
        <w:rPr>
          <w:rFonts w:cstheme="minorHAnsi"/>
        </w:rPr>
        <w:t xml:space="preserve"> showed geographic heterogeneity </w:t>
      </w:r>
      <w:r w:rsidR="00724BCA">
        <w:rPr>
          <w:rFonts w:cstheme="minorHAnsi"/>
        </w:rPr>
        <w:t>of</w:t>
      </w:r>
      <w:r w:rsidR="00176DE2">
        <w:rPr>
          <w:rFonts w:cstheme="minorHAnsi"/>
        </w:rPr>
        <w:t xml:space="preserve"> s</w:t>
      </w:r>
      <w:r w:rsidR="00724BCA">
        <w:rPr>
          <w:rFonts w:cstheme="minorHAnsi"/>
        </w:rPr>
        <w:t>hort stature</w:t>
      </w:r>
      <w:r w:rsidR="00176DE2">
        <w:rPr>
          <w:rFonts w:cstheme="minorHAnsi"/>
        </w:rPr>
        <w:t xml:space="preserve">, with high </w:t>
      </w:r>
      <w:r w:rsidR="00AA3AFD">
        <w:rPr>
          <w:rFonts w:cstheme="minorHAnsi"/>
        </w:rPr>
        <w:t>prevalence</w:t>
      </w:r>
      <w:r w:rsidR="00176DE2">
        <w:rPr>
          <w:rFonts w:cstheme="minorHAnsi"/>
        </w:rPr>
        <w:t xml:space="preserve"> clusters more likely in the North</w:t>
      </w:r>
      <w:r w:rsidR="00AB01E2">
        <w:rPr>
          <w:rFonts w:cstheme="minorHAnsi"/>
        </w:rPr>
        <w:t xml:space="preserve"> and Midlands</w:t>
      </w:r>
      <w:r w:rsidR="00AA3AFD">
        <w:rPr>
          <w:rFonts w:cstheme="minorHAnsi"/>
        </w:rPr>
        <w:t>, leading to</w:t>
      </w:r>
      <w:r w:rsidR="00AA3AFD">
        <w:t xml:space="preserve"> 4-fold variation between local authorities</w:t>
      </w:r>
      <w:r w:rsidR="00A5356F">
        <w:t xml:space="preserve"> with highest and lowest prevalence</w:t>
      </w:r>
      <w:r w:rsidR="00724BCA">
        <w:t xml:space="preserve"> of short stature</w:t>
      </w:r>
      <w:r w:rsidR="00E76D6C">
        <w:rPr>
          <w:rFonts w:cstheme="minorHAnsi"/>
        </w:rPr>
        <w:t xml:space="preserve">. </w:t>
      </w:r>
      <w:r w:rsidR="00913040" w:rsidRPr="001E7454">
        <w:rPr>
          <w:rFonts w:cstheme="minorHAnsi"/>
        </w:rPr>
        <w:t>S</w:t>
      </w:r>
      <w:r w:rsidR="00724BCA">
        <w:rPr>
          <w:rFonts w:cstheme="minorHAnsi"/>
        </w:rPr>
        <w:t xml:space="preserve">hort stature </w:t>
      </w:r>
      <w:r w:rsidR="00913040" w:rsidRPr="001E7454">
        <w:rPr>
          <w:rFonts w:cstheme="minorHAnsi"/>
        </w:rPr>
        <w:t xml:space="preserve">was linearly associated with IMD, with </w:t>
      </w:r>
      <w:r w:rsidR="00AD471E">
        <w:rPr>
          <w:rFonts w:cstheme="minorHAnsi"/>
        </w:rPr>
        <w:t xml:space="preserve">almost 2-fold higher </w:t>
      </w:r>
      <w:r w:rsidR="00913040" w:rsidRPr="001E7454">
        <w:rPr>
          <w:rFonts w:cstheme="minorHAnsi"/>
        </w:rPr>
        <w:t xml:space="preserve">prevalence in the most </w:t>
      </w:r>
      <w:r w:rsidR="00AD471E">
        <w:rPr>
          <w:rFonts w:cstheme="minorHAnsi"/>
        </w:rPr>
        <w:t xml:space="preserve">compared to least </w:t>
      </w:r>
      <w:r w:rsidR="00913040" w:rsidRPr="001E7454">
        <w:rPr>
          <w:rFonts w:cstheme="minorHAnsi"/>
        </w:rPr>
        <w:t xml:space="preserve">deprived decile (2.56% </w:t>
      </w:r>
      <w:r w:rsidR="00F85A6C">
        <w:rPr>
          <w:rFonts w:cstheme="minorHAnsi"/>
        </w:rPr>
        <w:t>(</w:t>
      </w:r>
      <w:r w:rsidR="00724BCA">
        <w:rPr>
          <w:rFonts w:cstheme="minorHAnsi"/>
        </w:rPr>
        <w:t>2.53</w:t>
      </w:r>
      <w:r w:rsidR="00F85A6C">
        <w:rPr>
          <w:rFonts w:cstheme="minorHAnsi"/>
        </w:rPr>
        <w:t xml:space="preserve"> to</w:t>
      </w:r>
      <w:r w:rsidR="00724BCA">
        <w:rPr>
          <w:rFonts w:cstheme="minorHAnsi"/>
        </w:rPr>
        <w:t xml:space="preserve"> 2.59</w:t>
      </w:r>
      <w:r w:rsidR="00F85A6C">
        <w:rPr>
          <w:rFonts w:cstheme="minorHAnsi"/>
        </w:rPr>
        <w:t>)</w:t>
      </w:r>
      <w:r w:rsidR="00724BCA">
        <w:rPr>
          <w:rFonts w:cstheme="minorHAnsi"/>
        </w:rPr>
        <w:t xml:space="preserve"> </w:t>
      </w:r>
      <w:r w:rsidR="00913040" w:rsidRPr="001E7454">
        <w:rPr>
          <w:rFonts w:cstheme="minorHAnsi"/>
        </w:rPr>
        <w:t>vs 1.38%</w:t>
      </w:r>
      <w:r w:rsidR="00724BCA">
        <w:rPr>
          <w:rFonts w:cstheme="minorHAnsi"/>
        </w:rPr>
        <w:t xml:space="preserve"> </w:t>
      </w:r>
      <w:r w:rsidR="00F85A6C">
        <w:rPr>
          <w:rFonts w:cstheme="minorHAnsi"/>
        </w:rPr>
        <w:t>(1.35 to 1.41)</w:t>
      </w:r>
      <w:r w:rsidR="00913040" w:rsidRPr="001E7454">
        <w:rPr>
          <w:rFonts w:cstheme="minorHAnsi"/>
        </w:rPr>
        <w:t>).</w:t>
      </w:r>
      <w:r w:rsidR="00913040">
        <w:rPr>
          <w:rFonts w:cstheme="minorHAnsi"/>
        </w:rPr>
        <w:t xml:space="preserve"> </w:t>
      </w:r>
      <w:r w:rsidR="00E76D6C">
        <w:rPr>
          <w:rFonts w:cstheme="minorHAnsi"/>
        </w:rPr>
        <w:t>There was ethnic heterogeneity</w:t>
      </w:r>
      <w:r w:rsidR="00903D97">
        <w:rPr>
          <w:rFonts w:cstheme="minorHAnsi"/>
        </w:rPr>
        <w:t xml:space="preserve">: </w:t>
      </w:r>
      <w:r w:rsidR="00E76D6C">
        <w:rPr>
          <w:rFonts w:cstheme="minorHAnsi"/>
        </w:rPr>
        <w:t>s</w:t>
      </w:r>
      <w:r w:rsidR="00F85A6C">
        <w:rPr>
          <w:rFonts w:cstheme="minorHAnsi"/>
        </w:rPr>
        <w:t xml:space="preserve">hort stature </w:t>
      </w:r>
      <w:r w:rsidR="00E76D6C">
        <w:rPr>
          <w:rFonts w:cstheme="minorHAnsi"/>
        </w:rPr>
        <w:t>prevalence</w:t>
      </w:r>
      <w:r w:rsidR="00903D97">
        <w:rPr>
          <w:rFonts w:cstheme="minorHAnsi"/>
        </w:rPr>
        <w:t xml:space="preserve"> was</w:t>
      </w:r>
      <w:r w:rsidR="00E76D6C">
        <w:rPr>
          <w:rFonts w:cstheme="minorHAnsi"/>
        </w:rPr>
        <w:t xml:space="preserve"> lowest in Black children (0.64% (0.61</w:t>
      </w:r>
      <w:r w:rsidR="00F85A6C">
        <w:rPr>
          <w:rFonts w:cstheme="minorHAnsi"/>
        </w:rPr>
        <w:t xml:space="preserve"> to</w:t>
      </w:r>
      <w:r w:rsidR="00E76D6C">
        <w:rPr>
          <w:rFonts w:cstheme="minorHAnsi"/>
        </w:rPr>
        <w:t xml:space="preserve"> 0.67)) and highest in Indian children (2.52% (2.45</w:t>
      </w:r>
      <w:r w:rsidR="00F85A6C">
        <w:rPr>
          <w:rFonts w:cstheme="minorHAnsi"/>
        </w:rPr>
        <w:t xml:space="preserve"> to</w:t>
      </w:r>
      <w:r w:rsidR="00E76D6C">
        <w:rPr>
          <w:rFonts w:cstheme="minorHAnsi"/>
        </w:rPr>
        <w:t xml:space="preserve"> 2.60) and children in other ethnic categories (2.57% (2.5</w:t>
      </w:r>
      <w:r w:rsidR="00F85A6C">
        <w:rPr>
          <w:rFonts w:cstheme="minorHAnsi"/>
        </w:rPr>
        <w:t>1 to</w:t>
      </w:r>
      <w:r w:rsidR="00E76D6C">
        <w:rPr>
          <w:rFonts w:cstheme="minorHAnsi"/>
        </w:rPr>
        <w:t xml:space="preserve"> 2.64)). </w:t>
      </w:r>
      <w:r w:rsidR="00176DE2">
        <w:t xml:space="preserve">Girls were more likely to </w:t>
      </w:r>
      <w:r w:rsidR="00C609E3">
        <w:t>have</w:t>
      </w:r>
      <w:r w:rsidR="00176DE2">
        <w:t xml:space="preserve"> s</w:t>
      </w:r>
      <w:r w:rsidR="00F85A6C">
        <w:t>hort stature</w:t>
      </w:r>
      <w:r w:rsidR="00F36ACE">
        <w:t xml:space="preserve"> than boys</w:t>
      </w:r>
      <w:r w:rsidR="00176DE2">
        <w:t xml:space="preserve"> (2.09% </w:t>
      </w:r>
      <w:r w:rsidR="00176DE2">
        <w:rPr>
          <w:rFonts w:cstheme="minorHAnsi"/>
        </w:rPr>
        <w:t>(2.07</w:t>
      </w:r>
      <w:r w:rsidR="00F85A6C">
        <w:rPr>
          <w:rFonts w:cstheme="minorHAnsi"/>
        </w:rPr>
        <w:t xml:space="preserve"> to </w:t>
      </w:r>
      <w:r w:rsidR="00176DE2">
        <w:rPr>
          <w:rFonts w:cstheme="minorHAnsi"/>
        </w:rPr>
        <w:t>2.10) vs</w:t>
      </w:r>
      <w:r w:rsidR="00176DE2" w:rsidRPr="001E7454">
        <w:rPr>
          <w:rFonts w:cstheme="minorHAnsi"/>
        </w:rPr>
        <w:t xml:space="preserve"> 1.77%</w:t>
      </w:r>
      <w:r w:rsidR="00176DE2">
        <w:rPr>
          <w:rFonts w:cstheme="minorHAnsi"/>
        </w:rPr>
        <w:t xml:space="preserve"> (1.76</w:t>
      </w:r>
      <w:r w:rsidR="00F85A6C">
        <w:rPr>
          <w:rFonts w:cstheme="minorHAnsi"/>
        </w:rPr>
        <w:t xml:space="preserve"> to</w:t>
      </w:r>
      <w:r w:rsidR="00176DE2">
        <w:rPr>
          <w:rFonts w:cstheme="minorHAnsi"/>
        </w:rPr>
        <w:t xml:space="preserve"> 1.78)</w:t>
      </w:r>
      <w:r w:rsidR="00F36ACE">
        <w:rPr>
          <w:rFonts w:cstheme="minorHAnsi"/>
        </w:rPr>
        <w:t>, respectively</w:t>
      </w:r>
      <w:r w:rsidR="00176DE2">
        <w:rPr>
          <w:rFonts w:cstheme="minorHAnsi"/>
        </w:rPr>
        <w:t xml:space="preserve">). </w:t>
      </w:r>
      <w:r w:rsidR="00E76D6C">
        <w:rPr>
          <w:rFonts w:cstheme="minorHAnsi"/>
        </w:rPr>
        <w:t>S</w:t>
      </w:r>
      <w:r w:rsidR="00F85A6C">
        <w:rPr>
          <w:rFonts w:cstheme="minorHAnsi"/>
        </w:rPr>
        <w:t>hort stature</w:t>
      </w:r>
      <w:r w:rsidR="00E76D6C">
        <w:rPr>
          <w:rFonts w:cstheme="minorHAnsi"/>
        </w:rPr>
        <w:t xml:space="preserve"> prevalence declined over time, </w:t>
      </w:r>
      <w:r w:rsidR="00AD471E">
        <w:rPr>
          <w:rFonts w:cstheme="minorHAnsi"/>
        </w:rPr>
        <w:t>from</w:t>
      </w:r>
      <w:r w:rsidR="00E76D6C">
        <w:rPr>
          <w:rFonts w:cstheme="minorHAnsi"/>
        </w:rPr>
        <w:t xml:space="preserve"> 2.03% (2.01 to 2.05) </w:t>
      </w:r>
      <w:r w:rsidR="00AD471E">
        <w:rPr>
          <w:rFonts w:cstheme="minorHAnsi"/>
        </w:rPr>
        <w:t>in</w:t>
      </w:r>
      <w:r w:rsidR="00E76D6C">
        <w:rPr>
          <w:rFonts w:cstheme="minorHAnsi"/>
        </w:rPr>
        <w:t xml:space="preserve"> 2006</w:t>
      </w:r>
      <w:r w:rsidR="00AB01E2">
        <w:rPr>
          <w:rFonts w:cstheme="minorHAnsi"/>
        </w:rPr>
        <w:t>-</w:t>
      </w:r>
      <w:r w:rsidR="00E76D6C">
        <w:rPr>
          <w:rFonts w:cstheme="minorHAnsi"/>
        </w:rPr>
        <w:t xml:space="preserve">2010, to 1.82% (1.80 to 1.84) </w:t>
      </w:r>
      <w:r w:rsidR="00AD471E">
        <w:rPr>
          <w:rFonts w:cstheme="minorHAnsi"/>
        </w:rPr>
        <w:t xml:space="preserve">in </w:t>
      </w:r>
      <w:r w:rsidR="00E76D6C">
        <w:rPr>
          <w:rFonts w:cstheme="minorHAnsi"/>
        </w:rPr>
        <w:t>2016</w:t>
      </w:r>
      <w:r w:rsidR="00AB01E2">
        <w:rPr>
          <w:rFonts w:cstheme="minorHAnsi"/>
        </w:rPr>
        <w:t>-</w:t>
      </w:r>
      <w:r w:rsidR="00E76D6C">
        <w:rPr>
          <w:rFonts w:cstheme="minorHAnsi"/>
        </w:rPr>
        <w:t>2019. S</w:t>
      </w:r>
      <w:r w:rsidR="00F85A6C">
        <w:rPr>
          <w:rFonts w:cstheme="minorHAnsi"/>
        </w:rPr>
        <w:t>hort stature</w:t>
      </w:r>
      <w:r w:rsidR="00E76D6C">
        <w:rPr>
          <w:rFonts w:cstheme="minorHAnsi"/>
        </w:rPr>
        <w:t xml:space="preserve"> declined at all levels of area-deprivation</w:t>
      </w:r>
      <w:r w:rsidR="00AD471E">
        <w:rPr>
          <w:rFonts w:cstheme="minorHAnsi"/>
        </w:rPr>
        <w:t>,</w:t>
      </w:r>
      <w:r w:rsidR="00E76D6C">
        <w:rPr>
          <w:rFonts w:cstheme="minorHAnsi"/>
        </w:rPr>
        <w:t xml:space="preserve"> </w:t>
      </w:r>
      <w:r w:rsidR="00AD471E">
        <w:rPr>
          <w:rFonts w:cstheme="minorHAnsi"/>
        </w:rPr>
        <w:t>with</w:t>
      </w:r>
      <w:r w:rsidR="00E76D6C">
        <w:rPr>
          <w:rFonts w:cstheme="minorHAnsi"/>
        </w:rPr>
        <w:t xml:space="preserve"> faster decline</w:t>
      </w:r>
      <w:r w:rsidR="00AD471E">
        <w:rPr>
          <w:rFonts w:cstheme="minorHAnsi"/>
        </w:rPr>
        <w:t>s</w:t>
      </w:r>
      <w:r w:rsidR="00E76D6C">
        <w:rPr>
          <w:rFonts w:cstheme="minorHAnsi"/>
        </w:rPr>
        <w:t xml:space="preserve"> in more deprived areas</w:t>
      </w:r>
      <w:r w:rsidR="00AD471E">
        <w:rPr>
          <w:rFonts w:cstheme="minorHAnsi"/>
        </w:rPr>
        <w:t>, but</w:t>
      </w:r>
      <w:r w:rsidR="006A1504">
        <w:rPr>
          <w:rFonts w:cstheme="minorHAnsi"/>
        </w:rPr>
        <w:t xml:space="preserve"> disparities by IMD quintile were persistent.</w:t>
      </w:r>
      <w:r w:rsidR="00871055">
        <w:rPr>
          <w:rFonts w:cstheme="minorHAnsi"/>
        </w:rPr>
        <w:t xml:space="preserve"> </w:t>
      </w:r>
      <w:r w:rsidR="00A278B9">
        <w:rPr>
          <w:rFonts w:cstheme="minorHAnsi"/>
        </w:rPr>
        <w:t xml:space="preserve">This study </w:t>
      </w:r>
      <w:r w:rsidR="00C609E3">
        <w:rPr>
          <w:rFonts w:cstheme="minorHAnsi"/>
        </w:rPr>
        <w:t>was</w:t>
      </w:r>
      <w:r w:rsidR="00427B0F">
        <w:rPr>
          <w:rFonts w:cstheme="minorHAnsi"/>
        </w:rPr>
        <w:t xml:space="preserve"> conducted cross-sectionally at an area level, and therefore we cannot make any inferences </w:t>
      </w:r>
      <w:r w:rsidR="00C609E3">
        <w:rPr>
          <w:rFonts w:cstheme="minorHAnsi"/>
        </w:rPr>
        <w:t>about</w:t>
      </w:r>
      <w:r w:rsidR="00427B0F">
        <w:rPr>
          <w:rFonts w:cstheme="minorHAnsi"/>
        </w:rPr>
        <w:t xml:space="preserve"> the individual causes of short stature. </w:t>
      </w:r>
    </w:p>
    <w:p w14:paraId="2079795F" w14:textId="77777777" w:rsidR="00E76D6C" w:rsidRPr="0024490B" w:rsidRDefault="00E76D6C" w:rsidP="00E76D6C">
      <w:pPr>
        <w:rPr>
          <w:b/>
          <w:bCs/>
        </w:rPr>
      </w:pPr>
      <w:r>
        <w:rPr>
          <w:b/>
          <w:bCs/>
        </w:rPr>
        <w:t xml:space="preserve">Conclusions </w:t>
      </w:r>
    </w:p>
    <w:p w14:paraId="6F31E642" w14:textId="20006433" w:rsidR="00E76D6C" w:rsidRDefault="000826A7" w:rsidP="00E76D6C">
      <w:r>
        <w:rPr>
          <w:rFonts w:cstheme="minorHAnsi"/>
        </w:rPr>
        <w:t xml:space="preserve">In this study we observed a </w:t>
      </w:r>
      <w:r w:rsidR="00E71A00">
        <w:rPr>
          <w:rFonts w:cstheme="minorHAnsi"/>
        </w:rPr>
        <w:t>clear</w:t>
      </w:r>
      <w:r w:rsidR="00E71A00" w:rsidRPr="001E7454">
        <w:rPr>
          <w:rFonts w:cstheme="minorHAnsi"/>
        </w:rPr>
        <w:t xml:space="preserve"> social gradient and </w:t>
      </w:r>
      <w:r w:rsidR="00E71A00">
        <w:rPr>
          <w:rFonts w:cstheme="minorHAnsi"/>
        </w:rPr>
        <w:t xml:space="preserve">striking </w:t>
      </w:r>
      <w:r w:rsidR="00E71A00" w:rsidRPr="001E7454">
        <w:rPr>
          <w:rFonts w:cstheme="minorHAnsi"/>
        </w:rPr>
        <w:t>regional variation</w:t>
      </w:r>
      <w:r w:rsidR="00E71A00">
        <w:rPr>
          <w:rFonts w:cstheme="minorHAnsi"/>
        </w:rPr>
        <w:t xml:space="preserve"> in s</w:t>
      </w:r>
      <w:r w:rsidR="00FD060E">
        <w:rPr>
          <w:rFonts w:cstheme="minorHAnsi"/>
        </w:rPr>
        <w:t>hort stature</w:t>
      </w:r>
      <w:r w:rsidR="00E71A00" w:rsidDel="00E71A00">
        <w:t xml:space="preserve"> </w:t>
      </w:r>
      <w:r w:rsidR="00E71A00">
        <w:t>across</w:t>
      </w:r>
      <w:r w:rsidR="00AB01E2">
        <w:t xml:space="preserve"> Englan</w:t>
      </w:r>
      <w:r w:rsidR="00E71A00">
        <w:t>d</w:t>
      </w:r>
      <w:r w:rsidR="00946008">
        <w:rPr>
          <w:rFonts w:cstheme="minorHAnsi"/>
        </w:rPr>
        <w:t xml:space="preserve">, </w:t>
      </w:r>
      <w:r>
        <w:rPr>
          <w:rFonts w:cstheme="minorHAnsi"/>
        </w:rPr>
        <w:t>including</w:t>
      </w:r>
      <w:r w:rsidR="00DB1945">
        <w:rPr>
          <w:rFonts w:cstheme="minorHAnsi"/>
        </w:rPr>
        <w:t xml:space="preserve"> a North-Sout</w:t>
      </w:r>
      <w:r w:rsidR="00172E8B">
        <w:rPr>
          <w:rFonts w:cstheme="minorHAnsi"/>
        </w:rPr>
        <w:t>h divide</w:t>
      </w:r>
      <w:r w:rsidR="00946008">
        <w:rPr>
          <w:rFonts w:cstheme="minorHAnsi"/>
        </w:rPr>
        <w:t xml:space="preserve">. </w:t>
      </w:r>
      <w:r w:rsidR="004D14DD">
        <w:rPr>
          <w:rFonts w:cstheme="minorHAnsi"/>
        </w:rPr>
        <w:t xml:space="preserve">These findings provide impetus </w:t>
      </w:r>
      <w:r w:rsidR="00D11FFA">
        <w:rPr>
          <w:rFonts w:cstheme="minorHAnsi"/>
        </w:rPr>
        <w:t>for further investigation into p</w:t>
      </w:r>
      <w:r w:rsidR="00946008">
        <w:rPr>
          <w:rFonts w:cstheme="minorHAnsi"/>
        </w:rPr>
        <w:t>otential socioeconomic influences on height</w:t>
      </w:r>
      <w:r w:rsidR="00D11FFA">
        <w:rPr>
          <w:rFonts w:cstheme="minorHAnsi"/>
        </w:rPr>
        <w:t xml:space="preserve"> and the factors </w:t>
      </w:r>
      <w:r w:rsidR="00C609E3">
        <w:rPr>
          <w:rFonts w:cstheme="minorHAnsi"/>
        </w:rPr>
        <w:t>underlying</w:t>
      </w:r>
      <w:r w:rsidR="00D11FFA">
        <w:rPr>
          <w:rFonts w:cstheme="minorHAnsi"/>
        </w:rPr>
        <w:t xml:space="preserve"> regional variation. </w:t>
      </w:r>
      <w:r w:rsidR="00B53C70">
        <w:rPr>
          <w:rFonts w:cstheme="minorHAnsi"/>
        </w:rPr>
        <w:t xml:space="preserve"> </w:t>
      </w:r>
    </w:p>
    <w:p w14:paraId="2402AA1A" w14:textId="3DAB3EE5" w:rsidR="00E76D6C" w:rsidRDefault="00E76D6C">
      <w:pPr>
        <w:rPr>
          <w:rFonts w:cstheme="minorHAnsi"/>
          <w:b/>
          <w:bCs/>
        </w:rPr>
      </w:pPr>
      <w:r w:rsidRPr="00E76D6C">
        <w:rPr>
          <w:rFonts w:cstheme="minorHAnsi"/>
          <w:b/>
          <w:bCs/>
        </w:rPr>
        <w:br w:type="page"/>
      </w:r>
    </w:p>
    <w:p w14:paraId="27097F30" w14:textId="77777777" w:rsidR="00524649" w:rsidRPr="00FF1988" w:rsidRDefault="00524649" w:rsidP="00524649">
      <w:pPr>
        <w:rPr>
          <w:b/>
          <w:bCs/>
        </w:rPr>
      </w:pPr>
      <w:r w:rsidRPr="00FF1988">
        <w:rPr>
          <w:b/>
          <w:bCs/>
        </w:rPr>
        <w:t>Author Summary</w:t>
      </w:r>
    </w:p>
    <w:p w14:paraId="32612F07" w14:textId="77777777" w:rsidR="00524649" w:rsidRPr="00FF1988" w:rsidRDefault="00524649" w:rsidP="00524649">
      <w:pPr>
        <w:rPr>
          <w:b/>
          <w:bCs/>
        </w:rPr>
      </w:pPr>
      <w:r w:rsidRPr="00FF1988">
        <w:rPr>
          <w:b/>
          <w:bCs/>
        </w:rPr>
        <w:t>Why was this study done?</w:t>
      </w:r>
    </w:p>
    <w:p w14:paraId="5555EA2C" w14:textId="77777777" w:rsidR="00524649" w:rsidRDefault="00524649" w:rsidP="00524649">
      <w:pPr>
        <w:pStyle w:val="ListParagraph"/>
        <w:numPr>
          <w:ilvl w:val="0"/>
          <w:numId w:val="31"/>
        </w:numPr>
      </w:pPr>
      <w:r>
        <w:t xml:space="preserve">Short height for age can be a sign that there are underlying health conditions or adverse socioeconomic circumstances in young children. </w:t>
      </w:r>
    </w:p>
    <w:p w14:paraId="5C057086" w14:textId="77777777" w:rsidR="00524649" w:rsidRDefault="00524649" w:rsidP="00524649">
      <w:pPr>
        <w:pStyle w:val="ListParagraph"/>
        <w:numPr>
          <w:ilvl w:val="0"/>
          <w:numId w:val="31"/>
        </w:numPr>
      </w:pPr>
      <w:r>
        <w:t xml:space="preserve">Research into children who have short stature in low-and-middle-income countries has found numerous associations with poorer lifelong health and education outcomes. </w:t>
      </w:r>
    </w:p>
    <w:p w14:paraId="57BABD03" w14:textId="77777777" w:rsidR="00524649" w:rsidRDefault="00524649" w:rsidP="00524649">
      <w:pPr>
        <w:pStyle w:val="ListParagraph"/>
        <w:numPr>
          <w:ilvl w:val="0"/>
          <w:numId w:val="31"/>
        </w:numPr>
      </w:pPr>
      <w:r>
        <w:t xml:space="preserve">The prevalence and characteristics of children with short stature in England have not previously been investigated. </w:t>
      </w:r>
    </w:p>
    <w:p w14:paraId="31F2115B" w14:textId="77777777" w:rsidR="00524649" w:rsidRPr="00FF1988" w:rsidRDefault="00524649" w:rsidP="00524649">
      <w:pPr>
        <w:rPr>
          <w:b/>
          <w:bCs/>
        </w:rPr>
      </w:pPr>
      <w:r w:rsidRPr="00FF1988">
        <w:rPr>
          <w:b/>
          <w:bCs/>
        </w:rPr>
        <w:t>What did the researchers do and find?</w:t>
      </w:r>
    </w:p>
    <w:p w14:paraId="2E908DCD" w14:textId="1A5C2ED4" w:rsidR="00524649" w:rsidRDefault="00524649" w:rsidP="00524649">
      <w:pPr>
        <w:pStyle w:val="ListParagraph"/>
        <w:numPr>
          <w:ilvl w:val="0"/>
          <w:numId w:val="31"/>
        </w:numPr>
      </w:pPr>
      <w:r>
        <w:t xml:space="preserve">We used data from 7,062,071 children aged 4 and 5 who were measured as part of the National Child Measurement Programme (NCMP) to calculate percentages of </w:t>
      </w:r>
      <w:r w:rsidR="00056637">
        <w:t xml:space="preserve">children with </w:t>
      </w:r>
      <w:r>
        <w:t xml:space="preserve">short stature by region, ethnicity, sex, and area deprivation. </w:t>
      </w:r>
    </w:p>
    <w:p w14:paraId="7A9CBEB8" w14:textId="77777777" w:rsidR="00524649" w:rsidRDefault="00524649" w:rsidP="00524649">
      <w:pPr>
        <w:pStyle w:val="ListParagraph"/>
        <w:numPr>
          <w:ilvl w:val="0"/>
          <w:numId w:val="31"/>
        </w:numPr>
      </w:pPr>
      <w:r>
        <w:t xml:space="preserve">We used regional analyses to assess whether there were hotspots of short stature around the country. </w:t>
      </w:r>
    </w:p>
    <w:p w14:paraId="6A4DA375" w14:textId="39F8CDE2" w:rsidR="00524649" w:rsidRDefault="00524649" w:rsidP="00524649">
      <w:pPr>
        <w:pStyle w:val="ListParagraph"/>
        <w:numPr>
          <w:ilvl w:val="0"/>
          <w:numId w:val="31"/>
        </w:numPr>
      </w:pPr>
      <w:r>
        <w:t xml:space="preserve">We found that 1.93% of children </w:t>
      </w:r>
      <w:r w:rsidR="00627786">
        <w:t>had</w:t>
      </w:r>
      <w:r>
        <w:t xml:space="preserve"> </w:t>
      </w:r>
      <w:proofErr w:type="gramStart"/>
      <w:r>
        <w:t>short-stature</w:t>
      </w:r>
      <w:proofErr w:type="gramEnd"/>
      <w:r>
        <w:t xml:space="preserve">, and this was strongly related to area deprivation, with more deprived areas having higher rates of short stature. </w:t>
      </w:r>
    </w:p>
    <w:p w14:paraId="3F84C135" w14:textId="77777777" w:rsidR="00524649" w:rsidRDefault="00524649" w:rsidP="00524649">
      <w:pPr>
        <w:pStyle w:val="ListParagraph"/>
        <w:numPr>
          <w:ilvl w:val="0"/>
          <w:numId w:val="31"/>
        </w:numPr>
      </w:pPr>
      <w:r>
        <w:t xml:space="preserve">Short stature was also less likely in children who were Black African or Caribbean, and more likely in Indian children, or children whose ethnicity was coded as ‘Other’. </w:t>
      </w:r>
    </w:p>
    <w:p w14:paraId="62F4D1D6" w14:textId="77777777" w:rsidR="00524649" w:rsidRDefault="00524649" w:rsidP="00524649">
      <w:pPr>
        <w:pStyle w:val="ListParagraph"/>
        <w:numPr>
          <w:ilvl w:val="0"/>
          <w:numId w:val="31"/>
        </w:numPr>
      </w:pPr>
      <w:r>
        <w:t xml:space="preserve">There were various short stature hot spots in England, and most of these were concentrated in the North and Midlands of the country. </w:t>
      </w:r>
    </w:p>
    <w:p w14:paraId="6522F8CC" w14:textId="77777777" w:rsidR="00524649" w:rsidRPr="00FF1988" w:rsidRDefault="00524649" w:rsidP="00524649">
      <w:pPr>
        <w:rPr>
          <w:b/>
          <w:bCs/>
        </w:rPr>
      </w:pPr>
      <w:r w:rsidRPr="00FF1988">
        <w:rPr>
          <w:b/>
          <w:bCs/>
        </w:rPr>
        <w:t>What do these findings mean?</w:t>
      </w:r>
    </w:p>
    <w:p w14:paraId="09AFA632" w14:textId="77777777" w:rsidR="00524649" w:rsidRDefault="00524649" w:rsidP="00524649">
      <w:pPr>
        <w:pStyle w:val="ListParagraph"/>
        <w:numPr>
          <w:ilvl w:val="0"/>
          <w:numId w:val="31"/>
        </w:numPr>
      </w:pPr>
      <w:r>
        <w:t xml:space="preserve">Short stature is relatively uncommon in England. </w:t>
      </w:r>
    </w:p>
    <w:p w14:paraId="328777D9" w14:textId="77777777" w:rsidR="00524649" w:rsidRDefault="00524649" w:rsidP="00524649">
      <w:pPr>
        <w:pStyle w:val="ListParagraph"/>
        <w:numPr>
          <w:ilvl w:val="0"/>
          <w:numId w:val="31"/>
        </w:numPr>
      </w:pPr>
      <w:r>
        <w:t xml:space="preserve">However, short stature is strongly related to area-level deprivation, with children in the most deprived areas nearly twice as likely to be short as children in the least deprived areas. </w:t>
      </w:r>
    </w:p>
    <w:p w14:paraId="120D95B4" w14:textId="77777777" w:rsidR="00524649" w:rsidRDefault="00524649" w:rsidP="00524649">
      <w:pPr>
        <w:pStyle w:val="ListParagraph"/>
        <w:numPr>
          <w:ilvl w:val="0"/>
          <w:numId w:val="31"/>
        </w:numPr>
      </w:pPr>
      <w:r>
        <w:t xml:space="preserve">Further investigation into why children in poorer areas are shorter is important. </w:t>
      </w:r>
    </w:p>
    <w:p w14:paraId="205E292E" w14:textId="784F5378" w:rsidR="00524649" w:rsidRDefault="00524649">
      <w:pPr>
        <w:rPr>
          <w:rFonts w:cstheme="minorHAnsi"/>
          <w:b/>
          <w:bCs/>
        </w:rPr>
      </w:pPr>
    </w:p>
    <w:p w14:paraId="16422A97" w14:textId="1FB50D7C" w:rsidR="00524649" w:rsidRDefault="00524649">
      <w:pPr>
        <w:rPr>
          <w:rFonts w:cstheme="minorHAnsi"/>
          <w:b/>
          <w:bCs/>
        </w:rPr>
      </w:pPr>
    </w:p>
    <w:p w14:paraId="7FD304D1" w14:textId="20F1A3D1" w:rsidR="00524649" w:rsidRDefault="00524649">
      <w:pPr>
        <w:rPr>
          <w:rFonts w:cstheme="minorHAnsi"/>
          <w:b/>
          <w:bCs/>
        </w:rPr>
      </w:pPr>
    </w:p>
    <w:p w14:paraId="71263FEC" w14:textId="5F1DEE0A" w:rsidR="00524649" w:rsidRDefault="00524649">
      <w:pPr>
        <w:rPr>
          <w:rFonts w:cstheme="minorHAnsi"/>
          <w:b/>
          <w:bCs/>
        </w:rPr>
      </w:pPr>
    </w:p>
    <w:p w14:paraId="1A41D731" w14:textId="7A0C4793" w:rsidR="00524649" w:rsidRDefault="00524649">
      <w:pPr>
        <w:rPr>
          <w:rFonts w:cstheme="minorHAnsi"/>
          <w:b/>
          <w:bCs/>
        </w:rPr>
      </w:pPr>
    </w:p>
    <w:p w14:paraId="4422C139" w14:textId="2E01A809" w:rsidR="00524649" w:rsidRDefault="00524649">
      <w:pPr>
        <w:rPr>
          <w:rFonts w:cstheme="minorHAnsi"/>
          <w:b/>
          <w:bCs/>
        </w:rPr>
      </w:pPr>
    </w:p>
    <w:p w14:paraId="10983B30" w14:textId="430D7477" w:rsidR="00524649" w:rsidRDefault="00524649">
      <w:pPr>
        <w:rPr>
          <w:rFonts w:cstheme="minorHAnsi"/>
          <w:b/>
          <w:bCs/>
        </w:rPr>
      </w:pPr>
    </w:p>
    <w:p w14:paraId="7639C7C1" w14:textId="67785916" w:rsidR="00524649" w:rsidRDefault="00524649">
      <w:pPr>
        <w:rPr>
          <w:rFonts w:cstheme="minorHAnsi"/>
          <w:b/>
          <w:bCs/>
        </w:rPr>
      </w:pPr>
    </w:p>
    <w:p w14:paraId="0EFEA086" w14:textId="18C1369C" w:rsidR="00524649" w:rsidRDefault="00524649">
      <w:pPr>
        <w:rPr>
          <w:rFonts w:cstheme="minorHAnsi"/>
          <w:b/>
          <w:bCs/>
        </w:rPr>
      </w:pPr>
    </w:p>
    <w:p w14:paraId="4758CDB9" w14:textId="0E7007DC" w:rsidR="00524649" w:rsidRDefault="00524649">
      <w:pPr>
        <w:rPr>
          <w:rFonts w:cstheme="minorHAnsi"/>
          <w:b/>
          <w:bCs/>
        </w:rPr>
      </w:pPr>
    </w:p>
    <w:p w14:paraId="7AEA3053" w14:textId="4760A9E8" w:rsidR="00524649" w:rsidRDefault="00524649">
      <w:pPr>
        <w:rPr>
          <w:rFonts w:cstheme="minorHAnsi"/>
          <w:b/>
          <w:bCs/>
        </w:rPr>
      </w:pPr>
    </w:p>
    <w:p w14:paraId="6263151A" w14:textId="77777777" w:rsidR="00524649" w:rsidRPr="00E76D6C" w:rsidRDefault="00524649">
      <w:pPr>
        <w:rPr>
          <w:rFonts w:cstheme="minorHAnsi"/>
          <w:b/>
          <w:bCs/>
        </w:rPr>
      </w:pPr>
    </w:p>
    <w:p w14:paraId="7D104D12" w14:textId="1624FCCB" w:rsidR="00D91C79" w:rsidRDefault="00E33401" w:rsidP="001E7454">
      <w:pPr>
        <w:spacing w:after="0"/>
        <w:rPr>
          <w:rFonts w:cstheme="minorHAnsi"/>
          <w:b/>
          <w:bCs/>
        </w:rPr>
      </w:pPr>
      <w:r>
        <w:rPr>
          <w:rFonts w:cstheme="minorHAnsi"/>
          <w:b/>
          <w:bCs/>
        </w:rPr>
        <w:t>INTRODUCTION</w:t>
      </w:r>
    </w:p>
    <w:p w14:paraId="58190C74" w14:textId="0DDAA3BA" w:rsidR="008D7531" w:rsidRDefault="008D7531" w:rsidP="001E7454">
      <w:pPr>
        <w:spacing w:after="0"/>
        <w:rPr>
          <w:rFonts w:cstheme="minorHAnsi"/>
          <w:b/>
          <w:bCs/>
        </w:rPr>
      </w:pPr>
    </w:p>
    <w:p w14:paraId="6C608597" w14:textId="0F296873" w:rsidR="0097136F" w:rsidRPr="008D7531" w:rsidRDefault="008D7531" w:rsidP="0097136F">
      <w:pPr>
        <w:spacing w:after="0" w:line="360" w:lineRule="auto"/>
        <w:rPr>
          <w:rFonts w:cstheme="minorHAnsi"/>
        </w:rPr>
      </w:pPr>
      <w:r w:rsidRPr="008D7531">
        <w:rPr>
          <w:rFonts w:cstheme="minorHAnsi"/>
        </w:rPr>
        <w:t>Linear growth is an important indicator of a child’s health</w:t>
      </w:r>
      <w:r w:rsidR="003B51F3">
        <w:rPr>
          <w:rFonts w:cstheme="minorHAnsi"/>
        </w:rPr>
        <w:t xml:space="preserve">. </w:t>
      </w:r>
      <w:r w:rsidR="0097136F">
        <w:rPr>
          <w:rFonts w:cstheme="minorHAnsi"/>
        </w:rPr>
        <w:t>P</w:t>
      </w:r>
      <w:r w:rsidR="0097136F" w:rsidRPr="008D7531">
        <w:rPr>
          <w:rFonts w:cstheme="minorHAnsi"/>
        </w:rPr>
        <w:t>oor early-life growth</w:t>
      </w:r>
      <w:r w:rsidR="0097136F">
        <w:rPr>
          <w:rFonts w:cstheme="minorHAnsi"/>
        </w:rPr>
        <w:t xml:space="preserve"> is associated </w:t>
      </w:r>
      <w:r w:rsidR="0097136F" w:rsidRPr="008D7531">
        <w:rPr>
          <w:rFonts w:cstheme="minorHAnsi"/>
        </w:rPr>
        <w:t xml:space="preserve">with </w:t>
      </w:r>
      <w:r w:rsidR="0097136F">
        <w:rPr>
          <w:rFonts w:cstheme="minorHAnsi"/>
        </w:rPr>
        <w:t xml:space="preserve">impaired </w:t>
      </w:r>
      <w:r w:rsidR="0097136F" w:rsidRPr="008D7531">
        <w:rPr>
          <w:rFonts w:cstheme="minorHAnsi"/>
        </w:rPr>
        <w:t xml:space="preserve">physical, </w:t>
      </w:r>
      <w:proofErr w:type="gramStart"/>
      <w:r w:rsidR="0097136F" w:rsidRPr="008D7531">
        <w:rPr>
          <w:rFonts w:cstheme="minorHAnsi"/>
        </w:rPr>
        <w:t>neurodevelopmental</w:t>
      </w:r>
      <w:proofErr w:type="gramEnd"/>
      <w:r w:rsidR="0097136F" w:rsidRPr="008D7531">
        <w:rPr>
          <w:rFonts w:cstheme="minorHAnsi"/>
        </w:rPr>
        <w:t xml:space="preserve"> and educational </w:t>
      </w:r>
      <w:r w:rsidR="0097136F">
        <w:rPr>
          <w:rFonts w:cstheme="minorHAnsi"/>
        </w:rPr>
        <w:t>outcomes,</w:t>
      </w:r>
      <w:r w:rsidR="0097136F" w:rsidRPr="008D7531">
        <w:rPr>
          <w:rFonts w:cstheme="minorHAnsi"/>
        </w:rPr>
        <w:t xml:space="preserve"> which hamper children’s abilities</w:t>
      </w:r>
    </w:p>
    <w:p w14:paraId="17A73EDC" w14:textId="3AB24078" w:rsidR="008D7531" w:rsidRPr="008D7531" w:rsidRDefault="0097136F" w:rsidP="0097136F">
      <w:pPr>
        <w:spacing w:after="0" w:line="360" w:lineRule="auto"/>
        <w:rPr>
          <w:rFonts w:cstheme="minorHAnsi"/>
        </w:rPr>
      </w:pPr>
      <w:r w:rsidRPr="008D7531">
        <w:rPr>
          <w:rFonts w:cstheme="minorHAnsi"/>
        </w:rPr>
        <w:t>to survive and thrive</w:t>
      </w:r>
      <w:r w:rsidR="004A6A66">
        <w:rPr>
          <w:rFonts w:cstheme="minorHAnsi"/>
        </w:rPr>
        <w:t xml:space="preserve"> </w:t>
      </w:r>
      <w:r>
        <w:rPr>
          <w:rFonts w:cstheme="minorHAnsi"/>
        </w:rPr>
        <w:fldChar w:fldCharType="begin"/>
      </w:r>
      <w:r w:rsidR="000900CA">
        <w:rPr>
          <w:rFonts w:cstheme="minorHAnsi"/>
        </w:rPr>
        <w:instrText xml:space="preserve"> ADDIN EN.CITE &lt;EndNote&gt;&lt;Cite&gt;&lt;Author&gt;de Onis&lt;/Author&gt;&lt;Year&gt;2016&lt;/Year&gt;&lt;RecNum&gt;2&lt;/RecNum&gt;&lt;DisplayText&gt;[1]&lt;/DisplayText&gt;&lt;record&gt;&lt;rec-number&gt;2&lt;/rec-number&gt;&lt;foreign-keys&gt;&lt;key app="EN" db-id="rzsrwz2pt2tfzged2xlvt2eh9adpzpfrt29r" timestamp="1611759897"&gt;2&lt;/key&gt;&lt;/foreign-keys&gt;&lt;ref-type name="Journal Article"&gt;17&lt;/ref-type&gt;&lt;contributors&gt;&lt;authors&gt;&lt;author&gt;de Onis, M.&lt;/author&gt;&lt;author&gt;Branca, F.&lt;/author&gt;&lt;/authors&gt;&lt;/contributors&gt;&lt;auth-address&gt;Department of Nutrition for Health and Development, World Health Organization, Geneva, Switzerland.&lt;/auth-address&gt;&lt;titles&gt;&lt;title&gt;Childhood stunting: a global perspective&lt;/title&gt;&lt;secondary-title&gt;Matern Child Nutr&lt;/secondary-title&gt;&lt;/titles&gt;&lt;periodical&gt;&lt;full-title&gt;Matern Child Nutr&lt;/full-title&gt;&lt;/periodical&gt;&lt;pages&gt;12-26&lt;/pages&gt;&lt;volume&gt;12 Suppl 1&lt;/volume&gt;&lt;number&gt;Suppl 1&lt;/number&gt;&lt;edition&gt;2016/05/18&lt;/edition&gt;&lt;keywords&gt;&lt;keyword&gt;Body Height&lt;/keyword&gt;&lt;keyword&gt;Child, Preschool&lt;/keyword&gt;&lt;keyword&gt;Cognition Disorders/etiology&lt;/keyword&gt;&lt;keyword&gt;*Growth Disorders/complications/epidemiology/prevention &amp;amp; control&lt;/keyword&gt;&lt;keyword&gt;Humans&lt;/keyword&gt;&lt;keyword&gt;Infant&lt;/keyword&gt;&lt;keyword&gt;Infant, Newborn&lt;/keyword&gt;&lt;keyword&gt;Neurodevelopmental Disorders/etiology&lt;/keyword&gt;&lt;keyword&gt;Reference Values&lt;/keyword&gt;&lt;keyword&gt;Risk Factors&lt;/keyword&gt;&lt;keyword&gt;World Health Organization&lt;/keyword&gt;&lt;keyword&gt;*child development&lt;/keyword&gt;&lt;keyword&gt;*healthy growth&lt;/keyword&gt;&lt;keyword&gt;*infant and child growth&lt;/keyword&gt;&lt;keyword&gt;*malnutrition&lt;/keyword&gt;&lt;keyword&gt;*stunting&lt;/keyword&gt;&lt;/keywords&gt;&lt;dates&gt;&lt;year&gt;2016&lt;/year&gt;&lt;pub-dates&gt;&lt;date&gt;May&lt;/date&gt;&lt;/pub-dates&gt;&lt;/dates&gt;&lt;isbn&gt;1740-8695 (Print)&amp;#xD;1740-8695&lt;/isbn&gt;&lt;accession-num&gt;27187907&lt;/accession-num&gt;&lt;urls&gt;&lt;/urls&gt;&lt;custom2&gt;PMC5084763&lt;/custom2&gt;&lt;electronic-resource-num&gt;10.1111/mcn.12231&lt;/electronic-resource-num&gt;&lt;remote-database-provider&gt;NLM&lt;/remote-database-provider&gt;&lt;language&gt;eng&lt;/language&gt;&lt;/record&gt;&lt;/Cite&gt;&lt;/EndNote&gt;</w:instrText>
      </w:r>
      <w:r>
        <w:rPr>
          <w:rFonts w:cstheme="minorHAnsi"/>
        </w:rPr>
        <w:fldChar w:fldCharType="separate"/>
      </w:r>
      <w:r w:rsidR="000900CA">
        <w:rPr>
          <w:rFonts w:cstheme="minorHAnsi"/>
          <w:noProof/>
        </w:rPr>
        <w:t>[1]</w:t>
      </w:r>
      <w:r>
        <w:rPr>
          <w:rFonts w:cstheme="minorHAnsi"/>
        </w:rPr>
        <w:fldChar w:fldCharType="end"/>
      </w:r>
      <w:r w:rsidR="004A6A66">
        <w:rPr>
          <w:rFonts w:cstheme="minorHAnsi"/>
        </w:rPr>
        <w:t>,</w:t>
      </w:r>
      <w:r w:rsidRPr="008D7531">
        <w:rPr>
          <w:rFonts w:cstheme="minorHAnsi"/>
        </w:rPr>
        <w:t xml:space="preserve"> </w:t>
      </w:r>
      <w:r>
        <w:rPr>
          <w:rFonts w:cstheme="minorHAnsi"/>
        </w:rPr>
        <w:t xml:space="preserve">and </w:t>
      </w:r>
      <w:r w:rsidRPr="008D7531">
        <w:rPr>
          <w:rFonts w:cstheme="minorHAnsi"/>
        </w:rPr>
        <w:t xml:space="preserve">increase </w:t>
      </w:r>
      <w:r w:rsidR="00106494">
        <w:rPr>
          <w:rFonts w:cstheme="minorHAnsi"/>
        </w:rPr>
        <w:t xml:space="preserve">later life </w:t>
      </w:r>
      <w:r w:rsidRPr="008D7531">
        <w:rPr>
          <w:rFonts w:cstheme="minorHAnsi"/>
        </w:rPr>
        <w:t>risk of chronic disease and premature</w:t>
      </w:r>
      <w:r>
        <w:rPr>
          <w:rFonts w:cstheme="minorHAnsi"/>
        </w:rPr>
        <w:t xml:space="preserve"> </w:t>
      </w:r>
      <w:r w:rsidRPr="008D7531">
        <w:rPr>
          <w:rFonts w:cstheme="minorHAnsi"/>
        </w:rPr>
        <w:t>mortality</w:t>
      </w:r>
      <w:r w:rsidR="004A6A66">
        <w:rPr>
          <w:rFonts w:cstheme="minorHAnsi"/>
        </w:rPr>
        <w:t xml:space="preserve"> </w:t>
      </w:r>
      <w:r>
        <w:rPr>
          <w:rFonts w:cstheme="minorHAnsi"/>
        </w:rPr>
        <w:fldChar w:fldCharType="begin"/>
      </w:r>
      <w:r w:rsidR="000900CA">
        <w:rPr>
          <w:rFonts w:cstheme="minorHAnsi"/>
        </w:rPr>
        <w:instrText xml:space="preserve"> ADDIN EN.CITE &lt;EndNote&gt;&lt;Cite&gt;&lt;Author&gt;World Health Organization Department of Nutrition for Health and Development&lt;/Author&gt;&lt;Year&gt;2014&lt;/Year&gt;&lt;RecNum&gt;3&lt;/RecNum&gt;&lt;DisplayText&gt;[2]&lt;/DisplayText&gt;&lt;record&gt;&lt;rec-number&gt;3&lt;/rec-number&gt;&lt;foreign-keys&gt;&lt;key app="EN" db-id="rzsrwz2pt2tfzged2xlvt2eh9adpzpfrt29r" timestamp="1611760452"&gt;3&lt;/key&gt;&lt;/foreign-keys&gt;&lt;ref-type name="Report"&gt;27&lt;/ref-type&gt;&lt;contributors&gt;&lt;authors&gt;&lt;author&gt;World Health Organization Department of Nutrition for Health and Development,&lt;/author&gt;&lt;/authors&gt;&lt;/contributors&gt;&lt;titles&gt;&lt;title&gt;Global Nutrition Targets 2025: Stunting policy brief&lt;/title&gt;&lt;/titles&gt;&lt;dates&gt;&lt;year&gt;2014&lt;/year&gt;&lt;/dates&gt;&lt;urls&gt;&lt;related-urls&gt;&lt;url&gt;https://www.who.int/nutrition/publications/globaltargets2025_policybrief_stunting/en/&lt;/url&gt;&lt;/related-urls&gt;&lt;/urls&gt;&lt;/record&gt;&lt;/Cite&gt;&lt;/EndNote&gt;</w:instrText>
      </w:r>
      <w:r>
        <w:rPr>
          <w:rFonts w:cstheme="minorHAnsi"/>
        </w:rPr>
        <w:fldChar w:fldCharType="separate"/>
      </w:r>
      <w:r w:rsidR="000900CA">
        <w:rPr>
          <w:rFonts w:cstheme="minorHAnsi"/>
          <w:noProof/>
        </w:rPr>
        <w:t>[2]</w:t>
      </w:r>
      <w:r>
        <w:rPr>
          <w:rFonts w:cstheme="minorHAnsi"/>
        </w:rPr>
        <w:fldChar w:fldCharType="end"/>
      </w:r>
      <w:r w:rsidR="004A6A66">
        <w:rPr>
          <w:rFonts w:cstheme="minorHAnsi"/>
        </w:rPr>
        <w:t>.</w:t>
      </w:r>
      <w:r>
        <w:rPr>
          <w:rFonts w:cstheme="minorHAnsi"/>
        </w:rPr>
        <w:t xml:space="preserve"> S</w:t>
      </w:r>
      <w:r w:rsidRPr="008D7531">
        <w:rPr>
          <w:rFonts w:cstheme="minorHAnsi"/>
        </w:rPr>
        <w:t>tunting</w:t>
      </w:r>
      <w:r>
        <w:rPr>
          <w:rFonts w:cstheme="minorHAnsi"/>
        </w:rPr>
        <w:t>, which</w:t>
      </w:r>
      <w:r w:rsidRPr="008D7531">
        <w:rPr>
          <w:rFonts w:cstheme="minorHAnsi"/>
        </w:rPr>
        <w:t xml:space="preserve"> </w:t>
      </w:r>
      <w:r>
        <w:rPr>
          <w:rFonts w:cstheme="minorHAnsi"/>
        </w:rPr>
        <w:t>is defined as</w:t>
      </w:r>
      <w:r w:rsidRPr="008D7531">
        <w:rPr>
          <w:rFonts w:cstheme="minorHAnsi"/>
        </w:rPr>
        <w:t xml:space="preserve"> a height-for-age more than 2 standard deviations</w:t>
      </w:r>
      <w:r>
        <w:rPr>
          <w:rFonts w:cstheme="minorHAnsi"/>
        </w:rPr>
        <w:t xml:space="preserve"> </w:t>
      </w:r>
      <w:r w:rsidRPr="008D7531">
        <w:rPr>
          <w:rFonts w:cstheme="minorHAnsi"/>
        </w:rPr>
        <w:t>below the reference population me</w:t>
      </w:r>
      <w:r w:rsidR="00185DFD">
        <w:rPr>
          <w:rFonts w:cstheme="minorHAnsi"/>
        </w:rPr>
        <w:t>dian</w:t>
      </w:r>
      <w:r>
        <w:rPr>
          <w:rFonts w:cstheme="minorHAnsi"/>
        </w:rPr>
        <w:t>,</w:t>
      </w:r>
      <w:r w:rsidRPr="008D7531">
        <w:rPr>
          <w:rFonts w:cstheme="minorHAnsi"/>
        </w:rPr>
        <w:t xml:space="preserve"> is </w:t>
      </w:r>
      <w:r>
        <w:rPr>
          <w:rFonts w:cstheme="minorHAnsi"/>
        </w:rPr>
        <w:t xml:space="preserve">a term </w:t>
      </w:r>
      <w:r w:rsidRPr="008D7531">
        <w:rPr>
          <w:rFonts w:cstheme="minorHAnsi"/>
        </w:rPr>
        <w:t>generally confined to low- and middle-income countries</w:t>
      </w:r>
      <w:r w:rsidR="004A26ED">
        <w:rPr>
          <w:rFonts w:cstheme="minorHAnsi"/>
        </w:rPr>
        <w:t xml:space="preserve"> (LMIC)</w:t>
      </w:r>
      <w:r>
        <w:rPr>
          <w:rFonts w:cstheme="minorHAnsi"/>
        </w:rPr>
        <w:t xml:space="preserve">. </w:t>
      </w:r>
      <w:r w:rsidR="0001243C" w:rsidRPr="008D7531">
        <w:rPr>
          <w:rFonts w:cstheme="minorHAnsi"/>
        </w:rPr>
        <w:t>S</w:t>
      </w:r>
      <w:r w:rsidR="00E0308C">
        <w:rPr>
          <w:rFonts w:cstheme="minorHAnsi"/>
        </w:rPr>
        <w:t>hort stature</w:t>
      </w:r>
      <w:r w:rsidR="0001243C" w:rsidRPr="008D7531">
        <w:rPr>
          <w:rFonts w:cstheme="minorHAnsi"/>
        </w:rPr>
        <w:t xml:space="preserve"> may therefore be a hidden problem in </w:t>
      </w:r>
      <w:r w:rsidR="0001243C">
        <w:rPr>
          <w:rFonts w:cstheme="minorHAnsi"/>
        </w:rPr>
        <w:t>high-income countries</w:t>
      </w:r>
      <w:r w:rsidR="0001243C" w:rsidRPr="008D7531">
        <w:rPr>
          <w:rFonts w:cstheme="minorHAnsi"/>
        </w:rPr>
        <w:t>,</w:t>
      </w:r>
      <w:r w:rsidR="0001243C">
        <w:rPr>
          <w:rFonts w:cstheme="minorHAnsi"/>
        </w:rPr>
        <w:t xml:space="preserve"> </w:t>
      </w:r>
      <w:r w:rsidR="0001243C" w:rsidRPr="008D7531">
        <w:rPr>
          <w:rFonts w:cstheme="minorHAnsi"/>
        </w:rPr>
        <w:t xml:space="preserve">particularly in </w:t>
      </w:r>
      <w:proofErr w:type="gramStart"/>
      <w:r w:rsidR="0001243C" w:rsidRPr="008D7531">
        <w:rPr>
          <w:rFonts w:cstheme="minorHAnsi"/>
        </w:rPr>
        <w:t>economically deprived</w:t>
      </w:r>
      <w:proofErr w:type="gramEnd"/>
      <w:r w:rsidR="0001243C" w:rsidRPr="008D7531">
        <w:rPr>
          <w:rFonts w:cstheme="minorHAnsi"/>
        </w:rPr>
        <w:t xml:space="preserve"> areas, and an overlooked marker of child wellbeing.</w:t>
      </w:r>
    </w:p>
    <w:p w14:paraId="06E7AB24" w14:textId="77777777" w:rsidR="0001243C" w:rsidRPr="008D7531" w:rsidRDefault="0001243C" w:rsidP="008D7531">
      <w:pPr>
        <w:spacing w:after="0" w:line="360" w:lineRule="auto"/>
        <w:rPr>
          <w:rFonts w:cstheme="minorHAnsi"/>
        </w:rPr>
      </w:pPr>
    </w:p>
    <w:p w14:paraId="38193AB1" w14:textId="745D828C" w:rsidR="008D7531" w:rsidRPr="008D7531" w:rsidRDefault="008D7531" w:rsidP="008D7531">
      <w:pPr>
        <w:spacing w:after="0" w:line="360" w:lineRule="auto"/>
        <w:rPr>
          <w:rFonts w:cstheme="minorHAnsi"/>
        </w:rPr>
      </w:pPr>
      <w:r w:rsidRPr="008D7531">
        <w:rPr>
          <w:rFonts w:cstheme="minorHAnsi"/>
        </w:rPr>
        <w:t xml:space="preserve">Because the focus of </w:t>
      </w:r>
      <w:r w:rsidR="0001243C">
        <w:rPr>
          <w:rFonts w:cstheme="minorHAnsi"/>
        </w:rPr>
        <w:t xml:space="preserve">UK </w:t>
      </w:r>
      <w:r w:rsidRPr="008D7531">
        <w:rPr>
          <w:rFonts w:cstheme="minorHAnsi"/>
        </w:rPr>
        <w:t>public health programmes on growth is on body mass index</w:t>
      </w:r>
      <w:r w:rsidR="0097136F" w:rsidRPr="0097136F">
        <w:rPr>
          <w:rFonts w:cstheme="minorHAnsi"/>
        </w:rPr>
        <w:t xml:space="preserve"> </w:t>
      </w:r>
      <w:r w:rsidR="0097136F" w:rsidRPr="008D7531">
        <w:rPr>
          <w:rFonts w:cstheme="minorHAnsi"/>
        </w:rPr>
        <w:t>there are no recent data describing the prevalence of</w:t>
      </w:r>
      <w:r w:rsidR="0097136F">
        <w:rPr>
          <w:rFonts w:cstheme="minorHAnsi"/>
        </w:rPr>
        <w:t xml:space="preserve"> </w:t>
      </w:r>
      <w:r w:rsidR="0097136F" w:rsidRPr="008D7531">
        <w:rPr>
          <w:rFonts w:cstheme="minorHAnsi"/>
        </w:rPr>
        <w:t>child s</w:t>
      </w:r>
      <w:r w:rsidR="00E0308C">
        <w:rPr>
          <w:rFonts w:cstheme="minorHAnsi"/>
        </w:rPr>
        <w:t>hort stature</w:t>
      </w:r>
      <w:r w:rsidR="0097136F" w:rsidRPr="008D7531">
        <w:rPr>
          <w:rFonts w:cstheme="minorHAnsi"/>
        </w:rPr>
        <w:t>.</w:t>
      </w:r>
      <w:r w:rsidR="0001243C">
        <w:rPr>
          <w:rFonts w:cstheme="minorHAnsi"/>
        </w:rPr>
        <w:t xml:space="preserve"> </w:t>
      </w:r>
      <w:r w:rsidRPr="008D7531">
        <w:rPr>
          <w:rFonts w:cstheme="minorHAnsi"/>
        </w:rPr>
        <w:t>Surveys in</w:t>
      </w:r>
      <w:r w:rsidR="0097136F">
        <w:rPr>
          <w:rFonts w:cstheme="minorHAnsi"/>
        </w:rPr>
        <w:t xml:space="preserve"> </w:t>
      </w:r>
      <w:r w:rsidRPr="008D7531">
        <w:rPr>
          <w:rFonts w:cstheme="minorHAnsi"/>
        </w:rPr>
        <w:t>2011 and 2017, and a roundtable discussion in 2014 conducted by The Patients Association,</w:t>
      </w:r>
      <w:r w:rsidR="0097136F">
        <w:rPr>
          <w:rFonts w:cstheme="minorHAnsi"/>
        </w:rPr>
        <w:t xml:space="preserve"> </w:t>
      </w:r>
      <w:r w:rsidRPr="008D7531">
        <w:rPr>
          <w:rFonts w:cstheme="minorHAnsi"/>
        </w:rPr>
        <w:t>highlighted anecdotal evidence of an increasing burden of child undernutrition and identified this as</w:t>
      </w:r>
      <w:r w:rsidR="0097136F">
        <w:rPr>
          <w:rFonts w:cstheme="minorHAnsi"/>
        </w:rPr>
        <w:t xml:space="preserve"> </w:t>
      </w:r>
      <w:r w:rsidRPr="008D7531">
        <w:rPr>
          <w:rFonts w:cstheme="minorHAnsi"/>
        </w:rPr>
        <w:t>a public health priority</w:t>
      </w:r>
      <w:r w:rsidR="0078649C">
        <w:rPr>
          <w:rFonts w:cstheme="minorHAnsi"/>
        </w:rPr>
        <w:t xml:space="preserve"> </w:t>
      </w:r>
      <w:r w:rsidR="003B51F3">
        <w:rPr>
          <w:rFonts w:cstheme="minorHAnsi"/>
        </w:rPr>
        <w:fldChar w:fldCharType="begin"/>
      </w:r>
      <w:r w:rsidR="000900CA">
        <w:rPr>
          <w:rFonts w:cstheme="minorHAnsi"/>
        </w:rPr>
        <w:instrText xml:space="preserve"> ADDIN EN.CITE &lt;EndNote&gt;&lt;Cite&gt;&lt;Author&gt;Patients Association&lt;/Author&gt;&lt;Year&gt;2014&lt;/Year&gt;&lt;RecNum&gt;4&lt;/RecNum&gt;&lt;DisplayText&gt;[3, 4]&lt;/DisplayText&gt;&lt;record&gt;&lt;rec-number&gt;4&lt;/rec-number&gt;&lt;foreign-keys&gt;&lt;key app="EN" db-id="rzsrwz2pt2tfzged2xlvt2eh9adpzpfrt29r" timestamp="1611760542"&gt;4&lt;/key&gt;&lt;/foreign-keys&gt;&lt;ref-type name="Report"&gt;27&lt;/ref-type&gt;&lt;contributors&gt;&lt;authors&gt;&lt;author&gt;Patients Association, &lt;/author&gt;&lt;/authors&gt;&lt;/contributors&gt;&lt;titles&gt;&lt;title&gt;Child Malnutrition Report&lt;/title&gt;&lt;/titles&gt;&lt;dates&gt;&lt;year&gt;2014&lt;/year&gt;&lt;/dates&gt;&lt;urls&gt;&lt;related-urls&gt;&lt;url&gt;https://www.patients-association.org.uk/reports/&lt;/url&gt;&lt;/related-urls&gt;&lt;/urls&gt;&lt;/record&gt;&lt;/Cite&gt;&lt;Cite&gt;&lt;Author&gt;Patients Association&lt;/Author&gt;&lt;Year&gt;2017&lt;/Year&gt;&lt;RecNum&gt;28&lt;/RecNum&gt;&lt;record&gt;&lt;rec-number&gt;28&lt;/rec-number&gt;&lt;foreign-keys&gt;&lt;key app="EN" db-id="rzsrwz2pt2tfzged2xlvt2eh9adpzpfrt29r" timestamp="1611940171"&gt;28&lt;/key&gt;&lt;/foreign-keys&gt;&lt;ref-type name="Report"&gt;27&lt;/ref-type&gt;&lt;contributors&gt;&lt;authors&gt;&lt;author&gt;Patients Association, &lt;/author&gt;&lt;/authors&gt;&lt;/contributors&gt;&lt;titles&gt;&lt;title&gt;Child Undernutrition Project Report: A report about the current undernourishment of children in England&lt;/title&gt;&lt;/titles&gt;&lt;dates&gt;&lt;year&gt;2017&lt;/year&gt;&lt;/dates&gt;&lt;pub-location&gt;London&lt;/pub-location&gt;&lt;urls&gt;&lt;/urls&gt;&lt;/record&gt;&lt;/Cite&gt;&lt;/EndNote&gt;</w:instrText>
      </w:r>
      <w:r w:rsidR="003B51F3">
        <w:rPr>
          <w:rFonts w:cstheme="minorHAnsi"/>
        </w:rPr>
        <w:fldChar w:fldCharType="separate"/>
      </w:r>
      <w:r w:rsidR="000900CA">
        <w:rPr>
          <w:rFonts w:cstheme="minorHAnsi"/>
          <w:noProof/>
        </w:rPr>
        <w:t>[3, 4]</w:t>
      </w:r>
      <w:r w:rsidR="003B51F3">
        <w:rPr>
          <w:rFonts w:cstheme="minorHAnsi"/>
        </w:rPr>
        <w:fldChar w:fldCharType="end"/>
      </w:r>
      <w:r w:rsidR="0078649C">
        <w:rPr>
          <w:rFonts w:cstheme="minorHAnsi"/>
        </w:rPr>
        <w:t>.</w:t>
      </w:r>
      <w:r w:rsidRPr="008D7531">
        <w:rPr>
          <w:rFonts w:cstheme="minorHAnsi"/>
        </w:rPr>
        <w:t xml:space="preserve"> Moreover, the ‘dual burden’ of stunting and overweight is increasingly</w:t>
      </w:r>
      <w:r w:rsidR="0001243C">
        <w:rPr>
          <w:rFonts w:cstheme="minorHAnsi"/>
        </w:rPr>
        <w:t xml:space="preserve"> </w:t>
      </w:r>
      <w:r w:rsidRPr="008D7531">
        <w:rPr>
          <w:rFonts w:cstheme="minorHAnsi"/>
        </w:rPr>
        <w:t>being recognised globally</w:t>
      </w:r>
      <w:r w:rsidR="0031634B">
        <w:rPr>
          <w:rFonts w:cstheme="minorHAnsi"/>
        </w:rPr>
        <w:t xml:space="preserve"> </w:t>
      </w:r>
      <w:r w:rsidR="003B51F3">
        <w:rPr>
          <w:rFonts w:cstheme="minorHAnsi"/>
        </w:rPr>
        <w:fldChar w:fldCharType="begin"/>
      </w:r>
      <w:r w:rsidR="000900CA">
        <w:rPr>
          <w:rFonts w:cstheme="minorHAnsi"/>
        </w:rPr>
        <w:instrText xml:space="preserve"> ADDIN EN.CITE &lt;EndNote&gt;&lt;Cite&gt;&lt;Author&gt;Popkin&lt;/Author&gt;&lt;Year&gt;2020&lt;/Year&gt;&lt;RecNum&gt;29&lt;/RecNum&gt;&lt;DisplayText&gt;[5]&lt;/DisplayText&gt;&lt;record&gt;&lt;rec-number&gt;29&lt;/rec-number&gt;&lt;foreign-keys&gt;&lt;key app="EN" db-id="rzsrwz2pt2tfzged2xlvt2eh9adpzpfrt29r" timestamp="1611940648"&gt;29&lt;/key&gt;&lt;/foreign-keys&gt;&lt;ref-type name="Journal Article"&gt;17&lt;/ref-type&gt;&lt;contributors&gt;&lt;authors&gt;&lt;author&gt;Popkin, Barry M.&lt;/author&gt;&lt;author&gt;Corvalan, Camila&lt;/author&gt;&lt;author&gt;Grummer-Strawn, Laurence M.&lt;/author&gt;&lt;/authors&gt;&lt;/contributors&gt;&lt;titles&gt;&lt;title&gt;Dynamics of the double burden of malnutrition and the changing nutrition reality&lt;/title&gt;&lt;secondary-title&gt;The Lancet&lt;/secondary-title&gt;&lt;/titles&gt;&lt;periodical&gt;&lt;full-title&gt;The Lancet&lt;/full-title&gt;&lt;/periodical&gt;&lt;pages&gt;65-74&lt;/pages&gt;&lt;volume&gt;395&lt;/volume&gt;&lt;number&gt;10217&lt;/number&gt;&lt;dates&gt;&lt;year&gt;2020&lt;/year&gt;&lt;/dates&gt;&lt;publisher&gt;Elsevier&lt;/publisher&gt;&lt;isbn&gt;0140-6736&lt;/isbn&gt;&lt;urls&gt;&lt;related-urls&gt;&lt;url&gt;https://doi.org/10.1016/S0140-6736(19)32497-3&lt;/url&gt;&lt;/related-urls&gt;&lt;/urls&gt;&lt;electronic-resource-num&gt;10.1016/S0140-6736(19)32497-3&lt;/electronic-resource-num&gt;&lt;access-date&gt;2021/01/29&lt;/access-date&gt;&lt;/record&gt;&lt;/Cite&gt;&lt;/EndNote&gt;</w:instrText>
      </w:r>
      <w:r w:rsidR="003B51F3">
        <w:rPr>
          <w:rFonts w:cstheme="minorHAnsi"/>
        </w:rPr>
        <w:fldChar w:fldCharType="separate"/>
      </w:r>
      <w:r w:rsidR="000900CA">
        <w:rPr>
          <w:rFonts w:cstheme="minorHAnsi"/>
          <w:noProof/>
        </w:rPr>
        <w:t>[5]</w:t>
      </w:r>
      <w:r w:rsidR="003B51F3">
        <w:rPr>
          <w:rFonts w:cstheme="minorHAnsi"/>
        </w:rPr>
        <w:fldChar w:fldCharType="end"/>
      </w:r>
      <w:r w:rsidR="0031634B">
        <w:rPr>
          <w:rFonts w:cstheme="minorHAnsi"/>
        </w:rPr>
        <w:t>.</w:t>
      </w:r>
    </w:p>
    <w:p w14:paraId="53D7EBB9" w14:textId="77777777" w:rsidR="00D91C79" w:rsidRPr="001E7454" w:rsidRDefault="00D91C79" w:rsidP="001E7454">
      <w:pPr>
        <w:spacing w:after="0" w:line="360" w:lineRule="auto"/>
        <w:rPr>
          <w:rFonts w:eastAsia="Times New Roman" w:cstheme="minorHAnsi"/>
        </w:rPr>
      </w:pPr>
    </w:p>
    <w:p w14:paraId="1D7AFB0A" w14:textId="77A71286" w:rsidR="00D91C79" w:rsidRDefault="00D91C79" w:rsidP="001E7454">
      <w:pPr>
        <w:spacing w:after="0" w:line="360" w:lineRule="auto"/>
        <w:rPr>
          <w:rFonts w:cstheme="minorHAnsi"/>
        </w:rPr>
      </w:pPr>
      <w:r w:rsidRPr="001E7454">
        <w:rPr>
          <w:rFonts w:eastAsia="Times New Roman" w:cstheme="minorHAnsi"/>
        </w:rPr>
        <w:t>In England</w:t>
      </w:r>
      <w:r w:rsidR="006074CB" w:rsidRPr="001E7454">
        <w:rPr>
          <w:rFonts w:eastAsia="Times New Roman" w:cstheme="minorHAnsi"/>
        </w:rPr>
        <w:t xml:space="preserve"> </w:t>
      </w:r>
      <w:r w:rsidRPr="001E7454">
        <w:rPr>
          <w:rFonts w:eastAsia="Times New Roman" w:cstheme="minorHAnsi"/>
        </w:rPr>
        <w:t>children are measured at ages 4</w:t>
      </w:r>
      <w:r w:rsidR="005C2971">
        <w:rPr>
          <w:rFonts w:eastAsia="Times New Roman" w:cstheme="minorHAnsi"/>
        </w:rPr>
        <w:t>-5</w:t>
      </w:r>
      <w:r w:rsidRPr="001E7454">
        <w:rPr>
          <w:rFonts w:eastAsia="Times New Roman" w:cstheme="minorHAnsi"/>
        </w:rPr>
        <w:t xml:space="preserve"> and 10</w:t>
      </w:r>
      <w:r w:rsidR="005C2971">
        <w:rPr>
          <w:rFonts w:eastAsia="Times New Roman" w:cstheme="minorHAnsi"/>
        </w:rPr>
        <w:t>-11</w:t>
      </w:r>
      <w:r w:rsidRPr="001E7454">
        <w:rPr>
          <w:rFonts w:eastAsia="Times New Roman" w:cstheme="minorHAnsi"/>
        </w:rPr>
        <w:t xml:space="preserve"> years through the National Child Measurement Programme (NCMP), </w:t>
      </w:r>
      <w:r w:rsidR="00431393">
        <w:rPr>
          <w:rFonts w:eastAsia="Times New Roman" w:cstheme="minorHAnsi"/>
        </w:rPr>
        <w:t>which was</w:t>
      </w:r>
      <w:r w:rsidRPr="001E7454">
        <w:rPr>
          <w:rFonts w:eastAsia="Times New Roman" w:cstheme="minorHAnsi"/>
        </w:rPr>
        <w:t xml:space="preserve"> </w:t>
      </w:r>
      <w:r w:rsidR="001E7454">
        <w:rPr>
          <w:rFonts w:eastAsia="Times New Roman" w:cstheme="minorHAnsi"/>
        </w:rPr>
        <w:t>introduced</w:t>
      </w:r>
      <w:r w:rsidRPr="001E7454">
        <w:rPr>
          <w:rFonts w:eastAsia="Times New Roman" w:cstheme="minorHAnsi"/>
        </w:rPr>
        <w:t xml:space="preserve"> in 2006</w:t>
      </w:r>
      <w:r w:rsidR="00994D82">
        <w:rPr>
          <w:rFonts w:eastAsia="Times New Roman" w:cstheme="minorHAnsi"/>
        </w:rPr>
        <w:t xml:space="preserve"> to assess overweight and obesity in primary school children</w:t>
      </w:r>
      <w:r w:rsidR="001471B3">
        <w:rPr>
          <w:rFonts w:eastAsia="Times New Roman" w:cstheme="minorHAnsi"/>
        </w:rPr>
        <w:t xml:space="preserve"> </w:t>
      </w:r>
      <w:r w:rsidR="00A31AA8">
        <w:rPr>
          <w:rFonts w:eastAsia="Times New Roman" w:cstheme="minorHAnsi"/>
        </w:rPr>
        <w:fldChar w:fldCharType="begin"/>
      </w:r>
      <w:r w:rsidR="000900CA">
        <w:rPr>
          <w:rFonts w:eastAsia="Times New Roman" w:cstheme="minorHAnsi"/>
        </w:rPr>
        <w:instrText xml:space="preserve"> ADDIN EN.CITE &lt;EndNote&gt;&lt;Cite&gt;&lt;Author&gt;NHS Digital&lt;/Author&gt;&lt;RecNum&gt;5&lt;/RecNum&gt;&lt;DisplayText&gt;[6]&lt;/DisplayText&gt;&lt;record&gt;&lt;rec-number&gt;5&lt;/rec-number&gt;&lt;foreign-keys&gt;&lt;key app="EN" db-id="rzsrwz2pt2tfzged2xlvt2eh9adpzpfrt29r" timestamp="1611767482"&gt;5&lt;/key&gt;&lt;/foreign-keys&gt;&lt;ref-type name="Web Page"&gt;12&lt;/ref-type&gt;&lt;contributors&gt;&lt;authors&gt;&lt;author&gt;NHS Digital,&lt;/author&gt;&lt;/authors&gt;&lt;/contributors&gt;&lt;titles&gt;&lt;title&gt;National Child Measurement Programme (NCMP)&lt;/title&gt;&lt;/titles&gt;&lt;volume&gt;2021&lt;/volume&gt;&lt;number&gt;27th January&lt;/number&gt;&lt;dates&gt;&lt;/dates&gt;&lt;publisher&gt;NHS Digital&lt;/publisher&gt;&lt;urls&gt;&lt;related-urls&gt;&lt;url&gt;https://digital.nhs.uk/services/national-child-measurement-programme/&lt;/url&gt;&lt;/related-urls&gt;&lt;/urls&gt;&lt;/record&gt;&lt;/Cite&gt;&lt;/EndNote&gt;</w:instrText>
      </w:r>
      <w:r w:rsidR="00A31AA8">
        <w:rPr>
          <w:rFonts w:eastAsia="Times New Roman" w:cstheme="minorHAnsi"/>
        </w:rPr>
        <w:fldChar w:fldCharType="separate"/>
      </w:r>
      <w:r w:rsidR="000900CA">
        <w:rPr>
          <w:rFonts w:eastAsia="Times New Roman" w:cstheme="minorHAnsi"/>
          <w:noProof/>
        </w:rPr>
        <w:t>[6]</w:t>
      </w:r>
      <w:r w:rsidR="00A31AA8">
        <w:rPr>
          <w:rFonts w:eastAsia="Times New Roman" w:cstheme="minorHAnsi"/>
        </w:rPr>
        <w:fldChar w:fldCharType="end"/>
      </w:r>
      <w:r w:rsidR="001471B3">
        <w:rPr>
          <w:rFonts w:eastAsia="Times New Roman" w:cstheme="minorHAnsi"/>
        </w:rPr>
        <w:t>.</w:t>
      </w:r>
      <w:r w:rsidRPr="001E7454">
        <w:rPr>
          <w:rFonts w:eastAsia="Times New Roman" w:cstheme="minorHAnsi"/>
        </w:rPr>
        <w:t xml:space="preserve"> </w:t>
      </w:r>
      <w:r w:rsidR="00431393">
        <w:rPr>
          <w:rFonts w:cstheme="minorHAnsi"/>
        </w:rPr>
        <w:t>D</w:t>
      </w:r>
      <w:r w:rsidRPr="001E7454">
        <w:rPr>
          <w:rFonts w:cstheme="minorHAnsi"/>
        </w:rPr>
        <w:t>ata on obesity prevalence and trends are presented in user-friendly dashboards, which include aggregated data by region, ethnicity and index of inequality</w:t>
      </w:r>
      <w:r w:rsidR="00C5481B">
        <w:rPr>
          <w:rFonts w:cstheme="minorHAnsi"/>
        </w:rPr>
        <w:t xml:space="preserve"> </w:t>
      </w:r>
      <w:r w:rsidR="00A31AA8">
        <w:rPr>
          <w:rFonts w:cstheme="minorHAnsi"/>
        </w:rPr>
        <w:fldChar w:fldCharType="begin"/>
      </w:r>
      <w:r w:rsidR="000900CA">
        <w:rPr>
          <w:rFonts w:cstheme="minorHAnsi"/>
        </w:rPr>
        <w:instrText xml:space="preserve"> ADDIN EN.CITE &lt;EndNote&gt;&lt;Cite&gt;&lt;Author&gt;Public Health England&lt;/Author&gt;&lt;RecNum&gt;6&lt;/RecNum&gt;&lt;DisplayText&gt;[7]&lt;/DisplayText&gt;&lt;record&gt;&lt;rec-number&gt;6&lt;/rec-number&gt;&lt;foreign-keys&gt;&lt;key app="EN" db-id="rzsrwz2pt2tfzged2xlvt2eh9adpzpfrt29r" timestamp="1611767888"&gt;6&lt;/key&gt;&lt;/foreign-keys&gt;&lt;ref-type name="Web Page"&gt;12&lt;/ref-type&gt;&lt;contributors&gt;&lt;authors&gt;&lt;author&gt;Public Health England, &lt;/author&gt;&lt;/authors&gt;&lt;/contributors&gt;&lt;titles&gt;&lt;title&gt;NCMP - Obesity Profile&lt;/title&gt;&lt;/titles&gt;&lt;volume&gt;2021&lt;/volume&gt;&lt;number&gt;27th January&lt;/number&gt;&lt;dates&gt;&lt;/dates&gt;&lt;urls&gt;&lt;related-urls&gt;&lt;url&gt;https://fingertips.phe.org.uk/profile/national-child-measurement-programme&lt;/url&gt;&lt;/related-urls&gt;&lt;/urls&gt;&lt;/record&gt;&lt;/Cite&gt;&lt;/EndNote&gt;</w:instrText>
      </w:r>
      <w:r w:rsidR="00A31AA8">
        <w:rPr>
          <w:rFonts w:cstheme="minorHAnsi"/>
        </w:rPr>
        <w:fldChar w:fldCharType="separate"/>
      </w:r>
      <w:r w:rsidR="000900CA">
        <w:rPr>
          <w:rFonts w:cstheme="minorHAnsi"/>
          <w:noProof/>
        </w:rPr>
        <w:t>[7]</w:t>
      </w:r>
      <w:r w:rsidR="00A31AA8">
        <w:rPr>
          <w:rFonts w:cstheme="minorHAnsi"/>
        </w:rPr>
        <w:fldChar w:fldCharType="end"/>
      </w:r>
      <w:r w:rsidR="00C5481B">
        <w:rPr>
          <w:rFonts w:cstheme="minorHAnsi"/>
        </w:rPr>
        <w:t>.</w:t>
      </w:r>
      <w:r w:rsidRPr="001E7454">
        <w:rPr>
          <w:rFonts w:cstheme="minorHAnsi"/>
        </w:rPr>
        <w:t xml:space="preserve"> Although</w:t>
      </w:r>
      <w:r w:rsidR="00B20819" w:rsidRPr="001E7454">
        <w:rPr>
          <w:rFonts w:cstheme="minorHAnsi"/>
        </w:rPr>
        <w:t xml:space="preserve"> the</w:t>
      </w:r>
      <w:r w:rsidRPr="001E7454">
        <w:rPr>
          <w:rFonts w:cstheme="minorHAnsi"/>
        </w:rPr>
        <w:t xml:space="preserve"> height</w:t>
      </w:r>
      <w:r w:rsidR="00B20819" w:rsidRPr="001E7454">
        <w:rPr>
          <w:rFonts w:cstheme="minorHAnsi"/>
        </w:rPr>
        <w:t xml:space="preserve">s of all </w:t>
      </w:r>
      <w:r w:rsidR="0073560B">
        <w:rPr>
          <w:rFonts w:cstheme="minorHAnsi"/>
        </w:rPr>
        <w:t xml:space="preserve">participating </w:t>
      </w:r>
      <w:r w:rsidR="00B20819" w:rsidRPr="001E7454">
        <w:rPr>
          <w:rFonts w:cstheme="minorHAnsi"/>
        </w:rPr>
        <w:t>children</w:t>
      </w:r>
      <w:r w:rsidRPr="001E7454">
        <w:rPr>
          <w:rFonts w:cstheme="minorHAnsi"/>
        </w:rPr>
        <w:t xml:space="preserve"> are </w:t>
      </w:r>
      <w:r w:rsidR="00B20819" w:rsidRPr="001E7454">
        <w:rPr>
          <w:rFonts w:cstheme="minorHAnsi"/>
        </w:rPr>
        <w:t>collected</w:t>
      </w:r>
      <w:r w:rsidRPr="001E7454">
        <w:rPr>
          <w:rFonts w:cstheme="minorHAnsi"/>
        </w:rPr>
        <w:t xml:space="preserve">, there are no equivalent dashboards for prevalence or trends </w:t>
      </w:r>
      <w:r w:rsidR="00431393">
        <w:rPr>
          <w:rFonts w:cstheme="minorHAnsi"/>
        </w:rPr>
        <w:t>in</w:t>
      </w:r>
      <w:r w:rsidRPr="001E7454">
        <w:rPr>
          <w:rFonts w:cstheme="minorHAnsi"/>
        </w:rPr>
        <w:t xml:space="preserve"> </w:t>
      </w:r>
      <w:r w:rsidR="00B20819" w:rsidRPr="001E7454">
        <w:rPr>
          <w:rFonts w:cstheme="minorHAnsi"/>
        </w:rPr>
        <w:t>s</w:t>
      </w:r>
      <w:r w:rsidR="00E0308C">
        <w:rPr>
          <w:rFonts w:cstheme="minorHAnsi"/>
        </w:rPr>
        <w:t>hort stature</w:t>
      </w:r>
      <w:r w:rsidRPr="001E7454">
        <w:rPr>
          <w:rFonts w:cstheme="minorHAnsi"/>
        </w:rPr>
        <w:t>, and children with linear growth</w:t>
      </w:r>
      <w:r w:rsidR="00D86652">
        <w:rPr>
          <w:rFonts w:cstheme="minorHAnsi"/>
        </w:rPr>
        <w:t xml:space="preserve"> </w:t>
      </w:r>
      <w:r w:rsidR="00D86652" w:rsidRPr="001E7454">
        <w:rPr>
          <w:rFonts w:cstheme="minorHAnsi"/>
        </w:rPr>
        <w:t>faltering</w:t>
      </w:r>
      <w:r w:rsidR="00431393">
        <w:rPr>
          <w:rFonts w:cstheme="minorHAnsi"/>
        </w:rPr>
        <w:t xml:space="preserve"> </w:t>
      </w:r>
      <w:r w:rsidRPr="001E7454">
        <w:rPr>
          <w:rFonts w:cstheme="minorHAnsi"/>
        </w:rPr>
        <w:t>are n</w:t>
      </w:r>
      <w:r w:rsidR="00A508AD">
        <w:rPr>
          <w:rFonts w:cstheme="minorHAnsi"/>
        </w:rPr>
        <w:t xml:space="preserve">ot routinely </w:t>
      </w:r>
      <w:r w:rsidRPr="001E7454">
        <w:rPr>
          <w:rFonts w:cstheme="minorHAnsi"/>
        </w:rPr>
        <w:t>identified or directed to health services</w:t>
      </w:r>
      <w:r w:rsidR="00431393">
        <w:rPr>
          <w:rFonts w:cstheme="minorHAnsi"/>
        </w:rPr>
        <w:t xml:space="preserve"> through the NCMP</w:t>
      </w:r>
      <w:r w:rsidRPr="001E7454">
        <w:rPr>
          <w:rFonts w:cstheme="minorHAnsi"/>
        </w:rPr>
        <w:t xml:space="preserve">.  </w:t>
      </w:r>
    </w:p>
    <w:p w14:paraId="5C910188" w14:textId="41F4A7FB" w:rsidR="00A963DA" w:rsidRDefault="00A963DA" w:rsidP="001E7454">
      <w:pPr>
        <w:spacing w:after="0" w:line="360" w:lineRule="auto"/>
        <w:rPr>
          <w:rFonts w:cstheme="minorHAnsi"/>
        </w:rPr>
      </w:pPr>
    </w:p>
    <w:p w14:paraId="61DD1F66" w14:textId="1529B24E" w:rsidR="00A963DA" w:rsidRPr="001E7454" w:rsidRDefault="00A963DA" w:rsidP="001E7454">
      <w:pPr>
        <w:spacing w:after="0" w:line="360" w:lineRule="auto"/>
        <w:rPr>
          <w:rFonts w:cstheme="minorHAnsi"/>
          <w:u w:val="single"/>
        </w:rPr>
      </w:pPr>
      <w:r>
        <w:rPr>
          <w:rFonts w:cstheme="minorHAnsi"/>
        </w:rPr>
        <w:t>We set out to leverage these national data on h</w:t>
      </w:r>
      <w:r w:rsidR="000F596A">
        <w:rPr>
          <w:rFonts w:cstheme="minorHAnsi"/>
        </w:rPr>
        <w:t>e</w:t>
      </w:r>
      <w:r>
        <w:rPr>
          <w:rFonts w:cstheme="minorHAnsi"/>
        </w:rPr>
        <w:t>ight in early childhood using the 13 years of available data to map s</w:t>
      </w:r>
      <w:r w:rsidR="00E0308C">
        <w:rPr>
          <w:rFonts w:cstheme="minorHAnsi"/>
        </w:rPr>
        <w:t>hort stature</w:t>
      </w:r>
      <w:r>
        <w:rPr>
          <w:rFonts w:cstheme="minorHAnsi"/>
        </w:rPr>
        <w:t xml:space="preserve"> prevalence across England. Our hypothesis was that there are geographical hotspots of s</w:t>
      </w:r>
      <w:r w:rsidR="00E0308C">
        <w:rPr>
          <w:rFonts w:cstheme="minorHAnsi"/>
        </w:rPr>
        <w:t>hort stature</w:t>
      </w:r>
      <w:r>
        <w:rPr>
          <w:rFonts w:cstheme="minorHAnsi"/>
        </w:rPr>
        <w:t xml:space="preserve"> in England, which are concentrated in socioeconomically deprived areas. </w:t>
      </w:r>
    </w:p>
    <w:p w14:paraId="40001E94" w14:textId="77777777" w:rsidR="00D91C79" w:rsidRPr="001E7454" w:rsidRDefault="00D91C79" w:rsidP="001E7454">
      <w:pPr>
        <w:spacing w:after="0" w:line="360" w:lineRule="auto"/>
        <w:rPr>
          <w:rFonts w:cstheme="minorHAnsi"/>
          <w:b/>
          <w:bCs/>
        </w:rPr>
      </w:pPr>
    </w:p>
    <w:p w14:paraId="4CC9EF04" w14:textId="77777777" w:rsidR="00E33401" w:rsidRDefault="00E33401">
      <w:pPr>
        <w:rPr>
          <w:rFonts w:cstheme="minorHAnsi"/>
          <w:b/>
          <w:bCs/>
        </w:rPr>
      </w:pPr>
      <w:r>
        <w:rPr>
          <w:rFonts w:cstheme="minorHAnsi"/>
          <w:b/>
          <w:bCs/>
        </w:rPr>
        <w:br w:type="page"/>
      </w:r>
    </w:p>
    <w:p w14:paraId="148CEB19" w14:textId="0C4D3E15" w:rsidR="00DE3A57" w:rsidRDefault="00E33401" w:rsidP="001E7454">
      <w:pPr>
        <w:spacing w:after="0" w:line="360" w:lineRule="auto"/>
        <w:rPr>
          <w:rFonts w:cstheme="minorHAnsi"/>
          <w:b/>
          <w:bCs/>
        </w:rPr>
      </w:pPr>
      <w:r>
        <w:rPr>
          <w:rFonts w:cstheme="minorHAnsi"/>
          <w:b/>
          <w:bCs/>
        </w:rPr>
        <w:t>METHODS</w:t>
      </w:r>
    </w:p>
    <w:p w14:paraId="0A53579E" w14:textId="2CED8144" w:rsidR="001243A0" w:rsidRDefault="001243A0" w:rsidP="001E7454">
      <w:pPr>
        <w:spacing w:after="0" w:line="360" w:lineRule="auto"/>
        <w:rPr>
          <w:rFonts w:cstheme="minorHAnsi"/>
        </w:rPr>
      </w:pPr>
      <w:r w:rsidRPr="000C65B2">
        <w:rPr>
          <w:rFonts w:cstheme="minorHAnsi"/>
        </w:rPr>
        <w:t>This study is reported as per Strengthening the Reporting of Observational Studies in Epidemiology (STROBE) guidelines (Su</w:t>
      </w:r>
      <w:r>
        <w:rPr>
          <w:rFonts w:cstheme="minorHAnsi"/>
        </w:rPr>
        <w:t>pplemen</w:t>
      </w:r>
      <w:r w:rsidR="006C2DBE">
        <w:rPr>
          <w:rFonts w:cstheme="minorHAnsi"/>
        </w:rPr>
        <w:t xml:space="preserve">t A). </w:t>
      </w:r>
      <w:r w:rsidR="009055C3">
        <w:rPr>
          <w:rFonts w:cstheme="minorHAnsi"/>
        </w:rPr>
        <w:t xml:space="preserve">The study </w:t>
      </w:r>
      <w:r w:rsidR="00F21FE5">
        <w:rPr>
          <w:rFonts w:cstheme="minorHAnsi"/>
        </w:rPr>
        <w:t>forms</w:t>
      </w:r>
      <w:r w:rsidR="009055C3">
        <w:rPr>
          <w:rFonts w:cstheme="minorHAnsi"/>
        </w:rPr>
        <w:t xml:space="preserve"> part of a wider project on child growth </w:t>
      </w:r>
      <w:r w:rsidR="00F21FE5">
        <w:rPr>
          <w:rFonts w:cstheme="minorHAnsi"/>
        </w:rPr>
        <w:t>and</w:t>
      </w:r>
      <w:r w:rsidR="009055C3">
        <w:rPr>
          <w:rFonts w:cstheme="minorHAnsi"/>
        </w:rPr>
        <w:t xml:space="preserve"> development. The original analysis plan, first presented as part of the </w:t>
      </w:r>
      <w:r w:rsidR="00A15CA8">
        <w:rPr>
          <w:rFonts w:cstheme="minorHAnsi"/>
        </w:rPr>
        <w:t>funding application for this project</w:t>
      </w:r>
      <w:r w:rsidR="009055C3">
        <w:rPr>
          <w:rFonts w:cstheme="minorHAnsi"/>
        </w:rPr>
        <w:t xml:space="preserve">, is presented in Supplement </w:t>
      </w:r>
      <w:r w:rsidR="00A15CA8">
        <w:rPr>
          <w:rFonts w:cstheme="minorHAnsi"/>
        </w:rPr>
        <w:t>B</w:t>
      </w:r>
      <w:r w:rsidR="009055C3">
        <w:rPr>
          <w:rFonts w:cstheme="minorHAnsi"/>
        </w:rPr>
        <w:t>.</w:t>
      </w:r>
    </w:p>
    <w:p w14:paraId="1E856E42" w14:textId="77777777" w:rsidR="00FD55AA" w:rsidRPr="000C65B2" w:rsidRDefault="00FD55AA" w:rsidP="001E7454">
      <w:pPr>
        <w:spacing w:after="0" w:line="360" w:lineRule="auto"/>
        <w:rPr>
          <w:rFonts w:cstheme="minorHAnsi"/>
        </w:rPr>
      </w:pPr>
    </w:p>
    <w:p w14:paraId="7D23DF7E" w14:textId="77777777" w:rsidR="00DE3A57" w:rsidRPr="001E7454" w:rsidRDefault="00DE3A57" w:rsidP="001E7454">
      <w:pPr>
        <w:spacing w:after="0" w:line="360" w:lineRule="auto"/>
        <w:rPr>
          <w:rFonts w:cstheme="minorHAnsi"/>
          <w:b/>
          <w:bCs/>
        </w:rPr>
      </w:pPr>
      <w:r w:rsidRPr="001E7454">
        <w:rPr>
          <w:rFonts w:cstheme="minorHAnsi"/>
          <w:b/>
          <w:bCs/>
        </w:rPr>
        <w:t>Study sample</w:t>
      </w:r>
    </w:p>
    <w:p w14:paraId="68FB21DE" w14:textId="70A13C0D" w:rsidR="00A8146C" w:rsidRPr="00A8146C" w:rsidRDefault="00DE3A57" w:rsidP="001E7454">
      <w:pPr>
        <w:spacing w:after="0" w:line="360" w:lineRule="auto"/>
        <w:rPr>
          <w:rFonts w:cstheme="minorHAnsi"/>
        </w:rPr>
      </w:pPr>
      <w:r w:rsidRPr="001E7454">
        <w:rPr>
          <w:rFonts w:cstheme="minorHAnsi"/>
        </w:rPr>
        <w:t xml:space="preserve">We used </w:t>
      </w:r>
      <w:r w:rsidR="001E6D90">
        <w:rPr>
          <w:rFonts w:cstheme="minorHAnsi"/>
        </w:rPr>
        <w:t xml:space="preserve">available </w:t>
      </w:r>
      <w:r w:rsidRPr="001E7454">
        <w:rPr>
          <w:rFonts w:cstheme="minorHAnsi"/>
        </w:rPr>
        <w:t>data</w:t>
      </w:r>
      <w:r w:rsidR="00E510BC">
        <w:rPr>
          <w:rFonts w:cstheme="minorHAnsi"/>
        </w:rPr>
        <w:t xml:space="preserve"> from </w:t>
      </w:r>
      <w:r w:rsidR="00331BAC">
        <w:rPr>
          <w:rFonts w:cstheme="minorHAnsi"/>
        </w:rPr>
        <w:t xml:space="preserve">children aged 4-5 years in </w:t>
      </w:r>
      <w:r w:rsidR="00E510BC">
        <w:rPr>
          <w:rFonts w:cstheme="minorHAnsi"/>
        </w:rPr>
        <w:t>the NCMP</w:t>
      </w:r>
      <w:r w:rsidRPr="001E7454">
        <w:rPr>
          <w:rFonts w:cstheme="minorHAnsi"/>
        </w:rPr>
        <w:t xml:space="preserve"> f</w:t>
      </w:r>
      <w:r w:rsidR="008303F9">
        <w:rPr>
          <w:rFonts w:cstheme="minorHAnsi"/>
        </w:rPr>
        <w:t xml:space="preserve">or </w:t>
      </w:r>
      <w:r w:rsidR="001861D4">
        <w:rPr>
          <w:rFonts w:cstheme="minorHAnsi"/>
        </w:rPr>
        <w:t>13</w:t>
      </w:r>
      <w:r w:rsidR="008303F9">
        <w:rPr>
          <w:rFonts w:cstheme="minorHAnsi"/>
        </w:rPr>
        <w:t xml:space="preserve"> school years </w:t>
      </w:r>
      <w:r w:rsidR="001861D4">
        <w:rPr>
          <w:rFonts w:cstheme="minorHAnsi"/>
        </w:rPr>
        <w:t xml:space="preserve">between </w:t>
      </w:r>
      <w:r w:rsidR="008303F9">
        <w:rPr>
          <w:rFonts w:cstheme="minorHAnsi"/>
        </w:rPr>
        <w:t>2006</w:t>
      </w:r>
      <w:r w:rsidR="004F5DC4">
        <w:rPr>
          <w:rFonts w:cstheme="minorHAnsi"/>
        </w:rPr>
        <w:t xml:space="preserve"> and </w:t>
      </w:r>
      <w:r w:rsidR="001861D4">
        <w:rPr>
          <w:rFonts w:cstheme="minorHAnsi"/>
        </w:rPr>
        <w:t>20</w:t>
      </w:r>
      <w:r w:rsidR="008303F9">
        <w:rPr>
          <w:rFonts w:cstheme="minorHAnsi"/>
        </w:rPr>
        <w:t xml:space="preserve">19. </w:t>
      </w:r>
      <w:r w:rsidRPr="001E7454">
        <w:rPr>
          <w:rFonts w:cstheme="minorHAnsi"/>
        </w:rPr>
        <w:t>All children attending a state-maintained</w:t>
      </w:r>
      <w:r w:rsidR="00C14872">
        <w:rPr>
          <w:rFonts w:cstheme="minorHAnsi"/>
        </w:rPr>
        <w:t xml:space="preserve"> primary</w:t>
      </w:r>
      <w:r w:rsidRPr="001E7454">
        <w:rPr>
          <w:rFonts w:cstheme="minorHAnsi"/>
        </w:rPr>
        <w:t xml:space="preserve"> school in the country</w:t>
      </w:r>
      <w:r w:rsidR="00A9607C">
        <w:rPr>
          <w:rFonts w:cstheme="minorHAnsi"/>
        </w:rPr>
        <w:t xml:space="preserve"> (</w:t>
      </w:r>
      <w:r w:rsidR="00DC5E12">
        <w:rPr>
          <w:rFonts w:cstheme="minorHAnsi"/>
        </w:rPr>
        <w:t xml:space="preserve">94% in 2010 </w:t>
      </w:r>
      <w:r w:rsidR="001137D1">
        <w:rPr>
          <w:rFonts w:cstheme="minorHAnsi"/>
        </w:rPr>
        <w:fldChar w:fldCharType="begin"/>
      </w:r>
      <w:r w:rsidR="000900CA">
        <w:rPr>
          <w:rFonts w:cstheme="minorHAnsi"/>
        </w:rPr>
        <w:instrText xml:space="preserve"> ADDIN EN.CITE &lt;EndNote&gt;&lt;Cite&gt;&lt;Author&gt;Department for Education&lt;/Author&gt;&lt;Year&gt;2011&lt;/Year&gt;&lt;RecNum&gt;50&lt;/RecNum&gt;&lt;DisplayText&gt;[8]&lt;/DisplayText&gt;&lt;record&gt;&lt;rec-number&gt;50&lt;/rec-number&gt;&lt;foreign-keys&gt;&lt;key app="EN" db-id="rzsrwz2pt2tfzged2xlvt2eh9adpzpfrt29r" timestamp="1624032051"&gt;50&lt;/key&gt;&lt;/foreign-keys&gt;&lt;ref-type name="Government Document"&gt;46&lt;/ref-type&gt;&lt;contributors&gt;&lt;authors&gt;&lt;author&gt;Department for Education,&lt;/author&gt;&lt;/authors&gt;&lt;/contributors&gt;&lt;titles&gt;&lt;title&gt;National Statistics: Schools, pupils and their characteristics: January 2011&lt;/title&gt;&lt;/titles&gt;&lt;dates&gt;&lt;year&gt;2011&lt;/year&gt;&lt;/dates&gt;&lt;urls&gt;&lt;related-urls&gt;&lt;url&gt;https://www.gov.uk/government/statistics/schools-pupils-and-their-characteristics-january-2011&lt;/url&gt;&lt;/related-urls&gt;&lt;/urls&gt;&lt;/record&gt;&lt;/Cite&gt;&lt;/EndNote&gt;</w:instrText>
      </w:r>
      <w:r w:rsidR="001137D1">
        <w:rPr>
          <w:rFonts w:cstheme="minorHAnsi"/>
        </w:rPr>
        <w:fldChar w:fldCharType="separate"/>
      </w:r>
      <w:r w:rsidR="000900CA">
        <w:rPr>
          <w:rFonts w:cstheme="minorHAnsi"/>
          <w:noProof/>
        </w:rPr>
        <w:t>[8]</w:t>
      </w:r>
      <w:r w:rsidR="001137D1">
        <w:rPr>
          <w:rFonts w:cstheme="minorHAnsi"/>
        </w:rPr>
        <w:fldChar w:fldCharType="end"/>
      </w:r>
      <w:r w:rsidR="00A9607C">
        <w:rPr>
          <w:rFonts w:cstheme="minorHAnsi"/>
        </w:rPr>
        <w:t>)</w:t>
      </w:r>
      <w:r w:rsidRPr="001E7454">
        <w:rPr>
          <w:rFonts w:cstheme="minorHAnsi"/>
        </w:rPr>
        <w:t xml:space="preserve"> are invited to participate</w:t>
      </w:r>
      <w:r w:rsidR="00D64EDD">
        <w:rPr>
          <w:rFonts w:cstheme="minorHAnsi"/>
        </w:rPr>
        <w:t xml:space="preserve"> in the NCMP</w:t>
      </w:r>
      <w:r w:rsidR="000355AF">
        <w:rPr>
          <w:rFonts w:cstheme="minorHAnsi"/>
        </w:rPr>
        <w:t xml:space="preserve">. The programme has </w:t>
      </w:r>
      <w:r w:rsidR="009B5B72">
        <w:rPr>
          <w:rFonts w:cstheme="minorHAnsi"/>
        </w:rPr>
        <w:t xml:space="preserve">a </w:t>
      </w:r>
      <w:r w:rsidR="00497177">
        <w:rPr>
          <w:rFonts w:cstheme="minorHAnsi"/>
        </w:rPr>
        <w:t>very high (</w:t>
      </w:r>
      <w:r w:rsidR="00431393" w:rsidRPr="001E7454">
        <w:rPr>
          <w:rFonts w:eastAsia="Times New Roman" w:cstheme="minorHAnsi"/>
        </w:rPr>
        <w:t>9</w:t>
      </w:r>
      <w:r w:rsidR="00C06415">
        <w:rPr>
          <w:rFonts w:eastAsia="Times New Roman" w:cstheme="minorHAnsi"/>
        </w:rPr>
        <w:t>3</w:t>
      </w:r>
      <w:r w:rsidR="00431393" w:rsidRPr="001E7454">
        <w:rPr>
          <w:rFonts w:eastAsia="Times New Roman" w:cstheme="minorHAnsi"/>
        </w:rPr>
        <w:t>%</w:t>
      </w:r>
      <w:r w:rsidR="00497177">
        <w:rPr>
          <w:rFonts w:eastAsia="Times New Roman" w:cstheme="minorHAnsi"/>
        </w:rPr>
        <w:t>)</w:t>
      </w:r>
      <w:r w:rsidR="009B5B72">
        <w:rPr>
          <w:rFonts w:eastAsia="Times New Roman" w:cstheme="minorHAnsi"/>
        </w:rPr>
        <w:t xml:space="preserve"> </w:t>
      </w:r>
      <w:r w:rsidR="00FA0B6B">
        <w:rPr>
          <w:rFonts w:eastAsia="Times New Roman" w:cstheme="minorHAnsi"/>
        </w:rPr>
        <w:t xml:space="preserve">average </w:t>
      </w:r>
      <w:r w:rsidR="009B5B72">
        <w:rPr>
          <w:rFonts w:eastAsia="Times New Roman" w:cstheme="minorHAnsi"/>
        </w:rPr>
        <w:t>participation rate</w:t>
      </w:r>
      <w:r w:rsidR="00270CED">
        <w:rPr>
          <w:rFonts w:eastAsia="Times New Roman" w:cstheme="minorHAnsi"/>
        </w:rPr>
        <w:t xml:space="preserve"> </w:t>
      </w:r>
      <w:r w:rsidR="00A31AA8">
        <w:rPr>
          <w:rFonts w:eastAsia="Times New Roman" w:cstheme="minorHAnsi"/>
        </w:rPr>
        <w:fldChar w:fldCharType="begin"/>
      </w:r>
      <w:r w:rsidR="000900CA">
        <w:rPr>
          <w:rFonts w:eastAsia="Times New Roman" w:cstheme="minorHAnsi"/>
        </w:rPr>
        <w:instrText xml:space="preserve"> ADDIN EN.CITE &lt;EndNote&gt;&lt;Cite&gt;&lt;Author&gt;NHS Digital&lt;/Author&gt;&lt;RecNum&gt;5&lt;/RecNum&gt;&lt;DisplayText&gt;[6]&lt;/DisplayText&gt;&lt;record&gt;&lt;rec-number&gt;5&lt;/rec-number&gt;&lt;foreign-keys&gt;&lt;key app="EN" db-id="rzsrwz2pt2tfzged2xlvt2eh9adpzpfrt29r" timestamp="1611767482"&gt;5&lt;/key&gt;&lt;/foreign-keys&gt;&lt;ref-type name="Web Page"&gt;12&lt;/ref-type&gt;&lt;contributors&gt;&lt;authors&gt;&lt;author&gt;NHS Digital,&lt;/author&gt;&lt;/authors&gt;&lt;/contributors&gt;&lt;titles&gt;&lt;title&gt;National Child Measurement Programme (NCMP)&lt;/title&gt;&lt;/titles&gt;&lt;volume&gt;2021&lt;/volume&gt;&lt;number&gt;27th January&lt;/number&gt;&lt;dates&gt;&lt;/dates&gt;&lt;publisher&gt;NHS Digital&lt;/publisher&gt;&lt;urls&gt;&lt;related-urls&gt;&lt;url&gt;https://digital.nhs.uk/services/national-child-measurement-programme/&lt;/url&gt;&lt;/related-urls&gt;&lt;/urls&gt;&lt;/record&gt;&lt;/Cite&gt;&lt;/EndNote&gt;</w:instrText>
      </w:r>
      <w:r w:rsidR="00A31AA8">
        <w:rPr>
          <w:rFonts w:eastAsia="Times New Roman" w:cstheme="minorHAnsi"/>
        </w:rPr>
        <w:fldChar w:fldCharType="separate"/>
      </w:r>
      <w:r w:rsidR="000900CA">
        <w:rPr>
          <w:rFonts w:eastAsia="Times New Roman" w:cstheme="minorHAnsi"/>
          <w:noProof/>
        </w:rPr>
        <w:t>[6]</w:t>
      </w:r>
      <w:r w:rsidR="00A31AA8">
        <w:rPr>
          <w:rFonts w:eastAsia="Times New Roman" w:cstheme="minorHAnsi"/>
        </w:rPr>
        <w:fldChar w:fldCharType="end"/>
      </w:r>
      <w:r w:rsidR="00270CED">
        <w:rPr>
          <w:rFonts w:eastAsia="Times New Roman" w:cstheme="minorHAnsi"/>
        </w:rPr>
        <w:t>.</w:t>
      </w:r>
      <w:r w:rsidR="008C339B">
        <w:rPr>
          <w:rFonts w:cstheme="minorHAnsi"/>
        </w:rPr>
        <w:t xml:space="preserve"> </w:t>
      </w:r>
    </w:p>
    <w:p w14:paraId="44912529" w14:textId="77777777" w:rsidR="001E7454" w:rsidRPr="001E7454" w:rsidRDefault="001E7454" w:rsidP="001E7454">
      <w:pPr>
        <w:spacing w:after="0" w:line="360" w:lineRule="auto"/>
        <w:rPr>
          <w:rFonts w:cstheme="minorHAnsi"/>
        </w:rPr>
      </w:pPr>
    </w:p>
    <w:p w14:paraId="4C8498D0" w14:textId="77777777" w:rsidR="00DE3A57" w:rsidRPr="001E7454" w:rsidRDefault="00DE3A57" w:rsidP="001E7454">
      <w:pPr>
        <w:spacing w:after="0" w:line="360" w:lineRule="auto"/>
        <w:rPr>
          <w:rFonts w:cstheme="minorHAnsi"/>
          <w:b/>
          <w:bCs/>
        </w:rPr>
      </w:pPr>
      <w:r w:rsidRPr="001E7454">
        <w:rPr>
          <w:rFonts w:cstheme="minorHAnsi"/>
          <w:b/>
          <w:bCs/>
        </w:rPr>
        <w:t>NCMP data collection</w:t>
      </w:r>
    </w:p>
    <w:p w14:paraId="661F6813" w14:textId="6243694B" w:rsidR="00DE3A57" w:rsidRDefault="00DE3A57" w:rsidP="001E7454">
      <w:pPr>
        <w:spacing w:after="0" w:line="360" w:lineRule="auto"/>
        <w:rPr>
          <w:rFonts w:cstheme="minorHAnsi"/>
        </w:rPr>
      </w:pPr>
      <w:r w:rsidRPr="001E7454">
        <w:rPr>
          <w:rFonts w:cstheme="minorHAnsi"/>
        </w:rPr>
        <w:t>Detailed protocol descriptions are available for all NCMP procedures</w:t>
      </w:r>
      <w:r w:rsidR="00224EFF">
        <w:rPr>
          <w:rFonts w:cstheme="minorHAnsi"/>
        </w:rPr>
        <w:t xml:space="preserve"> </w:t>
      </w:r>
      <w:r w:rsidR="00A31AA8">
        <w:rPr>
          <w:rFonts w:cstheme="minorHAnsi"/>
        </w:rPr>
        <w:fldChar w:fldCharType="begin"/>
      </w:r>
      <w:r w:rsidR="000900CA">
        <w:rPr>
          <w:rFonts w:cstheme="minorHAnsi"/>
        </w:rPr>
        <w:instrText xml:space="preserve"> ADDIN EN.CITE &lt;EndNote&gt;&lt;Cite&gt;&lt;Author&gt;Public Health England&lt;/Author&gt;&lt;RecNum&gt;7&lt;/RecNum&gt;&lt;DisplayText&gt;[9]&lt;/DisplayText&gt;&lt;record&gt;&lt;rec-number&gt;7&lt;/rec-number&gt;&lt;foreign-keys&gt;&lt;key app="EN" db-id="rzsrwz2pt2tfzged2xlvt2eh9adpzpfrt29r" timestamp="1611768683"&gt;7&lt;/key&gt;&lt;/foreign-keys&gt;&lt;ref-type name="Report"&gt;27&lt;/ref-type&gt;&lt;contributors&gt;&lt;authors&gt;&lt;author&gt;Public Health England, &lt;/author&gt;&lt;/authors&gt;&lt;/contributors&gt;&lt;titles&gt;&lt;title&gt;National Child Measurement Programme Operational Guidance 2020&lt;/title&gt;&lt;/titles&gt;&lt;dates&gt;&lt;/dates&gt;&lt;urls&gt;&lt;related-urls&gt;&lt;url&gt;https://assets.publishing.service.gov.uk/government/uploads/system/uploads/attachment_data/file/931776/NationaChild_Measurement_Programme_operational_guidance_2020.pdf&lt;/url&gt;&lt;/related-urls&gt;&lt;/urls&gt;&lt;/record&gt;&lt;/Cite&gt;&lt;/EndNote&gt;</w:instrText>
      </w:r>
      <w:r w:rsidR="00A31AA8">
        <w:rPr>
          <w:rFonts w:cstheme="minorHAnsi"/>
        </w:rPr>
        <w:fldChar w:fldCharType="separate"/>
      </w:r>
      <w:r w:rsidR="000900CA">
        <w:rPr>
          <w:rFonts w:cstheme="minorHAnsi"/>
          <w:noProof/>
        </w:rPr>
        <w:t>[9]</w:t>
      </w:r>
      <w:r w:rsidR="00A31AA8">
        <w:rPr>
          <w:rFonts w:cstheme="minorHAnsi"/>
        </w:rPr>
        <w:fldChar w:fldCharType="end"/>
      </w:r>
      <w:r w:rsidR="00224EFF">
        <w:rPr>
          <w:rFonts w:cstheme="minorHAnsi"/>
        </w:rPr>
        <w:t>.</w:t>
      </w:r>
      <w:r w:rsidRPr="001E7454">
        <w:rPr>
          <w:rFonts w:cstheme="minorHAnsi"/>
        </w:rPr>
        <w:t xml:space="preserve"> Briefly, children’s height and weight were measured by a school nurse or other trained </w:t>
      </w:r>
      <w:r w:rsidR="00C3356A">
        <w:rPr>
          <w:rFonts w:cstheme="minorHAnsi"/>
        </w:rPr>
        <w:t xml:space="preserve">staff </w:t>
      </w:r>
      <w:r w:rsidRPr="001E7454">
        <w:rPr>
          <w:rFonts w:cstheme="minorHAnsi"/>
        </w:rPr>
        <w:t>member in each participating school using calibrated weight scales and stadiometers. Height and weight were measured in centimetres and kilograms to the first decimal place, respectively. Children who declined to participate, or whose parents withdrew them from the programme, were not measured. Children with known growth disorders, Down Syndrome, and children who could not stand unaided or could not be measured accurately were measured but their results were not uploaded to the NCMP system. NCMP data were validated at source, where records with missing mandatory fields were rejected, and records with improbable fields were flagged for the data provider to check before submission. Details on error and warning ranges for height and weight have been published elsewhere</w:t>
      </w:r>
      <w:r w:rsidR="001B459A">
        <w:rPr>
          <w:rFonts w:cstheme="minorHAnsi"/>
        </w:rPr>
        <w:t xml:space="preserve"> </w:t>
      </w:r>
      <w:r w:rsidR="00494FF1">
        <w:rPr>
          <w:rFonts w:cstheme="minorHAnsi"/>
        </w:rPr>
        <w:fldChar w:fldCharType="begin"/>
      </w:r>
      <w:r w:rsidR="000900CA">
        <w:rPr>
          <w:rFonts w:cstheme="minorHAnsi"/>
        </w:rPr>
        <w:instrText xml:space="preserve"> ADDIN EN.CITE &lt;EndNote&gt;&lt;Cite&gt;&lt;Author&gt;NHS Digital&lt;/Author&gt;&lt;Year&gt;2020&lt;/Year&gt;&lt;RecNum&gt;30&lt;/RecNum&gt;&lt;DisplayText&gt;[10]&lt;/DisplayText&gt;&lt;record&gt;&lt;rec-number&gt;30&lt;/rec-number&gt;&lt;foreign-keys&gt;&lt;key app="EN" db-id="rzsrwz2pt2tfzged2xlvt2eh9adpzpfrt29r" timestamp="1611999218"&gt;30&lt;/key&gt;&lt;/foreign-keys&gt;&lt;ref-type name="Report"&gt;27&lt;/ref-type&gt;&lt;contributors&gt;&lt;authors&gt;&lt;author&gt;NHS Digital,&lt;/author&gt;&lt;/authors&gt;&lt;/contributors&gt;&lt;titles&gt;&lt;title&gt;Validation of National Child Measurement Programme data&lt;/title&gt;&lt;/titles&gt;&lt;dates&gt;&lt;year&gt;2020&lt;/year&gt;&lt;/dates&gt;&lt;urls&gt;&lt;/urls&gt;&lt;/record&gt;&lt;/Cite&gt;&lt;/EndNote&gt;</w:instrText>
      </w:r>
      <w:r w:rsidR="00494FF1">
        <w:rPr>
          <w:rFonts w:cstheme="minorHAnsi"/>
        </w:rPr>
        <w:fldChar w:fldCharType="separate"/>
      </w:r>
      <w:r w:rsidR="000900CA">
        <w:rPr>
          <w:rFonts w:cstheme="minorHAnsi"/>
          <w:noProof/>
        </w:rPr>
        <w:t>[10]</w:t>
      </w:r>
      <w:r w:rsidR="00494FF1">
        <w:rPr>
          <w:rFonts w:cstheme="minorHAnsi"/>
        </w:rPr>
        <w:fldChar w:fldCharType="end"/>
      </w:r>
      <w:r w:rsidR="001B459A">
        <w:rPr>
          <w:rFonts w:cstheme="minorHAnsi"/>
        </w:rPr>
        <w:t>.</w:t>
      </w:r>
    </w:p>
    <w:p w14:paraId="7A87769D" w14:textId="77777777" w:rsidR="00074C7C" w:rsidRPr="001E7454" w:rsidRDefault="00074C7C" w:rsidP="001E7454">
      <w:pPr>
        <w:spacing w:after="0" w:line="360" w:lineRule="auto"/>
        <w:rPr>
          <w:rFonts w:cstheme="minorHAnsi"/>
        </w:rPr>
      </w:pPr>
    </w:p>
    <w:p w14:paraId="5DE896FD" w14:textId="4AA6D2E7" w:rsidR="00DE3A57" w:rsidRDefault="00DE3A57" w:rsidP="001E7454">
      <w:pPr>
        <w:spacing w:after="0" w:line="360" w:lineRule="auto"/>
        <w:rPr>
          <w:rFonts w:cstheme="minorHAnsi"/>
        </w:rPr>
      </w:pPr>
      <w:r w:rsidRPr="001E7454">
        <w:rPr>
          <w:rFonts w:cstheme="minorHAnsi"/>
        </w:rPr>
        <w:t xml:space="preserve">Data were available for thirteen years between </w:t>
      </w:r>
      <w:r w:rsidR="00E50967">
        <w:rPr>
          <w:rFonts w:cstheme="minorHAnsi"/>
        </w:rPr>
        <w:t xml:space="preserve">school years </w:t>
      </w:r>
      <w:r w:rsidRPr="001E7454">
        <w:rPr>
          <w:rFonts w:cstheme="minorHAnsi"/>
        </w:rPr>
        <w:t>2006</w:t>
      </w:r>
      <w:r w:rsidR="008A5A04" w:rsidRPr="001E7454">
        <w:rPr>
          <w:rFonts w:cstheme="minorHAnsi"/>
        </w:rPr>
        <w:t>-07</w:t>
      </w:r>
      <w:r w:rsidRPr="001E7454">
        <w:rPr>
          <w:rFonts w:cstheme="minorHAnsi"/>
        </w:rPr>
        <w:t xml:space="preserve"> and 2018</w:t>
      </w:r>
      <w:r w:rsidR="008A5A04" w:rsidRPr="001E7454">
        <w:rPr>
          <w:rFonts w:cstheme="minorHAnsi"/>
        </w:rPr>
        <w:t>-19</w:t>
      </w:r>
      <w:r w:rsidRPr="001E7454">
        <w:rPr>
          <w:rFonts w:cstheme="minorHAnsi"/>
        </w:rPr>
        <w:t>. NCMP data collection is conducted by Local Authorities (LAs)</w:t>
      </w:r>
      <w:r w:rsidR="00C75C7C" w:rsidRPr="001E7454">
        <w:rPr>
          <w:rFonts w:cstheme="minorHAnsi"/>
        </w:rPr>
        <w:t>,</w:t>
      </w:r>
      <w:r w:rsidRPr="001E7454">
        <w:rPr>
          <w:rFonts w:cstheme="minorHAnsi"/>
        </w:rPr>
        <w:t xml:space="preserve"> overseen by Public Health England (PHE)</w:t>
      </w:r>
      <w:r w:rsidR="00C75C7C" w:rsidRPr="001E7454">
        <w:rPr>
          <w:rFonts w:cstheme="minorHAnsi"/>
        </w:rPr>
        <w:t>,</w:t>
      </w:r>
      <w:r w:rsidRPr="001E7454">
        <w:rPr>
          <w:rFonts w:cstheme="minorHAnsi"/>
        </w:rPr>
        <w:t xml:space="preserve"> </w:t>
      </w:r>
      <w:r w:rsidR="00C75C7C" w:rsidRPr="001E7454">
        <w:rPr>
          <w:rFonts w:cstheme="minorHAnsi"/>
        </w:rPr>
        <w:t xml:space="preserve">and data </w:t>
      </w:r>
      <w:r w:rsidR="00753D03">
        <w:rPr>
          <w:rFonts w:cstheme="minorHAnsi"/>
        </w:rPr>
        <w:t>are</w:t>
      </w:r>
      <w:r w:rsidR="00C75C7C" w:rsidRPr="001E7454">
        <w:rPr>
          <w:rFonts w:cstheme="minorHAnsi"/>
        </w:rPr>
        <w:t xml:space="preserve"> </w:t>
      </w:r>
      <w:r w:rsidRPr="001E7454">
        <w:rPr>
          <w:rFonts w:cstheme="minorHAnsi"/>
        </w:rPr>
        <w:t xml:space="preserve">managed by NHS Digital. NHS Digital makes a </w:t>
      </w:r>
      <w:r w:rsidR="007C6F01">
        <w:rPr>
          <w:rFonts w:cstheme="minorHAnsi"/>
        </w:rPr>
        <w:t>limited</w:t>
      </w:r>
      <w:r w:rsidRPr="001E7454">
        <w:rPr>
          <w:rFonts w:cstheme="minorHAnsi"/>
        </w:rPr>
        <w:t xml:space="preserve"> version of the NCMP dataset </w:t>
      </w:r>
      <w:r w:rsidR="007F49C0">
        <w:rPr>
          <w:rFonts w:cstheme="minorHAnsi"/>
        </w:rPr>
        <w:t xml:space="preserve">publicly </w:t>
      </w:r>
      <w:r w:rsidRPr="001E7454">
        <w:rPr>
          <w:rFonts w:cstheme="minorHAnsi"/>
        </w:rPr>
        <w:t>available for analysis</w:t>
      </w:r>
      <w:r w:rsidR="0089534A">
        <w:rPr>
          <w:rFonts w:cstheme="minorHAnsi"/>
        </w:rPr>
        <w:t xml:space="preserve">, which does not contain data that could lead to the identification of any child </w:t>
      </w:r>
      <w:r w:rsidR="0002081A">
        <w:rPr>
          <w:rFonts w:cstheme="minorHAnsi"/>
        </w:rPr>
        <w:fldChar w:fldCharType="begin"/>
      </w:r>
      <w:r w:rsidR="000900CA">
        <w:rPr>
          <w:rFonts w:cstheme="minorHAnsi"/>
        </w:rPr>
        <w:instrText xml:space="preserve"> ADDIN EN.CITE &lt;EndNote&gt;&lt;Cite&gt;&lt;Author&gt;National Child Measurement Programme&lt;/Author&gt;&lt;Year&gt;2020&lt;/Year&gt;&lt;RecNum&gt;31&lt;/RecNum&gt;&lt;DisplayText&gt;[11]&lt;/DisplayText&gt;&lt;record&gt;&lt;rec-number&gt;31&lt;/rec-number&gt;&lt;foreign-keys&gt;&lt;key app="EN" db-id="rzsrwz2pt2tfzged2xlvt2eh9adpzpfrt29r" timestamp="1612016871"&gt;31&lt;/key&gt;&lt;/foreign-keys&gt;&lt;ref-type name="Dataset"&gt;59&lt;/ref-type&gt;&lt;contributors&gt;&lt;authors&gt;&lt;author&gt;National Child Measurement Programme,&lt;/author&gt;&lt;/authors&gt;&lt;secondary-authors&gt;&lt;author&gt;NHS Digital,&lt;/author&gt;&lt;/secondary-authors&gt;&lt;/contributors&gt;&lt;titles&gt;&lt;title&gt;National Child Measurement Programme&lt;/title&gt;&lt;/titles&gt;&lt;dates&gt;&lt;year&gt;2020&lt;/year&gt;&lt;/dates&gt;&lt;urls&gt;&lt;related-urls&gt;&lt;url&gt;https://digital.nhs.uk/data-and-information/publications/statistical/national-child-measurement-programme&lt;/url&gt;&lt;/related-urls&gt;&lt;/urls&gt;&lt;/record&gt;&lt;/Cite&gt;&lt;/EndNote&gt;</w:instrText>
      </w:r>
      <w:r w:rsidR="0002081A">
        <w:rPr>
          <w:rFonts w:cstheme="minorHAnsi"/>
        </w:rPr>
        <w:fldChar w:fldCharType="separate"/>
      </w:r>
      <w:r w:rsidR="000900CA">
        <w:rPr>
          <w:rFonts w:cstheme="minorHAnsi"/>
          <w:noProof/>
        </w:rPr>
        <w:t>[11]</w:t>
      </w:r>
      <w:r w:rsidR="0002081A">
        <w:rPr>
          <w:rFonts w:cstheme="minorHAnsi"/>
        </w:rPr>
        <w:fldChar w:fldCharType="end"/>
      </w:r>
      <w:r w:rsidR="000E1279">
        <w:rPr>
          <w:rFonts w:cstheme="minorHAnsi"/>
        </w:rPr>
        <w:t>.</w:t>
      </w:r>
      <w:r w:rsidRPr="001E7454">
        <w:rPr>
          <w:rFonts w:cstheme="minorHAnsi"/>
        </w:rPr>
        <w:t xml:space="preserve"> Access to the full NCMP dataset for the current analysis was obtained through collaboration with PHE, and analyses were conducted at PHE to comply with best data protection practices. Integrated Research Application System (IRAS) approval was not required for the current study</w:t>
      </w:r>
      <w:r w:rsidR="00753D03">
        <w:rPr>
          <w:rFonts w:cstheme="minorHAnsi"/>
        </w:rPr>
        <w:t>, which</w:t>
      </w:r>
      <w:r w:rsidRPr="001E7454">
        <w:rPr>
          <w:rFonts w:cstheme="minorHAnsi"/>
        </w:rPr>
        <w:t xml:space="preserve"> was registered with the Clinical Governance Department at Barts Health NHS Trust. </w:t>
      </w:r>
    </w:p>
    <w:p w14:paraId="5ED05106" w14:textId="4EFE6FFE" w:rsidR="001E7454" w:rsidRDefault="001E7454" w:rsidP="001E7454">
      <w:pPr>
        <w:spacing w:after="0" w:line="360" w:lineRule="auto"/>
        <w:rPr>
          <w:rFonts w:cstheme="minorHAnsi"/>
        </w:rPr>
      </w:pPr>
    </w:p>
    <w:p w14:paraId="3EF54BF1" w14:textId="77777777" w:rsidR="00DE3A57" w:rsidRPr="001E7454" w:rsidRDefault="00DE3A57" w:rsidP="001E7454">
      <w:pPr>
        <w:spacing w:after="0" w:line="360" w:lineRule="auto"/>
        <w:rPr>
          <w:rFonts w:cstheme="minorHAnsi"/>
          <w:b/>
          <w:bCs/>
        </w:rPr>
      </w:pPr>
      <w:r w:rsidRPr="001E7454">
        <w:rPr>
          <w:rFonts w:cstheme="minorHAnsi"/>
          <w:b/>
          <w:bCs/>
        </w:rPr>
        <w:t>Measures</w:t>
      </w:r>
    </w:p>
    <w:p w14:paraId="39982DC1" w14:textId="18FF293A" w:rsidR="00DE3A57" w:rsidRDefault="00DE3A57" w:rsidP="001E7454">
      <w:pPr>
        <w:spacing w:after="0" w:line="360" w:lineRule="auto"/>
        <w:rPr>
          <w:rFonts w:cstheme="minorHAnsi"/>
        </w:rPr>
      </w:pPr>
      <w:r w:rsidRPr="001E7454">
        <w:rPr>
          <w:rFonts w:cstheme="minorHAnsi"/>
        </w:rPr>
        <w:t xml:space="preserve">For the current analysis height-for-age standard deviation scores (SDS) were derived for each child using UK-WHO reference values </w:t>
      </w:r>
      <w:r w:rsidR="002F3A48">
        <w:rPr>
          <w:rFonts w:cstheme="minorHAnsi"/>
        </w:rPr>
        <w:fldChar w:fldCharType="begin"/>
      </w:r>
      <w:r w:rsidR="000900CA">
        <w:rPr>
          <w:rFonts w:cstheme="minorHAnsi"/>
        </w:rPr>
        <w:instrText xml:space="preserve"> ADDIN EN.CITE &lt;EndNote&gt;&lt;Cite&gt;&lt;Author&gt;Wright&lt;/Author&gt;&lt;Year&gt;2010&lt;/Year&gt;&lt;RecNum&gt;24&lt;/RecNum&gt;&lt;DisplayText&gt;[12]&lt;/DisplayText&gt;&lt;record&gt;&lt;rec-number&gt;24&lt;/rec-number&gt;&lt;foreign-keys&gt;&lt;key app="EN" db-id="rzsrwz2pt2tfzged2xlvt2eh9adpzpfrt29r" timestamp="1611836525"&gt;24&lt;/key&gt;&lt;/foreign-keys&gt;&lt;ref-type name="Journal Article"&gt;17&lt;/ref-type&gt;&lt;contributors&gt;&lt;authors&gt;&lt;author&gt;Wright, Charlotte M&lt;/author&gt;&lt;author&gt;Williams, Anthony F&lt;/author&gt;&lt;author&gt;Elliman, David&lt;/author&gt;&lt;author&gt;Bedford, Helen&lt;/author&gt;&lt;author&gt;Birks, Eileen&lt;/author&gt;&lt;author&gt;Butler, Gary&lt;/author&gt;&lt;author&gt;Sachs, Magda&lt;/author&gt;&lt;author&gt;Moy, Robert J&lt;/author&gt;&lt;author&gt;Cole, Timothy J&lt;/author&gt;&lt;/authors&gt;&lt;/contributors&gt;&lt;titles&gt;&lt;title&gt;Using the new UK-WHO growth charts&lt;/title&gt;&lt;secondary-title&gt;BMJ&lt;/secondary-title&gt;&lt;/titles&gt;&lt;periodical&gt;&lt;full-title&gt;BMJ&lt;/full-title&gt;&lt;/periodical&gt;&lt;pages&gt;c1140&lt;/pages&gt;&lt;volume&gt;340&lt;/volume&gt;&lt;dates&gt;&lt;year&gt;2010&lt;/year&gt;&lt;/dates&gt;&lt;urls&gt;&lt;/urls&gt;&lt;electronic-resource-num&gt;10.1136/bmj.c1140&lt;/electronic-resource-num&gt;&lt;/record&gt;&lt;/Cite&gt;&lt;/EndNote&gt;</w:instrText>
      </w:r>
      <w:r w:rsidR="002F3A48">
        <w:rPr>
          <w:rFonts w:cstheme="minorHAnsi"/>
        </w:rPr>
        <w:fldChar w:fldCharType="separate"/>
      </w:r>
      <w:r w:rsidR="000900CA">
        <w:rPr>
          <w:rFonts w:cstheme="minorHAnsi"/>
          <w:noProof/>
        </w:rPr>
        <w:t>[12]</w:t>
      </w:r>
      <w:r w:rsidR="002F3A48">
        <w:rPr>
          <w:rFonts w:cstheme="minorHAnsi"/>
        </w:rPr>
        <w:fldChar w:fldCharType="end"/>
      </w:r>
      <w:r w:rsidRPr="001E7454">
        <w:rPr>
          <w:rFonts w:cstheme="minorHAnsi"/>
        </w:rPr>
        <w:t xml:space="preserve">, using the </w:t>
      </w:r>
      <w:proofErr w:type="spellStart"/>
      <w:r w:rsidRPr="001E7454">
        <w:rPr>
          <w:rFonts w:cstheme="minorHAnsi"/>
        </w:rPr>
        <w:t>zanthro</w:t>
      </w:r>
      <w:proofErr w:type="spellEnd"/>
      <w:r w:rsidRPr="001E7454">
        <w:rPr>
          <w:rFonts w:cstheme="minorHAnsi"/>
        </w:rPr>
        <w:t xml:space="preserve"> package in Stata</w:t>
      </w:r>
      <w:r w:rsidR="00CA4536">
        <w:rPr>
          <w:rFonts w:cstheme="minorHAnsi"/>
        </w:rPr>
        <w:t xml:space="preserve"> 15</w:t>
      </w:r>
      <w:r w:rsidR="00903683">
        <w:rPr>
          <w:rFonts w:cstheme="minorHAnsi"/>
        </w:rPr>
        <w:t xml:space="preserve"> </w:t>
      </w:r>
      <w:r w:rsidR="002F3A48">
        <w:rPr>
          <w:rFonts w:cstheme="minorHAnsi"/>
        </w:rPr>
        <w:fldChar w:fldCharType="begin"/>
      </w:r>
      <w:r w:rsidR="000900CA">
        <w:rPr>
          <w:rFonts w:cstheme="minorHAnsi"/>
        </w:rPr>
        <w:instrText xml:space="preserve"> ADDIN EN.CITE &lt;EndNote&gt;&lt;Cite&gt;&lt;Author&gt;Vidmar&lt;/Author&gt;&lt;Year&gt;2013&lt;/Year&gt;&lt;RecNum&gt;25&lt;/RecNum&gt;&lt;DisplayText&gt;[13]&lt;/DisplayText&gt;&lt;record&gt;&lt;rec-number&gt;25&lt;/rec-number&gt;&lt;foreign-keys&gt;&lt;key app="EN" db-id="rzsrwz2pt2tfzged2xlvt2eh9adpzpfrt29r" timestamp="1611836672"&gt;25&lt;/key&gt;&lt;/foreign-keys&gt;&lt;ref-type name="Journal Article"&gt;17&lt;/ref-type&gt;&lt;contributors&gt;&lt;authors&gt;&lt;author&gt;Vidmar, Suzanna I.&lt;/author&gt;&lt;author&gt;Cole, Tim J.&lt;/author&gt;&lt;author&gt;Pan, Huiqi&lt;/author&gt;&lt;/authors&gt;&lt;/contributors&gt;&lt;titles&gt;&lt;title&gt;Standardizing Anthropometric Measures in Children and Adolescents with Functions for Egen: Update&lt;/title&gt;&lt;secondary-title&gt;The Stata Journal&lt;/secondary-title&gt;&lt;/titles&gt;&lt;periodical&gt;&lt;full-title&gt;The Stata Journal&lt;/full-title&gt;&lt;/periodical&gt;&lt;pages&gt;366-378&lt;/pages&gt;&lt;volume&gt;13&lt;/volume&gt;&lt;number&gt;2&lt;/number&gt;&lt;keywords&gt;&lt;keyword&gt;dm0004_1,zanthro(),zbmicat(),z scores,LMS,egen,anthropometric standards&lt;/keyword&gt;&lt;/keywords&gt;&lt;dates&gt;&lt;year&gt;2013&lt;/year&gt;&lt;/dates&gt;&lt;urls&gt;&lt;related-urls&gt;&lt;url&gt;https://journals.sagepub.com/doi/abs/10.1177/1536867X1301300211&lt;/url&gt;&lt;/related-urls&gt;&lt;/urls&gt;&lt;electronic-resource-num&gt;10.1177/1536867x1301300211&lt;/electronic-resource-num&gt;&lt;/record&gt;&lt;/Cite&gt;&lt;/EndNote&gt;</w:instrText>
      </w:r>
      <w:r w:rsidR="002F3A48">
        <w:rPr>
          <w:rFonts w:cstheme="minorHAnsi"/>
        </w:rPr>
        <w:fldChar w:fldCharType="separate"/>
      </w:r>
      <w:r w:rsidR="000900CA">
        <w:rPr>
          <w:rFonts w:cstheme="minorHAnsi"/>
          <w:noProof/>
        </w:rPr>
        <w:t>[13]</w:t>
      </w:r>
      <w:r w:rsidR="002F3A48">
        <w:rPr>
          <w:rFonts w:cstheme="minorHAnsi"/>
        </w:rPr>
        <w:fldChar w:fldCharType="end"/>
      </w:r>
      <w:r w:rsidR="00903683">
        <w:rPr>
          <w:rFonts w:cstheme="minorHAnsi"/>
        </w:rPr>
        <w:t>.</w:t>
      </w:r>
      <w:r w:rsidR="002F3A48">
        <w:rPr>
          <w:rFonts w:cstheme="minorHAnsi"/>
        </w:rPr>
        <w:t xml:space="preserve"> </w:t>
      </w:r>
      <w:r w:rsidRPr="001E7454">
        <w:rPr>
          <w:rFonts w:cstheme="minorHAnsi"/>
        </w:rPr>
        <w:t xml:space="preserve">Children with SDS above 5 or below -5 were </w:t>
      </w:r>
      <w:r w:rsidR="009A583C" w:rsidRPr="001E7454">
        <w:rPr>
          <w:rFonts w:cstheme="minorHAnsi"/>
        </w:rPr>
        <w:t>excluded</w:t>
      </w:r>
      <w:r w:rsidRPr="001E7454">
        <w:rPr>
          <w:rFonts w:cstheme="minorHAnsi"/>
        </w:rPr>
        <w:t>. S</w:t>
      </w:r>
      <w:r w:rsidR="00126828">
        <w:rPr>
          <w:rFonts w:cstheme="minorHAnsi"/>
        </w:rPr>
        <w:t>hort stature</w:t>
      </w:r>
      <w:r w:rsidRPr="001E7454">
        <w:rPr>
          <w:rFonts w:cstheme="minorHAnsi"/>
        </w:rPr>
        <w:t xml:space="preserve"> was defined a </w:t>
      </w:r>
      <w:r w:rsidR="003B417F">
        <w:rPr>
          <w:rFonts w:cstheme="minorHAnsi"/>
        </w:rPr>
        <w:t xml:space="preserve">height </w:t>
      </w:r>
      <w:r w:rsidRPr="001E7454">
        <w:rPr>
          <w:rFonts w:cstheme="minorHAnsi"/>
        </w:rPr>
        <w:t>SDS below -2</w:t>
      </w:r>
      <w:r w:rsidR="003B417F">
        <w:rPr>
          <w:rFonts w:cstheme="minorHAnsi"/>
        </w:rPr>
        <w:t>.0</w:t>
      </w:r>
      <w:r w:rsidRPr="001E7454">
        <w:rPr>
          <w:rFonts w:cstheme="minorHAnsi"/>
        </w:rPr>
        <w:t xml:space="preserve">. This cut-off was chosen for comparability with international definitions of stunting. Model covariates included ethnicity and Index of Multiple Deprivation (IMD). Ethnicity was collected by schools for each child and was recoded for this analysis into 6 categories based on UK </w:t>
      </w:r>
      <w:r w:rsidR="003B417F">
        <w:rPr>
          <w:rFonts w:cstheme="minorHAnsi"/>
        </w:rPr>
        <w:t xml:space="preserve">government </w:t>
      </w:r>
      <w:r w:rsidRPr="001E7454">
        <w:rPr>
          <w:rFonts w:cstheme="minorHAnsi"/>
        </w:rPr>
        <w:t>census categori</w:t>
      </w:r>
      <w:r w:rsidR="0038161D">
        <w:rPr>
          <w:rFonts w:cstheme="minorHAnsi"/>
        </w:rPr>
        <w:t>s</w:t>
      </w:r>
      <w:r w:rsidRPr="001E7454">
        <w:rPr>
          <w:rFonts w:cstheme="minorHAnsi"/>
        </w:rPr>
        <w:t xml:space="preserve">ation: </w:t>
      </w:r>
      <w:r w:rsidR="00331BAC">
        <w:rPr>
          <w:rFonts w:cstheme="minorHAnsi"/>
        </w:rPr>
        <w:t>White (</w:t>
      </w:r>
      <w:r w:rsidRPr="001E7454">
        <w:rPr>
          <w:rFonts w:cstheme="minorHAnsi"/>
        </w:rPr>
        <w:t>White British and White Other</w:t>
      </w:r>
      <w:r w:rsidR="00331BAC">
        <w:rPr>
          <w:rFonts w:cstheme="minorHAnsi"/>
        </w:rPr>
        <w:t>)</w:t>
      </w:r>
      <w:r w:rsidRPr="001E7454">
        <w:rPr>
          <w:rFonts w:cstheme="minorHAnsi"/>
        </w:rPr>
        <w:t xml:space="preserve">; </w:t>
      </w:r>
      <w:r w:rsidR="00331BAC">
        <w:rPr>
          <w:rFonts w:cstheme="minorHAnsi"/>
        </w:rPr>
        <w:t>Black (</w:t>
      </w:r>
      <w:r w:rsidRPr="001E7454">
        <w:rPr>
          <w:rFonts w:cstheme="minorHAnsi"/>
        </w:rPr>
        <w:t>Black African, Black Caribbean and Black Other</w:t>
      </w:r>
      <w:r w:rsidR="00331BAC">
        <w:rPr>
          <w:rFonts w:cstheme="minorHAnsi"/>
        </w:rPr>
        <w:t>)</w:t>
      </w:r>
      <w:r w:rsidRPr="001E7454">
        <w:rPr>
          <w:rFonts w:cstheme="minorHAnsi"/>
        </w:rPr>
        <w:t xml:space="preserve">; Indian; Pakistani or Bangladeshi; Mixed; and </w:t>
      </w:r>
      <w:proofErr w:type="gramStart"/>
      <w:r w:rsidRPr="001E7454">
        <w:rPr>
          <w:rFonts w:cstheme="minorHAnsi"/>
        </w:rPr>
        <w:t>Other</w:t>
      </w:r>
      <w:proofErr w:type="gramEnd"/>
      <w:r w:rsidRPr="001E7454">
        <w:rPr>
          <w:rFonts w:cstheme="minorHAnsi"/>
        </w:rPr>
        <w:t xml:space="preserve"> ethnicity. The IMD is a composite, area-level measure of relative deprivation. It comprises seven measures of deprivation including employment deprivation, income deprivation and crime. The IMD ranks all small areas (lower super-output areas) in the country from most deprived (#1) to least deprived</w:t>
      </w:r>
      <w:r w:rsidR="00BE21EB">
        <w:rPr>
          <w:rFonts w:cstheme="minorHAnsi"/>
        </w:rPr>
        <w:t xml:space="preserve"> (#34,753 in 2019)</w:t>
      </w:r>
      <w:r w:rsidR="00C71347">
        <w:rPr>
          <w:rFonts w:cstheme="minorHAnsi"/>
        </w:rPr>
        <w:t>.</w:t>
      </w:r>
      <w:r w:rsidRPr="001E7454">
        <w:rPr>
          <w:rFonts w:cstheme="minorHAnsi"/>
        </w:rPr>
        <w:t xml:space="preserve"> NCMP provides an IMD decile for each child based on their postcode</w:t>
      </w:r>
      <w:r w:rsidR="0038161D">
        <w:rPr>
          <w:rFonts w:cstheme="minorHAnsi"/>
        </w:rPr>
        <w:t>;</w:t>
      </w:r>
      <w:r w:rsidR="00736292">
        <w:rPr>
          <w:rFonts w:cstheme="minorHAnsi"/>
        </w:rPr>
        <w:t xml:space="preserve"> we use both IMD decile and quintile in our analysis</w:t>
      </w:r>
      <w:r w:rsidR="00A624EB">
        <w:rPr>
          <w:rFonts w:cstheme="minorHAnsi"/>
        </w:rPr>
        <w:t>.</w:t>
      </w:r>
    </w:p>
    <w:p w14:paraId="2886AC5B" w14:textId="77777777" w:rsidR="001E7454" w:rsidRPr="001E7454" w:rsidRDefault="001E7454" w:rsidP="001E7454">
      <w:pPr>
        <w:spacing w:after="0" w:line="360" w:lineRule="auto"/>
        <w:rPr>
          <w:rFonts w:cstheme="minorHAnsi"/>
        </w:rPr>
      </w:pPr>
    </w:p>
    <w:p w14:paraId="1E201FEE" w14:textId="77777777" w:rsidR="00DE3A57" w:rsidRPr="001E7454" w:rsidRDefault="00DE3A57" w:rsidP="001E7454">
      <w:pPr>
        <w:spacing w:after="0" w:line="360" w:lineRule="auto"/>
        <w:rPr>
          <w:rFonts w:cstheme="minorHAnsi"/>
          <w:b/>
          <w:bCs/>
        </w:rPr>
      </w:pPr>
      <w:r w:rsidRPr="001E7454">
        <w:rPr>
          <w:rFonts w:cstheme="minorHAnsi"/>
          <w:b/>
          <w:bCs/>
        </w:rPr>
        <w:t>Statistical analyses</w:t>
      </w:r>
    </w:p>
    <w:p w14:paraId="29865F08" w14:textId="022B45DA" w:rsidR="00DE3A57" w:rsidRDefault="00DE3A57" w:rsidP="001E7454">
      <w:pPr>
        <w:spacing w:after="0" w:line="360" w:lineRule="auto"/>
        <w:rPr>
          <w:rFonts w:cstheme="minorHAnsi"/>
        </w:rPr>
      </w:pPr>
      <w:r w:rsidRPr="001E7454">
        <w:rPr>
          <w:rFonts w:cstheme="minorHAnsi"/>
        </w:rPr>
        <w:t>Prevalence of s</w:t>
      </w:r>
      <w:r w:rsidR="000C21E0">
        <w:rPr>
          <w:rFonts w:cstheme="minorHAnsi"/>
        </w:rPr>
        <w:t>hort stature</w:t>
      </w:r>
      <w:r w:rsidRPr="001E7454">
        <w:rPr>
          <w:rFonts w:cstheme="minorHAnsi"/>
        </w:rPr>
        <w:t xml:space="preserve"> by sex, region, ethnicity</w:t>
      </w:r>
      <w:r w:rsidR="00CA4536">
        <w:rPr>
          <w:rFonts w:cstheme="minorHAnsi"/>
        </w:rPr>
        <w:t>, IMD</w:t>
      </w:r>
      <w:r w:rsidRPr="001E7454">
        <w:rPr>
          <w:rFonts w:cstheme="minorHAnsi"/>
        </w:rPr>
        <w:t xml:space="preserve"> and time</w:t>
      </w:r>
      <w:r w:rsidR="00A9607C">
        <w:rPr>
          <w:rFonts w:cstheme="minorHAnsi"/>
        </w:rPr>
        <w:t>-</w:t>
      </w:r>
      <w:r w:rsidRPr="001E7454">
        <w:rPr>
          <w:rFonts w:cstheme="minorHAnsi"/>
        </w:rPr>
        <w:t>period w</w:t>
      </w:r>
      <w:r w:rsidR="00E50967">
        <w:rPr>
          <w:rFonts w:cstheme="minorHAnsi"/>
        </w:rPr>
        <w:t>as</w:t>
      </w:r>
      <w:r w:rsidRPr="001E7454">
        <w:rPr>
          <w:rFonts w:cstheme="minorHAnsi"/>
        </w:rPr>
        <w:t xml:space="preserve"> examined using Stata 15</w:t>
      </w:r>
      <w:r w:rsidR="00C65646">
        <w:rPr>
          <w:rFonts w:cstheme="minorHAnsi"/>
        </w:rPr>
        <w:t>, and</w:t>
      </w:r>
      <w:r w:rsidR="00187F4A">
        <w:rPr>
          <w:rFonts w:cstheme="minorHAnsi"/>
        </w:rPr>
        <w:t xml:space="preserve"> between-group</w:t>
      </w:r>
      <w:r w:rsidR="00C65646">
        <w:rPr>
          <w:rFonts w:cstheme="minorHAnsi"/>
        </w:rPr>
        <w:t xml:space="preserve"> differences were </w:t>
      </w:r>
      <w:r w:rsidR="00397470">
        <w:rPr>
          <w:rFonts w:cstheme="minorHAnsi"/>
        </w:rPr>
        <w:t>evaluated</w:t>
      </w:r>
      <w:r w:rsidR="00C65646">
        <w:rPr>
          <w:rFonts w:cstheme="minorHAnsi"/>
        </w:rPr>
        <w:t xml:space="preserve"> using Chi Squar</w:t>
      </w:r>
      <w:r w:rsidR="00A843A5">
        <w:rPr>
          <w:rFonts w:cstheme="minorHAnsi"/>
        </w:rPr>
        <w:t>e</w:t>
      </w:r>
      <w:r w:rsidR="00C65646">
        <w:rPr>
          <w:rFonts w:cstheme="minorHAnsi"/>
        </w:rPr>
        <w:t xml:space="preserve"> tests.</w:t>
      </w:r>
      <w:r w:rsidR="00564C8F" w:rsidRPr="001E7454">
        <w:rPr>
          <w:rFonts w:cstheme="minorHAnsi"/>
        </w:rPr>
        <w:t xml:space="preserve"> </w:t>
      </w:r>
      <w:r w:rsidR="00CA4536">
        <w:rPr>
          <w:rFonts w:cstheme="minorHAnsi"/>
        </w:rPr>
        <w:t>We assessed whether change over time in s</w:t>
      </w:r>
      <w:r w:rsidR="000C21E0">
        <w:rPr>
          <w:rFonts w:cstheme="minorHAnsi"/>
        </w:rPr>
        <w:t>hort stature</w:t>
      </w:r>
      <w:r w:rsidR="00CA4536">
        <w:rPr>
          <w:rFonts w:cstheme="minorHAnsi"/>
        </w:rPr>
        <w:t xml:space="preserve"> </w:t>
      </w:r>
      <w:r w:rsidR="00E50967">
        <w:rPr>
          <w:rFonts w:cstheme="minorHAnsi"/>
        </w:rPr>
        <w:t xml:space="preserve">prevalence </w:t>
      </w:r>
      <w:r w:rsidR="00CA4536">
        <w:rPr>
          <w:rFonts w:cstheme="minorHAnsi"/>
        </w:rPr>
        <w:t xml:space="preserve">was consistent across levels of area deprivation by </w:t>
      </w:r>
      <w:r w:rsidR="00397470">
        <w:rPr>
          <w:rFonts w:cstheme="minorHAnsi"/>
        </w:rPr>
        <w:t>examining</w:t>
      </w:r>
      <w:r w:rsidR="00CA4536">
        <w:rPr>
          <w:rFonts w:cstheme="minorHAnsi"/>
        </w:rPr>
        <w:t xml:space="preserve"> differences in rates of change by IMD quintile. We fit</w:t>
      </w:r>
      <w:r w:rsidR="00E50967">
        <w:rPr>
          <w:rFonts w:cstheme="minorHAnsi"/>
        </w:rPr>
        <w:t>ted</w:t>
      </w:r>
      <w:r w:rsidR="00CA4536">
        <w:rPr>
          <w:rFonts w:cstheme="minorHAnsi"/>
        </w:rPr>
        <w:t xml:space="preserve"> a logistic regression model of the probability of s</w:t>
      </w:r>
      <w:r w:rsidR="000C21E0">
        <w:rPr>
          <w:rFonts w:cstheme="minorHAnsi"/>
        </w:rPr>
        <w:t>hort stature</w:t>
      </w:r>
      <w:r w:rsidR="00CA4536">
        <w:rPr>
          <w:rFonts w:cstheme="minorHAnsi"/>
        </w:rPr>
        <w:t xml:space="preserve"> by IMD and NCMP year and included a</w:t>
      </w:r>
      <w:r w:rsidR="00804909">
        <w:rPr>
          <w:rFonts w:cstheme="minorHAnsi"/>
        </w:rPr>
        <w:t>n</w:t>
      </w:r>
      <w:r w:rsidR="00CA4536">
        <w:rPr>
          <w:rFonts w:cstheme="minorHAnsi"/>
        </w:rPr>
        <w:t xml:space="preserve"> </w:t>
      </w:r>
      <w:proofErr w:type="spellStart"/>
      <w:r w:rsidR="00CA4536">
        <w:rPr>
          <w:rFonts w:cstheme="minorHAnsi"/>
        </w:rPr>
        <w:t>IMD#year</w:t>
      </w:r>
      <w:proofErr w:type="spellEnd"/>
      <w:r w:rsidR="00CA4536">
        <w:rPr>
          <w:rFonts w:cstheme="minorHAnsi"/>
        </w:rPr>
        <w:t xml:space="preserve"> interaction</w:t>
      </w:r>
      <w:r w:rsidR="00E50967">
        <w:rPr>
          <w:rFonts w:cstheme="minorHAnsi"/>
        </w:rPr>
        <w:t xml:space="preserve"> term</w:t>
      </w:r>
      <w:r w:rsidR="00CA4536">
        <w:rPr>
          <w:rFonts w:cstheme="minorHAnsi"/>
        </w:rPr>
        <w:t xml:space="preserve">. We visualised change over time using </w:t>
      </w:r>
      <w:proofErr w:type="spellStart"/>
      <w:r w:rsidR="00CA4536">
        <w:rPr>
          <w:rFonts w:cstheme="minorHAnsi"/>
        </w:rPr>
        <w:t>Equiplots</w:t>
      </w:r>
      <w:proofErr w:type="spellEnd"/>
      <w:r w:rsidR="009953AD">
        <w:rPr>
          <w:rFonts w:cstheme="minorHAnsi"/>
        </w:rPr>
        <w:t>, a method f</w:t>
      </w:r>
      <w:r w:rsidR="00165FC8">
        <w:rPr>
          <w:rFonts w:cstheme="minorHAnsi"/>
        </w:rPr>
        <w:t>or</w:t>
      </w:r>
      <w:r w:rsidR="009953AD">
        <w:rPr>
          <w:rFonts w:cstheme="minorHAnsi"/>
        </w:rPr>
        <w:t xml:space="preserve"> comparing inequality between factors such as time periods</w:t>
      </w:r>
      <w:r w:rsidR="00267709">
        <w:rPr>
          <w:rFonts w:cstheme="minorHAnsi"/>
        </w:rPr>
        <w:t xml:space="preserve"> </w:t>
      </w:r>
      <w:r w:rsidR="00CA4536">
        <w:rPr>
          <w:rFonts w:cstheme="minorHAnsi"/>
        </w:rPr>
        <w:fldChar w:fldCharType="begin"/>
      </w:r>
      <w:r w:rsidR="000900CA">
        <w:rPr>
          <w:rFonts w:cstheme="minorHAnsi"/>
        </w:rPr>
        <w:instrText xml:space="preserve"> ADDIN EN.CITE &lt;EndNote&gt;&lt;Cite&gt;&lt;Author&gt;International Center for Equity in Health&lt;/Author&gt;&lt;Year&gt;2020&lt;/Year&gt;&lt;RecNum&gt;40&lt;/RecNum&gt;&lt;DisplayText&gt;[14]&lt;/DisplayText&gt;&lt;record&gt;&lt;rec-number&gt;40&lt;/rec-number&gt;&lt;foreign-keys&gt;&lt;key app="EN" db-id="rzsrwz2pt2tfzged2xlvt2eh9adpzpfrt29r" timestamp="1612171835"&gt;40&lt;/key&gt;&lt;/foreign-keys&gt;&lt;ref-type name="Computer Program"&gt;9&lt;/ref-type&gt;&lt;contributors&gt;&lt;authors&gt;&lt;author&gt;International Center for Equity in Health, &lt;/author&gt;&lt;/authors&gt;&lt;/contributors&gt;&lt;titles&gt;&lt;title&gt;Equiplot&lt;/title&gt;&lt;/titles&gt;&lt;dates&gt;&lt;year&gt;2020&lt;/year&gt;&lt;/dates&gt;&lt;pub-location&gt;Pelotas, Brazil&lt;/pub-location&gt;&lt;urls&gt;&lt;related-urls&gt;&lt;url&gt;https://www.equidade.org/equiplot.php&lt;/url&gt;&lt;/related-urls&gt;&lt;/urls&gt;&lt;access-date&gt;28th January 2021&lt;/access-date&gt;&lt;/record&gt;&lt;/Cite&gt;&lt;/EndNote&gt;</w:instrText>
      </w:r>
      <w:r w:rsidR="00CA4536">
        <w:rPr>
          <w:rFonts w:cstheme="minorHAnsi"/>
        </w:rPr>
        <w:fldChar w:fldCharType="separate"/>
      </w:r>
      <w:r w:rsidR="000900CA">
        <w:rPr>
          <w:rFonts w:cstheme="minorHAnsi"/>
          <w:noProof/>
        </w:rPr>
        <w:t>[14]</w:t>
      </w:r>
      <w:r w:rsidR="00CA4536">
        <w:rPr>
          <w:rFonts w:cstheme="minorHAnsi"/>
        </w:rPr>
        <w:fldChar w:fldCharType="end"/>
      </w:r>
      <w:r w:rsidR="00267709">
        <w:rPr>
          <w:rFonts w:cstheme="minorHAnsi"/>
        </w:rPr>
        <w:t>.</w:t>
      </w:r>
      <w:r w:rsidR="00CA4536">
        <w:rPr>
          <w:rFonts w:cstheme="minorHAnsi"/>
        </w:rPr>
        <w:t xml:space="preserve"> </w:t>
      </w:r>
      <w:r w:rsidR="00C71110" w:rsidRPr="001E7454">
        <w:rPr>
          <w:rFonts w:cstheme="minorHAnsi"/>
        </w:rPr>
        <w:t>S</w:t>
      </w:r>
      <w:r w:rsidRPr="001E7454">
        <w:rPr>
          <w:rFonts w:cstheme="minorHAnsi"/>
        </w:rPr>
        <w:t xml:space="preserve">patial analyses were conducted using </w:t>
      </w:r>
      <w:proofErr w:type="spellStart"/>
      <w:r w:rsidRPr="001E7454">
        <w:rPr>
          <w:rFonts w:cstheme="minorHAnsi"/>
        </w:rPr>
        <w:t>SatScan</w:t>
      </w:r>
      <w:proofErr w:type="spellEnd"/>
      <w:r w:rsidR="00CA4536">
        <w:rPr>
          <w:rFonts w:cstheme="minorHAnsi"/>
        </w:rPr>
        <w:t xml:space="preserve"> </w:t>
      </w:r>
      <w:r w:rsidR="00AC2BAF">
        <w:rPr>
          <w:rFonts w:cstheme="minorHAnsi"/>
        </w:rPr>
        <w:fldChar w:fldCharType="begin"/>
      </w:r>
      <w:r w:rsidR="000900CA">
        <w:rPr>
          <w:rFonts w:cstheme="minorHAnsi"/>
        </w:rPr>
        <w:instrText xml:space="preserve"> ADDIN EN.CITE &lt;EndNote&gt;&lt;Cite&gt;&lt;Author&gt;Kulldorff&lt;/Author&gt;&lt;Year&gt;2006&lt;/Year&gt;&lt;RecNum&gt;32&lt;/RecNum&gt;&lt;DisplayText&gt;[15]&lt;/DisplayText&gt;&lt;record&gt;&lt;rec-number&gt;32&lt;/rec-number&gt;&lt;foreign-keys&gt;&lt;key app="EN" db-id="rzsrwz2pt2tfzged2xlvt2eh9adpzpfrt29r" timestamp="1612090639"&gt;32&lt;/key&gt;&lt;/foreign-keys&gt;&lt;ref-type name="Electronic Book"&gt;44&lt;/ref-type&gt;&lt;contributors&gt;&lt;authors&gt;&lt;author&gt;Kulldorff, Martin&lt;/author&gt;&lt;/authors&gt;&lt;/contributors&gt;&lt;titles&gt;&lt;title&gt;SaTScanTM user guide&lt;/title&gt;&lt;/titles&gt;&lt;dates&gt;&lt;year&gt;2006&lt;/year&gt;&lt;/dates&gt;&lt;urls&gt;&lt;related-urls&gt;&lt;url&gt;http://cdemat.free.fr/iurc/demattei/satscan.7.0/SaTScan_Users_Guide.pdf&lt;/url&gt;&lt;/related-urls&gt;&lt;/urls&gt;&lt;/record&gt;&lt;/Cite&gt;&lt;/EndNote&gt;</w:instrText>
      </w:r>
      <w:r w:rsidR="00AC2BAF">
        <w:rPr>
          <w:rFonts w:cstheme="minorHAnsi"/>
        </w:rPr>
        <w:fldChar w:fldCharType="separate"/>
      </w:r>
      <w:r w:rsidR="000900CA">
        <w:rPr>
          <w:rFonts w:cstheme="minorHAnsi"/>
          <w:noProof/>
        </w:rPr>
        <w:t>[15]</w:t>
      </w:r>
      <w:r w:rsidR="00AC2BAF">
        <w:rPr>
          <w:rFonts w:cstheme="minorHAnsi"/>
        </w:rPr>
        <w:fldChar w:fldCharType="end"/>
      </w:r>
      <w:r w:rsidR="00B32504" w:rsidRPr="001E7454">
        <w:rPr>
          <w:rFonts w:cstheme="minorHAnsi"/>
        </w:rPr>
        <w:t xml:space="preserve"> to assess geographic clustering of s</w:t>
      </w:r>
      <w:r w:rsidR="000C21E0">
        <w:rPr>
          <w:rFonts w:cstheme="minorHAnsi"/>
        </w:rPr>
        <w:t>hort stature</w:t>
      </w:r>
      <w:r w:rsidRPr="001E7454">
        <w:rPr>
          <w:rFonts w:cstheme="minorHAnsi"/>
        </w:rPr>
        <w:t xml:space="preserve">. </w:t>
      </w:r>
      <w:proofErr w:type="spellStart"/>
      <w:r w:rsidRPr="001E7454">
        <w:rPr>
          <w:rFonts w:cstheme="minorHAnsi"/>
        </w:rPr>
        <w:t>SatScan</w:t>
      </w:r>
      <w:proofErr w:type="spellEnd"/>
      <w:r w:rsidRPr="001E7454">
        <w:rPr>
          <w:rFonts w:cstheme="minorHAnsi"/>
        </w:rPr>
        <w:t xml:space="preserve"> analyses geographical data to </w:t>
      </w:r>
      <w:r w:rsidR="00C71110" w:rsidRPr="001E7454">
        <w:rPr>
          <w:rFonts w:cstheme="minorHAnsi"/>
        </w:rPr>
        <w:t>identify</w:t>
      </w:r>
      <w:r w:rsidRPr="001E7454">
        <w:rPr>
          <w:rFonts w:cstheme="minorHAnsi"/>
        </w:rPr>
        <w:t xml:space="preserve"> disease or other event clusters and tests for statistical significance. Th</w:t>
      </w:r>
      <w:r w:rsidR="00A07C82" w:rsidRPr="001E7454">
        <w:rPr>
          <w:rFonts w:cstheme="minorHAnsi"/>
        </w:rPr>
        <w:t>e software s</w:t>
      </w:r>
      <w:r w:rsidRPr="001E7454">
        <w:rPr>
          <w:rFonts w:cstheme="minorHAnsi"/>
        </w:rPr>
        <w:t>can</w:t>
      </w:r>
      <w:r w:rsidR="00A07C82" w:rsidRPr="001E7454">
        <w:rPr>
          <w:rFonts w:cstheme="minorHAnsi"/>
        </w:rPr>
        <w:t>s</w:t>
      </w:r>
      <w:r w:rsidRPr="001E7454">
        <w:rPr>
          <w:rFonts w:cstheme="minorHAnsi"/>
        </w:rPr>
        <w:t xml:space="preserve"> a geographical area using a circular window</w:t>
      </w:r>
      <w:r w:rsidR="00A07C82" w:rsidRPr="001E7454">
        <w:rPr>
          <w:rFonts w:cstheme="minorHAnsi"/>
        </w:rPr>
        <w:t xml:space="preserve">, which is then </w:t>
      </w:r>
      <w:r w:rsidRPr="001E7454">
        <w:rPr>
          <w:rFonts w:cstheme="minorHAnsi"/>
        </w:rPr>
        <w:t xml:space="preserve">positioned at each point </w:t>
      </w:r>
      <w:proofErr w:type="gramStart"/>
      <w:r w:rsidRPr="001E7454">
        <w:rPr>
          <w:rFonts w:cstheme="minorHAnsi"/>
        </w:rPr>
        <w:t>in a given</w:t>
      </w:r>
      <w:proofErr w:type="gramEnd"/>
      <w:r w:rsidRPr="001E7454">
        <w:rPr>
          <w:rFonts w:cstheme="minorHAnsi"/>
        </w:rPr>
        <w:t xml:space="preserve"> geographical grid and varies in size from zero to an upper limit predetermined by the researcher. </w:t>
      </w:r>
      <w:r w:rsidR="00023B64" w:rsidRPr="001E7454">
        <w:rPr>
          <w:rFonts w:cstheme="minorHAnsi"/>
        </w:rPr>
        <w:t xml:space="preserve">A null hypothesis of equal risk inside and outside the circular window is tested using likelihood ratios. </w:t>
      </w:r>
      <w:r w:rsidRPr="001E7454">
        <w:rPr>
          <w:rFonts w:cstheme="minorHAnsi"/>
        </w:rPr>
        <w:t>The most probable cluster is chosen by this scanning system as that with the highest likelihood ratio. Th</w:t>
      </w:r>
      <w:r w:rsidR="00EB25B0">
        <w:rPr>
          <w:rFonts w:cstheme="minorHAnsi"/>
        </w:rPr>
        <w:t>e software then systematically scans for the next most probabl</w:t>
      </w:r>
      <w:r w:rsidR="0038161D">
        <w:rPr>
          <w:rFonts w:cstheme="minorHAnsi"/>
        </w:rPr>
        <w:t>e</w:t>
      </w:r>
      <w:r w:rsidR="00EB25B0">
        <w:rPr>
          <w:rFonts w:cstheme="minorHAnsi"/>
        </w:rPr>
        <w:t xml:space="preserve"> cluster. </w:t>
      </w:r>
      <w:r w:rsidR="00A95B99" w:rsidRPr="001E7454">
        <w:rPr>
          <w:rFonts w:cstheme="minorHAnsi"/>
        </w:rPr>
        <w:t xml:space="preserve">Geographic aggregation units for all spatial analyses were lower tier LAs. In England, lower tier LAs include local authority districts, unitary authorities, metropolitan </w:t>
      </w:r>
      <w:proofErr w:type="gramStart"/>
      <w:r w:rsidR="00A95B99" w:rsidRPr="001E7454">
        <w:rPr>
          <w:rFonts w:cstheme="minorHAnsi"/>
        </w:rPr>
        <w:t>districts</w:t>
      </w:r>
      <w:proofErr w:type="gramEnd"/>
      <w:r w:rsidR="00A95B99" w:rsidRPr="001E7454">
        <w:rPr>
          <w:rFonts w:cstheme="minorHAnsi"/>
        </w:rPr>
        <w:t xml:space="preserve"> and London boroughs. </w:t>
      </w:r>
      <w:r w:rsidR="00BE745C" w:rsidRPr="001E7454">
        <w:rPr>
          <w:rFonts w:cstheme="minorHAnsi"/>
        </w:rPr>
        <w:t xml:space="preserve">We scanned the data unadjusted, </w:t>
      </w:r>
      <w:r w:rsidR="00A95B99">
        <w:rPr>
          <w:rFonts w:cstheme="minorHAnsi"/>
        </w:rPr>
        <w:t xml:space="preserve">then </w:t>
      </w:r>
      <w:r w:rsidR="00BE745C" w:rsidRPr="001E7454">
        <w:rPr>
          <w:rFonts w:cstheme="minorHAnsi"/>
        </w:rPr>
        <w:t xml:space="preserve">adjusted for ethnicity and adjusted for </w:t>
      </w:r>
      <w:r w:rsidR="00A95B99">
        <w:rPr>
          <w:rFonts w:cstheme="minorHAnsi"/>
        </w:rPr>
        <w:t xml:space="preserve">both </w:t>
      </w:r>
      <w:r w:rsidR="00BE745C" w:rsidRPr="001E7454">
        <w:rPr>
          <w:rFonts w:cstheme="minorHAnsi"/>
        </w:rPr>
        <w:t xml:space="preserve">ethnicity and IMD. </w:t>
      </w:r>
      <w:r w:rsidR="00023B64" w:rsidRPr="001E7454">
        <w:rPr>
          <w:rFonts w:cstheme="minorHAnsi"/>
        </w:rPr>
        <w:t>A Bernoulli probability model for count data was used</w:t>
      </w:r>
      <w:r w:rsidR="00E76184">
        <w:rPr>
          <w:rFonts w:cstheme="minorHAnsi"/>
        </w:rPr>
        <w:t>;</w:t>
      </w:r>
      <w:r w:rsidR="00023B64" w:rsidRPr="001E7454">
        <w:rPr>
          <w:rFonts w:cstheme="minorHAnsi"/>
        </w:rPr>
        <w:t xml:space="preserve"> model specifications </w:t>
      </w:r>
      <w:r w:rsidR="00E76184">
        <w:rPr>
          <w:rFonts w:cstheme="minorHAnsi"/>
        </w:rPr>
        <w:t>and</w:t>
      </w:r>
      <w:r w:rsidR="00BE745C" w:rsidRPr="001E7454">
        <w:rPr>
          <w:rFonts w:cstheme="minorHAnsi"/>
        </w:rPr>
        <w:t xml:space="preserve"> details of the adjustment strategy </w:t>
      </w:r>
      <w:r w:rsidR="00023B64" w:rsidRPr="001E7454">
        <w:rPr>
          <w:rFonts w:cstheme="minorHAnsi"/>
        </w:rPr>
        <w:t xml:space="preserve">are given in </w:t>
      </w:r>
      <w:r w:rsidR="00CE21D7">
        <w:rPr>
          <w:rFonts w:cstheme="minorHAnsi"/>
        </w:rPr>
        <w:t>Supplement</w:t>
      </w:r>
      <w:r w:rsidR="00023B64" w:rsidRPr="001E7454">
        <w:rPr>
          <w:rFonts w:cstheme="minorHAnsi"/>
        </w:rPr>
        <w:t xml:space="preserve"> </w:t>
      </w:r>
      <w:r w:rsidR="00C51061">
        <w:rPr>
          <w:rFonts w:cstheme="minorHAnsi"/>
        </w:rPr>
        <w:t>C</w:t>
      </w:r>
      <w:r w:rsidR="00BB389E">
        <w:rPr>
          <w:rFonts w:cstheme="minorHAnsi"/>
        </w:rPr>
        <w:t xml:space="preserve"> and </w:t>
      </w:r>
      <w:proofErr w:type="gramStart"/>
      <w:r w:rsidR="00BB389E">
        <w:rPr>
          <w:rFonts w:cstheme="minorHAnsi"/>
        </w:rPr>
        <w:t>Supplementa</w:t>
      </w:r>
      <w:r w:rsidR="008C3316">
        <w:rPr>
          <w:rFonts w:cstheme="minorHAnsi"/>
        </w:rPr>
        <w:t xml:space="preserve">l </w:t>
      </w:r>
      <w:r w:rsidR="00BB389E">
        <w:rPr>
          <w:rFonts w:cstheme="minorHAnsi"/>
        </w:rPr>
        <w:t xml:space="preserve"> Tables</w:t>
      </w:r>
      <w:proofErr w:type="gramEnd"/>
      <w:r w:rsidR="00BB389E">
        <w:rPr>
          <w:rFonts w:cstheme="minorHAnsi"/>
        </w:rPr>
        <w:t xml:space="preserve"> C1-C4</w:t>
      </w:r>
      <w:r w:rsidR="00023B64" w:rsidRPr="001E7454">
        <w:rPr>
          <w:rFonts w:cstheme="minorHAnsi"/>
        </w:rPr>
        <w:t>.</w:t>
      </w:r>
      <w:r w:rsidR="00191147">
        <w:rPr>
          <w:rFonts w:cstheme="minorHAnsi"/>
        </w:rPr>
        <w:t xml:space="preserve"> We initially analysed data for all years, and then </w:t>
      </w:r>
      <w:r w:rsidR="00153F1C">
        <w:rPr>
          <w:rFonts w:cstheme="minorHAnsi"/>
        </w:rPr>
        <w:t xml:space="preserve">further </w:t>
      </w:r>
      <w:r w:rsidR="000839B9" w:rsidRPr="001E7454">
        <w:rPr>
          <w:rFonts w:cstheme="minorHAnsi"/>
        </w:rPr>
        <w:t>assessed whether the clusters identified were consistent over time by analysing four NCMP time periods separately (</w:t>
      </w:r>
      <w:r w:rsidR="00E50967">
        <w:rPr>
          <w:rFonts w:cstheme="minorHAnsi"/>
        </w:rPr>
        <w:t xml:space="preserve">school years </w:t>
      </w:r>
      <w:r w:rsidR="000839B9" w:rsidRPr="001E7454">
        <w:rPr>
          <w:rFonts w:cstheme="minorHAnsi"/>
        </w:rPr>
        <w:t>2006</w:t>
      </w:r>
      <w:r w:rsidR="00BE21EB">
        <w:rPr>
          <w:rFonts w:cstheme="minorHAnsi"/>
        </w:rPr>
        <w:t xml:space="preserve"> to </w:t>
      </w:r>
      <w:r w:rsidR="001861D4">
        <w:rPr>
          <w:rFonts w:cstheme="minorHAnsi"/>
        </w:rPr>
        <w:t>20</w:t>
      </w:r>
      <w:r w:rsidR="00BE21EB">
        <w:rPr>
          <w:rFonts w:cstheme="minorHAnsi"/>
        </w:rPr>
        <w:t>10</w:t>
      </w:r>
      <w:r w:rsidR="000839B9" w:rsidRPr="001E7454">
        <w:rPr>
          <w:rFonts w:cstheme="minorHAnsi"/>
        </w:rPr>
        <w:t>; 2010</w:t>
      </w:r>
      <w:r w:rsidR="00BE21EB">
        <w:rPr>
          <w:rFonts w:cstheme="minorHAnsi"/>
        </w:rPr>
        <w:t xml:space="preserve"> to </w:t>
      </w:r>
      <w:r w:rsidR="000839B9" w:rsidRPr="001E7454">
        <w:rPr>
          <w:rFonts w:cstheme="minorHAnsi"/>
        </w:rPr>
        <w:t>201</w:t>
      </w:r>
      <w:r w:rsidR="00BE21EB">
        <w:rPr>
          <w:rFonts w:cstheme="minorHAnsi"/>
        </w:rPr>
        <w:t>3</w:t>
      </w:r>
      <w:r w:rsidR="000839B9" w:rsidRPr="001E7454">
        <w:rPr>
          <w:rFonts w:cstheme="minorHAnsi"/>
        </w:rPr>
        <w:t>; 2013</w:t>
      </w:r>
      <w:r w:rsidR="00BE21EB">
        <w:rPr>
          <w:rFonts w:cstheme="minorHAnsi"/>
        </w:rPr>
        <w:t xml:space="preserve"> to </w:t>
      </w:r>
      <w:r w:rsidR="001861D4">
        <w:rPr>
          <w:rFonts w:cstheme="minorHAnsi"/>
        </w:rPr>
        <w:t>20</w:t>
      </w:r>
      <w:r w:rsidR="000839B9" w:rsidRPr="001E7454">
        <w:rPr>
          <w:rFonts w:cstheme="minorHAnsi"/>
        </w:rPr>
        <w:t>1</w:t>
      </w:r>
      <w:r w:rsidR="00BE21EB">
        <w:rPr>
          <w:rFonts w:cstheme="minorHAnsi"/>
        </w:rPr>
        <w:t>6;</w:t>
      </w:r>
      <w:r w:rsidR="000839B9" w:rsidRPr="001E7454">
        <w:rPr>
          <w:rFonts w:cstheme="minorHAnsi"/>
        </w:rPr>
        <w:t xml:space="preserve"> 2016</w:t>
      </w:r>
      <w:r w:rsidR="00BE21EB">
        <w:rPr>
          <w:rFonts w:cstheme="minorHAnsi"/>
        </w:rPr>
        <w:t xml:space="preserve"> to </w:t>
      </w:r>
      <w:r w:rsidR="001861D4">
        <w:rPr>
          <w:rFonts w:cstheme="minorHAnsi"/>
        </w:rPr>
        <w:t>20</w:t>
      </w:r>
      <w:r w:rsidR="000839B9" w:rsidRPr="001E7454">
        <w:rPr>
          <w:rFonts w:cstheme="minorHAnsi"/>
        </w:rPr>
        <w:t xml:space="preserve">19). </w:t>
      </w:r>
      <w:r w:rsidR="009E5832">
        <w:rPr>
          <w:rFonts w:cstheme="minorHAnsi"/>
        </w:rPr>
        <w:t xml:space="preserve">We present </w:t>
      </w:r>
      <w:r w:rsidR="00C63599">
        <w:rPr>
          <w:rFonts w:cstheme="minorHAnsi"/>
        </w:rPr>
        <w:t xml:space="preserve">all statistically significant </w:t>
      </w:r>
      <w:r w:rsidR="009E5832">
        <w:rPr>
          <w:rFonts w:cstheme="minorHAnsi"/>
        </w:rPr>
        <w:t xml:space="preserve">clusters </w:t>
      </w:r>
      <w:r w:rsidR="002F33E9">
        <w:rPr>
          <w:rFonts w:cstheme="minorHAnsi"/>
        </w:rPr>
        <w:t>(threshold p&lt;</w:t>
      </w:r>
      <w:r w:rsidR="009E5832">
        <w:rPr>
          <w:rFonts w:cstheme="minorHAnsi"/>
        </w:rPr>
        <w:t>0.05</w:t>
      </w:r>
      <w:r w:rsidR="002F33E9">
        <w:rPr>
          <w:rFonts w:cstheme="minorHAnsi"/>
        </w:rPr>
        <w:t>)</w:t>
      </w:r>
      <w:r w:rsidR="009D6C6E">
        <w:rPr>
          <w:rFonts w:cstheme="minorHAnsi"/>
        </w:rPr>
        <w:t>. P values were</w:t>
      </w:r>
      <w:r w:rsidR="009E5832">
        <w:rPr>
          <w:rFonts w:cstheme="minorHAnsi"/>
        </w:rPr>
        <w:t xml:space="preserve"> de</w:t>
      </w:r>
      <w:r w:rsidR="00C63599">
        <w:rPr>
          <w:rFonts w:cstheme="minorHAnsi"/>
        </w:rPr>
        <w:t>termined</w:t>
      </w:r>
      <w:r w:rsidR="009E5832">
        <w:rPr>
          <w:rFonts w:cstheme="minorHAnsi"/>
        </w:rPr>
        <w:t xml:space="preserve"> by log-likelihoods being greater than a critical value established for each model through Standard Monte Carlo and Gumbel approximation</w:t>
      </w:r>
      <w:r w:rsidR="00267709">
        <w:rPr>
          <w:rFonts w:cstheme="minorHAnsi"/>
        </w:rPr>
        <w:t xml:space="preserve"> </w:t>
      </w:r>
      <w:r w:rsidR="00A9607C">
        <w:rPr>
          <w:rFonts w:cstheme="minorHAnsi"/>
        </w:rPr>
        <w:fldChar w:fldCharType="begin"/>
      </w:r>
      <w:r w:rsidR="000900CA">
        <w:rPr>
          <w:rFonts w:cstheme="minorHAnsi"/>
        </w:rPr>
        <w:instrText xml:space="preserve"> ADDIN EN.CITE &lt;EndNote&gt;&lt;Cite&gt;&lt;Author&gt;Kulldorff&lt;/Author&gt;&lt;Year&gt;2006&lt;/Year&gt;&lt;RecNum&gt;32&lt;/RecNum&gt;&lt;DisplayText&gt;[15]&lt;/DisplayText&gt;&lt;record&gt;&lt;rec-number&gt;32&lt;/rec-number&gt;&lt;foreign-keys&gt;&lt;key app="EN" db-id="rzsrwz2pt2tfzged2xlvt2eh9adpzpfrt29r" timestamp="1612090639"&gt;32&lt;/key&gt;&lt;/foreign-keys&gt;&lt;ref-type name="Electronic Book"&gt;44&lt;/ref-type&gt;&lt;contributors&gt;&lt;authors&gt;&lt;author&gt;Kulldorff, Martin&lt;/author&gt;&lt;/authors&gt;&lt;/contributors&gt;&lt;titles&gt;&lt;title&gt;SaTScanTM user guide&lt;/title&gt;&lt;/titles&gt;&lt;dates&gt;&lt;year&gt;2006&lt;/year&gt;&lt;/dates&gt;&lt;urls&gt;&lt;related-urls&gt;&lt;url&gt;http://cdemat.free.fr/iurc/demattei/satscan.7.0/SaTScan_Users_Guide.pdf&lt;/url&gt;&lt;/related-urls&gt;&lt;/urls&gt;&lt;/record&gt;&lt;/Cite&gt;&lt;/EndNote&gt;</w:instrText>
      </w:r>
      <w:r w:rsidR="00A9607C">
        <w:rPr>
          <w:rFonts w:cstheme="minorHAnsi"/>
        </w:rPr>
        <w:fldChar w:fldCharType="separate"/>
      </w:r>
      <w:r w:rsidR="000900CA">
        <w:rPr>
          <w:rFonts w:cstheme="minorHAnsi"/>
          <w:noProof/>
        </w:rPr>
        <w:t>[15]</w:t>
      </w:r>
      <w:r w:rsidR="00A9607C">
        <w:rPr>
          <w:rFonts w:cstheme="minorHAnsi"/>
        </w:rPr>
        <w:fldChar w:fldCharType="end"/>
      </w:r>
      <w:r w:rsidR="00267709">
        <w:rPr>
          <w:rFonts w:cstheme="minorHAnsi"/>
        </w:rPr>
        <w:t>.</w:t>
      </w:r>
      <w:r w:rsidR="009E5832">
        <w:rPr>
          <w:rFonts w:cstheme="minorHAnsi"/>
        </w:rPr>
        <w:t xml:space="preserve">  </w:t>
      </w:r>
    </w:p>
    <w:p w14:paraId="74B5E3CF" w14:textId="77777777" w:rsidR="001E7454" w:rsidRPr="001E7454" w:rsidRDefault="001E7454" w:rsidP="001E7454">
      <w:pPr>
        <w:spacing w:after="0" w:line="360" w:lineRule="auto"/>
        <w:rPr>
          <w:rFonts w:cstheme="minorHAnsi"/>
        </w:rPr>
      </w:pPr>
    </w:p>
    <w:p w14:paraId="7AEE1014" w14:textId="77777777" w:rsidR="00DE3A57" w:rsidRPr="001E7454" w:rsidRDefault="00DE3A57" w:rsidP="001E7454">
      <w:pPr>
        <w:spacing w:after="0" w:line="360" w:lineRule="auto"/>
        <w:rPr>
          <w:rFonts w:cstheme="minorHAnsi"/>
          <w:b/>
          <w:bCs/>
        </w:rPr>
      </w:pPr>
      <w:r w:rsidRPr="001E7454">
        <w:rPr>
          <w:rFonts w:cstheme="minorHAnsi"/>
          <w:b/>
          <w:bCs/>
        </w:rPr>
        <w:t>Supplemental analyses</w:t>
      </w:r>
    </w:p>
    <w:p w14:paraId="66B49398" w14:textId="33BE550E" w:rsidR="00A8146C" w:rsidRDefault="00F36E1E" w:rsidP="001E7454">
      <w:pPr>
        <w:spacing w:after="0" w:line="360" w:lineRule="auto"/>
        <w:rPr>
          <w:rFonts w:cstheme="minorHAnsi"/>
        </w:rPr>
      </w:pPr>
      <w:r w:rsidRPr="001E7454">
        <w:rPr>
          <w:rFonts w:cstheme="minorHAnsi"/>
        </w:rPr>
        <w:t xml:space="preserve">We repeated all analyses using </w:t>
      </w:r>
      <w:r w:rsidR="00062DCF">
        <w:rPr>
          <w:rFonts w:cstheme="minorHAnsi"/>
        </w:rPr>
        <w:t>very short stature</w:t>
      </w:r>
      <w:r w:rsidR="00A51CBC" w:rsidRPr="001E7454">
        <w:rPr>
          <w:rFonts w:cstheme="minorHAnsi"/>
        </w:rPr>
        <w:t>, defined as</w:t>
      </w:r>
      <w:r w:rsidR="003B417F">
        <w:rPr>
          <w:rFonts w:cstheme="minorHAnsi"/>
        </w:rPr>
        <w:t xml:space="preserve"> height</w:t>
      </w:r>
      <w:r w:rsidR="00A51CBC" w:rsidRPr="001E7454">
        <w:rPr>
          <w:rFonts w:cstheme="minorHAnsi"/>
        </w:rPr>
        <w:t xml:space="preserve"> </w:t>
      </w:r>
      <w:r w:rsidRPr="001E7454">
        <w:rPr>
          <w:rFonts w:cstheme="minorHAnsi"/>
        </w:rPr>
        <w:t>&lt;-2.6</w:t>
      </w:r>
      <w:r w:rsidR="00AC1735">
        <w:rPr>
          <w:rFonts w:cstheme="minorHAnsi"/>
        </w:rPr>
        <w:t>7</w:t>
      </w:r>
      <w:r w:rsidRPr="001E7454">
        <w:rPr>
          <w:rFonts w:cstheme="minorHAnsi"/>
        </w:rPr>
        <w:t xml:space="preserve"> SDS</w:t>
      </w:r>
      <w:r w:rsidR="00A51CBC" w:rsidRPr="001E7454">
        <w:rPr>
          <w:rFonts w:cstheme="minorHAnsi"/>
        </w:rPr>
        <w:t xml:space="preserve"> (equivalent to </w:t>
      </w:r>
      <w:r w:rsidR="00E50967">
        <w:rPr>
          <w:rFonts w:cstheme="minorHAnsi"/>
        </w:rPr>
        <w:t>&lt;</w:t>
      </w:r>
      <w:r w:rsidR="00A51CBC" w:rsidRPr="001E7454">
        <w:rPr>
          <w:rFonts w:cstheme="minorHAnsi"/>
        </w:rPr>
        <w:t>0.4</w:t>
      </w:r>
      <w:r w:rsidR="00A51CBC" w:rsidRPr="001E7454">
        <w:rPr>
          <w:rFonts w:cstheme="minorHAnsi"/>
          <w:vertAlign w:val="superscript"/>
        </w:rPr>
        <w:t>th</w:t>
      </w:r>
      <w:r w:rsidR="00A51CBC" w:rsidRPr="001E7454">
        <w:rPr>
          <w:rFonts w:cstheme="minorHAnsi"/>
        </w:rPr>
        <w:t xml:space="preserve"> percentile</w:t>
      </w:r>
      <w:r w:rsidR="0038161D">
        <w:rPr>
          <w:rFonts w:cstheme="minorHAnsi"/>
        </w:rPr>
        <w:t>), which is</w:t>
      </w:r>
      <w:r w:rsidR="00A51CBC" w:rsidRPr="001E7454">
        <w:rPr>
          <w:rFonts w:cstheme="minorHAnsi"/>
        </w:rPr>
        <w:t xml:space="preserve"> used</w:t>
      </w:r>
      <w:r w:rsidR="00E33401">
        <w:rPr>
          <w:rFonts w:cstheme="minorHAnsi"/>
        </w:rPr>
        <w:t xml:space="preserve"> </w:t>
      </w:r>
      <w:r w:rsidR="008A6856">
        <w:rPr>
          <w:rFonts w:cstheme="minorHAnsi"/>
        </w:rPr>
        <w:t xml:space="preserve">as a referral cut-off for </w:t>
      </w:r>
      <w:r w:rsidR="0038161D">
        <w:rPr>
          <w:rFonts w:cstheme="minorHAnsi"/>
        </w:rPr>
        <w:t xml:space="preserve">investigation of </w:t>
      </w:r>
      <w:r w:rsidR="008A6856">
        <w:rPr>
          <w:rFonts w:cstheme="minorHAnsi"/>
        </w:rPr>
        <w:t>short stature in the UK</w:t>
      </w:r>
      <w:r w:rsidR="002E7521">
        <w:rPr>
          <w:rFonts w:cstheme="minorHAnsi"/>
        </w:rPr>
        <w:t xml:space="preserve"> </w:t>
      </w:r>
      <w:r w:rsidR="003C446C">
        <w:rPr>
          <w:rFonts w:cstheme="minorHAnsi"/>
        </w:rPr>
        <w:fldChar w:fldCharType="begin"/>
      </w:r>
      <w:r w:rsidR="000900CA">
        <w:rPr>
          <w:rFonts w:cstheme="minorHAnsi"/>
        </w:rPr>
        <w:instrText xml:space="preserve"> ADDIN EN.CITE &lt;EndNote&gt;&lt;Cite&gt;&lt;Author&gt;Cole&lt;/Author&gt;&lt;Year&gt;1994&lt;/Year&gt;&lt;RecNum&gt;51&lt;/RecNum&gt;&lt;DisplayText&gt;[16]&lt;/DisplayText&gt;&lt;record&gt;&lt;rec-number&gt;51&lt;/rec-number&gt;&lt;foreign-keys&gt;&lt;key app="EN" db-id="rzsrwz2pt2tfzged2xlvt2eh9adpzpfrt29r" timestamp="1624033391"&gt;51&lt;/key&gt;&lt;/foreign-keys&gt;&lt;ref-type name="Journal Article"&gt;17&lt;/ref-type&gt;&lt;contributors&gt;&lt;authors&gt;&lt;author&gt;Cole, T J&lt;/author&gt;&lt;/authors&gt;&lt;/contributors&gt;&lt;titles&gt;&lt;title&gt;Do growth chart centiles need a face lift?&lt;/title&gt;&lt;secondary-title&gt;BMJ&lt;/secondary-title&gt;&lt;/titles&gt;&lt;periodical&gt;&lt;full-title&gt;BMJ&lt;/full-title&gt;&lt;/periodical&gt;&lt;pages&gt;641-642&lt;/pages&gt;&lt;volume&gt;308&lt;/volume&gt;&lt;number&gt;6929&lt;/number&gt;&lt;dates&gt;&lt;year&gt;1994&lt;/year&gt;&lt;/dates&gt;&lt;urls&gt;&lt;/urls&gt;&lt;electronic-resource-num&gt;10.1136/bmj.308.6929.641&lt;/electronic-resource-num&gt;&lt;/record&gt;&lt;/Cite&gt;&lt;/EndNote&gt;</w:instrText>
      </w:r>
      <w:r w:rsidR="003C446C">
        <w:rPr>
          <w:rFonts w:cstheme="minorHAnsi"/>
        </w:rPr>
        <w:fldChar w:fldCharType="separate"/>
      </w:r>
      <w:r w:rsidR="000900CA">
        <w:rPr>
          <w:rFonts w:cstheme="minorHAnsi"/>
          <w:noProof/>
        </w:rPr>
        <w:t>[16]</w:t>
      </w:r>
      <w:r w:rsidR="003C446C">
        <w:rPr>
          <w:rFonts w:cstheme="minorHAnsi"/>
        </w:rPr>
        <w:fldChar w:fldCharType="end"/>
      </w:r>
      <w:r w:rsidR="002E7521">
        <w:rPr>
          <w:rFonts w:cstheme="minorHAnsi"/>
        </w:rPr>
        <w:t>.</w:t>
      </w:r>
      <w:r w:rsidRPr="001E7454">
        <w:rPr>
          <w:rFonts w:cstheme="minorHAnsi"/>
        </w:rPr>
        <w:t xml:space="preserve"> </w:t>
      </w:r>
      <w:r w:rsidR="00397470">
        <w:rPr>
          <w:rFonts w:cstheme="minorHAnsi"/>
        </w:rPr>
        <w:t>Due to the exclusion of some of the sample from spatial analyses because of missing ethnicity and IMD data, a</w:t>
      </w:r>
      <w:r w:rsidR="00EE32E9">
        <w:rPr>
          <w:rFonts w:cstheme="minorHAnsi"/>
        </w:rPr>
        <w:t xml:space="preserve"> sensitivity analysis was conducted running an unadjusted </w:t>
      </w:r>
      <w:proofErr w:type="spellStart"/>
      <w:r w:rsidR="00EE32E9">
        <w:rPr>
          <w:rFonts w:cstheme="minorHAnsi"/>
        </w:rPr>
        <w:t>SatScan</w:t>
      </w:r>
      <w:proofErr w:type="spellEnd"/>
      <w:r w:rsidR="00EE32E9">
        <w:rPr>
          <w:rFonts w:cstheme="minorHAnsi"/>
        </w:rPr>
        <w:t xml:space="preserve"> model on the full dataset </w:t>
      </w:r>
      <w:r w:rsidR="00B657AE">
        <w:rPr>
          <w:rFonts w:cstheme="minorHAnsi"/>
        </w:rPr>
        <w:t>to check for bias</w:t>
      </w:r>
      <w:r w:rsidR="004A546B">
        <w:rPr>
          <w:rFonts w:cstheme="minorHAnsi"/>
        </w:rPr>
        <w:t>.</w:t>
      </w:r>
      <w:r w:rsidR="00BF7E85">
        <w:rPr>
          <w:rFonts w:cstheme="minorHAnsi"/>
        </w:rPr>
        <w:t xml:space="preserve"> We also examined the percentages of children </w:t>
      </w:r>
      <w:r w:rsidR="007443D6">
        <w:rPr>
          <w:rFonts w:cstheme="minorHAnsi"/>
        </w:rPr>
        <w:t>by</w:t>
      </w:r>
      <w:r w:rsidR="00BF7E85">
        <w:rPr>
          <w:rFonts w:cstheme="minorHAnsi"/>
        </w:rPr>
        <w:t xml:space="preserve"> sex, </w:t>
      </w:r>
      <w:proofErr w:type="gramStart"/>
      <w:r w:rsidR="00BF7E85">
        <w:rPr>
          <w:rFonts w:cstheme="minorHAnsi"/>
        </w:rPr>
        <w:t>ethnicity</w:t>
      </w:r>
      <w:proofErr w:type="gramEnd"/>
      <w:r w:rsidR="00BF7E85">
        <w:rPr>
          <w:rFonts w:cstheme="minorHAnsi"/>
        </w:rPr>
        <w:t xml:space="preserve"> and region in our dataset against Census and projections data from 2011-2012 to assess whether our sample matched the population</w:t>
      </w:r>
      <w:r w:rsidR="007443D6">
        <w:rPr>
          <w:rFonts w:cstheme="minorHAnsi"/>
        </w:rPr>
        <w:t xml:space="preserve">. </w:t>
      </w:r>
    </w:p>
    <w:p w14:paraId="6D0C3E56" w14:textId="09C05A9D" w:rsidR="00512711" w:rsidRDefault="00512711" w:rsidP="001E7454">
      <w:pPr>
        <w:spacing w:after="0" w:line="360" w:lineRule="auto"/>
        <w:rPr>
          <w:rFonts w:cstheme="minorHAnsi"/>
        </w:rPr>
      </w:pPr>
    </w:p>
    <w:p w14:paraId="3360E5C5" w14:textId="7B524960" w:rsidR="00512711" w:rsidRPr="00512711" w:rsidRDefault="00512711" w:rsidP="001E7454">
      <w:pPr>
        <w:spacing w:after="0" w:line="360" w:lineRule="auto"/>
        <w:rPr>
          <w:rFonts w:cstheme="minorHAnsi"/>
          <w:b/>
          <w:bCs/>
        </w:rPr>
      </w:pPr>
      <w:r>
        <w:rPr>
          <w:rFonts w:cstheme="minorHAnsi"/>
          <w:b/>
          <w:bCs/>
        </w:rPr>
        <w:t>Ethical approval</w:t>
      </w:r>
    </w:p>
    <w:p w14:paraId="5A8D2668" w14:textId="514BCCC5" w:rsidR="00EB2596" w:rsidRDefault="00957395" w:rsidP="00EB2596">
      <w:pPr>
        <w:spacing w:after="0" w:line="360" w:lineRule="auto"/>
        <w:rPr>
          <w:rFonts w:cstheme="minorHAnsi"/>
        </w:rPr>
      </w:pPr>
      <w:r>
        <w:rPr>
          <w:rFonts w:cstheme="minorHAnsi"/>
        </w:rPr>
        <w:t>T</w:t>
      </w:r>
      <w:r w:rsidR="00EB2596">
        <w:rPr>
          <w:rFonts w:cstheme="minorHAnsi"/>
        </w:rPr>
        <w:t xml:space="preserve">he current study </w:t>
      </w:r>
      <w:r>
        <w:rPr>
          <w:rFonts w:cstheme="minorHAnsi"/>
        </w:rPr>
        <w:t xml:space="preserve">is a </w:t>
      </w:r>
      <w:r w:rsidR="00EB2596">
        <w:rPr>
          <w:rFonts w:cstheme="minorHAnsi"/>
        </w:rPr>
        <w:t xml:space="preserve">secondary analysis of NCMP data </w:t>
      </w:r>
      <w:r>
        <w:rPr>
          <w:rFonts w:cstheme="minorHAnsi"/>
        </w:rPr>
        <w:t xml:space="preserve">and therefore </w:t>
      </w:r>
      <w:r w:rsidR="00EB2596">
        <w:rPr>
          <w:rFonts w:cstheme="minorHAnsi"/>
        </w:rPr>
        <w:t xml:space="preserve">ethical </w:t>
      </w:r>
      <w:r w:rsidR="00EB2596" w:rsidRPr="001E7454">
        <w:rPr>
          <w:rFonts w:cstheme="minorHAnsi"/>
        </w:rPr>
        <w:t>approval was not required</w:t>
      </w:r>
      <w:r w:rsidR="00EB2596">
        <w:rPr>
          <w:rFonts w:cstheme="minorHAnsi"/>
        </w:rPr>
        <w:t xml:space="preserve">. The study was </w:t>
      </w:r>
      <w:r w:rsidR="00EB2596" w:rsidRPr="001E7454">
        <w:rPr>
          <w:rFonts w:cstheme="minorHAnsi"/>
        </w:rPr>
        <w:t xml:space="preserve">registered with the Clinical Governance Department at Barts Health NHS Trust. </w:t>
      </w:r>
    </w:p>
    <w:p w14:paraId="388F17A5" w14:textId="77777777" w:rsidR="00A8146C" w:rsidRDefault="00A8146C" w:rsidP="00A8146C">
      <w:pPr>
        <w:spacing w:after="0" w:line="360" w:lineRule="auto"/>
        <w:rPr>
          <w:rFonts w:cstheme="minorHAnsi"/>
        </w:rPr>
      </w:pPr>
    </w:p>
    <w:p w14:paraId="3452FB1C" w14:textId="3FDD2934" w:rsidR="00E33401" w:rsidRPr="00C71D27" w:rsidRDefault="00E33401" w:rsidP="001E7454">
      <w:pPr>
        <w:spacing w:after="0" w:line="360" w:lineRule="auto"/>
        <w:rPr>
          <w:rFonts w:cstheme="minorHAnsi"/>
        </w:rPr>
      </w:pPr>
      <w:r>
        <w:rPr>
          <w:rFonts w:cstheme="minorHAnsi"/>
        </w:rPr>
        <w:br w:type="page"/>
      </w:r>
      <w:r>
        <w:rPr>
          <w:rFonts w:cstheme="minorHAnsi"/>
          <w:b/>
          <w:bCs/>
        </w:rPr>
        <w:t>RESULTS</w:t>
      </w:r>
    </w:p>
    <w:p w14:paraId="52486EA0" w14:textId="38DB6FD6" w:rsidR="00E828BB" w:rsidRPr="001E7454" w:rsidRDefault="00E828BB" w:rsidP="001E7454">
      <w:pPr>
        <w:spacing w:after="0" w:line="360" w:lineRule="auto"/>
        <w:rPr>
          <w:rFonts w:cstheme="minorHAnsi"/>
          <w:b/>
          <w:bCs/>
        </w:rPr>
      </w:pPr>
      <w:r w:rsidRPr="001E7454">
        <w:rPr>
          <w:rFonts w:cstheme="minorHAnsi"/>
          <w:b/>
          <w:bCs/>
        </w:rPr>
        <w:t>Prevalence of s</w:t>
      </w:r>
      <w:r w:rsidR="007C77FC">
        <w:rPr>
          <w:rFonts w:cstheme="minorHAnsi"/>
          <w:b/>
          <w:bCs/>
        </w:rPr>
        <w:t>hort stature</w:t>
      </w:r>
    </w:p>
    <w:p w14:paraId="3FC8D6B4" w14:textId="15BD59D7" w:rsidR="00E828BB" w:rsidRDefault="00E828BB" w:rsidP="001E7454">
      <w:pPr>
        <w:spacing w:after="0" w:line="360" w:lineRule="auto"/>
        <w:rPr>
          <w:rFonts w:cstheme="minorHAnsi"/>
        </w:rPr>
      </w:pPr>
      <w:r w:rsidRPr="001E7454">
        <w:rPr>
          <w:rFonts w:cstheme="minorHAnsi"/>
        </w:rPr>
        <w:t xml:space="preserve">A total of 7,299,208 </w:t>
      </w:r>
      <w:r w:rsidR="00D935E3">
        <w:rPr>
          <w:rFonts w:cstheme="minorHAnsi"/>
        </w:rPr>
        <w:t>r</w:t>
      </w:r>
      <w:r w:rsidRPr="001E7454">
        <w:rPr>
          <w:rFonts w:cstheme="minorHAnsi"/>
        </w:rPr>
        <w:t>eception-aged children participated in the NCMP between 2006 and 201</w:t>
      </w:r>
      <w:r w:rsidR="00DD18AF">
        <w:rPr>
          <w:rFonts w:cstheme="minorHAnsi"/>
        </w:rPr>
        <w:t>9</w:t>
      </w:r>
      <w:r w:rsidRPr="001E7454">
        <w:rPr>
          <w:rFonts w:cstheme="minorHAnsi"/>
        </w:rPr>
        <w:t xml:space="preserve">. NCMP response rates increased from 83% in </w:t>
      </w:r>
      <w:r w:rsidR="00593C1C">
        <w:rPr>
          <w:rFonts w:cstheme="minorHAnsi"/>
        </w:rPr>
        <w:t xml:space="preserve">the </w:t>
      </w:r>
      <w:r w:rsidRPr="001E7454">
        <w:rPr>
          <w:rFonts w:cstheme="minorHAnsi"/>
        </w:rPr>
        <w:t>2006</w:t>
      </w:r>
      <w:r w:rsidR="00593C1C">
        <w:rPr>
          <w:rFonts w:cstheme="minorHAnsi"/>
        </w:rPr>
        <w:t>-07 school year</w:t>
      </w:r>
      <w:r w:rsidRPr="001E7454">
        <w:rPr>
          <w:rFonts w:cstheme="minorHAnsi"/>
        </w:rPr>
        <w:t xml:space="preserve"> to 95% in 2018</w:t>
      </w:r>
      <w:r w:rsidR="00593C1C">
        <w:rPr>
          <w:rFonts w:cstheme="minorHAnsi"/>
        </w:rPr>
        <w:t>-19</w:t>
      </w:r>
      <w:r w:rsidRPr="001E7454">
        <w:rPr>
          <w:rFonts w:cstheme="minorHAnsi"/>
        </w:rPr>
        <w:t>. From this population, we included 7,062,071 children aged 4</w:t>
      </w:r>
      <w:r w:rsidR="00D935E3">
        <w:rPr>
          <w:rFonts w:cstheme="minorHAnsi"/>
        </w:rPr>
        <w:t>-</w:t>
      </w:r>
      <w:r w:rsidRPr="001E7454">
        <w:rPr>
          <w:rFonts w:cstheme="minorHAnsi"/>
        </w:rPr>
        <w:t xml:space="preserve">5 years at measurement who had valid locality data in our </w:t>
      </w:r>
      <w:r w:rsidR="00AD1130" w:rsidRPr="001E7454">
        <w:rPr>
          <w:rFonts w:cstheme="minorHAnsi"/>
        </w:rPr>
        <w:t xml:space="preserve">analysis of </w:t>
      </w:r>
      <w:r w:rsidRPr="001E7454">
        <w:rPr>
          <w:rFonts w:cstheme="minorHAnsi"/>
        </w:rPr>
        <w:t>country prevalence. Of these, 5,765,707</w:t>
      </w:r>
      <w:r w:rsidR="0003562E">
        <w:rPr>
          <w:rFonts w:cstheme="minorHAnsi"/>
        </w:rPr>
        <w:t xml:space="preserve"> (8</w:t>
      </w:r>
      <w:r w:rsidR="001442A7">
        <w:rPr>
          <w:rFonts w:cstheme="minorHAnsi"/>
        </w:rPr>
        <w:t>2</w:t>
      </w:r>
      <w:r w:rsidR="0003562E">
        <w:rPr>
          <w:rFonts w:cstheme="minorHAnsi"/>
        </w:rPr>
        <w:t xml:space="preserve">%) </w:t>
      </w:r>
      <w:r w:rsidRPr="001E7454">
        <w:rPr>
          <w:rFonts w:cstheme="minorHAnsi"/>
        </w:rPr>
        <w:t xml:space="preserve">had valid ethnicity </w:t>
      </w:r>
      <w:r w:rsidR="00804909">
        <w:rPr>
          <w:rFonts w:cstheme="minorHAnsi"/>
        </w:rPr>
        <w:t xml:space="preserve">and IMD </w:t>
      </w:r>
      <w:r w:rsidRPr="001E7454">
        <w:rPr>
          <w:rFonts w:cstheme="minorHAnsi"/>
        </w:rPr>
        <w:t xml:space="preserve">data and were included in unadjusted and adjusted spatial models of </w:t>
      </w:r>
      <w:r w:rsidR="006D3E55">
        <w:rPr>
          <w:rFonts w:cstheme="minorHAnsi"/>
        </w:rPr>
        <w:t>short stature</w:t>
      </w:r>
      <w:r w:rsidRPr="001E7454">
        <w:rPr>
          <w:rFonts w:cstheme="minorHAnsi"/>
        </w:rPr>
        <w:t xml:space="preserve"> clustering. </w:t>
      </w:r>
      <w:r w:rsidR="00C71D27" w:rsidRPr="001E7454">
        <w:rPr>
          <w:rFonts w:cstheme="minorHAnsi"/>
        </w:rPr>
        <w:t xml:space="preserve">Details of inclusion in the sample are given in Figure 1. </w:t>
      </w:r>
      <w:r w:rsidRPr="001E7454">
        <w:rPr>
          <w:rFonts w:cstheme="minorHAnsi"/>
        </w:rPr>
        <w:t xml:space="preserve">Missingness by sample characteristics is given in Supplemental Table </w:t>
      </w:r>
      <w:r w:rsidR="00D912D0">
        <w:rPr>
          <w:rFonts w:cstheme="minorHAnsi"/>
        </w:rPr>
        <w:t>D</w:t>
      </w:r>
      <w:r w:rsidRPr="001E7454">
        <w:rPr>
          <w:rFonts w:cstheme="minorHAnsi"/>
        </w:rPr>
        <w:t xml:space="preserve">. </w:t>
      </w:r>
      <w:r w:rsidR="005F67AA">
        <w:rPr>
          <w:rFonts w:cstheme="minorHAnsi"/>
        </w:rPr>
        <w:t xml:space="preserve">Ethnicity was missing in </w:t>
      </w:r>
      <w:r w:rsidR="005E4351">
        <w:rPr>
          <w:rFonts w:cstheme="minorHAnsi"/>
        </w:rPr>
        <w:t xml:space="preserve">18% of children, while IMD was missing in </w:t>
      </w:r>
      <w:r w:rsidR="00F26A26">
        <w:rPr>
          <w:rFonts w:cstheme="minorHAnsi"/>
        </w:rPr>
        <w:t xml:space="preserve">very </w:t>
      </w:r>
      <w:r w:rsidR="00121C73">
        <w:rPr>
          <w:rFonts w:cstheme="minorHAnsi"/>
        </w:rPr>
        <w:t>few</w:t>
      </w:r>
      <w:r w:rsidR="00F26A26">
        <w:rPr>
          <w:rFonts w:cstheme="minorHAnsi"/>
        </w:rPr>
        <w:t xml:space="preserve"> children</w:t>
      </w:r>
      <w:r w:rsidR="00770F2E">
        <w:rPr>
          <w:rFonts w:cstheme="minorHAnsi"/>
        </w:rPr>
        <w:t xml:space="preserve"> </w:t>
      </w:r>
      <w:r w:rsidR="00F26A26">
        <w:rPr>
          <w:rFonts w:cstheme="minorHAnsi"/>
        </w:rPr>
        <w:t>(</w:t>
      </w:r>
      <w:r w:rsidR="005E4351">
        <w:rPr>
          <w:rFonts w:cstheme="minorHAnsi"/>
        </w:rPr>
        <w:t>0.</w:t>
      </w:r>
      <w:r w:rsidR="00F26A26">
        <w:rPr>
          <w:rFonts w:cstheme="minorHAnsi"/>
        </w:rPr>
        <w:t>0</w:t>
      </w:r>
      <w:r w:rsidR="005E4351">
        <w:rPr>
          <w:rFonts w:cstheme="minorHAnsi"/>
        </w:rPr>
        <w:t>1%</w:t>
      </w:r>
      <w:r w:rsidR="00F26A26">
        <w:rPr>
          <w:rFonts w:cstheme="minorHAnsi"/>
        </w:rPr>
        <w:t>)</w:t>
      </w:r>
      <w:r w:rsidR="005E4351">
        <w:rPr>
          <w:rFonts w:cstheme="minorHAnsi"/>
        </w:rPr>
        <w:t xml:space="preserve">. </w:t>
      </w:r>
      <w:r w:rsidR="0003562E">
        <w:rPr>
          <w:rFonts w:cstheme="minorHAnsi"/>
        </w:rPr>
        <w:t xml:space="preserve">Missingness was </w:t>
      </w:r>
      <w:r w:rsidR="005E4351">
        <w:rPr>
          <w:rFonts w:cstheme="minorHAnsi"/>
        </w:rPr>
        <w:t xml:space="preserve">explained in part by improvements in </w:t>
      </w:r>
      <w:r w:rsidR="00121C73">
        <w:rPr>
          <w:rFonts w:cstheme="minorHAnsi"/>
        </w:rPr>
        <w:t xml:space="preserve">NCMP </w:t>
      </w:r>
      <w:r w:rsidR="005E4351">
        <w:rPr>
          <w:rFonts w:cstheme="minorHAnsi"/>
        </w:rPr>
        <w:t xml:space="preserve">data validation processes over time, with a larger percentage of missing data in the first time-period. Missingness was also </w:t>
      </w:r>
      <w:r w:rsidR="0003562E">
        <w:rPr>
          <w:rFonts w:cstheme="minorHAnsi"/>
        </w:rPr>
        <w:t>related to region but did not appear to be related to height or s</w:t>
      </w:r>
      <w:r w:rsidR="006D3E55">
        <w:rPr>
          <w:rFonts w:cstheme="minorHAnsi"/>
        </w:rPr>
        <w:t>hort stature</w:t>
      </w:r>
      <w:r w:rsidR="0003562E">
        <w:rPr>
          <w:rFonts w:cstheme="minorHAnsi"/>
        </w:rPr>
        <w:t xml:space="preserve">. </w:t>
      </w:r>
      <w:r w:rsidR="00724770">
        <w:rPr>
          <w:rFonts w:cstheme="minorHAnsi"/>
        </w:rPr>
        <w:t xml:space="preserve">We also examined 2011 Census data as well as data projections for child population numbers by region, and found that the percentages of each sex, ethnic group and region matched the population very closely (Supplemental Table </w:t>
      </w:r>
      <w:r w:rsidR="00D912D0">
        <w:rPr>
          <w:rFonts w:cstheme="minorHAnsi"/>
        </w:rPr>
        <w:t>E</w:t>
      </w:r>
      <w:r w:rsidR="006E262A">
        <w:rPr>
          <w:rFonts w:cstheme="minorHAnsi"/>
        </w:rPr>
        <w:t xml:space="preserve">). </w:t>
      </w:r>
    </w:p>
    <w:p w14:paraId="08AB7B37" w14:textId="77777777" w:rsidR="00D935E3" w:rsidRPr="001E7454" w:rsidRDefault="00D935E3" w:rsidP="001E7454">
      <w:pPr>
        <w:spacing w:after="0" w:line="360" w:lineRule="auto"/>
        <w:rPr>
          <w:rFonts w:cstheme="minorHAnsi"/>
        </w:rPr>
      </w:pPr>
    </w:p>
    <w:p w14:paraId="3C7BE7E4" w14:textId="5EBF9BD5" w:rsidR="00040FFA" w:rsidRDefault="00E828BB" w:rsidP="001E7454">
      <w:pPr>
        <w:tabs>
          <w:tab w:val="left" w:pos="13140"/>
        </w:tabs>
        <w:spacing w:after="0" w:line="360" w:lineRule="auto"/>
        <w:rPr>
          <w:rFonts w:cstheme="minorHAnsi"/>
        </w:rPr>
      </w:pPr>
      <w:r w:rsidRPr="001E7454">
        <w:rPr>
          <w:rFonts w:cstheme="minorHAnsi"/>
        </w:rPr>
        <w:t>Table 1 shows sample characteristics and prevalence of s</w:t>
      </w:r>
      <w:r w:rsidR="002E3452">
        <w:rPr>
          <w:rFonts w:cstheme="minorHAnsi"/>
        </w:rPr>
        <w:t>hort stature</w:t>
      </w:r>
      <w:r w:rsidRPr="001E7454">
        <w:rPr>
          <w:rFonts w:cstheme="minorHAnsi"/>
        </w:rPr>
        <w:t xml:space="preserve">. The mean (SD) age of children in the sample was </w:t>
      </w:r>
      <w:r w:rsidR="0067639E">
        <w:rPr>
          <w:rFonts w:cstheme="minorHAnsi"/>
        </w:rPr>
        <w:t>60.0</w:t>
      </w:r>
      <w:r w:rsidRPr="001E7454">
        <w:rPr>
          <w:rFonts w:cstheme="minorHAnsi"/>
        </w:rPr>
        <w:t xml:space="preserve"> (4.0) months and the mean (SD) height was 109.6 (5.1) cm. In the period between 2006</w:t>
      </w:r>
      <w:r w:rsidR="00A877D4">
        <w:rPr>
          <w:rFonts w:cstheme="minorHAnsi"/>
        </w:rPr>
        <w:t xml:space="preserve"> and 20</w:t>
      </w:r>
      <w:r w:rsidR="00AD1130" w:rsidRPr="001E7454">
        <w:rPr>
          <w:rFonts w:cstheme="minorHAnsi"/>
        </w:rPr>
        <w:t>19</w:t>
      </w:r>
      <w:r w:rsidRPr="001E7454">
        <w:rPr>
          <w:rFonts w:cstheme="minorHAnsi"/>
        </w:rPr>
        <w:t>, 1.93% (95% confidence interval</w:t>
      </w:r>
      <w:r w:rsidR="003E68D0">
        <w:rPr>
          <w:rFonts w:cstheme="minorHAnsi"/>
        </w:rPr>
        <w:t xml:space="preserve">: </w:t>
      </w:r>
      <w:r w:rsidRPr="001E7454">
        <w:rPr>
          <w:rFonts w:cstheme="minorHAnsi"/>
        </w:rPr>
        <w:t>1.92 to 1.94) of children aged 4-5 years were s</w:t>
      </w:r>
      <w:r w:rsidR="00E352FA">
        <w:rPr>
          <w:rFonts w:cstheme="minorHAnsi"/>
        </w:rPr>
        <w:t>hort for their age</w:t>
      </w:r>
      <w:r w:rsidRPr="001E7454">
        <w:rPr>
          <w:rFonts w:cstheme="minorHAnsi"/>
        </w:rPr>
        <w:t xml:space="preserve"> in England. Girls had </w:t>
      </w:r>
      <w:r w:rsidR="00D573B8">
        <w:rPr>
          <w:rFonts w:cstheme="minorHAnsi"/>
        </w:rPr>
        <w:t xml:space="preserve">a </w:t>
      </w:r>
      <w:r w:rsidRPr="001E7454">
        <w:rPr>
          <w:rFonts w:cstheme="minorHAnsi"/>
        </w:rPr>
        <w:t>higher prevalence of s</w:t>
      </w:r>
      <w:r w:rsidR="00940773">
        <w:rPr>
          <w:rFonts w:cstheme="minorHAnsi"/>
        </w:rPr>
        <w:t>hort stature</w:t>
      </w:r>
      <w:r w:rsidRPr="001E7454">
        <w:rPr>
          <w:rFonts w:cstheme="minorHAnsi"/>
        </w:rPr>
        <w:t xml:space="preserve">, with 2.09% </w:t>
      </w:r>
      <w:bookmarkStart w:id="0" w:name="_Hlk64547319"/>
      <w:r w:rsidR="001C20AC">
        <w:rPr>
          <w:rFonts w:cstheme="minorHAnsi"/>
        </w:rPr>
        <w:t xml:space="preserve">(2.07 to 2.10) </w:t>
      </w:r>
      <w:r w:rsidRPr="001E7454">
        <w:rPr>
          <w:rFonts w:cstheme="minorHAnsi"/>
        </w:rPr>
        <w:t>of girls compared to 1.77%</w:t>
      </w:r>
      <w:r w:rsidR="001C20AC">
        <w:rPr>
          <w:rFonts w:cstheme="minorHAnsi"/>
        </w:rPr>
        <w:t xml:space="preserve"> (1.76 to 1.78)</w:t>
      </w:r>
      <w:bookmarkEnd w:id="0"/>
      <w:r w:rsidRPr="001E7454">
        <w:rPr>
          <w:rFonts w:cstheme="minorHAnsi"/>
        </w:rPr>
        <w:t xml:space="preserve"> of boys being shorter than 2 SDs below the </w:t>
      </w:r>
      <w:r w:rsidR="00121C73">
        <w:rPr>
          <w:rFonts w:cstheme="minorHAnsi"/>
        </w:rPr>
        <w:t xml:space="preserve">sex-specific </w:t>
      </w:r>
      <w:r w:rsidRPr="001E7454">
        <w:rPr>
          <w:rFonts w:cstheme="minorHAnsi"/>
        </w:rPr>
        <w:t>mean</w:t>
      </w:r>
      <w:r w:rsidR="00040FFA">
        <w:rPr>
          <w:rFonts w:cstheme="minorHAnsi"/>
        </w:rPr>
        <w:t xml:space="preserve"> (P</w:t>
      </w:r>
      <w:r w:rsidR="0067639E">
        <w:rPr>
          <w:rFonts w:cstheme="minorHAnsi"/>
        </w:rPr>
        <w:t>&lt;0.001</w:t>
      </w:r>
      <w:r w:rsidR="00040FFA">
        <w:rPr>
          <w:rFonts w:cstheme="minorHAnsi"/>
        </w:rPr>
        <w:t>)</w:t>
      </w:r>
      <w:r w:rsidRPr="001E7454">
        <w:rPr>
          <w:rFonts w:cstheme="minorHAnsi"/>
        </w:rPr>
        <w:t>. Children in the north versus the south of England had a higher probability of s</w:t>
      </w:r>
      <w:r w:rsidR="00062DCF">
        <w:rPr>
          <w:rFonts w:cstheme="minorHAnsi"/>
        </w:rPr>
        <w:t>hort stature</w:t>
      </w:r>
      <w:r w:rsidRPr="001E7454">
        <w:rPr>
          <w:rFonts w:cstheme="minorHAnsi"/>
        </w:rPr>
        <w:t>, with the highest prevalence in Yorkshire and the Humber (2.18%</w:t>
      </w:r>
      <w:r w:rsidR="003E68D0">
        <w:rPr>
          <w:rFonts w:cstheme="minorHAnsi"/>
        </w:rPr>
        <w:t xml:space="preserve"> (2.15 to 2.22)</w:t>
      </w:r>
      <w:r w:rsidRPr="001E7454">
        <w:rPr>
          <w:rFonts w:cstheme="minorHAnsi"/>
        </w:rPr>
        <w:t>), and the lowest in London (1.57%</w:t>
      </w:r>
      <w:r w:rsidR="009D3D9D">
        <w:rPr>
          <w:rFonts w:cstheme="minorHAnsi"/>
        </w:rPr>
        <w:t xml:space="preserve"> (1.55 to 1.60)</w:t>
      </w:r>
      <w:r w:rsidRPr="001E7454">
        <w:rPr>
          <w:rFonts w:cstheme="minorHAnsi"/>
        </w:rPr>
        <w:t xml:space="preserve">). </w:t>
      </w:r>
      <w:r w:rsidR="00281692">
        <w:rPr>
          <w:rFonts w:cstheme="minorHAnsi"/>
        </w:rPr>
        <w:t>In individual LAs, s</w:t>
      </w:r>
      <w:r w:rsidR="00EE5CD1">
        <w:rPr>
          <w:rFonts w:cstheme="minorHAnsi"/>
        </w:rPr>
        <w:t>hort stature</w:t>
      </w:r>
      <w:r w:rsidR="00281692">
        <w:rPr>
          <w:rFonts w:cstheme="minorHAnsi"/>
        </w:rPr>
        <w:t xml:space="preserve"> </w:t>
      </w:r>
      <w:r w:rsidR="00281692" w:rsidRPr="001E7454">
        <w:rPr>
          <w:rFonts w:cstheme="minorHAnsi"/>
        </w:rPr>
        <w:t>ranged from 0.9</w:t>
      </w:r>
      <w:r w:rsidR="002F40FD">
        <w:rPr>
          <w:rFonts w:cstheme="minorHAnsi"/>
        </w:rPr>
        <w:t>7</w:t>
      </w:r>
      <w:r w:rsidR="00281692" w:rsidRPr="001E7454">
        <w:rPr>
          <w:rFonts w:cstheme="minorHAnsi"/>
        </w:rPr>
        <w:t>%</w:t>
      </w:r>
      <w:r w:rsidR="002F40FD">
        <w:rPr>
          <w:rFonts w:cstheme="minorHAnsi"/>
        </w:rPr>
        <w:t xml:space="preserve"> (0.85 to 1.10)</w:t>
      </w:r>
      <w:r w:rsidR="00281692" w:rsidRPr="001E7454">
        <w:rPr>
          <w:rFonts w:cstheme="minorHAnsi"/>
        </w:rPr>
        <w:t xml:space="preserve"> in Richmond upon Thames in London to 3.9</w:t>
      </w:r>
      <w:r w:rsidR="002F40FD">
        <w:rPr>
          <w:rFonts w:cstheme="minorHAnsi"/>
        </w:rPr>
        <w:t>2</w:t>
      </w:r>
      <w:r w:rsidR="00281692" w:rsidRPr="001E7454">
        <w:rPr>
          <w:rFonts w:cstheme="minorHAnsi"/>
        </w:rPr>
        <w:t>%</w:t>
      </w:r>
      <w:r w:rsidR="002F40FD">
        <w:rPr>
          <w:rFonts w:cstheme="minorHAnsi"/>
        </w:rPr>
        <w:t xml:space="preserve"> (3.69 to 4.16)</w:t>
      </w:r>
      <w:r w:rsidR="00281692" w:rsidRPr="001E7454">
        <w:rPr>
          <w:rFonts w:cstheme="minorHAnsi"/>
        </w:rPr>
        <w:t xml:space="preserve"> in Blackburn </w:t>
      </w:r>
      <w:r w:rsidR="003B6A38">
        <w:rPr>
          <w:rFonts w:cstheme="minorHAnsi"/>
        </w:rPr>
        <w:t>with</w:t>
      </w:r>
      <w:r w:rsidR="00281692" w:rsidRPr="001E7454">
        <w:rPr>
          <w:rFonts w:cstheme="minorHAnsi"/>
        </w:rPr>
        <w:t xml:space="preserve"> Darwen in the </w:t>
      </w:r>
      <w:proofErr w:type="gramStart"/>
      <w:r w:rsidR="00281692" w:rsidRPr="001E7454">
        <w:rPr>
          <w:rFonts w:cstheme="minorHAnsi"/>
        </w:rPr>
        <w:t>North West</w:t>
      </w:r>
      <w:proofErr w:type="gramEnd"/>
      <w:r w:rsidR="00281692">
        <w:rPr>
          <w:rFonts w:cstheme="minorHAnsi"/>
        </w:rPr>
        <w:t>.</w:t>
      </w:r>
      <w:r w:rsidR="00281692" w:rsidRPr="001E7454">
        <w:rPr>
          <w:rFonts w:cstheme="minorHAnsi"/>
        </w:rPr>
        <w:t xml:space="preserve"> </w:t>
      </w:r>
    </w:p>
    <w:p w14:paraId="428FC85C" w14:textId="77777777" w:rsidR="00040FFA" w:rsidRDefault="00040FFA" w:rsidP="001E7454">
      <w:pPr>
        <w:tabs>
          <w:tab w:val="left" w:pos="13140"/>
        </w:tabs>
        <w:spacing w:after="0" w:line="360" w:lineRule="auto"/>
        <w:rPr>
          <w:rFonts w:cstheme="minorHAnsi"/>
        </w:rPr>
      </w:pPr>
    </w:p>
    <w:p w14:paraId="4BC7961F" w14:textId="790246B1" w:rsidR="002F7FBE" w:rsidRDefault="00E828BB" w:rsidP="004D2BAC">
      <w:pPr>
        <w:tabs>
          <w:tab w:val="left" w:pos="13140"/>
        </w:tabs>
        <w:spacing w:after="0" w:line="360" w:lineRule="auto"/>
        <w:rPr>
          <w:rFonts w:cstheme="minorHAnsi"/>
        </w:rPr>
      </w:pPr>
      <w:r w:rsidRPr="001E7454">
        <w:rPr>
          <w:rFonts w:cstheme="minorHAnsi"/>
        </w:rPr>
        <w:t xml:space="preserve">There was considerable heterogeneity by ethnicity, with </w:t>
      </w:r>
      <w:r w:rsidR="00AD1130" w:rsidRPr="001E7454">
        <w:rPr>
          <w:rFonts w:cstheme="minorHAnsi"/>
        </w:rPr>
        <w:t xml:space="preserve">White children being three times more likely to </w:t>
      </w:r>
      <w:r w:rsidR="00F21FE5">
        <w:rPr>
          <w:rFonts w:cstheme="minorHAnsi"/>
        </w:rPr>
        <w:t>have</w:t>
      </w:r>
      <w:r w:rsidR="00AD1130" w:rsidRPr="001E7454">
        <w:rPr>
          <w:rFonts w:cstheme="minorHAnsi"/>
        </w:rPr>
        <w:t xml:space="preserve"> s</w:t>
      </w:r>
      <w:r w:rsidR="00C153E9">
        <w:rPr>
          <w:rFonts w:cstheme="minorHAnsi"/>
        </w:rPr>
        <w:t>hort sta</w:t>
      </w:r>
      <w:r w:rsidR="003B6A38">
        <w:rPr>
          <w:rFonts w:cstheme="minorHAnsi"/>
        </w:rPr>
        <w:t>t</w:t>
      </w:r>
      <w:r w:rsidR="00C153E9">
        <w:rPr>
          <w:rFonts w:cstheme="minorHAnsi"/>
        </w:rPr>
        <w:t>ure</w:t>
      </w:r>
      <w:r w:rsidR="00AD1130" w:rsidRPr="001E7454">
        <w:rPr>
          <w:rFonts w:cstheme="minorHAnsi"/>
        </w:rPr>
        <w:t xml:space="preserve"> than </w:t>
      </w:r>
      <w:r w:rsidRPr="001E7454">
        <w:rPr>
          <w:rFonts w:cstheme="minorHAnsi"/>
        </w:rPr>
        <w:t>Black children</w:t>
      </w:r>
      <w:r w:rsidR="00040FFA">
        <w:rPr>
          <w:rFonts w:cstheme="minorHAnsi"/>
        </w:rPr>
        <w:t xml:space="preserve"> (1.95%</w:t>
      </w:r>
      <w:r w:rsidR="00076F32">
        <w:rPr>
          <w:rFonts w:cstheme="minorHAnsi"/>
        </w:rPr>
        <w:t xml:space="preserve"> (1.94 to 1.96)</w:t>
      </w:r>
      <w:r w:rsidR="00040FFA">
        <w:rPr>
          <w:rFonts w:cstheme="minorHAnsi"/>
        </w:rPr>
        <w:t xml:space="preserve"> vs 0.64%</w:t>
      </w:r>
      <w:r w:rsidR="00076F32">
        <w:rPr>
          <w:rFonts w:cstheme="minorHAnsi"/>
        </w:rPr>
        <w:t xml:space="preserve"> (0.61 to 0.67)</w:t>
      </w:r>
      <w:r w:rsidR="00040FFA">
        <w:rPr>
          <w:rFonts w:cstheme="minorHAnsi"/>
        </w:rPr>
        <w:t>; P&lt;0.001)</w:t>
      </w:r>
      <w:r w:rsidRPr="001E7454">
        <w:rPr>
          <w:rFonts w:cstheme="minorHAnsi"/>
        </w:rPr>
        <w:t xml:space="preserve">. Indian children and children </w:t>
      </w:r>
      <w:r w:rsidR="00616232" w:rsidRPr="001E7454">
        <w:rPr>
          <w:rFonts w:cstheme="minorHAnsi"/>
        </w:rPr>
        <w:t>in the O</w:t>
      </w:r>
      <w:r w:rsidRPr="001E7454">
        <w:rPr>
          <w:rFonts w:cstheme="minorHAnsi"/>
        </w:rPr>
        <w:t>ther ethnic</w:t>
      </w:r>
      <w:r w:rsidR="00616232" w:rsidRPr="001E7454">
        <w:rPr>
          <w:rFonts w:cstheme="minorHAnsi"/>
        </w:rPr>
        <w:t xml:space="preserve"> category</w:t>
      </w:r>
      <w:r w:rsidRPr="001E7454">
        <w:rPr>
          <w:rFonts w:cstheme="minorHAnsi"/>
        </w:rPr>
        <w:t xml:space="preserve"> had the highest prevalence of s</w:t>
      </w:r>
      <w:r w:rsidR="009A76BA">
        <w:rPr>
          <w:rFonts w:cstheme="minorHAnsi"/>
        </w:rPr>
        <w:t xml:space="preserve">hort stature </w:t>
      </w:r>
      <w:r w:rsidR="00040FFA">
        <w:rPr>
          <w:rFonts w:cstheme="minorHAnsi"/>
        </w:rPr>
        <w:t xml:space="preserve">(2.52% </w:t>
      </w:r>
      <w:r w:rsidR="00E17945">
        <w:rPr>
          <w:rFonts w:cstheme="minorHAnsi"/>
        </w:rPr>
        <w:t xml:space="preserve">(2.45 to 2.60) </w:t>
      </w:r>
      <w:r w:rsidR="00040FFA">
        <w:rPr>
          <w:rFonts w:cstheme="minorHAnsi"/>
        </w:rPr>
        <w:t>and 2.57%</w:t>
      </w:r>
      <w:r w:rsidR="00E17945">
        <w:rPr>
          <w:rFonts w:cstheme="minorHAnsi"/>
        </w:rPr>
        <w:t xml:space="preserve"> (2.51 to 2.64)</w:t>
      </w:r>
      <w:r w:rsidR="00040FFA">
        <w:rPr>
          <w:rFonts w:cstheme="minorHAnsi"/>
        </w:rPr>
        <w:t>, respectively</w:t>
      </w:r>
      <w:r w:rsidR="002D125D">
        <w:rPr>
          <w:rFonts w:cstheme="minorHAnsi"/>
        </w:rPr>
        <w:t>)</w:t>
      </w:r>
      <w:r w:rsidR="00FB0B36">
        <w:rPr>
          <w:rFonts w:cstheme="minorHAnsi"/>
        </w:rPr>
        <w:t xml:space="preserve">, </w:t>
      </w:r>
      <w:r w:rsidR="002D125D">
        <w:rPr>
          <w:rFonts w:cstheme="minorHAnsi"/>
        </w:rPr>
        <w:t xml:space="preserve">which were </w:t>
      </w:r>
      <w:r w:rsidR="00FB0B36">
        <w:rPr>
          <w:rFonts w:cstheme="minorHAnsi"/>
        </w:rPr>
        <w:t>both significantly higher than White children (&lt;0.001</w:t>
      </w:r>
      <w:r w:rsidR="00040FFA">
        <w:rPr>
          <w:rFonts w:cstheme="minorHAnsi"/>
        </w:rPr>
        <w:t>)</w:t>
      </w:r>
      <w:r w:rsidRPr="001E7454">
        <w:rPr>
          <w:rFonts w:cstheme="minorHAnsi"/>
        </w:rPr>
        <w:t>. S</w:t>
      </w:r>
      <w:r w:rsidR="009A76BA">
        <w:rPr>
          <w:rFonts w:cstheme="minorHAnsi"/>
        </w:rPr>
        <w:t>hort stature</w:t>
      </w:r>
      <w:r w:rsidRPr="001E7454">
        <w:rPr>
          <w:rFonts w:cstheme="minorHAnsi"/>
        </w:rPr>
        <w:t xml:space="preserve"> was also linearly associated with IMD, with prevalence in the most deprived decile being nearly twice that of the least deprived decile (2.56%</w:t>
      </w:r>
      <w:r w:rsidR="00EF7ECF">
        <w:rPr>
          <w:rFonts w:cstheme="minorHAnsi"/>
        </w:rPr>
        <w:t xml:space="preserve"> (2.53 to 2.59)</w:t>
      </w:r>
      <w:r w:rsidRPr="001E7454">
        <w:rPr>
          <w:rFonts w:cstheme="minorHAnsi"/>
        </w:rPr>
        <w:t xml:space="preserve"> vs 1.38%</w:t>
      </w:r>
      <w:r w:rsidR="00EF7ECF">
        <w:rPr>
          <w:rFonts w:cstheme="minorHAnsi"/>
        </w:rPr>
        <w:t xml:space="preserve"> (1.35 to 1.41)</w:t>
      </w:r>
      <w:r w:rsidR="00040FFA">
        <w:rPr>
          <w:rFonts w:cstheme="minorHAnsi"/>
        </w:rPr>
        <w:t>; P</w:t>
      </w:r>
      <w:r w:rsidR="0067639E">
        <w:rPr>
          <w:rFonts w:cstheme="minorHAnsi"/>
        </w:rPr>
        <w:t>&lt;0.001</w:t>
      </w:r>
      <w:r w:rsidRPr="001E7454">
        <w:rPr>
          <w:rFonts w:cstheme="minorHAnsi"/>
        </w:rPr>
        <w:t xml:space="preserve">). </w:t>
      </w:r>
      <w:r w:rsidR="00A877D4">
        <w:rPr>
          <w:rFonts w:cstheme="minorHAnsi"/>
        </w:rPr>
        <w:t>D</w:t>
      </w:r>
      <w:r w:rsidRPr="001E7454">
        <w:rPr>
          <w:rFonts w:cstheme="minorHAnsi"/>
        </w:rPr>
        <w:t>ata for four time periods showed that the prevalence of s</w:t>
      </w:r>
      <w:r w:rsidR="009A76BA">
        <w:rPr>
          <w:rFonts w:cstheme="minorHAnsi"/>
        </w:rPr>
        <w:t>hort stature</w:t>
      </w:r>
      <w:r w:rsidRPr="001E7454">
        <w:rPr>
          <w:rFonts w:cstheme="minorHAnsi"/>
        </w:rPr>
        <w:t xml:space="preserve"> among </w:t>
      </w:r>
      <w:r w:rsidR="00C71D27" w:rsidRPr="001E7454">
        <w:rPr>
          <w:rFonts w:cstheme="minorHAnsi"/>
        </w:rPr>
        <w:t>4-5-year-old</w:t>
      </w:r>
      <w:r w:rsidRPr="001E7454">
        <w:rPr>
          <w:rFonts w:cstheme="minorHAnsi"/>
        </w:rPr>
        <w:t xml:space="preserve"> children declined between 200</w:t>
      </w:r>
      <w:r w:rsidR="009621AB">
        <w:rPr>
          <w:rFonts w:cstheme="minorHAnsi"/>
        </w:rPr>
        <w:t>6</w:t>
      </w:r>
      <w:r w:rsidRPr="001E7454">
        <w:rPr>
          <w:rFonts w:cstheme="minorHAnsi"/>
        </w:rPr>
        <w:t xml:space="preserve"> and 20</w:t>
      </w:r>
      <w:r w:rsidR="00722796" w:rsidRPr="001E7454">
        <w:rPr>
          <w:rFonts w:cstheme="minorHAnsi"/>
        </w:rPr>
        <w:t>19</w:t>
      </w:r>
      <w:r w:rsidR="00040FFA">
        <w:rPr>
          <w:rFonts w:cstheme="minorHAnsi"/>
        </w:rPr>
        <w:t xml:space="preserve"> from 2.03%</w:t>
      </w:r>
      <w:r w:rsidR="00EF7ECF">
        <w:rPr>
          <w:rFonts w:cstheme="minorHAnsi"/>
        </w:rPr>
        <w:t xml:space="preserve"> (2.01 to 2.05)</w:t>
      </w:r>
      <w:r w:rsidR="00040FFA">
        <w:rPr>
          <w:rFonts w:cstheme="minorHAnsi"/>
        </w:rPr>
        <w:t xml:space="preserve"> to 1.82%</w:t>
      </w:r>
      <w:r w:rsidR="00EF7ECF">
        <w:rPr>
          <w:rFonts w:cstheme="minorHAnsi"/>
        </w:rPr>
        <w:t xml:space="preserve"> (1.80 to 1.84)</w:t>
      </w:r>
      <w:r w:rsidR="002D125D">
        <w:rPr>
          <w:rFonts w:cstheme="minorHAnsi"/>
        </w:rPr>
        <w:t xml:space="preserve"> (</w:t>
      </w:r>
      <w:r w:rsidR="00040FFA">
        <w:rPr>
          <w:rFonts w:cstheme="minorHAnsi"/>
        </w:rPr>
        <w:t>P</w:t>
      </w:r>
      <w:r w:rsidR="00D53B86">
        <w:rPr>
          <w:rFonts w:cstheme="minorHAnsi"/>
        </w:rPr>
        <w:t>&lt;0.001</w:t>
      </w:r>
      <w:r w:rsidR="002D125D">
        <w:rPr>
          <w:rFonts w:cstheme="minorHAnsi"/>
        </w:rPr>
        <w:t>)</w:t>
      </w:r>
      <w:r w:rsidRPr="001E7454">
        <w:rPr>
          <w:rFonts w:cstheme="minorHAnsi"/>
        </w:rPr>
        <w:t xml:space="preserve">. </w:t>
      </w:r>
    </w:p>
    <w:p w14:paraId="334E3E0B" w14:textId="5BAEEDDB" w:rsidR="0035110C" w:rsidRDefault="0035110C" w:rsidP="004D2BAC">
      <w:pPr>
        <w:tabs>
          <w:tab w:val="left" w:pos="13140"/>
        </w:tabs>
        <w:spacing w:after="0" w:line="360" w:lineRule="auto"/>
        <w:rPr>
          <w:rFonts w:cstheme="minorHAnsi"/>
        </w:rPr>
      </w:pPr>
    </w:p>
    <w:p w14:paraId="60E7DDCC" w14:textId="77777777" w:rsidR="0035110C" w:rsidRPr="001E7454" w:rsidRDefault="0035110C" w:rsidP="004D2BAC">
      <w:pPr>
        <w:tabs>
          <w:tab w:val="left" w:pos="13140"/>
        </w:tabs>
        <w:spacing w:after="0" w:line="360" w:lineRule="auto"/>
        <w:rPr>
          <w:rFonts w:cstheme="minorHAnsi"/>
        </w:rPr>
      </w:pPr>
    </w:p>
    <w:p w14:paraId="04E7F99E" w14:textId="77777777" w:rsidR="004361B1" w:rsidRPr="001E7454" w:rsidRDefault="004361B1" w:rsidP="001E7454">
      <w:pPr>
        <w:tabs>
          <w:tab w:val="left" w:pos="13140"/>
        </w:tabs>
        <w:spacing w:after="0"/>
        <w:rPr>
          <w:rFonts w:cstheme="minorHAnsi"/>
        </w:rPr>
      </w:pPr>
    </w:p>
    <w:p w14:paraId="448A69EF" w14:textId="2AF42DF7" w:rsidR="006C04AD" w:rsidRDefault="006C04AD" w:rsidP="006C04AD">
      <w:r>
        <w:t>Figure 1. Sample flow chart</w:t>
      </w:r>
    </w:p>
    <w:p w14:paraId="72D66AF7" w14:textId="3221C89D" w:rsidR="00F7444D" w:rsidRDefault="00F7444D" w:rsidP="00F7444D"/>
    <w:p w14:paraId="5519EE59" w14:textId="77777777" w:rsidR="00F7444D" w:rsidRDefault="00F7444D" w:rsidP="00F7444D"/>
    <w:p w14:paraId="4DA831AA" w14:textId="36064299" w:rsidR="00F7444D" w:rsidRDefault="00F7444D" w:rsidP="00F7444D"/>
    <w:p w14:paraId="2935A699" w14:textId="78E1378C" w:rsidR="00F7444D" w:rsidRDefault="00F7444D" w:rsidP="00F7444D"/>
    <w:p w14:paraId="731CFA8E" w14:textId="5FA9D330" w:rsidR="00F7444D" w:rsidRDefault="00F7444D" w:rsidP="00F7444D"/>
    <w:p w14:paraId="1117BE6B" w14:textId="3DFC0E9A" w:rsidR="00F7444D" w:rsidRDefault="00F7444D" w:rsidP="00F7444D"/>
    <w:p w14:paraId="09C905E3" w14:textId="7D7A22B0" w:rsidR="00F7444D" w:rsidRDefault="00F7444D" w:rsidP="00F7444D"/>
    <w:p w14:paraId="5191BFC2" w14:textId="59764B81" w:rsidR="00F7444D" w:rsidRDefault="00F7444D" w:rsidP="00F7444D"/>
    <w:p w14:paraId="2A3B7C17" w14:textId="16C8486B" w:rsidR="00F7444D" w:rsidRDefault="00F7444D" w:rsidP="00F7444D"/>
    <w:p w14:paraId="1C8F011F" w14:textId="7188D476" w:rsidR="00F7444D" w:rsidRDefault="00F7444D" w:rsidP="00F7444D"/>
    <w:p w14:paraId="294B946D" w14:textId="7AA99443" w:rsidR="00F7444D" w:rsidRDefault="00F7444D" w:rsidP="00F7444D"/>
    <w:p w14:paraId="56A9CC98" w14:textId="2DCA1F0E" w:rsidR="00F7444D" w:rsidRDefault="00F7444D" w:rsidP="00F7444D"/>
    <w:p w14:paraId="3E163567" w14:textId="43DAE9C0" w:rsidR="00F7444D" w:rsidRDefault="00F7444D" w:rsidP="00F7444D"/>
    <w:p w14:paraId="404635E7" w14:textId="59C3D465" w:rsidR="00F7444D" w:rsidRDefault="00F7444D" w:rsidP="00F7444D"/>
    <w:p w14:paraId="48B80793" w14:textId="4ED46BC5" w:rsidR="00F7444D" w:rsidRDefault="00F7444D" w:rsidP="00F7444D"/>
    <w:p w14:paraId="46374932" w14:textId="7DBD6678" w:rsidR="00F7444D" w:rsidRDefault="00F7444D" w:rsidP="00F7444D"/>
    <w:p w14:paraId="6610F5A4" w14:textId="5A1DC9FE" w:rsidR="00F7444D" w:rsidRDefault="00F7444D" w:rsidP="00F7444D"/>
    <w:p w14:paraId="43DAF568" w14:textId="086127EC" w:rsidR="00F7444D" w:rsidRDefault="00F7444D" w:rsidP="00F7444D"/>
    <w:p w14:paraId="12453BD7" w14:textId="58610C77" w:rsidR="00F7444D" w:rsidRDefault="00F7444D" w:rsidP="00F7444D"/>
    <w:p w14:paraId="1E2808D3" w14:textId="38A7FB40" w:rsidR="00F7444D" w:rsidRDefault="00F7444D" w:rsidP="00F7444D"/>
    <w:p w14:paraId="1F5E971A" w14:textId="44959FE2" w:rsidR="00F7444D" w:rsidRDefault="00F7444D" w:rsidP="00F7444D"/>
    <w:p w14:paraId="3B2369DC" w14:textId="040CD431" w:rsidR="00F7444D" w:rsidRDefault="00F7444D" w:rsidP="00F7444D"/>
    <w:p w14:paraId="7B3513C5" w14:textId="76D47BCA" w:rsidR="00F7444D" w:rsidRDefault="00F7444D" w:rsidP="00F7444D"/>
    <w:p w14:paraId="1287E717" w14:textId="77777777" w:rsidR="00F7444D" w:rsidRDefault="00F7444D" w:rsidP="00F7444D"/>
    <w:p w14:paraId="4EF90E3D" w14:textId="43A4071D" w:rsidR="006C04AD" w:rsidRDefault="006C04AD" w:rsidP="000C65B2">
      <w:pPr>
        <w:spacing w:after="0"/>
        <w:rPr>
          <w:rFonts w:cstheme="minorHAnsi"/>
        </w:rPr>
      </w:pPr>
    </w:p>
    <w:p w14:paraId="1CBBBCBA" w14:textId="77777777" w:rsidR="006C04AD" w:rsidRDefault="006C04AD" w:rsidP="000C65B2">
      <w:pPr>
        <w:spacing w:after="0"/>
        <w:rPr>
          <w:rFonts w:cstheme="minorHAnsi"/>
        </w:rPr>
      </w:pPr>
    </w:p>
    <w:p w14:paraId="6FA89109" w14:textId="77EF9C7B" w:rsidR="002C3A1A" w:rsidRPr="009C2598" w:rsidRDefault="002C3A1A" w:rsidP="001E7454">
      <w:pPr>
        <w:spacing w:after="0"/>
        <w:rPr>
          <w:rFonts w:cstheme="minorHAnsi"/>
          <w:b/>
          <w:bCs/>
        </w:rPr>
      </w:pPr>
      <w:r w:rsidRPr="009C2598">
        <w:rPr>
          <w:rFonts w:cstheme="minorHAnsi"/>
          <w:b/>
          <w:bCs/>
        </w:rPr>
        <w:t>Table 1. S</w:t>
      </w:r>
      <w:r w:rsidR="00A8582C">
        <w:rPr>
          <w:rFonts w:cstheme="minorHAnsi"/>
          <w:b/>
          <w:bCs/>
        </w:rPr>
        <w:t>hort stature</w:t>
      </w:r>
      <w:r w:rsidRPr="009C2598">
        <w:rPr>
          <w:rFonts w:cstheme="minorHAnsi"/>
          <w:b/>
          <w:bCs/>
        </w:rPr>
        <w:t xml:space="preserve"> (</w:t>
      </w:r>
      <w:r w:rsidR="0053486F">
        <w:rPr>
          <w:rFonts w:cstheme="minorHAnsi"/>
          <w:b/>
          <w:bCs/>
        </w:rPr>
        <w:t xml:space="preserve">height </w:t>
      </w:r>
      <w:r w:rsidRPr="009C2598">
        <w:rPr>
          <w:rFonts w:cstheme="minorHAnsi"/>
          <w:b/>
          <w:bCs/>
        </w:rPr>
        <w:t>&lt;-2</w:t>
      </w:r>
      <w:r w:rsidR="00D772B2">
        <w:rPr>
          <w:rFonts w:cstheme="minorHAnsi"/>
          <w:b/>
          <w:bCs/>
        </w:rPr>
        <w:t>.0</w:t>
      </w:r>
      <w:r w:rsidRPr="009C2598">
        <w:rPr>
          <w:rFonts w:cstheme="minorHAnsi"/>
          <w:b/>
          <w:bCs/>
        </w:rPr>
        <w:t xml:space="preserve"> SDS) prevalence by sample characteristics</w:t>
      </w:r>
      <w:r w:rsidR="00B564C8" w:rsidRPr="009C2598">
        <w:rPr>
          <w:rFonts w:cstheme="minorHAnsi"/>
          <w:b/>
          <w:bCs/>
        </w:rPr>
        <w:t xml:space="preserve"> (n=7,062,071)</w:t>
      </w:r>
    </w:p>
    <w:tbl>
      <w:tblPr>
        <w:tblStyle w:val="TableGrid"/>
        <w:tblW w:w="9209" w:type="dxa"/>
        <w:tblLook w:val="04A0" w:firstRow="1" w:lastRow="0" w:firstColumn="1" w:lastColumn="0" w:noHBand="0" w:noVBand="1"/>
      </w:tblPr>
      <w:tblGrid>
        <w:gridCol w:w="4248"/>
        <w:gridCol w:w="1701"/>
        <w:gridCol w:w="3260"/>
      </w:tblGrid>
      <w:tr w:rsidR="002C3A1A" w:rsidRPr="009C2598" w14:paraId="79076B2B" w14:textId="77777777" w:rsidTr="000C65B2">
        <w:tc>
          <w:tcPr>
            <w:tcW w:w="4248" w:type="dxa"/>
          </w:tcPr>
          <w:p w14:paraId="30D0EB93" w14:textId="77777777" w:rsidR="002C3A1A" w:rsidRPr="002C0FFB" w:rsidRDefault="002C3A1A" w:rsidP="001E7454">
            <w:pPr>
              <w:rPr>
                <w:rFonts w:cstheme="minorHAnsi"/>
                <w:b/>
                <w:bCs/>
              </w:rPr>
            </w:pPr>
            <w:r w:rsidRPr="002C0FFB">
              <w:rPr>
                <w:rFonts w:cstheme="minorHAnsi"/>
                <w:b/>
                <w:bCs/>
              </w:rPr>
              <w:t>Characteristic</w:t>
            </w:r>
          </w:p>
        </w:tc>
        <w:tc>
          <w:tcPr>
            <w:tcW w:w="1701" w:type="dxa"/>
          </w:tcPr>
          <w:p w14:paraId="59EA300E" w14:textId="3F137EFD" w:rsidR="0086745F" w:rsidRPr="002C0FFB" w:rsidRDefault="00DE3A57" w:rsidP="001E7454">
            <w:pPr>
              <w:rPr>
                <w:rFonts w:cstheme="minorHAnsi"/>
                <w:b/>
                <w:bCs/>
              </w:rPr>
            </w:pPr>
            <w:r w:rsidRPr="002C0FFB">
              <w:rPr>
                <w:rFonts w:cstheme="minorHAnsi"/>
                <w:b/>
                <w:bCs/>
              </w:rPr>
              <w:t>Mean (S</w:t>
            </w:r>
            <w:r w:rsidR="00C06807">
              <w:rPr>
                <w:rFonts w:cstheme="minorHAnsi"/>
                <w:b/>
                <w:bCs/>
              </w:rPr>
              <w:t xml:space="preserve">tandard </w:t>
            </w:r>
            <w:r w:rsidRPr="002C0FFB">
              <w:rPr>
                <w:rFonts w:cstheme="minorHAnsi"/>
                <w:b/>
                <w:bCs/>
              </w:rPr>
              <w:t>D</w:t>
            </w:r>
            <w:r w:rsidR="00C06807">
              <w:rPr>
                <w:rFonts w:cstheme="minorHAnsi"/>
                <w:b/>
                <w:bCs/>
              </w:rPr>
              <w:t>eviation</w:t>
            </w:r>
            <w:r w:rsidRPr="002C0FFB">
              <w:rPr>
                <w:rFonts w:cstheme="minorHAnsi"/>
                <w:b/>
                <w:bCs/>
              </w:rPr>
              <w:t>)</w:t>
            </w:r>
            <w:r w:rsidR="00813ADC">
              <w:rPr>
                <w:rFonts w:cstheme="minorHAnsi"/>
                <w:b/>
                <w:bCs/>
              </w:rPr>
              <w:t xml:space="preserve"> </w:t>
            </w:r>
            <w:r w:rsidR="0086745F">
              <w:rPr>
                <w:rFonts w:cstheme="minorHAnsi"/>
                <w:b/>
                <w:bCs/>
              </w:rPr>
              <w:t>% (n)</w:t>
            </w:r>
          </w:p>
        </w:tc>
        <w:tc>
          <w:tcPr>
            <w:tcW w:w="3260" w:type="dxa"/>
          </w:tcPr>
          <w:p w14:paraId="08427822" w14:textId="731F6E10" w:rsidR="002C3A1A" w:rsidRPr="002C0FFB" w:rsidRDefault="002C3A1A" w:rsidP="001E7454">
            <w:pPr>
              <w:rPr>
                <w:rFonts w:cstheme="minorHAnsi"/>
                <w:b/>
                <w:bCs/>
              </w:rPr>
            </w:pPr>
            <w:r w:rsidRPr="002C0FFB">
              <w:rPr>
                <w:rFonts w:cstheme="minorHAnsi"/>
                <w:b/>
                <w:bCs/>
              </w:rPr>
              <w:t>S</w:t>
            </w:r>
            <w:r w:rsidR="0079607D">
              <w:rPr>
                <w:rFonts w:cstheme="minorHAnsi"/>
                <w:b/>
                <w:bCs/>
              </w:rPr>
              <w:t>hort stature</w:t>
            </w:r>
            <w:r w:rsidR="00040FFA" w:rsidRPr="002C0FFB">
              <w:rPr>
                <w:rFonts w:cstheme="minorHAnsi"/>
                <w:b/>
                <w:bCs/>
              </w:rPr>
              <w:t xml:space="preserve">, </w:t>
            </w:r>
            <w:r w:rsidRPr="002C0FFB">
              <w:rPr>
                <w:rFonts w:cstheme="minorHAnsi"/>
                <w:b/>
                <w:bCs/>
              </w:rPr>
              <w:t>%</w:t>
            </w:r>
            <w:r w:rsidR="00040FFA" w:rsidRPr="002C0FFB">
              <w:rPr>
                <w:rFonts w:cstheme="minorHAnsi"/>
                <w:b/>
                <w:bCs/>
              </w:rPr>
              <w:t xml:space="preserve"> [95%</w:t>
            </w:r>
            <w:r w:rsidR="00C06807">
              <w:rPr>
                <w:rFonts w:cstheme="minorHAnsi"/>
                <w:b/>
                <w:bCs/>
              </w:rPr>
              <w:t xml:space="preserve"> </w:t>
            </w:r>
            <w:r w:rsidR="00040FFA" w:rsidRPr="002C0FFB">
              <w:rPr>
                <w:rFonts w:cstheme="minorHAnsi"/>
                <w:b/>
                <w:bCs/>
              </w:rPr>
              <w:t>C</w:t>
            </w:r>
            <w:r w:rsidR="00C06807">
              <w:rPr>
                <w:rFonts w:cstheme="minorHAnsi"/>
                <w:b/>
                <w:bCs/>
              </w:rPr>
              <w:t xml:space="preserve">onfidence </w:t>
            </w:r>
            <w:r w:rsidR="00040FFA" w:rsidRPr="002C0FFB">
              <w:rPr>
                <w:rFonts w:cstheme="minorHAnsi"/>
                <w:b/>
                <w:bCs/>
              </w:rPr>
              <w:t>I</w:t>
            </w:r>
            <w:r w:rsidR="00C06807">
              <w:rPr>
                <w:rFonts w:cstheme="minorHAnsi"/>
                <w:b/>
                <w:bCs/>
              </w:rPr>
              <w:t>nterval</w:t>
            </w:r>
            <w:r w:rsidR="00004A90">
              <w:rPr>
                <w:rFonts w:cstheme="minorHAnsi"/>
                <w:b/>
                <w:bCs/>
              </w:rPr>
              <w:t xml:space="preserve"> (95% CI)</w:t>
            </w:r>
            <w:r w:rsidR="00040FFA" w:rsidRPr="002C0FFB">
              <w:rPr>
                <w:rFonts w:cstheme="minorHAnsi"/>
                <w:b/>
                <w:bCs/>
              </w:rPr>
              <w:t>]</w:t>
            </w:r>
          </w:p>
        </w:tc>
      </w:tr>
      <w:tr w:rsidR="002C3A1A" w:rsidRPr="009C2598" w14:paraId="36998CF0" w14:textId="77777777" w:rsidTr="000C65B2">
        <w:tc>
          <w:tcPr>
            <w:tcW w:w="4248" w:type="dxa"/>
          </w:tcPr>
          <w:p w14:paraId="2CA74104" w14:textId="77777777" w:rsidR="002C3A1A" w:rsidRPr="009C2598" w:rsidRDefault="002C3A1A" w:rsidP="001E7454">
            <w:pPr>
              <w:rPr>
                <w:rFonts w:cstheme="minorHAnsi"/>
              </w:rPr>
            </w:pPr>
            <w:r w:rsidRPr="009C2598">
              <w:rPr>
                <w:rFonts w:cstheme="minorHAnsi"/>
              </w:rPr>
              <w:t>Age in months</w:t>
            </w:r>
          </w:p>
        </w:tc>
        <w:tc>
          <w:tcPr>
            <w:tcW w:w="1701" w:type="dxa"/>
          </w:tcPr>
          <w:p w14:paraId="2775FB9D" w14:textId="77777777" w:rsidR="002C3A1A" w:rsidRPr="009C2598" w:rsidRDefault="002C3A1A" w:rsidP="001E7454">
            <w:pPr>
              <w:rPr>
                <w:rFonts w:cstheme="minorHAnsi"/>
              </w:rPr>
            </w:pPr>
          </w:p>
        </w:tc>
        <w:tc>
          <w:tcPr>
            <w:tcW w:w="3260" w:type="dxa"/>
          </w:tcPr>
          <w:p w14:paraId="7442829C" w14:textId="77777777" w:rsidR="002C3A1A" w:rsidRPr="009C2598" w:rsidRDefault="002C3A1A" w:rsidP="001E7454">
            <w:pPr>
              <w:rPr>
                <w:rFonts w:cstheme="minorHAnsi"/>
              </w:rPr>
            </w:pPr>
          </w:p>
        </w:tc>
      </w:tr>
      <w:tr w:rsidR="002C3A1A" w:rsidRPr="009C2598" w14:paraId="7F7BB524" w14:textId="77777777" w:rsidTr="000C65B2">
        <w:tc>
          <w:tcPr>
            <w:tcW w:w="4248" w:type="dxa"/>
          </w:tcPr>
          <w:p w14:paraId="3BC0AD2D" w14:textId="77777777" w:rsidR="002C3A1A" w:rsidRPr="009C2598" w:rsidRDefault="002C3A1A" w:rsidP="001E7454">
            <w:pPr>
              <w:ind w:left="720"/>
              <w:rPr>
                <w:rFonts w:cstheme="minorHAnsi"/>
              </w:rPr>
            </w:pPr>
            <w:r w:rsidRPr="009C2598">
              <w:rPr>
                <w:rFonts w:cstheme="minorHAnsi"/>
              </w:rPr>
              <w:t>Mean (SD)</w:t>
            </w:r>
          </w:p>
        </w:tc>
        <w:tc>
          <w:tcPr>
            <w:tcW w:w="1701" w:type="dxa"/>
          </w:tcPr>
          <w:p w14:paraId="0733EBB9" w14:textId="77777777" w:rsidR="002C3A1A" w:rsidRDefault="00CC063A" w:rsidP="001E7454">
            <w:pPr>
              <w:rPr>
                <w:rFonts w:cstheme="minorHAnsi"/>
              </w:rPr>
            </w:pPr>
            <w:r w:rsidRPr="009C2598">
              <w:rPr>
                <w:rFonts w:cstheme="minorHAnsi"/>
              </w:rPr>
              <w:t>60.0</w:t>
            </w:r>
            <w:r w:rsidR="002C3A1A" w:rsidRPr="009C2598">
              <w:rPr>
                <w:rFonts w:cstheme="minorHAnsi"/>
              </w:rPr>
              <w:t xml:space="preserve"> (4.0)</w:t>
            </w:r>
          </w:p>
          <w:p w14:paraId="69C076F4" w14:textId="51BF5600" w:rsidR="000B1F04" w:rsidRPr="0049036E" w:rsidRDefault="000B1F04" w:rsidP="001E7454">
            <w:pPr>
              <w:rPr>
                <w:rFonts w:cstheme="minorHAnsi"/>
              </w:rPr>
            </w:pPr>
            <w:r>
              <w:rPr>
                <w:rFonts w:cstheme="minorHAnsi"/>
              </w:rPr>
              <w:t>[60.0; 60.0]</w:t>
            </w:r>
          </w:p>
        </w:tc>
        <w:tc>
          <w:tcPr>
            <w:tcW w:w="3260" w:type="dxa"/>
          </w:tcPr>
          <w:p w14:paraId="17A06627" w14:textId="77777777" w:rsidR="002C3A1A" w:rsidRPr="0049036E" w:rsidRDefault="002C3A1A" w:rsidP="001E7454">
            <w:pPr>
              <w:rPr>
                <w:rFonts w:cstheme="minorHAnsi"/>
              </w:rPr>
            </w:pPr>
            <w:r w:rsidRPr="0049036E">
              <w:rPr>
                <w:rFonts w:cstheme="minorHAnsi"/>
              </w:rPr>
              <w:t>-</w:t>
            </w:r>
          </w:p>
        </w:tc>
      </w:tr>
      <w:tr w:rsidR="002C3A1A" w:rsidRPr="009C2598" w14:paraId="5D094BB7" w14:textId="77777777" w:rsidTr="000C65B2">
        <w:tc>
          <w:tcPr>
            <w:tcW w:w="4248" w:type="dxa"/>
          </w:tcPr>
          <w:p w14:paraId="47E11127" w14:textId="493005D6" w:rsidR="002C3A1A" w:rsidRPr="009C2598" w:rsidRDefault="002C3A1A" w:rsidP="001E7454">
            <w:pPr>
              <w:rPr>
                <w:rFonts w:cstheme="minorHAnsi"/>
              </w:rPr>
            </w:pPr>
            <w:r w:rsidRPr="009C2598">
              <w:rPr>
                <w:rFonts w:cstheme="minorHAnsi"/>
              </w:rPr>
              <w:t>Height</w:t>
            </w:r>
          </w:p>
        </w:tc>
        <w:tc>
          <w:tcPr>
            <w:tcW w:w="1701" w:type="dxa"/>
          </w:tcPr>
          <w:p w14:paraId="205BCE60" w14:textId="77777777" w:rsidR="002C3A1A" w:rsidRPr="009C2598" w:rsidRDefault="002C3A1A" w:rsidP="001E7454">
            <w:pPr>
              <w:rPr>
                <w:rFonts w:cstheme="minorHAnsi"/>
              </w:rPr>
            </w:pPr>
          </w:p>
        </w:tc>
        <w:tc>
          <w:tcPr>
            <w:tcW w:w="3260" w:type="dxa"/>
          </w:tcPr>
          <w:p w14:paraId="7D08FE1B" w14:textId="77777777" w:rsidR="002C3A1A" w:rsidRPr="009C2598" w:rsidRDefault="002C3A1A" w:rsidP="001E7454">
            <w:pPr>
              <w:rPr>
                <w:rFonts w:cstheme="minorHAnsi"/>
              </w:rPr>
            </w:pPr>
          </w:p>
        </w:tc>
      </w:tr>
      <w:tr w:rsidR="002C3A1A" w:rsidRPr="009C2598" w14:paraId="35551D5B" w14:textId="77777777" w:rsidTr="000C65B2">
        <w:tc>
          <w:tcPr>
            <w:tcW w:w="4248" w:type="dxa"/>
          </w:tcPr>
          <w:p w14:paraId="48AA99B3" w14:textId="630BB2DB" w:rsidR="002C3A1A" w:rsidRPr="009C2598" w:rsidRDefault="002C3A1A" w:rsidP="001E7454">
            <w:pPr>
              <w:ind w:left="720"/>
              <w:rPr>
                <w:rFonts w:cstheme="minorHAnsi"/>
              </w:rPr>
            </w:pPr>
            <w:r w:rsidRPr="009C2598">
              <w:rPr>
                <w:rFonts w:cstheme="minorHAnsi"/>
              </w:rPr>
              <w:t xml:space="preserve">Mean </w:t>
            </w:r>
            <w:r w:rsidR="001241D6">
              <w:rPr>
                <w:rFonts w:cstheme="minorHAnsi"/>
              </w:rPr>
              <w:t xml:space="preserve">height cm </w:t>
            </w:r>
            <w:r w:rsidRPr="009C2598">
              <w:rPr>
                <w:rFonts w:cstheme="minorHAnsi"/>
              </w:rPr>
              <w:t>(SD)</w:t>
            </w:r>
            <w:r w:rsidR="001241D6">
              <w:rPr>
                <w:rFonts w:cstheme="minorHAnsi"/>
              </w:rPr>
              <w:t xml:space="preserve"> [95% CI]</w:t>
            </w:r>
            <w:r w:rsidR="002D125D">
              <w:rPr>
                <w:rFonts w:cstheme="minorHAnsi"/>
              </w:rPr>
              <w:t xml:space="preserve"> </w:t>
            </w:r>
          </w:p>
        </w:tc>
        <w:tc>
          <w:tcPr>
            <w:tcW w:w="1701" w:type="dxa"/>
          </w:tcPr>
          <w:p w14:paraId="7ABEC662" w14:textId="77777777" w:rsidR="002C3A1A" w:rsidRDefault="002C3A1A" w:rsidP="001E7454">
            <w:pPr>
              <w:rPr>
                <w:rFonts w:cstheme="minorHAnsi"/>
              </w:rPr>
            </w:pPr>
            <w:r w:rsidRPr="009C2598">
              <w:rPr>
                <w:rFonts w:cstheme="minorHAnsi"/>
              </w:rPr>
              <w:t>109.6 (5.1)</w:t>
            </w:r>
          </w:p>
          <w:p w14:paraId="53D74949" w14:textId="5D6866F5" w:rsidR="00B854B2" w:rsidRPr="0049036E" w:rsidRDefault="00B854B2" w:rsidP="001E7454">
            <w:pPr>
              <w:rPr>
                <w:rFonts w:cstheme="minorHAnsi"/>
              </w:rPr>
            </w:pPr>
            <w:r>
              <w:rPr>
                <w:rFonts w:cstheme="minorHAnsi"/>
              </w:rPr>
              <w:t>[109.6; 109.6]</w:t>
            </w:r>
          </w:p>
        </w:tc>
        <w:tc>
          <w:tcPr>
            <w:tcW w:w="3260" w:type="dxa"/>
          </w:tcPr>
          <w:p w14:paraId="05234685" w14:textId="77777777" w:rsidR="002C3A1A" w:rsidRPr="0049036E" w:rsidRDefault="002C3A1A" w:rsidP="001E7454">
            <w:pPr>
              <w:rPr>
                <w:rFonts w:cstheme="minorHAnsi"/>
              </w:rPr>
            </w:pPr>
            <w:r w:rsidRPr="0049036E">
              <w:rPr>
                <w:rFonts w:cstheme="minorHAnsi"/>
              </w:rPr>
              <w:t>-</w:t>
            </w:r>
          </w:p>
        </w:tc>
      </w:tr>
      <w:tr w:rsidR="00CC063A" w:rsidRPr="009C2598" w14:paraId="4DDD7A33" w14:textId="77777777" w:rsidTr="000C65B2">
        <w:tc>
          <w:tcPr>
            <w:tcW w:w="4248" w:type="dxa"/>
          </w:tcPr>
          <w:p w14:paraId="4977CC23" w14:textId="793A7E5E" w:rsidR="00CC063A" w:rsidRPr="009C2598" w:rsidRDefault="00CC063A" w:rsidP="001E7454">
            <w:pPr>
              <w:ind w:left="720"/>
              <w:rPr>
                <w:rFonts w:cstheme="minorHAnsi"/>
              </w:rPr>
            </w:pPr>
            <w:r w:rsidRPr="009C2598">
              <w:rPr>
                <w:rFonts w:cstheme="minorHAnsi"/>
              </w:rPr>
              <w:t xml:space="preserve">Mean </w:t>
            </w:r>
            <w:r w:rsidR="001241D6">
              <w:rPr>
                <w:rFonts w:cstheme="minorHAnsi"/>
              </w:rPr>
              <w:t xml:space="preserve">height SDS </w:t>
            </w:r>
            <w:r w:rsidRPr="009C2598">
              <w:rPr>
                <w:rFonts w:cstheme="minorHAnsi"/>
              </w:rPr>
              <w:t>(SD)</w:t>
            </w:r>
            <w:r w:rsidR="001241D6">
              <w:rPr>
                <w:rFonts w:cstheme="minorHAnsi"/>
              </w:rPr>
              <w:t xml:space="preserve"> [95% CI]</w:t>
            </w:r>
          </w:p>
        </w:tc>
        <w:tc>
          <w:tcPr>
            <w:tcW w:w="1701" w:type="dxa"/>
          </w:tcPr>
          <w:p w14:paraId="5F300F78" w14:textId="77777777" w:rsidR="00CC063A" w:rsidRDefault="00583A38" w:rsidP="001E7454">
            <w:pPr>
              <w:rPr>
                <w:rFonts w:cstheme="minorHAnsi"/>
              </w:rPr>
            </w:pPr>
            <w:r w:rsidRPr="009C2598">
              <w:rPr>
                <w:rFonts w:cstheme="minorHAnsi"/>
              </w:rPr>
              <w:t>0.11 (1.0)</w:t>
            </w:r>
          </w:p>
          <w:p w14:paraId="13DF2439" w14:textId="42C229EF" w:rsidR="00B854B2" w:rsidRPr="009C2598" w:rsidRDefault="00B854B2" w:rsidP="001E7454">
            <w:pPr>
              <w:rPr>
                <w:rFonts w:cstheme="minorHAnsi"/>
              </w:rPr>
            </w:pPr>
            <w:r>
              <w:rPr>
                <w:rFonts w:cstheme="minorHAnsi"/>
              </w:rPr>
              <w:t>[0.11; 0.11]</w:t>
            </w:r>
          </w:p>
        </w:tc>
        <w:tc>
          <w:tcPr>
            <w:tcW w:w="3260" w:type="dxa"/>
          </w:tcPr>
          <w:p w14:paraId="727D5973" w14:textId="2226D88D" w:rsidR="00CC063A" w:rsidRPr="009C2598" w:rsidRDefault="00583A38" w:rsidP="001E7454">
            <w:pPr>
              <w:rPr>
                <w:rFonts w:cstheme="minorHAnsi"/>
              </w:rPr>
            </w:pPr>
            <w:r w:rsidRPr="009C2598">
              <w:rPr>
                <w:rFonts w:cstheme="minorHAnsi"/>
              </w:rPr>
              <w:t>-</w:t>
            </w:r>
          </w:p>
        </w:tc>
      </w:tr>
      <w:tr w:rsidR="002C3A1A" w:rsidRPr="009C2598" w14:paraId="7AB92637" w14:textId="77777777" w:rsidTr="000C65B2">
        <w:tc>
          <w:tcPr>
            <w:tcW w:w="4248" w:type="dxa"/>
          </w:tcPr>
          <w:p w14:paraId="1D53F903" w14:textId="5E8A4E93" w:rsidR="002C3A1A" w:rsidRPr="009C2598" w:rsidRDefault="002C3A1A" w:rsidP="001E7454">
            <w:pPr>
              <w:rPr>
                <w:rFonts w:cstheme="minorHAnsi"/>
              </w:rPr>
            </w:pPr>
            <w:r w:rsidRPr="009C2598">
              <w:rPr>
                <w:rFonts w:cstheme="minorHAnsi"/>
              </w:rPr>
              <w:t>Sex</w:t>
            </w:r>
            <w:r w:rsidR="0086745F">
              <w:rPr>
                <w:rFonts w:cstheme="minorHAnsi"/>
              </w:rPr>
              <w:t xml:space="preserve"> %</w:t>
            </w:r>
            <w:r w:rsidR="00C64F5F">
              <w:rPr>
                <w:rFonts w:cstheme="minorHAnsi"/>
              </w:rPr>
              <w:t xml:space="preserve"> (n)</w:t>
            </w:r>
          </w:p>
        </w:tc>
        <w:tc>
          <w:tcPr>
            <w:tcW w:w="1701" w:type="dxa"/>
          </w:tcPr>
          <w:p w14:paraId="3984B079" w14:textId="77777777" w:rsidR="002C3A1A" w:rsidRPr="009C2598" w:rsidRDefault="002C3A1A" w:rsidP="001E7454">
            <w:pPr>
              <w:rPr>
                <w:rFonts w:cstheme="minorHAnsi"/>
              </w:rPr>
            </w:pPr>
          </w:p>
        </w:tc>
        <w:tc>
          <w:tcPr>
            <w:tcW w:w="3260" w:type="dxa"/>
          </w:tcPr>
          <w:p w14:paraId="3272D744" w14:textId="77777777" w:rsidR="002C3A1A" w:rsidRPr="009C2598" w:rsidRDefault="002C3A1A" w:rsidP="001E7454">
            <w:pPr>
              <w:rPr>
                <w:rFonts w:cstheme="minorHAnsi"/>
              </w:rPr>
            </w:pPr>
          </w:p>
        </w:tc>
      </w:tr>
      <w:tr w:rsidR="002C3A1A" w:rsidRPr="009C2598" w14:paraId="7864DE89" w14:textId="77777777" w:rsidTr="000C65B2">
        <w:tc>
          <w:tcPr>
            <w:tcW w:w="4248" w:type="dxa"/>
          </w:tcPr>
          <w:p w14:paraId="2BFBF601" w14:textId="77777777" w:rsidR="002C3A1A" w:rsidRPr="009C2598" w:rsidRDefault="002C3A1A" w:rsidP="001E7454">
            <w:pPr>
              <w:ind w:left="720"/>
              <w:rPr>
                <w:rFonts w:cstheme="minorHAnsi"/>
              </w:rPr>
            </w:pPr>
            <w:r w:rsidRPr="009C2598">
              <w:rPr>
                <w:rFonts w:cstheme="minorHAnsi"/>
              </w:rPr>
              <w:t>Male</w:t>
            </w:r>
          </w:p>
        </w:tc>
        <w:tc>
          <w:tcPr>
            <w:tcW w:w="1701" w:type="dxa"/>
          </w:tcPr>
          <w:p w14:paraId="7C195F19" w14:textId="56E0B49F" w:rsidR="002C3A1A" w:rsidRPr="009C2598" w:rsidRDefault="002C3A1A" w:rsidP="001E7454">
            <w:pPr>
              <w:rPr>
                <w:rFonts w:cstheme="minorHAnsi"/>
              </w:rPr>
            </w:pPr>
            <w:r w:rsidRPr="009C2598">
              <w:rPr>
                <w:rFonts w:cstheme="minorHAnsi"/>
              </w:rPr>
              <w:t>51</w:t>
            </w:r>
            <w:r w:rsidR="00391CB6">
              <w:rPr>
                <w:rFonts w:cstheme="minorHAnsi"/>
              </w:rPr>
              <w:t xml:space="preserve"> (3,608,608)</w:t>
            </w:r>
          </w:p>
        </w:tc>
        <w:tc>
          <w:tcPr>
            <w:tcW w:w="3260" w:type="dxa"/>
          </w:tcPr>
          <w:p w14:paraId="74624102" w14:textId="77777777" w:rsidR="002C3A1A" w:rsidRPr="0049036E" w:rsidRDefault="002C3A1A" w:rsidP="001E7454">
            <w:pPr>
              <w:rPr>
                <w:rFonts w:cstheme="minorHAnsi"/>
              </w:rPr>
            </w:pPr>
            <w:r w:rsidRPr="009C2598">
              <w:rPr>
                <w:rFonts w:cstheme="minorHAnsi"/>
              </w:rPr>
              <w:t>1.77 [1.76; 1.78]</w:t>
            </w:r>
          </w:p>
        </w:tc>
      </w:tr>
      <w:tr w:rsidR="002C3A1A" w:rsidRPr="009C2598" w14:paraId="0BA8E603" w14:textId="77777777" w:rsidTr="000C65B2">
        <w:tc>
          <w:tcPr>
            <w:tcW w:w="4248" w:type="dxa"/>
          </w:tcPr>
          <w:p w14:paraId="50BA34DD" w14:textId="77777777" w:rsidR="002C3A1A" w:rsidRPr="009C2598" w:rsidRDefault="002C3A1A" w:rsidP="001E7454">
            <w:pPr>
              <w:ind w:left="720"/>
              <w:rPr>
                <w:rFonts w:cstheme="minorHAnsi"/>
              </w:rPr>
            </w:pPr>
            <w:r w:rsidRPr="009C2598">
              <w:rPr>
                <w:rFonts w:cstheme="minorHAnsi"/>
              </w:rPr>
              <w:t>Female</w:t>
            </w:r>
          </w:p>
        </w:tc>
        <w:tc>
          <w:tcPr>
            <w:tcW w:w="1701" w:type="dxa"/>
          </w:tcPr>
          <w:p w14:paraId="128AEF4F" w14:textId="4F484032" w:rsidR="002C3A1A" w:rsidRPr="009C2598" w:rsidRDefault="002C3A1A" w:rsidP="001E7454">
            <w:pPr>
              <w:rPr>
                <w:rFonts w:cstheme="minorHAnsi"/>
              </w:rPr>
            </w:pPr>
            <w:r w:rsidRPr="009C2598">
              <w:rPr>
                <w:rFonts w:cstheme="minorHAnsi"/>
              </w:rPr>
              <w:t>49</w:t>
            </w:r>
            <w:r w:rsidR="00391CB6">
              <w:rPr>
                <w:rFonts w:cstheme="minorHAnsi"/>
              </w:rPr>
              <w:t xml:space="preserve"> (3,453,463)</w:t>
            </w:r>
          </w:p>
        </w:tc>
        <w:tc>
          <w:tcPr>
            <w:tcW w:w="3260" w:type="dxa"/>
          </w:tcPr>
          <w:p w14:paraId="770B6830" w14:textId="77777777" w:rsidR="002C3A1A" w:rsidRPr="009C2598" w:rsidRDefault="002C3A1A" w:rsidP="001E7454">
            <w:pPr>
              <w:rPr>
                <w:rFonts w:cstheme="minorHAnsi"/>
              </w:rPr>
            </w:pPr>
            <w:r w:rsidRPr="009C2598">
              <w:rPr>
                <w:rFonts w:cstheme="minorHAnsi"/>
              </w:rPr>
              <w:t>2.09 [2.07; 2.10]</w:t>
            </w:r>
          </w:p>
        </w:tc>
      </w:tr>
      <w:tr w:rsidR="002C3A1A" w:rsidRPr="009C2598" w14:paraId="42E8FF1D" w14:textId="77777777" w:rsidTr="000C65B2">
        <w:tc>
          <w:tcPr>
            <w:tcW w:w="4248" w:type="dxa"/>
          </w:tcPr>
          <w:p w14:paraId="698CBC35" w14:textId="09D288E0" w:rsidR="002C3A1A" w:rsidRPr="009C2598" w:rsidRDefault="002C3A1A" w:rsidP="001E7454">
            <w:pPr>
              <w:rPr>
                <w:rFonts w:cstheme="minorHAnsi"/>
              </w:rPr>
            </w:pPr>
            <w:r w:rsidRPr="009C2598">
              <w:rPr>
                <w:rFonts w:cstheme="minorHAnsi"/>
              </w:rPr>
              <w:t>Government Office Region</w:t>
            </w:r>
            <w:r w:rsidR="0086745F">
              <w:rPr>
                <w:rFonts w:cstheme="minorHAnsi"/>
              </w:rPr>
              <w:t xml:space="preserve"> %</w:t>
            </w:r>
          </w:p>
        </w:tc>
        <w:tc>
          <w:tcPr>
            <w:tcW w:w="1701" w:type="dxa"/>
          </w:tcPr>
          <w:p w14:paraId="571D2328" w14:textId="77777777" w:rsidR="002C3A1A" w:rsidRPr="009C2598" w:rsidRDefault="002C3A1A" w:rsidP="001E7454">
            <w:pPr>
              <w:rPr>
                <w:rFonts w:cstheme="minorHAnsi"/>
              </w:rPr>
            </w:pPr>
          </w:p>
        </w:tc>
        <w:tc>
          <w:tcPr>
            <w:tcW w:w="3260" w:type="dxa"/>
          </w:tcPr>
          <w:p w14:paraId="13DA9092" w14:textId="77777777" w:rsidR="002C3A1A" w:rsidRPr="009C2598" w:rsidRDefault="002C3A1A" w:rsidP="001E7454">
            <w:pPr>
              <w:rPr>
                <w:rFonts w:cstheme="minorHAnsi"/>
              </w:rPr>
            </w:pPr>
          </w:p>
        </w:tc>
      </w:tr>
      <w:tr w:rsidR="002C3A1A" w:rsidRPr="009C2598" w14:paraId="57F2A275" w14:textId="77777777" w:rsidTr="000C65B2">
        <w:tc>
          <w:tcPr>
            <w:tcW w:w="4248" w:type="dxa"/>
          </w:tcPr>
          <w:p w14:paraId="7F8FDFB6" w14:textId="77777777" w:rsidR="002C3A1A" w:rsidRPr="009C2598" w:rsidRDefault="002C3A1A" w:rsidP="001E7454">
            <w:pPr>
              <w:ind w:left="720"/>
              <w:rPr>
                <w:rFonts w:cstheme="minorHAnsi"/>
              </w:rPr>
            </w:pPr>
            <w:proofErr w:type="gramStart"/>
            <w:r w:rsidRPr="009C2598">
              <w:rPr>
                <w:rFonts w:cstheme="minorHAnsi"/>
              </w:rPr>
              <w:t>North East</w:t>
            </w:r>
            <w:proofErr w:type="gramEnd"/>
          </w:p>
        </w:tc>
        <w:tc>
          <w:tcPr>
            <w:tcW w:w="1701" w:type="dxa"/>
          </w:tcPr>
          <w:p w14:paraId="4D8643B3" w14:textId="21D3A245" w:rsidR="002C3A1A" w:rsidRPr="009C2598" w:rsidRDefault="00F96B37" w:rsidP="001E7454">
            <w:pPr>
              <w:rPr>
                <w:rFonts w:cstheme="minorHAnsi"/>
              </w:rPr>
            </w:pPr>
            <w:r>
              <w:rPr>
                <w:rFonts w:cstheme="minorHAnsi"/>
              </w:rPr>
              <w:t>5</w:t>
            </w:r>
            <w:r w:rsidR="00391CB6">
              <w:rPr>
                <w:rFonts w:cstheme="minorHAnsi"/>
              </w:rPr>
              <w:t xml:space="preserve"> (351,119)</w:t>
            </w:r>
          </w:p>
        </w:tc>
        <w:tc>
          <w:tcPr>
            <w:tcW w:w="3260" w:type="dxa"/>
          </w:tcPr>
          <w:p w14:paraId="32E00A29" w14:textId="77777777" w:rsidR="002C3A1A" w:rsidRPr="009C2598" w:rsidRDefault="002C3A1A" w:rsidP="001E7454">
            <w:pPr>
              <w:rPr>
                <w:rFonts w:cstheme="minorHAnsi"/>
              </w:rPr>
            </w:pPr>
            <w:r w:rsidRPr="009C2598">
              <w:rPr>
                <w:rFonts w:cstheme="minorHAnsi"/>
              </w:rPr>
              <w:t>2.12 [2.08; 2.17]</w:t>
            </w:r>
          </w:p>
        </w:tc>
      </w:tr>
      <w:tr w:rsidR="002C3A1A" w:rsidRPr="009C2598" w14:paraId="3A0885AB" w14:textId="77777777" w:rsidTr="000C65B2">
        <w:tc>
          <w:tcPr>
            <w:tcW w:w="4248" w:type="dxa"/>
          </w:tcPr>
          <w:p w14:paraId="124F3AFF" w14:textId="77777777" w:rsidR="002C3A1A" w:rsidRPr="009C2598" w:rsidRDefault="002C3A1A" w:rsidP="001E7454">
            <w:pPr>
              <w:ind w:left="720"/>
              <w:rPr>
                <w:rFonts w:cstheme="minorHAnsi"/>
              </w:rPr>
            </w:pPr>
            <w:proofErr w:type="gramStart"/>
            <w:r w:rsidRPr="009C2598">
              <w:rPr>
                <w:rFonts w:cstheme="minorHAnsi"/>
              </w:rPr>
              <w:t>North West</w:t>
            </w:r>
            <w:proofErr w:type="gramEnd"/>
          </w:p>
        </w:tc>
        <w:tc>
          <w:tcPr>
            <w:tcW w:w="1701" w:type="dxa"/>
          </w:tcPr>
          <w:p w14:paraId="04970FF9" w14:textId="0D9D4DAF" w:rsidR="002C3A1A" w:rsidRPr="009C2598" w:rsidRDefault="002C3A1A" w:rsidP="001E7454">
            <w:pPr>
              <w:rPr>
                <w:rFonts w:cstheme="minorHAnsi"/>
              </w:rPr>
            </w:pPr>
            <w:r w:rsidRPr="009C2598">
              <w:rPr>
                <w:rFonts w:cstheme="minorHAnsi"/>
              </w:rPr>
              <w:t>1</w:t>
            </w:r>
            <w:r w:rsidR="0086745F">
              <w:rPr>
                <w:rFonts w:cstheme="minorHAnsi"/>
              </w:rPr>
              <w:t>4</w:t>
            </w:r>
            <w:r w:rsidR="00391CB6">
              <w:rPr>
                <w:rFonts w:cstheme="minorHAnsi"/>
              </w:rPr>
              <w:t xml:space="preserve"> (974,826)</w:t>
            </w:r>
          </w:p>
        </w:tc>
        <w:tc>
          <w:tcPr>
            <w:tcW w:w="3260" w:type="dxa"/>
          </w:tcPr>
          <w:p w14:paraId="324C73F0" w14:textId="77777777" w:rsidR="002C3A1A" w:rsidRPr="009C2598" w:rsidRDefault="002C3A1A" w:rsidP="001E7454">
            <w:pPr>
              <w:rPr>
                <w:rFonts w:cstheme="minorHAnsi"/>
              </w:rPr>
            </w:pPr>
            <w:r w:rsidRPr="009C2598">
              <w:rPr>
                <w:rFonts w:cstheme="minorHAnsi"/>
              </w:rPr>
              <w:t>2.14 [2.12; 2.17]</w:t>
            </w:r>
          </w:p>
        </w:tc>
      </w:tr>
      <w:tr w:rsidR="002C3A1A" w:rsidRPr="009C2598" w14:paraId="4AF52002" w14:textId="77777777" w:rsidTr="000C65B2">
        <w:tc>
          <w:tcPr>
            <w:tcW w:w="4248" w:type="dxa"/>
          </w:tcPr>
          <w:p w14:paraId="73FCD5E6" w14:textId="77777777" w:rsidR="002C3A1A" w:rsidRPr="009C2598" w:rsidRDefault="002C3A1A" w:rsidP="001E7454">
            <w:pPr>
              <w:ind w:left="720"/>
              <w:rPr>
                <w:rFonts w:cstheme="minorHAnsi"/>
              </w:rPr>
            </w:pPr>
            <w:r w:rsidRPr="009C2598">
              <w:rPr>
                <w:rFonts w:cstheme="minorHAnsi"/>
              </w:rPr>
              <w:t>Yorkshire and the Humber</w:t>
            </w:r>
          </w:p>
        </w:tc>
        <w:tc>
          <w:tcPr>
            <w:tcW w:w="1701" w:type="dxa"/>
          </w:tcPr>
          <w:p w14:paraId="45A6BE28" w14:textId="04EF1012" w:rsidR="002C3A1A" w:rsidRPr="009C2598" w:rsidRDefault="002C3A1A" w:rsidP="001E7454">
            <w:pPr>
              <w:rPr>
                <w:rFonts w:cstheme="minorHAnsi"/>
              </w:rPr>
            </w:pPr>
            <w:r w:rsidRPr="009C2598">
              <w:rPr>
                <w:rFonts w:cstheme="minorHAnsi"/>
              </w:rPr>
              <w:t>10</w:t>
            </w:r>
            <w:r w:rsidR="00391CB6">
              <w:rPr>
                <w:rFonts w:cstheme="minorHAnsi"/>
              </w:rPr>
              <w:t xml:space="preserve"> (719,264)</w:t>
            </w:r>
          </w:p>
        </w:tc>
        <w:tc>
          <w:tcPr>
            <w:tcW w:w="3260" w:type="dxa"/>
          </w:tcPr>
          <w:p w14:paraId="28D9EA10" w14:textId="77777777" w:rsidR="002C3A1A" w:rsidRPr="009C2598" w:rsidRDefault="002C3A1A" w:rsidP="001E7454">
            <w:pPr>
              <w:rPr>
                <w:rFonts w:cstheme="minorHAnsi"/>
              </w:rPr>
            </w:pPr>
            <w:r w:rsidRPr="009C2598">
              <w:rPr>
                <w:rFonts w:cstheme="minorHAnsi"/>
              </w:rPr>
              <w:t>2.18 [2.15; 2.22]</w:t>
            </w:r>
          </w:p>
        </w:tc>
      </w:tr>
      <w:tr w:rsidR="002C3A1A" w:rsidRPr="009C2598" w14:paraId="103F5C5D" w14:textId="77777777" w:rsidTr="000C65B2">
        <w:tc>
          <w:tcPr>
            <w:tcW w:w="4248" w:type="dxa"/>
          </w:tcPr>
          <w:p w14:paraId="38D9CF68" w14:textId="77777777" w:rsidR="002C3A1A" w:rsidRPr="009C2598" w:rsidRDefault="002C3A1A" w:rsidP="001E7454">
            <w:pPr>
              <w:ind w:left="720"/>
              <w:rPr>
                <w:rFonts w:cstheme="minorHAnsi"/>
              </w:rPr>
            </w:pPr>
            <w:r w:rsidRPr="009C2598">
              <w:rPr>
                <w:rFonts w:cstheme="minorHAnsi"/>
              </w:rPr>
              <w:t>East Midlands</w:t>
            </w:r>
          </w:p>
        </w:tc>
        <w:tc>
          <w:tcPr>
            <w:tcW w:w="1701" w:type="dxa"/>
          </w:tcPr>
          <w:p w14:paraId="16F6AB17" w14:textId="079D8582" w:rsidR="002C3A1A" w:rsidRPr="009C2598" w:rsidRDefault="0086745F" w:rsidP="001E7454">
            <w:pPr>
              <w:rPr>
                <w:rFonts w:cstheme="minorHAnsi"/>
              </w:rPr>
            </w:pPr>
            <w:r>
              <w:rPr>
                <w:rFonts w:cstheme="minorHAnsi"/>
              </w:rPr>
              <w:t>9</w:t>
            </w:r>
            <w:r w:rsidR="00391CB6">
              <w:rPr>
                <w:rFonts w:cstheme="minorHAnsi"/>
              </w:rPr>
              <w:t xml:space="preserve"> (597,755)</w:t>
            </w:r>
          </w:p>
        </w:tc>
        <w:tc>
          <w:tcPr>
            <w:tcW w:w="3260" w:type="dxa"/>
          </w:tcPr>
          <w:p w14:paraId="100E50D3" w14:textId="77777777" w:rsidR="002C3A1A" w:rsidRPr="009C2598" w:rsidRDefault="002C3A1A" w:rsidP="001E7454">
            <w:pPr>
              <w:rPr>
                <w:rFonts w:cstheme="minorHAnsi"/>
              </w:rPr>
            </w:pPr>
            <w:r w:rsidRPr="009C2598">
              <w:rPr>
                <w:rFonts w:cstheme="minorHAnsi"/>
              </w:rPr>
              <w:t>2.08 [2.04; 2.11]</w:t>
            </w:r>
          </w:p>
        </w:tc>
      </w:tr>
      <w:tr w:rsidR="002C3A1A" w:rsidRPr="009C2598" w14:paraId="52CDEB3A" w14:textId="77777777" w:rsidTr="000C65B2">
        <w:tc>
          <w:tcPr>
            <w:tcW w:w="4248" w:type="dxa"/>
          </w:tcPr>
          <w:p w14:paraId="69C7079E" w14:textId="77777777" w:rsidR="002C3A1A" w:rsidRPr="009C2598" w:rsidRDefault="002C3A1A" w:rsidP="001E7454">
            <w:pPr>
              <w:ind w:left="720"/>
              <w:rPr>
                <w:rFonts w:cstheme="minorHAnsi"/>
              </w:rPr>
            </w:pPr>
            <w:r w:rsidRPr="009C2598">
              <w:rPr>
                <w:rFonts w:cstheme="minorHAnsi"/>
              </w:rPr>
              <w:t>West Midlands</w:t>
            </w:r>
          </w:p>
        </w:tc>
        <w:tc>
          <w:tcPr>
            <w:tcW w:w="1701" w:type="dxa"/>
          </w:tcPr>
          <w:p w14:paraId="137C1C35" w14:textId="3D6E2F5B" w:rsidR="002C3A1A" w:rsidRPr="009C2598" w:rsidRDefault="002C3A1A" w:rsidP="001E7454">
            <w:pPr>
              <w:rPr>
                <w:rFonts w:cstheme="minorHAnsi"/>
              </w:rPr>
            </w:pPr>
            <w:r w:rsidRPr="009C2598">
              <w:rPr>
                <w:rFonts w:cstheme="minorHAnsi"/>
              </w:rPr>
              <w:t>11</w:t>
            </w:r>
            <w:r w:rsidR="00391CB6">
              <w:rPr>
                <w:rFonts w:cstheme="minorHAnsi"/>
              </w:rPr>
              <w:t xml:space="preserve"> (788,566)</w:t>
            </w:r>
          </w:p>
        </w:tc>
        <w:tc>
          <w:tcPr>
            <w:tcW w:w="3260" w:type="dxa"/>
          </w:tcPr>
          <w:p w14:paraId="1B52CEA2" w14:textId="77777777" w:rsidR="002C3A1A" w:rsidRPr="009C2598" w:rsidRDefault="002C3A1A" w:rsidP="001E7454">
            <w:pPr>
              <w:rPr>
                <w:rFonts w:cstheme="minorHAnsi"/>
              </w:rPr>
            </w:pPr>
            <w:r w:rsidRPr="009C2598">
              <w:rPr>
                <w:rFonts w:cstheme="minorHAnsi"/>
              </w:rPr>
              <w:t>2.05 [2.02; 2.08]</w:t>
            </w:r>
          </w:p>
        </w:tc>
      </w:tr>
      <w:tr w:rsidR="002C3A1A" w:rsidRPr="009C2598" w14:paraId="693B34BE" w14:textId="77777777" w:rsidTr="000C65B2">
        <w:tc>
          <w:tcPr>
            <w:tcW w:w="4248" w:type="dxa"/>
          </w:tcPr>
          <w:p w14:paraId="40C5E9C2" w14:textId="77777777" w:rsidR="002C3A1A" w:rsidRPr="009C2598" w:rsidRDefault="002C3A1A" w:rsidP="001E7454">
            <w:pPr>
              <w:ind w:left="720"/>
              <w:rPr>
                <w:rFonts w:cstheme="minorHAnsi"/>
              </w:rPr>
            </w:pPr>
            <w:r w:rsidRPr="009C2598">
              <w:rPr>
                <w:rFonts w:cstheme="minorHAnsi"/>
              </w:rPr>
              <w:t>East of England</w:t>
            </w:r>
          </w:p>
        </w:tc>
        <w:tc>
          <w:tcPr>
            <w:tcW w:w="1701" w:type="dxa"/>
          </w:tcPr>
          <w:p w14:paraId="03A5A194" w14:textId="07C83818" w:rsidR="002C3A1A" w:rsidRPr="009C2598" w:rsidRDefault="002C3A1A" w:rsidP="001E7454">
            <w:pPr>
              <w:rPr>
                <w:rFonts w:cstheme="minorHAnsi"/>
              </w:rPr>
            </w:pPr>
            <w:r w:rsidRPr="009C2598">
              <w:rPr>
                <w:rFonts w:cstheme="minorHAnsi"/>
              </w:rPr>
              <w:t>11</w:t>
            </w:r>
            <w:r w:rsidR="00391CB6">
              <w:rPr>
                <w:rFonts w:cstheme="minorHAnsi"/>
              </w:rPr>
              <w:t xml:space="preserve"> (795,006)</w:t>
            </w:r>
          </w:p>
        </w:tc>
        <w:tc>
          <w:tcPr>
            <w:tcW w:w="3260" w:type="dxa"/>
          </w:tcPr>
          <w:p w14:paraId="0434660A" w14:textId="77777777" w:rsidR="002C3A1A" w:rsidRPr="009C2598" w:rsidRDefault="002C3A1A" w:rsidP="001E7454">
            <w:pPr>
              <w:rPr>
                <w:rFonts w:cstheme="minorHAnsi"/>
              </w:rPr>
            </w:pPr>
            <w:r w:rsidRPr="009C2598">
              <w:rPr>
                <w:rFonts w:cstheme="minorHAnsi"/>
              </w:rPr>
              <w:t>1.89 [1.86; 1.92]</w:t>
            </w:r>
          </w:p>
        </w:tc>
      </w:tr>
      <w:tr w:rsidR="002C3A1A" w:rsidRPr="009C2598" w14:paraId="6CBBEAAC" w14:textId="77777777" w:rsidTr="000C65B2">
        <w:tc>
          <w:tcPr>
            <w:tcW w:w="4248" w:type="dxa"/>
          </w:tcPr>
          <w:p w14:paraId="1F63562F" w14:textId="77777777" w:rsidR="002C3A1A" w:rsidRPr="009C2598" w:rsidRDefault="002C3A1A" w:rsidP="001E7454">
            <w:pPr>
              <w:ind w:left="720"/>
              <w:rPr>
                <w:rFonts w:cstheme="minorHAnsi"/>
              </w:rPr>
            </w:pPr>
            <w:r w:rsidRPr="009C2598">
              <w:rPr>
                <w:rFonts w:cstheme="minorHAnsi"/>
              </w:rPr>
              <w:t>London</w:t>
            </w:r>
          </w:p>
        </w:tc>
        <w:tc>
          <w:tcPr>
            <w:tcW w:w="1701" w:type="dxa"/>
          </w:tcPr>
          <w:p w14:paraId="40EE17E6" w14:textId="0E3EC196" w:rsidR="002C3A1A" w:rsidRPr="009C2598" w:rsidRDefault="002C3A1A" w:rsidP="001E7454">
            <w:pPr>
              <w:rPr>
                <w:rFonts w:cstheme="minorHAnsi"/>
              </w:rPr>
            </w:pPr>
            <w:r w:rsidRPr="009C2598">
              <w:rPr>
                <w:rFonts w:cstheme="minorHAnsi"/>
              </w:rPr>
              <w:t>1</w:t>
            </w:r>
            <w:r w:rsidR="0086745F">
              <w:rPr>
                <w:rFonts w:cstheme="minorHAnsi"/>
              </w:rPr>
              <w:t>6</w:t>
            </w:r>
            <w:r w:rsidR="00391CB6">
              <w:rPr>
                <w:rFonts w:cstheme="minorHAnsi"/>
              </w:rPr>
              <w:t xml:space="preserve"> (1,110,081)</w:t>
            </w:r>
          </w:p>
        </w:tc>
        <w:tc>
          <w:tcPr>
            <w:tcW w:w="3260" w:type="dxa"/>
          </w:tcPr>
          <w:p w14:paraId="0917AFB2" w14:textId="77777777" w:rsidR="002C3A1A" w:rsidRPr="009C2598" w:rsidRDefault="002C3A1A" w:rsidP="001E7454">
            <w:pPr>
              <w:rPr>
                <w:rFonts w:cstheme="minorHAnsi"/>
              </w:rPr>
            </w:pPr>
            <w:r w:rsidRPr="009C2598">
              <w:rPr>
                <w:rFonts w:cstheme="minorHAnsi"/>
              </w:rPr>
              <w:t>1.57 [1.55; 1.60]</w:t>
            </w:r>
          </w:p>
        </w:tc>
      </w:tr>
      <w:tr w:rsidR="002C3A1A" w:rsidRPr="009C2598" w14:paraId="5C60B2AB" w14:textId="77777777" w:rsidTr="000C65B2">
        <w:tc>
          <w:tcPr>
            <w:tcW w:w="4248" w:type="dxa"/>
          </w:tcPr>
          <w:p w14:paraId="0026AC5E" w14:textId="77777777" w:rsidR="002C3A1A" w:rsidRPr="009C2598" w:rsidRDefault="002C3A1A" w:rsidP="001E7454">
            <w:pPr>
              <w:ind w:left="720"/>
              <w:rPr>
                <w:rFonts w:cstheme="minorHAnsi"/>
              </w:rPr>
            </w:pPr>
            <w:proofErr w:type="gramStart"/>
            <w:r w:rsidRPr="009C2598">
              <w:rPr>
                <w:rFonts w:cstheme="minorHAnsi"/>
              </w:rPr>
              <w:t>South East</w:t>
            </w:r>
            <w:proofErr w:type="gramEnd"/>
          </w:p>
        </w:tc>
        <w:tc>
          <w:tcPr>
            <w:tcW w:w="1701" w:type="dxa"/>
          </w:tcPr>
          <w:p w14:paraId="66AF4A91" w14:textId="30A971F1" w:rsidR="002C3A1A" w:rsidRPr="009C2598" w:rsidRDefault="002C3A1A" w:rsidP="001E7454">
            <w:pPr>
              <w:rPr>
                <w:rFonts w:cstheme="minorHAnsi"/>
              </w:rPr>
            </w:pPr>
            <w:r w:rsidRPr="009C2598">
              <w:rPr>
                <w:rFonts w:cstheme="minorHAnsi"/>
              </w:rPr>
              <w:t>15</w:t>
            </w:r>
            <w:r w:rsidR="00391CB6">
              <w:rPr>
                <w:rFonts w:cstheme="minorHAnsi"/>
              </w:rPr>
              <w:t xml:space="preserve"> (1,080,309)</w:t>
            </w:r>
          </w:p>
        </w:tc>
        <w:tc>
          <w:tcPr>
            <w:tcW w:w="3260" w:type="dxa"/>
          </w:tcPr>
          <w:p w14:paraId="6DCC9443" w14:textId="77777777" w:rsidR="002C3A1A" w:rsidRPr="009C2598" w:rsidRDefault="002C3A1A" w:rsidP="001E7454">
            <w:pPr>
              <w:rPr>
                <w:rFonts w:cstheme="minorHAnsi"/>
              </w:rPr>
            </w:pPr>
            <w:r w:rsidRPr="009C2598">
              <w:rPr>
                <w:rFonts w:cstheme="minorHAnsi"/>
              </w:rPr>
              <w:t>1.74 [1.72; 1.77]</w:t>
            </w:r>
          </w:p>
        </w:tc>
      </w:tr>
      <w:tr w:rsidR="002C3A1A" w:rsidRPr="009C2598" w14:paraId="7EEA361C" w14:textId="77777777" w:rsidTr="000C65B2">
        <w:tc>
          <w:tcPr>
            <w:tcW w:w="4248" w:type="dxa"/>
          </w:tcPr>
          <w:p w14:paraId="04B32C5B" w14:textId="77777777" w:rsidR="002C3A1A" w:rsidRPr="009C2598" w:rsidRDefault="002C3A1A" w:rsidP="001E7454">
            <w:pPr>
              <w:ind w:left="720"/>
              <w:rPr>
                <w:rFonts w:cstheme="minorHAnsi"/>
              </w:rPr>
            </w:pPr>
            <w:proofErr w:type="gramStart"/>
            <w:r w:rsidRPr="009C2598">
              <w:rPr>
                <w:rFonts w:cstheme="minorHAnsi"/>
              </w:rPr>
              <w:t>South West</w:t>
            </w:r>
            <w:proofErr w:type="gramEnd"/>
          </w:p>
        </w:tc>
        <w:tc>
          <w:tcPr>
            <w:tcW w:w="1701" w:type="dxa"/>
          </w:tcPr>
          <w:p w14:paraId="68B9578D" w14:textId="5B9092D0" w:rsidR="002C3A1A" w:rsidRPr="009C2598" w:rsidRDefault="002C3A1A" w:rsidP="001E7454">
            <w:pPr>
              <w:rPr>
                <w:rFonts w:cstheme="minorHAnsi"/>
              </w:rPr>
            </w:pPr>
            <w:r w:rsidRPr="009C2598">
              <w:rPr>
                <w:rFonts w:cstheme="minorHAnsi"/>
              </w:rPr>
              <w:t>9</w:t>
            </w:r>
            <w:r w:rsidR="00391CB6">
              <w:rPr>
                <w:rFonts w:cstheme="minorHAnsi"/>
              </w:rPr>
              <w:t xml:space="preserve"> (645,145)</w:t>
            </w:r>
          </w:p>
        </w:tc>
        <w:tc>
          <w:tcPr>
            <w:tcW w:w="3260" w:type="dxa"/>
          </w:tcPr>
          <w:p w14:paraId="2960BAC7" w14:textId="77777777" w:rsidR="002C3A1A" w:rsidRPr="009C2598" w:rsidRDefault="002C3A1A" w:rsidP="001E7454">
            <w:pPr>
              <w:rPr>
                <w:rFonts w:cstheme="minorHAnsi"/>
              </w:rPr>
            </w:pPr>
            <w:r w:rsidRPr="009C2598">
              <w:rPr>
                <w:rFonts w:cstheme="minorHAnsi"/>
              </w:rPr>
              <w:t>1.86 [1.83; 1.89]</w:t>
            </w:r>
          </w:p>
        </w:tc>
      </w:tr>
      <w:tr w:rsidR="002C3A1A" w:rsidRPr="009C2598" w14:paraId="2ADFFBBC" w14:textId="77777777" w:rsidTr="000C65B2">
        <w:tc>
          <w:tcPr>
            <w:tcW w:w="4248" w:type="dxa"/>
          </w:tcPr>
          <w:p w14:paraId="7A2ADDDC" w14:textId="2C196D45" w:rsidR="002C3A1A" w:rsidRPr="009C2598" w:rsidRDefault="002C3A1A" w:rsidP="001E7454">
            <w:pPr>
              <w:rPr>
                <w:rFonts w:cstheme="minorHAnsi"/>
              </w:rPr>
            </w:pPr>
            <w:r w:rsidRPr="009C2598">
              <w:rPr>
                <w:rFonts w:cstheme="minorHAnsi"/>
              </w:rPr>
              <w:t>Ethnicity</w:t>
            </w:r>
            <w:r w:rsidR="0086745F">
              <w:rPr>
                <w:rFonts w:cstheme="minorHAnsi"/>
              </w:rPr>
              <w:t xml:space="preserve"> %</w:t>
            </w:r>
            <w:r w:rsidR="00C64F5F">
              <w:rPr>
                <w:rFonts w:cstheme="minorHAnsi"/>
              </w:rPr>
              <w:t xml:space="preserve"> (n)</w:t>
            </w:r>
          </w:p>
        </w:tc>
        <w:tc>
          <w:tcPr>
            <w:tcW w:w="1701" w:type="dxa"/>
          </w:tcPr>
          <w:p w14:paraId="598E2D58" w14:textId="77777777" w:rsidR="002C3A1A" w:rsidRPr="009C2598" w:rsidRDefault="002C3A1A" w:rsidP="001E7454">
            <w:pPr>
              <w:rPr>
                <w:rFonts w:cstheme="minorHAnsi"/>
              </w:rPr>
            </w:pPr>
          </w:p>
        </w:tc>
        <w:tc>
          <w:tcPr>
            <w:tcW w:w="3260" w:type="dxa"/>
          </w:tcPr>
          <w:p w14:paraId="3E6E5C84" w14:textId="77777777" w:rsidR="002C3A1A" w:rsidRPr="009C2598" w:rsidRDefault="002C3A1A" w:rsidP="001E7454">
            <w:pPr>
              <w:rPr>
                <w:rFonts w:cstheme="minorHAnsi"/>
              </w:rPr>
            </w:pPr>
          </w:p>
        </w:tc>
      </w:tr>
      <w:tr w:rsidR="002C3A1A" w:rsidRPr="009C2598" w14:paraId="30417E80" w14:textId="77777777" w:rsidTr="000C65B2">
        <w:tc>
          <w:tcPr>
            <w:tcW w:w="4248" w:type="dxa"/>
          </w:tcPr>
          <w:p w14:paraId="6DC93595" w14:textId="77777777" w:rsidR="002C3A1A" w:rsidRPr="009C2598" w:rsidRDefault="002C3A1A" w:rsidP="001E7454">
            <w:pPr>
              <w:ind w:left="720"/>
              <w:rPr>
                <w:rFonts w:cstheme="minorHAnsi"/>
              </w:rPr>
            </w:pPr>
            <w:r w:rsidRPr="009C2598">
              <w:rPr>
                <w:rFonts w:cstheme="minorHAnsi"/>
              </w:rPr>
              <w:t xml:space="preserve">White British and White Other </w:t>
            </w:r>
          </w:p>
        </w:tc>
        <w:tc>
          <w:tcPr>
            <w:tcW w:w="1701" w:type="dxa"/>
          </w:tcPr>
          <w:p w14:paraId="5B19909C" w14:textId="10DFB732" w:rsidR="002C3A1A" w:rsidRPr="009C2598" w:rsidRDefault="008510C2" w:rsidP="001E7454">
            <w:pPr>
              <w:tabs>
                <w:tab w:val="left" w:pos="780"/>
              </w:tabs>
              <w:rPr>
                <w:rFonts w:cstheme="minorHAnsi"/>
              </w:rPr>
            </w:pPr>
            <w:r w:rsidRPr="009C2598">
              <w:rPr>
                <w:rFonts w:cstheme="minorHAnsi"/>
              </w:rPr>
              <w:t>62</w:t>
            </w:r>
            <w:r w:rsidR="00C26DAB">
              <w:rPr>
                <w:rFonts w:cstheme="minorHAnsi"/>
              </w:rPr>
              <w:t xml:space="preserve"> (4,380,202)</w:t>
            </w:r>
          </w:p>
        </w:tc>
        <w:tc>
          <w:tcPr>
            <w:tcW w:w="3260" w:type="dxa"/>
          </w:tcPr>
          <w:p w14:paraId="7ECD97B2" w14:textId="77777777" w:rsidR="002C3A1A" w:rsidRPr="009C2598" w:rsidRDefault="002C3A1A" w:rsidP="001E7454">
            <w:pPr>
              <w:rPr>
                <w:rFonts w:cstheme="minorHAnsi"/>
              </w:rPr>
            </w:pPr>
            <w:r w:rsidRPr="009C2598">
              <w:rPr>
                <w:rFonts w:cstheme="minorHAnsi"/>
              </w:rPr>
              <w:t>1.95 [1.94; 1.96]</w:t>
            </w:r>
          </w:p>
        </w:tc>
      </w:tr>
      <w:tr w:rsidR="002C3A1A" w:rsidRPr="009C2598" w14:paraId="684E044B" w14:textId="77777777" w:rsidTr="000C65B2">
        <w:tc>
          <w:tcPr>
            <w:tcW w:w="4248" w:type="dxa"/>
          </w:tcPr>
          <w:p w14:paraId="5B9ED1A2" w14:textId="77777777" w:rsidR="002C3A1A" w:rsidRPr="009C2598" w:rsidRDefault="002C3A1A" w:rsidP="001E7454">
            <w:pPr>
              <w:ind w:left="720"/>
              <w:rPr>
                <w:rFonts w:cstheme="minorHAnsi"/>
              </w:rPr>
            </w:pPr>
            <w:r w:rsidRPr="009C2598">
              <w:rPr>
                <w:rFonts w:cstheme="minorHAnsi"/>
              </w:rPr>
              <w:t xml:space="preserve">Black African, Caribbean &amp; Other </w:t>
            </w:r>
          </w:p>
        </w:tc>
        <w:tc>
          <w:tcPr>
            <w:tcW w:w="1701" w:type="dxa"/>
          </w:tcPr>
          <w:p w14:paraId="76DD2B95" w14:textId="66C47BBE" w:rsidR="002C3A1A" w:rsidRPr="009C2598" w:rsidRDefault="008510C2" w:rsidP="001E7454">
            <w:pPr>
              <w:rPr>
                <w:rFonts w:cstheme="minorHAnsi"/>
              </w:rPr>
            </w:pPr>
            <w:r w:rsidRPr="009C2598">
              <w:rPr>
                <w:rFonts w:cstheme="minorHAnsi"/>
              </w:rPr>
              <w:t>5</w:t>
            </w:r>
            <w:r w:rsidR="00C26DAB">
              <w:rPr>
                <w:rFonts w:cstheme="minorHAnsi"/>
              </w:rPr>
              <w:t xml:space="preserve"> (314,293)</w:t>
            </w:r>
          </w:p>
        </w:tc>
        <w:tc>
          <w:tcPr>
            <w:tcW w:w="3260" w:type="dxa"/>
          </w:tcPr>
          <w:p w14:paraId="1DDDFD60" w14:textId="77777777" w:rsidR="002C3A1A" w:rsidRPr="009C2598" w:rsidRDefault="002C3A1A" w:rsidP="001E7454">
            <w:pPr>
              <w:rPr>
                <w:rFonts w:cstheme="minorHAnsi"/>
              </w:rPr>
            </w:pPr>
            <w:r w:rsidRPr="009C2598">
              <w:rPr>
                <w:rFonts w:cstheme="minorHAnsi"/>
              </w:rPr>
              <w:t>0.64 [0.61; 0.67]</w:t>
            </w:r>
          </w:p>
        </w:tc>
      </w:tr>
      <w:tr w:rsidR="002C3A1A" w:rsidRPr="009C2598" w14:paraId="67768387" w14:textId="77777777" w:rsidTr="000C65B2">
        <w:tc>
          <w:tcPr>
            <w:tcW w:w="4248" w:type="dxa"/>
          </w:tcPr>
          <w:p w14:paraId="1407A8D6" w14:textId="77777777" w:rsidR="002C3A1A" w:rsidRPr="009C2598" w:rsidRDefault="002C3A1A" w:rsidP="001E7454">
            <w:pPr>
              <w:ind w:left="720"/>
              <w:rPr>
                <w:rFonts w:cstheme="minorHAnsi"/>
              </w:rPr>
            </w:pPr>
            <w:r w:rsidRPr="009C2598">
              <w:rPr>
                <w:rFonts w:cstheme="minorHAnsi"/>
              </w:rPr>
              <w:t xml:space="preserve">Indian </w:t>
            </w:r>
          </w:p>
        </w:tc>
        <w:tc>
          <w:tcPr>
            <w:tcW w:w="1701" w:type="dxa"/>
          </w:tcPr>
          <w:p w14:paraId="04E4C953" w14:textId="243E959C" w:rsidR="002C3A1A" w:rsidRPr="009C2598" w:rsidRDefault="002C3A1A" w:rsidP="001E7454">
            <w:pPr>
              <w:rPr>
                <w:rFonts w:cstheme="minorHAnsi"/>
              </w:rPr>
            </w:pPr>
            <w:r w:rsidRPr="009C2598">
              <w:rPr>
                <w:rFonts w:cstheme="minorHAnsi"/>
              </w:rPr>
              <w:t>2</w:t>
            </w:r>
            <w:r w:rsidR="00C26DAB">
              <w:rPr>
                <w:rFonts w:cstheme="minorHAnsi"/>
              </w:rPr>
              <w:t xml:space="preserve"> (168,896)</w:t>
            </w:r>
          </w:p>
        </w:tc>
        <w:tc>
          <w:tcPr>
            <w:tcW w:w="3260" w:type="dxa"/>
          </w:tcPr>
          <w:p w14:paraId="580C35BD" w14:textId="77777777" w:rsidR="002C3A1A" w:rsidRPr="009C2598" w:rsidRDefault="002C3A1A" w:rsidP="001E7454">
            <w:pPr>
              <w:rPr>
                <w:rFonts w:cstheme="minorHAnsi"/>
              </w:rPr>
            </w:pPr>
            <w:r w:rsidRPr="009C2598">
              <w:rPr>
                <w:rFonts w:cstheme="minorHAnsi"/>
              </w:rPr>
              <w:t>2.52 [2.45; 2.60]</w:t>
            </w:r>
          </w:p>
        </w:tc>
      </w:tr>
      <w:tr w:rsidR="002C3A1A" w:rsidRPr="009C2598" w14:paraId="4AC98AAF" w14:textId="77777777" w:rsidTr="000C65B2">
        <w:tc>
          <w:tcPr>
            <w:tcW w:w="4248" w:type="dxa"/>
          </w:tcPr>
          <w:p w14:paraId="48A0B326" w14:textId="77777777" w:rsidR="002C3A1A" w:rsidRPr="009C2598" w:rsidRDefault="002C3A1A" w:rsidP="001E7454">
            <w:pPr>
              <w:ind w:left="720"/>
              <w:rPr>
                <w:rFonts w:cstheme="minorHAnsi"/>
              </w:rPr>
            </w:pPr>
            <w:r w:rsidRPr="009C2598">
              <w:rPr>
                <w:rFonts w:cstheme="minorHAnsi"/>
              </w:rPr>
              <w:t>Pakistani &amp; Bangladeshi</w:t>
            </w:r>
          </w:p>
        </w:tc>
        <w:tc>
          <w:tcPr>
            <w:tcW w:w="1701" w:type="dxa"/>
          </w:tcPr>
          <w:p w14:paraId="5805A23A" w14:textId="265B03B4" w:rsidR="002C3A1A" w:rsidRPr="009C2598" w:rsidRDefault="0086745F" w:rsidP="001E7454">
            <w:pPr>
              <w:rPr>
                <w:rFonts w:cstheme="minorHAnsi"/>
              </w:rPr>
            </w:pPr>
            <w:r>
              <w:rPr>
                <w:rFonts w:cstheme="minorHAnsi"/>
              </w:rPr>
              <w:t>5</w:t>
            </w:r>
            <w:r w:rsidR="00C26DAB">
              <w:rPr>
                <w:rFonts w:cstheme="minorHAnsi"/>
              </w:rPr>
              <w:t xml:space="preserve"> (349,060)</w:t>
            </w:r>
          </w:p>
        </w:tc>
        <w:tc>
          <w:tcPr>
            <w:tcW w:w="3260" w:type="dxa"/>
          </w:tcPr>
          <w:p w14:paraId="6B2D7AB6" w14:textId="77777777" w:rsidR="002C3A1A" w:rsidRPr="009C2598" w:rsidRDefault="002C3A1A" w:rsidP="001E7454">
            <w:pPr>
              <w:rPr>
                <w:rFonts w:cstheme="minorHAnsi"/>
              </w:rPr>
            </w:pPr>
            <w:r w:rsidRPr="009C2598">
              <w:rPr>
                <w:rFonts w:cstheme="minorHAnsi"/>
              </w:rPr>
              <w:t>2.18 [2.13; 2.23]</w:t>
            </w:r>
          </w:p>
        </w:tc>
      </w:tr>
      <w:tr w:rsidR="002C3A1A" w:rsidRPr="009C2598" w14:paraId="7B65DAAF" w14:textId="77777777" w:rsidTr="000C65B2">
        <w:tc>
          <w:tcPr>
            <w:tcW w:w="4248" w:type="dxa"/>
          </w:tcPr>
          <w:p w14:paraId="30DA2B13" w14:textId="77777777" w:rsidR="002C3A1A" w:rsidRPr="009C2598" w:rsidRDefault="002C3A1A" w:rsidP="001E7454">
            <w:pPr>
              <w:ind w:left="720"/>
              <w:rPr>
                <w:rFonts w:cstheme="minorHAnsi"/>
              </w:rPr>
            </w:pPr>
            <w:r w:rsidRPr="009C2598">
              <w:rPr>
                <w:rFonts w:cstheme="minorHAnsi"/>
              </w:rPr>
              <w:t xml:space="preserve">Mixed </w:t>
            </w:r>
          </w:p>
        </w:tc>
        <w:tc>
          <w:tcPr>
            <w:tcW w:w="1701" w:type="dxa"/>
          </w:tcPr>
          <w:p w14:paraId="3CB34707" w14:textId="69C5D68F" w:rsidR="002C3A1A" w:rsidRPr="009C2598" w:rsidRDefault="008510C2" w:rsidP="001E7454">
            <w:pPr>
              <w:rPr>
                <w:rFonts w:cstheme="minorHAnsi"/>
              </w:rPr>
            </w:pPr>
            <w:r w:rsidRPr="009C2598">
              <w:rPr>
                <w:rFonts w:cstheme="minorHAnsi"/>
              </w:rPr>
              <w:t>4</w:t>
            </w:r>
            <w:r w:rsidR="00C26DAB">
              <w:rPr>
                <w:rFonts w:cstheme="minorHAnsi"/>
              </w:rPr>
              <w:t xml:space="preserve"> (304,769)</w:t>
            </w:r>
          </w:p>
        </w:tc>
        <w:tc>
          <w:tcPr>
            <w:tcW w:w="3260" w:type="dxa"/>
          </w:tcPr>
          <w:p w14:paraId="44B8AA30" w14:textId="77777777" w:rsidR="002C3A1A" w:rsidRPr="009C2598" w:rsidRDefault="002C3A1A" w:rsidP="001E7454">
            <w:pPr>
              <w:rPr>
                <w:rFonts w:cstheme="minorHAnsi"/>
              </w:rPr>
            </w:pPr>
            <w:r w:rsidRPr="009C2598">
              <w:rPr>
                <w:rFonts w:cstheme="minorHAnsi"/>
              </w:rPr>
              <w:t>1.58 [1.53; 1.62]</w:t>
            </w:r>
          </w:p>
        </w:tc>
      </w:tr>
      <w:tr w:rsidR="002C3A1A" w:rsidRPr="009C2598" w14:paraId="5925779A" w14:textId="77777777" w:rsidTr="000C65B2">
        <w:tc>
          <w:tcPr>
            <w:tcW w:w="4248" w:type="dxa"/>
          </w:tcPr>
          <w:p w14:paraId="0D837752" w14:textId="77777777" w:rsidR="002C3A1A" w:rsidRPr="009C2598" w:rsidRDefault="002C3A1A" w:rsidP="001E7454">
            <w:pPr>
              <w:ind w:left="720"/>
              <w:rPr>
                <w:rFonts w:cstheme="minorHAnsi"/>
              </w:rPr>
            </w:pPr>
            <w:r w:rsidRPr="009C2598">
              <w:rPr>
                <w:rFonts w:cstheme="minorHAnsi"/>
              </w:rPr>
              <w:t>Other</w:t>
            </w:r>
          </w:p>
        </w:tc>
        <w:tc>
          <w:tcPr>
            <w:tcW w:w="1701" w:type="dxa"/>
          </w:tcPr>
          <w:p w14:paraId="07852F21" w14:textId="52F4A29F" w:rsidR="002C3A1A" w:rsidRPr="009C2598" w:rsidRDefault="0086745F" w:rsidP="001E7454">
            <w:pPr>
              <w:rPr>
                <w:rFonts w:cstheme="minorHAnsi"/>
              </w:rPr>
            </w:pPr>
            <w:r>
              <w:rPr>
                <w:rFonts w:cstheme="minorHAnsi"/>
              </w:rPr>
              <w:t>4</w:t>
            </w:r>
            <w:r w:rsidR="00C26DAB">
              <w:rPr>
                <w:rFonts w:cstheme="minorHAnsi"/>
              </w:rPr>
              <w:t xml:space="preserve"> (248,874)</w:t>
            </w:r>
          </w:p>
        </w:tc>
        <w:tc>
          <w:tcPr>
            <w:tcW w:w="3260" w:type="dxa"/>
          </w:tcPr>
          <w:p w14:paraId="1B6DAA28" w14:textId="77777777" w:rsidR="002C3A1A" w:rsidRPr="009C2598" w:rsidRDefault="002C3A1A" w:rsidP="001E7454">
            <w:pPr>
              <w:rPr>
                <w:rFonts w:cstheme="minorHAnsi"/>
              </w:rPr>
            </w:pPr>
            <w:r w:rsidRPr="009C2598">
              <w:rPr>
                <w:rFonts w:cstheme="minorHAnsi"/>
              </w:rPr>
              <w:t>2.57 [2.51; 2.64]</w:t>
            </w:r>
          </w:p>
        </w:tc>
      </w:tr>
      <w:tr w:rsidR="00B564C8" w:rsidRPr="009C2598" w14:paraId="07A979D1" w14:textId="77777777" w:rsidTr="000C65B2">
        <w:tc>
          <w:tcPr>
            <w:tcW w:w="4248" w:type="dxa"/>
          </w:tcPr>
          <w:p w14:paraId="7F50087D" w14:textId="3928F605" w:rsidR="00B564C8" w:rsidRPr="009C2598" w:rsidRDefault="00B564C8" w:rsidP="001E7454">
            <w:pPr>
              <w:ind w:left="720"/>
              <w:rPr>
                <w:rFonts w:cstheme="minorHAnsi"/>
              </w:rPr>
            </w:pPr>
            <w:r w:rsidRPr="009C2598">
              <w:rPr>
                <w:rFonts w:cstheme="minorHAnsi"/>
              </w:rPr>
              <w:t>Missing</w:t>
            </w:r>
          </w:p>
        </w:tc>
        <w:tc>
          <w:tcPr>
            <w:tcW w:w="1701" w:type="dxa"/>
          </w:tcPr>
          <w:p w14:paraId="3C62AEA1" w14:textId="078F5111" w:rsidR="00B564C8" w:rsidRPr="009C2598" w:rsidRDefault="008510C2" w:rsidP="001E7454">
            <w:pPr>
              <w:rPr>
                <w:rFonts w:cstheme="minorHAnsi"/>
              </w:rPr>
            </w:pPr>
            <w:r w:rsidRPr="009C2598">
              <w:rPr>
                <w:rFonts w:cstheme="minorHAnsi"/>
              </w:rPr>
              <w:t>18</w:t>
            </w:r>
            <w:r w:rsidR="00C26DAB">
              <w:rPr>
                <w:rFonts w:cstheme="minorHAnsi"/>
              </w:rPr>
              <w:t xml:space="preserve"> (1,295,977)</w:t>
            </w:r>
          </w:p>
        </w:tc>
        <w:tc>
          <w:tcPr>
            <w:tcW w:w="3260" w:type="dxa"/>
          </w:tcPr>
          <w:p w14:paraId="30D21CD9" w14:textId="62A6938F" w:rsidR="00B564C8" w:rsidRPr="009C2598" w:rsidRDefault="00D0650E" w:rsidP="001E7454">
            <w:pPr>
              <w:rPr>
                <w:rFonts w:cstheme="minorHAnsi"/>
              </w:rPr>
            </w:pPr>
            <w:r w:rsidRPr="009C2598">
              <w:rPr>
                <w:rFonts w:cstheme="minorHAnsi"/>
              </w:rPr>
              <w:t>1.96</w:t>
            </w:r>
            <w:r w:rsidR="002B3544" w:rsidRPr="009C2598">
              <w:rPr>
                <w:rFonts w:cstheme="minorHAnsi"/>
              </w:rPr>
              <w:t xml:space="preserve"> [1.94; 1.98]</w:t>
            </w:r>
          </w:p>
        </w:tc>
      </w:tr>
      <w:tr w:rsidR="002C3A1A" w:rsidRPr="009C2598" w14:paraId="3C977FFA" w14:textId="77777777" w:rsidTr="000C65B2">
        <w:tc>
          <w:tcPr>
            <w:tcW w:w="4248" w:type="dxa"/>
          </w:tcPr>
          <w:p w14:paraId="54C25E5D" w14:textId="2A7DE01E" w:rsidR="002C3A1A" w:rsidRPr="009C2598" w:rsidRDefault="002C3A1A" w:rsidP="001E7454">
            <w:pPr>
              <w:rPr>
                <w:rFonts w:cstheme="minorHAnsi"/>
                <w:vertAlign w:val="superscript"/>
              </w:rPr>
            </w:pPr>
            <w:r w:rsidRPr="009C2598">
              <w:rPr>
                <w:rFonts w:cstheme="minorHAnsi"/>
              </w:rPr>
              <w:t>Index of Multiple Deprivation (decile)</w:t>
            </w:r>
            <w:r w:rsidR="00D24097" w:rsidRPr="009C2598">
              <w:rPr>
                <w:rFonts w:cstheme="minorHAnsi"/>
                <w:vertAlign w:val="superscript"/>
              </w:rPr>
              <w:t>a</w:t>
            </w:r>
            <w:r w:rsidR="0086745F">
              <w:rPr>
                <w:rFonts w:cstheme="minorHAnsi"/>
                <w:vertAlign w:val="superscript"/>
              </w:rPr>
              <w:t xml:space="preserve"> </w:t>
            </w:r>
            <w:r w:rsidR="0086745F">
              <w:rPr>
                <w:rFonts w:cstheme="minorHAnsi"/>
              </w:rPr>
              <w:t>%</w:t>
            </w:r>
            <w:r w:rsidR="00C64F5F">
              <w:rPr>
                <w:rFonts w:cstheme="minorHAnsi"/>
              </w:rPr>
              <w:t xml:space="preserve"> (n)</w:t>
            </w:r>
          </w:p>
        </w:tc>
        <w:tc>
          <w:tcPr>
            <w:tcW w:w="1701" w:type="dxa"/>
          </w:tcPr>
          <w:p w14:paraId="3FAB03DB" w14:textId="77777777" w:rsidR="002C3A1A" w:rsidRPr="0049036E" w:rsidRDefault="002C3A1A" w:rsidP="001E7454">
            <w:pPr>
              <w:rPr>
                <w:rFonts w:cstheme="minorHAnsi"/>
              </w:rPr>
            </w:pPr>
          </w:p>
        </w:tc>
        <w:tc>
          <w:tcPr>
            <w:tcW w:w="3260" w:type="dxa"/>
          </w:tcPr>
          <w:p w14:paraId="1EBFBBE2" w14:textId="77777777" w:rsidR="002C3A1A" w:rsidRPr="0049036E" w:rsidRDefault="002C3A1A" w:rsidP="001E7454">
            <w:pPr>
              <w:rPr>
                <w:rFonts w:cstheme="minorHAnsi"/>
              </w:rPr>
            </w:pPr>
          </w:p>
        </w:tc>
      </w:tr>
      <w:tr w:rsidR="002C3A1A" w:rsidRPr="009C2598" w14:paraId="14391894" w14:textId="77777777" w:rsidTr="000C65B2">
        <w:tc>
          <w:tcPr>
            <w:tcW w:w="4248" w:type="dxa"/>
          </w:tcPr>
          <w:p w14:paraId="1B15807A" w14:textId="77777777" w:rsidR="002C3A1A" w:rsidRPr="009C2598" w:rsidRDefault="002C3A1A" w:rsidP="001E7454">
            <w:pPr>
              <w:ind w:left="720"/>
              <w:rPr>
                <w:rFonts w:cstheme="minorHAnsi"/>
              </w:rPr>
            </w:pPr>
            <w:r w:rsidRPr="009C2598">
              <w:rPr>
                <w:rFonts w:cstheme="minorHAnsi"/>
              </w:rPr>
              <w:t>1</w:t>
            </w:r>
          </w:p>
        </w:tc>
        <w:tc>
          <w:tcPr>
            <w:tcW w:w="1701" w:type="dxa"/>
          </w:tcPr>
          <w:p w14:paraId="22EE75F4" w14:textId="5F15A315" w:rsidR="002C3A1A" w:rsidRPr="009C2598" w:rsidRDefault="002C3A1A" w:rsidP="001E7454">
            <w:pPr>
              <w:rPr>
                <w:rFonts w:cstheme="minorHAnsi"/>
              </w:rPr>
            </w:pPr>
            <w:r w:rsidRPr="009C2598">
              <w:rPr>
                <w:rFonts w:cstheme="minorHAnsi"/>
              </w:rPr>
              <w:t>1</w:t>
            </w:r>
            <w:r w:rsidR="0086745F">
              <w:rPr>
                <w:rFonts w:cstheme="minorHAnsi"/>
              </w:rPr>
              <w:t>4</w:t>
            </w:r>
            <w:r w:rsidR="00C26DAB">
              <w:rPr>
                <w:rFonts w:cstheme="minorHAnsi"/>
              </w:rPr>
              <w:t xml:space="preserve"> (</w:t>
            </w:r>
            <w:r w:rsidR="00FF3686">
              <w:rPr>
                <w:rFonts w:cstheme="minorHAnsi"/>
              </w:rPr>
              <w:t>984,279)</w:t>
            </w:r>
          </w:p>
        </w:tc>
        <w:tc>
          <w:tcPr>
            <w:tcW w:w="3260" w:type="dxa"/>
          </w:tcPr>
          <w:p w14:paraId="312FDCDF" w14:textId="77777777" w:rsidR="002C3A1A" w:rsidRPr="009C2598" w:rsidRDefault="002C3A1A" w:rsidP="001E7454">
            <w:pPr>
              <w:rPr>
                <w:rFonts w:cstheme="minorHAnsi"/>
              </w:rPr>
            </w:pPr>
            <w:r w:rsidRPr="009C2598">
              <w:rPr>
                <w:rFonts w:cstheme="minorHAnsi"/>
              </w:rPr>
              <w:t>2.56 [2.53; 2.59]</w:t>
            </w:r>
          </w:p>
        </w:tc>
      </w:tr>
      <w:tr w:rsidR="002C3A1A" w:rsidRPr="009C2598" w14:paraId="3A5F32FE" w14:textId="77777777" w:rsidTr="000C65B2">
        <w:tc>
          <w:tcPr>
            <w:tcW w:w="4248" w:type="dxa"/>
          </w:tcPr>
          <w:p w14:paraId="6D7096C4" w14:textId="77777777" w:rsidR="002C3A1A" w:rsidRPr="009C2598" w:rsidRDefault="002C3A1A" w:rsidP="001E7454">
            <w:pPr>
              <w:ind w:left="720"/>
              <w:rPr>
                <w:rFonts w:cstheme="minorHAnsi"/>
              </w:rPr>
            </w:pPr>
            <w:r w:rsidRPr="009C2598">
              <w:rPr>
                <w:rFonts w:cstheme="minorHAnsi"/>
              </w:rPr>
              <w:t>2</w:t>
            </w:r>
          </w:p>
        </w:tc>
        <w:tc>
          <w:tcPr>
            <w:tcW w:w="1701" w:type="dxa"/>
          </w:tcPr>
          <w:p w14:paraId="1354D577" w14:textId="0F755BC0" w:rsidR="002C3A1A" w:rsidRPr="009C2598" w:rsidRDefault="002C3A1A" w:rsidP="001E7454">
            <w:pPr>
              <w:rPr>
                <w:rFonts w:cstheme="minorHAnsi"/>
              </w:rPr>
            </w:pPr>
            <w:r w:rsidRPr="009C2598">
              <w:rPr>
                <w:rFonts w:cstheme="minorHAnsi"/>
              </w:rPr>
              <w:t>12</w:t>
            </w:r>
            <w:r w:rsidR="00FF3686">
              <w:rPr>
                <w:rFonts w:cstheme="minorHAnsi"/>
              </w:rPr>
              <w:t xml:space="preserve"> (860,767)</w:t>
            </w:r>
          </w:p>
        </w:tc>
        <w:tc>
          <w:tcPr>
            <w:tcW w:w="3260" w:type="dxa"/>
          </w:tcPr>
          <w:p w14:paraId="388DFE3D" w14:textId="77777777" w:rsidR="002C3A1A" w:rsidRPr="009C2598" w:rsidRDefault="002C3A1A" w:rsidP="001E7454">
            <w:pPr>
              <w:rPr>
                <w:rFonts w:cstheme="minorHAnsi"/>
              </w:rPr>
            </w:pPr>
            <w:r w:rsidRPr="009C2598">
              <w:rPr>
                <w:rFonts w:cstheme="minorHAnsi"/>
              </w:rPr>
              <w:t>2.24 [2.21; 2.27]</w:t>
            </w:r>
          </w:p>
        </w:tc>
      </w:tr>
      <w:tr w:rsidR="002C3A1A" w:rsidRPr="009C2598" w14:paraId="3BDD99C1" w14:textId="77777777" w:rsidTr="000C65B2">
        <w:tc>
          <w:tcPr>
            <w:tcW w:w="4248" w:type="dxa"/>
          </w:tcPr>
          <w:p w14:paraId="71340307" w14:textId="77777777" w:rsidR="002C3A1A" w:rsidRPr="009C2598" w:rsidRDefault="002C3A1A" w:rsidP="001E7454">
            <w:pPr>
              <w:ind w:left="720"/>
              <w:rPr>
                <w:rFonts w:cstheme="minorHAnsi"/>
              </w:rPr>
            </w:pPr>
            <w:r w:rsidRPr="009C2598">
              <w:rPr>
                <w:rFonts w:cstheme="minorHAnsi"/>
              </w:rPr>
              <w:t>3</w:t>
            </w:r>
          </w:p>
        </w:tc>
        <w:tc>
          <w:tcPr>
            <w:tcW w:w="1701" w:type="dxa"/>
          </w:tcPr>
          <w:p w14:paraId="73650BB1" w14:textId="634E02F2" w:rsidR="002C3A1A" w:rsidRPr="009C2598" w:rsidRDefault="002C3A1A" w:rsidP="001E7454">
            <w:pPr>
              <w:rPr>
                <w:rFonts w:cstheme="minorHAnsi"/>
              </w:rPr>
            </w:pPr>
            <w:r w:rsidRPr="009C2598">
              <w:rPr>
                <w:rFonts w:cstheme="minorHAnsi"/>
              </w:rPr>
              <w:t>1</w:t>
            </w:r>
            <w:r w:rsidR="0086745F">
              <w:rPr>
                <w:rFonts w:cstheme="minorHAnsi"/>
              </w:rPr>
              <w:t>1</w:t>
            </w:r>
            <w:r w:rsidR="00FF3686">
              <w:rPr>
                <w:rFonts w:cstheme="minorHAnsi"/>
              </w:rPr>
              <w:t xml:space="preserve"> (768,760)</w:t>
            </w:r>
          </w:p>
        </w:tc>
        <w:tc>
          <w:tcPr>
            <w:tcW w:w="3260" w:type="dxa"/>
          </w:tcPr>
          <w:p w14:paraId="067E71BA" w14:textId="4065AE29" w:rsidR="002C3A1A" w:rsidRPr="009C2598" w:rsidRDefault="002C3A1A" w:rsidP="001E7454">
            <w:pPr>
              <w:rPr>
                <w:rFonts w:cstheme="minorHAnsi"/>
              </w:rPr>
            </w:pPr>
            <w:r w:rsidRPr="009C2598">
              <w:rPr>
                <w:rFonts w:cstheme="minorHAnsi"/>
              </w:rPr>
              <w:t>2.09 [2.0</w:t>
            </w:r>
            <w:r w:rsidR="005470C3" w:rsidRPr="009C2598">
              <w:rPr>
                <w:rFonts w:cstheme="minorHAnsi"/>
              </w:rPr>
              <w:t>6</w:t>
            </w:r>
            <w:r w:rsidRPr="009C2598">
              <w:rPr>
                <w:rFonts w:cstheme="minorHAnsi"/>
              </w:rPr>
              <w:t>; 2.12]</w:t>
            </w:r>
          </w:p>
        </w:tc>
      </w:tr>
      <w:tr w:rsidR="002C3A1A" w:rsidRPr="009C2598" w14:paraId="26622180" w14:textId="77777777" w:rsidTr="000C65B2">
        <w:tc>
          <w:tcPr>
            <w:tcW w:w="4248" w:type="dxa"/>
          </w:tcPr>
          <w:p w14:paraId="3F6048E5" w14:textId="77777777" w:rsidR="002C3A1A" w:rsidRPr="009C2598" w:rsidRDefault="002C3A1A" w:rsidP="001E7454">
            <w:pPr>
              <w:ind w:left="720"/>
              <w:rPr>
                <w:rFonts w:cstheme="minorHAnsi"/>
              </w:rPr>
            </w:pPr>
            <w:r w:rsidRPr="009C2598">
              <w:rPr>
                <w:rFonts w:cstheme="minorHAnsi"/>
              </w:rPr>
              <w:t>4</w:t>
            </w:r>
          </w:p>
        </w:tc>
        <w:tc>
          <w:tcPr>
            <w:tcW w:w="1701" w:type="dxa"/>
          </w:tcPr>
          <w:p w14:paraId="6BD9537A" w14:textId="5E92BC05" w:rsidR="002C3A1A" w:rsidRPr="009C2598" w:rsidRDefault="0086745F" w:rsidP="001E7454">
            <w:pPr>
              <w:rPr>
                <w:rFonts w:cstheme="minorHAnsi"/>
              </w:rPr>
            </w:pPr>
            <w:r>
              <w:rPr>
                <w:rFonts w:cstheme="minorHAnsi"/>
              </w:rPr>
              <w:t>10</w:t>
            </w:r>
            <w:r w:rsidR="00FF3686">
              <w:rPr>
                <w:rFonts w:cstheme="minorHAnsi"/>
              </w:rPr>
              <w:t xml:space="preserve"> (698,317)</w:t>
            </w:r>
          </w:p>
        </w:tc>
        <w:tc>
          <w:tcPr>
            <w:tcW w:w="3260" w:type="dxa"/>
          </w:tcPr>
          <w:p w14:paraId="0B646ACE" w14:textId="2DAEFF39" w:rsidR="002C3A1A" w:rsidRPr="009C2598" w:rsidRDefault="00DC6FF4" w:rsidP="001E7454">
            <w:pPr>
              <w:rPr>
                <w:rFonts w:cstheme="minorHAnsi"/>
              </w:rPr>
            </w:pPr>
            <w:r w:rsidRPr="009C2598">
              <w:rPr>
                <w:rFonts w:cstheme="minorHAnsi"/>
              </w:rPr>
              <w:t>2.00</w:t>
            </w:r>
            <w:r w:rsidR="002C3A1A" w:rsidRPr="009C2598">
              <w:rPr>
                <w:rFonts w:cstheme="minorHAnsi"/>
              </w:rPr>
              <w:t xml:space="preserve"> [1.96; 2.03]</w:t>
            </w:r>
          </w:p>
        </w:tc>
      </w:tr>
      <w:tr w:rsidR="002C3A1A" w:rsidRPr="009C2598" w14:paraId="2D2724F4" w14:textId="77777777" w:rsidTr="000C65B2">
        <w:tc>
          <w:tcPr>
            <w:tcW w:w="4248" w:type="dxa"/>
          </w:tcPr>
          <w:p w14:paraId="1DABFBFA" w14:textId="77777777" w:rsidR="002C3A1A" w:rsidRPr="009C2598" w:rsidRDefault="002C3A1A" w:rsidP="001E7454">
            <w:pPr>
              <w:ind w:left="720"/>
              <w:rPr>
                <w:rFonts w:cstheme="minorHAnsi"/>
              </w:rPr>
            </w:pPr>
            <w:r w:rsidRPr="009C2598">
              <w:rPr>
                <w:rFonts w:cstheme="minorHAnsi"/>
              </w:rPr>
              <w:t>5</w:t>
            </w:r>
          </w:p>
        </w:tc>
        <w:tc>
          <w:tcPr>
            <w:tcW w:w="1701" w:type="dxa"/>
          </w:tcPr>
          <w:p w14:paraId="69EE5C71" w14:textId="51660651" w:rsidR="002C3A1A" w:rsidRPr="009C2598" w:rsidRDefault="002C3A1A" w:rsidP="001E7454">
            <w:pPr>
              <w:rPr>
                <w:rFonts w:cstheme="minorHAnsi"/>
              </w:rPr>
            </w:pPr>
            <w:r w:rsidRPr="009C2598">
              <w:rPr>
                <w:rFonts w:cstheme="minorHAnsi"/>
              </w:rPr>
              <w:t>9</w:t>
            </w:r>
            <w:r w:rsidR="00FF3686">
              <w:rPr>
                <w:rFonts w:cstheme="minorHAnsi"/>
              </w:rPr>
              <w:t xml:space="preserve"> (655,926)</w:t>
            </w:r>
          </w:p>
        </w:tc>
        <w:tc>
          <w:tcPr>
            <w:tcW w:w="3260" w:type="dxa"/>
          </w:tcPr>
          <w:p w14:paraId="785D44D9" w14:textId="12D3BE8B" w:rsidR="002C3A1A" w:rsidRPr="009C2598" w:rsidRDefault="002C3A1A" w:rsidP="001E7454">
            <w:pPr>
              <w:rPr>
                <w:rFonts w:cstheme="minorHAnsi"/>
              </w:rPr>
            </w:pPr>
            <w:r w:rsidRPr="009C2598">
              <w:rPr>
                <w:rFonts w:cstheme="minorHAnsi"/>
              </w:rPr>
              <w:t>1.8</w:t>
            </w:r>
            <w:r w:rsidR="00707B86" w:rsidRPr="009C2598">
              <w:rPr>
                <w:rFonts w:cstheme="minorHAnsi"/>
              </w:rPr>
              <w:t>8</w:t>
            </w:r>
            <w:r w:rsidRPr="009C2598">
              <w:rPr>
                <w:rFonts w:cstheme="minorHAnsi"/>
              </w:rPr>
              <w:t xml:space="preserve"> [1.84; 1.91]</w:t>
            </w:r>
          </w:p>
        </w:tc>
      </w:tr>
      <w:tr w:rsidR="002C3A1A" w:rsidRPr="009C2598" w14:paraId="55D7575B" w14:textId="77777777" w:rsidTr="000C65B2">
        <w:tc>
          <w:tcPr>
            <w:tcW w:w="4248" w:type="dxa"/>
          </w:tcPr>
          <w:p w14:paraId="51C182AD" w14:textId="77777777" w:rsidR="002C3A1A" w:rsidRPr="009C2598" w:rsidRDefault="002C3A1A" w:rsidP="001E7454">
            <w:pPr>
              <w:ind w:left="720"/>
              <w:rPr>
                <w:rFonts w:cstheme="minorHAnsi"/>
              </w:rPr>
            </w:pPr>
            <w:r w:rsidRPr="009C2598">
              <w:rPr>
                <w:rFonts w:cstheme="minorHAnsi"/>
              </w:rPr>
              <w:t>6</w:t>
            </w:r>
          </w:p>
        </w:tc>
        <w:tc>
          <w:tcPr>
            <w:tcW w:w="1701" w:type="dxa"/>
          </w:tcPr>
          <w:p w14:paraId="07BEFF1E" w14:textId="59369AEE" w:rsidR="002C3A1A" w:rsidRPr="009C2598" w:rsidRDefault="00FF3686" w:rsidP="001E7454">
            <w:pPr>
              <w:rPr>
                <w:rFonts w:cstheme="minorHAnsi"/>
              </w:rPr>
            </w:pPr>
            <w:r>
              <w:rPr>
                <w:rFonts w:cstheme="minorHAnsi"/>
              </w:rPr>
              <w:t>9 (625,186)</w:t>
            </w:r>
          </w:p>
        </w:tc>
        <w:tc>
          <w:tcPr>
            <w:tcW w:w="3260" w:type="dxa"/>
          </w:tcPr>
          <w:p w14:paraId="454DD453" w14:textId="49C9376A" w:rsidR="002C3A1A" w:rsidRPr="009C2598" w:rsidRDefault="002C3A1A" w:rsidP="001E7454">
            <w:pPr>
              <w:rPr>
                <w:rFonts w:cstheme="minorHAnsi"/>
              </w:rPr>
            </w:pPr>
            <w:r w:rsidRPr="009C2598">
              <w:rPr>
                <w:rFonts w:cstheme="minorHAnsi"/>
              </w:rPr>
              <w:t>1.75 [1.72; 1.7</w:t>
            </w:r>
            <w:r w:rsidR="002E5BD0" w:rsidRPr="009C2598">
              <w:rPr>
                <w:rFonts w:cstheme="minorHAnsi"/>
              </w:rPr>
              <w:t>9</w:t>
            </w:r>
            <w:r w:rsidRPr="009C2598">
              <w:rPr>
                <w:rFonts w:cstheme="minorHAnsi"/>
              </w:rPr>
              <w:t>]</w:t>
            </w:r>
          </w:p>
        </w:tc>
      </w:tr>
      <w:tr w:rsidR="002C3A1A" w:rsidRPr="009C2598" w14:paraId="20C55631" w14:textId="77777777" w:rsidTr="000C65B2">
        <w:tc>
          <w:tcPr>
            <w:tcW w:w="4248" w:type="dxa"/>
          </w:tcPr>
          <w:p w14:paraId="413F2AC8" w14:textId="77777777" w:rsidR="002C3A1A" w:rsidRPr="009C2598" w:rsidRDefault="002C3A1A" w:rsidP="001E7454">
            <w:pPr>
              <w:ind w:left="720"/>
              <w:rPr>
                <w:rFonts w:cstheme="minorHAnsi"/>
              </w:rPr>
            </w:pPr>
            <w:r w:rsidRPr="009C2598">
              <w:rPr>
                <w:rFonts w:cstheme="minorHAnsi"/>
              </w:rPr>
              <w:t>7</w:t>
            </w:r>
          </w:p>
        </w:tc>
        <w:tc>
          <w:tcPr>
            <w:tcW w:w="1701" w:type="dxa"/>
          </w:tcPr>
          <w:p w14:paraId="2F5903A3" w14:textId="78F90394" w:rsidR="002C3A1A" w:rsidRPr="009C2598" w:rsidRDefault="00FF3686" w:rsidP="001E7454">
            <w:pPr>
              <w:rPr>
                <w:rFonts w:cstheme="minorHAnsi"/>
              </w:rPr>
            </w:pPr>
            <w:r>
              <w:rPr>
                <w:rFonts w:cstheme="minorHAnsi"/>
              </w:rPr>
              <w:t>8 (599,197)</w:t>
            </w:r>
          </w:p>
        </w:tc>
        <w:tc>
          <w:tcPr>
            <w:tcW w:w="3260" w:type="dxa"/>
          </w:tcPr>
          <w:p w14:paraId="04ED5AE9" w14:textId="5CF952D6" w:rsidR="002C3A1A" w:rsidRPr="009C2598" w:rsidRDefault="002C3A1A" w:rsidP="001E7454">
            <w:pPr>
              <w:rPr>
                <w:rFonts w:cstheme="minorHAnsi"/>
              </w:rPr>
            </w:pPr>
            <w:r w:rsidRPr="009C2598">
              <w:rPr>
                <w:rFonts w:cstheme="minorHAnsi"/>
              </w:rPr>
              <w:t>1.70 [1.67; 1.7</w:t>
            </w:r>
            <w:r w:rsidR="00A7643D" w:rsidRPr="009C2598">
              <w:rPr>
                <w:rFonts w:cstheme="minorHAnsi"/>
              </w:rPr>
              <w:t>4</w:t>
            </w:r>
            <w:r w:rsidRPr="009C2598">
              <w:rPr>
                <w:rFonts w:cstheme="minorHAnsi"/>
              </w:rPr>
              <w:t>]</w:t>
            </w:r>
          </w:p>
        </w:tc>
      </w:tr>
      <w:tr w:rsidR="002C3A1A" w:rsidRPr="009C2598" w14:paraId="58EB55E5" w14:textId="77777777" w:rsidTr="000C65B2">
        <w:tc>
          <w:tcPr>
            <w:tcW w:w="4248" w:type="dxa"/>
          </w:tcPr>
          <w:p w14:paraId="4D885C75" w14:textId="77777777" w:rsidR="002C3A1A" w:rsidRPr="009C2598" w:rsidRDefault="002C3A1A" w:rsidP="001E7454">
            <w:pPr>
              <w:ind w:left="720"/>
              <w:rPr>
                <w:rFonts w:cstheme="minorHAnsi"/>
              </w:rPr>
            </w:pPr>
            <w:r w:rsidRPr="009C2598">
              <w:rPr>
                <w:rFonts w:cstheme="minorHAnsi"/>
              </w:rPr>
              <w:t>8</w:t>
            </w:r>
          </w:p>
        </w:tc>
        <w:tc>
          <w:tcPr>
            <w:tcW w:w="1701" w:type="dxa"/>
          </w:tcPr>
          <w:p w14:paraId="034FD95D" w14:textId="3C98CFEA" w:rsidR="002C3A1A" w:rsidRPr="009C2598" w:rsidRDefault="0086745F" w:rsidP="001E7454">
            <w:pPr>
              <w:rPr>
                <w:rFonts w:cstheme="minorHAnsi"/>
              </w:rPr>
            </w:pPr>
            <w:r>
              <w:rPr>
                <w:rFonts w:cstheme="minorHAnsi"/>
              </w:rPr>
              <w:t>9</w:t>
            </w:r>
            <w:r w:rsidR="00FF3686">
              <w:rPr>
                <w:rFonts w:cstheme="minorHAnsi"/>
              </w:rPr>
              <w:t xml:space="preserve"> (609,677)</w:t>
            </w:r>
          </w:p>
        </w:tc>
        <w:tc>
          <w:tcPr>
            <w:tcW w:w="3260" w:type="dxa"/>
          </w:tcPr>
          <w:p w14:paraId="295264A2" w14:textId="77777777" w:rsidR="002C3A1A" w:rsidRPr="009C2598" w:rsidRDefault="002C3A1A" w:rsidP="001E7454">
            <w:pPr>
              <w:rPr>
                <w:rFonts w:cstheme="minorHAnsi"/>
              </w:rPr>
            </w:pPr>
            <w:r w:rsidRPr="009C2598">
              <w:rPr>
                <w:rFonts w:cstheme="minorHAnsi"/>
              </w:rPr>
              <w:t>1.62 [1.59; 1.65]</w:t>
            </w:r>
          </w:p>
        </w:tc>
      </w:tr>
      <w:tr w:rsidR="002C3A1A" w:rsidRPr="009C2598" w14:paraId="4B6C33CB" w14:textId="77777777" w:rsidTr="000C65B2">
        <w:tc>
          <w:tcPr>
            <w:tcW w:w="4248" w:type="dxa"/>
          </w:tcPr>
          <w:p w14:paraId="574B2821" w14:textId="77777777" w:rsidR="002C3A1A" w:rsidRPr="009C2598" w:rsidRDefault="002C3A1A" w:rsidP="001E7454">
            <w:pPr>
              <w:ind w:left="720"/>
              <w:rPr>
                <w:rFonts w:cstheme="minorHAnsi"/>
              </w:rPr>
            </w:pPr>
            <w:r w:rsidRPr="009C2598">
              <w:rPr>
                <w:rFonts w:cstheme="minorHAnsi"/>
              </w:rPr>
              <w:t>9</w:t>
            </w:r>
          </w:p>
        </w:tc>
        <w:tc>
          <w:tcPr>
            <w:tcW w:w="1701" w:type="dxa"/>
          </w:tcPr>
          <w:p w14:paraId="794F5014" w14:textId="6D080C0C" w:rsidR="002C3A1A" w:rsidRPr="009C2598" w:rsidRDefault="0086745F" w:rsidP="001E7454">
            <w:pPr>
              <w:rPr>
                <w:rFonts w:cstheme="minorHAnsi"/>
              </w:rPr>
            </w:pPr>
            <w:r>
              <w:rPr>
                <w:rFonts w:cstheme="minorHAnsi"/>
              </w:rPr>
              <w:t>9</w:t>
            </w:r>
            <w:r w:rsidR="00FF3686">
              <w:rPr>
                <w:rFonts w:cstheme="minorHAnsi"/>
              </w:rPr>
              <w:t xml:space="preserve"> (623,088)</w:t>
            </w:r>
          </w:p>
        </w:tc>
        <w:tc>
          <w:tcPr>
            <w:tcW w:w="3260" w:type="dxa"/>
          </w:tcPr>
          <w:p w14:paraId="72C00427" w14:textId="77777777" w:rsidR="002C3A1A" w:rsidRPr="009C2598" w:rsidRDefault="002C3A1A" w:rsidP="001E7454">
            <w:pPr>
              <w:rPr>
                <w:rFonts w:cstheme="minorHAnsi"/>
              </w:rPr>
            </w:pPr>
            <w:r w:rsidRPr="009C2598">
              <w:rPr>
                <w:rFonts w:cstheme="minorHAnsi"/>
              </w:rPr>
              <w:t>1.51 [1.48; 1.54]</w:t>
            </w:r>
          </w:p>
        </w:tc>
      </w:tr>
      <w:tr w:rsidR="002C3A1A" w:rsidRPr="009C2598" w14:paraId="6F11406D" w14:textId="77777777" w:rsidTr="000C65B2">
        <w:tc>
          <w:tcPr>
            <w:tcW w:w="4248" w:type="dxa"/>
          </w:tcPr>
          <w:p w14:paraId="110BD4AE" w14:textId="77777777" w:rsidR="002C3A1A" w:rsidRPr="009C2598" w:rsidRDefault="002C3A1A" w:rsidP="001E7454">
            <w:pPr>
              <w:ind w:left="720"/>
              <w:rPr>
                <w:rFonts w:cstheme="minorHAnsi"/>
              </w:rPr>
            </w:pPr>
            <w:r w:rsidRPr="009C2598">
              <w:rPr>
                <w:rFonts w:cstheme="minorHAnsi"/>
              </w:rPr>
              <w:t>10</w:t>
            </w:r>
          </w:p>
        </w:tc>
        <w:tc>
          <w:tcPr>
            <w:tcW w:w="1701" w:type="dxa"/>
          </w:tcPr>
          <w:p w14:paraId="0DEADA33" w14:textId="1E90F52C" w:rsidR="002C3A1A" w:rsidRPr="009C2598" w:rsidRDefault="002C3A1A" w:rsidP="001E7454">
            <w:pPr>
              <w:rPr>
                <w:rFonts w:cstheme="minorHAnsi"/>
              </w:rPr>
            </w:pPr>
            <w:r w:rsidRPr="009C2598">
              <w:rPr>
                <w:rFonts w:cstheme="minorHAnsi"/>
              </w:rPr>
              <w:t>9</w:t>
            </w:r>
            <w:r w:rsidR="00FF3686">
              <w:rPr>
                <w:rFonts w:cstheme="minorHAnsi"/>
              </w:rPr>
              <w:t xml:space="preserve"> (636,394)</w:t>
            </w:r>
          </w:p>
        </w:tc>
        <w:tc>
          <w:tcPr>
            <w:tcW w:w="3260" w:type="dxa"/>
          </w:tcPr>
          <w:p w14:paraId="05C198D8" w14:textId="77777777" w:rsidR="002C3A1A" w:rsidRPr="009C2598" w:rsidRDefault="002C3A1A" w:rsidP="001E7454">
            <w:pPr>
              <w:rPr>
                <w:rFonts w:cstheme="minorHAnsi"/>
              </w:rPr>
            </w:pPr>
            <w:r w:rsidRPr="009C2598">
              <w:rPr>
                <w:rFonts w:cstheme="minorHAnsi"/>
              </w:rPr>
              <w:t>1.38 [1.35; 1.41]</w:t>
            </w:r>
          </w:p>
        </w:tc>
      </w:tr>
      <w:tr w:rsidR="00B564C8" w:rsidRPr="009C2598" w14:paraId="7CC16A18" w14:textId="77777777" w:rsidTr="000C65B2">
        <w:tc>
          <w:tcPr>
            <w:tcW w:w="4248" w:type="dxa"/>
          </w:tcPr>
          <w:p w14:paraId="378C967D" w14:textId="139B716D" w:rsidR="00B564C8" w:rsidRPr="009C2598" w:rsidRDefault="00B564C8" w:rsidP="001E7454">
            <w:pPr>
              <w:ind w:left="720"/>
              <w:rPr>
                <w:rFonts w:cstheme="minorHAnsi"/>
              </w:rPr>
            </w:pPr>
            <w:r w:rsidRPr="009C2598">
              <w:rPr>
                <w:rFonts w:cstheme="minorHAnsi"/>
              </w:rPr>
              <w:t>Missing</w:t>
            </w:r>
          </w:p>
        </w:tc>
        <w:tc>
          <w:tcPr>
            <w:tcW w:w="1701" w:type="dxa"/>
          </w:tcPr>
          <w:p w14:paraId="27761B7E" w14:textId="3A1A6111" w:rsidR="00B564C8" w:rsidRPr="009C2598" w:rsidRDefault="00B564C8" w:rsidP="001E7454">
            <w:pPr>
              <w:rPr>
                <w:rFonts w:cstheme="minorHAnsi"/>
              </w:rPr>
            </w:pPr>
            <w:r w:rsidRPr="009C2598">
              <w:rPr>
                <w:rFonts w:cstheme="minorHAnsi"/>
              </w:rPr>
              <w:t>0</w:t>
            </w:r>
            <w:r w:rsidR="0086745F">
              <w:rPr>
                <w:rFonts w:cstheme="minorHAnsi"/>
              </w:rPr>
              <w:t xml:space="preserve"> (</w:t>
            </w:r>
            <w:r w:rsidR="00C26DAB">
              <w:rPr>
                <w:rFonts w:cstheme="minorHAnsi"/>
              </w:rPr>
              <w:t>480)</w:t>
            </w:r>
          </w:p>
        </w:tc>
        <w:tc>
          <w:tcPr>
            <w:tcW w:w="3260" w:type="dxa"/>
          </w:tcPr>
          <w:p w14:paraId="790981B1" w14:textId="629FA4D7" w:rsidR="00B564C8" w:rsidRPr="009C2598" w:rsidRDefault="00B50E91" w:rsidP="001E7454">
            <w:pPr>
              <w:rPr>
                <w:rFonts w:cstheme="minorHAnsi"/>
              </w:rPr>
            </w:pPr>
            <w:r w:rsidRPr="009C2598">
              <w:rPr>
                <w:rFonts w:cstheme="minorHAnsi"/>
              </w:rPr>
              <w:t>3.75 [2.39; 5.85]</w:t>
            </w:r>
          </w:p>
        </w:tc>
      </w:tr>
      <w:tr w:rsidR="002C3A1A" w:rsidRPr="009C2598" w14:paraId="53B0E430" w14:textId="77777777" w:rsidTr="000C65B2">
        <w:tc>
          <w:tcPr>
            <w:tcW w:w="4248" w:type="dxa"/>
          </w:tcPr>
          <w:p w14:paraId="2FBE00DF" w14:textId="544C6095" w:rsidR="002C3A1A" w:rsidRPr="009C2598" w:rsidRDefault="002C3A1A" w:rsidP="001E7454">
            <w:pPr>
              <w:rPr>
                <w:rFonts w:cstheme="minorHAnsi"/>
              </w:rPr>
            </w:pPr>
            <w:r w:rsidRPr="009C2598">
              <w:rPr>
                <w:rFonts w:cstheme="minorHAnsi"/>
              </w:rPr>
              <w:t>Time Period</w:t>
            </w:r>
            <w:r w:rsidR="0086745F">
              <w:rPr>
                <w:rFonts w:cstheme="minorHAnsi"/>
              </w:rPr>
              <w:t xml:space="preserve"> %</w:t>
            </w:r>
            <w:r w:rsidR="00C64F5F">
              <w:rPr>
                <w:rFonts w:cstheme="minorHAnsi"/>
              </w:rPr>
              <w:t xml:space="preserve"> (n)</w:t>
            </w:r>
          </w:p>
        </w:tc>
        <w:tc>
          <w:tcPr>
            <w:tcW w:w="1701" w:type="dxa"/>
          </w:tcPr>
          <w:p w14:paraId="2734386A" w14:textId="77777777" w:rsidR="002C3A1A" w:rsidRPr="009C2598" w:rsidRDefault="002C3A1A" w:rsidP="001E7454">
            <w:pPr>
              <w:rPr>
                <w:rFonts w:cstheme="minorHAnsi"/>
              </w:rPr>
            </w:pPr>
          </w:p>
        </w:tc>
        <w:tc>
          <w:tcPr>
            <w:tcW w:w="3260" w:type="dxa"/>
          </w:tcPr>
          <w:p w14:paraId="19650657" w14:textId="77777777" w:rsidR="002C3A1A" w:rsidRPr="009C2598" w:rsidRDefault="002C3A1A" w:rsidP="001E7454">
            <w:pPr>
              <w:rPr>
                <w:rFonts w:cstheme="minorHAnsi"/>
              </w:rPr>
            </w:pPr>
          </w:p>
        </w:tc>
      </w:tr>
      <w:tr w:rsidR="002C3A1A" w:rsidRPr="009C2598" w14:paraId="25AC47E6" w14:textId="77777777" w:rsidTr="000C65B2">
        <w:tc>
          <w:tcPr>
            <w:tcW w:w="4248" w:type="dxa"/>
          </w:tcPr>
          <w:p w14:paraId="442EE233" w14:textId="5E7A2ACD" w:rsidR="002C3A1A" w:rsidRPr="009C2598" w:rsidRDefault="002C3A1A" w:rsidP="001E7454">
            <w:pPr>
              <w:ind w:left="720"/>
              <w:rPr>
                <w:rFonts w:cstheme="minorHAnsi"/>
              </w:rPr>
            </w:pPr>
            <w:r w:rsidRPr="009C2598">
              <w:rPr>
                <w:rFonts w:cstheme="minorHAnsi"/>
              </w:rPr>
              <w:t>2006 – 20</w:t>
            </w:r>
            <w:r w:rsidR="008B23C3" w:rsidRPr="009C2598">
              <w:rPr>
                <w:rFonts w:cstheme="minorHAnsi"/>
              </w:rPr>
              <w:t>10</w:t>
            </w:r>
          </w:p>
        </w:tc>
        <w:tc>
          <w:tcPr>
            <w:tcW w:w="1701" w:type="dxa"/>
          </w:tcPr>
          <w:p w14:paraId="55A8936C" w14:textId="2E9B7375" w:rsidR="002C3A1A" w:rsidRPr="009C2598" w:rsidRDefault="002C3A1A" w:rsidP="001E7454">
            <w:pPr>
              <w:rPr>
                <w:rFonts w:cstheme="minorHAnsi"/>
              </w:rPr>
            </w:pPr>
            <w:r w:rsidRPr="009C2598">
              <w:rPr>
                <w:rFonts w:cstheme="minorHAnsi"/>
              </w:rPr>
              <w:t>24</w:t>
            </w:r>
            <w:r w:rsidR="006A0C83">
              <w:rPr>
                <w:rFonts w:cstheme="minorHAnsi"/>
              </w:rPr>
              <w:t xml:space="preserve"> (1,723,900)</w:t>
            </w:r>
          </w:p>
        </w:tc>
        <w:tc>
          <w:tcPr>
            <w:tcW w:w="3260" w:type="dxa"/>
          </w:tcPr>
          <w:p w14:paraId="3F2C685B" w14:textId="77777777" w:rsidR="002C3A1A" w:rsidRPr="009C2598" w:rsidRDefault="002C3A1A" w:rsidP="001E7454">
            <w:pPr>
              <w:rPr>
                <w:rFonts w:cstheme="minorHAnsi"/>
              </w:rPr>
            </w:pPr>
            <w:r w:rsidRPr="009C2598">
              <w:rPr>
                <w:rFonts w:cstheme="minorHAnsi"/>
              </w:rPr>
              <w:t>2.03 [2.01; 2.05]</w:t>
            </w:r>
          </w:p>
        </w:tc>
      </w:tr>
      <w:tr w:rsidR="002C3A1A" w:rsidRPr="009C2598" w14:paraId="5A92BF3B" w14:textId="77777777" w:rsidTr="000C65B2">
        <w:tc>
          <w:tcPr>
            <w:tcW w:w="4248" w:type="dxa"/>
          </w:tcPr>
          <w:p w14:paraId="5D4EF80D" w14:textId="0FC8E300" w:rsidR="002C3A1A" w:rsidRPr="009C2598" w:rsidRDefault="002C3A1A" w:rsidP="001E7454">
            <w:pPr>
              <w:ind w:left="720"/>
              <w:rPr>
                <w:rFonts w:cstheme="minorHAnsi"/>
              </w:rPr>
            </w:pPr>
            <w:r w:rsidRPr="009C2598">
              <w:rPr>
                <w:rFonts w:cstheme="minorHAnsi"/>
              </w:rPr>
              <w:t>2010 – 201</w:t>
            </w:r>
            <w:r w:rsidR="008B23C3" w:rsidRPr="009C2598">
              <w:rPr>
                <w:rFonts w:cstheme="minorHAnsi"/>
              </w:rPr>
              <w:t>3</w:t>
            </w:r>
            <w:r w:rsidRPr="009C2598">
              <w:rPr>
                <w:rFonts w:cstheme="minorHAnsi"/>
              </w:rPr>
              <w:t xml:space="preserve">  </w:t>
            </w:r>
          </w:p>
        </w:tc>
        <w:tc>
          <w:tcPr>
            <w:tcW w:w="1701" w:type="dxa"/>
          </w:tcPr>
          <w:p w14:paraId="398EFF16" w14:textId="1D178F83" w:rsidR="002C3A1A" w:rsidRPr="009C2598" w:rsidRDefault="002C3A1A" w:rsidP="001E7454">
            <w:pPr>
              <w:rPr>
                <w:rFonts w:cstheme="minorHAnsi"/>
              </w:rPr>
            </w:pPr>
            <w:r w:rsidRPr="009C2598">
              <w:rPr>
                <w:rFonts w:cstheme="minorHAnsi"/>
              </w:rPr>
              <w:t>2</w:t>
            </w:r>
            <w:r w:rsidR="006A0C83">
              <w:rPr>
                <w:rFonts w:cstheme="minorHAnsi"/>
              </w:rPr>
              <w:t>4 (1,688,054)</w:t>
            </w:r>
          </w:p>
        </w:tc>
        <w:tc>
          <w:tcPr>
            <w:tcW w:w="3260" w:type="dxa"/>
          </w:tcPr>
          <w:p w14:paraId="3DDCCC34" w14:textId="77777777" w:rsidR="002C3A1A" w:rsidRPr="009C2598" w:rsidRDefault="002C3A1A" w:rsidP="001E7454">
            <w:pPr>
              <w:rPr>
                <w:rFonts w:cstheme="minorHAnsi"/>
              </w:rPr>
            </w:pPr>
            <w:r w:rsidRPr="009C2598">
              <w:rPr>
                <w:rFonts w:cstheme="minorHAnsi"/>
              </w:rPr>
              <w:t>1.97 [1.95; 1.99]</w:t>
            </w:r>
          </w:p>
        </w:tc>
      </w:tr>
      <w:tr w:rsidR="002C3A1A" w:rsidRPr="009C2598" w14:paraId="15FE10FD" w14:textId="77777777" w:rsidTr="000C65B2">
        <w:tc>
          <w:tcPr>
            <w:tcW w:w="4248" w:type="dxa"/>
          </w:tcPr>
          <w:p w14:paraId="4ABF1A31" w14:textId="28B93963" w:rsidR="002C3A1A" w:rsidRPr="009C2598" w:rsidRDefault="002C3A1A" w:rsidP="001E7454">
            <w:pPr>
              <w:ind w:left="720"/>
              <w:rPr>
                <w:rFonts w:cstheme="minorHAnsi"/>
              </w:rPr>
            </w:pPr>
            <w:r w:rsidRPr="009C2598">
              <w:rPr>
                <w:rFonts w:cstheme="minorHAnsi"/>
              </w:rPr>
              <w:t>2013 – 201</w:t>
            </w:r>
            <w:r w:rsidR="008B23C3" w:rsidRPr="009C2598">
              <w:rPr>
                <w:rFonts w:cstheme="minorHAnsi"/>
              </w:rPr>
              <w:t>6</w:t>
            </w:r>
            <w:r w:rsidRPr="009C2598">
              <w:rPr>
                <w:rFonts w:cstheme="minorHAnsi"/>
              </w:rPr>
              <w:t xml:space="preserve"> </w:t>
            </w:r>
          </w:p>
        </w:tc>
        <w:tc>
          <w:tcPr>
            <w:tcW w:w="1701" w:type="dxa"/>
          </w:tcPr>
          <w:p w14:paraId="205CA8E3" w14:textId="2F1CCA3F" w:rsidR="002C3A1A" w:rsidRPr="009C2598" w:rsidRDefault="002C3A1A" w:rsidP="001E7454">
            <w:pPr>
              <w:rPr>
                <w:rFonts w:cstheme="minorHAnsi"/>
              </w:rPr>
            </w:pPr>
            <w:r w:rsidRPr="009C2598">
              <w:rPr>
                <w:rFonts w:cstheme="minorHAnsi"/>
              </w:rPr>
              <w:t>2</w:t>
            </w:r>
            <w:r w:rsidR="006A0C83">
              <w:rPr>
                <w:rFonts w:cstheme="minorHAnsi"/>
              </w:rPr>
              <w:t>6 (1,816,273)</w:t>
            </w:r>
          </w:p>
        </w:tc>
        <w:tc>
          <w:tcPr>
            <w:tcW w:w="3260" w:type="dxa"/>
          </w:tcPr>
          <w:p w14:paraId="1DC7D333" w14:textId="77777777" w:rsidR="002C3A1A" w:rsidRPr="009C2598" w:rsidRDefault="002C3A1A" w:rsidP="001E7454">
            <w:pPr>
              <w:rPr>
                <w:rFonts w:cstheme="minorHAnsi"/>
              </w:rPr>
            </w:pPr>
            <w:r w:rsidRPr="009C2598">
              <w:rPr>
                <w:rFonts w:cstheme="minorHAnsi"/>
              </w:rPr>
              <w:t>1.89 [1.87; 1.91]</w:t>
            </w:r>
          </w:p>
        </w:tc>
      </w:tr>
      <w:tr w:rsidR="002C3A1A" w:rsidRPr="009C2598" w14:paraId="75B4CE12" w14:textId="77777777" w:rsidTr="000C65B2">
        <w:tc>
          <w:tcPr>
            <w:tcW w:w="4248" w:type="dxa"/>
          </w:tcPr>
          <w:p w14:paraId="4EDE7BFF" w14:textId="64DB6241" w:rsidR="002C3A1A" w:rsidRPr="009C2598" w:rsidRDefault="002C3A1A" w:rsidP="001E7454">
            <w:pPr>
              <w:ind w:left="720"/>
              <w:rPr>
                <w:rFonts w:cstheme="minorHAnsi"/>
              </w:rPr>
            </w:pPr>
            <w:r w:rsidRPr="009C2598">
              <w:rPr>
                <w:rFonts w:cstheme="minorHAnsi"/>
              </w:rPr>
              <w:t>2016 – 201</w:t>
            </w:r>
            <w:r w:rsidR="008B23C3" w:rsidRPr="009C2598">
              <w:rPr>
                <w:rFonts w:cstheme="minorHAnsi"/>
              </w:rPr>
              <w:t>9</w:t>
            </w:r>
            <w:r w:rsidRPr="009C2598">
              <w:rPr>
                <w:rFonts w:cstheme="minorHAnsi"/>
              </w:rPr>
              <w:t xml:space="preserve"> </w:t>
            </w:r>
          </w:p>
        </w:tc>
        <w:tc>
          <w:tcPr>
            <w:tcW w:w="1701" w:type="dxa"/>
          </w:tcPr>
          <w:p w14:paraId="4847C76B" w14:textId="7E879EEF" w:rsidR="002C3A1A" w:rsidRPr="009C2598" w:rsidRDefault="002C3A1A" w:rsidP="001E7454">
            <w:pPr>
              <w:rPr>
                <w:rFonts w:cstheme="minorHAnsi"/>
              </w:rPr>
            </w:pPr>
            <w:r w:rsidRPr="009C2598">
              <w:rPr>
                <w:rFonts w:cstheme="minorHAnsi"/>
              </w:rPr>
              <w:t>2</w:t>
            </w:r>
            <w:r w:rsidR="00F96B37">
              <w:rPr>
                <w:rFonts w:cstheme="minorHAnsi"/>
              </w:rPr>
              <w:t>6</w:t>
            </w:r>
            <w:r w:rsidR="006A0C83">
              <w:rPr>
                <w:rFonts w:cstheme="minorHAnsi"/>
              </w:rPr>
              <w:t xml:space="preserve"> (1,833,844)</w:t>
            </w:r>
          </w:p>
        </w:tc>
        <w:tc>
          <w:tcPr>
            <w:tcW w:w="3260" w:type="dxa"/>
          </w:tcPr>
          <w:p w14:paraId="04BA2F4A" w14:textId="77777777" w:rsidR="002C3A1A" w:rsidRPr="009C2598" w:rsidRDefault="002C3A1A" w:rsidP="001E7454">
            <w:pPr>
              <w:rPr>
                <w:rFonts w:cstheme="minorHAnsi"/>
              </w:rPr>
            </w:pPr>
            <w:r w:rsidRPr="009C2598">
              <w:rPr>
                <w:rFonts w:cstheme="minorHAnsi"/>
              </w:rPr>
              <w:t>1.82 [1.80; 1.84]</w:t>
            </w:r>
          </w:p>
        </w:tc>
      </w:tr>
    </w:tbl>
    <w:p w14:paraId="7C72DDEA" w14:textId="06376B1D" w:rsidR="00453EEE" w:rsidRPr="009C2598" w:rsidRDefault="00D24097" w:rsidP="001E7454">
      <w:pPr>
        <w:spacing w:after="0" w:line="360" w:lineRule="auto"/>
        <w:rPr>
          <w:rFonts w:cstheme="minorHAnsi"/>
          <w:sz w:val="20"/>
          <w:szCs w:val="20"/>
        </w:rPr>
      </w:pPr>
      <w:r w:rsidRPr="009C2598">
        <w:rPr>
          <w:rFonts w:cstheme="minorHAnsi"/>
          <w:sz w:val="20"/>
          <w:szCs w:val="20"/>
          <w:vertAlign w:val="superscript"/>
        </w:rPr>
        <w:t>a</w:t>
      </w:r>
      <w:r w:rsidR="00886038">
        <w:rPr>
          <w:rFonts w:cstheme="minorHAnsi"/>
          <w:sz w:val="20"/>
          <w:szCs w:val="20"/>
          <w:vertAlign w:val="superscript"/>
        </w:rPr>
        <w:t xml:space="preserve"> </w:t>
      </w:r>
      <w:r w:rsidR="00CC6CE1" w:rsidRPr="009C2598">
        <w:rPr>
          <w:rFonts w:cstheme="minorHAnsi"/>
          <w:sz w:val="20"/>
          <w:szCs w:val="20"/>
        </w:rPr>
        <w:t xml:space="preserve">Note: </w:t>
      </w:r>
      <w:r w:rsidR="00DB7C3B" w:rsidRPr="009C2598">
        <w:rPr>
          <w:rFonts w:cstheme="minorHAnsi"/>
          <w:sz w:val="20"/>
          <w:szCs w:val="20"/>
        </w:rPr>
        <w:t xml:space="preserve">IMD deciles are ordered from most deprived (1) to least deprived (10). </w:t>
      </w:r>
    </w:p>
    <w:p w14:paraId="384E6ED6" w14:textId="1EA3C724" w:rsidR="000E78F4" w:rsidRDefault="000E78F4" w:rsidP="000E78F4">
      <w:pPr>
        <w:spacing w:line="360" w:lineRule="auto"/>
        <w:rPr>
          <w:rFonts w:cstheme="minorHAnsi"/>
        </w:rPr>
      </w:pPr>
      <w:r>
        <w:rPr>
          <w:rFonts w:cstheme="minorHAnsi"/>
        </w:rPr>
        <w:t>Assessment of change over time by IMD showed that s</w:t>
      </w:r>
      <w:r w:rsidR="00F426CF">
        <w:rPr>
          <w:rFonts w:cstheme="minorHAnsi"/>
        </w:rPr>
        <w:t>hort stature</w:t>
      </w:r>
      <w:r>
        <w:rPr>
          <w:rFonts w:cstheme="minorHAnsi"/>
        </w:rPr>
        <w:t xml:space="preserve"> declined across all IMD </w:t>
      </w:r>
      <w:r w:rsidR="00120C52">
        <w:rPr>
          <w:rFonts w:cstheme="minorHAnsi"/>
        </w:rPr>
        <w:t>quintiles</w:t>
      </w:r>
      <w:r>
        <w:rPr>
          <w:rFonts w:cstheme="minorHAnsi"/>
        </w:rPr>
        <w:t xml:space="preserve"> between 2006 and 201</w:t>
      </w:r>
      <w:r w:rsidR="002457C6">
        <w:rPr>
          <w:rFonts w:cstheme="minorHAnsi"/>
        </w:rPr>
        <w:t>9</w:t>
      </w:r>
      <w:r>
        <w:rPr>
          <w:rFonts w:cstheme="minorHAnsi"/>
        </w:rPr>
        <w:t xml:space="preserve">. </w:t>
      </w:r>
      <w:r w:rsidR="00DF7DC2">
        <w:rPr>
          <w:rFonts w:cstheme="minorHAnsi"/>
        </w:rPr>
        <w:t>P</w:t>
      </w:r>
      <w:r>
        <w:rPr>
          <w:rFonts w:cstheme="minorHAnsi"/>
        </w:rPr>
        <w:t>revalence declin</w:t>
      </w:r>
      <w:r w:rsidR="00D24097">
        <w:rPr>
          <w:rFonts w:cstheme="minorHAnsi"/>
        </w:rPr>
        <w:t>ed</w:t>
      </w:r>
      <w:r>
        <w:rPr>
          <w:rFonts w:cstheme="minorHAnsi"/>
        </w:rPr>
        <w:t xml:space="preserve"> from 2.</w:t>
      </w:r>
      <w:r w:rsidR="00120C52">
        <w:rPr>
          <w:rFonts w:cstheme="minorHAnsi"/>
        </w:rPr>
        <w:t>6</w:t>
      </w:r>
      <w:r w:rsidR="00FB7958">
        <w:rPr>
          <w:rFonts w:cstheme="minorHAnsi"/>
        </w:rPr>
        <w:t>7</w:t>
      </w:r>
      <w:r>
        <w:rPr>
          <w:rFonts w:cstheme="minorHAnsi"/>
        </w:rPr>
        <w:t>% to 2.</w:t>
      </w:r>
      <w:r w:rsidR="00120C52">
        <w:rPr>
          <w:rFonts w:cstheme="minorHAnsi"/>
        </w:rPr>
        <w:t>2</w:t>
      </w:r>
      <w:r w:rsidR="00FB7958">
        <w:rPr>
          <w:rFonts w:cstheme="minorHAnsi"/>
        </w:rPr>
        <w:t>1</w:t>
      </w:r>
      <w:r>
        <w:rPr>
          <w:rFonts w:cstheme="minorHAnsi"/>
        </w:rPr>
        <w:t xml:space="preserve">% in the most deprived </w:t>
      </w:r>
      <w:r w:rsidR="00120C52">
        <w:rPr>
          <w:rFonts w:cstheme="minorHAnsi"/>
        </w:rPr>
        <w:t>quintile</w:t>
      </w:r>
      <w:r w:rsidR="007919D9">
        <w:rPr>
          <w:rFonts w:cstheme="minorHAnsi"/>
        </w:rPr>
        <w:t xml:space="preserve"> (quintile 1)</w:t>
      </w:r>
      <w:r>
        <w:rPr>
          <w:rFonts w:cstheme="minorHAnsi"/>
        </w:rPr>
        <w:t xml:space="preserve"> and from </w:t>
      </w:r>
      <w:r w:rsidR="00120C52">
        <w:rPr>
          <w:rFonts w:cstheme="minorHAnsi"/>
        </w:rPr>
        <w:t>1.</w:t>
      </w:r>
      <w:r w:rsidR="00FB7958">
        <w:rPr>
          <w:rFonts w:cstheme="minorHAnsi"/>
        </w:rPr>
        <w:t>6</w:t>
      </w:r>
      <w:r w:rsidR="00120C52">
        <w:rPr>
          <w:rFonts w:cstheme="minorHAnsi"/>
        </w:rPr>
        <w:t>8</w:t>
      </w:r>
      <w:r>
        <w:rPr>
          <w:rFonts w:cstheme="minorHAnsi"/>
        </w:rPr>
        <w:t>% to 1.</w:t>
      </w:r>
      <w:r w:rsidR="00120C52">
        <w:rPr>
          <w:rFonts w:cstheme="minorHAnsi"/>
        </w:rPr>
        <w:t>4</w:t>
      </w:r>
      <w:r w:rsidR="00FB7958">
        <w:rPr>
          <w:rFonts w:cstheme="minorHAnsi"/>
        </w:rPr>
        <w:t>6</w:t>
      </w:r>
      <w:r>
        <w:rPr>
          <w:rFonts w:cstheme="minorHAnsi"/>
        </w:rPr>
        <w:t xml:space="preserve">% in the least deprived </w:t>
      </w:r>
      <w:r w:rsidR="00120C52">
        <w:rPr>
          <w:rFonts w:cstheme="minorHAnsi"/>
        </w:rPr>
        <w:t>quintile</w:t>
      </w:r>
      <w:r w:rsidR="007919D9">
        <w:rPr>
          <w:rFonts w:cstheme="minorHAnsi"/>
        </w:rPr>
        <w:t xml:space="preserve"> (quintile 5)</w:t>
      </w:r>
      <w:r>
        <w:rPr>
          <w:rFonts w:cstheme="minorHAnsi"/>
        </w:rPr>
        <w:t xml:space="preserve">. Full data are presented in Supplemental Table </w:t>
      </w:r>
      <w:r w:rsidR="00432DDF">
        <w:rPr>
          <w:rFonts w:cstheme="minorHAnsi"/>
        </w:rPr>
        <w:t>F</w:t>
      </w:r>
      <w:r>
        <w:rPr>
          <w:rFonts w:cstheme="minorHAnsi"/>
        </w:rPr>
        <w:t>.</w:t>
      </w:r>
      <w:r w:rsidR="001535EF">
        <w:rPr>
          <w:rFonts w:cstheme="minorHAnsi"/>
        </w:rPr>
        <w:t xml:space="preserve"> A </w:t>
      </w:r>
      <w:r w:rsidR="00EA487D">
        <w:rPr>
          <w:rFonts w:cstheme="minorHAnsi"/>
        </w:rPr>
        <w:t>logistic</w:t>
      </w:r>
      <w:r w:rsidR="001535EF">
        <w:rPr>
          <w:rFonts w:cstheme="minorHAnsi"/>
        </w:rPr>
        <w:t xml:space="preserve"> regression </w:t>
      </w:r>
      <w:r w:rsidR="00D24097">
        <w:rPr>
          <w:rFonts w:cstheme="minorHAnsi"/>
        </w:rPr>
        <w:t>model</w:t>
      </w:r>
      <w:r w:rsidR="00886038">
        <w:rPr>
          <w:rFonts w:cstheme="minorHAnsi"/>
        </w:rPr>
        <w:t xml:space="preserve"> (Supplemental Table </w:t>
      </w:r>
      <w:r w:rsidR="00432DDF">
        <w:rPr>
          <w:rFonts w:cstheme="minorHAnsi"/>
        </w:rPr>
        <w:t>G</w:t>
      </w:r>
      <w:r w:rsidR="00886038">
        <w:rPr>
          <w:rFonts w:cstheme="minorHAnsi"/>
        </w:rPr>
        <w:t xml:space="preserve">) </w:t>
      </w:r>
      <w:r w:rsidR="001535EF">
        <w:rPr>
          <w:rFonts w:cstheme="minorHAnsi"/>
        </w:rPr>
        <w:t xml:space="preserve">showed </w:t>
      </w:r>
      <w:r w:rsidR="006910FB">
        <w:t>that the decline from 2006 to 2019 within each quintile was significant, although the least deprived quintiles showed slower declines in</w:t>
      </w:r>
      <w:r w:rsidR="007370D6">
        <w:t xml:space="preserve"> the</w:t>
      </w:r>
      <w:r w:rsidR="006910FB">
        <w:t xml:space="preserve"> prevalence </w:t>
      </w:r>
      <w:r w:rsidR="007370D6">
        <w:t xml:space="preserve">of short stature </w:t>
      </w:r>
      <w:r w:rsidR="006910FB">
        <w:t xml:space="preserve">than the most deprived quintiles, as shown in an </w:t>
      </w:r>
      <w:proofErr w:type="spellStart"/>
      <w:r w:rsidR="006910FB">
        <w:t>Equiplot</w:t>
      </w:r>
      <w:proofErr w:type="spellEnd"/>
      <w:r w:rsidR="006910FB">
        <w:t xml:space="preserve"> visualisation (Figure 2).</w:t>
      </w:r>
    </w:p>
    <w:p w14:paraId="30946EB6" w14:textId="77777777" w:rsidR="00952FBB" w:rsidRDefault="00952FBB" w:rsidP="000E78F4">
      <w:pPr>
        <w:spacing w:line="360" w:lineRule="auto"/>
        <w:rPr>
          <w:rFonts w:cstheme="minorHAnsi"/>
        </w:rPr>
      </w:pPr>
    </w:p>
    <w:p w14:paraId="022A2021" w14:textId="03E31291" w:rsidR="00F035A6" w:rsidRDefault="000E78F4" w:rsidP="000E78F4">
      <w:pPr>
        <w:spacing w:line="360" w:lineRule="auto"/>
        <w:rPr>
          <w:rFonts w:cstheme="minorHAnsi"/>
          <w:b/>
          <w:bCs/>
        </w:rPr>
      </w:pPr>
      <w:r w:rsidRPr="00A624EB">
        <w:rPr>
          <w:rFonts w:cstheme="minorHAnsi"/>
          <w:b/>
          <w:bCs/>
        </w:rPr>
        <w:t xml:space="preserve">Figure </w:t>
      </w:r>
      <w:r w:rsidR="00376A32" w:rsidRPr="00A624EB">
        <w:rPr>
          <w:rFonts w:cstheme="minorHAnsi"/>
          <w:b/>
          <w:bCs/>
        </w:rPr>
        <w:t>2</w:t>
      </w:r>
      <w:r w:rsidRPr="00A624EB">
        <w:rPr>
          <w:rFonts w:cstheme="minorHAnsi"/>
          <w:b/>
          <w:bCs/>
        </w:rPr>
        <w:t xml:space="preserve">. </w:t>
      </w:r>
      <w:proofErr w:type="spellStart"/>
      <w:r w:rsidRPr="00A624EB">
        <w:rPr>
          <w:rFonts w:cstheme="minorHAnsi"/>
          <w:b/>
          <w:bCs/>
        </w:rPr>
        <w:t>Equiplot</w:t>
      </w:r>
      <w:proofErr w:type="spellEnd"/>
      <w:r w:rsidRPr="00A624EB">
        <w:rPr>
          <w:rFonts w:cstheme="minorHAnsi"/>
          <w:b/>
          <w:bCs/>
        </w:rPr>
        <w:t xml:space="preserve"> of s</w:t>
      </w:r>
      <w:r w:rsidR="00301850">
        <w:rPr>
          <w:rFonts w:cstheme="minorHAnsi"/>
          <w:b/>
          <w:bCs/>
        </w:rPr>
        <w:t>hort stature</w:t>
      </w:r>
      <w:r w:rsidRPr="00A624EB">
        <w:rPr>
          <w:rFonts w:cstheme="minorHAnsi"/>
          <w:b/>
          <w:bCs/>
        </w:rPr>
        <w:t xml:space="preserve"> percentage by I</w:t>
      </w:r>
      <w:r w:rsidR="00813ADC">
        <w:rPr>
          <w:rFonts w:cstheme="minorHAnsi"/>
          <w:b/>
          <w:bCs/>
        </w:rPr>
        <w:t xml:space="preserve">ndex of </w:t>
      </w:r>
      <w:r w:rsidRPr="00A624EB">
        <w:rPr>
          <w:rFonts w:cstheme="minorHAnsi"/>
          <w:b/>
          <w:bCs/>
        </w:rPr>
        <w:t>M</w:t>
      </w:r>
      <w:r w:rsidR="00813ADC">
        <w:rPr>
          <w:rFonts w:cstheme="minorHAnsi"/>
          <w:b/>
          <w:bCs/>
        </w:rPr>
        <w:t xml:space="preserve">ultiple </w:t>
      </w:r>
      <w:proofErr w:type="gramStart"/>
      <w:r w:rsidRPr="00A624EB">
        <w:rPr>
          <w:rFonts w:cstheme="minorHAnsi"/>
          <w:b/>
          <w:bCs/>
        </w:rPr>
        <w:t>D</w:t>
      </w:r>
      <w:r w:rsidR="00813ADC">
        <w:rPr>
          <w:rFonts w:cstheme="minorHAnsi"/>
          <w:b/>
          <w:bCs/>
        </w:rPr>
        <w:t>eprivation(</w:t>
      </w:r>
      <w:proofErr w:type="gramEnd"/>
      <w:r w:rsidR="00813ADC">
        <w:rPr>
          <w:rFonts w:cstheme="minorHAnsi"/>
          <w:b/>
          <w:bCs/>
        </w:rPr>
        <w:t>IMD)</w:t>
      </w:r>
      <w:r w:rsidRPr="00A624EB">
        <w:rPr>
          <w:rFonts w:cstheme="minorHAnsi"/>
          <w:b/>
          <w:bCs/>
        </w:rPr>
        <w:t xml:space="preserve"> quintile and </w:t>
      </w:r>
      <w:r w:rsidR="00813ADC">
        <w:rPr>
          <w:rFonts w:cstheme="minorHAnsi"/>
          <w:b/>
          <w:bCs/>
        </w:rPr>
        <w:t>National Child Measurement Programme (</w:t>
      </w:r>
      <w:r w:rsidRPr="00A624EB">
        <w:rPr>
          <w:rFonts w:cstheme="minorHAnsi"/>
          <w:b/>
          <w:bCs/>
        </w:rPr>
        <w:t>NCMP</w:t>
      </w:r>
      <w:r w:rsidR="00813ADC">
        <w:rPr>
          <w:rFonts w:cstheme="minorHAnsi"/>
          <w:b/>
          <w:bCs/>
        </w:rPr>
        <w:t>) school</w:t>
      </w:r>
      <w:r w:rsidRPr="00A624EB">
        <w:rPr>
          <w:rFonts w:cstheme="minorHAnsi"/>
          <w:b/>
          <w:bCs/>
        </w:rPr>
        <w:t xml:space="preserve"> year </w:t>
      </w:r>
    </w:p>
    <w:p w14:paraId="52DC116A" w14:textId="772E6FB4" w:rsidR="000E78F4" w:rsidRDefault="000E78F4" w:rsidP="000E78F4">
      <w:pPr>
        <w:spacing w:line="360" w:lineRule="auto"/>
        <w:rPr>
          <w:rFonts w:cstheme="minorHAnsi"/>
        </w:rPr>
      </w:pPr>
    </w:p>
    <w:p w14:paraId="3B6D44B3" w14:textId="362B39DB" w:rsidR="004045ED" w:rsidRDefault="00751AE4" w:rsidP="000C65B2">
      <w:pPr>
        <w:spacing w:line="360" w:lineRule="auto"/>
        <w:rPr>
          <w:rFonts w:cstheme="minorHAnsi"/>
          <w:sz w:val="20"/>
          <w:szCs w:val="20"/>
        </w:rPr>
      </w:pPr>
      <w:r>
        <w:rPr>
          <w:rFonts w:cstheme="minorHAnsi"/>
          <w:sz w:val="20"/>
          <w:szCs w:val="20"/>
        </w:rPr>
        <w:t xml:space="preserve">[Figure 2 legend] </w:t>
      </w:r>
      <w:r w:rsidR="00F035A6" w:rsidRPr="004D2BAC">
        <w:rPr>
          <w:rFonts w:cstheme="minorHAnsi"/>
          <w:sz w:val="20"/>
          <w:szCs w:val="20"/>
        </w:rPr>
        <w:t xml:space="preserve">Note: IMD Q refer to IMD quintiles, where IMD Q1 is </w:t>
      </w:r>
      <w:r w:rsidR="00946DFE" w:rsidRPr="004D2BAC">
        <w:rPr>
          <w:rFonts w:cstheme="minorHAnsi"/>
          <w:sz w:val="20"/>
          <w:szCs w:val="20"/>
        </w:rPr>
        <w:t xml:space="preserve">the </w:t>
      </w:r>
      <w:r w:rsidR="00F035A6" w:rsidRPr="004D2BAC">
        <w:rPr>
          <w:rFonts w:cstheme="minorHAnsi"/>
          <w:sz w:val="20"/>
          <w:szCs w:val="20"/>
        </w:rPr>
        <w:t>most deprived</w:t>
      </w:r>
      <w:r w:rsidR="00946DFE" w:rsidRPr="004D2BAC">
        <w:rPr>
          <w:rFonts w:cstheme="minorHAnsi"/>
          <w:sz w:val="20"/>
          <w:szCs w:val="20"/>
        </w:rPr>
        <w:t xml:space="preserve"> quintile</w:t>
      </w:r>
      <w:r w:rsidR="00F035A6" w:rsidRPr="004D2BAC">
        <w:rPr>
          <w:rFonts w:cstheme="minorHAnsi"/>
          <w:sz w:val="20"/>
          <w:szCs w:val="20"/>
        </w:rPr>
        <w:t xml:space="preserve">, and IMD Q5 is </w:t>
      </w:r>
      <w:r w:rsidR="00946DFE" w:rsidRPr="004D2BAC">
        <w:rPr>
          <w:rFonts w:cstheme="minorHAnsi"/>
          <w:sz w:val="20"/>
          <w:szCs w:val="20"/>
        </w:rPr>
        <w:t xml:space="preserve">the </w:t>
      </w:r>
      <w:r w:rsidR="00F035A6" w:rsidRPr="004D2BAC">
        <w:rPr>
          <w:rFonts w:cstheme="minorHAnsi"/>
          <w:sz w:val="20"/>
          <w:szCs w:val="20"/>
        </w:rPr>
        <w:t>least deprived</w:t>
      </w:r>
      <w:r w:rsidR="00946DFE" w:rsidRPr="004D2BAC">
        <w:rPr>
          <w:rFonts w:cstheme="minorHAnsi"/>
          <w:sz w:val="20"/>
          <w:szCs w:val="20"/>
        </w:rPr>
        <w:t xml:space="preserve"> quintile</w:t>
      </w:r>
      <w:r w:rsidR="00F035A6" w:rsidRPr="004D2BAC">
        <w:rPr>
          <w:rFonts w:cstheme="minorHAnsi"/>
          <w:sz w:val="20"/>
          <w:szCs w:val="20"/>
        </w:rPr>
        <w:t xml:space="preserve">. </w:t>
      </w:r>
    </w:p>
    <w:p w14:paraId="53418F99" w14:textId="77777777" w:rsidR="00751AE4" w:rsidRPr="00751AE4" w:rsidRDefault="00751AE4" w:rsidP="000C65B2">
      <w:pPr>
        <w:spacing w:line="360" w:lineRule="auto"/>
        <w:rPr>
          <w:rFonts w:cstheme="minorHAnsi"/>
          <w:sz w:val="20"/>
          <w:szCs w:val="20"/>
        </w:rPr>
      </w:pPr>
    </w:p>
    <w:p w14:paraId="284EF027" w14:textId="03F22B46" w:rsidR="00A035E3" w:rsidRPr="001E7454" w:rsidRDefault="00A035E3" w:rsidP="001E7454">
      <w:pPr>
        <w:spacing w:after="0" w:line="360" w:lineRule="auto"/>
        <w:rPr>
          <w:rFonts w:cstheme="minorHAnsi"/>
          <w:b/>
          <w:bCs/>
        </w:rPr>
      </w:pPr>
      <w:r w:rsidRPr="001E7454">
        <w:rPr>
          <w:rFonts w:cstheme="minorHAnsi"/>
          <w:b/>
          <w:bCs/>
        </w:rPr>
        <w:t>Spatial analyses</w:t>
      </w:r>
    </w:p>
    <w:p w14:paraId="5A166DA7" w14:textId="17B020B3" w:rsidR="00EB5CED" w:rsidRDefault="00B11C45" w:rsidP="00751AE4">
      <w:pPr>
        <w:spacing w:after="0" w:line="360" w:lineRule="auto"/>
        <w:rPr>
          <w:rFonts w:cstheme="minorHAnsi"/>
        </w:rPr>
      </w:pPr>
      <w:r w:rsidRPr="001E7454">
        <w:rPr>
          <w:rFonts w:cstheme="minorHAnsi"/>
        </w:rPr>
        <w:t xml:space="preserve">A total of 326 lower tier local authorities existed in England in 2018, two of which were aggregated with neighbouring areas due to low numbers (City of London, aggregated with Hackney, and the Isles of Scilly, aggregated with Cornwall), giving a total for analysis of 324 local authorities. </w:t>
      </w:r>
      <w:r w:rsidR="00AF0026">
        <w:rPr>
          <w:rFonts w:cstheme="minorHAnsi"/>
        </w:rPr>
        <w:t>Short stature</w:t>
      </w:r>
      <w:r w:rsidRPr="001E7454">
        <w:rPr>
          <w:rFonts w:cstheme="minorHAnsi"/>
        </w:rPr>
        <w:t xml:space="preserve"> clusters </w:t>
      </w:r>
      <w:r w:rsidR="00866A6B">
        <w:rPr>
          <w:rFonts w:cstheme="minorHAnsi"/>
        </w:rPr>
        <w:t xml:space="preserve">adjusted for ethnicity </w:t>
      </w:r>
      <w:r w:rsidRPr="001E7454">
        <w:rPr>
          <w:rFonts w:cstheme="minorHAnsi"/>
        </w:rPr>
        <w:t xml:space="preserve">are shown in Figure </w:t>
      </w:r>
      <w:r w:rsidR="00376A32">
        <w:rPr>
          <w:rFonts w:cstheme="minorHAnsi"/>
        </w:rPr>
        <w:t>3</w:t>
      </w:r>
      <w:r w:rsidR="00866A6B">
        <w:rPr>
          <w:rFonts w:cstheme="minorHAnsi"/>
        </w:rPr>
        <w:t xml:space="preserve"> and</w:t>
      </w:r>
      <w:r w:rsidRPr="001E7454">
        <w:rPr>
          <w:rFonts w:cstheme="minorHAnsi"/>
        </w:rPr>
        <w:t xml:space="preserve"> cluster descriptions are given in Table 2</w:t>
      </w:r>
      <w:r w:rsidR="00866A6B">
        <w:rPr>
          <w:rFonts w:cstheme="minorHAnsi"/>
        </w:rPr>
        <w:t xml:space="preserve">. </w:t>
      </w:r>
      <w:r w:rsidR="002F33E9">
        <w:rPr>
          <w:rFonts w:cstheme="minorHAnsi"/>
        </w:rPr>
        <w:t xml:space="preserve">All clusters identified in this model were </w:t>
      </w:r>
      <w:r w:rsidR="00AB2F9E">
        <w:rPr>
          <w:rFonts w:cstheme="minorHAnsi"/>
        </w:rPr>
        <w:t xml:space="preserve">highly </w:t>
      </w:r>
      <w:r w:rsidR="002F33E9">
        <w:rPr>
          <w:rFonts w:cstheme="minorHAnsi"/>
        </w:rPr>
        <w:t xml:space="preserve">significant </w:t>
      </w:r>
      <w:r w:rsidR="00AB2F9E">
        <w:rPr>
          <w:rFonts w:cstheme="minorHAnsi"/>
        </w:rPr>
        <w:t>(p&lt;0.001)</w:t>
      </w:r>
      <w:r w:rsidR="006A670C">
        <w:rPr>
          <w:rFonts w:cstheme="minorHAnsi"/>
        </w:rPr>
        <w:t>.</w:t>
      </w:r>
      <w:r w:rsidR="002F33E9">
        <w:rPr>
          <w:rFonts w:cstheme="minorHAnsi"/>
        </w:rPr>
        <w:t xml:space="preserve"> </w:t>
      </w:r>
      <w:r w:rsidRPr="001E7454">
        <w:rPr>
          <w:rFonts w:cstheme="minorHAnsi"/>
        </w:rPr>
        <w:t>There was geographical heterogeneity in s</w:t>
      </w:r>
      <w:r w:rsidR="00AF0026">
        <w:rPr>
          <w:rFonts w:cstheme="minorHAnsi"/>
        </w:rPr>
        <w:t>hort stature</w:t>
      </w:r>
      <w:r w:rsidR="002C7BDB">
        <w:rPr>
          <w:rFonts w:cstheme="minorHAnsi"/>
        </w:rPr>
        <w:t xml:space="preserve"> prevalence</w:t>
      </w:r>
      <w:r w:rsidRPr="001E7454">
        <w:rPr>
          <w:rFonts w:cstheme="minorHAnsi"/>
        </w:rPr>
        <w:t xml:space="preserve"> across the country and within regions. A model adjusted for ethnicity found eight clusters, mostly distributed around the Midlands and North of </w:t>
      </w:r>
      <w:r w:rsidR="009D3E03">
        <w:rPr>
          <w:rFonts w:cstheme="minorHAnsi"/>
        </w:rPr>
        <w:t>England</w:t>
      </w:r>
      <w:r w:rsidRPr="001E7454">
        <w:rPr>
          <w:rFonts w:cstheme="minorHAnsi"/>
        </w:rPr>
        <w:t>, as well as two small clusters in London. The clusters with the highest</w:t>
      </w:r>
      <w:r w:rsidR="004F5DC4">
        <w:rPr>
          <w:rFonts w:cstheme="minorHAnsi"/>
        </w:rPr>
        <w:t xml:space="preserve"> adjusted</w:t>
      </w:r>
      <w:r w:rsidRPr="001E7454">
        <w:rPr>
          <w:rFonts w:cstheme="minorHAnsi"/>
        </w:rPr>
        <w:t xml:space="preserve"> </w:t>
      </w:r>
      <w:r w:rsidR="009D3E03">
        <w:rPr>
          <w:rFonts w:cstheme="minorHAnsi"/>
        </w:rPr>
        <w:t>relative risk (RR) for s</w:t>
      </w:r>
      <w:r w:rsidR="00B544D6">
        <w:rPr>
          <w:rFonts w:cstheme="minorHAnsi"/>
        </w:rPr>
        <w:t>hort stature</w:t>
      </w:r>
      <w:r w:rsidRPr="001E7454">
        <w:rPr>
          <w:rFonts w:cstheme="minorHAnsi"/>
        </w:rPr>
        <w:t xml:space="preserve"> were in the East Midlands</w:t>
      </w:r>
      <w:r w:rsidR="00C77500" w:rsidRPr="001E7454">
        <w:rPr>
          <w:rFonts w:cstheme="minorHAnsi"/>
        </w:rPr>
        <w:t xml:space="preserve"> (Leicester</w:t>
      </w:r>
      <w:r w:rsidR="009D3E03">
        <w:rPr>
          <w:rFonts w:cstheme="minorHAnsi"/>
        </w:rPr>
        <w:t xml:space="preserve">; </w:t>
      </w:r>
      <w:r w:rsidRPr="001E7454">
        <w:rPr>
          <w:rFonts w:cstheme="minorHAnsi"/>
        </w:rPr>
        <w:t>RR: 1.50), East of England</w:t>
      </w:r>
      <w:r w:rsidR="00536802" w:rsidRPr="001E7454">
        <w:rPr>
          <w:rFonts w:cstheme="minorHAnsi"/>
        </w:rPr>
        <w:t xml:space="preserve"> (Great Yarmouth</w:t>
      </w:r>
      <w:r w:rsidR="009D3E03">
        <w:rPr>
          <w:rFonts w:cstheme="minorHAnsi"/>
        </w:rPr>
        <w:t xml:space="preserve">; </w:t>
      </w:r>
      <w:r w:rsidRPr="001E7454">
        <w:rPr>
          <w:rFonts w:cstheme="minorHAnsi"/>
        </w:rPr>
        <w:t>RR: 1.36), and London</w:t>
      </w:r>
      <w:r w:rsidR="00536802" w:rsidRPr="001E7454">
        <w:rPr>
          <w:rFonts w:cstheme="minorHAnsi"/>
        </w:rPr>
        <w:t xml:space="preserve"> (Brent</w:t>
      </w:r>
      <w:r w:rsidR="009D3E03">
        <w:rPr>
          <w:rFonts w:cstheme="minorHAnsi"/>
        </w:rPr>
        <w:t xml:space="preserve">; </w:t>
      </w:r>
      <w:r w:rsidRPr="001E7454">
        <w:rPr>
          <w:rFonts w:cstheme="minorHAnsi"/>
        </w:rPr>
        <w:t xml:space="preserve">RR: 1.34) and tended to </w:t>
      </w:r>
      <w:proofErr w:type="gramStart"/>
      <w:r w:rsidRPr="001E7454">
        <w:rPr>
          <w:rFonts w:cstheme="minorHAnsi"/>
        </w:rPr>
        <w:t>be located in</w:t>
      </w:r>
      <w:proofErr w:type="gramEnd"/>
      <w:r w:rsidRPr="001E7454">
        <w:rPr>
          <w:rFonts w:cstheme="minorHAnsi"/>
        </w:rPr>
        <w:t xml:space="preserve"> urban areas. Clusters in the North of England had lower RRs but included larger geographic</w:t>
      </w:r>
      <w:r w:rsidR="00161BD1" w:rsidRPr="001E7454">
        <w:rPr>
          <w:rFonts w:cstheme="minorHAnsi"/>
        </w:rPr>
        <w:t xml:space="preserve"> </w:t>
      </w:r>
      <w:r w:rsidRPr="001E7454">
        <w:rPr>
          <w:rFonts w:cstheme="minorHAnsi"/>
        </w:rPr>
        <w:t xml:space="preserve">locations and larger total population sizes. </w:t>
      </w:r>
      <w:r w:rsidR="0039222F">
        <w:rPr>
          <w:rFonts w:cstheme="minorHAnsi"/>
        </w:rPr>
        <w:t>There was ethnic heterogeneity between clusters, with very high p</w:t>
      </w:r>
      <w:r w:rsidR="00594702">
        <w:rPr>
          <w:rFonts w:cstheme="minorHAnsi"/>
        </w:rPr>
        <w:t>ercentage</w:t>
      </w:r>
      <w:r w:rsidR="0039222F">
        <w:rPr>
          <w:rFonts w:cstheme="minorHAnsi"/>
        </w:rPr>
        <w:t>s of White children in some cluster</w:t>
      </w:r>
      <w:r w:rsidR="00594702">
        <w:rPr>
          <w:rFonts w:cstheme="minorHAnsi"/>
        </w:rPr>
        <w:t>s</w:t>
      </w:r>
      <w:r w:rsidR="0039222F">
        <w:rPr>
          <w:rFonts w:cstheme="minorHAnsi"/>
        </w:rPr>
        <w:t xml:space="preserve"> (92% in the </w:t>
      </w:r>
      <w:proofErr w:type="gramStart"/>
      <w:r w:rsidR="0039222F">
        <w:rPr>
          <w:rFonts w:cstheme="minorHAnsi"/>
        </w:rPr>
        <w:t>North East</w:t>
      </w:r>
      <w:proofErr w:type="gramEnd"/>
      <w:r w:rsidR="0039222F">
        <w:rPr>
          <w:rFonts w:cstheme="minorHAnsi"/>
        </w:rPr>
        <w:t xml:space="preserve"> Lincolnshire cluster) and very low p</w:t>
      </w:r>
      <w:r w:rsidR="00594702">
        <w:rPr>
          <w:rFonts w:cstheme="minorHAnsi"/>
        </w:rPr>
        <w:t>ercentage</w:t>
      </w:r>
      <w:r w:rsidR="0039222F">
        <w:rPr>
          <w:rFonts w:cstheme="minorHAnsi"/>
        </w:rPr>
        <w:t xml:space="preserve">s in others (22% in the Newham cluster). </w:t>
      </w:r>
      <w:r w:rsidRPr="001E7454">
        <w:rPr>
          <w:rFonts w:cstheme="minorHAnsi"/>
        </w:rPr>
        <w:t>Clusters showed relatively high levels of deprivation, with average IMD</w:t>
      </w:r>
      <w:r w:rsidR="002D28F6" w:rsidRPr="001E7454">
        <w:rPr>
          <w:rFonts w:cstheme="minorHAnsi"/>
        </w:rPr>
        <w:t xml:space="preserve"> decile</w:t>
      </w:r>
      <w:r w:rsidRPr="001E7454">
        <w:rPr>
          <w:rFonts w:cstheme="minorHAnsi"/>
        </w:rPr>
        <w:t xml:space="preserve"> for children in </w:t>
      </w:r>
      <w:r w:rsidR="00B544D6">
        <w:rPr>
          <w:rFonts w:cstheme="minorHAnsi"/>
        </w:rPr>
        <w:t>short stature</w:t>
      </w:r>
      <w:r w:rsidRPr="001E7454">
        <w:rPr>
          <w:rFonts w:cstheme="minorHAnsi"/>
        </w:rPr>
        <w:t xml:space="preserve"> clusters ranging between 2.40 and 4.38 (for comparison, the average IMD for the full sample was 5.08). </w:t>
      </w:r>
      <w:r w:rsidR="00866A6B">
        <w:rPr>
          <w:rFonts w:cstheme="minorHAnsi"/>
        </w:rPr>
        <w:t xml:space="preserve">An unadjusted model as well as a model adjusted for both ethnicity and IMD are presented in Supplemental Table </w:t>
      </w:r>
      <w:r w:rsidR="00492D03">
        <w:rPr>
          <w:rFonts w:cstheme="minorHAnsi"/>
        </w:rPr>
        <w:t>H</w:t>
      </w:r>
      <w:r w:rsidR="00866A6B">
        <w:rPr>
          <w:rFonts w:cstheme="minorHAnsi"/>
        </w:rPr>
        <w:t xml:space="preserve"> and Supplemental Figure</w:t>
      </w:r>
      <w:r w:rsidR="005A3209">
        <w:rPr>
          <w:rFonts w:cstheme="minorHAnsi"/>
        </w:rPr>
        <w:t xml:space="preserve">s </w:t>
      </w:r>
      <w:r w:rsidR="00492D03">
        <w:rPr>
          <w:rFonts w:cstheme="minorHAnsi"/>
        </w:rPr>
        <w:t>H</w:t>
      </w:r>
      <w:r w:rsidR="005A3209">
        <w:rPr>
          <w:rFonts w:cstheme="minorHAnsi"/>
        </w:rPr>
        <w:t xml:space="preserve">1 and </w:t>
      </w:r>
      <w:r w:rsidR="00492D03">
        <w:rPr>
          <w:rFonts w:cstheme="minorHAnsi"/>
        </w:rPr>
        <w:t>H</w:t>
      </w:r>
      <w:r w:rsidR="005A3209">
        <w:rPr>
          <w:rFonts w:cstheme="minorHAnsi"/>
        </w:rPr>
        <w:t>2</w:t>
      </w:r>
      <w:r w:rsidR="00866A6B">
        <w:rPr>
          <w:rFonts w:cstheme="minorHAnsi"/>
        </w:rPr>
        <w:t xml:space="preserve">. </w:t>
      </w:r>
      <w:r w:rsidRPr="001E7454">
        <w:rPr>
          <w:rFonts w:cstheme="minorHAnsi"/>
        </w:rPr>
        <w:t xml:space="preserve">The general distribution of clusters </w:t>
      </w:r>
      <w:r w:rsidR="00D64CF8">
        <w:rPr>
          <w:rFonts w:cstheme="minorHAnsi"/>
        </w:rPr>
        <w:t xml:space="preserve">was </w:t>
      </w:r>
      <w:r w:rsidRPr="001E7454">
        <w:rPr>
          <w:rFonts w:cstheme="minorHAnsi"/>
        </w:rPr>
        <w:t>similar</w:t>
      </w:r>
      <w:r w:rsidR="00D64CF8">
        <w:rPr>
          <w:rFonts w:cstheme="minorHAnsi"/>
        </w:rPr>
        <w:t xml:space="preserve"> in the unadjusted and fully adjusted models,</w:t>
      </w:r>
      <w:r w:rsidRPr="001E7454">
        <w:rPr>
          <w:rFonts w:cstheme="minorHAnsi"/>
        </w:rPr>
        <w:t xml:space="preserve"> although the composition of clusters varied slightly. </w:t>
      </w:r>
      <w:r w:rsidR="00340AA8">
        <w:rPr>
          <w:rFonts w:cstheme="minorHAnsi"/>
        </w:rPr>
        <w:t>The Leicester, Great Yarmouth, Tower Hamlets</w:t>
      </w:r>
      <w:r w:rsidR="005349B3">
        <w:rPr>
          <w:rFonts w:cstheme="minorHAnsi"/>
        </w:rPr>
        <w:t xml:space="preserve">, Gateshead, Rossendale, </w:t>
      </w:r>
      <w:proofErr w:type="gramStart"/>
      <w:r w:rsidR="005349B3">
        <w:rPr>
          <w:rFonts w:cstheme="minorHAnsi"/>
        </w:rPr>
        <w:t>North East</w:t>
      </w:r>
      <w:proofErr w:type="gramEnd"/>
      <w:r w:rsidR="005349B3">
        <w:rPr>
          <w:rFonts w:cstheme="minorHAnsi"/>
        </w:rPr>
        <w:t xml:space="preserve"> Lincolnshire and South Staffordshire clusters were </w:t>
      </w:r>
      <w:r w:rsidR="0067650F">
        <w:rPr>
          <w:rFonts w:cstheme="minorHAnsi"/>
        </w:rPr>
        <w:t>represented</w:t>
      </w:r>
      <w:r w:rsidR="005349B3">
        <w:rPr>
          <w:rFonts w:cstheme="minorHAnsi"/>
        </w:rPr>
        <w:t xml:space="preserve"> in each model. </w:t>
      </w:r>
    </w:p>
    <w:p w14:paraId="33348D8A" w14:textId="0226B3CA" w:rsidR="00EB5CED" w:rsidRDefault="00EB5CED" w:rsidP="001E7454">
      <w:pPr>
        <w:spacing w:after="0"/>
        <w:rPr>
          <w:rFonts w:cstheme="minorHAnsi"/>
        </w:rPr>
      </w:pPr>
    </w:p>
    <w:p w14:paraId="21CBF8E4" w14:textId="77777777" w:rsidR="00EB5CED" w:rsidRDefault="00EB5CED" w:rsidP="001E7454">
      <w:pPr>
        <w:spacing w:after="0"/>
        <w:rPr>
          <w:rFonts w:cstheme="minorHAnsi"/>
        </w:rPr>
      </w:pPr>
    </w:p>
    <w:p w14:paraId="3F237582" w14:textId="639ECCEF" w:rsidR="00B11C45" w:rsidRPr="00A624EB" w:rsidRDefault="00B11C45" w:rsidP="001E7454">
      <w:pPr>
        <w:spacing w:after="0"/>
        <w:rPr>
          <w:rFonts w:cstheme="minorHAnsi"/>
          <w:b/>
          <w:bCs/>
        </w:rPr>
      </w:pPr>
      <w:r w:rsidRPr="00A624EB">
        <w:rPr>
          <w:rFonts w:cstheme="minorHAnsi"/>
          <w:b/>
          <w:bCs/>
        </w:rPr>
        <w:t xml:space="preserve">Figure </w:t>
      </w:r>
      <w:r w:rsidR="00DD4AA6" w:rsidRPr="00A624EB">
        <w:rPr>
          <w:rFonts w:cstheme="minorHAnsi"/>
          <w:b/>
          <w:bCs/>
        </w:rPr>
        <w:t>3</w:t>
      </w:r>
      <w:r w:rsidRPr="00A624EB">
        <w:rPr>
          <w:rFonts w:cstheme="minorHAnsi"/>
          <w:b/>
          <w:bCs/>
        </w:rPr>
        <w:t xml:space="preserve">. </w:t>
      </w:r>
      <w:r w:rsidR="006D2015">
        <w:rPr>
          <w:rFonts w:cstheme="minorHAnsi"/>
          <w:b/>
          <w:bCs/>
        </w:rPr>
        <w:t>Short stature</w:t>
      </w:r>
      <w:r w:rsidR="00996091" w:rsidRPr="00A624EB">
        <w:rPr>
          <w:rFonts w:cstheme="minorHAnsi"/>
          <w:b/>
          <w:bCs/>
        </w:rPr>
        <w:t xml:space="preserve"> clusters</w:t>
      </w:r>
      <w:r w:rsidR="00816240" w:rsidRPr="00A624EB">
        <w:rPr>
          <w:rFonts w:cstheme="minorHAnsi"/>
          <w:b/>
          <w:bCs/>
        </w:rPr>
        <w:t xml:space="preserve"> </w:t>
      </w:r>
      <w:r w:rsidR="00FE4E0F" w:rsidRPr="00A624EB">
        <w:rPr>
          <w:rFonts w:cstheme="minorHAnsi"/>
          <w:b/>
          <w:bCs/>
        </w:rPr>
        <w:t xml:space="preserve">in England </w:t>
      </w:r>
      <w:r w:rsidR="00FE429F" w:rsidRPr="00A624EB">
        <w:rPr>
          <w:rFonts w:cstheme="minorHAnsi"/>
          <w:b/>
          <w:bCs/>
        </w:rPr>
        <w:t xml:space="preserve">(London inset) </w:t>
      </w:r>
      <w:r w:rsidR="00FE4E0F" w:rsidRPr="00A624EB">
        <w:rPr>
          <w:rFonts w:cstheme="minorHAnsi"/>
          <w:b/>
          <w:bCs/>
        </w:rPr>
        <w:t>2006-</w:t>
      </w:r>
      <w:r w:rsidR="00AF6EA5" w:rsidRPr="00A624EB">
        <w:rPr>
          <w:rFonts w:cstheme="minorHAnsi"/>
          <w:b/>
          <w:bCs/>
        </w:rPr>
        <w:t>2019</w:t>
      </w:r>
      <w:r w:rsidR="00FE4E0F" w:rsidRPr="00A624EB">
        <w:rPr>
          <w:rFonts w:cstheme="minorHAnsi"/>
          <w:b/>
          <w:bCs/>
        </w:rPr>
        <w:t xml:space="preserve">, </w:t>
      </w:r>
      <w:r w:rsidR="00816240" w:rsidRPr="00A624EB">
        <w:rPr>
          <w:rFonts w:cstheme="minorHAnsi"/>
          <w:b/>
          <w:bCs/>
        </w:rPr>
        <w:t>adjusted for ethnicity</w:t>
      </w:r>
      <w:r w:rsidR="00237AEF">
        <w:rPr>
          <w:rFonts w:cstheme="minorHAnsi"/>
          <w:b/>
          <w:bCs/>
        </w:rPr>
        <w:t xml:space="preserve"> (n=5,765,707)</w:t>
      </w:r>
      <w:r w:rsidR="00996091" w:rsidRPr="00A624EB">
        <w:rPr>
          <w:rFonts w:cstheme="minorHAnsi"/>
          <w:b/>
          <w:bCs/>
        </w:rPr>
        <w:t>.</w:t>
      </w:r>
    </w:p>
    <w:p w14:paraId="5AAA0492" w14:textId="77777777" w:rsidR="00B11C45" w:rsidRDefault="00B11C45" w:rsidP="001E7454">
      <w:pPr>
        <w:tabs>
          <w:tab w:val="left" w:pos="6960"/>
        </w:tabs>
        <w:spacing w:after="0"/>
        <w:rPr>
          <w:rFonts w:cstheme="minorHAnsi"/>
        </w:rPr>
      </w:pPr>
    </w:p>
    <w:p w14:paraId="2F5260EC" w14:textId="77777777" w:rsidR="00F20866" w:rsidRDefault="00F20866" w:rsidP="001E7454">
      <w:pPr>
        <w:tabs>
          <w:tab w:val="left" w:pos="6960"/>
        </w:tabs>
        <w:spacing w:after="0"/>
        <w:rPr>
          <w:rFonts w:cstheme="minorHAnsi"/>
        </w:rPr>
      </w:pPr>
    </w:p>
    <w:p w14:paraId="4B030642" w14:textId="73601257" w:rsidR="00F20866" w:rsidRPr="00AB53F6" w:rsidRDefault="00F20866" w:rsidP="00AB53F6">
      <w:pPr>
        <w:spacing w:line="360" w:lineRule="auto"/>
        <w:rPr>
          <w:rFonts w:cstheme="minorHAnsi"/>
          <w:sz w:val="20"/>
          <w:szCs w:val="20"/>
        </w:rPr>
        <w:sectPr w:rsidR="00F20866" w:rsidRPr="00AB53F6" w:rsidSect="000C65B2">
          <w:footerReference w:type="even" r:id="rId8"/>
          <w:footerReference w:type="default" r:id="rId9"/>
          <w:endnotePr>
            <w:numFmt w:val="decimal"/>
          </w:endnotePr>
          <w:pgSz w:w="11906" w:h="16838"/>
          <w:pgMar w:top="1440" w:right="1440" w:bottom="1440" w:left="1440" w:header="708" w:footer="708" w:gutter="0"/>
          <w:lnNumType w:countBy="1"/>
          <w:cols w:space="708"/>
          <w:docGrid w:linePitch="360"/>
        </w:sectPr>
      </w:pPr>
      <w:r>
        <w:rPr>
          <w:rFonts w:cstheme="minorHAnsi"/>
          <w:sz w:val="20"/>
          <w:szCs w:val="20"/>
        </w:rPr>
        <w:t xml:space="preserve">[Figure 3 legend] </w:t>
      </w:r>
      <w:r w:rsidRPr="004D2BAC">
        <w:rPr>
          <w:rFonts w:cstheme="minorHAnsi"/>
          <w:sz w:val="20"/>
          <w:szCs w:val="20"/>
        </w:rPr>
        <w:t>Note:</w:t>
      </w:r>
      <w:r>
        <w:rPr>
          <w:rFonts w:cstheme="minorHAnsi"/>
          <w:sz w:val="20"/>
          <w:szCs w:val="20"/>
        </w:rPr>
        <w:t xml:space="preserve"> Short stature clusters are in red. </w:t>
      </w:r>
      <w:r w:rsidR="00AB53F6">
        <w:rPr>
          <w:rFonts w:cstheme="minorHAnsi"/>
          <w:sz w:val="20"/>
          <w:szCs w:val="20"/>
        </w:rPr>
        <w:t xml:space="preserve">  Map base layer is  shapefile  Local Authority Districts (December 2017) Full Clipped Boundaries in Great Britain, published by the Office for National Statistics and available at </w:t>
      </w:r>
      <w:hyperlink r:id="rId10" w:history="1">
        <w:r w:rsidR="00AB53F6" w:rsidRPr="00A360D8">
          <w:rPr>
            <w:rStyle w:val="Hyperlink"/>
            <w:rFonts w:cstheme="minorHAnsi"/>
            <w:sz w:val="20"/>
            <w:szCs w:val="20"/>
          </w:rPr>
          <w:t>https://geoportal.statistics.gov.uk/datasets/local-authority-districts-december-2017-full-clipped-boundaries-in-great-britain/explore?location=55.450000%2C-2.950000%2C5.64&amp;showTable=true</w:t>
        </w:r>
      </w:hyperlink>
      <w:r w:rsidR="00AB53F6">
        <w:rPr>
          <w:rFonts w:cstheme="minorHAnsi"/>
          <w:sz w:val="20"/>
          <w:szCs w:val="20"/>
        </w:rPr>
        <w:t xml:space="preserve">. </w:t>
      </w:r>
    </w:p>
    <w:p w14:paraId="627A1EFF" w14:textId="5AC1C314" w:rsidR="00453EEE" w:rsidRPr="00A624EB" w:rsidRDefault="00B11C45" w:rsidP="001E7454">
      <w:pPr>
        <w:spacing w:after="0"/>
        <w:rPr>
          <w:rFonts w:cstheme="minorHAnsi"/>
          <w:b/>
          <w:bCs/>
        </w:rPr>
      </w:pPr>
      <w:r w:rsidRPr="00A624EB">
        <w:rPr>
          <w:rFonts w:cstheme="minorHAnsi"/>
          <w:b/>
          <w:bCs/>
        </w:rPr>
        <w:t xml:space="preserve">Table 2. </w:t>
      </w:r>
      <w:r w:rsidR="002A4BF7">
        <w:rPr>
          <w:rFonts w:cstheme="minorHAnsi"/>
          <w:b/>
          <w:bCs/>
        </w:rPr>
        <w:t>S</w:t>
      </w:r>
      <w:r w:rsidR="00A8582C">
        <w:rPr>
          <w:rFonts w:cstheme="minorHAnsi"/>
          <w:b/>
          <w:bCs/>
        </w:rPr>
        <w:t>hort stature</w:t>
      </w:r>
      <w:r w:rsidR="00A8582C" w:rsidRPr="00A624EB">
        <w:rPr>
          <w:rFonts w:cstheme="minorHAnsi"/>
          <w:b/>
          <w:bCs/>
        </w:rPr>
        <w:t xml:space="preserve"> </w:t>
      </w:r>
      <w:r w:rsidRPr="00A624EB">
        <w:rPr>
          <w:rFonts w:cstheme="minorHAnsi"/>
          <w:b/>
          <w:bCs/>
        </w:rPr>
        <w:t>clusters</w:t>
      </w:r>
      <w:r w:rsidR="002D28F6" w:rsidRPr="00A624EB">
        <w:rPr>
          <w:rFonts w:cstheme="minorHAnsi"/>
          <w:b/>
          <w:bCs/>
        </w:rPr>
        <w:t xml:space="preserve"> in England, 2006-07 to 2018-19</w:t>
      </w:r>
      <w:r w:rsidRPr="00A624EB">
        <w:rPr>
          <w:rFonts w:cstheme="minorHAnsi"/>
          <w:b/>
          <w:bCs/>
        </w:rPr>
        <w:t xml:space="preserve">, adjusted for ethnicity </w:t>
      </w:r>
      <w:r w:rsidR="006B60EB">
        <w:rPr>
          <w:rFonts w:cstheme="minorHAnsi"/>
          <w:b/>
          <w:bCs/>
        </w:rPr>
        <w:t>(n=5,765,707)</w:t>
      </w:r>
      <w:r w:rsidRPr="00A624EB">
        <w:rPr>
          <w:rFonts w:cstheme="minorHAnsi"/>
          <w:b/>
          <w:bCs/>
        </w:rPr>
        <w:t>.</w:t>
      </w:r>
    </w:p>
    <w:p w14:paraId="4E140178" w14:textId="1BD200EC" w:rsidR="00B11C45" w:rsidRPr="001E7454" w:rsidRDefault="00B11C45" w:rsidP="001E7454">
      <w:pPr>
        <w:spacing w:after="0"/>
        <w:rPr>
          <w:rFonts w:cstheme="minorHAnsi"/>
        </w:rPr>
      </w:pPr>
      <w:r w:rsidRPr="001E7454">
        <w:rPr>
          <w:rFonts w:cstheme="minorHAnsi"/>
        </w:rPr>
        <w:t xml:space="preserve"> </w:t>
      </w:r>
    </w:p>
    <w:tbl>
      <w:tblPr>
        <w:tblStyle w:val="TableGrid"/>
        <w:tblW w:w="9351" w:type="dxa"/>
        <w:tblLayout w:type="fixed"/>
        <w:tblLook w:val="04A0" w:firstRow="1" w:lastRow="0" w:firstColumn="1" w:lastColumn="0" w:noHBand="0" w:noVBand="1"/>
      </w:tblPr>
      <w:tblGrid>
        <w:gridCol w:w="2547"/>
        <w:gridCol w:w="1417"/>
        <w:gridCol w:w="1134"/>
        <w:gridCol w:w="1134"/>
        <w:gridCol w:w="1276"/>
        <w:gridCol w:w="992"/>
        <w:gridCol w:w="851"/>
      </w:tblGrid>
      <w:tr w:rsidR="00A6415C" w:rsidRPr="001E7454" w14:paraId="484C33D8" w14:textId="77777777" w:rsidTr="000C65B2">
        <w:tc>
          <w:tcPr>
            <w:tcW w:w="2547" w:type="dxa"/>
          </w:tcPr>
          <w:p w14:paraId="70893D38" w14:textId="51014876" w:rsidR="00A6415C" w:rsidRPr="00A624EB" w:rsidRDefault="00A6415C" w:rsidP="001E7454">
            <w:pPr>
              <w:tabs>
                <w:tab w:val="center" w:pos="2583"/>
              </w:tabs>
              <w:rPr>
                <w:rFonts w:cstheme="minorHAnsi"/>
                <w:b/>
                <w:bCs/>
                <w:sz w:val="20"/>
                <w:szCs w:val="20"/>
                <w:vertAlign w:val="superscript"/>
              </w:rPr>
            </w:pPr>
            <w:proofErr w:type="spellStart"/>
            <w:r w:rsidRPr="001E7454">
              <w:rPr>
                <w:rFonts w:cstheme="minorHAnsi"/>
                <w:b/>
                <w:bCs/>
                <w:sz w:val="20"/>
                <w:szCs w:val="20"/>
              </w:rPr>
              <w:t>Cluster</w:t>
            </w:r>
            <w:r>
              <w:rPr>
                <w:rFonts w:cstheme="minorHAnsi"/>
                <w:b/>
                <w:bCs/>
                <w:sz w:val="20"/>
                <w:szCs w:val="20"/>
                <w:vertAlign w:val="superscript"/>
              </w:rPr>
              <w:t>a</w:t>
            </w:r>
            <w:proofErr w:type="spellEnd"/>
          </w:p>
        </w:tc>
        <w:tc>
          <w:tcPr>
            <w:tcW w:w="1417" w:type="dxa"/>
          </w:tcPr>
          <w:p w14:paraId="5BFE8B5F" w14:textId="77777777" w:rsidR="00A6415C" w:rsidRPr="001E7454" w:rsidRDefault="00A6415C" w:rsidP="001E7454">
            <w:pPr>
              <w:rPr>
                <w:rFonts w:cstheme="minorHAnsi"/>
                <w:b/>
                <w:bCs/>
                <w:sz w:val="20"/>
                <w:szCs w:val="20"/>
              </w:rPr>
            </w:pPr>
            <w:r w:rsidRPr="001E7454">
              <w:rPr>
                <w:rFonts w:cstheme="minorHAnsi"/>
                <w:b/>
                <w:bCs/>
                <w:sz w:val="20"/>
                <w:szCs w:val="20"/>
              </w:rPr>
              <w:t>Region</w:t>
            </w:r>
          </w:p>
        </w:tc>
        <w:tc>
          <w:tcPr>
            <w:tcW w:w="1134" w:type="dxa"/>
          </w:tcPr>
          <w:p w14:paraId="4F35A96E" w14:textId="3D3E6681" w:rsidR="00A6415C" w:rsidRPr="00A624EB" w:rsidRDefault="00A6415C" w:rsidP="001E7454">
            <w:pPr>
              <w:rPr>
                <w:rFonts w:cstheme="minorHAnsi"/>
                <w:b/>
                <w:bCs/>
                <w:sz w:val="20"/>
                <w:szCs w:val="20"/>
                <w:vertAlign w:val="superscript"/>
              </w:rPr>
            </w:pPr>
            <w:r w:rsidRPr="001E7454">
              <w:rPr>
                <w:rFonts w:cstheme="minorHAnsi"/>
                <w:b/>
                <w:bCs/>
                <w:sz w:val="20"/>
                <w:szCs w:val="20"/>
              </w:rPr>
              <w:t xml:space="preserve">White </w:t>
            </w:r>
            <w:proofErr w:type="spellStart"/>
            <w:r w:rsidRPr="001E7454">
              <w:rPr>
                <w:rFonts w:cstheme="minorHAnsi"/>
                <w:b/>
                <w:bCs/>
                <w:sz w:val="20"/>
                <w:szCs w:val="20"/>
              </w:rPr>
              <w:t>ethnicity</w:t>
            </w:r>
            <w:r>
              <w:rPr>
                <w:rFonts w:cstheme="minorHAnsi"/>
                <w:b/>
                <w:bCs/>
                <w:sz w:val="20"/>
                <w:szCs w:val="20"/>
                <w:vertAlign w:val="superscript"/>
              </w:rPr>
              <w:t>b</w:t>
            </w:r>
            <w:proofErr w:type="spellEnd"/>
          </w:p>
          <w:p w14:paraId="58B1CCB5" w14:textId="3E600D7A" w:rsidR="00A6415C" w:rsidRPr="00A624EB" w:rsidRDefault="00A6415C" w:rsidP="001E7454">
            <w:pPr>
              <w:rPr>
                <w:rFonts w:cstheme="minorHAnsi"/>
                <w:b/>
                <w:bCs/>
                <w:sz w:val="20"/>
                <w:szCs w:val="20"/>
                <w:vertAlign w:val="superscript"/>
              </w:rPr>
            </w:pPr>
            <w:r w:rsidRPr="001E7454">
              <w:rPr>
                <w:rFonts w:cstheme="minorHAnsi"/>
                <w:b/>
                <w:bCs/>
                <w:sz w:val="20"/>
                <w:szCs w:val="20"/>
              </w:rPr>
              <w:t>%</w:t>
            </w:r>
            <w:r>
              <w:rPr>
                <w:rFonts w:cstheme="minorHAnsi"/>
                <w:b/>
                <w:bCs/>
                <w:sz w:val="20"/>
                <w:szCs w:val="20"/>
              </w:rPr>
              <w:t xml:space="preserve"> (n)</w:t>
            </w:r>
          </w:p>
        </w:tc>
        <w:tc>
          <w:tcPr>
            <w:tcW w:w="1134" w:type="dxa"/>
          </w:tcPr>
          <w:p w14:paraId="38071D3D" w14:textId="14D7097F" w:rsidR="00A6415C" w:rsidRPr="00A624EB" w:rsidRDefault="00A6415C" w:rsidP="001E7454">
            <w:pPr>
              <w:rPr>
                <w:rFonts w:cstheme="minorHAnsi"/>
                <w:b/>
                <w:bCs/>
                <w:sz w:val="20"/>
                <w:szCs w:val="20"/>
                <w:vertAlign w:val="superscript"/>
              </w:rPr>
            </w:pPr>
            <w:r w:rsidRPr="001E7454">
              <w:rPr>
                <w:rFonts w:cstheme="minorHAnsi"/>
                <w:b/>
                <w:bCs/>
                <w:sz w:val="20"/>
                <w:szCs w:val="20"/>
              </w:rPr>
              <w:t>Cluster mean (SD) IMD</w:t>
            </w:r>
            <w:r>
              <w:rPr>
                <w:rFonts w:cstheme="minorHAnsi"/>
                <w:b/>
                <w:bCs/>
                <w:sz w:val="20"/>
                <w:szCs w:val="20"/>
                <w:vertAlign w:val="superscript"/>
              </w:rPr>
              <w:t>b</w:t>
            </w:r>
          </w:p>
        </w:tc>
        <w:tc>
          <w:tcPr>
            <w:tcW w:w="1276" w:type="dxa"/>
          </w:tcPr>
          <w:p w14:paraId="03F96CB4" w14:textId="0D71A1DD" w:rsidR="00A6415C" w:rsidRPr="00A624EB" w:rsidRDefault="00A6415C" w:rsidP="001E7454">
            <w:pPr>
              <w:rPr>
                <w:rFonts w:cstheme="minorHAnsi"/>
                <w:b/>
                <w:bCs/>
                <w:sz w:val="20"/>
                <w:szCs w:val="20"/>
                <w:vertAlign w:val="superscript"/>
              </w:rPr>
            </w:pPr>
            <w:proofErr w:type="spellStart"/>
            <w:r w:rsidRPr="001E7454">
              <w:rPr>
                <w:rFonts w:cstheme="minorHAnsi"/>
                <w:b/>
                <w:bCs/>
                <w:sz w:val="20"/>
                <w:szCs w:val="20"/>
              </w:rPr>
              <w:t>Population</w:t>
            </w:r>
            <w:r>
              <w:rPr>
                <w:rFonts w:cstheme="minorHAnsi"/>
                <w:b/>
                <w:bCs/>
                <w:sz w:val="20"/>
                <w:szCs w:val="20"/>
                <w:vertAlign w:val="superscript"/>
              </w:rPr>
              <w:t>c</w:t>
            </w:r>
            <w:proofErr w:type="spellEnd"/>
          </w:p>
        </w:tc>
        <w:tc>
          <w:tcPr>
            <w:tcW w:w="992" w:type="dxa"/>
          </w:tcPr>
          <w:p w14:paraId="12CBEA11" w14:textId="5665C5D5" w:rsidR="00A6415C" w:rsidRPr="001E7454" w:rsidRDefault="00A6415C" w:rsidP="001E7454">
            <w:pPr>
              <w:rPr>
                <w:rFonts w:cstheme="minorHAnsi"/>
                <w:b/>
                <w:bCs/>
                <w:sz w:val="20"/>
                <w:szCs w:val="20"/>
              </w:rPr>
            </w:pPr>
            <w:r w:rsidRPr="001E7454">
              <w:rPr>
                <w:rFonts w:cstheme="minorHAnsi"/>
                <w:b/>
                <w:bCs/>
                <w:sz w:val="20"/>
                <w:szCs w:val="20"/>
              </w:rPr>
              <w:t>S</w:t>
            </w:r>
            <w:r w:rsidR="003A61C0">
              <w:rPr>
                <w:rFonts w:cstheme="minorHAnsi"/>
                <w:b/>
                <w:bCs/>
                <w:sz w:val="20"/>
                <w:szCs w:val="20"/>
              </w:rPr>
              <w:t>hort stature</w:t>
            </w:r>
            <w:r w:rsidRPr="001E7454">
              <w:rPr>
                <w:rFonts w:cstheme="minorHAnsi"/>
                <w:b/>
                <w:bCs/>
                <w:sz w:val="20"/>
                <w:szCs w:val="20"/>
              </w:rPr>
              <w:t xml:space="preserve"> %</w:t>
            </w:r>
            <w:r>
              <w:rPr>
                <w:rFonts w:cstheme="minorHAnsi"/>
                <w:b/>
                <w:bCs/>
                <w:sz w:val="20"/>
                <w:szCs w:val="20"/>
              </w:rPr>
              <w:t xml:space="preserve"> (n)</w:t>
            </w:r>
          </w:p>
        </w:tc>
        <w:tc>
          <w:tcPr>
            <w:tcW w:w="851" w:type="dxa"/>
          </w:tcPr>
          <w:p w14:paraId="33DF5C41" w14:textId="4943989B" w:rsidR="00A6415C" w:rsidRPr="001E7454" w:rsidRDefault="00A6415C" w:rsidP="001E7454">
            <w:pPr>
              <w:rPr>
                <w:rFonts w:cstheme="minorHAnsi"/>
                <w:b/>
                <w:bCs/>
                <w:sz w:val="20"/>
                <w:szCs w:val="20"/>
              </w:rPr>
            </w:pPr>
            <w:proofErr w:type="spellStart"/>
            <w:r w:rsidRPr="001E7454">
              <w:rPr>
                <w:rFonts w:cstheme="minorHAnsi"/>
                <w:b/>
                <w:bCs/>
                <w:sz w:val="20"/>
                <w:szCs w:val="20"/>
              </w:rPr>
              <w:t>RR</w:t>
            </w:r>
            <w:r>
              <w:rPr>
                <w:rFonts w:cstheme="minorHAnsi"/>
                <w:b/>
                <w:bCs/>
                <w:sz w:val="20"/>
                <w:szCs w:val="20"/>
                <w:vertAlign w:val="superscript"/>
              </w:rPr>
              <w:t>d</w:t>
            </w:r>
            <w:proofErr w:type="spellEnd"/>
          </w:p>
        </w:tc>
      </w:tr>
      <w:tr w:rsidR="00A6415C" w:rsidRPr="001E7454" w14:paraId="2ED3C70B" w14:textId="77777777" w:rsidTr="000C65B2">
        <w:tc>
          <w:tcPr>
            <w:tcW w:w="2547" w:type="dxa"/>
          </w:tcPr>
          <w:p w14:paraId="7F819862" w14:textId="7394B520" w:rsidR="00A6415C" w:rsidRPr="004D2BAC" w:rsidRDefault="00A6415C" w:rsidP="001E7454">
            <w:pPr>
              <w:rPr>
                <w:rFonts w:cstheme="minorHAnsi"/>
                <w:sz w:val="20"/>
                <w:szCs w:val="20"/>
              </w:rPr>
            </w:pPr>
            <w:r w:rsidRPr="004D2BAC">
              <w:rPr>
                <w:rFonts w:cstheme="minorHAnsi"/>
                <w:sz w:val="20"/>
                <w:szCs w:val="20"/>
              </w:rPr>
              <w:t>Leicester</w:t>
            </w:r>
          </w:p>
        </w:tc>
        <w:tc>
          <w:tcPr>
            <w:tcW w:w="1417" w:type="dxa"/>
          </w:tcPr>
          <w:p w14:paraId="29BFE4CF" w14:textId="77777777" w:rsidR="00A6415C" w:rsidRPr="001E7454" w:rsidRDefault="00A6415C" w:rsidP="001E7454">
            <w:pPr>
              <w:rPr>
                <w:rFonts w:cstheme="minorHAnsi"/>
                <w:sz w:val="20"/>
                <w:szCs w:val="20"/>
              </w:rPr>
            </w:pPr>
            <w:r w:rsidRPr="001E7454">
              <w:rPr>
                <w:rFonts w:cstheme="minorHAnsi"/>
                <w:sz w:val="20"/>
                <w:szCs w:val="20"/>
              </w:rPr>
              <w:t>East Midlands</w:t>
            </w:r>
          </w:p>
        </w:tc>
        <w:tc>
          <w:tcPr>
            <w:tcW w:w="1134" w:type="dxa"/>
          </w:tcPr>
          <w:p w14:paraId="3A07EFAC" w14:textId="196367FB" w:rsidR="00A6415C" w:rsidRDefault="00A6415C" w:rsidP="001E7454">
            <w:pPr>
              <w:rPr>
                <w:rFonts w:cstheme="minorHAnsi"/>
                <w:sz w:val="20"/>
                <w:szCs w:val="20"/>
              </w:rPr>
            </w:pPr>
            <w:r w:rsidRPr="001E7454">
              <w:rPr>
                <w:rFonts w:cstheme="minorHAnsi"/>
                <w:sz w:val="20"/>
                <w:szCs w:val="20"/>
              </w:rPr>
              <w:t>41</w:t>
            </w:r>
            <w:r>
              <w:rPr>
                <w:rFonts w:cstheme="minorHAnsi"/>
                <w:sz w:val="20"/>
                <w:szCs w:val="20"/>
              </w:rPr>
              <w:t xml:space="preserve"> </w:t>
            </w:r>
          </w:p>
          <w:p w14:paraId="41B9A0C2" w14:textId="48CD851D" w:rsidR="003A3798" w:rsidRPr="001E7454" w:rsidRDefault="003A3798" w:rsidP="001E7454">
            <w:pPr>
              <w:rPr>
                <w:rFonts w:cstheme="minorHAnsi"/>
                <w:sz w:val="20"/>
                <w:szCs w:val="20"/>
              </w:rPr>
            </w:pPr>
            <w:r>
              <w:rPr>
                <w:rFonts w:cstheme="minorHAnsi"/>
                <w:sz w:val="20"/>
                <w:szCs w:val="20"/>
              </w:rPr>
              <w:t>(20,737)</w:t>
            </w:r>
          </w:p>
        </w:tc>
        <w:tc>
          <w:tcPr>
            <w:tcW w:w="1134" w:type="dxa"/>
          </w:tcPr>
          <w:p w14:paraId="35299468" w14:textId="0054336D" w:rsidR="00A6415C" w:rsidRPr="001E7454" w:rsidRDefault="00A6415C" w:rsidP="001E7454">
            <w:pPr>
              <w:rPr>
                <w:rFonts w:cstheme="minorHAnsi"/>
                <w:sz w:val="20"/>
                <w:szCs w:val="20"/>
              </w:rPr>
            </w:pPr>
            <w:r w:rsidRPr="001E7454">
              <w:rPr>
                <w:rFonts w:cstheme="minorHAnsi"/>
                <w:sz w:val="20"/>
                <w:szCs w:val="20"/>
              </w:rPr>
              <w:t>2.9</w:t>
            </w:r>
            <w:r w:rsidR="00660E5F">
              <w:rPr>
                <w:rFonts w:cstheme="minorHAnsi"/>
                <w:sz w:val="20"/>
                <w:szCs w:val="20"/>
              </w:rPr>
              <w:t xml:space="preserve"> </w:t>
            </w:r>
            <w:r w:rsidRPr="001E7454">
              <w:rPr>
                <w:rFonts w:cstheme="minorHAnsi"/>
                <w:sz w:val="20"/>
                <w:szCs w:val="20"/>
              </w:rPr>
              <w:t>(</w:t>
            </w:r>
            <w:r w:rsidR="00D772B2">
              <w:rPr>
                <w:rFonts w:cstheme="minorHAnsi"/>
                <w:sz w:val="20"/>
                <w:szCs w:val="20"/>
              </w:rPr>
              <w:t>2.0</w:t>
            </w:r>
            <w:r w:rsidRPr="001E7454">
              <w:rPr>
                <w:rFonts w:cstheme="minorHAnsi"/>
                <w:sz w:val="20"/>
                <w:szCs w:val="20"/>
              </w:rPr>
              <w:t>)</w:t>
            </w:r>
          </w:p>
        </w:tc>
        <w:tc>
          <w:tcPr>
            <w:tcW w:w="1276" w:type="dxa"/>
          </w:tcPr>
          <w:p w14:paraId="172F1953" w14:textId="77777777" w:rsidR="00A6415C" w:rsidRPr="001E7454" w:rsidRDefault="00A6415C" w:rsidP="001E7454">
            <w:pPr>
              <w:rPr>
                <w:rFonts w:cstheme="minorHAnsi"/>
                <w:sz w:val="20"/>
                <w:szCs w:val="20"/>
              </w:rPr>
            </w:pPr>
            <w:r w:rsidRPr="001E7454">
              <w:rPr>
                <w:rFonts w:cstheme="minorHAnsi"/>
                <w:sz w:val="20"/>
                <w:szCs w:val="20"/>
              </w:rPr>
              <w:t>50,088</w:t>
            </w:r>
          </w:p>
        </w:tc>
        <w:tc>
          <w:tcPr>
            <w:tcW w:w="992" w:type="dxa"/>
          </w:tcPr>
          <w:p w14:paraId="47E5334A" w14:textId="1E729EEF" w:rsidR="00A6415C" w:rsidRDefault="00A6415C" w:rsidP="001E7454">
            <w:pPr>
              <w:rPr>
                <w:rFonts w:cstheme="minorHAnsi"/>
                <w:sz w:val="20"/>
                <w:szCs w:val="20"/>
              </w:rPr>
            </w:pPr>
            <w:r w:rsidRPr="001E7454">
              <w:rPr>
                <w:rFonts w:cstheme="minorHAnsi"/>
                <w:sz w:val="20"/>
                <w:szCs w:val="20"/>
              </w:rPr>
              <w:t>3.1</w:t>
            </w:r>
          </w:p>
          <w:p w14:paraId="04EB39D5" w14:textId="52DC51CE" w:rsidR="00486E8B" w:rsidRPr="001E7454" w:rsidRDefault="00486E8B" w:rsidP="001E7454">
            <w:pPr>
              <w:rPr>
                <w:rFonts w:cstheme="minorHAnsi"/>
                <w:sz w:val="20"/>
                <w:szCs w:val="20"/>
              </w:rPr>
            </w:pPr>
            <w:r>
              <w:rPr>
                <w:rFonts w:cstheme="minorHAnsi"/>
                <w:sz w:val="20"/>
                <w:szCs w:val="20"/>
              </w:rPr>
              <w:t>(1,551)</w:t>
            </w:r>
          </w:p>
        </w:tc>
        <w:tc>
          <w:tcPr>
            <w:tcW w:w="851" w:type="dxa"/>
          </w:tcPr>
          <w:p w14:paraId="4F164817" w14:textId="77777777" w:rsidR="00A6415C" w:rsidRPr="001E7454" w:rsidRDefault="00A6415C" w:rsidP="001E7454">
            <w:pPr>
              <w:rPr>
                <w:rFonts w:cstheme="minorHAnsi"/>
                <w:sz w:val="20"/>
                <w:szCs w:val="20"/>
              </w:rPr>
            </w:pPr>
            <w:r w:rsidRPr="001E7454">
              <w:rPr>
                <w:rFonts w:cstheme="minorHAnsi"/>
                <w:sz w:val="20"/>
                <w:szCs w:val="20"/>
              </w:rPr>
              <w:t>1.50</w:t>
            </w:r>
          </w:p>
        </w:tc>
      </w:tr>
      <w:tr w:rsidR="00A6415C" w:rsidRPr="001E7454" w14:paraId="3D8B9DC0" w14:textId="77777777" w:rsidTr="000C65B2">
        <w:tc>
          <w:tcPr>
            <w:tcW w:w="2547" w:type="dxa"/>
          </w:tcPr>
          <w:p w14:paraId="0D87CC90" w14:textId="3BEF5EE2" w:rsidR="00A6415C" w:rsidRPr="00816F2D" w:rsidRDefault="00A6415C" w:rsidP="001E7454">
            <w:pPr>
              <w:rPr>
                <w:rFonts w:cstheme="minorHAnsi"/>
                <w:sz w:val="20"/>
                <w:szCs w:val="20"/>
              </w:rPr>
            </w:pPr>
            <w:r w:rsidRPr="004D2BAC">
              <w:rPr>
                <w:rFonts w:cstheme="minorHAnsi"/>
                <w:sz w:val="20"/>
                <w:szCs w:val="20"/>
              </w:rPr>
              <w:t>Great Yarmouth</w:t>
            </w:r>
            <w:r w:rsidRPr="00816F2D">
              <w:rPr>
                <w:rFonts w:cstheme="minorHAnsi"/>
                <w:sz w:val="20"/>
                <w:szCs w:val="20"/>
              </w:rPr>
              <w:t>, Norwich</w:t>
            </w:r>
          </w:p>
        </w:tc>
        <w:tc>
          <w:tcPr>
            <w:tcW w:w="1417" w:type="dxa"/>
          </w:tcPr>
          <w:p w14:paraId="2DBF6271" w14:textId="77777777" w:rsidR="00A6415C" w:rsidRPr="001E7454" w:rsidRDefault="00A6415C" w:rsidP="001E7454">
            <w:pPr>
              <w:rPr>
                <w:rFonts w:cstheme="minorHAnsi"/>
                <w:sz w:val="20"/>
                <w:szCs w:val="20"/>
              </w:rPr>
            </w:pPr>
            <w:r w:rsidRPr="001E7454">
              <w:rPr>
                <w:rFonts w:cstheme="minorHAnsi"/>
                <w:sz w:val="20"/>
                <w:szCs w:val="20"/>
              </w:rPr>
              <w:t>East of England</w:t>
            </w:r>
          </w:p>
        </w:tc>
        <w:tc>
          <w:tcPr>
            <w:tcW w:w="1134" w:type="dxa"/>
          </w:tcPr>
          <w:p w14:paraId="390D9FE9" w14:textId="2E47EAC0" w:rsidR="00A6415C" w:rsidRDefault="00A6415C" w:rsidP="001E7454">
            <w:pPr>
              <w:rPr>
                <w:rFonts w:cstheme="minorHAnsi"/>
                <w:sz w:val="20"/>
                <w:szCs w:val="20"/>
              </w:rPr>
            </w:pPr>
            <w:r w:rsidRPr="001E7454">
              <w:rPr>
                <w:rFonts w:cstheme="minorHAnsi"/>
                <w:sz w:val="20"/>
                <w:szCs w:val="20"/>
              </w:rPr>
              <w:t>90</w:t>
            </w:r>
          </w:p>
          <w:p w14:paraId="22305062" w14:textId="288F51A8" w:rsidR="00F572F2" w:rsidRPr="001E7454" w:rsidRDefault="00F572F2" w:rsidP="001E7454">
            <w:pPr>
              <w:rPr>
                <w:rFonts w:cstheme="minorHAnsi"/>
                <w:sz w:val="20"/>
                <w:szCs w:val="20"/>
              </w:rPr>
            </w:pPr>
            <w:r>
              <w:rPr>
                <w:rFonts w:cstheme="minorHAnsi"/>
                <w:sz w:val="20"/>
                <w:szCs w:val="20"/>
              </w:rPr>
              <w:t>(25,098)</w:t>
            </w:r>
          </w:p>
        </w:tc>
        <w:tc>
          <w:tcPr>
            <w:tcW w:w="1134" w:type="dxa"/>
          </w:tcPr>
          <w:p w14:paraId="3D005AE5" w14:textId="685E5E41" w:rsidR="00A6415C" w:rsidRPr="001E7454" w:rsidRDefault="00A6415C" w:rsidP="00A9607C">
            <w:pPr>
              <w:rPr>
                <w:rFonts w:cstheme="minorHAnsi"/>
                <w:sz w:val="20"/>
                <w:szCs w:val="20"/>
              </w:rPr>
            </w:pPr>
            <w:r w:rsidRPr="001E7454">
              <w:rPr>
                <w:rFonts w:cstheme="minorHAnsi"/>
                <w:sz w:val="20"/>
                <w:szCs w:val="20"/>
              </w:rPr>
              <w:t>3.</w:t>
            </w:r>
            <w:r w:rsidR="00D772B2">
              <w:rPr>
                <w:rFonts w:cstheme="minorHAnsi"/>
                <w:sz w:val="20"/>
                <w:szCs w:val="20"/>
              </w:rPr>
              <w:t>7</w:t>
            </w:r>
            <w:r w:rsidR="00660E5F">
              <w:rPr>
                <w:rFonts w:cstheme="minorHAnsi"/>
                <w:sz w:val="20"/>
                <w:szCs w:val="20"/>
              </w:rPr>
              <w:t xml:space="preserve"> </w:t>
            </w:r>
            <w:r w:rsidRPr="001E7454">
              <w:rPr>
                <w:rFonts w:cstheme="minorHAnsi"/>
                <w:sz w:val="20"/>
                <w:szCs w:val="20"/>
              </w:rPr>
              <w:t>(2.5)</w:t>
            </w:r>
          </w:p>
        </w:tc>
        <w:tc>
          <w:tcPr>
            <w:tcW w:w="1276" w:type="dxa"/>
          </w:tcPr>
          <w:p w14:paraId="51ABE7F8" w14:textId="77777777" w:rsidR="00A6415C" w:rsidRPr="001E7454" w:rsidRDefault="00A6415C" w:rsidP="001E7454">
            <w:pPr>
              <w:rPr>
                <w:rFonts w:cstheme="minorHAnsi"/>
                <w:sz w:val="20"/>
                <w:szCs w:val="20"/>
              </w:rPr>
            </w:pPr>
            <w:r w:rsidRPr="001E7454">
              <w:rPr>
                <w:rFonts w:cstheme="minorHAnsi"/>
                <w:sz w:val="20"/>
                <w:szCs w:val="20"/>
              </w:rPr>
              <w:t>27,793</w:t>
            </w:r>
          </w:p>
        </w:tc>
        <w:tc>
          <w:tcPr>
            <w:tcW w:w="992" w:type="dxa"/>
          </w:tcPr>
          <w:p w14:paraId="5A6F3993" w14:textId="2A5FD7AD" w:rsidR="00A6415C" w:rsidRDefault="00A6415C" w:rsidP="001E7454">
            <w:pPr>
              <w:rPr>
                <w:rFonts w:cstheme="minorHAnsi"/>
                <w:sz w:val="20"/>
                <w:szCs w:val="20"/>
              </w:rPr>
            </w:pPr>
            <w:r w:rsidRPr="001E7454">
              <w:rPr>
                <w:rFonts w:cstheme="minorHAnsi"/>
                <w:sz w:val="20"/>
                <w:szCs w:val="20"/>
              </w:rPr>
              <w:t>2.8</w:t>
            </w:r>
          </w:p>
          <w:p w14:paraId="4AEEFAB2" w14:textId="2E916C60" w:rsidR="00476658" w:rsidRPr="001E7454" w:rsidRDefault="00476658" w:rsidP="001E7454">
            <w:pPr>
              <w:rPr>
                <w:rFonts w:cstheme="minorHAnsi"/>
                <w:sz w:val="20"/>
                <w:szCs w:val="20"/>
              </w:rPr>
            </w:pPr>
            <w:r>
              <w:rPr>
                <w:rFonts w:cstheme="minorHAnsi"/>
                <w:sz w:val="20"/>
                <w:szCs w:val="20"/>
              </w:rPr>
              <w:t>(783)</w:t>
            </w:r>
          </w:p>
        </w:tc>
        <w:tc>
          <w:tcPr>
            <w:tcW w:w="851" w:type="dxa"/>
          </w:tcPr>
          <w:p w14:paraId="4D146431" w14:textId="77777777" w:rsidR="00A6415C" w:rsidRPr="001E7454" w:rsidRDefault="00A6415C" w:rsidP="001E7454">
            <w:pPr>
              <w:rPr>
                <w:rFonts w:cstheme="minorHAnsi"/>
                <w:sz w:val="20"/>
                <w:szCs w:val="20"/>
              </w:rPr>
            </w:pPr>
            <w:r w:rsidRPr="001E7454">
              <w:rPr>
                <w:rFonts w:cstheme="minorHAnsi"/>
                <w:sz w:val="20"/>
                <w:szCs w:val="20"/>
              </w:rPr>
              <w:t>1.36</w:t>
            </w:r>
          </w:p>
        </w:tc>
      </w:tr>
      <w:tr w:rsidR="00A6415C" w:rsidRPr="001E7454" w14:paraId="28DF0CEC" w14:textId="77777777" w:rsidTr="000C65B2">
        <w:tc>
          <w:tcPr>
            <w:tcW w:w="2547" w:type="dxa"/>
          </w:tcPr>
          <w:p w14:paraId="302FB494" w14:textId="77777777" w:rsidR="00A6415C" w:rsidRPr="004D2BAC" w:rsidRDefault="00A6415C" w:rsidP="001E7454">
            <w:pPr>
              <w:rPr>
                <w:rFonts w:cstheme="minorHAnsi"/>
                <w:sz w:val="20"/>
                <w:szCs w:val="20"/>
              </w:rPr>
            </w:pPr>
            <w:r w:rsidRPr="004D2BAC">
              <w:rPr>
                <w:rFonts w:cstheme="minorHAnsi"/>
                <w:sz w:val="20"/>
                <w:szCs w:val="20"/>
              </w:rPr>
              <w:t>Brent</w:t>
            </w:r>
          </w:p>
        </w:tc>
        <w:tc>
          <w:tcPr>
            <w:tcW w:w="1417" w:type="dxa"/>
          </w:tcPr>
          <w:p w14:paraId="312F65D6" w14:textId="77777777" w:rsidR="00A6415C" w:rsidRPr="001E7454" w:rsidRDefault="00A6415C" w:rsidP="001E7454">
            <w:pPr>
              <w:rPr>
                <w:rFonts w:cstheme="minorHAnsi"/>
                <w:sz w:val="20"/>
                <w:szCs w:val="20"/>
              </w:rPr>
            </w:pPr>
            <w:r w:rsidRPr="001E7454">
              <w:rPr>
                <w:rFonts w:cstheme="minorHAnsi"/>
                <w:sz w:val="20"/>
                <w:szCs w:val="20"/>
              </w:rPr>
              <w:t>London</w:t>
            </w:r>
          </w:p>
        </w:tc>
        <w:tc>
          <w:tcPr>
            <w:tcW w:w="1134" w:type="dxa"/>
          </w:tcPr>
          <w:p w14:paraId="646E2A11" w14:textId="39E1D852" w:rsidR="00A6415C" w:rsidRDefault="00A6415C" w:rsidP="001E7454">
            <w:pPr>
              <w:rPr>
                <w:rFonts w:cstheme="minorHAnsi"/>
                <w:sz w:val="20"/>
                <w:szCs w:val="20"/>
              </w:rPr>
            </w:pPr>
            <w:r w:rsidRPr="001E7454">
              <w:rPr>
                <w:rFonts w:cstheme="minorHAnsi"/>
                <w:sz w:val="20"/>
                <w:szCs w:val="20"/>
              </w:rPr>
              <w:t>25</w:t>
            </w:r>
          </w:p>
          <w:p w14:paraId="026294F1" w14:textId="23370660" w:rsidR="00F572F2" w:rsidRPr="001E7454" w:rsidRDefault="00F572F2" w:rsidP="001E7454">
            <w:pPr>
              <w:rPr>
                <w:rFonts w:cstheme="minorHAnsi"/>
                <w:sz w:val="20"/>
                <w:szCs w:val="20"/>
              </w:rPr>
            </w:pPr>
            <w:r>
              <w:rPr>
                <w:rFonts w:cstheme="minorHAnsi"/>
                <w:sz w:val="20"/>
                <w:szCs w:val="20"/>
              </w:rPr>
              <w:t>(35,997)</w:t>
            </w:r>
          </w:p>
        </w:tc>
        <w:tc>
          <w:tcPr>
            <w:tcW w:w="1134" w:type="dxa"/>
          </w:tcPr>
          <w:p w14:paraId="4EF84E04" w14:textId="120BD9D3" w:rsidR="00A6415C" w:rsidRPr="001E7454" w:rsidRDefault="00A6415C" w:rsidP="00A9607C">
            <w:pPr>
              <w:rPr>
                <w:rFonts w:cstheme="minorHAnsi"/>
                <w:sz w:val="20"/>
                <w:szCs w:val="20"/>
              </w:rPr>
            </w:pPr>
            <w:r w:rsidRPr="001E7454">
              <w:rPr>
                <w:rFonts w:cstheme="minorHAnsi"/>
                <w:sz w:val="20"/>
                <w:szCs w:val="20"/>
              </w:rPr>
              <w:t>3.3</w:t>
            </w:r>
            <w:r w:rsidR="00660E5F">
              <w:rPr>
                <w:rFonts w:cstheme="minorHAnsi"/>
                <w:sz w:val="20"/>
                <w:szCs w:val="20"/>
              </w:rPr>
              <w:t xml:space="preserve"> </w:t>
            </w:r>
            <w:r w:rsidRPr="001E7454">
              <w:rPr>
                <w:rFonts w:cstheme="minorHAnsi"/>
                <w:sz w:val="20"/>
                <w:szCs w:val="20"/>
              </w:rPr>
              <w:t>(1.</w:t>
            </w:r>
            <w:r w:rsidR="00D772B2">
              <w:rPr>
                <w:rFonts w:cstheme="minorHAnsi"/>
                <w:sz w:val="20"/>
                <w:szCs w:val="20"/>
              </w:rPr>
              <w:t>6</w:t>
            </w:r>
            <w:r w:rsidRPr="001E7454">
              <w:rPr>
                <w:rFonts w:cstheme="minorHAnsi"/>
                <w:sz w:val="20"/>
                <w:szCs w:val="20"/>
              </w:rPr>
              <w:t>)</w:t>
            </w:r>
          </w:p>
        </w:tc>
        <w:tc>
          <w:tcPr>
            <w:tcW w:w="1276" w:type="dxa"/>
          </w:tcPr>
          <w:p w14:paraId="26D5D4D5" w14:textId="77777777" w:rsidR="00A6415C" w:rsidRPr="001E7454" w:rsidRDefault="00A6415C" w:rsidP="001E7454">
            <w:pPr>
              <w:rPr>
                <w:rFonts w:cstheme="minorHAnsi"/>
                <w:sz w:val="20"/>
                <w:szCs w:val="20"/>
              </w:rPr>
            </w:pPr>
            <w:r w:rsidRPr="001E7454">
              <w:rPr>
                <w:rFonts w:cstheme="minorHAnsi"/>
                <w:sz w:val="20"/>
                <w:szCs w:val="20"/>
              </w:rPr>
              <w:t>35,997</w:t>
            </w:r>
          </w:p>
        </w:tc>
        <w:tc>
          <w:tcPr>
            <w:tcW w:w="992" w:type="dxa"/>
          </w:tcPr>
          <w:p w14:paraId="272943E1" w14:textId="05BBFBBB" w:rsidR="00A6415C" w:rsidRDefault="00A6415C" w:rsidP="001E7454">
            <w:pPr>
              <w:rPr>
                <w:rFonts w:cstheme="minorHAnsi"/>
                <w:sz w:val="20"/>
                <w:szCs w:val="20"/>
              </w:rPr>
            </w:pPr>
            <w:r w:rsidRPr="001E7454">
              <w:rPr>
                <w:rFonts w:cstheme="minorHAnsi"/>
                <w:sz w:val="20"/>
                <w:szCs w:val="20"/>
              </w:rPr>
              <w:t>2.8</w:t>
            </w:r>
          </w:p>
          <w:p w14:paraId="7452C000" w14:textId="5DEF5D07" w:rsidR="00476658" w:rsidRPr="001E7454" w:rsidRDefault="00476658" w:rsidP="001E7454">
            <w:pPr>
              <w:rPr>
                <w:rFonts w:cstheme="minorHAnsi"/>
                <w:sz w:val="20"/>
                <w:szCs w:val="20"/>
              </w:rPr>
            </w:pPr>
            <w:r>
              <w:rPr>
                <w:rFonts w:cstheme="minorHAnsi"/>
                <w:sz w:val="20"/>
                <w:szCs w:val="20"/>
              </w:rPr>
              <w:t>(1,002)</w:t>
            </w:r>
          </w:p>
        </w:tc>
        <w:tc>
          <w:tcPr>
            <w:tcW w:w="851" w:type="dxa"/>
          </w:tcPr>
          <w:p w14:paraId="259CAAED" w14:textId="77777777" w:rsidR="00A6415C" w:rsidRPr="001E7454" w:rsidRDefault="00A6415C" w:rsidP="001E7454">
            <w:pPr>
              <w:rPr>
                <w:rFonts w:cstheme="minorHAnsi"/>
                <w:sz w:val="20"/>
                <w:szCs w:val="20"/>
              </w:rPr>
            </w:pPr>
            <w:r w:rsidRPr="001E7454">
              <w:rPr>
                <w:rFonts w:cstheme="minorHAnsi"/>
                <w:sz w:val="20"/>
                <w:szCs w:val="20"/>
              </w:rPr>
              <w:t>1.34</w:t>
            </w:r>
          </w:p>
        </w:tc>
      </w:tr>
      <w:tr w:rsidR="00A6415C" w:rsidRPr="001E7454" w14:paraId="43701559" w14:textId="77777777" w:rsidTr="000C65B2">
        <w:tc>
          <w:tcPr>
            <w:tcW w:w="2547" w:type="dxa"/>
          </w:tcPr>
          <w:p w14:paraId="0FFF8890" w14:textId="2436C2D1" w:rsidR="00A6415C" w:rsidRPr="00816F2D" w:rsidRDefault="00A6415C" w:rsidP="001E7454">
            <w:pPr>
              <w:rPr>
                <w:rFonts w:cstheme="minorHAnsi"/>
                <w:sz w:val="20"/>
                <w:szCs w:val="20"/>
              </w:rPr>
            </w:pPr>
            <w:r w:rsidRPr="004D2BAC">
              <w:rPr>
                <w:rFonts w:cstheme="minorHAnsi"/>
                <w:sz w:val="20"/>
                <w:szCs w:val="20"/>
              </w:rPr>
              <w:t>Tower Hamlets</w:t>
            </w:r>
            <w:r w:rsidRPr="00816F2D">
              <w:rPr>
                <w:rFonts w:cstheme="minorHAnsi"/>
                <w:sz w:val="20"/>
                <w:szCs w:val="20"/>
              </w:rPr>
              <w:t>, Newham, Hackney</w:t>
            </w:r>
          </w:p>
        </w:tc>
        <w:tc>
          <w:tcPr>
            <w:tcW w:w="1417" w:type="dxa"/>
          </w:tcPr>
          <w:p w14:paraId="5926B315" w14:textId="77777777" w:rsidR="00A6415C" w:rsidRPr="001E7454" w:rsidRDefault="00A6415C" w:rsidP="001E7454">
            <w:pPr>
              <w:rPr>
                <w:rFonts w:cstheme="minorHAnsi"/>
                <w:sz w:val="20"/>
                <w:szCs w:val="20"/>
              </w:rPr>
            </w:pPr>
            <w:r w:rsidRPr="001E7454">
              <w:rPr>
                <w:rFonts w:cstheme="minorHAnsi"/>
                <w:sz w:val="20"/>
                <w:szCs w:val="20"/>
              </w:rPr>
              <w:t>London</w:t>
            </w:r>
          </w:p>
        </w:tc>
        <w:tc>
          <w:tcPr>
            <w:tcW w:w="1134" w:type="dxa"/>
          </w:tcPr>
          <w:p w14:paraId="53392BE9" w14:textId="17B4FAB2" w:rsidR="00A6415C" w:rsidRDefault="00A6415C" w:rsidP="001E7454">
            <w:pPr>
              <w:rPr>
                <w:rFonts w:cstheme="minorHAnsi"/>
                <w:sz w:val="20"/>
                <w:szCs w:val="20"/>
              </w:rPr>
            </w:pPr>
            <w:r w:rsidRPr="001E7454">
              <w:rPr>
                <w:rFonts w:cstheme="minorHAnsi"/>
                <w:sz w:val="20"/>
                <w:szCs w:val="20"/>
              </w:rPr>
              <w:t>22</w:t>
            </w:r>
          </w:p>
          <w:p w14:paraId="3CB1245D" w14:textId="088E4F8F" w:rsidR="003C53E9" w:rsidRPr="001E7454" w:rsidRDefault="003C53E9" w:rsidP="001E7454">
            <w:pPr>
              <w:rPr>
                <w:rFonts w:cstheme="minorHAnsi"/>
                <w:sz w:val="20"/>
                <w:szCs w:val="20"/>
              </w:rPr>
            </w:pPr>
            <w:r>
              <w:rPr>
                <w:rFonts w:cstheme="minorHAnsi"/>
                <w:sz w:val="20"/>
                <w:szCs w:val="20"/>
              </w:rPr>
              <w:t>(26,020)</w:t>
            </w:r>
          </w:p>
        </w:tc>
        <w:tc>
          <w:tcPr>
            <w:tcW w:w="1134" w:type="dxa"/>
          </w:tcPr>
          <w:p w14:paraId="72CCE7A9" w14:textId="61D3D7E6" w:rsidR="00A6415C" w:rsidRPr="001E7454" w:rsidRDefault="00A6415C" w:rsidP="001137D1">
            <w:pPr>
              <w:rPr>
                <w:rFonts w:cstheme="minorHAnsi"/>
                <w:sz w:val="20"/>
                <w:szCs w:val="20"/>
              </w:rPr>
            </w:pPr>
            <w:r w:rsidRPr="001E7454">
              <w:rPr>
                <w:rFonts w:cstheme="minorHAnsi"/>
                <w:sz w:val="20"/>
                <w:szCs w:val="20"/>
              </w:rPr>
              <w:t>2.</w:t>
            </w:r>
            <w:r w:rsidR="00D772B2">
              <w:rPr>
                <w:rFonts w:cstheme="minorHAnsi"/>
                <w:sz w:val="20"/>
                <w:szCs w:val="20"/>
              </w:rPr>
              <w:t>1</w:t>
            </w:r>
            <w:r w:rsidRPr="001E7454">
              <w:rPr>
                <w:rFonts w:cstheme="minorHAnsi"/>
                <w:sz w:val="20"/>
                <w:szCs w:val="20"/>
              </w:rPr>
              <w:t xml:space="preserve"> (1.1)</w:t>
            </w:r>
          </w:p>
        </w:tc>
        <w:tc>
          <w:tcPr>
            <w:tcW w:w="1276" w:type="dxa"/>
          </w:tcPr>
          <w:p w14:paraId="39E04378" w14:textId="77777777" w:rsidR="00A6415C" w:rsidRPr="001E7454" w:rsidRDefault="00A6415C" w:rsidP="001E7454">
            <w:pPr>
              <w:rPr>
                <w:rFonts w:cstheme="minorHAnsi"/>
                <w:sz w:val="20"/>
                <w:szCs w:val="20"/>
              </w:rPr>
            </w:pPr>
            <w:r w:rsidRPr="001E7454">
              <w:rPr>
                <w:rFonts w:cstheme="minorHAnsi"/>
                <w:sz w:val="20"/>
                <w:szCs w:val="20"/>
              </w:rPr>
              <w:t>116,778</w:t>
            </w:r>
          </w:p>
        </w:tc>
        <w:tc>
          <w:tcPr>
            <w:tcW w:w="992" w:type="dxa"/>
          </w:tcPr>
          <w:p w14:paraId="0C361554" w14:textId="15023644" w:rsidR="00A6415C" w:rsidRDefault="00A6415C" w:rsidP="001E7454">
            <w:pPr>
              <w:rPr>
                <w:rFonts w:cstheme="minorHAnsi"/>
                <w:sz w:val="20"/>
                <w:szCs w:val="20"/>
              </w:rPr>
            </w:pPr>
            <w:r w:rsidRPr="001E7454">
              <w:rPr>
                <w:rFonts w:cstheme="minorHAnsi"/>
                <w:sz w:val="20"/>
                <w:szCs w:val="20"/>
              </w:rPr>
              <w:t>2.6</w:t>
            </w:r>
          </w:p>
          <w:p w14:paraId="6B891CD8" w14:textId="49C9BBEC" w:rsidR="00E1352D" w:rsidRPr="001E7454" w:rsidRDefault="00E1352D" w:rsidP="001E7454">
            <w:pPr>
              <w:rPr>
                <w:rFonts w:cstheme="minorHAnsi"/>
                <w:sz w:val="20"/>
                <w:szCs w:val="20"/>
              </w:rPr>
            </w:pPr>
            <w:r>
              <w:rPr>
                <w:rFonts w:cstheme="minorHAnsi"/>
                <w:sz w:val="20"/>
                <w:szCs w:val="20"/>
              </w:rPr>
              <w:t>(3,083)</w:t>
            </w:r>
          </w:p>
        </w:tc>
        <w:tc>
          <w:tcPr>
            <w:tcW w:w="851" w:type="dxa"/>
          </w:tcPr>
          <w:p w14:paraId="06248AE6" w14:textId="77777777" w:rsidR="00A6415C" w:rsidRPr="001E7454" w:rsidRDefault="00A6415C" w:rsidP="001E7454">
            <w:pPr>
              <w:rPr>
                <w:rFonts w:cstheme="minorHAnsi"/>
                <w:sz w:val="20"/>
                <w:szCs w:val="20"/>
              </w:rPr>
            </w:pPr>
            <w:r w:rsidRPr="001E7454">
              <w:rPr>
                <w:rFonts w:cstheme="minorHAnsi"/>
                <w:sz w:val="20"/>
                <w:szCs w:val="20"/>
              </w:rPr>
              <w:t>1.28</w:t>
            </w:r>
          </w:p>
        </w:tc>
      </w:tr>
      <w:tr w:rsidR="00A6415C" w:rsidRPr="001E7454" w14:paraId="0302BEEB" w14:textId="77777777" w:rsidTr="000C65B2">
        <w:tc>
          <w:tcPr>
            <w:tcW w:w="2547" w:type="dxa"/>
          </w:tcPr>
          <w:p w14:paraId="3DEFDFA2" w14:textId="77777777" w:rsidR="00A6415C" w:rsidRPr="004D2BAC" w:rsidRDefault="00A6415C" w:rsidP="001E7454">
            <w:pPr>
              <w:rPr>
                <w:rFonts w:cstheme="minorHAnsi"/>
                <w:sz w:val="20"/>
                <w:szCs w:val="20"/>
              </w:rPr>
            </w:pPr>
            <w:r w:rsidRPr="004D2BAC">
              <w:rPr>
                <w:rFonts w:cstheme="minorHAnsi"/>
                <w:sz w:val="20"/>
                <w:szCs w:val="20"/>
              </w:rPr>
              <w:t>Gateshead, Newcastle upon Tyne</w:t>
            </w:r>
          </w:p>
        </w:tc>
        <w:tc>
          <w:tcPr>
            <w:tcW w:w="1417" w:type="dxa"/>
          </w:tcPr>
          <w:p w14:paraId="36631DB2" w14:textId="77777777" w:rsidR="00A6415C" w:rsidRPr="001E7454" w:rsidRDefault="00A6415C" w:rsidP="001E7454">
            <w:pPr>
              <w:rPr>
                <w:rFonts w:cstheme="minorHAnsi"/>
                <w:sz w:val="20"/>
                <w:szCs w:val="20"/>
              </w:rPr>
            </w:pPr>
            <w:proofErr w:type="gramStart"/>
            <w:r w:rsidRPr="001E7454">
              <w:rPr>
                <w:rFonts w:cstheme="minorHAnsi"/>
                <w:sz w:val="20"/>
                <w:szCs w:val="20"/>
              </w:rPr>
              <w:t>North East</w:t>
            </w:r>
            <w:proofErr w:type="gramEnd"/>
          </w:p>
        </w:tc>
        <w:tc>
          <w:tcPr>
            <w:tcW w:w="1134" w:type="dxa"/>
          </w:tcPr>
          <w:p w14:paraId="2FC66B42" w14:textId="10E879A4" w:rsidR="00A6415C" w:rsidRDefault="00A6415C" w:rsidP="001E7454">
            <w:pPr>
              <w:rPr>
                <w:rFonts w:cstheme="minorHAnsi"/>
                <w:sz w:val="20"/>
                <w:szCs w:val="20"/>
              </w:rPr>
            </w:pPr>
            <w:r w:rsidRPr="001E7454">
              <w:rPr>
                <w:rFonts w:cstheme="minorHAnsi"/>
                <w:sz w:val="20"/>
                <w:szCs w:val="20"/>
              </w:rPr>
              <w:t>8</w:t>
            </w:r>
            <w:r>
              <w:rPr>
                <w:rFonts w:cstheme="minorHAnsi"/>
                <w:sz w:val="20"/>
                <w:szCs w:val="20"/>
              </w:rPr>
              <w:t>1</w:t>
            </w:r>
          </w:p>
          <w:p w14:paraId="13771952" w14:textId="058FA6D5" w:rsidR="00F572F2" w:rsidRPr="001E7454" w:rsidRDefault="00F572F2" w:rsidP="001E7454">
            <w:pPr>
              <w:rPr>
                <w:rFonts w:cstheme="minorHAnsi"/>
                <w:sz w:val="20"/>
                <w:szCs w:val="20"/>
              </w:rPr>
            </w:pPr>
            <w:r>
              <w:rPr>
                <w:rFonts w:cstheme="minorHAnsi"/>
                <w:sz w:val="20"/>
                <w:szCs w:val="20"/>
              </w:rPr>
              <w:t>(32,907)</w:t>
            </w:r>
          </w:p>
        </w:tc>
        <w:tc>
          <w:tcPr>
            <w:tcW w:w="1134" w:type="dxa"/>
          </w:tcPr>
          <w:p w14:paraId="5B132898" w14:textId="1FDFAAAD" w:rsidR="00A6415C" w:rsidRPr="001E7454" w:rsidRDefault="00A6415C" w:rsidP="001137D1">
            <w:pPr>
              <w:rPr>
                <w:rFonts w:cstheme="minorHAnsi"/>
                <w:sz w:val="20"/>
                <w:szCs w:val="20"/>
              </w:rPr>
            </w:pPr>
            <w:r w:rsidRPr="001E7454">
              <w:rPr>
                <w:rFonts w:cstheme="minorHAnsi"/>
                <w:sz w:val="20"/>
                <w:szCs w:val="20"/>
              </w:rPr>
              <w:t>3.</w:t>
            </w:r>
            <w:r w:rsidR="00D772B2">
              <w:rPr>
                <w:rFonts w:cstheme="minorHAnsi"/>
                <w:sz w:val="20"/>
                <w:szCs w:val="20"/>
              </w:rPr>
              <w:t>9</w:t>
            </w:r>
            <w:r w:rsidRPr="001E7454">
              <w:rPr>
                <w:rFonts w:cstheme="minorHAnsi"/>
                <w:sz w:val="20"/>
                <w:szCs w:val="20"/>
              </w:rPr>
              <w:t xml:space="preserve"> (2.9)</w:t>
            </w:r>
          </w:p>
        </w:tc>
        <w:tc>
          <w:tcPr>
            <w:tcW w:w="1276" w:type="dxa"/>
          </w:tcPr>
          <w:p w14:paraId="090925D7" w14:textId="77777777" w:rsidR="00A6415C" w:rsidRPr="001E7454" w:rsidRDefault="00A6415C" w:rsidP="001E7454">
            <w:pPr>
              <w:rPr>
                <w:rFonts w:cstheme="minorHAnsi"/>
                <w:sz w:val="20"/>
                <w:szCs w:val="20"/>
              </w:rPr>
            </w:pPr>
            <w:r w:rsidRPr="001E7454">
              <w:rPr>
                <w:rFonts w:cstheme="minorHAnsi"/>
                <w:sz w:val="20"/>
                <w:szCs w:val="20"/>
              </w:rPr>
              <w:t>40,757</w:t>
            </w:r>
          </w:p>
        </w:tc>
        <w:tc>
          <w:tcPr>
            <w:tcW w:w="992" w:type="dxa"/>
          </w:tcPr>
          <w:p w14:paraId="7E18AA95" w14:textId="418F3F20" w:rsidR="00A6415C" w:rsidRDefault="00A6415C" w:rsidP="001E7454">
            <w:pPr>
              <w:rPr>
                <w:rFonts w:cstheme="minorHAnsi"/>
                <w:sz w:val="20"/>
                <w:szCs w:val="20"/>
              </w:rPr>
            </w:pPr>
            <w:r w:rsidRPr="001E7454">
              <w:rPr>
                <w:rFonts w:cstheme="minorHAnsi"/>
                <w:sz w:val="20"/>
                <w:szCs w:val="20"/>
              </w:rPr>
              <w:t>2.6</w:t>
            </w:r>
          </w:p>
          <w:p w14:paraId="3EFD5BAF" w14:textId="3237865D" w:rsidR="00476658" w:rsidRPr="001E7454" w:rsidRDefault="00476658" w:rsidP="001E7454">
            <w:pPr>
              <w:rPr>
                <w:rFonts w:cstheme="minorHAnsi"/>
                <w:sz w:val="20"/>
                <w:szCs w:val="20"/>
              </w:rPr>
            </w:pPr>
            <w:r>
              <w:rPr>
                <w:rFonts w:cstheme="minorHAnsi"/>
                <w:sz w:val="20"/>
                <w:szCs w:val="20"/>
              </w:rPr>
              <w:t>(1,062)</w:t>
            </w:r>
          </w:p>
        </w:tc>
        <w:tc>
          <w:tcPr>
            <w:tcW w:w="851" w:type="dxa"/>
          </w:tcPr>
          <w:p w14:paraId="18B3135B" w14:textId="77777777" w:rsidR="00A6415C" w:rsidRPr="001E7454" w:rsidRDefault="00A6415C" w:rsidP="001E7454">
            <w:pPr>
              <w:rPr>
                <w:rFonts w:cstheme="minorHAnsi"/>
                <w:sz w:val="20"/>
                <w:szCs w:val="20"/>
              </w:rPr>
            </w:pPr>
            <w:r w:rsidRPr="001E7454">
              <w:rPr>
                <w:rFonts w:cstheme="minorHAnsi"/>
                <w:sz w:val="20"/>
                <w:szCs w:val="20"/>
              </w:rPr>
              <w:t>1.26</w:t>
            </w:r>
          </w:p>
        </w:tc>
      </w:tr>
      <w:tr w:rsidR="00A6415C" w:rsidRPr="001E7454" w14:paraId="093F6ED3" w14:textId="77777777" w:rsidTr="000C65B2">
        <w:tc>
          <w:tcPr>
            <w:tcW w:w="2547" w:type="dxa"/>
          </w:tcPr>
          <w:p w14:paraId="1B62F412" w14:textId="77777777" w:rsidR="00A6415C" w:rsidRPr="00816F2D" w:rsidRDefault="00A6415C" w:rsidP="001E7454">
            <w:pPr>
              <w:rPr>
                <w:rFonts w:cstheme="minorHAnsi"/>
                <w:sz w:val="20"/>
                <w:szCs w:val="20"/>
              </w:rPr>
            </w:pPr>
            <w:r w:rsidRPr="004D2BAC">
              <w:rPr>
                <w:rFonts w:cstheme="minorHAnsi"/>
                <w:sz w:val="20"/>
                <w:szCs w:val="20"/>
              </w:rPr>
              <w:t>Rossendale, Burnley, Bury, Rochdale, Hyndburn, Blackburn with Darwen, Bolton, Oldham, Calderdale, Pendle, Chorley</w:t>
            </w:r>
            <w:r w:rsidRPr="00816F2D">
              <w:rPr>
                <w:rFonts w:cstheme="minorHAnsi"/>
                <w:sz w:val="20"/>
                <w:szCs w:val="20"/>
              </w:rPr>
              <w:t xml:space="preserve">, Manchester, Salford, Tameside, Wigan, </w:t>
            </w:r>
            <w:r w:rsidRPr="004D2BAC">
              <w:rPr>
                <w:rFonts w:cstheme="minorHAnsi"/>
                <w:sz w:val="20"/>
                <w:szCs w:val="20"/>
              </w:rPr>
              <w:t>Ribble Valley</w:t>
            </w:r>
            <w:r w:rsidRPr="00816F2D">
              <w:rPr>
                <w:rFonts w:cstheme="minorHAnsi"/>
                <w:sz w:val="20"/>
                <w:szCs w:val="20"/>
              </w:rPr>
              <w:t xml:space="preserve">, Trafford, </w:t>
            </w:r>
            <w:r w:rsidRPr="004D2BAC">
              <w:rPr>
                <w:rFonts w:cstheme="minorHAnsi"/>
                <w:sz w:val="20"/>
                <w:szCs w:val="20"/>
              </w:rPr>
              <w:t>Bradford</w:t>
            </w:r>
            <w:r w:rsidRPr="00816F2D">
              <w:rPr>
                <w:rFonts w:cstheme="minorHAnsi"/>
                <w:sz w:val="20"/>
                <w:szCs w:val="20"/>
              </w:rPr>
              <w:t xml:space="preserve">, South Ribble, </w:t>
            </w:r>
            <w:r w:rsidRPr="004D2BAC">
              <w:rPr>
                <w:rFonts w:cstheme="minorHAnsi"/>
                <w:sz w:val="20"/>
                <w:szCs w:val="20"/>
              </w:rPr>
              <w:t xml:space="preserve">Kirklees, Preston </w:t>
            </w:r>
          </w:p>
        </w:tc>
        <w:tc>
          <w:tcPr>
            <w:tcW w:w="1417" w:type="dxa"/>
          </w:tcPr>
          <w:p w14:paraId="3E3A20F2" w14:textId="77777777" w:rsidR="00A6415C" w:rsidRPr="001E7454" w:rsidRDefault="00A6415C" w:rsidP="001E7454">
            <w:pPr>
              <w:rPr>
                <w:rFonts w:cstheme="minorHAnsi"/>
                <w:sz w:val="20"/>
                <w:szCs w:val="20"/>
              </w:rPr>
            </w:pPr>
            <w:proofErr w:type="gramStart"/>
            <w:r w:rsidRPr="001E7454">
              <w:rPr>
                <w:rFonts w:cstheme="minorHAnsi"/>
                <w:sz w:val="20"/>
                <w:szCs w:val="20"/>
              </w:rPr>
              <w:t>North West</w:t>
            </w:r>
            <w:proofErr w:type="gramEnd"/>
            <w:r w:rsidRPr="001E7454">
              <w:rPr>
                <w:rFonts w:cstheme="minorHAnsi"/>
                <w:sz w:val="20"/>
                <w:szCs w:val="20"/>
              </w:rPr>
              <w:t xml:space="preserve">, </w:t>
            </w:r>
          </w:p>
          <w:p w14:paraId="570EBC8E" w14:textId="77777777" w:rsidR="00A6415C" w:rsidRPr="001E7454" w:rsidRDefault="00A6415C" w:rsidP="001E7454">
            <w:pPr>
              <w:rPr>
                <w:rFonts w:cstheme="minorHAnsi"/>
                <w:sz w:val="20"/>
                <w:szCs w:val="20"/>
              </w:rPr>
            </w:pPr>
            <w:r w:rsidRPr="001E7454">
              <w:rPr>
                <w:rFonts w:cstheme="minorHAnsi"/>
                <w:sz w:val="20"/>
                <w:szCs w:val="20"/>
              </w:rPr>
              <w:t>Yorkshire and the Humber</w:t>
            </w:r>
          </w:p>
        </w:tc>
        <w:tc>
          <w:tcPr>
            <w:tcW w:w="1134" w:type="dxa"/>
          </w:tcPr>
          <w:p w14:paraId="639CE1B9" w14:textId="2F759175" w:rsidR="00A6415C" w:rsidRDefault="00A6415C" w:rsidP="001E7454">
            <w:pPr>
              <w:rPr>
                <w:rFonts w:cstheme="minorHAnsi"/>
                <w:sz w:val="20"/>
                <w:szCs w:val="20"/>
              </w:rPr>
            </w:pPr>
            <w:r w:rsidRPr="001E7454">
              <w:rPr>
                <w:rFonts w:cstheme="minorHAnsi"/>
                <w:sz w:val="20"/>
                <w:szCs w:val="20"/>
              </w:rPr>
              <w:t>6</w:t>
            </w:r>
            <w:r>
              <w:rPr>
                <w:rFonts w:cstheme="minorHAnsi"/>
                <w:sz w:val="20"/>
                <w:szCs w:val="20"/>
              </w:rPr>
              <w:t>8</w:t>
            </w:r>
          </w:p>
          <w:p w14:paraId="6B6468DA" w14:textId="69960DB2" w:rsidR="003A3798" w:rsidRPr="001E7454" w:rsidRDefault="003A3798" w:rsidP="001E7454">
            <w:pPr>
              <w:rPr>
                <w:rFonts w:cstheme="minorHAnsi"/>
                <w:sz w:val="20"/>
                <w:szCs w:val="20"/>
              </w:rPr>
            </w:pPr>
            <w:r>
              <w:rPr>
                <w:rFonts w:cstheme="minorHAnsi"/>
                <w:sz w:val="20"/>
                <w:szCs w:val="20"/>
              </w:rPr>
              <w:t>(348,059)</w:t>
            </w:r>
          </w:p>
        </w:tc>
        <w:tc>
          <w:tcPr>
            <w:tcW w:w="1134" w:type="dxa"/>
            <w:shd w:val="clear" w:color="auto" w:fill="auto"/>
          </w:tcPr>
          <w:p w14:paraId="4B03B533" w14:textId="1B7C7465" w:rsidR="00A6415C" w:rsidRPr="001E7454" w:rsidRDefault="00A6415C" w:rsidP="001E7454">
            <w:pPr>
              <w:rPr>
                <w:rFonts w:cstheme="minorHAnsi"/>
                <w:sz w:val="20"/>
                <w:szCs w:val="20"/>
              </w:rPr>
            </w:pPr>
            <w:r w:rsidRPr="001E7454">
              <w:rPr>
                <w:rFonts w:cstheme="minorHAnsi"/>
                <w:sz w:val="20"/>
                <w:szCs w:val="20"/>
              </w:rPr>
              <w:t>3.7</w:t>
            </w:r>
            <w:r w:rsidR="00660E5F">
              <w:rPr>
                <w:rFonts w:cstheme="minorHAnsi"/>
                <w:sz w:val="20"/>
                <w:szCs w:val="20"/>
              </w:rPr>
              <w:t xml:space="preserve"> </w:t>
            </w:r>
            <w:r w:rsidRPr="001E7454">
              <w:rPr>
                <w:rFonts w:cstheme="minorHAnsi"/>
                <w:sz w:val="20"/>
                <w:szCs w:val="20"/>
              </w:rPr>
              <w:t>(2.</w:t>
            </w:r>
            <w:r w:rsidR="00D772B2">
              <w:rPr>
                <w:rFonts w:cstheme="minorHAnsi"/>
                <w:sz w:val="20"/>
                <w:szCs w:val="20"/>
              </w:rPr>
              <w:t>8</w:t>
            </w:r>
            <w:r w:rsidRPr="001E7454">
              <w:rPr>
                <w:rFonts w:cstheme="minorHAnsi"/>
                <w:sz w:val="20"/>
                <w:szCs w:val="20"/>
              </w:rPr>
              <w:t>)</w:t>
            </w:r>
          </w:p>
          <w:p w14:paraId="684B4A3B" w14:textId="77777777" w:rsidR="00A6415C" w:rsidRPr="001E7454" w:rsidRDefault="00A6415C" w:rsidP="001E7454">
            <w:pPr>
              <w:rPr>
                <w:rFonts w:cstheme="minorHAnsi"/>
                <w:sz w:val="20"/>
                <w:szCs w:val="20"/>
              </w:rPr>
            </w:pPr>
          </w:p>
        </w:tc>
        <w:tc>
          <w:tcPr>
            <w:tcW w:w="1276" w:type="dxa"/>
          </w:tcPr>
          <w:p w14:paraId="2B6B9812" w14:textId="77777777" w:rsidR="00A6415C" w:rsidRPr="001E7454" w:rsidRDefault="00A6415C" w:rsidP="001E7454">
            <w:pPr>
              <w:rPr>
                <w:rFonts w:cstheme="minorHAnsi"/>
                <w:sz w:val="20"/>
                <w:szCs w:val="20"/>
              </w:rPr>
            </w:pPr>
            <w:r w:rsidRPr="001E7454">
              <w:rPr>
                <w:rFonts w:cstheme="minorHAnsi"/>
                <w:sz w:val="20"/>
                <w:szCs w:val="20"/>
              </w:rPr>
              <w:t>515,310</w:t>
            </w:r>
          </w:p>
        </w:tc>
        <w:tc>
          <w:tcPr>
            <w:tcW w:w="992" w:type="dxa"/>
          </w:tcPr>
          <w:p w14:paraId="4419C1AC" w14:textId="33A73030" w:rsidR="00A6415C" w:rsidRDefault="00A6415C" w:rsidP="001E7454">
            <w:pPr>
              <w:rPr>
                <w:rFonts w:cstheme="minorHAnsi"/>
                <w:sz w:val="20"/>
                <w:szCs w:val="20"/>
              </w:rPr>
            </w:pPr>
            <w:r w:rsidRPr="001E7454">
              <w:rPr>
                <w:rFonts w:cstheme="minorHAnsi"/>
                <w:sz w:val="20"/>
                <w:szCs w:val="20"/>
              </w:rPr>
              <w:t>2.5</w:t>
            </w:r>
          </w:p>
          <w:p w14:paraId="59B5ADD3" w14:textId="4C750B9E" w:rsidR="00E41ABA" w:rsidRPr="001E7454" w:rsidRDefault="00E41ABA" w:rsidP="001E7454">
            <w:pPr>
              <w:rPr>
                <w:rFonts w:cstheme="minorHAnsi"/>
                <w:sz w:val="20"/>
                <w:szCs w:val="20"/>
              </w:rPr>
            </w:pPr>
            <w:r>
              <w:rPr>
                <w:rFonts w:cstheme="minorHAnsi"/>
                <w:sz w:val="20"/>
                <w:szCs w:val="20"/>
              </w:rPr>
              <w:t>(13,087)</w:t>
            </w:r>
          </w:p>
        </w:tc>
        <w:tc>
          <w:tcPr>
            <w:tcW w:w="851" w:type="dxa"/>
          </w:tcPr>
          <w:p w14:paraId="29DA55D7" w14:textId="77777777" w:rsidR="00A6415C" w:rsidRPr="001E7454" w:rsidRDefault="00A6415C" w:rsidP="001E7454">
            <w:pPr>
              <w:rPr>
                <w:rFonts w:cstheme="minorHAnsi"/>
                <w:sz w:val="20"/>
                <w:szCs w:val="20"/>
              </w:rPr>
            </w:pPr>
            <w:r w:rsidRPr="001E7454">
              <w:rPr>
                <w:rFonts w:cstheme="minorHAnsi"/>
                <w:sz w:val="20"/>
                <w:szCs w:val="20"/>
              </w:rPr>
              <w:t>1.25</w:t>
            </w:r>
          </w:p>
        </w:tc>
      </w:tr>
      <w:tr w:rsidR="00A6415C" w:rsidRPr="001E7454" w14:paraId="2EC757E8" w14:textId="77777777" w:rsidTr="000C65B2">
        <w:tc>
          <w:tcPr>
            <w:tcW w:w="2547" w:type="dxa"/>
          </w:tcPr>
          <w:p w14:paraId="618B53F7" w14:textId="77777777" w:rsidR="00A6415C" w:rsidRPr="00816F2D" w:rsidRDefault="00A6415C" w:rsidP="001E7454">
            <w:pPr>
              <w:rPr>
                <w:rFonts w:cstheme="minorHAnsi"/>
                <w:sz w:val="20"/>
                <w:szCs w:val="20"/>
              </w:rPr>
            </w:pPr>
            <w:proofErr w:type="gramStart"/>
            <w:r w:rsidRPr="004D2BAC">
              <w:rPr>
                <w:rFonts w:cstheme="minorHAnsi"/>
                <w:sz w:val="20"/>
                <w:szCs w:val="20"/>
              </w:rPr>
              <w:t>North East</w:t>
            </w:r>
            <w:proofErr w:type="gramEnd"/>
            <w:r w:rsidRPr="004D2BAC">
              <w:rPr>
                <w:rFonts w:cstheme="minorHAnsi"/>
                <w:sz w:val="20"/>
                <w:szCs w:val="20"/>
              </w:rPr>
              <w:t xml:space="preserve"> Lincolnshire, North Lincolnshire</w:t>
            </w:r>
            <w:r w:rsidRPr="00816F2D">
              <w:rPr>
                <w:rFonts w:cstheme="minorHAnsi"/>
                <w:sz w:val="20"/>
                <w:szCs w:val="20"/>
              </w:rPr>
              <w:t>, West Lindsey, Kingston upon Hull, East Lindsey, Lincoln</w:t>
            </w:r>
          </w:p>
        </w:tc>
        <w:tc>
          <w:tcPr>
            <w:tcW w:w="1417" w:type="dxa"/>
          </w:tcPr>
          <w:p w14:paraId="3921173A" w14:textId="77777777" w:rsidR="00A6415C" w:rsidRPr="001E7454" w:rsidRDefault="00A6415C" w:rsidP="001E7454">
            <w:pPr>
              <w:rPr>
                <w:rFonts w:cstheme="minorHAnsi"/>
                <w:sz w:val="20"/>
                <w:szCs w:val="20"/>
              </w:rPr>
            </w:pPr>
            <w:r w:rsidRPr="001E7454">
              <w:rPr>
                <w:rFonts w:cstheme="minorHAnsi"/>
                <w:sz w:val="20"/>
                <w:szCs w:val="20"/>
              </w:rPr>
              <w:t>Yorkshire and the Humber, East Midlands</w:t>
            </w:r>
          </w:p>
        </w:tc>
        <w:tc>
          <w:tcPr>
            <w:tcW w:w="1134" w:type="dxa"/>
          </w:tcPr>
          <w:p w14:paraId="4CDC3ED7" w14:textId="2FF07642" w:rsidR="00A6415C" w:rsidRDefault="00A6415C" w:rsidP="001E7454">
            <w:pPr>
              <w:rPr>
                <w:rFonts w:cstheme="minorHAnsi"/>
                <w:sz w:val="20"/>
                <w:szCs w:val="20"/>
              </w:rPr>
            </w:pPr>
            <w:r w:rsidRPr="001E7454">
              <w:rPr>
                <w:rFonts w:cstheme="minorHAnsi"/>
                <w:sz w:val="20"/>
                <w:szCs w:val="20"/>
              </w:rPr>
              <w:t>92</w:t>
            </w:r>
          </w:p>
          <w:p w14:paraId="4584E682" w14:textId="52E05D57" w:rsidR="00F572F2" w:rsidRPr="001E7454" w:rsidRDefault="00F572F2" w:rsidP="001E7454">
            <w:pPr>
              <w:rPr>
                <w:rFonts w:cstheme="minorHAnsi"/>
                <w:sz w:val="20"/>
                <w:szCs w:val="20"/>
              </w:rPr>
            </w:pPr>
            <w:r>
              <w:rPr>
                <w:rFonts w:cstheme="minorHAnsi"/>
                <w:sz w:val="20"/>
                <w:szCs w:val="20"/>
              </w:rPr>
              <w:t>(95,781)</w:t>
            </w:r>
          </w:p>
        </w:tc>
        <w:tc>
          <w:tcPr>
            <w:tcW w:w="1134" w:type="dxa"/>
            <w:shd w:val="clear" w:color="auto" w:fill="auto"/>
          </w:tcPr>
          <w:p w14:paraId="168BEC49" w14:textId="77C3F54E" w:rsidR="00A6415C" w:rsidRPr="001E7454" w:rsidRDefault="00A6415C" w:rsidP="001E7454">
            <w:pPr>
              <w:rPr>
                <w:rFonts w:cstheme="minorHAnsi"/>
                <w:sz w:val="20"/>
                <w:szCs w:val="20"/>
              </w:rPr>
            </w:pPr>
            <w:r w:rsidRPr="001E7454">
              <w:rPr>
                <w:rFonts w:cstheme="minorHAnsi"/>
                <w:sz w:val="20"/>
                <w:szCs w:val="20"/>
              </w:rPr>
              <w:t>3.</w:t>
            </w:r>
            <w:r w:rsidR="00D772B2">
              <w:rPr>
                <w:rFonts w:cstheme="minorHAnsi"/>
                <w:sz w:val="20"/>
                <w:szCs w:val="20"/>
              </w:rPr>
              <w:t>9</w:t>
            </w:r>
            <w:r w:rsidRPr="001E7454">
              <w:rPr>
                <w:rFonts w:cstheme="minorHAnsi"/>
                <w:sz w:val="20"/>
                <w:szCs w:val="20"/>
              </w:rPr>
              <w:t xml:space="preserve"> (2.7)</w:t>
            </w:r>
          </w:p>
        </w:tc>
        <w:tc>
          <w:tcPr>
            <w:tcW w:w="1276" w:type="dxa"/>
          </w:tcPr>
          <w:p w14:paraId="10F464F2" w14:textId="77777777" w:rsidR="00A6415C" w:rsidRPr="001E7454" w:rsidRDefault="00A6415C" w:rsidP="001E7454">
            <w:pPr>
              <w:rPr>
                <w:rFonts w:cstheme="minorHAnsi"/>
                <w:sz w:val="20"/>
                <w:szCs w:val="20"/>
              </w:rPr>
            </w:pPr>
            <w:r w:rsidRPr="001E7454">
              <w:rPr>
                <w:rFonts w:cstheme="minorHAnsi"/>
                <w:sz w:val="20"/>
                <w:szCs w:val="20"/>
              </w:rPr>
              <w:t>103,569</w:t>
            </w:r>
          </w:p>
        </w:tc>
        <w:tc>
          <w:tcPr>
            <w:tcW w:w="992" w:type="dxa"/>
          </w:tcPr>
          <w:p w14:paraId="56FC0DB3" w14:textId="36F58D21" w:rsidR="00A6415C" w:rsidRDefault="00A6415C" w:rsidP="001E7454">
            <w:pPr>
              <w:rPr>
                <w:rFonts w:cstheme="minorHAnsi"/>
                <w:sz w:val="20"/>
                <w:szCs w:val="20"/>
              </w:rPr>
            </w:pPr>
            <w:r w:rsidRPr="001E7454">
              <w:rPr>
                <w:rFonts w:cstheme="minorHAnsi"/>
                <w:sz w:val="20"/>
                <w:szCs w:val="20"/>
              </w:rPr>
              <w:t>2.5</w:t>
            </w:r>
          </w:p>
          <w:p w14:paraId="0AD142C7" w14:textId="726BB6B0" w:rsidR="007A19E9" w:rsidRPr="001E7454" w:rsidRDefault="007A19E9" w:rsidP="001E7454">
            <w:pPr>
              <w:rPr>
                <w:rFonts w:cstheme="minorHAnsi"/>
                <w:sz w:val="20"/>
                <w:szCs w:val="20"/>
              </w:rPr>
            </w:pPr>
            <w:r>
              <w:rPr>
                <w:rFonts w:cstheme="minorHAnsi"/>
                <w:sz w:val="20"/>
                <w:szCs w:val="20"/>
              </w:rPr>
              <w:t>(2,612)</w:t>
            </w:r>
          </w:p>
        </w:tc>
        <w:tc>
          <w:tcPr>
            <w:tcW w:w="851" w:type="dxa"/>
          </w:tcPr>
          <w:p w14:paraId="18FB7BE0" w14:textId="77777777" w:rsidR="00A6415C" w:rsidRPr="001E7454" w:rsidRDefault="00A6415C" w:rsidP="001E7454">
            <w:pPr>
              <w:rPr>
                <w:rFonts w:cstheme="minorHAnsi"/>
                <w:sz w:val="20"/>
                <w:szCs w:val="20"/>
              </w:rPr>
            </w:pPr>
            <w:r w:rsidRPr="001E7454">
              <w:rPr>
                <w:rFonts w:cstheme="minorHAnsi"/>
                <w:sz w:val="20"/>
                <w:szCs w:val="20"/>
              </w:rPr>
              <w:t>1.22</w:t>
            </w:r>
          </w:p>
        </w:tc>
      </w:tr>
      <w:tr w:rsidR="00A6415C" w:rsidRPr="001E7454" w14:paraId="4E193092" w14:textId="77777777" w:rsidTr="000C65B2">
        <w:tc>
          <w:tcPr>
            <w:tcW w:w="2547" w:type="dxa"/>
          </w:tcPr>
          <w:p w14:paraId="30843959" w14:textId="77777777" w:rsidR="00A6415C" w:rsidRPr="004D2BAC" w:rsidRDefault="00A6415C" w:rsidP="001E7454">
            <w:pPr>
              <w:rPr>
                <w:rFonts w:cstheme="minorHAnsi"/>
                <w:sz w:val="20"/>
                <w:szCs w:val="20"/>
              </w:rPr>
            </w:pPr>
            <w:r w:rsidRPr="004D2BAC">
              <w:rPr>
                <w:rFonts w:cstheme="minorHAnsi"/>
                <w:sz w:val="20"/>
                <w:szCs w:val="20"/>
              </w:rPr>
              <w:t>South Staffordshire, Wolverhampton, Cannock Chase, Walsall, Stafford, Sandwell, Telford and Wrekin, Dudley, Lichfield, East Staffordshire, Birmingham, Tamworth, Wyre Forest, Stoke-on-Trent</w:t>
            </w:r>
          </w:p>
        </w:tc>
        <w:tc>
          <w:tcPr>
            <w:tcW w:w="1417" w:type="dxa"/>
          </w:tcPr>
          <w:p w14:paraId="5B98CB8B" w14:textId="77777777" w:rsidR="00A6415C" w:rsidRPr="001E7454" w:rsidRDefault="00A6415C" w:rsidP="001E7454">
            <w:pPr>
              <w:rPr>
                <w:rFonts w:cstheme="minorHAnsi"/>
                <w:sz w:val="20"/>
                <w:szCs w:val="20"/>
              </w:rPr>
            </w:pPr>
            <w:r w:rsidRPr="001E7454">
              <w:rPr>
                <w:rFonts w:cstheme="minorHAnsi"/>
                <w:sz w:val="20"/>
                <w:szCs w:val="20"/>
              </w:rPr>
              <w:t>West Midlands</w:t>
            </w:r>
          </w:p>
        </w:tc>
        <w:tc>
          <w:tcPr>
            <w:tcW w:w="1134" w:type="dxa"/>
          </w:tcPr>
          <w:p w14:paraId="0FC586E4" w14:textId="05340BF3" w:rsidR="00A6415C" w:rsidRPr="001E7454" w:rsidRDefault="00A6415C" w:rsidP="001E7454">
            <w:pPr>
              <w:rPr>
                <w:rFonts w:cstheme="minorHAnsi"/>
                <w:sz w:val="20"/>
                <w:szCs w:val="20"/>
              </w:rPr>
            </w:pPr>
            <w:r w:rsidRPr="001E7454">
              <w:rPr>
                <w:rFonts w:cstheme="minorHAnsi"/>
                <w:sz w:val="20"/>
                <w:szCs w:val="20"/>
              </w:rPr>
              <w:t>6</w:t>
            </w:r>
            <w:r>
              <w:rPr>
                <w:rFonts w:cstheme="minorHAnsi"/>
                <w:sz w:val="20"/>
                <w:szCs w:val="20"/>
              </w:rPr>
              <w:t>2 (272,336)</w:t>
            </w:r>
          </w:p>
        </w:tc>
        <w:tc>
          <w:tcPr>
            <w:tcW w:w="1134" w:type="dxa"/>
          </w:tcPr>
          <w:p w14:paraId="27D481D1" w14:textId="4E3FCB67" w:rsidR="00A6415C" w:rsidRPr="001E7454" w:rsidRDefault="00A6415C" w:rsidP="001E7454">
            <w:pPr>
              <w:rPr>
                <w:rFonts w:cstheme="minorHAnsi"/>
                <w:sz w:val="20"/>
                <w:szCs w:val="20"/>
              </w:rPr>
            </w:pPr>
            <w:r w:rsidRPr="001E7454">
              <w:rPr>
                <w:rFonts w:cstheme="minorHAnsi"/>
                <w:sz w:val="20"/>
                <w:szCs w:val="20"/>
              </w:rPr>
              <w:t>3.4 (2.</w:t>
            </w:r>
            <w:r w:rsidR="00D772B2">
              <w:rPr>
                <w:rFonts w:cstheme="minorHAnsi"/>
                <w:sz w:val="20"/>
                <w:szCs w:val="20"/>
              </w:rPr>
              <w:t>7</w:t>
            </w:r>
            <w:r w:rsidRPr="001E7454">
              <w:rPr>
                <w:rFonts w:cstheme="minorHAnsi"/>
                <w:sz w:val="20"/>
                <w:szCs w:val="20"/>
              </w:rPr>
              <w:t>)</w:t>
            </w:r>
          </w:p>
          <w:p w14:paraId="1E84F01E" w14:textId="77777777" w:rsidR="00A6415C" w:rsidRPr="001E7454" w:rsidRDefault="00A6415C" w:rsidP="001E7454">
            <w:pPr>
              <w:rPr>
                <w:rFonts w:cstheme="minorHAnsi"/>
                <w:sz w:val="20"/>
                <w:szCs w:val="20"/>
              </w:rPr>
            </w:pPr>
          </w:p>
        </w:tc>
        <w:tc>
          <w:tcPr>
            <w:tcW w:w="1276" w:type="dxa"/>
          </w:tcPr>
          <w:p w14:paraId="6CFC636C" w14:textId="77777777" w:rsidR="00A6415C" w:rsidRPr="001E7454" w:rsidRDefault="00A6415C" w:rsidP="001E7454">
            <w:pPr>
              <w:rPr>
                <w:rFonts w:cstheme="minorHAnsi"/>
                <w:sz w:val="20"/>
                <w:szCs w:val="20"/>
              </w:rPr>
            </w:pPr>
            <w:r w:rsidRPr="001E7454">
              <w:rPr>
                <w:rFonts w:cstheme="minorHAnsi"/>
                <w:sz w:val="20"/>
                <w:szCs w:val="20"/>
              </w:rPr>
              <w:t>439,577</w:t>
            </w:r>
          </w:p>
        </w:tc>
        <w:tc>
          <w:tcPr>
            <w:tcW w:w="992" w:type="dxa"/>
          </w:tcPr>
          <w:p w14:paraId="0966C3F7" w14:textId="38BB1E67" w:rsidR="00A6415C" w:rsidRDefault="00A6415C" w:rsidP="001E7454">
            <w:pPr>
              <w:rPr>
                <w:rFonts w:cstheme="minorHAnsi"/>
                <w:sz w:val="20"/>
                <w:szCs w:val="20"/>
              </w:rPr>
            </w:pPr>
            <w:r w:rsidRPr="001E7454">
              <w:rPr>
                <w:rFonts w:cstheme="minorHAnsi"/>
                <w:sz w:val="20"/>
                <w:szCs w:val="20"/>
              </w:rPr>
              <w:t>2.4</w:t>
            </w:r>
          </w:p>
          <w:p w14:paraId="297F0CBD" w14:textId="4B364BFC" w:rsidR="00E41ABA" w:rsidRPr="001E7454" w:rsidRDefault="00E41ABA" w:rsidP="001E7454">
            <w:pPr>
              <w:rPr>
                <w:rFonts w:cstheme="minorHAnsi"/>
                <w:sz w:val="20"/>
                <w:szCs w:val="20"/>
              </w:rPr>
            </w:pPr>
            <w:r>
              <w:rPr>
                <w:rFonts w:cstheme="minorHAnsi"/>
                <w:sz w:val="20"/>
                <w:szCs w:val="20"/>
              </w:rPr>
              <w:t>(10,618)</w:t>
            </w:r>
          </w:p>
        </w:tc>
        <w:tc>
          <w:tcPr>
            <w:tcW w:w="851" w:type="dxa"/>
          </w:tcPr>
          <w:p w14:paraId="0A1874B9" w14:textId="77777777" w:rsidR="00A6415C" w:rsidRPr="001E7454" w:rsidRDefault="00A6415C" w:rsidP="001E7454">
            <w:pPr>
              <w:rPr>
                <w:rFonts w:cstheme="minorHAnsi"/>
                <w:sz w:val="20"/>
                <w:szCs w:val="20"/>
              </w:rPr>
            </w:pPr>
            <w:r w:rsidRPr="001E7454">
              <w:rPr>
                <w:rFonts w:cstheme="minorHAnsi"/>
                <w:sz w:val="20"/>
                <w:szCs w:val="20"/>
              </w:rPr>
              <w:t>1.18</w:t>
            </w:r>
          </w:p>
        </w:tc>
      </w:tr>
    </w:tbl>
    <w:p w14:paraId="06CD3D4C" w14:textId="21BC2E4B" w:rsidR="00BC4177" w:rsidRPr="00A624EB" w:rsidRDefault="00BC4177" w:rsidP="003504E4">
      <w:pPr>
        <w:spacing w:after="0"/>
        <w:rPr>
          <w:rFonts w:cstheme="minorHAnsi"/>
          <w:sz w:val="20"/>
          <w:szCs w:val="20"/>
        </w:rPr>
      </w:pPr>
      <w:bookmarkStart w:id="1" w:name="_Hlk64578138"/>
      <w:bookmarkStart w:id="2" w:name="_Hlk64577681"/>
      <w:proofErr w:type="spellStart"/>
      <w:r w:rsidRPr="00A624EB">
        <w:rPr>
          <w:rFonts w:cstheme="minorHAnsi"/>
          <w:sz w:val="20"/>
          <w:szCs w:val="20"/>
          <w:vertAlign w:val="superscript"/>
        </w:rPr>
        <w:t>a</w:t>
      </w:r>
      <w:r w:rsidR="003504E4" w:rsidRPr="00A624EB">
        <w:rPr>
          <w:rFonts w:cstheme="minorHAnsi"/>
          <w:sz w:val="20"/>
          <w:szCs w:val="20"/>
        </w:rPr>
        <w:t>Cluster</w:t>
      </w:r>
      <w:r w:rsidR="009112E6" w:rsidRPr="00A624EB">
        <w:rPr>
          <w:rFonts w:cstheme="minorHAnsi"/>
          <w:sz w:val="20"/>
          <w:szCs w:val="20"/>
        </w:rPr>
        <w:t>s</w:t>
      </w:r>
      <w:proofErr w:type="spellEnd"/>
      <w:r w:rsidR="009112E6" w:rsidRPr="00A624EB">
        <w:rPr>
          <w:rFonts w:cstheme="minorHAnsi"/>
          <w:sz w:val="20"/>
          <w:szCs w:val="20"/>
        </w:rPr>
        <w:t xml:space="preserve"> are referred to in the text by the name of the first LA in the cluster description. These</w:t>
      </w:r>
      <w:r w:rsidR="003504E4" w:rsidRPr="00A624EB">
        <w:rPr>
          <w:rFonts w:cstheme="minorHAnsi"/>
          <w:sz w:val="20"/>
          <w:szCs w:val="20"/>
        </w:rPr>
        <w:t xml:space="preserve"> </w:t>
      </w:r>
      <w:r w:rsidR="009112E6" w:rsidRPr="00A624EB">
        <w:rPr>
          <w:rFonts w:cstheme="minorHAnsi"/>
          <w:sz w:val="20"/>
          <w:szCs w:val="20"/>
        </w:rPr>
        <w:t>are</w:t>
      </w:r>
      <w:r w:rsidR="003504E4" w:rsidRPr="00A624EB">
        <w:rPr>
          <w:rFonts w:cstheme="minorHAnsi"/>
          <w:sz w:val="20"/>
          <w:szCs w:val="20"/>
        </w:rPr>
        <w:t xml:space="preserve"> determined by </w:t>
      </w:r>
      <w:proofErr w:type="spellStart"/>
      <w:r w:rsidR="003504E4" w:rsidRPr="00A624EB">
        <w:rPr>
          <w:rFonts w:cstheme="minorHAnsi"/>
          <w:sz w:val="20"/>
          <w:szCs w:val="20"/>
        </w:rPr>
        <w:t>SatScan</w:t>
      </w:r>
      <w:proofErr w:type="spellEnd"/>
      <w:r w:rsidR="003504E4" w:rsidRPr="00A624EB">
        <w:rPr>
          <w:rFonts w:cstheme="minorHAnsi"/>
          <w:sz w:val="20"/>
          <w:szCs w:val="20"/>
        </w:rPr>
        <w:t xml:space="preserve"> and represent the centre point of the cluster.</w:t>
      </w:r>
      <w:r w:rsidR="00DA64F1" w:rsidRPr="00A624EB">
        <w:rPr>
          <w:rFonts w:cstheme="minorHAnsi"/>
          <w:sz w:val="20"/>
          <w:szCs w:val="20"/>
        </w:rPr>
        <w:t xml:space="preserve"> Clusters are ordered from highest to lowest RR. </w:t>
      </w:r>
    </w:p>
    <w:p w14:paraId="034C9D2A" w14:textId="77777777" w:rsidR="00BC4177" w:rsidRPr="00A624EB" w:rsidRDefault="00BC4177" w:rsidP="003504E4">
      <w:pPr>
        <w:spacing w:after="0"/>
        <w:rPr>
          <w:rFonts w:cstheme="minorHAnsi"/>
          <w:sz w:val="20"/>
          <w:szCs w:val="20"/>
        </w:rPr>
      </w:pPr>
      <w:proofErr w:type="spellStart"/>
      <w:r w:rsidRPr="00A624EB">
        <w:rPr>
          <w:rFonts w:cstheme="minorHAnsi"/>
          <w:sz w:val="20"/>
          <w:szCs w:val="20"/>
          <w:vertAlign w:val="superscript"/>
        </w:rPr>
        <w:t>b</w:t>
      </w:r>
      <w:r w:rsidR="00DA64F1" w:rsidRPr="00A624EB">
        <w:rPr>
          <w:rFonts w:cstheme="minorHAnsi"/>
          <w:sz w:val="20"/>
          <w:szCs w:val="20"/>
        </w:rPr>
        <w:t>Cluster</w:t>
      </w:r>
      <w:proofErr w:type="spellEnd"/>
      <w:r w:rsidR="00DA64F1" w:rsidRPr="00A624EB">
        <w:rPr>
          <w:rFonts w:cstheme="minorHAnsi"/>
          <w:sz w:val="20"/>
          <w:szCs w:val="20"/>
        </w:rPr>
        <w:t xml:space="preserve"> white ethnicity % and mean IMD are derived from NCMP data for children in each cluster. </w:t>
      </w:r>
    </w:p>
    <w:p w14:paraId="7B09D591" w14:textId="2D360BDB" w:rsidR="00BC4177" w:rsidRPr="00A624EB" w:rsidRDefault="00BC4177" w:rsidP="003504E4">
      <w:pPr>
        <w:spacing w:after="0"/>
        <w:rPr>
          <w:rFonts w:cstheme="minorHAnsi"/>
          <w:sz w:val="20"/>
          <w:szCs w:val="20"/>
        </w:rPr>
      </w:pPr>
      <w:proofErr w:type="spellStart"/>
      <w:r w:rsidRPr="00A624EB">
        <w:rPr>
          <w:rFonts w:cstheme="minorHAnsi"/>
          <w:sz w:val="20"/>
          <w:szCs w:val="20"/>
          <w:vertAlign w:val="superscript"/>
        </w:rPr>
        <w:t>c</w:t>
      </w:r>
      <w:r w:rsidR="00DA64F1" w:rsidRPr="00A624EB">
        <w:rPr>
          <w:rFonts w:cstheme="minorHAnsi"/>
          <w:sz w:val="20"/>
          <w:szCs w:val="20"/>
        </w:rPr>
        <w:t>Cluster</w:t>
      </w:r>
      <w:proofErr w:type="spellEnd"/>
      <w:r w:rsidR="00DA64F1" w:rsidRPr="00A624EB">
        <w:rPr>
          <w:rFonts w:cstheme="minorHAnsi"/>
          <w:sz w:val="20"/>
          <w:szCs w:val="20"/>
        </w:rPr>
        <w:t xml:space="preserve"> population is the total population of NCMP children included in the analysis for each cluster. </w:t>
      </w:r>
      <w:r w:rsidR="003F5D9E" w:rsidRPr="00A624EB">
        <w:rPr>
          <w:rFonts w:cstheme="minorHAnsi"/>
          <w:sz w:val="20"/>
          <w:szCs w:val="20"/>
        </w:rPr>
        <w:t xml:space="preserve"> </w:t>
      </w:r>
    </w:p>
    <w:bookmarkEnd w:id="1"/>
    <w:p w14:paraId="03757507" w14:textId="77777777" w:rsidR="00657200" w:rsidRDefault="00BC4177" w:rsidP="003504E4">
      <w:pPr>
        <w:spacing w:after="0"/>
        <w:rPr>
          <w:rFonts w:cstheme="minorHAnsi"/>
          <w:sz w:val="20"/>
          <w:szCs w:val="20"/>
        </w:rPr>
      </w:pPr>
      <w:proofErr w:type="spellStart"/>
      <w:r w:rsidRPr="00A624EB">
        <w:rPr>
          <w:rFonts w:cstheme="minorHAnsi"/>
          <w:sz w:val="20"/>
          <w:szCs w:val="20"/>
          <w:vertAlign w:val="superscript"/>
        </w:rPr>
        <w:t>d</w:t>
      </w:r>
      <w:r w:rsidR="003F5D9E" w:rsidRPr="00A624EB">
        <w:rPr>
          <w:rFonts w:cstheme="minorHAnsi"/>
          <w:sz w:val="20"/>
          <w:szCs w:val="20"/>
        </w:rPr>
        <w:t>No</w:t>
      </w:r>
      <w:proofErr w:type="spellEnd"/>
      <w:r w:rsidR="003F5D9E" w:rsidRPr="00A624EB">
        <w:rPr>
          <w:rFonts w:cstheme="minorHAnsi"/>
          <w:sz w:val="20"/>
          <w:szCs w:val="20"/>
        </w:rPr>
        <w:t xml:space="preserve"> 95% CI is calculated for </w:t>
      </w:r>
      <w:r w:rsidR="00A624EB">
        <w:rPr>
          <w:rFonts w:cstheme="minorHAnsi"/>
          <w:sz w:val="20"/>
          <w:szCs w:val="20"/>
        </w:rPr>
        <w:t>RR</w:t>
      </w:r>
      <w:r w:rsidR="002E1CB7" w:rsidRPr="00A624EB">
        <w:rPr>
          <w:rFonts w:cstheme="minorHAnsi"/>
          <w:sz w:val="20"/>
          <w:szCs w:val="20"/>
        </w:rPr>
        <w:t xml:space="preserve"> as the method for identifying clusters is data-driven, </w:t>
      </w:r>
      <w:r w:rsidR="009112E6" w:rsidRPr="00A624EB">
        <w:rPr>
          <w:rFonts w:cstheme="minorHAnsi"/>
          <w:sz w:val="20"/>
          <w:szCs w:val="20"/>
        </w:rPr>
        <w:t xml:space="preserve">and 95% CIs would be inappropriate. </w:t>
      </w:r>
    </w:p>
    <w:p w14:paraId="12E4CD25" w14:textId="59D96145" w:rsidR="003A61C0" w:rsidRPr="00A624EB" w:rsidRDefault="003A61C0" w:rsidP="003504E4">
      <w:pPr>
        <w:spacing w:after="0"/>
        <w:rPr>
          <w:rFonts w:cstheme="minorHAnsi"/>
          <w:sz w:val="20"/>
          <w:szCs w:val="20"/>
        </w:rPr>
        <w:sectPr w:rsidR="003A61C0" w:rsidRPr="00A624EB" w:rsidSect="000C65B2">
          <w:endnotePr>
            <w:numFmt w:val="decimal"/>
          </w:endnotePr>
          <w:pgSz w:w="11906" w:h="16838"/>
          <w:pgMar w:top="1440" w:right="1440" w:bottom="1440" w:left="1440" w:header="708" w:footer="708" w:gutter="0"/>
          <w:lnNumType w:countBy="1"/>
          <w:cols w:space="708"/>
          <w:docGrid w:linePitch="360"/>
        </w:sectPr>
      </w:pPr>
    </w:p>
    <w:bookmarkEnd w:id="2"/>
    <w:p w14:paraId="0DF3F5EB" w14:textId="48C15DF8" w:rsidR="00B11C45" w:rsidRDefault="00072AE5" w:rsidP="001E7454">
      <w:pPr>
        <w:spacing w:line="360" w:lineRule="auto"/>
        <w:rPr>
          <w:rFonts w:cstheme="minorHAnsi"/>
        </w:rPr>
      </w:pPr>
      <w:r w:rsidRPr="001E7454">
        <w:rPr>
          <w:rFonts w:cstheme="minorHAnsi"/>
        </w:rPr>
        <w:t xml:space="preserve">Spatial analyses over </w:t>
      </w:r>
      <w:r w:rsidR="009D3E03">
        <w:rPr>
          <w:rFonts w:cstheme="minorHAnsi"/>
        </w:rPr>
        <w:t xml:space="preserve">the </w:t>
      </w:r>
      <w:r w:rsidRPr="001E7454">
        <w:rPr>
          <w:rFonts w:cstheme="minorHAnsi"/>
        </w:rPr>
        <w:t>four time periods</w:t>
      </w:r>
      <w:r w:rsidR="00BC4177">
        <w:rPr>
          <w:rFonts w:cstheme="minorHAnsi"/>
        </w:rPr>
        <w:t xml:space="preserve"> between 2006-2019</w:t>
      </w:r>
      <w:r w:rsidRPr="001E7454">
        <w:rPr>
          <w:rFonts w:cstheme="minorHAnsi"/>
        </w:rPr>
        <w:t xml:space="preserve"> showed some variation over time in the</w:t>
      </w:r>
      <w:r w:rsidR="009D3E03">
        <w:rPr>
          <w:rFonts w:cstheme="minorHAnsi"/>
        </w:rPr>
        <w:t xml:space="preserve"> precise</w:t>
      </w:r>
      <w:r w:rsidRPr="001E7454">
        <w:rPr>
          <w:rFonts w:cstheme="minorHAnsi"/>
        </w:rPr>
        <w:t xml:space="preserve"> composition of clusters, although the placement of clusters was largely consistent (</w:t>
      </w:r>
      <w:r w:rsidR="00542CB6" w:rsidRPr="001E7454">
        <w:rPr>
          <w:rFonts w:cstheme="minorHAnsi"/>
        </w:rPr>
        <w:t xml:space="preserve">Figure </w:t>
      </w:r>
      <w:r w:rsidR="0054568F">
        <w:rPr>
          <w:rFonts w:cstheme="minorHAnsi"/>
        </w:rPr>
        <w:t>4</w:t>
      </w:r>
      <w:r w:rsidR="00492D03">
        <w:rPr>
          <w:rFonts w:cstheme="minorHAnsi"/>
        </w:rPr>
        <w:t xml:space="preserve"> and Supplemental Table I</w:t>
      </w:r>
      <w:r w:rsidR="0054568F">
        <w:rPr>
          <w:rFonts w:cstheme="minorHAnsi"/>
        </w:rPr>
        <w:t>)</w:t>
      </w:r>
      <w:r w:rsidR="00542CB6" w:rsidRPr="001E7454">
        <w:rPr>
          <w:rFonts w:cstheme="minorHAnsi"/>
        </w:rPr>
        <w:t xml:space="preserve">. </w:t>
      </w:r>
    </w:p>
    <w:p w14:paraId="11D29294" w14:textId="77777777" w:rsidR="003A61C0" w:rsidRDefault="003A61C0" w:rsidP="001E7454">
      <w:pPr>
        <w:spacing w:line="360" w:lineRule="auto"/>
        <w:rPr>
          <w:rFonts w:cstheme="minorHAnsi"/>
        </w:rPr>
      </w:pPr>
    </w:p>
    <w:p w14:paraId="2176D462" w14:textId="4789481A" w:rsidR="0067650F" w:rsidRDefault="007377CA" w:rsidP="001E7454">
      <w:pPr>
        <w:spacing w:line="360" w:lineRule="auto"/>
        <w:rPr>
          <w:rFonts w:cstheme="minorHAnsi"/>
          <w:b/>
          <w:bCs/>
        </w:rPr>
      </w:pPr>
      <w:r w:rsidRPr="000C65B2">
        <w:rPr>
          <w:rFonts w:cstheme="minorHAnsi"/>
          <w:b/>
          <w:bCs/>
        </w:rPr>
        <w:t xml:space="preserve">Figure </w:t>
      </w:r>
      <w:r w:rsidR="0054568F">
        <w:rPr>
          <w:rFonts w:cstheme="minorHAnsi"/>
          <w:b/>
          <w:bCs/>
        </w:rPr>
        <w:t>4</w:t>
      </w:r>
      <w:r w:rsidR="00EA4C6C">
        <w:rPr>
          <w:rFonts w:cstheme="minorHAnsi"/>
          <w:b/>
          <w:bCs/>
        </w:rPr>
        <w:t xml:space="preserve">: </w:t>
      </w:r>
      <w:r w:rsidR="00EA4C6C" w:rsidRPr="00284492">
        <w:rPr>
          <w:b/>
          <w:bCs/>
        </w:rPr>
        <w:t>Spatial analysis over four time periods</w:t>
      </w:r>
    </w:p>
    <w:p w14:paraId="31B60085" w14:textId="2F37E7A2" w:rsidR="00EA4C6C" w:rsidRDefault="007F1ADF" w:rsidP="001E7454">
      <w:pPr>
        <w:spacing w:line="360" w:lineRule="auto"/>
        <w:rPr>
          <w:rFonts w:cstheme="minorHAnsi"/>
          <w:sz w:val="20"/>
          <w:szCs w:val="20"/>
        </w:rPr>
      </w:pPr>
      <w:r>
        <w:rPr>
          <w:rFonts w:cstheme="minorHAnsi"/>
          <w:sz w:val="20"/>
          <w:szCs w:val="20"/>
        </w:rPr>
        <w:t xml:space="preserve">[Figure 4 legend] </w:t>
      </w:r>
      <w:r w:rsidRPr="004D2BAC">
        <w:rPr>
          <w:rFonts w:cstheme="minorHAnsi"/>
          <w:sz w:val="20"/>
          <w:szCs w:val="20"/>
        </w:rPr>
        <w:t>Note:</w:t>
      </w:r>
      <w:r>
        <w:rPr>
          <w:rFonts w:cstheme="minorHAnsi"/>
          <w:sz w:val="20"/>
          <w:szCs w:val="20"/>
        </w:rPr>
        <w:t xml:space="preserve"> Short stature clusters are in red.   Map base layer is  shapefile  Local Authority Districts (December 2017) Full Clipped Boundaries in Great Britain, published by the Office for National Statistics and available at </w:t>
      </w:r>
      <w:hyperlink r:id="rId11" w:history="1">
        <w:r w:rsidRPr="00A360D8">
          <w:rPr>
            <w:rStyle w:val="Hyperlink"/>
            <w:rFonts w:cstheme="minorHAnsi"/>
            <w:sz w:val="20"/>
            <w:szCs w:val="20"/>
          </w:rPr>
          <w:t>https://geoportal.statistics.gov.uk/datasets/local-authority-districts-december-2017-full-clipped-boundaries-in-great-britain/explore?location=55.450000%2C-2.950000%2C5.64&amp;showTable=true</w:t>
        </w:r>
      </w:hyperlink>
      <w:r>
        <w:rPr>
          <w:rFonts w:cstheme="minorHAnsi"/>
          <w:sz w:val="20"/>
          <w:szCs w:val="20"/>
        </w:rPr>
        <w:t>.</w:t>
      </w:r>
    </w:p>
    <w:p w14:paraId="69147311" w14:textId="77777777" w:rsidR="007F1ADF" w:rsidRPr="000C65B2" w:rsidRDefault="007F1ADF" w:rsidP="001E7454">
      <w:pPr>
        <w:spacing w:line="360" w:lineRule="auto"/>
        <w:rPr>
          <w:rFonts w:cstheme="minorHAnsi"/>
          <w:b/>
          <w:bCs/>
        </w:rPr>
      </w:pPr>
    </w:p>
    <w:p w14:paraId="034C7B47" w14:textId="2FC71871" w:rsidR="00BA6ADB" w:rsidRPr="001E7454" w:rsidRDefault="00BA6ADB" w:rsidP="001E7454">
      <w:pPr>
        <w:spacing w:line="360" w:lineRule="auto"/>
        <w:rPr>
          <w:rFonts w:cstheme="minorHAnsi"/>
          <w:b/>
          <w:bCs/>
        </w:rPr>
      </w:pPr>
      <w:r w:rsidRPr="001E7454">
        <w:rPr>
          <w:rFonts w:cstheme="minorHAnsi"/>
          <w:b/>
          <w:bCs/>
        </w:rPr>
        <w:t>Supplemental analyses</w:t>
      </w:r>
    </w:p>
    <w:p w14:paraId="76505C8B" w14:textId="2E2D851E" w:rsidR="009D3E03" w:rsidRDefault="009E7E83" w:rsidP="000C65B2">
      <w:pPr>
        <w:tabs>
          <w:tab w:val="left" w:pos="13140"/>
        </w:tabs>
        <w:spacing w:after="0" w:line="360" w:lineRule="auto"/>
        <w:rPr>
          <w:rFonts w:cstheme="minorHAnsi"/>
        </w:rPr>
      </w:pPr>
      <w:r>
        <w:rPr>
          <w:rFonts w:cstheme="minorHAnsi"/>
        </w:rPr>
        <w:t>Very short stature</w:t>
      </w:r>
      <w:r w:rsidR="0035110C" w:rsidRPr="001E7454">
        <w:rPr>
          <w:rFonts w:cstheme="minorHAnsi"/>
        </w:rPr>
        <w:t xml:space="preserve"> (&lt;-2.6</w:t>
      </w:r>
      <w:r w:rsidR="00EC2A06">
        <w:rPr>
          <w:rFonts w:cstheme="minorHAnsi"/>
        </w:rPr>
        <w:t>7</w:t>
      </w:r>
      <w:r w:rsidR="0035110C" w:rsidRPr="001E7454">
        <w:rPr>
          <w:rFonts w:cstheme="minorHAnsi"/>
        </w:rPr>
        <w:t xml:space="preserve"> SDS) </w:t>
      </w:r>
      <w:r w:rsidR="0035110C">
        <w:rPr>
          <w:rFonts w:cstheme="minorHAnsi"/>
        </w:rPr>
        <w:t>affected</w:t>
      </w:r>
      <w:r w:rsidR="0035110C" w:rsidRPr="001E7454">
        <w:rPr>
          <w:rFonts w:cstheme="minorHAnsi"/>
        </w:rPr>
        <w:t xml:space="preserve"> 0.3</w:t>
      </w:r>
      <w:r w:rsidR="00F53F38">
        <w:rPr>
          <w:rFonts w:cstheme="minorHAnsi"/>
        </w:rPr>
        <w:t>6</w:t>
      </w:r>
      <w:r w:rsidR="0035110C" w:rsidRPr="001E7454">
        <w:rPr>
          <w:rFonts w:cstheme="minorHAnsi"/>
        </w:rPr>
        <w:t xml:space="preserve">% </w:t>
      </w:r>
      <w:r w:rsidR="0054568F">
        <w:rPr>
          <w:rFonts w:cstheme="minorHAnsi"/>
        </w:rPr>
        <w:t>[</w:t>
      </w:r>
      <w:r w:rsidR="0008792C">
        <w:rPr>
          <w:rFonts w:cstheme="minorHAnsi"/>
        </w:rPr>
        <w:t xml:space="preserve">0.36 to 0.37] </w:t>
      </w:r>
      <w:r w:rsidR="0035110C" w:rsidRPr="001E7454">
        <w:rPr>
          <w:rFonts w:cstheme="minorHAnsi"/>
        </w:rPr>
        <w:t xml:space="preserve">of children, </w:t>
      </w:r>
      <w:r w:rsidR="0035110C">
        <w:rPr>
          <w:rFonts w:cstheme="minorHAnsi"/>
        </w:rPr>
        <w:t>with</w:t>
      </w:r>
      <w:r w:rsidR="0035110C" w:rsidRPr="001E7454">
        <w:rPr>
          <w:rFonts w:cstheme="minorHAnsi"/>
        </w:rPr>
        <w:t xml:space="preserve"> patterns of prevalence </w:t>
      </w:r>
      <w:proofErr w:type="gramStart"/>
      <w:r w:rsidR="0035110C" w:rsidRPr="001E7454">
        <w:rPr>
          <w:rFonts w:cstheme="minorHAnsi"/>
        </w:rPr>
        <w:t>similar to</w:t>
      </w:r>
      <w:proofErr w:type="gramEnd"/>
      <w:r w:rsidR="0035110C" w:rsidRPr="001E7454">
        <w:rPr>
          <w:rFonts w:cstheme="minorHAnsi"/>
        </w:rPr>
        <w:t xml:space="preserve"> those of s</w:t>
      </w:r>
      <w:r w:rsidR="001C3B20">
        <w:rPr>
          <w:rFonts w:cstheme="minorHAnsi"/>
        </w:rPr>
        <w:t>hort stature</w:t>
      </w:r>
      <w:r w:rsidR="0035110C" w:rsidRPr="001E7454">
        <w:rPr>
          <w:rFonts w:cstheme="minorHAnsi"/>
        </w:rPr>
        <w:t xml:space="preserve"> </w:t>
      </w:r>
      <w:r w:rsidR="0035110C">
        <w:rPr>
          <w:rFonts w:cstheme="minorHAnsi"/>
        </w:rPr>
        <w:t xml:space="preserve">(&lt;-2.0 SDS) </w:t>
      </w:r>
      <w:r w:rsidR="0035110C" w:rsidRPr="001E7454">
        <w:rPr>
          <w:rFonts w:cstheme="minorHAnsi"/>
        </w:rPr>
        <w:t xml:space="preserve">(Supplemental Table </w:t>
      </w:r>
      <w:r w:rsidR="00A57B8A">
        <w:rPr>
          <w:rFonts w:cstheme="minorHAnsi"/>
        </w:rPr>
        <w:t>J</w:t>
      </w:r>
      <w:r w:rsidR="0035110C" w:rsidRPr="001E7454">
        <w:rPr>
          <w:rFonts w:cstheme="minorHAnsi"/>
        </w:rPr>
        <w:t xml:space="preserve">). </w:t>
      </w:r>
      <w:r w:rsidR="00C679AD" w:rsidRPr="001E7454">
        <w:rPr>
          <w:rFonts w:cstheme="minorHAnsi"/>
        </w:rPr>
        <w:t>Spatial a</w:t>
      </w:r>
      <w:r w:rsidR="005478B3" w:rsidRPr="001E7454">
        <w:rPr>
          <w:rFonts w:cstheme="minorHAnsi"/>
        </w:rPr>
        <w:t xml:space="preserve">nalyses of </w:t>
      </w:r>
      <w:r w:rsidR="00EC2A06">
        <w:rPr>
          <w:rFonts w:cstheme="minorHAnsi"/>
        </w:rPr>
        <w:t>very short stature</w:t>
      </w:r>
      <w:r w:rsidR="00C679AD" w:rsidRPr="001E7454">
        <w:rPr>
          <w:rFonts w:cstheme="minorHAnsi"/>
        </w:rPr>
        <w:t xml:space="preserve"> adjusted for ethnicity</w:t>
      </w:r>
      <w:r w:rsidR="00E87A43" w:rsidRPr="001E7454">
        <w:rPr>
          <w:rFonts w:cstheme="minorHAnsi"/>
        </w:rPr>
        <w:t xml:space="preserve"> </w:t>
      </w:r>
      <w:r w:rsidR="00C679AD" w:rsidRPr="001E7454">
        <w:rPr>
          <w:rFonts w:cstheme="minorHAnsi"/>
        </w:rPr>
        <w:t xml:space="preserve">identified six clusters which broadly matched six of the eight clusters found in the main </w:t>
      </w:r>
      <w:r w:rsidR="005C3DE2">
        <w:rPr>
          <w:rFonts w:cstheme="minorHAnsi"/>
        </w:rPr>
        <w:t>short stature</w:t>
      </w:r>
      <w:r w:rsidR="00C679AD" w:rsidRPr="001E7454">
        <w:rPr>
          <w:rFonts w:cstheme="minorHAnsi"/>
        </w:rPr>
        <w:t xml:space="preserve"> analysis</w:t>
      </w:r>
      <w:r w:rsidR="005B0C64">
        <w:rPr>
          <w:rFonts w:cstheme="minorHAnsi"/>
        </w:rPr>
        <w:t xml:space="preserve"> (Supplemental Table </w:t>
      </w:r>
      <w:r w:rsidR="00B11BD5">
        <w:rPr>
          <w:rFonts w:cstheme="minorHAnsi"/>
        </w:rPr>
        <w:t>K</w:t>
      </w:r>
      <w:r w:rsidR="005B0C64">
        <w:rPr>
          <w:rFonts w:cstheme="minorHAnsi"/>
        </w:rPr>
        <w:t>)</w:t>
      </w:r>
      <w:r w:rsidR="00C679AD" w:rsidRPr="001E7454">
        <w:rPr>
          <w:rFonts w:cstheme="minorHAnsi"/>
        </w:rPr>
        <w:t xml:space="preserve">. </w:t>
      </w:r>
      <w:r w:rsidR="00A34304">
        <w:rPr>
          <w:rFonts w:cstheme="minorHAnsi"/>
        </w:rPr>
        <w:t xml:space="preserve">A sensitivity analysis </w:t>
      </w:r>
      <w:r w:rsidR="00B810EF">
        <w:rPr>
          <w:rFonts w:cstheme="minorHAnsi"/>
        </w:rPr>
        <w:t>of s</w:t>
      </w:r>
      <w:r w:rsidR="005C3DE2">
        <w:rPr>
          <w:rFonts w:cstheme="minorHAnsi"/>
        </w:rPr>
        <w:t>hort stature</w:t>
      </w:r>
      <w:r w:rsidR="008C3316">
        <w:rPr>
          <w:rFonts w:cstheme="minorHAnsi"/>
        </w:rPr>
        <w:t xml:space="preserve"> (&lt;-2</w:t>
      </w:r>
      <w:r w:rsidR="00D43924">
        <w:rPr>
          <w:rFonts w:cstheme="minorHAnsi"/>
        </w:rPr>
        <w:t>.0</w:t>
      </w:r>
      <w:r w:rsidR="008C3316">
        <w:rPr>
          <w:rFonts w:cstheme="minorHAnsi"/>
        </w:rPr>
        <w:t xml:space="preserve"> SDS)</w:t>
      </w:r>
      <w:r w:rsidR="00B810EF">
        <w:rPr>
          <w:rFonts w:cstheme="minorHAnsi"/>
        </w:rPr>
        <w:t xml:space="preserve"> </w:t>
      </w:r>
      <w:r w:rsidR="00A34304">
        <w:rPr>
          <w:rFonts w:cstheme="minorHAnsi"/>
        </w:rPr>
        <w:t>using the full dataset (n=7,062,071)</w:t>
      </w:r>
      <w:r w:rsidR="006E5A98">
        <w:rPr>
          <w:rFonts w:cstheme="minorHAnsi"/>
        </w:rPr>
        <w:t xml:space="preserve"> </w:t>
      </w:r>
      <w:r w:rsidR="007F10D3">
        <w:rPr>
          <w:rFonts w:cstheme="minorHAnsi"/>
        </w:rPr>
        <w:t xml:space="preserve">(Supplemental Table </w:t>
      </w:r>
      <w:r w:rsidR="00B11BD5">
        <w:rPr>
          <w:rFonts w:cstheme="minorHAnsi"/>
        </w:rPr>
        <w:t>L</w:t>
      </w:r>
      <w:r w:rsidR="007F10D3">
        <w:rPr>
          <w:rFonts w:cstheme="minorHAnsi"/>
        </w:rPr>
        <w:t>)</w:t>
      </w:r>
      <w:r w:rsidR="00A34304">
        <w:rPr>
          <w:rFonts w:cstheme="minorHAnsi"/>
        </w:rPr>
        <w:t xml:space="preserve"> showed high agreement with the</w:t>
      </w:r>
      <w:r w:rsidR="007F10D3">
        <w:rPr>
          <w:rFonts w:cstheme="minorHAnsi"/>
        </w:rPr>
        <w:t xml:space="preserve"> main</w:t>
      </w:r>
      <w:r w:rsidR="00A34304">
        <w:rPr>
          <w:rFonts w:cstheme="minorHAnsi"/>
        </w:rPr>
        <w:t xml:space="preserve"> unadjusted model (n=5,765,707)</w:t>
      </w:r>
      <w:r w:rsidR="008B3744">
        <w:rPr>
          <w:rFonts w:cstheme="minorHAnsi"/>
        </w:rPr>
        <w:t xml:space="preserve"> </w:t>
      </w:r>
      <w:r w:rsidR="00A34304">
        <w:rPr>
          <w:rFonts w:cstheme="minorHAnsi"/>
        </w:rPr>
        <w:t xml:space="preserve">(Supplemental Table </w:t>
      </w:r>
      <w:r w:rsidR="00B11BD5">
        <w:rPr>
          <w:rFonts w:cstheme="minorHAnsi"/>
        </w:rPr>
        <w:t>H</w:t>
      </w:r>
      <w:r w:rsidR="00A34304">
        <w:rPr>
          <w:rFonts w:cstheme="minorHAnsi"/>
        </w:rPr>
        <w:t xml:space="preserve">). </w:t>
      </w:r>
    </w:p>
    <w:p w14:paraId="166CA8AA" w14:textId="77777777" w:rsidR="00A224B8" w:rsidRDefault="00A224B8" w:rsidP="000C65B2">
      <w:pPr>
        <w:tabs>
          <w:tab w:val="left" w:pos="13140"/>
        </w:tabs>
        <w:spacing w:after="0" w:line="360" w:lineRule="auto"/>
        <w:rPr>
          <w:rFonts w:cstheme="minorHAnsi"/>
          <w:b/>
          <w:bCs/>
        </w:rPr>
      </w:pPr>
    </w:p>
    <w:p w14:paraId="74BFE69A" w14:textId="351325E2" w:rsidR="00B20819" w:rsidRPr="001E7454" w:rsidRDefault="009D3E03" w:rsidP="001E7454">
      <w:pPr>
        <w:spacing w:line="360" w:lineRule="auto"/>
        <w:rPr>
          <w:rFonts w:cstheme="minorHAnsi"/>
          <w:b/>
          <w:bCs/>
        </w:rPr>
      </w:pPr>
      <w:r>
        <w:rPr>
          <w:rFonts w:cstheme="minorHAnsi"/>
          <w:b/>
          <w:bCs/>
        </w:rPr>
        <w:t>DISCUSSION</w:t>
      </w:r>
    </w:p>
    <w:p w14:paraId="7F204844" w14:textId="0C982148" w:rsidR="00F43265" w:rsidRDefault="00B20819" w:rsidP="001E7454">
      <w:pPr>
        <w:spacing w:line="360" w:lineRule="auto"/>
        <w:rPr>
          <w:rFonts w:cstheme="minorHAnsi"/>
        </w:rPr>
      </w:pPr>
      <w:r w:rsidRPr="001E7454">
        <w:rPr>
          <w:rFonts w:cstheme="minorHAnsi"/>
        </w:rPr>
        <w:t>Using a dataset of over 7 million children</w:t>
      </w:r>
      <w:r w:rsidR="0024348E">
        <w:rPr>
          <w:rFonts w:cstheme="minorHAnsi"/>
        </w:rPr>
        <w:t xml:space="preserve"> in England between 2006-2019</w:t>
      </w:r>
      <w:r w:rsidRPr="001E7454">
        <w:rPr>
          <w:rFonts w:cstheme="minorHAnsi"/>
        </w:rPr>
        <w:t xml:space="preserve"> we found that</w:t>
      </w:r>
      <w:r w:rsidR="0024348E">
        <w:rPr>
          <w:rFonts w:cstheme="minorHAnsi"/>
        </w:rPr>
        <w:t xml:space="preserve"> </w:t>
      </w:r>
      <w:r w:rsidR="004F477E">
        <w:rPr>
          <w:rFonts w:cstheme="minorHAnsi"/>
        </w:rPr>
        <w:t>1.93%</w:t>
      </w:r>
      <w:r w:rsidRPr="001E7454">
        <w:rPr>
          <w:rFonts w:cstheme="minorHAnsi"/>
        </w:rPr>
        <w:t xml:space="preserve"> </w:t>
      </w:r>
      <w:r w:rsidR="00DE26B2">
        <w:rPr>
          <w:rFonts w:cstheme="minorHAnsi"/>
        </w:rPr>
        <w:t>of</w:t>
      </w:r>
      <w:r w:rsidRPr="001E7454">
        <w:rPr>
          <w:rFonts w:cstheme="minorHAnsi"/>
        </w:rPr>
        <w:t xml:space="preserve"> children </w:t>
      </w:r>
      <w:r w:rsidR="00A624EB">
        <w:rPr>
          <w:rFonts w:cstheme="minorHAnsi"/>
        </w:rPr>
        <w:t xml:space="preserve">aged 4 and 5 </w:t>
      </w:r>
      <w:r w:rsidR="00247950">
        <w:rPr>
          <w:rFonts w:cstheme="minorHAnsi"/>
        </w:rPr>
        <w:t>had</w:t>
      </w:r>
      <w:r w:rsidRPr="001E7454">
        <w:rPr>
          <w:rFonts w:cstheme="minorHAnsi"/>
        </w:rPr>
        <w:t xml:space="preserve"> </w:t>
      </w:r>
      <w:r w:rsidR="008C0633">
        <w:rPr>
          <w:rFonts w:cstheme="minorHAnsi"/>
        </w:rPr>
        <w:t xml:space="preserve">short stature </w:t>
      </w:r>
      <w:r w:rsidR="0024348E">
        <w:rPr>
          <w:rFonts w:cstheme="minorHAnsi"/>
        </w:rPr>
        <w:t>at school entry</w:t>
      </w:r>
      <w:r w:rsidRPr="001E7454">
        <w:rPr>
          <w:rFonts w:cstheme="minorHAnsi"/>
        </w:rPr>
        <w:t xml:space="preserve">. </w:t>
      </w:r>
      <w:r w:rsidR="00375A5A">
        <w:rPr>
          <w:rFonts w:cstheme="minorHAnsi"/>
        </w:rPr>
        <w:t>S</w:t>
      </w:r>
      <w:r w:rsidR="004B1648">
        <w:rPr>
          <w:rFonts w:cstheme="minorHAnsi"/>
        </w:rPr>
        <w:t>hort stature</w:t>
      </w:r>
      <w:r w:rsidRPr="001E7454">
        <w:rPr>
          <w:rFonts w:cstheme="minorHAnsi"/>
        </w:rPr>
        <w:t xml:space="preserve"> was geographically clustered</w:t>
      </w:r>
      <w:r w:rsidR="0024348E">
        <w:rPr>
          <w:rFonts w:cstheme="minorHAnsi"/>
        </w:rPr>
        <w:t xml:space="preserve"> </w:t>
      </w:r>
      <w:r w:rsidRPr="001E7454">
        <w:rPr>
          <w:rFonts w:cstheme="minorHAnsi"/>
        </w:rPr>
        <w:t xml:space="preserve">with higher prevalence in the North and Midlands and lower </w:t>
      </w:r>
      <w:r w:rsidR="00387F79">
        <w:rPr>
          <w:rFonts w:cstheme="minorHAnsi"/>
        </w:rPr>
        <w:t>prevalence</w:t>
      </w:r>
      <w:r w:rsidRPr="001E7454">
        <w:rPr>
          <w:rFonts w:cstheme="minorHAnsi"/>
        </w:rPr>
        <w:t xml:space="preserve"> in the South. S</w:t>
      </w:r>
      <w:r w:rsidR="004B1648">
        <w:rPr>
          <w:rFonts w:cstheme="minorHAnsi"/>
        </w:rPr>
        <w:t>hort stature</w:t>
      </w:r>
      <w:r w:rsidRPr="001E7454">
        <w:rPr>
          <w:rFonts w:cstheme="minorHAnsi"/>
        </w:rPr>
        <w:t xml:space="preserve"> prevalence ranged from 0.9</w:t>
      </w:r>
      <w:r w:rsidR="00330152">
        <w:rPr>
          <w:rFonts w:cstheme="minorHAnsi"/>
        </w:rPr>
        <w:t>7</w:t>
      </w:r>
      <w:r w:rsidRPr="001E7454">
        <w:rPr>
          <w:rFonts w:cstheme="minorHAnsi"/>
        </w:rPr>
        <w:t>%</w:t>
      </w:r>
      <w:r w:rsidR="00387F79">
        <w:rPr>
          <w:rFonts w:cstheme="minorHAnsi"/>
        </w:rPr>
        <w:t xml:space="preserve"> </w:t>
      </w:r>
      <w:r w:rsidRPr="001E7454">
        <w:rPr>
          <w:rFonts w:cstheme="minorHAnsi"/>
        </w:rPr>
        <w:t>in Richmond upon Thames in London to 3.9</w:t>
      </w:r>
      <w:r w:rsidR="00330152">
        <w:rPr>
          <w:rFonts w:cstheme="minorHAnsi"/>
        </w:rPr>
        <w:t>2</w:t>
      </w:r>
      <w:r w:rsidRPr="001E7454">
        <w:rPr>
          <w:rFonts w:cstheme="minorHAnsi"/>
        </w:rPr>
        <w:t xml:space="preserve">% in Blackburn and Darwen in the </w:t>
      </w:r>
      <w:proofErr w:type="gramStart"/>
      <w:r w:rsidRPr="001E7454">
        <w:rPr>
          <w:rFonts w:cstheme="minorHAnsi"/>
        </w:rPr>
        <w:t>North West</w:t>
      </w:r>
      <w:proofErr w:type="gramEnd"/>
      <w:r w:rsidR="0024348E">
        <w:rPr>
          <w:rFonts w:cstheme="minorHAnsi"/>
        </w:rPr>
        <w:t xml:space="preserve">, </w:t>
      </w:r>
      <w:r w:rsidRPr="001E7454">
        <w:rPr>
          <w:rFonts w:cstheme="minorHAnsi"/>
        </w:rPr>
        <w:t>a fourfold difference</w:t>
      </w:r>
      <w:r w:rsidR="0024348E">
        <w:rPr>
          <w:rFonts w:cstheme="minorHAnsi"/>
        </w:rPr>
        <w:t xml:space="preserve"> </w:t>
      </w:r>
      <w:r w:rsidR="005F596C">
        <w:rPr>
          <w:rFonts w:cstheme="minorHAnsi"/>
        </w:rPr>
        <w:t>which translates into</w:t>
      </w:r>
      <w:r w:rsidR="00F43265">
        <w:rPr>
          <w:rFonts w:cstheme="minorHAnsi"/>
        </w:rPr>
        <w:t xml:space="preserve"> </w:t>
      </w:r>
      <w:r w:rsidR="0024348E">
        <w:rPr>
          <w:rFonts w:cstheme="minorHAnsi"/>
        </w:rPr>
        <w:t xml:space="preserve">an additional </w:t>
      </w:r>
      <w:r w:rsidR="00387F79">
        <w:rPr>
          <w:rFonts w:cstheme="minorHAnsi"/>
        </w:rPr>
        <w:t>2,9</w:t>
      </w:r>
      <w:r w:rsidR="00B63135">
        <w:rPr>
          <w:rFonts w:cstheme="minorHAnsi"/>
        </w:rPr>
        <w:t>5</w:t>
      </w:r>
      <w:r w:rsidR="00387F79">
        <w:rPr>
          <w:rFonts w:cstheme="minorHAnsi"/>
        </w:rPr>
        <w:t>0</w:t>
      </w:r>
      <w:r w:rsidR="0024348E">
        <w:rPr>
          <w:rFonts w:cstheme="minorHAnsi"/>
        </w:rPr>
        <w:t xml:space="preserve"> children </w:t>
      </w:r>
      <w:r w:rsidR="00F43265">
        <w:rPr>
          <w:rFonts w:cstheme="minorHAnsi"/>
        </w:rPr>
        <w:t>with s</w:t>
      </w:r>
      <w:r w:rsidR="004D7CA1">
        <w:rPr>
          <w:rFonts w:cstheme="minorHAnsi"/>
        </w:rPr>
        <w:t>hort stature</w:t>
      </w:r>
      <w:r w:rsidR="00F43265">
        <w:rPr>
          <w:rFonts w:cstheme="minorHAnsi"/>
        </w:rPr>
        <w:t xml:space="preserve"> per 100,000 </w:t>
      </w:r>
      <w:r w:rsidR="0024348E">
        <w:rPr>
          <w:rFonts w:cstheme="minorHAnsi"/>
        </w:rPr>
        <w:t xml:space="preserve">children </w:t>
      </w:r>
      <w:r w:rsidR="00F43265">
        <w:rPr>
          <w:rFonts w:cstheme="minorHAnsi"/>
        </w:rPr>
        <w:t>starting school</w:t>
      </w:r>
      <w:r w:rsidR="0024348E">
        <w:rPr>
          <w:rFonts w:cstheme="minorHAnsi"/>
        </w:rPr>
        <w:t>.</w:t>
      </w:r>
      <w:r w:rsidRPr="001E7454">
        <w:rPr>
          <w:rFonts w:cstheme="minorHAnsi"/>
        </w:rPr>
        <w:t xml:space="preserve"> </w:t>
      </w:r>
      <w:r w:rsidR="0024348E" w:rsidRPr="001E7454">
        <w:rPr>
          <w:rFonts w:cstheme="minorHAnsi"/>
        </w:rPr>
        <w:t>S</w:t>
      </w:r>
      <w:r w:rsidR="004250C9">
        <w:rPr>
          <w:rFonts w:cstheme="minorHAnsi"/>
        </w:rPr>
        <w:t>hort stature</w:t>
      </w:r>
      <w:r w:rsidR="0024348E" w:rsidRPr="001E7454">
        <w:rPr>
          <w:rFonts w:cstheme="minorHAnsi"/>
        </w:rPr>
        <w:t xml:space="preserve"> was highly associated with area-level deprivation</w:t>
      </w:r>
      <w:r w:rsidR="00F43265">
        <w:rPr>
          <w:rFonts w:cstheme="minorHAnsi"/>
        </w:rPr>
        <w:t>,</w:t>
      </w:r>
      <w:r w:rsidR="0024348E" w:rsidRPr="001E7454">
        <w:rPr>
          <w:rFonts w:cstheme="minorHAnsi"/>
        </w:rPr>
        <w:t xml:space="preserve"> </w:t>
      </w:r>
      <w:proofErr w:type="gramStart"/>
      <w:r w:rsidR="0024348E" w:rsidRPr="001E7454">
        <w:rPr>
          <w:rFonts w:cstheme="minorHAnsi"/>
        </w:rPr>
        <w:t>ethnicity</w:t>
      </w:r>
      <w:proofErr w:type="gramEnd"/>
      <w:r w:rsidR="00F43265">
        <w:rPr>
          <w:rFonts w:cstheme="minorHAnsi"/>
        </w:rPr>
        <w:t xml:space="preserve"> and</w:t>
      </w:r>
      <w:r w:rsidR="00745175">
        <w:rPr>
          <w:rFonts w:cstheme="minorHAnsi"/>
        </w:rPr>
        <w:t xml:space="preserve"> sex</w:t>
      </w:r>
      <w:r w:rsidR="0024348E" w:rsidRPr="001E7454">
        <w:rPr>
          <w:rFonts w:cstheme="minorHAnsi"/>
        </w:rPr>
        <w:t xml:space="preserve">. Deprivation was linearly related </w:t>
      </w:r>
      <w:r w:rsidR="0024348E">
        <w:rPr>
          <w:rFonts w:cstheme="minorHAnsi"/>
        </w:rPr>
        <w:t>to</w:t>
      </w:r>
      <w:r w:rsidR="0024348E" w:rsidRPr="001E7454">
        <w:rPr>
          <w:rFonts w:cstheme="minorHAnsi"/>
        </w:rPr>
        <w:t xml:space="preserve"> s</w:t>
      </w:r>
      <w:r w:rsidR="007E76C3">
        <w:rPr>
          <w:rFonts w:cstheme="minorHAnsi"/>
        </w:rPr>
        <w:t>hort stature,</w:t>
      </w:r>
      <w:r w:rsidR="0024348E" w:rsidRPr="001E7454">
        <w:rPr>
          <w:rFonts w:cstheme="minorHAnsi"/>
        </w:rPr>
        <w:t xml:space="preserve"> </w:t>
      </w:r>
      <w:r w:rsidR="0024348E">
        <w:rPr>
          <w:rFonts w:cstheme="minorHAnsi"/>
        </w:rPr>
        <w:t>with</w:t>
      </w:r>
      <w:r w:rsidR="0024348E" w:rsidRPr="001E7454">
        <w:rPr>
          <w:rFonts w:cstheme="minorHAnsi"/>
        </w:rPr>
        <w:t xml:space="preserve"> the highest prevalence</w:t>
      </w:r>
      <w:r w:rsidR="0024348E">
        <w:rPr>
          <w:rFonts w:cstheme="minorHAnsi"/>
        </w:rPr>
        <w:t xml:space="preserve"> </w:t>
      </w:r>
      <w:r w:rsidR="0024348E" w:rsidRPr="001E7454">
        <w:rPr>
          <w:rFonts w:cstheme="minorHAnsi"/>
        </w:rPr>
        <w:t xml:space="preserve">found in the areas with highest deprivation. </w:t>
      </w:r>
      <w:r w:rsidR="00F43265" w:rsidRPr="001E7454">
        <w:rPr>
          <w:rFonts w:cstheme="minorHAnsi"/>
        </w:rPr>
        <w:t>Yorkshire and the Humber had the highest regional s</w:t>
      </w:r>
      <w:r w:rsidR="007E76C3">
        <w:rPr>
          <w:rFonts w:cstheme="minorHAnsi"/>
        </w:rPr>
        <w:t xml:space="preserve">hort stature </w:t>
      </w:r>
      <w:r w:rsidR="00F43265" w:rsidRPr="001E7454">
        <w:rPr>
          <w:rFonts w:cstheme="minorHAnsi"/>
        </w:rPr>
        <w:t>prevalence (2</w:t>
      </w:r>
      <w:r w:rsidR="00F43265">
        <w:rPr>
          <w:rFonts w:cstheme="minorHAnsi"/>
        </w:rPr>
        <w:t>.</w:t>
      </w:r>
      <w:r w:rsidR="00F43265" w:rsidRPr="001E7454">
        <w:rPr>
          <w:rFonts w:cstheme="minorHAnsi"/>
        </w:rPr>
        <w:t>18</w:t>
      </w:r>
      <w:r w:rsidR="00F43265">
        <w:rPr>
          <w:rFonts w:cstheme="minorHAnsi"/>
        </w:rPr>
        <w:t>%)</w:t>
      </w:r>
      <w:r w:rsidR="00F43265" w:rsidRPr="001E7454">
        <w:rPr>
          <w:rFonts w:cstheme="minorHAnsi"/>
        </w:rPr>
        <w:t xml:space="preserve">, </w:t>
      </w:r>
      <w:r w:rsidR="00F43265">
        <w:rPr>
          <w:rFonts w:cstheme="minorHAnsi"/>
        </w:rPr>
        <w:t>and</w:t>
      </w:r>
      <w:r w:rsidR="00F43265" w:rsidRPr="001E7454">
        <w:rPr>
          <w:rFonts w:cstheme="minorHAnsi"/>
        </w:rPr>
        <w:t xml:space="preserve"> London had the lowest (1</w:t>
      </w:r>
      <w:r w:rsidR="00F43265">
        <w:rPr>
          <w:rFonts w:cstheme="minorHAnsi"/>
        </w:rPr>
        <w:t>.</w:t>
      </w:r>
      <w:r w:rsidR="00F43265" w:rsidRPr="001E7454">
        <w:rPr>
          <w:rFonts w:cstheme="minorHAnsi"/>
        </w:rPr>
        <w:t>57</w:t>
      </w:r>
      <w:r w:rsidR="00F43265">
        <w:rPr>
          <w:rFonts w:cstheme="minorHAnsi"/>
        </w:rPr>
        <w:t>%</w:t>
      </w:r>
      <w:r w:rsidR="00F43265" w:rsidRPr="001E7454">
        <w:rPr>
          <w:rFonts w:cstheme="minorHAnsi"/>
        </w:rPr>
        <w:t>).</w:t>
      </w:r>
      <w:r w:rsidR="00F43265">
        <w:rPr>
          <w:rFonts w:cstheme="minorHAnsi"/>
        </w:rPr>
        <w:t xml:space="preserve"> </w:t>
      </w:r>
      <w:r w:rsidR="005B40AA">
        <w:rPr>
          <w:rFonts w:cstheme="minorHAnsi"/>
        </w:rPr>
        <w:t>However</w:t>
      </w:r>
      <w:r w:rsidR="00F43265">
        <w:rPr>
          <w:rFonts w:cstheme="minorHAnsi"/>
        </w:rPr>
        <w:t xml:space="preserve">, </w:t>
      </w:r>
      <w:r w:rsidR="005B40AA">
        <w:rPr>
          <w:rFonts w:cstheme="minorHAnsi"/>
        </w:rPr>
        <w:t>we</w:t>
      </w:r>
      <w:r w:rsidR="00F43265" w:rsidRPr="001E7454">
        <w:rPr>
          <w:rFonts w:cstheme="minorHAnsi"/>
        </w:rPr>
        <w:t xml:space="preserve"> identified two high </w:t>
      </w:r>
      <w:r w:rsidR="005B40AA">
        <w:rPr>
          <w:rFonts w:cstheme="minorHAnsi"/>
        </w:rPr>
        <w:t>prevalence</w:t>
      </w:r>
      <w:r w:rsidR="005B40AA" w:rsidRPr="001E7454">
        <w:rPr>
          <w:rFonts w:cstheme="minorHAnsi"/>
        </w:rPr>
        <w:t xml:space="preserve"> </w:t>
      </w:r>
      <w:r w:rsidR="005B40AA">
        <w:rPr>
          <w:rFonts w:cstheme="minorHAnsi"/>
        </w:rPr>
        <w:t>clusters</w:t>
      </w:r>
      <w:r w:rsidR="005B40AA" w:rsidRPr="001E7454">
        <w:rPr>
          <w:rFonts w:cstheme="minorHAnsi"/>
        </w:rPr>
        <w:t xml:space="preserve"> </w:t>
      </w:r>
      <w:r w:rsidR="00F43265" w:rsidRPr="001E7454">
        <w:rPr>
          <w:rFonts w:cstheme="minorHAnsi"/>
        </w:rPr>
        <w:t xml:space="preserve">in East and North London, suggesting high heterogeneity </w:t>
      </w:r>
      <w:r w:rsidR="005B40AA">
        <w:rPr>
          <w:rFonts w:cstheme="minorHAnsi"/>
        </w:rPr>
        <w:t>with</w:t>
      </w:r>
      <w:r w:rsidR="00F43265" w:rsidRPr="001E7454">
        <w:rPr>
          <w:rFonts w:cstheme="minorHAnsi"/>
        </w:rPr>
        <w:t xml:space="preserve">in London itself. </w:t>
      </w:r>
      <w:r w:rsidR="00F43265">
        <w:rPr>
          <w:rFonts w:cstheme="minorHAnsi"/>
        </w:rPr>
        <w:t>Whilst there were significant differences in s</w:t>
      </w:r>
      <w:r w:rsidR="007E76C3">
        <w:rPr>
          <w:rFonts w:cstheme="minorHAnsi"/>
        </w:rPr>
        <w:t>hort stature</w:t>
      </w:r>
      <w:r w:rsidR="00F43265">
        <w:rPr>
          <w:rFonts w:cstheme="minorHAnsi"/>
        </w:rPr>
        <w:t xml:space="preserve"> prevalence between children of different ethnicities, there was also high ethnic heterogeneity between clusters, with the proportion of White children ranging from 22% in the </w:t>
      </w:r>
      <w:r w:rsidR="00B63135">
        <w:rPr>
          <w:rFonts w:cstheme="minorHAnsi"/>
        </w:rPr>
        <w:t xml:space="preserve">Tower Hamlets </w:t>
      </w:r>
      <w:r w:rsidR="00F43265">
        <w:rPr>
          <w:rFonts w:cstheme="minorHAnsi"/>
        </w:rPr>
        <w:t xml:space="preserve">cluster to 90% in the Great Yarmouth cluster. </w:t>
      </w:r>
      <w:r w:rsidR="000412CE" w:rsidRPr="001E7454">
        <w:rPr>
          <w:rFonts w:cstheme="minorHAnsi"/>
        </w:rPr>
        <w:t>Girls were significantly more likely to be s</w:t>
      </w:r>
      <w:r w:rsidR="00F756F0">
        <w:rPr>
          <w:rFonts w:cstheme="minorHAnsi"/>
        </w:rPr>
        <w:t>hort</w:t>
      </w:r>
      <w:r w:rsidR="000412CE">
        <w:rPr>
          <w:rFonts w:cstheme="minorHAnsi"/>
        </w:rPr>
        <w:t xml:space="preserve"> than boys (2.09%</w:t>
      </w:r>
      <w:r w:rsidR="000412CE" w:rsidRPr="001E7454">
        <w:rPr>
          <w:rFonts w:cstheme="minorHAnsi"/>
        </w:rPr>
        <w:t xml:space="preserve"> versus </w:t>
      </w:r>
      <w:r w:rsidR="000412CE">
        <w:rPr>
          <w:rFonts w:cstheme="minorHAnsi"/>
        </w:rPr>
        <w:t>1.77%</w:t>
      </w:r>
      <w:r w:rsidR="00F43265">
        <w:rPr>
          <w:rFonts w:cstheme="minorHAnsi"/>
        </w:rPr>
        <w:t>,</w:t>
      </w:r>
      <w:r w:rsidR="000412CE">
        <w:rPr>
          <w:rFonts w:cstheme="minorHAnsi"/>
        </w:rPr>
        <w:t xml:space="preserve"> respectively)</w:t>
      </w:r>
      <w:r w:rsidR="009C4AB8">
        <w:rPr>
          <w:rFonts w:cstheme="minorHAnsi"/>
        </w:rPr>
        <w:t>, which has not previously been reported in high-income settings</w:t>
      </w:r>
      <w:r w:rsidR="000412CE">
        <w:rPr>
          <w:rFonts w:cstheme="minorHAnsi"/>
        </w:rPr>
        <w:t xml:space="preserve">. </w:t>
      </w:r>
    </w:p>
    <w:p w14:paraId="65FEEE38" w14:textId="61FDF510" w:rsidR="006B6466" w:rsidRPr="006B6466" w:rsidRDefault="00F43265" w:rsidP="001E7454">
      <w:pPr>
        <w:spacing w:line="360" w:lineRule="auto"/>
        <w:rPr>
          <w:rFonts w:cstheme="minorHAnsi"/>
        </w:rPr>
      </w:pPr>
      <w:r>
        <w:rPr>
          <w:rFonts w:cstheme="minorHAnsi"/>
        </w:rPr>
        <w:t>Whilst the national s</w:t>
      </w:r>
      <w:r w:rsidR="00FB1571">
        <w:rPr>
          <w:rFonts w:cstheme="minorHAnsi"/>
        </w:rPr>
        <w:t>hort stature</w:t>
      </w:r>
      <w:r>
        <w:rPr>
          <w:rFonts w:cstheme="minorHAnsi"/>
        </w:rPr>
        <w:t xml:space="preserve"> prevalence of 1.93% was broadly as expected, given the normal distribution of heights in a population, the</w:t>
      </w:r>
      <w:r w:rsidR="00B20819" w:rsidRPr="001E7454">
        <w:rPr>
          <w:rFonts w:cstheme="minorHAnsi"/>
        </w:rPr>
        <w:t xml:space="preserve"> regional differences </w:t>
      </w:r>
      <w:r>
        <w:rPr>
          <w:rFonts w:cstheme="minorHAnsi"/>
        </w:rPr>
        <w:t>are striking. Although s</w:t>
      </w:r>
      <w:r w:rsidR="002558AD">
        <w:rPr>
          <w:rFonts w:cstheme="minorHAnsi"/>
        </w:rPr>
        <w:t xml:space="preserve">hort stature </w:t>
      </w:r>
      <w:r>
        <w:rPr>
          <w:rFonts w:cstheme="minorHAnsi"/>
        </w:rPr>
        <w:t>prevalence declined over time, with larger declines in more deprived IMD deciles, inequalities in the prevalence of s</w:t>
      </w:r>
      <w:r w:rsidR="002558AD">
        <w:rPr>
          <w:rFonts w:cstheme="minorHAnsi"/>
        </w:rPr>
        <w:t>hort stature</w:t>
      </w:r>
      <w:r>
        <w:rPr>
          <w:rFonts w:cstheme="minorHAnsi"/>
        </w:rPr>
        <w:t xml:space="preserve"> by IMD were persistent. This</w:t>
      </w:r>
      <w:r w:rsidRPr="001E7454">
        <w:rPr>
          <w:rFonts w:cstheme="minorHAnsi"/>
        </w:rPr>
        <w:t xml:space="preserve"> </w:t>
      </w:r>
      <w:r>
        <w:rPr>
          <w:rFonts w:cstheme="minorHAnsi"/>
        </w:rPr>
        <w:t xml:space="preserve">clear </w:t>
      </w:r>
      <w:r w:rsidRPr="001E7454">
        <w:rPr>
          <w:rFonts w:cstheme="minorHAnsi"/>
        </w:rPr>
        <w:t xml:space="preserve">association </w:t>
      </w:r>
      <w:r>
        <w:rPr>
          <w:rFonts w:cstheme="minorHAnsi"/>
        </w:rPr>
        <w:t>between s</w:t>
      </w:r>
      <w:r w:rsidR="002558AD">
        <w:rPr>
          <w:rFonts w:cstheme="minorHAnsi"/>
        </w:rPr>
        <w:t>hort stature</w:t>
      </w:r>
      <w:r>
        <w:rPr>
          <w:rFonts w:cstheme="minorHAnsi"/>
        </w:rPr>
        <w:t xml:space="preserve"> and </w:t>
      </w:r>
      <w:r w:rsidRPr="001E7454">
        <w:rPr>
          <w:rFonts w:cstheme="minorHAnsi"/>
        </w:rPr>
        <w:t xml:space="preserve">deprivation </w:t>
      </w:r>
      <w:r>
        <w:rPr>
          <w:rFonts w:cstheme="minorHAnsi"/>
        </w:rPr>
        <w:t>corresponds to a difference in absolute terms of 1,180 per 100,000</w:t>
      </w:r>
      <w:r w:rsidR="005F596C">
        <w:rPr>
          <w:rFonts w:cstheme="minorHAnsi"/>
        </w:rPr>
        <w:t xml:space="preserve"> reception class children</w:t>
      </w:r>
      <w:r>
        <w:rPr>
          <w:rFonts w:cstheme="minorHAnsi"/>
        </w:rPr>
        <w:t xml:space="preserve"> </w:t>
      </w:r>
      <w:r>
        <w:t xml:space="preserve">between the </w:t>
      </w:r>
      <w:r w:rsidR="005F596C">
        <w:t>most and the least deprived communities (</w:t>
      </w:r>
      <w:r>
        <w:t>highest and lowest IMD deciles</w:t>
      </w:r>
      <w:r w:rsidR="005F596C">
        <w:t>)</w:t>
      </w:r>
      <w:r>
        <w:t xml:space="preserve">. Collectively, our findings </w:t>
      </w:r>
      <w:r w:rsidR="00B20819" w:rsidRPr="001E7454">
        <w:rPr>
          <w:rFonts w:cstheme="minorHAnsi"/>
        </w:rPr>
        <w:t xml:space="preserve">suggest that </w:t>
      </w:r>
      <w:r w:rsidR="00E212C6">
        <w:t xml:space="preserve">large numbers of children </w:t>
      </w:r>
      <w:r>
        <w:t>– particularly those in the most deprived areas of the country –</w:t>
      </w:r>
      <w:r w:rsidR="00E212C6">
        <w:t xml:space="preserve"> could be failing to reach their full</w:t>
      </w:r>
      <w:r w:rsidR="00A02840">
        <w:t xml:space="preserve"> growth</w:t>
      </w:r>
      <w:r w:rsidR="00E212C6">
        <w:t xml:space="preserve"> potential</w:t>
      </w:r>
      <w:r>
        <w:t>.</w:t>
      </w:r>
      <w:r w:rsidR="00E212C6">
        <w:t xml:space="preserve"> </w:t>
      </w:r>
      <w:r>
        <w:t>M</w:t>
      </w:r>
      <w:r w:rsidR="00B20819" w:rsidRPr="001E7454">
        <w:rPr>
          <w:rFonts w:cstheme="minorHAnsi"/>
        </w:rPr>
        <w:t xml:space="preserve">any </w:t>
      </w:r>
      <w:r w:rsidR="004452E9">
        <w:rPr>
          <w:rFonts w:cstheme="minorHAnsi"/>
        </w:rPr>
        <w:t xml:space="preserve">of these </w:t>
      </w:r>
      <w:r w:rsidR="00B20819" w:rsidRPr="001E7454">
        <w:rPr>
          <w:rFonts w:cstheme="minorHAnsi"/>
        </w:rPr>
        <w:t xml:space="preserve">children may </w:t>
      </w:r>
      <w:r w:rsidR="005B40AA">
        <w:rPr>
          <w:rFonts w:cstheme="minorHAnsi"/>
        </w:rPr>
        <w:t xml:space="preserve">in fact </w:t>
      </w:r>
      <w:r w:rsidR="00B20819" w:rsidRPr="001E7454">
        <w:rPr>
          <w:rFonts w:cstheme="minorHAnsi"/>
        </w:rPr>
        <w:t xml:space="preserve">be particularly disadvantaged, </w:t>
      </w:r>
      <w:proofErr w:type="gramStart"/>
      <w:r w:rsidR="00B20819" w:rsidRPr="001E7454">
        <w:rPr>
          <w:rFonts w:cstheme="minorHAnsi"/>
        </w:rPr>
        <w:t>unhealthy</w:t>
      </w:r>
      <w:proofErr w:type="gramEnd"/>
      <w:r w:rsidR="00B20819" w:rsidRPr="001E7454">
        <w:rPr>
          <w:rFonts w:cstheme="minorHAnsi"/>
        </w:rPr>
        <w:t xml:space="preserve"> and failing to thrive.  </w:t>
      </w:r>
    </w:p>
    <w:p w14:paraId="48DA2F00" w14:textId="11DEBD40" w:rsidR="00B20819" w:rsidRPr="001E7454" w:rsidRDefault="003F1073" w:rsidP="001E7454">
      <w:pPr>
        <w:spacing w:line="360" w:lineRule="auto"/>
        <w:rPr>
          <w:rFonts w:cstheme="minorHAnsi"/>
        </w:rPr>
      </w:pPr>
      <w:r>
        <w:rPr>
          <w:rFonts w:cstheme="minorHAnsi"/>
        </w:rPr>
        <w:t xml:space="preserve">The link between growth and social conditions is well documented, </w:t>
      </w:r>
      <w:r w:rsidR="00B63135">
        <w:rPr>
          <w:rFonts w:cstheme="minorHAnsi"/>
        </w:rPr>
        <w:t xml:space="preserve">with </w:t>
      </w:r>
      <w:r>
        <w:rPr>
          <w:rFonts w:cstheme="minorHAnsi"/>
        </w:rPr>
        <w:t xml:space="preserve">growth </w:t>
      </w:r>
      <w:r w:rsidR="00B63135">
        <w:rPr>
          <w:rFonts w:cstheme="minorHAnsi"/>
        </w:rPr>
        <w:t>deemed to be “</w:t>
      </w:r>
      <w:r>
        <w:rPr>
          <w:rFonts w:cstheme="minorHAnsi"/>
        </w:rPr>
        <w:t>a mirror of the condition of society</w:t>
      </w:r>
      <w:r w:rsidR="00B63135">
        <w:rPr>
          <w:rFonts w:cstheme="minorHAnsi"/>
        </w:rPr>
        <w:t>”</w:t>
      </w:r>
      <w:r w:rsidR="003D5B36">
        <w:rPr>
          <w:rFonts w:cstheme="minorHAnsi"/>
        </w:rPr>
        <w:t xml:space="preserve"> </w:t>
      </w:r>
      <w:r w:rsidR="003D5B36">
        <w:rPr>
          <w:rFonts w:cstheme="minorHAnsi"/>
        </w:rPr>
        <w:fldChar w:fldCharType="begin"/>
      </w:r>
      <w:r w:rsidR="000900CA">
        <w:rPr>
          <w:rFonts w:cstheme="minorHAnsi"/>
        </w:rPr>
        <w:instrText xml:space="preserve"> ADDIN EN.CITE &lt;EndNote&gt;&lt;Cite&gt;&lt;Author&gt;Tanner&lt;/Author&gt;&lt;Year&gt;1987&lt;/Year&gt;&lt;RecNum&gt;55&lt;/RecNum&gt;&lt;DisplayText&gt;[17]&lt;/DisplayText&gt;&lt;record&gt;&lt;rec-number&gt;55&lt;/rec-number&gt;&lt;foreign-keys&gt;&lt;key app="EN" db-id="rzsrwz2pt2tfzged2xlvt2eh9adpzpfrt29r" timestamp="1624180853"&gt;55&lt;/key&gt;&lt;/foreign-keys&gt;&lt;ref-type name="Journal Article"&gt;17&lt;/ref-type&gt;&lt;contributors&gt;&lt;authors&gt;&lt;author&gt;Tanner, James M.&lt;/author&gt;&lt;/authors&gt;&lt;/contributors&gt;&lt;titles&gt;&lt;title&gt;Growth as a Mirror of the Condition of Society: Secular Trends and Class Distinctions&lt;/title&gt;&lt;secondary-title&gt;Pediatrics International&lt;/secondary-title&gt;&lt;/titles&gt;&lt;periodical&gt;&lt;full-title&gt;Pediatrics International&lt;/full-title&gt;&lt;/periodical&gt;&lt;pages&gt;96-103&lt;/pages&gt;&lt;volume&gt;29&lt;/volume&gt;&lt;number&gt;1&lt;/number&gt;&lt;dates&gt;&lt;year&gt;1987&lt;/year&gt;&lt;/dates&gt;&lt;isbn&gt;1328-8067&lt;/isbn&gt;&lt;urls&gt;&lt;related-urls&gt;&lt;url&gt;https://onlinelibrary.wiley.com/doi/abs/10.1111/j.1442-200X.1987.tb00015.x&lt;/url&gt;&lt;/related-urls&gt;&lt;/urls&gt;&lt;electronic-resource-num&gt;https://doi.org/10.1111/j.1442-200X.1987.tb00015.x&lt;/electronic-resource-num&gt;&lt;/record&gt;&lt;/Cite&gt;&lt;/EndNote&gt;</w:instrText>
      </w:r>
      <w:r w:rsidR="003D5B36">
        <w:rPr>
          <w:rFonts w:cstheme="minorHAnsi"/>
        </w:rPr>
        <w:fldChar w:fldCharType="separate"/>
      </w:r>
      <w:r w:rsidR="000900CA">
        <w:rPr>
          <w:rFonts w:cstheme="minorHAnsi"/>
          <w:noProof/>
        </w:rPr>
        <w:t>[17]</w:t>
      </w:r>
      <w:r w:rsidR="003D5B36">
        <w:rPr>
          <w:rFonts w:cstheme="minorHAnsi"/>
        </w:rPr>
        <w:fldChar w:fldCharType="end"/>
      </w:r>
      <w:r>
        <w:rPr>
          <w:rFonts w:cstheme="minorHAnsi"/>
        </w:rPr>
        <w:t xml:space="preserve">. However, in England the focus continues to be on overweight and obesity. </w:t>
      </w:r>
      <w:r w:rsidR="00B20819" w:rsidRPr="001E7454">
        <w:rPr>
          <w:rFonts w:cstheme="minorHAnsi"/>
        </w:rPr>
        <w:t xml:space="preserve">To our knowledge, this is the first study presenting data on geographical </w:t>
      </w:r>
      <w:r w:rsidR="00981565">
        <w:rPr>
          <w:rFonts w:cstheme="minorHAnsi"/>
        </w:rPr>
        <w:t>clustering</w:t>
      </w:r>
      <w:r w:rsidR="00B20819" w:rsidRPr="001E7454">
        <w:rPr>
          <w:rFonts w:cstheme="minorHAnsi"/>
        </w:rPr>
        <w:t xml:space="preserve"> of s</w:t>
      </w:r>
      <w:r w:rsidR="002558AD">
        <w:rPr>
          <w:rFonts w:cstheme="minorHAnsi"/>
        </w:rPr>
        <w:t>hort stature</w:t>
      </w:r>
      <w:r w:rsidR="00B20819" w:rsidRPr="001E7454">
        <w:rPr>
          <w:rFonts w:cstheme="minorHAnsi"/>
        </w:rPr>
        <w:t xml:space="preserve"> in the UK. </w:t>
      </w:r>
      <w:r w:rsidR="00C04483" w:rsidRPr="001E7454">
        <w:rPr>
          <w:rFonts w:cstheme="minorHAnsi"/>
        </w:rPr>
        <w:t xml:space="preserve">The World Bank reports an average stunting </w:t>
      </w:r>
      <w:r w:rsidR="002558AD">
        <w:rPr>
          <w:rFonts w:cstheme="minorHAnsi"/>
        </w:rPr>
        <w:t>(</w:t>
      </w:r>
      <w:r w:rsidR="0074722E">
        <w:rPr>
          <w:rFonts w:cstheme="minorHAnsi"/>
        </w:rPr>
        <w:t>short stature</w:t>
      </w:r>
      <w:r w:rsidR="002558AD">
        <w:rPr>
          <w:rFonts w:cstheme="minorHAnsi"/>
        </w:rPr>
        <w:t xml:space="preserve">) </w:t>
      </w:r>
      <w:r w:rsidR="00C04483" w:rsidRPr="001E7454">
        <w:rPr>
          <w:rFonts w:cstheme="minorHAnsi"/>
        </w:rPr>
        <w:t xml:space="preserve">prevalence in high-income countries of 2.8%, but there </w:t>
      </w:r>
      <w:r w:rsidR="00C04483">
        <w:rPr>
          <w:rFonts w:cstheme="minorHAnsi"/>
        </w:rPr>
        <w:t xml:space="preserve">are </w:t>
      </w:r>
      <w:r w:rsidR="00C04483" w:rsidRPr="001E7454">
        <w:rPr>
          <w:rFonts w:cstheme="minorHAnsi"/>
        </w:rPr>
        <w:t xml:space="preserve">very </w:t>
      </w:r>
      <w:r w:rsidR="00C04483">
        <w:rPr>
          <w:rFonts w:cstheme="minorHAnsi"/>
        </w:rPr>
        <w:t>few</w:t>
      </w:r>
      <w:r w:rsidR="00C04483" w:rsidRPr="001E7454">
        <w:rPr>
          <w:rFonts w:cstheme="minorHAnsi"/>
        </w:rPr>
        <w:t xml:space="preserve"> recent data for international comparison and the database includes no data from the UK</w:t>
      </w:r>
      <w:r w:rsidR="00707F43">
        <w:rPr>
          <w:rFonts w:cstheme="minorHAnsi"/>
        </w:rPr>
        <w:t xml:space="preserve"> </w:t>
      </w:r>
      <w:r w:rsidR="004A1B15">
        <w:rPr>
          <w:rFonts w:cstheme="minorHAnsi"/>
        </w:rPr>
        <w:fldChar w:fldCharType="begin"/>
      </w:r>
      <w:r w:rsidR="000900CA">
        <w:rPr>
          <w:rFonts w:cstheme="minorHAnsi"/>
        </w:rPr>
        <w:instrText xml:space="preserve"> ADDIN EN.CITE &lt;EndNote&gt;&lt;Cite&gt;&lt;Author&gt;UNICEF&lt;/Author&gt;&lt;RecNum&gt;9&lt;/RecNum&gt;&lt;DisplayText&gt;[18]&lt;/DisplayText&gt;&lt;record&gt;&lt;rec-number&gt;9&lt;/rec-number&gt;&lt;foreign-keys&gt;&lt;key app="EN" db-id="rzsrwz2pt2tfzged2xlvt2eh9adpzpfrt29r" timestamp="1611769226"&gt;9&lt;/key&gt;&lt;/foreign-keys&gt;&lt;ref-type name="Web Page"&gt;12&lt;/ref-type&gt;&lt;contributors&gt;&lt;authors&gt;&lt;author&gt;UNICEF, WHO, World Bank,&lt;/author&gt;&lt;/authors&gt;&lt;/contributors&gt;&lt;titles&gt;&lt;title&gt;Prevalence of stunting, height for age (% of children under 5)&lt;/title&gt;&lt;/titles&gt;&lt;volume&gt;2020&lt;/volume&gt;&lt;number&gt;5th December &lt;/number&gt;&lt;dates&gt;&lt;/dates&gt;&lt;urls&gt;&lt;related-urls&gt;&lt;url&gt;https://data.worldbank.org/indicator/SH.STA.STNT.ZS&lt;/url&gt;&lt;/related-urls&gt;&lt;/urls&gt;&lt;/record&gt;&lt;/Cite&gt;&lt;/EndNote&gt;</w:instrText>
      </w:r>
      <w:r w:rsidR="004A1B15">
        <w:rPr>
          <w:rFonts w:cstheme="minorHAnsi"/>
        </w:rPr>
        <w:fldChar w:fldCharType="separate"/>
      </w:r>
      <w:r w:rsidR="000900CA">
        <w:rPr>
          <w:rFonts w:cstheme="minorHAnsi"/>
          <w:noProof/>
        </w:rPr>
        <w:t>[18]</w:t>
      </w:r>
      <w:r w:rsidR="004A1B15">
        <w:rPr>
          <w:rFonts w:cstheme="minorHAnsi"/>
        </w:rPr>
        <w:fldChar w:fldCharType="end"/>
      </w:r>
      <w:r w:rsidR="00707F43">
        <w:rPr>
          <w:rFonts w:cstheme="minorHAnsi"/>
        </w:rPr>
        <w:t>.</w:t>
      </w:r>
      <w:r w:rsidR="00C04483" w:rsidRPr="001E7454">
        <w:rPr>
          <w:rFonts w:cstheme="minorHAnsi"/>
        </w:rPr>
        <w:t xml:space="preserve"> </w:t>
      </w:r>
      <w:r w:rsidR="00B20819" w:rsidRPr="001E7454">
        <w:rPr>
          <w:rFonts w:cstheme="minorHAnsi"/>
        </w:rPr>
        <w:t>We found evidence of a clear association between s</w:t>
      </w:r>
      <w:r w:rsidR="002558AD">
        <w:rPr>
          <w:rFonts w:cstheme="minorHAnsi"/>
        </w:rPr>
        <w:t>hort stature</w:t>
      </w:r>
      <w:r w:rsidR="00B20819" w:rsidRPr="001E7454">
        <w:rPr>
          <w:rFonts w:cstheme="minorHAnsi"/>
        </w:rPr>
        <w:t xml:space="preserve"> and area-level deprivation. </w:t>
      </w:r>
      <w:r w:rsidR="00483A3F">
        <w:rPr>
          <w:rFonts w:cstheme="minorHAnsi"/>
        </w:rPr>
        <w:t xml:space="preserve">The association holds even for </w:t>
      </w:r>
      <w:r w:rsidR="0074722E">
        <w:rPr>
          <w:rFonts w:cstheme="minorHAnsi"/>
        </w:rPr>
        <w:t>very</w:t>
      </w:r>
      <w:r w:rsidR="00483A3F">
        <w:rPr>
          <w:rFonts w:cstheme="minorHAnsi"/>
        </w:rPr>
        <w:t xml:space="preserve"> short stature (height SDS &lt;-2.67), whereby prevalence falls monotonically from 0.5</w:t>
      </w:r>
      <w:r w:rsidR="006613D5">
        <w:rPr>
          <w:rFonts w:cstheme="minorHAnsi"/>
        </w:rPr>
        <w:t>2</w:t>
      </w:r>
      <w:r w:rsidR="00483A3F">
        <w:rPr>
          <w:rFonts w:cstheme="minorHAnsi"/>
        </w:rPr>
        <w:t xml:space="preserve"> to 0.2</w:t>
      </w:r>
      <w:r w:rsidR="006613D5">
        <w:rPr>
          <w:rFonts w:cstheme="minorHAnsi"/>
        </w:rPr>
        <w:t>3</w:t>
      </w:r>
      <w:r w:rsidR="00483A3F">
        <w:rPr>
          <w:rFonts w:cstheme="minorHAnsi"/>
        </w:rPr>
        <w:t xml:space="preserve"> across the IMD deciles (Supplemental Table </w:t>
      </w:r>
      <w:r w:rsidR="007219EC">
        <w:rPr>
          <w:rFonts w:cstheme="minorHAnsi"/>
        </w:rPr>
        <w:t>J</w:t>
      </w:r>
      <w:r w:rsidR="00483A3F">
        <w:rPr>
          <w:rFonts w:cstheme="minorHAnsi"/>
        </w:rPr>
        <w:t xml:space="preserve">). </w:t>
      </w:r>
      <w:r w:rsidR="00B20819" w:rsidRPr="001E7454">
        <w:rPr>
          <w:rFonts w:cstheme="minorHAnsi"/>
        </w:rPr>
        <w:t>An association between height and deprivation</w:t>
      </w:r>
      <w:r w:rsidR="00270B20">
        <w:rPr>
          <w:rFonts w:cstheme="minorHAnsi"/>
        </w:rPr>
        <w:t xml:space="preserve"> in children of this age</w:t>
      </w:r>
      <w:r w:rsidR="00B20819" w:rsidRPr="001E7454">
        <w:rPr>
          <w:rFonts w:cstheme="minorHAnsi"/>
        </w:rPr>
        <w:t xml:space="preserve"> has previously been </w:t>
      </w:r>
      <w:r w:rsidR="00270B20">
        <w:rPr>
          <w:rFonts w:cstheme="minorHAnsi"/>
        </w:rPr>
        <w:t>demonstrated</w:t>
      </w:r>
      <w:r w:rsidR="00E01FD7">
        <w:rPr>
          <w:rFonts w:cstheme="minorHAnsi"/>
        </w:rPr>
        <w:t xml:space="preserve"> </w:t>
      </w:r>
      <w:r w:rsidR="008D7BE0">
        <w:rPr>
          <w:rFonts w:cstheme="minorHAnsi"/>
        </w:rPr>
        <w:fldChar w:fldCharType="begin"/>
      </w:r>
      <w:r w:rsidR="000900CA">
        <w:rPr>
          <w:rFonts w:cstheme="minorHAnsi"/>
        </w:rPr>
        <w:instrText xml:space="preserve"> ADDIN EN.CITE &lt;EndNote&gt;&lt;Cite&gt;&lt;Author&gt;Hancock&lt;/Author&gt;&lt;Year&gt;2016&lt;/Year&gt;&lt;RecNum&gt;16&lt;/RecNum&gt;&lt;DisplayText&gt;[19]&lt;/DisplayText&gt;&lt;record&gt;&lt;rec-number&gt;16&lt;/rec-number&gt;&lt;foreign-keys&gt;&lt;key app="EN" db-id="rzsrwz2pt2tfzged2xlvt2eh9adpzpfrt29r" timestamp="1611824377"&gt;16&lt;/key&gt;&lt;/foreign-keys&gt;&lt;ref-type name="Journal Article"&gt;17&lt;/ref-type&gt;&lt;contributors&gt;&lt;authors&gt;&lt;author&gt;Hancock, C.&lt;/author&gt;&lt;author&gt;Bettiol, S.&lt;/author&gt;&lt;author&gt;Smith, L.&lt;/author&gt;&lt;/authors&gt;&lt;/contributors&gt;&lt;auth-address&gt;Public Health England, KIT East Midlands, Mansfield, UK.&amp;#xD;School of Medicine, University of Tasmania, Medical Sciences Precinct, Hobart, Tasmania, Australia.&amp;#xD;Department of Psychology, Social Work and Public Health, Oxford Brookes University, Oxford, UK.&lt;/auth-address&gt;&lt;titles&gt;&lt;title&gt;Socioeconomic variation in height: analysis of National Child Measurement Programme data for England&lt;/title&gt;&lt;secondary-title&gt;Arch Dis Child&lt;/secondary-title&gt;&lt;/titles&gt;&lt;periodical&gt;&lt;full-title&gt;Arch Dis Child&lt;/full-title&gt;&lt;/periodical&gt;&lt;pages&gt;422-6&lt;/pages&gt;&lt;volume&gt;101&lt;/volume&gt;&lt;number&gt;5&lt;/number&gt;&lt;edition&gt;2015/09/06&lt;/edition&gt;&lt;keywords&gt;&lt;keyword&gt;Body Height/*ethnology&lt;/keyword&gt;&lt;keyword&gt;Child&lt;/keyword&gt;&lt;keyword&gt;Child, Preschool&lt;/keyword&gt;&lt;keyword&gt;Cross-Sectional Studies&lt;/keyword&gt;&lt;keyword&gt;England&lt;/keyword&gt;&lt;keyword&gt;*Ethnic Groups&lt;/keyword&gt;&lt;keyword&gt;Female&lt;/keyword&gt;&lt;keyword&gt;Humans&lt;/keyword&gt;&lt;keyword&gt;Income/*statistics &amp;amp; numerical data&lt;/keyword&gt;&lt;keyword&gt;Male&lt;/keyword&gt;&lt;keyword&gt;Risk Factors&lt;/keyword&gt;&lt;keyword&gt;Schools/statistics &amp;amp; numerical data&lt;/keyword&gt;&lt;keyword&gt;Socioeconomic Factors&lt;/keyword&gt;&lt;keyword&gt;Epidemiology&lt;/keyword&gt;&lt;keyword&gt;Statistics&lt;/keyword&gt;&lt;/keywords&gt;&lt;dates&gt;&lt;year&gt;2016&lt;/year&gt;&lt;pub-dates&gt;&lt;date&gt;May&lt;/date&gt;&lt;/pub-dates&gt;&lt;/dates&gt;&lt;isbn&gt;0003-9888&lt;/isbn&gt;&lt;accession-num&gt;26342096&lt;/accession-num&gt;&lt;urls&gt;&lt;/urls&gt;&lt;electronic-resource-num&gt;10.1136/archdischild-2015-308431&lt;/electronic-resource-num&gt;&lt;remote-database-provider&gt;NLM&lt;/remote-database-provider&gt;&lt;language&gt;eng&lt;/language&gt;&lt;/record&gt;&lt;/Cite&gt;&lt;/EndNote&gt;</w:instrText>
      </w:r>
      <w:r w:rsidR="008D7BE0">
        <w:rPr>
          <w:rFonts w:cstheme="minorHAnsi"/>
        </w:rPr>
        <w:fldChar w:fldCharType="separate"/>
      </w:r>
      <w:r w:rsidR="000900CA">
        <w:rPr>
          <w:rFonts w:cstheme="minorHAnsi"/>
          <w:noProof/>
        </w:rPr>
        <w:t>[19]</w:t>
      </w:r>
      <w:r w:rsidR="008D7BE0">
        <w:rPr>
          <w:rFonts w:cstheme="minorHAnsi"/>
        </w:rPr>
        <w:fldChar w:fldCharType="end"/>
      </w:r>
      <w:r w:rsidR="00E01FD7">
        <w:rPr>
          <w:rFonts w:cstheme="minorHAnsi"/>
        </w:rPr>
        <w:t>,</w:t>
      </w:r>
      <w:r w:rsidR="00B20819" w:rsidRPr="001E7454">
        <w:rPr>
          <w:rFonts w:cstheme="minorHAnsi"/>
        </w:rPr>
        <w:t xml:space="preserve"> but</w:t>
      </w:r>
      <w:r w:rsidR="00F26A26">
        <w:rPr>
          <w:rFonts w:cstheme="minorHAnsi"/>
        </w:rPr>
        <w:t xml:space="preserve"> the relationship between deprivation and s</w:t>
      </w:r>
      <w:r w:rsidR="00D842AE">
        <w:rPr>
          <w:rFonts w:cstheme="minorHAnsi"/>
        </w:rPr>
        <w:t>hort stature</w:t>
      </w:r>
      <w:r w:rsidR="005716AB">
        <w:rPr>
          <w:rFonts w:cstheme="minorHAnsi"/>
        </w:rPr>
        <w:t xml:space="preserve"> has not previously been investigated in the UK.</w:t>
      </w:r>
      <w:r w:rsidR="00B20819" w:rsidRPr="001E7454">
        <w:rPr>
          <w:rFonts w:cstheme="minorHAnsi"/>
        </w:rPr>
        <w:t xml:space="preserve"> There were 2,560 children</w:t>
      </w:r>
      <w:r w:rsidR="001A7E61">
        <w:rPr>
          <w:rFonts w:cstheme="minorHAnsi"/>
        </w:rPr>
        <w:t xml:space="preserve"> with short stature</w:t>
      </w:r>
      <w:r w:rsidR="00B20819" w:rsidRPr="001E7454">
        <w:rPr>
          <w:rFonts w:cstheme="minorHAnsi"/>
        </w:rPr>
        <w:t xml:space="preserve"> per 100,000 in the bottom decile and 1,380 per 100,000 in the top decile (a scale factor of 1.86; Table </w:t>
      </w:r>
      <w:r w:rsidR="00D91526">
        <w:rPr>
          <w:rFonts w:cstheme="minorHAnsi"/>
        </w:rPr>
        <w:t>1</w:t>
      </w:r>
      <w:r w:rsidR="00B20819" w:rsidRPr="001E7454">
        <w:rPr>
          <w:rFonts w:cstheme="minorHAnsi"/>
        </w:rPr>
        <w:t>) and clusters identified by spatial analyses all had an IMD below the sample average in unadjusted and ethnicity</w:t>
      </w:r>
      <w:r w:rsidR="00247C60">
        <w:rPr>
          <w:rFonts w:cstheme="minorHAnsi"/>
        </w:rPr>
        <w:t>-</w:t>
      </w:r>
      <w:r w:rsidR="00B20819" w:rsidRPr="001E7454">
        <w:rPr>
          <w:rFonts w:cstheme="minorHAnsi"/>
        </w:rPr>
        <w:t>adjusted models</w:t>
      </w:r>
      <w:r w:rsidR="00B20819" w:rsidRPr="00F41036">
        <w:rPr>
          <w:rFonts w:cstheme="minorHAnsi"/>
        </w:rPr>
        <w:t xml:space="preserve">. </w:t>
      </w:r>
      <w:r w:rsidR="00B20819" w:rsidRPr="001E7454">
        <w:rPr>
          <w:rFonts w:cstheme="minorHAnsi"/>
        </w:rPr>
        <w:t>Recent</w:t>
      </w:r>
      <w:r w:rsidR="002C5A59">
        <w:rPr>
          <w:rFonts w:cstheme="minorHAnsi"/>
        </w:rPr>
        <w:t>ly</w:t>
      </w:r>
      <w:r w:rsidR="00B20819" w:rsidRPr="001E7454">
        <w:rPr>
          <w:rFonts w:cstheme="minorHAnsi"/>
        </w:rPr>
        <w:t xml:space="preserve"> published data on child poverty indicators reveals an overlap between areas with high levels of child poverty and the clusters of s</w:t>
      </w:r>
      <w:r w:rsidR="0074722E">
        <w:rPr>
          <w:rFonts w:cstheme="minorHAnsi"/>
        </w:rPr>
        <w:t>hort stature</w:t>
      </w:r>
      <w:r w:rsidR="00B20819" w:rsidRPr="001E7454">
        <w:rPr>
          <w:rFonts w:cstheme="minorHAnsi"/>
        </w:rPr>
        <w:t xml:space="preserve"> we identified</w:t>
      </w:r>
      <w:r w:rsidR="00E01FD7">
        <w:rPr>
          <w:rFonts w:cstheme="minorHAnsi"/>
        </w:rPr>
        <w:t xml:space="preserve"> </w:t>
      </w:r>
      <w:r w:rsidR="005B3F43">
        <w:rPr>
          <w:rFonts w:cstheme="minorHAnsi"/>
        </w:rPr>
        <w:fldChar w:fldCharType="begin"/>
      </w:r>
      <w:r w:rsidR="000900CA">
        <w:rPr>
          <w:rFonts w:cstheme="minorHAnsi"/>
        </w:rPr>
        <w:instrText xml:space="preserve"> ADDIN EN.CITE &lt;EndNote&gt;&lt;Cite&gt;&lt;Author&gt;Hirsch&lt;/Author&gt;&lt;RecNum&gt;17&lt;/RecNum&gt;&lt;DisplayText&gt;[20]&lt;/DisplayText&gt;&lt;record&gt;&lt;rec-number&gt;17&lt;/rec-number&gt;&lt;foreign-keys&gt;&lt;key app="EN" db-id="rzsrwz2pt2tfzged2xlvt2eh9adpzpfrt29r" timestamp="1611824484"&gt;17&lt;/key&gt;&lt;/foreign-keys&gt;&lt;ref-type name="Journal Article"&gt;17&lt;/ref-type&gt;&lt;contributors&gt;&lt;authors&gt;&lt;author&gt;Hirsch, Donald&lt;/author&gt;&lt;author&gt;Stone, Juliet&lt;/author&gt;&lt;/authors&gt;&lt;/contributors&gt;&lt;titles&gt;&lt;title&gt;Local indicators of child poverty after housing costs, 2018/19. Summary of estimates of child poverty after housing costs in local authorities and parliamentary constituencies, 2014/15–2018/19&lt;/title&gt;&lt;/titles&gt;&lt;dates&gt;&lt;/dates&gt;&lt;urls&gt;&lt;related-urls&gt;&lt;url&gt;https://repository.lboro.ac.uk/articles/report/&lt;/url&gt;&lt;/related-urls&gt;&lt;/urls&gt;&lt;/record&gt;&lt;/Cite&gt;&lt;/EndNote&gt;</w:instrText>
      </w:r>
      <w:r w:rsidR="005B3F43">
        <w:rPr>
          <w:rFonts w:cstheme="minorHAnsi"/>
        </w:rPr>
        <w:fldChar w:fldCharType="separate"/>
      </w:r>
      <w:r w:rsidR="000900CA">
        <w:rPr>
          <w:rFonts w:cstheme="minorHAnsi"/>
          <w:noProof/>
        </w:rPr>
        <w:t>[20]</w:t>
      </w:r>
      <w:r w:rsidR="005B3F43">
        <w:rPr>
          <w:rFonts w:cstheme="minorHAnsi"/>
        </w:rPr>
        <w:fldChar w:fldCharType="end"/>
      </w:r>
      <w:r w:rsidR="00E01FD7">
        <w:rPr>
          <w:rFonts w:cstheme="minorHAnsi"/>
        </w:rPr>
        <w:t>.</w:t>
      </w:r>
      <w:r w:rsidR="00B20819" w:rsidRPr="001E7454">
        <w:rPr>
          <w:rFonts w:cstheme="minorHAnsi"/>
        </w:rPr>
        <w:t xml:space="preserve"> </w:t>
      </w:r>
    </w:p>
    <w:p w14:paraId="744743B4" w14:textId="26704EE8" w:rsidR="00B20819" w:rsidRDefault="00247C60" w:rsidP="001E7454">
      <w:pPr>
        <w:spacing w:line="360" w:lineRule="auto"/>
        <w:rPr>
          <w:rFonts w:cstheme="minorHAnsi"/>
        </w:rPr>
      </w:pPr>
      <w:r>
        <w:rPr>
          <w:rFonts w:cstheme="minorHAnsi"/>
        </w:rPr>
        <w:t>Our</w:t>
      </w:r>
      <w:r w:rsidRPr="001E7454">
        <w:rPr>
          <w:rFonts w:cstheme="minorHAnsi"/>
        </w:rPr>
        <w:t xml:space="preserve"> </w:t>
      </w:r>
      <w:r w:rsidR="00B20819" w:rsidRPr="001E7454">
        <w:rPr>
          <w:rFonts w:cstheme="minorHAnsi"/>
        </w:rPr>
        <w:t>data demonstrate a striking North</w:t>
      </w:r>
      <w:r w:rsidR="00270B20">
        <w:rPr>
          <w:rFonts w:cstheme="minorHAnsi"/>
        </w:rPr>
        <w:t>-</w:t>
      </w:r>
      <w:r w:rsidR="00B20819" w:rsidRPr="001E7454">
        <w:rPr>
          <w:rFonts w:cstheme="minorHAnsi"/>
        </w:rPr>
        <w:t>South divide in s</w:t>
      </w:r>
      <w:r w:rsidR="0021146E">
        <w:rPr>
          <w:rFonts w:cstheme="minorHAnsi"/>
        </w:rPr>
        <w:t>hort stature</w:t>
      </w:r>
      <w:r w:rsidR="00B20819" w:rsidRPr="001E7454">
        <w:rPr>
          <w:rFonts w:cstheme="minorHAnsi"/>
        </w:rPr>
        <w:t xml:space="preserve"> prevalence in England (Fi</w:t>
      </w:r>
      <w:r w:rsidR="00D63A61">
        <w:rPr>
          <w:rFonts w:cstheme="minorHAnsi"/>
        </w:rPr>
        <w:t xml:space="preserve">gure </w:t>
      </w:r>
      <w:r w:rsidR="002C5A59">
        <w:rPr>
          <w:rFonts w:cstheme="minorHAnsi"/>
        </w:rPr>
        <w:t>3</w:t>
      </w:r>
      <w:r w:rsidR="00B20819" w:rsidRPr="001E7454">
        <w:rPr>
          <w:rFonts w:cstheme="minorHAnsi"/>
        </w:rPr>
        <w:t xml:space="preserve">). </w:t>
      </w:r>
      <w:r w:rsidR="001C1F8D">
        <w:rPr>
          <w:rFonts w:cstheme="minorHAnsi"/>
        </w:rPr>
        <w:t>Six of</w:t>
      </w:r>
      <w:r w:rsidR="00B20819" w:rsidRPr="001E7454">
        <w:rPr>
          <w:rFonts w:cstheme="minorHAnsi"/>
        </w:rPr>
        <w:t xml:space="preserve"> the </w:t>
      </w:r>
      <w:r w:rsidR="001C1F8D">
        <w:rPr>
          <w:rFonts w:cstheme="minorHAnsi"/>
        </w:rPr>
        <w:t>eight</w:t>
      </w:r>
      <w:r w:rsidR="00B20819" w:rsidRPr="001E7454">
        <w:rPr>
          <w:rFonts w:cstheme="minorHAnsi"/>
        </w:rPr>
        <w:t xml:space="preserve"> clusters identified </w:t>
      </w:r>
      <w:r w:rsidR="001C1F8D">
        <w:rPr>
          <w:rFonts w:cstheme="minorHAnsi"/>
        </w:rPr>
        <w:t xml:space="preserve">in </w:t>
      </w:r>
      <w:r>
        <w:rPr>
          <w:rFonts w:cstheme="minorHAnsi"/>
        </w:rPr>
        <w:t>the</w:t>
      </w:r>
      <w:r w:rsidR="001C1F8D">
        <w:rPr>
          <w:rFonts w:cstheme="minorHAnsi"/>
        </w:rPr>
        <w:t xml:space="preserve"> ethnicity</w:t>
      </w:r>
      <w:r>
        <w:rPr>
          <w:rFonts w:cstheme="minorHAnsi"/>
        </w:rPr>
        <w:t>-</w:t>
      </w:r>
      <w:r w:rsidR="001C1F8D">
        <w:rPr>
          <w:rFonts w:cstheme="minorHAnsi"/>
        </w:rPr>
        <w:t xml:space="preserve">adjusted analysis </w:t>
      </w:r>
      <w:r w:rsidR="00B20819" w:rsidRPr="001E7454">
        <w:rPr>
          <w:rFonts w:cstheme="minorHAnsi"/>
        </w:rPr>
        <w:t>were in the North and Midlands, and there were no clusters outside</w:t>
      </w:r>
      <w:r w:rsidR="00705F75">
        <w:rPr>
          <w:rFonts w:cstheme="minorHAnsi"/>
        </w:rPr>
        <w:t xml:space="preserve"> of</w:t>
      </w:r>
      <w:r w:rsidR="00B20819" w:rsidRPr="001E7454">
        <w:rPr>
          <w:rFonts w:cstheme="minorHAnsi"/>
        </w:rPr>
        <w:t xml:space="preserve"> London in the South.</w:t>
      </w:r>
      <w:r w:rsidR="00705F75">
        <w:rPr>
          <w:rFonts w:cstheme="minorHAnsi"/>
        </w:rPr>
        <w:t xml:space="preserve"> </w:t>
      </w:r>
      <w:r w:rsidR="003F207E">
        <w:rPr>
          <w:rFonts w:cstheme="minorHAnsi"/>
        </w:rPr>
        <w:t xml:space="preserve">Spatial-temporal analyses were more </w:t>
      </w:r>
      <w:proofErr w:type="gramStart"/>
      <w:r w:rsidR="003F207E">
        <w:rPr>
          <w:rFonts w:cstheme="minorHAnsi"/>
        </w:rPr>
        <w:t>complex</w:t>
      </w:r>
      <w:proofErr w:type="gramEnd"/>
      <w:r w:rsidR="003F207E">
        <w:rPr>
          <w:rFonts w:cstheme="minorHAnsi"/>
        </w:rPr>
        <w:t xml:space="preserve"> but they validated the main results by finding similar patterns of distribution of short stature, where clusters were </w:t>
      </w:r>
      <w:r w:rsidR="00AF00D2">
        <w:rPr>
          <w:rFonts w:cstheme="minorHAnsi"/>
        </w:rPr>
        <w:t>mainly concentrated</w:t>
      </w:r>
      <w:r w:rsidR="003F207E">
        <w:rPr>
          <w:rFonts w:cstheme="minorHAnsi"/>
        </w:rPr>
        <w:t xml:space="preserve"> in the North and Midlands of the country. </w:t>
      </w:r>
      <w:r w:rsidR="00705F75">
        <w:rPr>
          <w:rFonts w:cstheme="minorHAnsi"/>
        </w:rPr>
        <w:t>This is consistent with national samples of children born between 1920-1990 in the UK, in which children born in the North were shorter than children born in the South</w:t>
      </w:r>
      <w:r w:rsidR="00695681">
        <w:rPr>
          <w:rFonts w:cstheme="minorHAnsi"/>
        </w:rPr>
        <w:t xml:space="preserve"> </w:t>
      </w:r>
      <w:r w:rsidR="00695681">
        <w:rPr>
          <w:rFonts w:cstheme="minorHAnsi"/>
        </w:rPr>
        <w:fldChar w:fldCharType="begin">
          <w:fldData xml:space="preserve">PEVuZE5vdGU+PENpdGU+PEF1dGhvcj5CYXJrZXI8L0F1dGhvcj48WWVhcj4xOTkwPC9ZZWFyPjxS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</w:fldData>
        </w:fldChar>
      </w:r>
      <w:r w:rsidR="000900CA">
        <w:rPr>
          <w:rFonts w:cstheme="minorHAnsi"/>
        </w:rPr>
        <w:instrText xml:space="preserve"> ADDIN EN.CITE </w:instrText>
      </w:r>
      <w:r w:rsidR="000900CA">
        <w:rPr>
          <w:rFonts w:cstheme="minorHAnsi"/>
        </w:rPr>
        <w:fldChar w:fldCharType="begin">
          <w:fldData xml:space="preserve">PEVuZE5vdGU+PENpdGU+PEF1dGhvcj5CYXJrZXI8L0F1dGhvcj48WWVhcj4xOTkwPC9ZZWFyPjxS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</w:fldData>
        </w:fldChar>
      </w:r>
      <w:r w:rsidR="000900CA">
        <w:rPr>
          <w:rFonts w:cstheme="minorHAnsi"/>
        </w:rPr>
        <w:instrText xml:space="preserve"> ADDIN EN.CITE.DATA </w:instrText>
      </w:r>
      <w:r w:rsidR="000900CA">
        <w:rPr>
          <w:rFonts w:cstheme="minorHAnsi"/>
        </w:rPr>
      </w:r>
      <w:r w:rsidR="000900CA">
        <w:rPr>
          <w:rFonts w:cstheme="minorHAnsi"/>
        </w:rPr>
        <w:fldChar w:fldCharType="end"/>
      </w:r>
      <w:r w:rsidR="00695681">
        <w:rPr>
          <w:rFonts w:cstheme="minorHAnsi"/>
        </w:rPr>
      </w:r>
      <w:r w:rsidR="00695681">
        <w:rPr>
          <w:rFonts w:cstheme="minorHAnsi"/>
        </w:rPr>
        <w:fldChar w:fldCharType="separate"/>
      </w:r>
      <w:r w:rsidR="000900CA">
        <w:rPr>
          <w:rFonts w:cstheme="minorHAnsi"/>
          <w:noProof/>
        </w:rPr>
        <w:t>[21]</w:t>
      </w:r>
      <w:r w:rsidR="00695681">
        <w:rPr>
          <w:rFonts w:cstheme="minorHAnsi"/>
        </w:rPr>
        <w:fldChar w:fldCharType="end"/>
      </w:r>
      <w:r w:rsidR="00705F75">
        <w:rPr>
          <w:rFonts w:cstheme="minorHAnsi"/>
        </w:rPr>
        <w:t>.</w:t>
      </w:r>
      <w:r w:rsidR="007942A7">
        <w:rPr>
          <w:rFonts w:cstheme="minorHAnsi"/>
        </w:rPr>
        <w:t xml:space="preserve"> A 2015 analysis of around 10,000 white children participating in the Millennium Cohort Study described a ‘</w:t>
      </w:r>
      <w:proofErr w:type="gramStart"/>
      <w:r w:rsidR="007942A7">
        <w:rPr>
          <w:rFonts w:cstheme="minorHAnsi"/>
        </w:rPr>
        <w:t>Midlands</w:t>
      </w:r>
      <w:proofErr w:type="gramEnd"/>
      <w:r w:rsidR="007942A7">
        <w:rPr>
          <w:rFonts w:cstheme="minorHAnsi"/>
        </w:rPr>
        <w:t xml:space="preserve"> effect,’ where children in the Midlands were mo</w:t>
      </w:r>
      <w:r w:rsidR="00C6352D">
        <w:rPr>
          <w:rFonts w:cstheme="minorHAnsi"/>
        </w:rPr>
        <w:t>re</w:t>
      </w:r>
      <w:r w:rsidR="007942A7">
        <w:rPr>
          <w:rFonts w:cstheme="minorHAnsi"/>
        </w:rPr>
        <w:t xml:space="preserve"> likely to be shorter than </w:t>
      </w:r>
      <w:r w:rsidR="00C6352D">
        <w:rPr>
          <w:rFonts w:cstheme="minorHAnsi"/>
        </w:rPr>
        <w:t xml:space="preserve">-1 </w:t>
      </w:r>
      <w:r w:rsidR="007942A7">
        <w:rPr>
          <w:rFonts w:cstheme="minorHAnsi"/>
        </w:rPr>
        <w:t>SDS</w:t>
      </w:r>
      <w:r w:rsidR="00C6352D">
        <w:rPr>
          <w:rFonts w:cstheme="minorHAnsi"/>
        </w:rPr>
        <w:t>, compared to children in other regions</w:t>
      </w:r>
      <w:r w:rsidR="007942A7">
        <w:rPr>
          <w:rFonts w:cstheme="minorHAnsi"/>
        </w:rPr>
        <w:t xml:space="preserve">. </w:t>
      </w:r>
      <w:r w:rsidR="00B20819" w:rsidRPr="001E7454">
        <w:rPr>
          <w:rFonts w:cstheme="minorHAnsi"/>
        </w:rPr>
        <w:t xml:space="preserve">The clusters </w:t>
      </w:r>
      <w:r w:rsidR="00704E26">
        <w:rPr>
          <w:rFonts w:cstheme="minorHAnsi"/>
        </w:rPr>
        <w:t xml:space="preserve">also </w:t>
      </w:r>
      <w:r w:rsidR="00B20819" w:rsidRPr="001E7454">
        <w:rPr>
          <w:rFonts w:cstheme="minorHAnsi"/>
        </w:rPr>
        <w:t xml:space="preserve">correspond with the findings of the </w:t>
      </w:r>
      <w:r w:rsidR="00B20819" w:rsidRPr="00270B20">
        <w:rPr>
          <w:rFonts w:cstheme="minorHAnsi"/>
          <w:i/>
        </w:rPr>
        <w:t>Marmot Review</w:t>
      </w:r>
      <w:r w:rsidR="00270B20">
        <w:rPr>
          <w:rFonts w:cstheme="minorHAnsi"/>
          <w:i/>
        </w:rPr>
        <w:t xml:space="preserve"> 10 years on</w:t>
      </w:r>
      <w:r w:rsidR="00B20819" w:rsidRPr="001E7454">
        <w:rPr>
          <w:rFonts w:cstheme="minorHAnsi"/>
        </w:rPr>
        <w:t>, which documented regional inequalities in health that have disproportionately affected the North</w:t>
      </w:r>
      <w:r w:rsidR="00704E26">
        <w:rPr>
          <w:rFonts w:cstheme="minorHAnsi"/>
        </w:rPr>
        <w:t xml:space="preserve"> and Midlands</w:t>
      </w:r>
      <w:r w:rsidR="00270B20">
        <w:rPr>
          <w:rFonts w:cstheme="minorHAnsi"/>
        </w:rPr>
        <w:t xml:space="preserve">. The 2020 </w:t>
      </w:r>
      <w:r w:rsidR="00270B20">
        <w:rPr>
          <w:rFonts w:cstheme="minorHAnsi"/>
          <w:i/>
        </w:rPr>
        <w:t xml:space="preserve">Marmot Review </w:t>
      </w:r>
      <w:r w:rsidR="00270B20">
        <w:rPr>
          <w:rFonts w:cstheme="minorHAnsi"/>
        </w:rPr>
        <w:t>also described</w:t>
      </w:r>
      <w:r w:rsidR="00B20819" w:rsidRPr="001E7454">
        <w:rPr>
          <w:rFonts w:cstheme="minorHAnsi"/>
        </w:rPr>
        <w:t xml:space="preserve"> increased child poverty, greater infant mortality in the most deprived decile, and persisting socioeconomic and regional inequalities in child development and school readiness</w:t>
      </w:r>
      <w:r w:rsidR="006A1B52">
        <w:rPr>
          <w:rFonts w:cstheme="minorHAnsi"/>
        </w:rPr>
        <w:t xml:space="preserve"> </w:t>
      </w:r>
      <w:r w:rsidR="00FE4815">
        <w:rPr>
          <w:rFonts w:cstheme="minorHAnsi"/>
        </w:rPr>
        <w:fldChar w:fldCharType="begin"/>
      </w:r>
      <w:r w:rsidR="000900CA">
        <w:rPr>
          <w:rFonts w:cstheme="minorHAnsi"/>
        </w:rPr>
        <w:instrText xml:space="preserve"> ADDIN EN.CITE &lt;EndNote&gt;&lt;Cite&gt;&lt;Author&gt;Institute of Health Equity&lt;/Author&gt;&lt;Year&gt;2020&lt;/Year&gt;&lt;RecNum&gt;14&lt;/RecNum&gt;&lt;DisplayText&gt;[22]&lt;/DisplayText&gt;&lt;record&gt;&lt;rec-number&gt;14&lt;/rec-number&gt;&lt;foreign-keys&gt;&lt;key app="EN" db-id="rzsrwz2pt2tfzged2xlvt2eh9adpzpfrt29r" timestamp="1611824006"&gt;14&lt;/key&gt;&lt;/foreign-keys&gt;&lt;ref-type name="Report"&gt;27&lt;/ref-type&gt;&lt;contributors&gt;&lt;authors&gt;&lt;author&gt;Institute of Health Equity, &lt;/author&gt;&lt;/authors&gt;&lt;/contributors&gt;&lt;titles&gt;&lt;title&gt;Health equity in England: the Marmot review 10 years on&lt;/title&gt;&lt;/titles&gt;&lt;dates&gt;&lt;year&gt;2020&lt;/year&gt;&lt;/dates&gt;&lt;pub-location&gt;London&lt;/pub-location&gt;&lt;urls&gt;&lt;related-urls&gt;&lt;url&gt;http://www.instituteofhealthequity.org/the-marmot-review-10-years-on&lt;/url&gt;&lt;/related-urls&gt;&lt;/urls&gt;&lt;/record&gt;&lt;/Cite&gt;&lt;/EndNote&gt;</w:instrText>
      </w:r>
      <w:r w:rsidR="00FE4815">
        <w:rPr>
          <w:rFonts w:cstheme="minorHAnsi"/>
        </w:rPr>
        <w:fldChar w:fldCharType="separate"/>
      </w:r>
      <w:r w:rsidR="000900CA">
        <w:rPr>
          <w:rFonts w:cstheme="minorHAnsi"/>
          <w:noProof/>
        </w:rPr>
        <w:t>[22]</w:t>
      </w:r>
      <w:r w:rsidR="00FE4815">
        <w:rPr>
          <w:rFonts w:cstheme="minorHAnsi"/>
        </w:rPr>
        <w:fldChar w:fldCharType="end"/>
      </w:r>
      <w:r w:rsidR="006A1B52">
        <w:rPr>
          <w:rFonts w:cstheme="minorHAnsi"/>
        </w:rPr>
        <w:t>.</w:t>
      </w:r>
      <w:r w:rsidR="00B20819" w:rsidRPr="001E7454">
        <w:rPr>
          <w:rFonts w:cstheme="minorHAnsi"/>
        </w:rPr>
        <w:t xml:space="preserve"> Whilst the NCMP data clearly show a relationship between deprivation and s</w:t>
      </w:r>
      <w:r w:rsidR="0021146E">
        <w:rPr>
          <w:rFonts w:cstheme="minorHAnsi"/>
        </w:rPr>
        <w:t>hort stature</w:t>
      </w:r>
      <w:r w:rsidR="00B20819" w:rsidRPr="001E7454">
        <w:rPr>
          <w:rFonts w:cstheme="minorHAnsi"/>
        </w:rPr>
        <w:t>, the proximal mechanisms for poor linear growth in high-income setting</w:t>
      </w:r>
      <w:r>
        <w:rPr>
          <w:rFonts w:cstheme="minorHAnsi"/>
        </w:rPr>
        <w:t>s</w:t>
      </w:r>
      <w:r w:rsidR="00B20819" w:rsidRPr="001E7454">
        <w:rPr>
          <w:rFonts w:cstheme="minorHAnsi"/>
        </w:rPr>
        <w:t xml:space="preserve"> are not well established</w:t>
      </w:r>
      <w:r w:rsidR="00383C02">
        <w:rPr>
          <w:rFonts w:cstheme="minorHAnsi"/>
        </w:rPr>
        <w:t>. These</w:t>
      </w:r>
      <w:r w:rsidR="00463439">
        <w:rPr>
          <w:rFonts w:cstheme="minorHAnsi"/>
        </w:rPr>
        <w:t xml:space="preserve"> may include greater </w:t>
      </w:r>
      <w:r w:rsidR="00B20819" w:rsidRPr="001E7454">
        <w:rPr>
          <w:rFonts w:cstheme="minorHAnsi"/>
        </w:rPr>
        <w:t>infection burden, ambient pollution</w:t>
      </w:r>
      <w:r w:rsidR="007B1C95">
        <w:rPr>
          <w:rFonts w:cstheme="minorHAnsi"/>
        </w:rPr>
        <w:t>, poor diet quality</w:t>
      </w:r>
      <w:r w:rsidR="00B20819" w:rsidRPr="001E7454">
        <w:rPr>
          <w:rFonts w:cstheme="minorHAnsi"/>
        </w:rPr>
        <w:t xml:space="preserve"> and vitamin D deficiency. Additional mechanisms including adverse childhood experiences</w:t>
      </w:r>
      <w:r>
        <w:rPr>
          <w:rFonts w:cstheme="minorHAnsi"/>
        </w:rPr>
        <w:t>,</w:t>
      </w:r>
      <w:r w:rsidR="00B20819" w:rsidRPr="001E7454">
        <w:rPr>
          <w:rFonts w:cstheme="minorHAnsi"/>
        </w:rPr>
        <w:t xml:space="preserve"> pregnancy outcomes and epigenetics should be explored in further research</w:t>
      </w:r>
      <w:r>
        <w:rPr>
          <w:rFonts w:cstheme="minorHAnsi"/>
        </w:rPr>
        <w:t>.</w:t>
      </w:r>
      <w:r w:rsidR="00B20819" w:rsidRPr="001E7454">
        <w:rPr>
          <w:rFonts w:cstheme="minorHAnsi"/>
        </w:rPr>
        <w:t xml:space="preserve"> </w:t>
      </w:r>
    </w:p>
    <w:p w14:paraId="322C1B5D" w14:textId="19BE33BF" w:rsidR="00AB0888" w:rsidRPr="001E7454" w:rsidRDefault="007E0418" w:rsidP="001E7454">
      <w:pPr>
        <w:spacing w:line="360" w:lineRule="auto"/>
        <w:rPr>
          <w:rFonts w:cstheme="minorHAnsi"/>
        </w:rPr>
      </w:pPr>
      <w:r w:rsidRPr="007E0418">
        <w:rPr>
          <w:rFonts w:cstheme="minorHAnsi"/>
        </w:rPr>
        <w:t xml:space="preserve">We found that Indian, </w:t>
      </w:r>
      <w:proofErr w:type="gramStart"/>
      <w:r w:rsidRPr="007E0418">
        <w:rPr>
          <w:rFonts w:cstheme="minorHAnsi"/>
        </w:rPr>
        <w:t>Pakistani</w:t>
      </w:r>
      <w:proofErr w:type="gramEnd"/>
      <w:r w:rsidRPr="007E0418">
        <w:rPr>
          <w:rFonts w:cstheme="minorHAnsi"/>
        </w:rPr>
        <w:t xml:space="preserve"> and Bangladeshi children had the highest prevalence of s</w:t>
      </w:r>
      <w:r w:rsidR="00057FBB">
        <w:rPr>
          <w:rFonts w:cstheme="minorHAnsi"/>
        </w:rPr>
        <w:t>hort stature</w:t>
      </w:r>
      <w:r w:rsidRPr="007E0418">
        <w:rPr>
          <w:rFonts w:cstheme="minorHAnsi"/>
        </w:rPr>
        <w:t xml:space="preserve"> and Black and Mixed children had very low </w:t>
      </w:r>
      <w:r w:rsidR="006D0394">
        <w:rPr>
          <w:rFonts w:cstheme="minorHAnsi"/>
        </w:rPr>
        <w:t>prevalence</w:t>
      </w:r>
      <w:r w:rsidRPr="007E0418">
        <w:rPr>
          <w:rFonts w:cstheme="minorHAnsi"/>
        </w:rPr>
        <w:t xml:space="preserve"> of s</w:t>
      </w:r>
      <w:r w:rsidR="00057FBB">
        <w:rPr>
          <w:rFonts w:cstheme="minorHAnsi"/>
        </w:rPr>
        <w:t>hort stature</w:t>
      </w:r>
      <w:r w:rsidRPr="007E0418">
        <w:rPr>
          <w:rFonts w:cstheme="minorHAnsi"/>
        </w:rPr>
        <w:t>. The clusters we identified have high ethnic heterogeneity</w:t>
      </w:r>
      <w:r>
        <w:rPr>
          <w:rFonts w:cstheme="minorHAnsi"/>
        </w:rPr>
        <w:t>, with the</w:t>
      </w:r>
      <w:r w:rsidRPr="007E0418">
        <w:rPr>
          <w:rFonts w:cstheme="minorHAnsi"/>
        </w:rPr>
        <w:t xml:space="preserve"> proportion of </w:t>
      </w:r>
      <w:r w:rsidR="00D04511">
        <w:rPr>
          <w:rFonts w:cstheme="minorHAnsi"/>
        </w:rPr>
        <w:t>W</w:t>
      </w:r>
      <w:r w:rsidRPr="007E0418">
        <w:rPr>
          <w:rFonts w:cstheme="minorHAnsi"/>
        </w:rPr>
        <w:t xml:space="preserve">hite children in </w:t>
      </w:r>
      <w:r>
        <w:rPr>
          <w:rFonts w:cstheme="minorHAnsi"/>
        </w:rPr>
        <w:t xml:space="preserve">high prevalence </w:t>
      </w:r>
      <w:r w:rsidRPr="007E0418">
        <w:rPr>
          <w:rFonts w:cstheme="minorHAnsi"/>
        </w:rPr>
        <w:t>clusters rang</w:t>
      </w:r>
      <w:r>
        <w:rPr>
          <w:rFonts w:cstheme="minorHAnsi"/>
        </w:rPr>
        <w:t xml:space="preserve">ing </w:t>
      </w:r>
      <w:r w:rsidRPr="007E0418">
        <w:rPr>
          <w:rFonts w:cstheme="minorHAnsi"/>
        </w:rPr>
        <w:t xml:space="preserve">from </w:t>
      </w:r>
      <w:r w:rsidR="00AB0888">
        <w:rPr>
          <w:rFonts w:cstheme="minorHAnsi"/>
        </w:rPr>
        <w:t xml:space="preserve">over </w:t>
      </w:r>
      <w:r w:rsidRPr="007E0418">
        <w:rPr>
          <w:rFonts w:cstheme="minorHAnsi"/>
        </w:rPr>
        <w:t>9</w:t>
      </w:r>
      <w:r w:rsidR="00AB0888">
        <w:rPr>
          <w:rFonts w:cstheme="minorHAnsi"/>
        </w:rPr>
        <w:t>0</w:t>
      </w:r>
      <w:r w:rsidRPr="007E0418">
        <w:rPr>
          <w:rFonts w:cstheme="minorHAnsi"/>
        </w:rPr>
        <w:t xml:space="preserve">% in </w:t>
      </w:r>
      <w:r>
        <w:rPr>
          <w:rFonts w:cstheme="minorHAnsi"/>
        </w:rPr>
        <w:t>the</w:t>
      </w:r>
      <w:r w:rsidRPr="007E0418">
        <w:rPr>
          <w:rFonts w:cstheme="minorHAnsi"/>
        </w:rPr>
        <w:t xml:space="preserve"> </w:t>
      </w:r>
      <w:proofErr w:type="gramStart"/>
      <w:r w:rsidRPr="007E0418">
        <w:rPr>
          <w:rFonts w:cstheme="minorHAnsi"/>
        </w:rPr>
        <w:t>North</w:t>
      </w:r>
      <w:r>
        <w:rPr>
          <w:rFonts w:cstheme="minorHAnsi"/>
        </w:rPr>
        <w:t xml:space="preserve"> East</w:t>
      </w:r>
      <w:proofErr w:type="gramEnd"/>
      <w:r>
        <w:rPr>
          <w:rFonts w:cstheme="minorHAnsi"/>
        </w:rPr>
        <w:t xml:space="preserve"> Lincolnshire</w:t>
      </w:r>
      <w:r w:rsidRPr="007E0418">
        <w:rPr>
          <w:rFonts w:cstheme="minorHAnsi"/>
        </w:rPr>
        <w:t xml:space="preserve"> cluster to </w:t>
      </w:r>
      <w:r>
        <w:rPr>
          <w:rFonts w:cstheme="minorHAnsi"/>
        </w:rPr>
        <w:t>around</w:t>
      </w:r>
      <w:r w:rsidRPr="007E0418">
        <w:rPr>
          <w:rFonts w:cstheme="minorHAnsi"/>
        </w:rPr>
        <w:t xml:space="preserve"> a quarter</w:t>
      </w:r>
      <w:r>
        <w:rPr>
          <w:rFonts w:cstheme="minorHAnsi"/>
        </w:rPr>
        <w:t xml:space="preserve"> </w:t>
      </w:r>
      <w:r w:rsidRPr="007E0418">
        <w:rPr>
          <w:rFonts w:cstheme="minorHAnsi"/>
        </w:rPr>
        <w:t xml:space="preserve">in the London clusters. </w:t>
      </w:r>
      <w:r w:rsidR="00AB0888">
        <w:rPr>
          <w:rFonts w:ascii="Calibri" w:eastAsia="Calibri" w:hAnsi="Calibri" w:cs="Calibri"/>
        </w:rPr>
        <w:t>The relationship</w:t>
      </w:r>
      <w:r w:rsidR="00AB0888">
        <w:rPr>
          <w:rFonts w:ascii="Calibri" w:eastAsia="Calibri" w:hAnsi="Calibri" w:cs="Calibri"/>
          <w:sz w:val="16"/>
          <w:szCs w:val="16"/>
        </w:rPr>
        <w:t xml:space="preserve"> </w:t>
      </w:r>
      <w:r w:rsidR="00AB0888">
        <w:rPr>
          <w:rFonts w:ascii="Calibri" w:eastAsia="Calibri" w:hAnsi="Calibri" w:cs="Calibri"/>
        </w:rPr>
        <w:t>between ethnicity and linear growth in childhood is complex. The 2006 WHO Multicentre Growth Reference Study indicated that globally, the growth of economically advantaged, breastfed infants and children of non-smoking mothers is similar</w:t>
      </w:r>
      <w:r w:rsidR="006A1B52">
        <w:rPr>
          <w:rFonts w:ascii="Calibri" w:eastAsia="Calibri" w:hAnsi="Calibri" w:cs="Calibri"/>
        </w:rPr>
        <w:t xml:space="preserve"> </w:t>
      </w:r>
      <w:r w:rsidR="0036674C">
        <w:rPr>
          <w:rFonts w:ascii="Calibri" w:eastAsia="Calibri" w:hAnsi="Calibri" w:cs="Calibri"/>
        </w:rPr>
        <w:fldChar w:fldCharType="begin"/>
      </w:r>
      <w:r w:rsidR="000900CA">
        <w:rPr>
          <w:rFonts w:ascii="Calibri" w:eastAsia="Calibri" w:hAnsi="Calibri" w:cs="Calibri"/>
        </w:rPr>
        <w:instrText xml:space="preserve"> ADDIN EN.CITE &lt;EndNote&gt;&lt;Cite&gt;&lt;Author&gt;WHO Multicentre Growth Reference Study Group&lt;/Author&gt;&lt;Year&gt;2006&lt;/Year&gt;&lt;RecNum&gt;52&lt;/RecNum&gt;&lt;DisplayText&gt;[23]&lt;/DisplayText&gt;&lt;record&gt;&lt;rec-number&gt;52&lt;/rec-number&gt;&lt;foreign-keys&gt;&lt;key app="EN" db-id="rzsrwz2pt2tfzged2xlvt2eh9adpzpfrt29r" timestamp="1624038330"&gt;52&lt;/key&gt;&lt;/foreign-keys&gt;&lt;ref-type name="Journal Article"&gt;17&lt;/ref-type&gt;&lt;contributors&gt;&lt;authors&gt;&lt;author&gt;WHO Multicentre Growth Reference Study Group,&lt;/author&gt;&lt;author&gt;de Onis, Mercedes&lt;/author&gt;&lt;/authors&gt;&lt;/contributors&gt;&lt;titles&gt;&lt;title&gt;Assessment of differences in linear growth among populations in the WHO Multicentre Growth Reference Study&lt;/title&gt;&lt;secondary-title&gt;Acta Paediatrica&lt;/secondary-title&gt;&lt;/titles&gt;&lt;periodical&gt;&lt;full-title&gt;Acta Paediatrica&lt;/full-title&gt;&lt;/periodical&gt;&lt;pages&gt;56-65&lt;/pages&gt;&lt;volume&gt;95&lt;/volume&gt;&lt;number&gt;S450&lt;/number&gt;&lt;dates&gt;&lt;year&gt;2006&lt;/year&gt;&lt;/dates&gt;&lt;isbn&gt;0803-5253&lt;/isbn&gt;&lt;urls&gt;&lt;related-urls&gt;&lt;url&gt;https://onlinelibrary.wiley.com/doi/abs/10.1111/j.1651-2227.2006.tb02376.x&lt;/url&gt;&lt;/related-urls&gt;&lt;/urls&gt;&lt;electronic-resource-num&gt;https://doi.org/10.1111/j.1651-2227.2006.tb02376.x&lt;/electronic-resource-num&gt;&lt;/record&gt;&lt;/Cite&gt;&lt;/EndNote&gt;</w:instrText>
      </w:r>
      <w:r w:rsidR="0036674C">
        <w:rPr>
          <w:rFonts w:ascii="Calibri" w:eastAsia="Calibri" w:hAnsi="Calibri" w:cs="Calibri"/>
        </w:rPr>
        <w:fldChar w:fldCharType="separate"/>
      </w:r>
      <w:r w:rsidR="000900CA">
        <w:rPr>
          <w:rFonts w:ascii="Calibri" w:eastAsia="Calibri" w:hAnsi="Calibri" w:cs="Calibri"/>
          <w:noProof/>
        </w:rPr>
        <w:t>[23]</w:t>
      </w:r>
      <w:r w:rsidR="0036674C">
        <w:rPr>
          <w:rFonts w:ascii="Calibri" w:eastAsia="Calibri" w:hAnsi="Calibri" w:cs="Calibri"/>
        </w:rPr>
        <w:fldChar w:fldCharType="end"/>
      </w:r>
      <w:r w:rsidR="006A1B52">
        <w:rPr>
          <w:rFonts w:ascii="Calibri" w:eastAsia="Calibri" w:hAnsi="Calibri" w:cs="Calibri"/>
        </w:rPr>
        <w:t>.</w:t>
      </w:r>
      <w:r w:rsidR="00AB0888">
        <w:rPr>
          <w:rFonts w:ascii="Calibri" w:eastAsia="Calibri" w:hAnsi="Calibri" w:cs="Calibri"/>
        </w:rPr>
        <w:t xml:space="preserve"> The INTERGROWTH-21</w:t>
      </w:r>
      <w:r w:rsidR="00AB0888">
        <w:rPr>
          <w:rFonts w:ascii="Calibri" w:eastAsia="Calibri" w:hAnsi="Calibri" w:cs="Calibri"/>
          <w:vertAlign w:val="superscript"/>
        </w:rPr>
        <w:t>st</w:t>
      </w:r>
      <w:r w:rsidR="00AB0888">
        <w:rPr>
          <w:rFonts w:ascii="Calibri" w:eastAsia="Calibri" w:hAnsi="Calibri" w:cs="Calibri"/>
        </w:rPr>
        <w:t xml:space="preserve"> study demonstrated similar findings for </w:t>
      </w:r>
      <w:proofErr w:type="spellStart"/>
      <w:r w:rsidR="00AB0888">
        <w:rPr>
          <w:rFonts w:ascii="Calibri" w:eastAsia="Calibri" w:hAnsi="Calibri" w:cs="Calibri"/>
        </w:rPr>
        <w:t>fetal</w:t>
      </w:r>
      <w:proofErr w:type="spellEnd"/>
      <w:r w:rsidR="00AB0888">
        <w:rPr>
          <w:rFonts w:ascii="Calibri" w:eastAsia="Calibri" w:hAnsi="Calibri" w:cs="Calibri"/>
        </w:rPr>
        <w:t xml:space="preserve"> and neonatal growth</w:t>
      </w:r>
      <w:r w:rsidR="006A1B52">
        <w:rPr>
          <w:rFonts w:ascii="Calibri" w:eastAsia="Calibri" w:hAnsi="Calibri" w:cs="Calibri"/>
        </w:rPr>
        <w:t xml:space="preserve"> </w:t>
      </w:r>
      <w:r w:rsidR="00EA5249">
        <w:rPr>
          <w:rFonts w:ascii="Calibri" w:eastAsia="Calibri" w:hAnsi="Calibri" w:cs="Calibri"/>
        </w:rPr>
        <w:fldChar w:fldCharType="begin"/>
      </w:r>
      <w:r w:rsidR="000900CA">
        <w:rPr>
          <w:rFonts w:ascii="Calibri" w:eastAsia="Calibri" w:hAnsi="Calibri" w:cs="Calibri"/>
        </w:rPr>
        <w:instrText xml:space="preserve"> ADDIN EN.CITE &lt;EndNote&gt;&lt;Cite&gt;&lt;Author&gt;Villar&lt;/Author&gt;&lt;Year&gt;2014&lt;/Year&gt;&lt;RecNum&gt;53&lt;/RecNum&gt;&lt;DisplayText&gt;[24]&lt;/DisplayText&gt;&lt;record&gt;&lt;rec-number&gt;53&lt;/rec-number&gt;&lt;foreign-keys&gt;&lt;key app="EN" db-id="rzsrwz2pt2tfzged2xlvt2eh9adpzpfrt29r" timestamp="1624038775"&gt;53&lt;/key&gt;&lt;/foreign-keys&gt;&lt;ref-type name="Journal Article"&gt;17&lt;/ref-type&gt;&lt;contributors&gt;&lt;authors&gt;&lt;author&gt;Villar, José&lt;/author&gt;&lt;author&gt;Papageorghiou, Aris T.&lt;/author&gt;&lt;author&gt;Pang, Ruyan&lt;/author&gt;&lt;author&gt;Ohuma, Eric O.&lt;/author&gt;&lt;author&gt;Ismail, Leila Cheikh&lt;/author&gt;&lt;author&gt;Barros, Fernando C.&lt;/author&gt;&lt;author&gt;Lambert, Ann&lt;/author&gt;&lt;author&gt;Carvalho, Maria&lt;/author&gt;&lt;author&gt;Jaffer, Yasmin A.&lt;/author&gt;&lt;author&gt;Bertino, Enrico&lt;/author&gt;&lt;author&gt;Gravett, Michael G.&lt;/author&gt;&lt;author&gt;Altman, Doug G.&lt;/author&gt;&lt;author&gt;Purwar, Manorama&lt;/author&gt;&lt;author&gt;Frederick, Ihunnaya O.&lt;/author&gt;&lt;author&gt;Noble, Julia A.&lt;/author&gt;&lt;author&gt;Victora, Cesar G.&lt;/author&gt;&lt;author&gt;Bhutta, Zulfiqar A.&lt;/author&gt;&lt;author&gt;Kennedy, Stephen H.&lt;/author&gt;&lt;/authors&gt;&lt;/contributors&gt;&lt;titles&gt;&lt;title&gt;The likeness of fetal growth and newborn size across non-isolated populations in the INTERGROWTH-21st Project: the Fetal Growth Longitudinal Study and Newborn Cross-Sectional Study&lt;/title&gt;&lt;secondary-title&gt;The Lancet Diabetes &amp;amp; Endocrinology&lt;/secondary-title&gt;&lt;/titles&gt;&lt;periodical&gt;&lt;full-title&gt;The Lancet Diabetes &amp;amp; Endocrinology&lt;/full-title&gt;&lt;/periodical&gt;&lt;pages&gt;781-792&lt;/pages&gt;&lt;volume&gt;2&lt;/volume&gt;&lt;number&gt;10&lt;/number&gt;&lt;dates&gt;&lt;year&gt;2014&lt;/year&gt;&lt;pub-dates&gt;&lt;date&gt;2014/10/01/&lt;/date&gt;&lt;/pub-dates&gt;&lt;/dates&gt;&lt;isbn&gt;2213-8587&lt;/isbn&gt;&lt;urls&gt;&lt;related-urls&gt;&lt;url&gt;https://www.sciencedirect.com/science/article/pii/S2213858714701214&lt;/url&gt;&lt;/related-urls&gt;&lt;/urls&gt;&lt;electronic-resource-num&gt;https://doi.org/10.1016/S2213-8587(14)70121-4&lt;/electronic-resource-num&gt;&lt;/record&gt;&lt;/Cite&gt;&lt;/EndNote&gt;</w:instrText>
      </w:r>
      <w:r w:rsidR="00EA5249">
        <w:rPr>
          <w:rFonts w:ascii="Calibri" w:eastAsia="Calibri" w:hAnsi="Calibri" w:cs="Calibri"/>
        </w:rPr>
        <w:fldChar w:fldCharType="separate"/>
      </w:r>
      <w:r w:rsidR="000900CA">
        <w:rPr>
          <w:rFonts w:ascii="Calibri" w:eastAsia="Calibri" w:hAnsi="Calibri" w:cs="Calibri"/>
          <w:noProof/>
        </w:rPr>
        <w:t>[24]</w:t>
      </w:r>
      <w:r w:rsidR="00EA5249">
        <w:rPr>
          <w:rFonts w:ascii="Calibri" w:eastAsia="Calibri" w:hAnsi="Calibri" w:cs="Calibri"/>
        </w:rPr>
        <w:fldChar w:fldCharType="end"/>
      </w:r>
      <w:r w:rsidR="006A1B52">
        <w:rPr>
          <w:rFonts w:ascii="Calibri" w:eastAsia="Calibri" w:hAnsi="Calibri" w:cs="Calibri"/>
        </w:rPr>
        <w:t>.</w:t>
      </w:r>
      <w:r w:rsidR="00AB0888">
        <w:rPr>
          <w:rFonts w:ascii="Calibri" w:eastAsia="Calibri" w:hAnsi="Calibri" w:cs="Calibri"/>
        </w:rPr>
        <w:t xml:space="preserve"> However, absolute heights and growth patterns between populations are starkly different. The relationship between short stature and ethnicity in the UK is likely to be shaped by complex pathways, including socioeconomic status, immigration patterns, </w:t>
      </w:r>
      <w:r w:rsidR="00F75CE8">
        <w:rPr>
          <w:rFonts w:ascii="Calibri" w:eastAsia="Calibri" w:hAnsi="Calibri" w:cs="Calibri"/>
        </w:rPr>
        <w:t xml:space="preserve">discrimination, and </w:t>
      </w:r>
      <w:r w:rsidR="00AB0888">
        <w:rPr>
          <w:rFonts w:ascii="Calibri" w:eastAsia="Calibri" w:hAnsi="Calibri" w:cs="Calibri"/>
        </w:rPr>
        <w:t>genetic</w:t>
      </w:r>
      <w:r w:rsidR="00D04511">
        <w:rPr>
          <w:rFonts w:ascii="Calibri" w:eastAsia="Calibri" w:hAnsi="Calibri" w:cs="Calibri"/>
        </w:rPr>
        <w:t xml:space="preserve"> </w:t>
      </w:r>
      <w:r w:rsidR="00F75CE8">
        <w:rPr>
          <w:rFonts w:ascii="Calibri" w:eastAsia="Calibri" w:hAnsi="Calibri" w:cs="Calibri"/>
        </w:rPr>
        <w:t>factors</w:t>
      </w:r>
      <w:r w:rsidR="00AB0888">
        <w:rPr>
          <w:rFonts w:ascii="Calibri" w:eastAsia="Calibri" w:hAnsi="Calibri" w:cs="Calibri"/>
        </w:rPr>
        <w:t xml:space="preserve">. </w:t>
      </w:r>
    </w:p>
    <w:p w14:paraId="7C24398A" w14:textId="5A729BD1" w:rsidR="0044600E" w:rsidRDefault="00F951C9" w:rsidP="001137D1">
      <w:pPr>
        <w:spacing w:line="360" w:lineRule="auto"/>
        <w:rPr>
          <w:rFonts w:cstheme="minorHAnsi"/>
        </w:rPr>
      </w:pPr>
      <w:r>
        <w:rPr>
          <w:rFonts w:cstheme="minorHAnsi"/>
        </w:rPr>
        <w:t xml:space="preserve">We found a statistically </w:t>
      </w:r>
      <w:r w:rsidR="00B20819" w:rsidRPr="001E7454">
        <w:rPr>
          <w:rFonts w:cstheme="minorHAnsi"/>
        </w:rPr>
        <w:t>significant</w:t>
      </w:r>
      <w:r>
        <w:rPr>
          <w:rFonts w:cstheme="minorHAnsi"/>
        </w:rPr>
        <w:t>ly higher prevalence of short stature in girls compared to boys</w:t>
      </w:r>
      <w:r w:rsidR="00B3650E">
        <w:rPr>
          <w:rFonts w:cstheme="minorHAnsi"/>
        </w:rPr>
        <w:t>. P</w:t>
      </w:r>
      <w:r w:rsidR="00EC6F48">
        <w:rPr>
          <w:rFonts w:cstheme="minorHAnsi"/>
        </w:rPr>
        <w:t xml:space="preserve">opulation data on sex differences in short stature are useful, as existing data come from analyses of referral patterns to growth disorder clinics and are therefore subject to selection bias. </w:t>
      </w:r>
      <w:r w:rsidR="00B20819" w:rsidRPr="001E7454">
        <w:rPr>
          <w:rFonts w:cstheme="minorHAnsi"/>
        </w:rPr>
        <w:t xml:space="preserve">Evidence </w:t>
      </w:r>
      <w:r w:rsidR="00C410B3">
        <w:rPr>
          <w:rFonts w:cstheme="minorHAnsi"/>
        </w:rPr>
        <w:t>from the USA suggests</w:t>
      </w:r>
      <w:r w:rsidR="00C410B3" w:rsidRPr="001E7454">
        <w:rPr>
          <w:rFonts w:cstheme="minorHAnsi"/>
        </w:rPr>
        <w:t xml:space="preserve"> </w:t>
      </w:r>
      <w:r w:rsidR="00B20819" w:rsidRPr="001E7454">
        <w:rPr>
          <w:rFonts w:cstheme="minorHAnsi"/>
        </w:rPr>
        <w:t xml:space="preserve">that boys are referred more </w:t>
      </w:r>
      <w:r w:rsidR="00C410B3">
        <w:rPr>
          <w:rFonts w:cstheme="minorHAnsi"/>
        </w:rPr>
        <w:t>readily and</w:t>
      </w:r>
      <w:r w:rsidR="00B20819" w:rsidRPr="001E7454">
        <w:rPr>
          <w:rFonts w:cstheme="minorHAnsi"/>
        </w:rPr>
        <w:t xml:space="preserve"> investigated more thoroughly than girls</w:t>
      </w:r>
      <w:r w:rsidR="00DF7483">
        <w:rPr>
          <w:rFonts w:cstheme="minorHAnsi"/>
        </w:rPr>
        <w:t xml:space="preserve"> </w:t>
      </w:r>
      <w:r w:rsidR="00AD1761">
        <w:rPr>
          <w:rFonts w:cstheme="minorHAnsi"/>
        </w:rPr>
        <w:fldChar w:fldCharType="begin">
          <w:fldData xml:space="preserve">PEVuZE5vdGU+PENpdGU+PEF1dGhvcj5HcmltYmVyZzwvQXV0aG9yPjxZZWFyPjIwMDU8L1llYXI+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</w:fldData>
        </w:fldChar>
      </w:r>
      <w:r w:rsidR="000900CA">
        <w:rPr>
          <w:rFonts w:cstheme="minorHAnsi"/>
        </w:rPr>
        <w:instrText xml:space="preserve"> ADDIN EN.CITE </w:instrText>
      </w:r>
      <w:r w:rsidR="000900CA">
        <w:rPr>
          <w:rFonts w:cstheme="minorHAnsi"/>
        </w:rPr>
        <w:fldChar w:fldCharType="begin">
          <w:fldData xml:space="preserve">PEVuZE5vdGU+PENpdGU+PEF1dGhvcj5HcmltYmVyZzwvQXV0aG9yPjxZZWFyPjIwMDU8L1llYXI+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</w:fldData>
        </w:fldChar>
      </w:r>
      <w:r w:rsidR="000900CA">
        <w:rPr>
          <w:rFonts w:cstheme="minorHAnsi"/>
        </w:rPr>
        <w:instrText xml:space="preserve"> ADDIN EN.CITE.DATA </w:instrText>
      </w:r>
      <w:r w:rsidR="000900CA">
        <w:rPr>
          <w:rFonts w:cstheme="minorHAnsi"/>
        </w:rPr>
      </w:r>
      <w:r w:rsidR="000900CA">
        <w:rPr>
          <w:rFonts w:cstheme="minorHAnsi"/>
        </w:rPr>
        <w:fldChar w:fldCharType="end"/>
      </w:r>
      <w:r w:rsidR="00AD1761">
        <w:rPr>
          <w:rFonts w:cstheme="minorHAnsi"/>
        </w:rPr>
      </w:r>
      <w:r w:rsidR="00AD1761">
        <w:rPr>
          <w:rFonts w:cstheme="minorHAnsi"/>
        </w:rPr>
        <w:fldChar w:fldCharType="separate"/>
      </w:r>
      <w:r w:rsidR="000900CA">
        <w:rPr>
          <w:rFonts w:cstheme="minorHAnsi"/>
          <w:noProof/>
        </w:rPr>
        <w:t>[2</w:t>
      </w:r>
      <w:r w:rsidR="00A65F8F">
        <w:rPr>
          <w:rFonts w:cstheme="minorHAnsi"/>
          <w:noProof/>
        </w:rPr>
        <w:t>5</w:t>
      </w:r>
      <w:r w:rsidR="000900CA">
        <w:rPr>
          <w:rFonts w:cstheme="minorHAnsi"/>
          <w:noProof/>
        </w:rPr>
        <w:t>, 2</w:t>
      </w:r>
      <w:r w:rsidR="00A65F8F">
        <w:rPr>
          <w:rFonts w:cstheme="minorHAnsi"/>
          <w:noProof/>
        </w:rPr>
        <w:t>6</w:t>
      </w:r>
      <w:r w:rsidR="000900CA">
        <w:rPr>
          <w:rFonts w:cstheme="minorHAnsi"/>
          <w:noProof/>
        </w:rPr>
        <w:t>]</w:t>
      </w:r>
      <w:r w:rsidR="00AD1761">
        <w:rPr>
          <w:rFonts w:cstheme="minorHAnsi"/>
        </w:rPr>
        <w:fldChar w:fldCharType="end"/>
      </w:r>
      <w:r w:rsidR="00DF7483">
        <w:rPr>
          <w:rFonts w:cstheme="minorHAnsi"/>
        </w:rPr>
        <w:t>.</w:t>
      </w:r>
      <w:r w:rsidR="00B20819" w:rsidRPr="001E7454">
        <w:rPr>
          <w:rFonts w:cstheme="minorHAnsi"/>
        </w:rPr>
        <w:t xml:space="preserve"> S</w:t>
      </w:r>
      <w:r w:rsidR="00057FBB">
        <w:rPr>
          <w:rFonts w:cstheme="minorHAnsi"/>
        </w:rPr>
        <w:t>hort stature</w:t>
      </w:r>
      <w:r w:rsidR="00B20819" w:rsidRPr="001E7454">
        <w:rPr>
          <w:rFonts w:cstheme="minorHAnsi"/>
        </w:rPr>
        <w:t xml:space="preserve"> is more common in boys than girls in low- and middle-income countries and it has been postulated that this</w:t>
      </w:r>
      <w:r w:rsidR="0044600E">
        <w:rPr>
          <w:rFonts w:cstheme="minorHAnsi"/>
        </w:rPr>
        <w:t xml:space="preserve"> </w:t>
      </w:r>
      <w:r w:rsidR="00B20819" w:rsidRPr="001E7454">
        <w:rPr>
          <w:rFonts w:cstheme="minorHAnsi"/>
        </w:rPr>
        <w:t>is due to higher rates of adverse birth outcomes</w:t>
      </w:r>
      <w:r w:rsidR="00074C7C">
        <w:rPr>
          <w:rFonts w:cstheme="minorHAnsi"/>
        </w:rPr>
        <w:t xml:space="preserve"> and increased vulnerability to infection and other morbidity during infancy </w:t>
      </w:r>
      <w:r w:rsidR="00B20819" w:rsidRPr="001E7454">
        <w:rPr>
          <w:rFonts w:cstheme="minorHAnsi"/>
        </w:rPr>
        <w:t>in boys</w:t>
      </w:r>
      <w:r w:rsidR="00DF7483">
        <w:rPr>
          <w:rFonts w:cstheme="minorHAnsi"/>
        </w:rPr>
        <w:t xml:space="preserve"> </w:t>
      </w:r>
      <w:r w:rsidR="00AD1761">
        <w:rPr>
          <w:rFonts w:cstheme="minorHAnsi"/>
        </w:rPr>
        <w:fldChar w:fldCharType="begin">
          <w:fldData xml:space="preserve">PEVuZE5vdGU+PENpdGU+PEF1dGhvcj5PJmFwb3M7RHJpc2NvbGw8L0F1dGhvcj48WWVhcj4yMDE4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</w:fldData>
        </w:fldChar>
      </w:r>
      <w:r w:rsidR="000900CA">
        <w:rPr>
          <w:rFonts w:cstheme="minorHAnsi"/>
        </w:rPr>
        <w:instrText xml:space="preserve"> ADDIN EN.CITE </w:instrText>
      </w:r>
      <w:r w:rsidR="000900CA">
        <w:rPr>
          <w:rFonts w:cstheme="minorHAnsi"/>
        </w:rPr>
        <w:fldChar w:fldCharType="begin">
          <w:fldData xml:space="preserve">PEVuZE5vdGU+PENpdGU+PEF1dGhvcj5PJmFwb3M7RHJpc2NvbGw8L0F1dGhvcj48WWVhcj4yMDE4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</w:fldData>
        </w:fldChar>
      </w:r>
      <w:r w:rsidR="000900CA">
        <w:rPr>
          <w:rFonts w:cstheme="minorHAnsi"/>
        </w:rPr>
        <w:instrText xml:space="preserve"> ADDIN EN.CITE.DATA </w:instrText>
      </w:r>
      <w:r w:rsidR="000900CA">
        <w:rPr>
          <w:rFonts w:cstheme="minorHAnsi"/>
        </w:rPr>
      </w:r>
      <w:r w:rsidR="000900CA">
        <w:rPr>
          <w:rFonts w:cstheme="minorHAnsi"/>
        </w:rPr>
        <w:fldChar w:fldCharType="end"/>
      </w:r>
      <w:r w:rsidR="00AD1761">
        <w:rPr>
          <w:rFonts w:cstheme="minorHAnsi"/>
        </w:rPr>
      </w:r>
      <w:r w:rsidR="00AD1761">
        <w:rPr>
          <w:rFonts w:cstheme="minorHAnsi"/>
        </w:rPr>
        <w:fldChar w:fldCharType="separate"/>
      </w:r>
      <w:r w:rsidR="000900CA">
        <w:rPr>
          <w:rFonts w:cstheme="minorHAnsi"/>
          <w:noProof/>
        </w:rPr>
        <w:t>[2</w:t>
      </w:r>
      <w:r w:rsidR="00A65F8F">
        <w:rPr>
          <w:rFonts w:cstheme="minorHAnsi"/>
          <w:noProof/>
        </w:rPr>
        <w:t>7</w:t>
      </w:r>
      <w:r w:rsidR="000900CA">
        <w:rPr>
          <w:rFonts w:cstheme="minorHAnsi"/>
          <w:noProof/>
        </w:rPr>
        <w:t>, 2</w:t>
      </w:r>
      <w:r w:rsidR="00A65F8F">
        <w:rPr>
          <w:rFonts w:cstheme="minorHAnsi"/>
          <w:noProof/>
        </w:rPr>
        <w:t>8</w:t>
      </w:r>
      <w:r w:rsidR="000900CA">
        <w:rPr>
          <w:rFonts w:cstheme="minorHAnsi"/>
          <w:noProof/>
        </w:rPr>
        <w:t>]</w:t>
      </w:r>
      <w:r w:rsidR="00AD1761">
        <w:rPr>
          <w:rFonts w:cstheme="minorHAnsi"/>
        </w:rPr>
        <w:fldChar w:fldCharType="end"/>
      </w:r>
      <w:r w:rsidR="00DF7483">
        <w:rPr>
          <w:rFonts w:cstheme="minorHAnsi"/>
        </w:rPr>
        <w:t>.</w:t>
      </w:r>
      <w:r w:rsidR="00B20819" w:rsidRPr="001E7454">
        <w:rPr>
          <w:rFonts w:cstheme="minorHAnsi"/>
        </w:rPr>
        <w:t xml:space="preserve"> </w:t>
      </w:r>
      <w:r w:rsidR="005D6828">
        <w:rPr>
          <w:rFonts w:cstheme="minorHAnsi"/>
        </w:rPr>
        <w:t>These</w:t>
      </w:r>
      <w:r w:rsidR="00B20819" w:rsidRPr="001E7454">
        <w:rPr>
          <w:rFonts w:cstheme="minorHAnsi"/>
        </w:rPr>
        <w:t xml:space="preserve"> data</w:t>
      </w:r>
      <w:r w:rsidR="005D6828">
        <w:rPr>
          <w:rFonts w:cstheme="minorHAnsi"/>
        </w:rPr>
        <w:t xml:space="preserve"> might</w:t>
      </w:r>
      <w:r w:rsidR="00B20819" w:rsidRPr="001E7454">
        <w:rPr>
          <w:rFonts w:cstheme="minorHAnsi"/>
        </w:rPr>
        <w:t xml:space="preserve"> suggest that this is not a reasonable explanation for sex differences in referral patterns in the UK setting, as the </w:t>
      </w:r>
      <w:r w:rsidR="00433D0D">
        <w:rPr>
          <w:rFonts w:cstheme="minorHAnsi"/>
        </w:rPr>
        <w:t>incidence</w:t>
      </w:r>
      <w:r w:rsidR="00B317C6" w:rsidRPr="001E7454">
        <w:rPr>
          <w:rFonts w:cstheme="minorHAnsi"/>
        </w:rPr>
        <w:t xml:space="preserve"> </w:t>
      </w:r>
      <w:r w:rsidR="00B20819" w:rsidRPr="001E7454">
        <w:rPr>
          <w:rFonts w:cstheme="minorHAnsi"/>
        </w:rPr>
        <w:t xml:space="preserve">of </w:t>
      </w:r>
      <w:r w:rsidR="00074C7C">
        <w:rPr>
          <w:rFonts w:cstheme="minorHAnsi"/>
        </w:rPr>
        <w:t xml:space="preserve">adverse birth outcomes and childhood infections </w:t>
      </w:r>
      <w:r w:rsidR="00B20819" w:rsidRPr="001E7454">
        <w:rPr>
          <w:rFonts w:cstheme="minorHAnsi"/>
        </w:rPr>
        <w:t>are higher for boys in the UK</w:t>
      </w:r>
      <w:r w:rsidR="00D71F0B">
        <w:rPr>
          <w:rFonts w:cstheme="minorHAnsi"/>
        </w:rPr>
        <w:t xml:space="preserve"> </w:t>
      </w:r>
      <w:r w:rsidR="004363F2">
        <w:rPr>
          <w:rFonts w:cstheme="minorHAnsi"/>
        </w:rPr>
        <w:fldChar w:fldCharType="begin">
          <w:fldData xml:space="preserve">PEVuZE5vdGU+PENpdGU+PEF1dGhvcj5NdWVuY2hob2ZmPC9BdXRob3I+PFllYXI+MjAxNDwvWWVh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</w:fldData>
        </w:fldChar>
      </w:r>
      <w:r w:rsidR="000900CA">
        <w:rPr>
          <w:rFonts w:cstheme="minorHAnsi"/>
        </w:rPr>
        <w:instrText xml:space="preserve"> ADDIN EN.CITE </w:instrText>
      </w:r>
      <w:r w:rsidR="000900CA">
        <w:rPr>
          <w:rFonts w:cstheme="minorHAnsi"/>
        </w:rPr>
        <w:fldChar w:fldCharType="begin">
          <w:fldData xml:space="preserve">PEVuZE5vdGU+PENpdGU+PEF1dGhvcj5NdWVuY2hob2ZmPC9BdXRob3I+PFllYXI+MjAxNDwvWWVh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</w:fldData>
        </w:fldChar>
      </w:r>
      <w:r w:rsidR="000900CA">
        <w:rPr>
          <w:rFonts w:cstheme="minorHAnsi"/>
        </w:rPr>
        <w:instrText xml:space="preserve"> ADDIN EN.CITE.DATA </w:instrText>
      </w:r>
      <w:r w:rsidR="000900CA">
        <w:rPr>
          <w:rFonts w:cstheme="minorHAnsi"/>
        </w:rPr>
      </w:r>
      <w:r w:rsidR="000900CA">
        <w:rPr>
          <w:rFonts w:cstheme="minorHAnsi"/>
        </w:rPr>
        <w:fldChar w:fldCharType="end"/>
      </w:r>
      <w:r w:rsidR="004363F2">
        <w:rPr>
          <w:rFonts w:cstheme="minorHAnsi"/>
        </w:rPr>
      </w:r>
      <w:r w:rsidR="004363F2">
        <w:rPr>
          <w:rFonts w:cstheme="minorHAnsi"/>
        </w:rPr>
        <w:fldChar w:fldCharType="separate"/>
      </w:r>
      <w:r w:rsidR="000900CA">
        <w:rPr>
          <w:rFonts w:cstheme="minorHAnsi"/>
          <w:noProof/>
        </w:rPr>
        <w:t>[</w:t>
      </w:r>
      <w:r w:rsidR="00A65F8F">
        <w:rPr>
          <w:rFonts w:cstheme="minorHAnsi"/>
          <w:noProof/>
        </w:rPr>
        <w:t>29</w:t>
      </w:r>
      <w:r w:rsidR="000900CA">
        <w:rPr>
          <w:rFonts w:cstheme="minorHAnsi"/>
          <w:noProof/>
        </w:rPr>
        <w:t>, 3</w:t>
      </w:r>
      <w:r w:rsidR="00A65F8F">
        <w:rPr>
          <w:rFonts w:cstheme="minorHAnsi"/>
          <w:noProof/>
        </w:rPr>
        <w:t>0</w:t>
      </w:r>
      <w:r w:rsidR="000900CA">
        <w:rPr>
          <w:rFonts w:cstheme="minorHAnsi"/>
          <w:noProof/>
        </w:rPr>
        <w:t>]</w:t>
      </w:r>
      <w:r w:rsidR="004363F2">
        <w:rPr>
          <w:rFonts w:cstheme="minorHAnsi"/>
        </w:rPr>
        <w:fldChar w:fldCharType="end"/>
      </w:r>
      <w:r w:rsidR="00D71F0B">
        <w:rPr>
          <w:rFonts w:cstheme="minorHAnsi"/>
        </w:rPr>
        <w:t>.</w:t>
      </w:r>
      <w:r w:rsidR="00C04483">
        <w:rPr>
          <w:rFonts w:cstheme="minorHAnsi"/>
        </w:rPr>
        <w:t xml:space="preserve"> </w:t>
      </w:r>
      <w:r w:rsidR="00B3650E">
        <w:rPr>
          <w:rFonts w:cstheme="minorHAnsi"/>
        </w:rPr>
        <w:t xml:space="preserve">It should be noted that the use of UK90 growth references means that rates of short stature in girls and boys will be slightly different to those calculated using the WHO standards, which are used in most of the international literature. This may explain some of the discrepancy observed between our results and international </w:t>
      </w:r>
      <w:r w:rsidR="006665C5">
        <w:rPr>
          <w:rFonts w:cstheme="minorHAnsi"/>
        </w:rPr>
        <w:t>findings</w:t>
      </w:r>
      <w:r w:rsidR="00B3650E">
        <w:rPr>
          <w:rFonts w:cstheme="minorHAnsi"/>
        </w:rPr>
        <w:t xml:space="preserve">.  </w:t>
      </w:r>
    </w:p>
    <w:p w14:paraId="21A5FD3C" w14:textId="1031F8AC" w:rsidR="006B6466" w:rsidRDefault="006A1504" w:rsidP="00293DBB">
      <w:pPr>
        <w:spacing w:line="360" w:lineRule="auto"/>
        <w:rPr>
          <w:rFonts w:cstheme="minorHAnsi"/>
        </w:rPr>
      </w:pPr>
      <w:r>
        <w:rPr>
          <w:rFonts w:cstheme="minorHAnsi"/>
        </w:rPr>
        <w:t>W</w:t>
      </w:r>
      <w:r w:rsidR="00A140A5" w:rsidRPr="001E7454">
        <w:rPr>
          <w:rFonts w:cstheme="minorHAnsi"/>
        </w:rPr>
        <w:t>e found a decline in national s</w:t>
      </w:r>
      <w:r w:rsidR="00057FBB">
        <w:rPr>
          <w:rFonts w:cstheme="minorHAnsi"/>
        </w:rPr>
        <w:t>hort stature</w:t>
      </w:r>
      <w:r w:rsidR="00A140A5" w:rsidRPr="001E7454">
        <w:rPr>
          <w:rFonts w:cstheme="minorHAnsi"/>
        </w:rPr>
        <w:t xml:space="preserve"> prevalence between 2006</w:t>
      </w:r>
      <w:r w:rsidR="00A140A5">
        <w:rPr>
          <w:rFonts w:cstheme="minorHAnsi"/>
        </w:rPr>
        <w:t>-20</w:t>
      </w:r>
      <w:r w:rsidR="00A140A5" w:rsidRPr="001E7454">
        <w:rPr>
          <w:rFonts w:cstheme="minorHAnsi"/>
        </w:rPr>
        <w:t>1</w:t>
      </w:r>
      <w:r w:rsidR="00A140A5">
        <w:rPr>
          <w:rFonts w:cstheme="minorHAnsi"/>
        </w:rPr>
        <w:t>9</w:t>
      </w:r>
      <w:r w:rsidR="00A140A5" w:rsidRPr="001E7454">
        <w:rPr>
          <w:rFonts w:cstheme="minorHAnsi"/>
        </w:rPr>
        <w:t xml:space="preserve">. Analyses of British birth cohorts between 1946-2001 have previously </w:t>
      </w:r>
      <w:r w:rsidR="00A140A5">
        <w:rPr>
          <w:rFonts w:cstheme="minorHAnsi"/>
        </w:rPr>
        <w:t>demonstrated</w:t>
      </w:r>
      <w:r w:rsidR="00A140A5" w:rsidRPr="001E7454">
        <w:rPr>
          <w:rFonts w:cstheme="minorHAnsi"/>
        </w:rPr>
        <w:t xml:space="preserve"> a narrowing of socioeconomic inequalities in child height</w:t>
      </w:r>
      <w:r w:rsidR="005760E6">
        <w:rPr>
          <w:rFonts w:cstheme="minorHAnsi"/>
        </w:rPr>
        <w:t xml:space="preserve"> </w:t>
      </w:r>
      <w:r w:rsidR="00A140A5">
        <w:rPr>
          <w:rFonts w:cstheme="minorHAnsi"/>
        </w:rPr>
        <w:fldChar w:fldCharType="begin">
          <w:fldData xml:space="preserve">PEVuZE5vdGU+PENpdGU+PEF1dGhvcj5CYW5uPC9BdXRob3I+PFllYXI+MjAxODwvWWVhcj48UmVj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</w:fldData>
        </w:fldChar>
      </w:r>
      <w:r w:rsidR="000900CA">
        <w:rPr>
          <w:rFonts w:cstheme="minorHAnsi"/>
        </w:rPr>
        <w:instrText xml:space="preserve"> ADDIN EN.CITE </w:instrText>
      </w:r>
      <w:r w:rsidR="000900CA">
        <w:rPr>
          <w:rFonts w:cstheme="minorHAnsi"/>
        </w:rPr>
        <w:fldChar w:fldCharType="begin">
          <w:fldData xml:space="preserve">PEVuZE5vdGU+PENpdGU+PEF1dGhvcj5CYW5uPC9BdXRob3I+PFllYXI+MjAxODwvWWVhcj48UmVj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</w:fldData>
        </w:fldChar>
      </w:r>
      <w:r w:rsidR="000900CA">
        <w:rPr>
          <w:rFonts w:cstheme="minorHAnsi"/>
        </w:rPr>
        <w:instrText xml:space="preserve"> ADDIN EN.CITE.DATA </w:instrText>
      </w:r>
      <w:r w:rsidR="000900CA">
        <w:rPr>
          <w:rFonts w:cstheme="minorHAnsi"/>
        </w:rPr>
      </w:r>
      <w:r w:rsidR="000900CA">
        <w:rPr>
          <w:rFonts w:cstheme="minorHAnsi"/>
        </w:rPr>
        <w:fldChar w:fldCharType="end"/>
      </w:r>
      <w:r w:rsidR="00A140A5">
        <w:rPr>
          <w:rFonts w:cstheme="minorHAnsi"/>
        </w:rPr>
      </w:r>
      <w:r w:rsidR="00A140A5">
        <w:rPr>
          <w:rFonts w:cstheme="minorHAnsi"/>
        </w:rPr>
        <w:fldChar w:fldCharType="separate"/>
      </w:r>
      <w:r w:rsidR="000900CA">
        <w:rPr>
          <w:rFonts w:cstheme="minorHAnsi"/>
          <w:noProof/>
        </w:rPr>
        <w:t>[3</w:t>
      </w:r>
      <w:r w:rsidR="00A65F8F">
        <w:rPr>
          <w:rFonts w:cstheme="minorHAnsi"/>
          <w:noProof/>
        </w:rPr>
        <w:t>1</w:t>
      </w:r>
      <w:r w:rsidR="000900CA">
        <w:rPr>
          <w:rFonts w:cstheme="minorHAnsi"/>
          <w:noProof/>
        </w:rPr>
        <w:t>-3</w:t>
      </w:r>
      <w:r w:rsidR="00A65F8F">
        <w:rPr>
          <w:rFonts w:cstheme="minorHAnsi"/>
          <w:noProof/>
        </w:rPr>
        <w:t>3</w:t>
      </w:r>
      <w:r w:rsidR="000900CA">
        <w:rPr>
          <w:rFonts w:cstheme="minorHAnsi"/>
          <w:noProof/>
        </w:rPr>
        <w:t>]</w:t>
      </w:r>
      <w:r w:rsidR="00A140A5">
        <w:rPr>
          <w:rFonts w:cstheme="minorHAnsi"/>
        </w:rPr>
        <w:fldChar w:fldCharType="end"/>
      </w:r>
      <w:r w:rsidR="005760E6">
        <w:rPr>
          <w:rFonts w:cstheme="minorHAnsi"/>
        </w:rPr>
        <w:t>.</w:t>
      </w:r>
      <w:r w:rsidR="00A140A5" w:rsidRPr="001E7454">
        <w:rPr>
          <w:rFonts w:cstheme="minorHAnsi"/>
        </w:rPr>
        <w:t xml:space="preserve"> However, </w:t>
      </w:r>
      <w:r w:rsidR="00A140A5">
        <w:rPr>
          <w:rFonts w:cstheme="minorHAnsi"/>
        </w:rPr>
        <w:t>i</w:t>
      </w:r>
      <w:r w:rsidR="00A140A5" w:rsidRPr="001E7454">
        <w:rPr>
          <w:rFonts w:cstheme="minorHAnsi"/>
        </w:rPr>
        <w:t>n the context of increasing socioeconomic inequality in England</w:t>
      </w:r>
      <w:r w:rsidR="00A140A5">
        <w:rPr>
          <w:rFonts w:cstheme="minorHAnsi"/>
        </w:rPr>
        <w:t xml:space="preserve"> over the last decade</w:t>
      </w:r>
      <w:r w:rsidR="005760E6">
        <w:rPr>
          <w:rFonts w:cstheme="minorHAnsi"/>
        </w:rPr>
        <w:t xml:space="preserve"> </w:t>
      </w:r>
      <w:r w:rsidR="00A140A5">
        <w:rPr>
          <w:rFonts w:cstheme="minorHAnsi"/>
        </w:rPr>
        <w:fldChar w:fldCharType="begin"/>
      </w:r>
      <w:r w:rsidR="000900CA">
        <w:rPr>
          <w:rFonts w:cstheme="minorHAnsi"/>
        </w:rPr>
        <w:instrText xml:space="preserve"> ADDIN EN.CITE &lt;EndNote&gt;&lt;Cite&gt;&lt;Author&gt;Institute of Health Equity&lt;/Author&gt;&lt;Year&gt;2020&lt;/Year&gt;&lt;RecNum&gt;14&lt;/RecNum&gt;&lt;DisplayText&gt;[22]&lt;/DisplayText&gt;&lt;record&gt;&lt;rec-number&gt;14&lt;/rec-number&gt;&lt;foreign-keys&gt;&lt;key app="EN" db-id="rzsrwz2pt2tfzged2xlvt2eh9adpzpfrt29r" timestamp="1611824006"&gt;14&lt;/key&gt;&lt;/foreign-keys&gt;&lt;ref-type name="Report"&gt;27&lt;/ref-type&gt;&lt;contributors&gt;&lt;authors&gt;&lt;author&gt;Institute of Health Equity, &lt;/author&gt;&lt;/authors&gt;&lt;/contributors&gt;&lt;titles&gt;&lt;title&gt;Health equity in England: the Marmot review 10 years on&lt;/title&gt;&lt;/titles&gt;&lt;dates&gt;&lt;year&gt;2020&lt;/year&gt;&lt;/dates&gt;&lt;pub-location&gt;London&lt;/pub-location&gt;&lt;urls&gt;&lt;related-urls&gt;&lt;url&gt;http://www.instituteofhealthequity.org/the-marmot-review-10-years-on&lt;/url&gt;&lt;/related-urls&gt;&lt;/urls&gt;&lt;/record&gt;&lt;/Cite&gt;&lt;/EndNote&gt;</w:instrText>
      </w:r>
      <w:r w:rsidR="00A140A5">
        <w:rPr>
          <w:rFonts w:cstheme="minorHAnsi"/>
        </w:rPr>
        <w:fldChar w:fldCharType="separate"/>
      </w:r>
      <w:r w:rsidR="000900CA">
        <w:rPr>
          <w:rFonts w:cstheme="minorHAnsi"/>
          <w:noProof/>
        </w:rPr>
        <w:t>[22]</w:t>
      </w:r>
      <w:r w:rsidR="00A140A5">
        <w:rPr>
          <w:rFonts w:cstheme="minorHAnsi"/>
        </w:rPr>
        <w:fldChar w:fldCharType="end"/>
      </w:r>
      <w:r w:rsidR="005760E6">
        <w:rPr>
          <w:rFonts w:cstheme="minorHAnsi"/>
        </w:rPr>
        <w:t>,</w:t>
      </w:r>
      <w:r w:rsidR="00A140A5" w:rsidRPr="001E7454">
        <w:rPr>
          <w:rFonts w:cstheme="minorHAnsi"/>
        </w:rPr>
        <w:t xml:space="preserve"> the reasons for such a </w:t>
      </w:r>
      <w:r w:rsidR="00A140A5">
        <w:rPr>
          <w:rFonts w:cstheme="minorHAnsi"/>
        </w:rPr>
        <w:t>striking</w:t>
      </w:r>
      <w:r w:rsidR="00A140A5" w:rsidRPr="001E7454">
        <w:rPr>
          <w:rFonts w:cstheme="minorHAnsi"/>
        </w:rPr>
        <w:t xml:space="preserve"> decline in prevalence </w:t>
      </w:r>
      <w:r w:rsidR="00A140A5">
        <w:rPr>
          <w:rFonts w:cstheme="minorHAnsi"/>
        </w:rPr>
        <w:t xml:space="preserve">during this period </w:t>
      </w:r>
      <w:r w:rsidR="00A140A5" w:rsidRPr="001E7454">
        <w:rPr>
          <w:rFonts w:cstheme="minorHAnsi"/>
        </w:rPr>
        <w:t xml:space="preserve">are not clear, especially </w:t>
      </w:r>
      <w:r w:rsidR="00A140A5">
        <w:rPr>
          <w:rFonts w:cstheme="minorHAnsi"/>
        </w:rPr>
        <w:t>since</w:t>
      </w:r>
      <w:r w:rsidR="00A140A5" w:rsidRPr="001E7454">
        <w:rPr>
          <w:rFonts w:cstheme="minorHAnsi"/>
        </w:rPr>
        <w:t xml:space="preserve"> the steepest fall was in the most deprived decile (</w:t>
      </w:r>
      <w:r w:rsidR="00A140A5">
        <w:rPr>
          <w:rFonts w:cstheme="minorHAnsi"/>
        </w:rPr>
        <w:t>Figure 2)</w:t>
      </w:r>
      <w:r w:rsidR="00A140A5" w:rsidRPr="001E7454">
        <w:rPr>
          <w:rFonts w:cstheme="minorHAnsi"/>
        </w:rPr>
        <w:t xml:space="preserve">. One </w:t>
      </w:r>
      <w:r w:rsidR="00A140A5">
        <w:rPr>
          <w:rFonts w:cstheme="minorHAnsi"/>
        </w:rPr>
        <w:t xml:space="preserve">potential </w:t>
      </w:r>
      <w:r w:rsidR="00A140A5" w:rsidRPr="001E7454">
        <w:rPr>
          <w:rFonts w:cstheme="minorHAnsi"/>
        </w:rPr>
        <w:t xml:space="preserve">explanation </w:t>
      </w:r>
      <w:r w:rsidR="008477A4">
        <w:rPr>
          <w:rFonts w:cstheme="minorHAnsi"/>
        </w:rPr>
        <w:t xml:space="preserve">for these findings is that children from the most deprived areas may be benefiting from targeted interventions. This would also explain findings from the 2020 Marmot Review, which found that children from low-income families have demonstrated better development and educational outcomes </w:t>
      </w:r>
      <w:r w:rsidR="004040DB">
        <w:rPr>
          <w:rFonts w:cstheme="minorHAnsi"/>
        </w:rPr>
        <w:t xml:space="preserve">in low-income areas than children from low-income families in high-income areas </w:t>
      </w:r>
      <w:r w:rsidR="00756D7A">
        <w:rPr>
          <w:rFonts w:cstheme="minorHAnsi"/>
        </w:rPr>
        <w:fldChar w:fldCharType="begin"/>
      </w:r>
      <w:r w:rsidR="000900CA">
        <w:rPr>
          <w:rFonts w:cstheme="minorHAnsi"/>
        </w:rPr>
        <w:instrText xml:space="preserve"> ADDIN EN.CITE &lt;EndNote&gt;&lt;Cite&gt;&lt;Author&gt;Institute of Health Equity&lt;/Author&gt;&lt;Year&gt;2020&lt;/Year&gt;&lt;RecNum&gt;14&lt;/RecNum&gt;&lt;DisplayText&gt;[22]&lt;/DisplayText&gt;&lt;record&gt;&lt;rec-number&gt;14&lt;/rec-number&gt;&lt;foreign-keys&gt;&lt;key app="EN" db-id="rzsrwz2pt2tfzged2xlvt2eh9adpzpfrt29r" timestamp="1611824006"&gt;14&lt;/key&gt;&lt;/foreign-keys&gt;&lt;ref-type name="Report"&gt;27&lt;/ref-type&gt;&lt;contributors&gt;&lt;authors&gt;&lt;author&gt;Institute of Health Equity, &lt;/author&gt;&lt;/authors&gt;&lt;/contributors&gt;&lt;titles&gt;&lt;title&gt;Health equity in England: the Marmot review 10 years on&lt;/title&gt;&lt;/titles&gt;&lt;dates&gt;&lt;year&gt;2020&lt;/year&gt;&lt;/dates&gt;&lt;pub-location&gt;London&lt;/pub-location&gt;&lt;urls&gt;&lt;related-urls&gt;&lt;url&gt;http://www.instituteofhealthequity.org/the-marmot-review-10-years-on&lt;/url&gt;&lt;/related-urls&gt;&lt;/urls&gt;&lt;/record&gt;&lt;/Cite&gt;&lt;/EndNote&gt;</w:instrText>
      </w:r>
      <w:r w:rsidR="00756D7A">
        <w:rPr>
          <w:rFonts w:cstheme="minorHAnsi"/>
        </w:rPr>
        <w:fldChar w:fldCharType="separate"/>
      </w:r>
      <w:r w:rsidR="000900CA">
        <w:rPr>
          <w:rFonts w:cstheme="minorHAnsi"/>
          <w:noProof/>
        </w:rPr>
        <w:t>[22]</w:t>
      </w:r>
      <w:r w:rsidR="00756D7A">
        <w:rPr>
          <w:rFonts w:cstheme="minorHAnsi"/>
        </w:rPr>
        <w:fldChar w:fldCharType="end"/>
      </w:r>
      <w:r w:rsidR="004040DB">
        <w:rPr>
          <w:rFonts w:cstheme="minorHAnsi"/>
        </w:rPr>
        <w:t>.</w:t>
      </w:r>
      <w:r w:rsidR="002B2231">
        <w:rPr>
          <w:rFonts w:cstheme="minorHAnsi"/>
        </w:rPr>
        <w:t xml:space="preserve"> Another hypothesis</w:t>
      </w:r>
      <w:r w:rsidR="004040DB">
        <w:rPr>
          <w:rFonts w:cstheme="minorHAnsi"/>
        </w:rPr>
        <w:t xml:space="preserve"> </w:t>
      </w:r>
      <w:r w:rsidR="00A140A5">
        <w:rPr>
          <w:rFonts w:cstheme="minorHAnsi"/>
        </w:rPr>
        <w:t>relates to</w:t>
      </w:r>
      <w:r w:rsidR="00A140A5" w:rsidRPr="001E7454">
        <w:rPr>
          <w:rFonts w:cstheme="minorHAnsi"/>
        </w:rPr>
        <w:t xml:space="preserve"> evidence </w:t>
      </w:r>
      <w:r w:rsidR="00A140A5">
        <w:rPr>
          <w:rFonts w:cstheme="minorHAnsi"/>
        </w:rPr>
        <w:t>from</w:t>
      </w:r>
      <w:r w:rsidR="00A140A5" w:rsidRPr="001E7454">
        <w:rPr>
          <w:rFonts w:cstheme="minorHAnsi"/>
        </w:rPr>
        <w:t xml:space="preserve"> diverse populations that childhood obesity is associated with taller stature in childhood</w:t>
      </w:r>
      <w:r w:rsidR="00A140A5">
        <w:rPr>
          <w:rFonts w:cstheme="minorHAnsi"/>
        </w:rPr>
        <w:t xml:space="preserve"> (though a shorter adult height).</w:t>
      </w:r>
      <w:r w:rsidR="00A140A5" w:rsidRPr="001E7454">
        <w:rPr>
          <w:rFonts w:cstheme="minorHAnsi"/>
        </w:rPr>
        <w:t xml:space="preserve"> </w:t>
      </w:r>
      <w:r w:rsidR="00A140A5">
        <w:rPr>
          <w:rFonts w:cstheme="minorHAnsi"/>
        </w:rPr>
        <w:t xml:space="preserve">As such, </w:t>
      </w:r>
      <w:r w:rsidR="00A140A5" w:rsidRPr="001E7454">
        <w:rPr>
          <w:rFonts w:cstheme="minorHAnsi"/>
        </w:rPr>
        <w:t>higher levels of overweight and obesity in childhood in deprived children over the period 2006-1</w:t>
      </w:r>
      <w:r w:rsidR="00A140A5">
        <w:rPr>
          <w:rFonts w:cstheme="minorHAnsi"/>
        </w:rPr>
        <w:t>9</w:t>
      </w:r>
      <w:r w:rsidR="00A140A5" w:rsidRPr="001E7454">
        <w:rPr>
          <w:rFonts w:cstheme="minorHAnsi"/>
        </w:rPr>
        <w:t xml:space="preserve"> could have driven accelerated linear growth in many children who otherwise might have </w:t>
      </w:r>
      <w:r w:rsidR="00383463">
        <w:rPr>
          <w:rFonts w:cstheme="minorHAnsi"/>
        </w:rPr>
        <w:t>had s</w:t>
      </w:r>
      <w:r w:rsidR="00092836">
        <w:rPr>
          <w:rFonts w:cstheme="minorHAnsi"/>
        </w:rPr>
        <w:t>hort</w:t>
      </w:r>
      <w:r w:rsidR="00383463">
        <w:rPr>
          <w:rFonts w:cstheme="minorHAnsi"/>
        </w:rPr>
        <w:t xml:space="preserve"> </w:t>
      </w:r>
      <w:r w:rsidR="00092836">
        <w:rPr>
          <w:rFonts w:cstheme="minorHAnsi"/>
        </w:rPr>
        <w:t>stature</w:t>
      </w:r>
      <w:r w:rsidR="00A140A5">
        <w:rPr>
          <w:rFonts w:cstheme="minorHAnsi"/>
        </w:rPr>
        <w:t>.</w:t>
      </w:r>
      <w:r w:rsidR="00A140A5" w:rsidRPr="001E7454">
        <w:rPr>
          <w:rFonts w:cstheme="minorHAnsi"/>
        </w:rPr>
        <w:t xml:space="preserve"> This is supported by published NCMP data, which show static or increased prevalence of overweight/obesity in 5 year old children in the most deprived IMD quintile, whilst there is a downward trend in the least deprived quintile</w:t>
      </w:r>
      <w:r w:rsidR="005760E6">
        <w:rPr>
          <w:rFonts w:cstheme="minorHAnsi"/>
        </w:rPr>
        <w:t xml:space="preserve"> </w:t>
      </w:r>
      <w:r w:rsidR="00A140A5">
        <w:rPr>
          <w:rFonts w:cstheme="minorHAnsi"/>
        </w:rPr>
        <w:fldChar w:fldCharType="begin"/>
      </w:r>
      <w:r w:rsidR="000900CA">
        <w:rPr>
          <w:rFonts w:cstheme="minorHAnsi"/>
        </w:rPr>
        <w:instrText xml:space="preserve"> ADDIN EN.CITE &lt;EndNote&gt;&lt;Cite&gt;&lt;Author&gt;Public Health England&lt;/Author&gt;&lt;Year&gt;2020&lt;/Year&gt;&lt;RecNum&gt;15&lt;/RecNum&gt;&lt;DisplayText&gt;[35]&lt;/DisplayText&gt;&lt;record&gt;&lt;rec-number&gt;15&lt;/rec-number&gt;&lt;foreign-keys&gt;&lt;key app="EN" db-id="rzsrwz2pt2tfzged2xlvt2eh9adpzpfrt29r" timestamp="1611824264"&gt;15&lt;/key&gt;&lt;/foreign-keys&gt;&lt;ref-type name="Report"&gt;27&lt;/ref-type&gt;&lt;contributors&gt;&lt;authors&gt;&lt;author&gt;Public Health England, &lt;/author&gt;&lt;/authors&gt;&lt;/contributors&gt;&lt;titles&gt;&lt;title&gt;Official Statistics: National child measurement programme (NCMP): trends in child BMI&lt;/title&gt;&lt;/titles&gt;&lt;dates&gt;&lt;year&gt;2020&lt;/year&gt;&lt;/dates&gt;&lt;urls&gt;&lt;related-urls&gt;&lt;url&gt;https://www.gov.uk/government/publications/national-child-measurement-programme-ncmp-trends-in-child-bmi-between-2006-to-2007-and-2018-to-2019/national-child-measurement-programme-ncmp-trends-in-child-bmi#summary-of-key-findings-academic-years-2006-to-2007-and-2018-to-2019&lt;/url&gt;&lt;/related-urls&gt;&lt;/urls&gt;&lt;/record&gt;&lt;/Cite&gt;&lt;/EndNote&gt;</w:instrText>
      </w:r>
      <w:r w:rsidR="00A140A5">
        <w:rPr>
          <w:rFonts w:cstheme="minorHAnsi"/>
        </w:rPr>
        <w:fldChar w:fldCharType="separate"/>
      </w:r>
      <w:r w:rsidR="000900CA">
        <w:rPr>
          <w:rFonts w:cstheme="minorHAnsi"/>
          <w:noProof/>
        </w:rPr>
        <w:t>[3</w:t>
      </w:r>
      <w:r w:rsidR="00A65F8F">
        <w:rPr>
          <w:rFonts w:cstheme="minorHAnsi"/>
          <w:noProof/>
        </w:rPr>
        <w:t>4</w:t>
      </w:r>
      <w:r w:rsidR="000900CA">
        <w:rPr>
          <w:rFonts w:cstheme="minorHAnsi"/>
          <w:noProof/>
        </w:rPr>
        <w:t>]</w:t>
      </w:r>
      <w:r w:rsidR="00A140A5">
        <w:rPr>
          <w:rFonts w:cstheme="minorHAnsi"/>
        </w:rPr>
        <w:fldChar w:fldCharType="end"/>
      </w:r>
      <w:r w:rsidR="005760E6">
        <w:rPr>
          <w:rFonts w:cstheme="minorHAnsi"/>
        </w:rPr>
        <w:t>.</w:t>
      </w:r>
    </w:p>
    <w:p w14:paraId="546504D4" w14:textId="0E975D83" w:rsidR="00B20819" w:rsidRPr="001E7454" w:rsidRDefault="00B20819" w:rsidP="001E7454">
      <w:pPr>
        <w:spacing w:line="360" w:lineRule="auto"/>
        <w:rPr>
          <w:rFonts w:cstheme="minorHAnsi"/>
        </w:rPr>
      </w:pPr>
      <w:r w:rsidRPr="001E7454">
        <w:rPr>
          <w:rFonts w:cstheme="minorHAnsi"/>
        </w:rPr>
        <w:t>This study had several strengths including the</w:t>
      </w:r>
      <w:r w:rsidR="00F24929">
        <w:rPr>
          <w:rFonts w:cstheme="minorHAnsi"/>
        </w:rPr>
        <w:t xml:space="preserve"> very</w:t>
      </w:r>
      <w:r w:rsidRPr="001E7454">
        <w:rPr>
          <w:rFonts w:cstheme="minorHAnsi"/>
        </w:rPr>
        <w:t xml:space="preserve"> large national dataset, with coverage of </w:t>
      </w:r>
      <w:r w:rsidR="00A94F82">
        <w:rPr>
          <w:rFonts w:cstheme="minorHAnsi"/>
        </w:rPr>
        <w:t>9</w:t>
      </w:r>
      <w:r w:rsidR="00C659B8">
        <w:rPr>
          <w:rFonts w:cstheme="minorHAnsi"/>
        </w:rPr>
        <w:t>3</w:t>
      </w:r>
      <w:r w:rsidRPr="006F6F32">
        <w:rPr>
          <w:rFonts w:cstheme="minorHAnsi"/>
        </w:rPr>
        <w:t>%</w:t>
      </w:r>
      <w:r w:rsidRPr="001E7454">
        <w:rPr>
          <w:rFonts w:cstheme="minorHAnsi"/>
        </w:rPr>
        <w:t xml:space="preserve"> of reception-age children in </w:t>
      </w:r>
      <w:r w:rsidR="00074C7C">
        <w:rPr>
          <w:rFonts w:cstheme="minorHAnsi"/>
        </w:rPr>
        <w:t xml:space="preserve">England </w:t>
      </w:r>
      <w:r w:rsidRPr="001E7454">
        <w:rPr>
          <w:rFonts w:cstheme="minorHAnsi"/>
        </w:rPr>
        <w:t>over a 13-year period</w:t>
      </w:r>
      <w:r w:rsidR="00F24929">
        <w:rPr>
          <w:rFonts w:cstheme="minorHAnsi"/>
        </w:rPr>
        <w:t>, leading to high precision in our estimates of s</w:t>
      </w:r>
      <w:r w:rsidR="00817B91">
        <w:rPr>
          <w:rFonts w:cstheme="minorHAnsi"/>
        </w:rPr>
        <w:t>hort stature</w:t>
      </w:r>
      <w:r w:rsidRPr="001E7454">
        <w:rPr>
          <w:rFonts w:cstheme="minorHAnsi"/>
        </w:rPr>
        <w:t>.</w:t>
      </w:r>
      <w:r w:rsidR="000867F7" w:rsidRPr="001E7454">
        <w:rPr>
          <w:rFonts w:cstheme="minorHAnsi"/>
        </w:rPr>
        <w:t xml:space="preserve"> Additionally, where p</w:t>
      </w:r>
      <w:r w:rsidRPr="001E7454">
        <w:rPr>
          <w:rFonts w:cstheme="minorHAnsi"/>
        </w:rPr>
        <w:t>revious analyses of associations between height and deprivation in the UK have used data from historical birth cohort</w:t>
      </w:r>
      <w:r w:rsidR="000867F7" w:rsidRPr="001E7454">
        <w:rPr>
          <w:rFonts w:cstheme="minorHAnsi"/>
        </w:rPr>
        <w:t>s, this a</w:t>
      </w:r>
      <w:r w:rsidRPr="001E7454">
        <w:rPr>
          <w:rFonts w:cstheme="minorHAnsi"/>
        </w:rPr>
        <w:t>nalys</w:t>
      </w:r>
      <w:r w:rsidR="000867F7" w:rsidRPr="001E7454">
        <w:rPr>
          <w:rFonts w:cstheme="minorHAnsi"/>
        </w:rPr>
        <w:t>i</w:t>
      </w:r>
      <w:r w:rsidRPr="001E7454">
        <w:rPr>
          <w:rFonts w:cstheme="minorHAnsi"/>
        </w:rPr>
        <w:t>s of contemporary data allow</w:t>
      </w:r>
      <w:r w:rsidR="00F24929">
        <w:rPr>
          <w:rFonts w:cstheme="minorHAnsi"/>
        </w:rPr>
        <w:t>s</w:t>
      </w:r>
      <w:r w:rsidRPr="001E7454">
        <w:rPr>
          <w:rFonts w:cstheme="minorHAnsi"/>
        </w:rPr>
        <w:t xml:space="preserve"> for more relevant policy inferences for 21</w:t>
      </w:r>
      <w:r w:rsidRPr="001E7454">
        <w:rPr>
          <w:rFonts w:cstheme="minorHAnsi"/>
          <w:vertAlign w:val="superscript"/>
        </w:rPr>
        <w:t>st</w:t>
      </w:r>
      <w:r w:rsidRPr="001E7454">
        <w:rPr>
          <w:rFonts w:cstheme="minorHAnsi"/>
        </w:rPr>
        <w:t xml:space="preserve"> century children. </w:t>
      </w:r>
      <w:r w:rsidR="00F24929">
        <w:rPr>
          <w:rFonts w:cstheme="minorHAnsi"/>
        </w:rPr>
        <w:t>T</w:t>
      </w:r>
      <w:r w:rsidRPr="001E7454">
        <w:rPr>
          <w:rFonts w:cstheme="minorHAnsi"/>
        </w:rPr>
        <w:t xml:space="preserve">he study </w:t>
      </w:r>
      <w:r w:rsidR="00F24929">
        <w:rPr>
          <w:rFonts w:cstheme="minorHAnsi"/>
        </w:rPr>
        <w:t xml:space="preserve">also </w:t>
      </w:r>
      <w:r w:rsidRPr="001E7454">
        <w:rPr>
          <w:rFonts w:cstheme="minorHAnsi"/>
        </w:rPr>
        <w:t xml:space="preserve">had </w:t>
      </w:r>
      <w:r w:rsidR="00074C7C">
        <w:rPr>
          <w:rFonts w:cstheme="minorHAnsi"/>
        </w:rPr>
        <w:t>several</w:t>
      </w:r>
      <w:r w:rsidRPr="001E7454">
        <w:rPr>
          <w:rFonts w:cstheme="minorHAnsi"/>
        </w:rPr>
        <w:t xml:space="preserve"> limitations. To investigate associations between s</w:t>
      </w:r>
      <w:r w:rsidR="00817B91">
        <w:rPr>
          <w:rFonts w:cstheme="minorHAnsi"/>
        </w:rPr>
        <w:t xml:space="preserve">hort stature </w:t>
      </w:r>
      <w:r w:rsidRPr="001E7454">
        <w:rPr>
          <w:rFonts w:cstheme="minorHAnsi"/>
        </w:rPr>
        <w:t>and deprivation we used</w:t>
      </w:r>
      <w:r w:rsidR="00D44F0D">
        <w:rPr>
          <w:rFonts w:cstheme="minorHAnsi"/>
        </w:rPr>
        <w:t xml:space="preserve"> available data on</w:t>
      </w:r>
      <w:r w:rsidRPr="001E7454">
        <w:rPr>
          <w:rFonts w:cstheme="minorHAnsi"/>
        </w:rPr>
        <w:t xml:space="preserve"> </w:t>
      </w:r>
      <w:r w:rsidR="00704C71">
        <w:rPr>
          <w:rFonts w:cstheme="minorHAnsi"/>
        </w:rPr>
        <w:t>IMD</w:t>
      </w:r>
      <w:r w:rsidRPr="001E7454">
        <w:rPr>
          <w:rFonts w:cstheme="minorHAnsi"/>
        </w:rPr>
        <w:t xml:space="preserve">, </w:t>
      </w:r>
      <w:r w:rsidR="000867F7" w:rsidRPr="001E7454">
        <w:rPr>
          <w:rFonts w:cstheme="minorHAnsi"/>
        </w:rPr>
        <w:t>which</w:t>
      </w:r>
      <w:r w:rsidRPr="001E7454">
        <w:rPr>
          <w:rFonts w:cstheme="minorHAnsi"/>
        </w:rPr>
        <w:t xml:space="preserve"> is not a measure of individual or </w:t>
      </w:r>
      <w:r w:rsidR="000867F7" w:rsidRPr="001E7454">
        <w:rPr>
          <w:rFonts w:cstheme="minorHAnsi"/>
        </w:rPr>
        <w:t xml:space="preserve">household </w:t>
      </w:r>
      <w:r w:rsidRPr="001E7454">
        <w:rPr>
          <w:rFonts w:cstheme="minorHAnsi"/>
        </w:rPr>
        <w:t>deprivation, nor does it completely capture socioeconomic or environmental variables. As such</w:t>
      </w:r>
      <w:r w:rsidR="00F24929">
        <w:rPr>
          <w:rFonts w:cstheme="minorHAnsi"/>
        </w:rPr>
        <w:t>,</w:t>
      </w:r>
      <w:r w:rsidRPr="001E7454">
        <w:rPr>
          <w:rFonts w:cstheme="minorHAnsi"/>
        </w:rPr>
        <w:t xml:space="preserve"> residual confounding</w:t>
      </w:r>
      <w:r w:rsidR="00F24929">
        <w:rPr>
          <w:rFonts w:cstheme="minorHAnsi"/>
        </w:rPr>
        <w:t xml:space="preserve"> is very likely</w:t>
      </w:r>
      <w:r w:rsidRPr="001E7454">
        <w:rPr>
          <w:rFonts w:cstheme="minorHAnsi"/>
        </w:rPr>
        <w:t>.</w:t>
      </w:r>
      <w:r w:rsidR="00B54A82">
        <w:rPr>
          <w:rFonts w:cstheme="minorHAnsi"/>
        </w:rPr>
        <w:t xml:space="preserve"> The population reference used (UK-WHO) is constructed using data from the UK 1990 for the age group analysed, which was in turn developed using data from </w:t>
      </w:r>
      <w:r w:rsidR="00685040">
        <w:rPr>
          <w:rFonts w:cstheme="minorHAnsi"/>
        </w:rPr>
        <w:t>W</w:t>
      </w:r>
      <w:r w:rsidR="00B54A82">
        <w:rPr>
          <w:rFonts w:cstheme="minorHAnsi"/>
        </w:rPr>
        <w:t xml:space="preserve">hite British children. This may limit its </w:t>
      </w:r>
      <w:r w:rsidR="00071F6F">
        <w:rPr>
          <w:rFonts w:cstheme="minorHAnsi"/>
        </w:rPr>
        <w:t>generalisability</w:t>
      </w:r>
      <w:r w:rsidR="00B54A82">
        <w:rPr>
          <w:rFonts w:cstheme="minorHAnsi"/>
        </w:rPr>
        <w:t xml:space="preserve"> in children of other ethnicities.</w:t>
      </w:r>
      <w:r w:rsidRPr="001E7454">
        <w:rPr>
          <w:rFonts w:cstheme="minorHAnsi"/>
        </w:rPr>
        <w:t xml:space="preserve"> </w:t>
      </w:r>
      <w:r w:rsidR="000867F7" w:rsidRPr="001E7454">
        <w:rPr>
          <w:rFonts w:cstheme="minorHAnsi"/>
        </w:rPr>
        <w:t xml:space="preserve">Additionally, the NCMP data </w:t>
      </w:r>
      <w:r w:rsidR="00F24929">
        <w:rPr>
          <w:rFonts w:cstheme="minorHAnsi"/>
        </w:rPr>
        <w:t>are</w:t>
      </w:r>
      <w:r w:rsidR="000867F7" w:rsidRPr="001E7454">
        <w:rPr>
          <w:rFonts w:cstheme="minorHAnsi"/>
        </w:rPr>
        <w:t xml:space="preserve"> cross-sectional and there is </w:t>
      </w:r>
      <w:r w:rsidR="00092C7C">
        <w:rPr>
          <w:rFonts w:cstheme="minorHAnsi"/>
        </w:rPr>
        <w:t xml:space="preserve">only </w:t>
      </w:r>
      <w:r w:rsidR="000867F7" w:rsidRPr="001E7454">
        <w:rPr>
          <w:rFonts w:cstheme="minorHAnsi"/>
        </w:rPr>
        <w:t>a single data point for each child</w:t>
      </w:r>
      <w:r w:rsidR="0002746F">
        <w:rPr>
          <w:rFonts w:cstheme="minorHAnsi"/>
        </w:rPr>
        <w:t xml:space="preserve">, making causal inferences inappropriate. </w:t>
      </w:r>
      <w:r w:rsidR="000867F7" w:rsidRPr="001E7454">
        <w:rPr>
          <w:rFonts w:cstheme="minorHAnsi"/>
        </w:rPr>
        <w:t xml:space="preserve"> </w:t>
      </w:r>
    </w:p>
    <w:p w14:paraId="65DD4539" w14:textId="681D97E1" w:rsidR="009F3946" w:rsidRPr="00EF255F" w:rsidRDefault="00173BC2" w:rsidP="00C159BA">
      <w:pPr>
        <w:spacing w:line="360" w:lineRule="auto"/>
      </w:pPr>
      <w:r>
        <w:t xml:space="preserve">There are </w:t>
      </w:r>
      <w:r w:rsidR="009F3946">
        <w:t xml:space="preserve">three </w:t>
      </w:r>
      <w:r>
        <w:t>major public health implications of our findings. First</w:t>
      </w:r>
      <w:r w:rsidR="0044600E">
        <w:t>ly</w:t>
      </w:r>
      <w:r>
        <w:t xml:space="preserve">, </w:t>
      </w:r>
      <w:r w:rsidR="0044600E">
        <w:rPr>
          <w:rFonts w:cstheme="minorHAnsi"/>
        </w:rPr>
        <w:t>t</w:t>
      </w:r>
      <w:r w:rsidR="00B20819" w:rsidRPr="001E7454">
        <w:rPr>
          <w:rFonts w:cstheme="minorHAnsi"/>
        </w:rPr>
        <w:t>he geographical ‘</w:t>
      </w:r>
      <w:proofErr w:type="gramStart"/>
      <w:r w:rsidR="00B20819" w:rsidRPr="001E7454">
        <w:rPr>
          <w:rFonts w:cstheme="minorHAnsi"/>
        </w:rPr>
        <w:t>hotspots’</w:t>
      </w:r>
      <w:proofErr w:type="gramEnd"/>
      <w:r w:rsidR="00B20819" w:rsidRPr="001E7454">
        <w:rPr>
          <w:rFonts w:cstheme="minorHAnsi"/>
        </w:rPr>
        <w:t xml:space="preserve"> and the clear soci</w:t>
      </w:r>
      <w:r w:rsidR="00745E83" w:rsidRPr="001E7454">
        <w:rPr>
          <w:rFonts w:cstheme="minorHAnsi"/>
        </w:rPr>
        <w:t>oeconomic</w:t>
      </w:r>
      <w:r w:rsidR="00B20819" w:rsidRPr="001E7454">
        <w:rPr>
          <w:rFonts w:cstheme="minorHAnsi"/>
        </w:rPr>
        <w:t xml:space="preserve"> gradient </w:t>
      </w:r>
      <w:r w:rsidR="0044600E">
        <w:rPr>
          <w:rFonts w:cstheme="minorHAnsi"/>
        </w:rPr>
        <w:t xml:space="preserve">demonstrated by these data </w:t>
      </w:r>
      <w:r w:rsidR="00EF255F">
        <w:rPr>
          <w:rFonts w:cstheme="minorHAnsi"/>
        </w:rPr>
        <w:t>show that where a child is born, and the environment in which they grow</w:t>
      </w:r>
      <w:r w:rsidR="00ED71C5">
        <w:rPr>
          <w:rFonts w:cstheme="minorHAnsi"/>
        </w:rPr>
        <w:t xml:space="preserve"> up</w:t>
      </w:r>
      <w:r w:rsidR="008A05CB">
        <w:rPr>
          <w:rFonts w:cstheme="minorHAnsi"/>
        </w:rPr>
        <w:t>,</w:t>
      </w:r>
      <w:r w:rsidR="00EF255F">
        <w:rPr>
          <w:rFonts w:cstheme="minorHAnsi"/>
        </w:rPr>
        <w:t xml:space="preserve"> </w:t>
      </w:r>
      <w:r w:rsidR="00C410B3">
        <w:rPr>
          <w:rFonts w:cstheme="minorHAnsi"/>
        </w:rPr>
        <w:t xml:space="preserve">both </w:t>
      </w:r>
      <w:r w:rsidR="00726BF9">
        <w:rPr>
          <w:rFonts w:cstheme="minorHAnsi"/>
        </w:rPr>
        <w:t>are associated with their</w:t>
      </w:r>
      <w:r w:rsidR="00FF60F4">
        <w:rPr>
          <w:rFonts w:cstheme="minorHAnsi"/>
        </w:rPr>
        <w:t xml:space="preserve"> height</w:t>
      </w:r>
      <w:r w:rsidR="00EF255F">
        <w:rPr>
          <w:rFonts w:cstheme="minorHAnsi"/>
        </w:rPr>
        <w:t xml:space="preserve"> </w:t>
      </w:r>
      <w:r w:rsidR="004A4445">
        <w:rPr>
          <w:rFonts w:cstheme="minorHAnsi"/>
        </w:rPr>
        <w:t xml:space="preserve">at the </w:t>
      </w:r>
      <w:r w:rsidR="00C410B3">
        <w:rPr>
          <w:rFonts w:cstheme="minorHAnsi"/>
        </w:rPr>
        <w:t>age of 4-5 years</w:t>
      </w:r>
      <w:r w:rsidR="009F3946">
        <w:rPr>
          <w:rFonts w:cstheme="minorHAnsi"/>
        </w:rPr>
        <w:t xml:space="preserve">. This </w:t>
      </w:r>
      <w:r w:rsidR="00B20819" w:rsidRPr="001E7454">
        <w:rPr>
          <w:rFonts w:cstheme="minorHAnsi"/>
        </w:rPr>
        <w:t xml:space="preserve">should prompt </w:t>
      </w:r>
      <w:r w:rsidR="009F3946">
        <w:rPr>
          <w:rFonts w:cstheme="minorHAnsi"/>
        </w:rPr>
        <w:t xml:space="preserve">immediate </w:t>
      </w:r>
      <w:r w:rsidR="00B20819" w:rsidRPr="001E7454">
        <w:rPr>
          <w:rFonts w:cstheme="minorHAnsi"/>
        </w:rPr>
        <w:t>action by local and national government</w:t>
      </w:r>
      <w:r w:rsidR="00C410B3">
        <w:rPr>
          <w:rFonts w:cstheme="minorHAnsi"/>
        </w:rPr>
        <w:t xml:space="preserve"> to address the upstream factors that underlie s</w:t>
      </w:r>
      <w:r w:rsidR="00D61116">
        <w:rPr>
          <w:rFonts w:cstheme="minorHAnsi"/>
        </w:rPr>
        <w:t>hort stature</w:t>
      </w:r>
      <w:r w:rsidR="00C36575">
        <w:rPr>
          <w:rFonts w:cstheme="minorHAnsi"/>
        </w:rPr>
        <w:t>, especially</w:t>
      </w:r>
      <w:r w:rsidR="00C410B3">
        <w:rPr>
          <w:rFonts w:cstheme="minorHAnsi"/>
        </w:rPr>
        <w:t xml:space="preserve"> in the areas </w:t>
      </w:r>
      <w:r w:rsidR="00A140A5">
        <w:rPr>
          <w:rFonts w:cstheme="minorHAnsi"/>
        </w:rPr>
        <w:t>where</w:t>
      </w:r>
      <w:r w:rsidR="00C410B3">
        <w:rPr>
          <w:rFonts w:cstheme="minorHAnsi"/>
        </w:rPr>
        <w:t xml:space="preserve"> we have identified clusters</w:t>
      </w:r>
      <w:r w:rsidR="00B20819" w:rsidRPr="001E7454">
        <w:rPr>
          <w:rFonts w:cstheme="minorHAnsi"/>
        </w:rPr>
        <w:t xml:space="preserve">. </w:t>
      </w:r>
      <w:r w:rsidR="002A6DD0">
        <w:rPr>
          <w:rFonts w:cstheme="minorHAnsi"/>
        </w:rPr>
        <w:t xml:space="preserve">Moreover, studies of </w:t>
      </w:r>
      <w:r w:rsidR="004A4445">
        <w:rPr>
          <w:rFonts w:cstheme="minorHAnsi"/>
        </w:rPr>
        <w:t xml:space="preserve">child growth trajectories in </w:t>
      </w:r>
      <w:r w:rsidR="00CC4156">
        <w:rPr>
          <w:rFonts w:cstheme="minorHAnsi"/>
        </w:rPr>
        <w:t xml:space="preserve">LMIC </w:t>
      </w:r>
      <w:r w:rsidR="004A4445">
        <w:rPr>
          <w:rFonts w:cstheme="minorHAnsi"/>
        </w:rPr>
        <w:t xml:space="preserve">have identified substantial </w:t>
      </w:r>
      <w:r w:rsidR="002A6DD0">
        <w:rPr>
          <w:rFonts w:cstheme="minorHAnsi"/>
        </w:rPr>
        <w:t xml:space="preserve">catch-up growth </w:t>
      </w:r>
      <w:r w:rsidR="00CC4156">
        <w:rPr>
          <w:rFonts w:cstheme="minorHAnsi"/>
        </w:rPr>
        <w:t>by</w:t>
      </w:r>
      <w:r w:rsidR="002A6DD0">
        <w:rPr>
          <w:rFonts w:cstheme="minorHAnsi"/>
        </w:rPr>
        <w:t xml:space="preserve"> </w:t>
      </w:r>
      <w:r w:rsidR="00CC4156">
        <w:rPr>
          <w:rFonts w:cstheme="minorHAnsi"/>
        </w:rPr>
        <w:t>5 years of age among</w:t>
      </w:r>
      <w:r w:rsidR="002A6DD0">
        <w:rPr>
          <w:rFonts w:cstheme="minorHAnsi"/>
        </w:rPr>
        <w:t xml:space="preserve"> children who </w:t>
      </w:r>
      <w:r w:rsidR="00612CA4">
        <w:rPr>
          <w:rFonts w:cstheme="minorHAnsi"/>
        </w:rPr>
        <w:t>had</w:t>
      </w:r>
      <w:r w:rsidR="002A6DD0">
        <w:rPr>
          <w:rFonts w:cstheme="minorHAnsi"/>
        </w:rPr>
        <w:t xml:space="preserve"> s</w:t>
      </w:r>
      <w:r w:rsidR="00D61116">
        <w:rPr>
          <w:rFonts w:cstheme="minorHAnsi"/>
        </w:rPr>
        <w:t>hort stature</w:t>
      </w:r>
      <w:r w:rsidR="002A6DD0">
        <w:rPr>
          <w:rFonts w:cstheme="minorHAnsi"/>
        </w:rPr>
        <w:t xml:space="preserve"> in infancy</w:t>
      </w:r>
      <w:r w:rsidR="003305B3">
        <w:rPr>
          <w:rFonts w:cstheme="minorHAnsi"/>
        </w:rPr>
        <w:t xml:space="preserve"> </w:t>
      </w:r>
      <w:r w:rsidR="00FD1939">
        <w:rPr>
          <w:rFonts w:cstheme="minorHAnsi"/>
        </w:rPr>
        <w:fldChar w:fldCharType="begin">
          <w:fldData xml:space="preserve">PEVuZE5vdGU+PENpdGU+PEF1dGhvcj5MdW5kZWVuPC9BdXRob3I+PFllYXI+MjAxNDwvWWVhcj48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</w:fldData>
        </w:fldChar>
      </w:r>
      <w:r w:rsidR="000900CA">
        <w:rPr>
          <w:rFonts w:cstheme="minorHAnsi"/>
        </w:rPr>
        <w:instrText xml:space="preserve"> ADDIN EN.CITE </w:instrText>
      </w:r>
      <w:r w:rsidR="000900CA">
        <w:rPr>
          <w:rFonts w:cstheme="minorHAnsi"/>
        </w:rPr>
        <w:fldChar w:fldCharType="begin">
          <w:fldData xml:space="preserve">PEVuZE5vdGU+PENpdGU+PEF1dGhvcj5MdW5kZWVuPC9BdXRob3I+PFllYXI+MjAxNDwvWWVhcj48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</w:fldData>
        </w:fldChar>
      </w:r>
      <w:r w:rsidR="000900CA">
        <w:rPr>
          <w:rFonts w:cstheme="minorHAnsi"/>
        </w:rPr>
        <w:instrText xml:space="preserve"> ADDIN EN.CITE.DATA </w:instrText>
      </w:r>
      <w:r w:rsidR="000900CA">
        <w:rPr>
          <w:rFonts w:cstheme="minorHAnsi"/>
        </w:rPr>
      </w:r>
      <w:r w:rsidR="000900CA">
        <w:rPr>
          <w:rFonts w:cstheme="minorHAnsi"/>
        </w:rPr>
        <w:fldChar w:fldCharType="end"/>
      </w:r>
      <w:r w:rsidR="00FD1939">
        <w:rPr>
          <w:rFonts w:cstheme="minorHAnsi"/>
        </w:rPr>
      </w:r>
      <w:r w:rsidR="00FD1939">
        <w:rPr>
          <w:rFonts w:cstheme="minorHAnsi"/>
        </w:rPr>
        <w:fldChar w:fldCharType="separate"/>
      </w:r>
      <w:r w:rsidR="000900CA">
        <w:rPr>
          <w:rFonts w:cstheme="minorHAnsi"/>
          <w:noProof/>
        </w:rPr>
        <w:t>[3</w:t>
      </w:r>
      <w:r w:rsidR="00A65F8F">
        <w:rPr>
          <w:rFonts w:cstheme="minorHAnsi"/>
          <w:noProof/>
        </w:rPr>
        <w:t>5</w:t>
      </w:r>
      <w:r w:rsidR="000900CA">
        <w:rPr>
          <w:rFonts w:cstheme="minorHAnsi"/>
          <w:noProof/>
        </w:rPr>
        <w:t>]</w:t>
      </w:r>
      <w:r w:rsidR="00FD1939">
        <w:rPr>
          <w:rFonts w:cstheme="minorHAnsi"/>
        </w:rPr>
        <w:fldChar w:fldCharType="end"/>
      </w:r>
      <w:r w:rsidR="003305B3">
        <w:rPr>
          <w:rFonts w:cstheme="minorHAnsi"/>
        </w:rPr>
        <w:t>.</w:t>
      </w:r>
      <w:r w:rsidR="002A6DD0">
        <w:rPr>
          <w:rFonts w:cstheme="minorHAnsi"/>
        </w:rPr>
        <w:t xml:space="preserve"> It is therefore possible that the prevalence of s</w:t>
      </w:r>
      <w:r w:rsidR="00D61116">
        <w:rPr>
          <w:rFonts w:cstheme="minorHAnsi"/>
        </w:rPr>
        <w:t>hort stature</w:t>
      </w:r>
      <w:r w:rsidR="002A6DD0">
        <w:rPr>
          <w:rFonts w:cstheme="minorHAnsi"/>
        </w:rPr>
        <w:t xml:space="preserve"> is </w:t>
      </w:r>
      <w:r w:rsidR="00CC4156">
        <w:rPr>
          <w:rFonts w:cstheme="minorHAnsi"/>
        </w:rPr>
        <w:t xml:space="preserve">even </w:t>
      </w:r>
      <w:r w:rsidR="002A6DD0">
        <w:rPr>
          <w:rFonts w:cstheme="minorHAnsi"/>
        </w:rPr>
        <w:t>higher at younger age</w:t>
      </w:r>
      <w:r w:rsidR="00CC4156">
        <w:rPr>
          <w:rFonts w:cstheme="minorHAnsi"/>
        </w:rPr>
        <w:t>s</w:t>
      </w:r>
      <w:r w:rsidR="002A6DD0">
        <w:rPr>
          <w:rFonts w:cstheme="minorHAnsi"/>
        </w:rPr>
        <w:t xml:space="preserve"> in children experiencing poverty in England.   </w:t>
      </w:r>
    </w:p>
    <w:p w14:paraId="76A7E706" w14:textId="70F9F276" w:rsidR="007E3839" w:rsidRDefault="007E3839" w:rsidP="007E3839">
      <w:pPr>
        <w:spacing w:line="360" w:lineRule="auto"/>
        <w:rPr>
          <w:rFonts w:cstheme="minorHAnsi"/>
        </w:rPr>
      </w:pPr>
      <w:r>
        <w:rPr>
          <w:rFonts w:cstheme="minorHAnsi"/>
        </w:rPr>
        <w:t>Secondly, the</w:t>
      </w:r>
      <w:r w:rsidRPr="001E7454">
        <w:rPr>
          <w:rFonts w:cstheme="minorHAnsi"/>
        </w:rPr>
        <w:t xml:space="preserve"> </w:t>
      </w:r>
      <w:r w:rsidR="00A7008C">
        <w:rPr>
          <w:rFonts w:cstheme="minorHAnsi"/>
        </w:rPr>
        <w:t xml:space="preserve">concept of </w:t>
      </w:r>
      <w:r w:rsidR="00004376">
        <w:rPr>
          <w:rFonts w:cstheme="minorHAnsi"/>
        </w:rPr>
        <w:t>‘</w:t>
      </w:r>
      <w:r w:rsidR="00A7008C">
        <w:rPr>
          <w:rFonts w:cstheme="minorHAnsi"/>
        </w:rPr>
        <w:t>stunting</w:t>
      </w:r>
      <w:r w:rsidR="00004376">
        <w:rPr>
          <w:rFonts w:cstheme="minorHAnsi"/>
        </w:rPr>
        <w:t>’</w:t>
      </w:r>
      <w:r w:rsidR="00CE17C2">
        <w:rPr>
          <w:rFonts w:cstheme="minorHAnsi"/>
        </w:rPr>
        <w:t>, or short stature</w:t>
      </w:r>
      <w:r w:rsidR="00A7008C">
        <w:rPr>
          <w:rFonts w:cstheme="minorHAnsi"/>
        </w:rPr>
        <w:t xml:space="preserve">, which broadly </w:t>
      </w:r>
      <w:r w:rsidR="00863444">
        <w:rPr>
          <w:rFonts w:cstheme="minorHAnsi"/>
        </w:rPr>
        <w:t xml:space="preserve">reflects </w:t>
      </w:r>
      <w:r w:rsidR="00A7008C">
        <w:rPr>
          <w:rFonts w:cstheme="minorHAnsi"/>
        </w:rPr>
        <w:t xml:space="preserve">socioeconomic </w:t>
      </w:r>
      <w:r w:rsidR="00863444">
        <w:rPr>
          <w:rFonts w:cstheme="minorHAnsi"/>
        </w:rPr>
        <w:t xml:space="preserve">determinants </w:t>
      </w:r>
      <w:r w:rsidR="00A7008C">
        <w:rPr>
          <w:rFonts w:cstheme="minorHAnsi"/>
        </w:rPr>
        <w:t xml:space="preserve">of </w:t>
      </w:r>
      <w:r w:rsidR="007A0B20">
        <w:rPr>
          <w:rFonts w:cstheme="minorHAnsi"/>
        </w:rPr>
        <w:t>growth faltering</w:t>
      </w:r>
      <w:r w:rsidR="00A7008C">
        <w:rPr>
          <w:rFonts w:cstheme="minorHAnsi"/>
        </w:rPr>
        <w:t xml:space="preserve">, </w:t>
      </w:r>
      <w:r>
        <w:rPr>
          <w:rFonts w:cstheme="minorHAnsi"/>
        </w:rPr>
        <w:t>is typically</w:t>
      </w:r>
      <w:r w:rsidRPr="001E7454">
        <w:rPr>
          <w:rFonts w:cstheme="minorHAnsi"/>
        </w:rPr>
        <w:t xml:space="preserve"> </w:t>
      </w:r>
      <w:r>
        <w:rPr>
          <w:rFonts w:cstheme="minorHAnsi"/>
        </w:rPr>
        <w:t xml:space="preserve">used to </w:t>
      </w:r>
      <w:r w:rsidR="00A7008C">
        <w:rPr>
          <w:rFonts w:cstheme="minorHAnsi"/>
        </w:rPr>
        <w:t>describe health inequalities</w:t>
      </w:r>
      <w:r w:rsidRPr="001E7454">
        <w:rPr>
          <w:rFonts w:cstheme="minorHAnsi"/>
        </w:rPr>
        <w:t xml:space="preserve"> in </w:t>
      </w:r>
      <w:r w:rsidR="00356E13">
        <w:rPr>
          <w:rFonts w:cstheme="minorHAnsi"/>
        </w:rPr>
        <w:t xml:space="preserve">LMIC </w:t>
      </w:r>
      <w:r w:rsidR="004E4CC4">
        <w:rPr>
          <w:rFonts w:cstheme="minorHAnsi"/>
        </w:rPr>
        <w:t>but</w:t>
      </w:r>
      <w:r>
        <w:rPr>
          <w:rFonts w:cstheme="minorHAnsi"/>
        </w:rPr>
        <w:t xml:space="preserve"> rarely used </w:t>
      </w:r>
      <w:r w:rsidRPr="001E7454">
        <w:rPr>
          <w:rFonts w:cstheme="minorHAnsi"/>
        </w:rPr>
        <w:t>in high-income settings.</w:t>
      </w:r>
      <w:r w:rsidR="00143F01">
        <w:rPr>
          <w:rFonts w:cstheme="minorHAnsi"/>
        </w:rPr>
        <w:t xml:space="preserve"> </w:t>
      </w:r>
      <w:r w:rsidR="00612CA4">
        <w:rPr>
          <w:rFonts w:cstheme="minorHAnsi"/>
        </w:rPr>
        <w:t xml:space="preserve">In the UK, stunting or short stature is not considered to be a major public health problem because the overall prevalence is much lower than in LMIC. </w:t>
      </w:r>
      <w:r>
        <w:rPr>
          <w:rFonts w:cstheme="minorHAnsi"/>
        </w:rPr>
        <w:t xml:space="preserve">We contest that this difference in </w:t>
      </w:r>
      <w:r w:rsidR="00A7008C">
        <w:rPr>
          <w:rFonts w:cstheme="minorHAnsi"/>
        </w:rPr>
        <w:t xml:space="preserve">approach </w:t>
      </w:r>
      <w:r>
        <w:rPr>
          <w:rFonts w:cstheme="minorHAnsi"/>
        </w:rPr>
        <w:t>leads to children with short stature being overlooked in the UK</w:t>
      </w:r>
      <w:r w:rsidR="00E20303">
        <w:rPr>
          <w:rFonts w:cstheme="minorHAnsi"/>
        </w:rPr>
        <w:t xml:space="preserve">. </w:t>
      </w:r>
      <w:r>
        <w:rPr>
          <w:rFonts w:cstheme="minorHAnsi"/>
        </w:rPr>
        <w:t xml:space="preserve">Our analyses of a large national dataset over the past </w:t>
      </w:r>
      <w:r w:rsidR="000720A8">
        <w:rPr>
          <w:rFonts w:cstheme="minorHAnsi"/>
        </w:rPr>
        <w:t>thirteen</w:t>
      </w:r>
      <w:r>
        <w:rPr>
          <w:rFonts w:cstheme="minorHAnsi"/>
        </w:rPr>
        <w:t xml:space="preserve"> years, however, identify a clear</w:t>
      </w:r>
      <w:r w:rsidRPr="001E7454">
        <w:rPr>
          <w:rFonts w:cstheme="minorHAnsi"/>
        </w:rPr>
        <w:t xml:space="preserve"> social gradient and </w:t>
      </w:r>
      <w:r>
        <w:rPr>
          <w:rFonts w:cstheme="minorHAnsi"/>
        </w:rPr>
        <w:t xml:space="preserve">striking </w:t>
      </w:r>
      <w:r w:rsidRPr="001E7454">
        <w:rPr>
          <w:rFonts w:cstheme="minorHAnsi"/>
        </w:rPr>
        <w:t>regional variation</w:t>
      </w:r>
      <w:r>
        <w:rPr>
          <w:rFonts w:cstheme="minorHAnsi"/>
        </w:rPr>
        <w:t xml:space="preserve"> in short stature</w:t>
      </w:r>
      <w:r w:rsidR="00446740">
        <w:rPr>
          <w:rFonts w:cstheme="minorHAnsi"/>
        </w:rPr>
        <w:t xml:space="preserve"> which should not be ignored</w:t>
      </w:r>
      <w:r w:rsidRPr="001E7454">
        <w:rPr>
          <w:rFonts w:cstheme="minorHAnsi"/>
        </w:rPr>
        <w:t>.</w:t>
      </w:r>
      <w:r w:rsidR="00DB15F4">
        <w:rPr>
          <w:rFonts w:cstheme="minorHAnsi"/>
        </w:rPr>
        <w:t xml:space="preserve"> </w:t>
      </w:r>
    </w:p>
    <w:p w14:paraId="434B9088" w14:textId="35837579" w:rsidR="006B6466" w:rsidRDefault="007E3839" w:rsidP="00A0650C">
      <w:pPr>
        <w:spacing w:line="360" w:lineRule="auto"/>
        <w:rPr>
          <w:rFonts w:eastAsia="Times New Roman" w:cstheme="minorHAnsi"/>
          <w:color w:val="000000"/>
          <w:shd w:val="clear" w:color="auto" w:fill="FFFFFF"/>
          <w:lang w:val="en-GB"/>
        </w:rPr>
      </w:pPr>
      <w:r>
        <w:rPr>
          <w:rFonts w:cstheme="minorHAnsi"/>
        </w:rPr>
        <w:t>Finally</w:t>
      </w:r>
      <w:r w:rsidR="00173BC2">
        <w:rPr>
          <w:rFonts w:cstheme="minorHAnsi"/>
        </w:rPr>
        <w:t>, w</w:t>
      </w:r>
      <w:r w:rsidR="00B20819" w:rsidRPr="001E7454">
        <w:rPr>
          <w:rFonts w:cstheme="minorHAnsi"/>
        </w:rPr>
        <w:t xml:space="preserve">hilst </w:t>
      </w:r>
      <w:r w:rsidR="00745E83" w:rsidRPr="001E7454">
        <w:rPr>
          <w:rFonts w:cstheme="minorHAnsi"/>
        </w:rPr>
        <w:t xml:space="preserve">the </w:t>
      </w:r>
      <w:r w:rsidR="00B20819" w:rsidRPr="001E7454">
        <w:rPr>
          <w:rFonts w:cstheme="minorHAnsi"/>
        </w:rPr>
        <w:t>weight</w:t>
      </w:r>
      <w:r w:rsidR="00745E83" w:rsidRPr="001E7454">
        <w:rPr>
          <w:rFonts w:cstheme="minorHAnsi"/>
        </w:rPr>
        <w:t>s</w:t>
      </w:r>
      <w:r w:rsidR="00B20819" w:rsidRPr="001E7454">
        <w:rPr>
          <w:rFonts w:cstheme="minorHAnsi"/>
        </w:rPr>
        <w:t xml:space="preserve"> and height</w:t>
      </w:r>
      <w:r w:rsidR="00745E83" w:rsidRPr="001E7454">
        <w:rPr>
          <w:rFonts w:cstheme="minorHAnsi"/>
        </w:rPr>
        <w:t>s</w:t>
      </w:r>
      <w:r w:rsidR="00B20819" w:rsidRPr="001E7454">
        <w:rPr>
          <w:rFonts w:cstheme="minorHAnsi"/>
        </w:rPr>
        <w:t xml:space="preserve"> of most </w:t>
      </w:r>
      <w:r w:rsidR="00383C02">
        <w:rPr>
          <w:rFonts w:cstheme="minorHAnsi"/>
        </w:rPr>
        <w:t>4-</w:t>
      </w:r>
      <w:r w:rsidR="00B20819" w:rsidRPr="001E7454">
        <w:rPr>
          <w:rFonts w:cstheme="minorHAnsi"/>
        </w:rPr>
        <w:t>5-year-old children in England are being systematically measured</w:t>
      </w:r>
      <w:r w:rsidR="00885BD8">
        <w:rPr>
          <w:rFonts w:cstheme="minorHAnsi"/>
        </w:rPr>
        <w:t xml:space="preserve"> in the school setting</w:t>
      </w:r>
      <w:r w:rsidR="00B20819" w:rsidRPr="001E7454">
        <w:rPr>
          <w:rFonts w:cstheme="minorHAnsi"/>
        </w:rPr>
        <w:t xml:space="preserve">, children with </w:t>
      </w:r>
      <w:r w:rsidR="00446740">
        <w:rPr>
          <w:rFonts w:cstheme="minorHAnsi"/>
        </w:rPr>
        <w:t>poor linear growth</w:t>
      </w:r>
      <w:r w:rsidR="00446740" w:rsidRPr="001E7454">
        <w:rPr>
          <w:rFonts w:cstheme="minorHAnsi"/>
        </w:rPr>
        <w:t xml:space="preserve"> </w:t>
      </w:r>
      <w:r w:rsidR="00B20819" w:rsidRPr="001E7454">
        <w:rPr>
          <w:rFonts w:cstheme="minorHAnsi"/>
        </w:rPr>
        <w:t xml:space="preserve">are not being highlighted to their families or General Practitioners. This misses a valuable opportunity to identify </w:t>
      </w:r>
      <w:r w:rsidR="00863444">
        <w:rPr>
          <w:rFonts w:cstheme="minorHAnsi"/>
        </w:rPr>
        <w:t>children whose poor early-life growth may be associated with</w:t>
      </w:r>
      <w:r w:rsidR="00446740">
        <w:rPr>
          <w:rFonts w:cstheme="minorHAnsi"/>
        </w:rPr>
        <w:t xml:space="preserve"> </w:t>
      </w:r>
      <w:r w:rsidR="00B20819" w:rsidRPr="001E7454">
        <w:rPr>
          <w:rFonts w:cstheme="minorHAnsi"/>
        </w:rPr>
        <w:t xml:space="preserve">poor health and delayed neurodevelopment in childhood </w:t>
      </w:r>
      <w:r w:rsidR="00DB15F4">
        <w:rPr>
          <w:rFonts w:cstheme="minorHAnsi"/>
        </w:rPr>
        <w:t>and</w:t>
      </w:r>
      <w:r w:rsidR="00B20819" w:rsidRPr="001E7454">
        <w:rPr>
          <w:rFonts w:cstheme="minorHAnsi"/>
        </w:rPr>
        <w:t xml:space="preserve"> chronic disease and all-cause mortality in adulthood</w:t>
      </w:r>
      <w:r w:rsidR="002729AD">
        <w:rPr>
          <w:rFonts w:cstheme="minorHAnsi"/>
        </w:rPr>
        <w:t xml:space="preserve"> </w:t>
      </w:r>
      <w:r w:rsidR="00656161">
        <w:rPr>
          <w:rFonts w:cstheme="minorHAnsi"/>
        </w:rPr>
        <w:fldChar w:fldCharType="begin"/>
      </w:r>
      <w:r w:rsidR="000900CA">
        <w:rPr>
          <w:rFonts w:cstheme="minorHAnsi"/>
        </w:rPr>
        <w:instrText xml:space="preserve"> ADDIN EN.CITE &lt;EndNote&gt;&lt;Cite&gt;&lt;Author&gt;Ong&lt;/Author&gt;&lt;Year&gt;2013&lt;/Year&gt;&lt;RecNum&gt;38&lt;/RecNum&gt;&lt;DisplayText&gt;[37]&lt;/DisplayText&gt;&lt;record&gt;&lt;rec-number&gt;38&lt;/rec-number&gt;&lt;foreign-keys&gt;&lt;key app="EN" db-id="rzsrwz2pt2tfzged2xlvt2eh9adpzpfrt29r" timestamp="1612114594"&gt;38&lt;/key&gt;&lt;/foreign-keys&gt;&lt;ref-type name="Journal Article"&gt;17&lt;/ref-type&gt;&lt;contributors&gt;&lt;authors&gt;&lt;author&gt;Ong, K. K.&lt;/author&gt;&lt;author&gt;Hardy, R.&lt;/author&gt;&lt;author&gt;Shah, I.&lt;/author&gt;&lt;author&gt;Kuh, D.&lt;/author&gt;&lt;/authors&gt;&lt;/contributors&gt;&lt;auth-address&gt;Medical Research Council Unit for Lifelong Health and Ageing, London WC1B 5JU, United Kingdom. ken.ong@mrc-epid.cam.ac.uk.&lt;/auth-address&gt;&lt;titles&gt;&lt;title&gt;Childhood stunting and mortality between 36 and 64 years: the British 1946 Birth Cohort Study&lt;/title&gt;&lt;secondary-title&gt;J Clin Endocrinol Metab&lt;/secondary-title&gt;&lt;/titles&gt;&lt;periodical&gt;&lt;full-title&gt;J Clin Endocrinol Metab&lt;/full-title&gt;&lt;/periodical&gt;&lt;pages&gt;2070-7&lt;/pages&gt;&lt;volume&gt;98&lt;/volume&gt;&lt;number&gt;5&lt;/number&gt;&lt;edition&gt;2013/03/28&lt;/edition&gt;&lt;keywords&gt;&lt;keyword&gt;Adult&lt;/keyword&gt;&lt;keyword&gt;*Aging&lt;/keyword&gt;&lt;keyword&gt;Body Height&lt;/keyword&gt;&lt;keyword&gt;*Child Development&lt;/keyword&gt;&lt;keyword&gt;Child, Preschool&lt;/keyword&gt;&lt;keyword&gt;Cohort Studies&lt;/keyword&gt;&lt;keyword&gt;Family Health&lt;/keyword&gt;&lt;keyword&gt;Female&lt;/keyword&gt;&lt;keyword&gt;Follow-Up Studies&lt;/keyword&gt;&lt;keyword&gt;Growth Disorders/*physiopathology&lt;/keyword&gt;&lt;keyword&gt;Health Surveys&lt;/keyword&gt;&lt;keyword&gt;Humans&lt;/keyword&gt;&lt;keyword&gt;Male&lt;/keyword&gt;&lt;keyword&gt;Middle Aged&lt;/keyword&gt;&lt;keyword&gt;*Mortality, Premature&lt;/keyword&gt;&lt;keyword&gt;Parents&lt;/keyword&gt;&lt;keyword&gt;Proportional Hazards Models&lt;/keyword&gt;&lt;keyword&gt;Prospective Studies&lt;/keyword&gt;&lt;keyword&gt;Severity of Illness Index&lt;/keyword&gt;&lt;keyword&gt;United Kingdom/epidemiology&lt;/keyword&gt;&lt;/keywords&gt;&lt;dates&gt;&lt;year&gt;2013&lt;/year&gt;&lt;pub-dates&gt;&lt;date&gt;May&lt;/date&gt;&lt;/pub-dates&gt;&lt;/dates&gt;&lt;isbn&gt;0021-972X (Print)&amp;#xD;0021-972x&lt;/isbn&gt;&lt;accession-num&gt;23533234&lt;/accession-num&gt;&lt;urls&gt;&lt;/urls&gt;&lt;custom2&gt;PMC4207952&lt;/custom2&gt;&lt;electronic-resource-num&gt;10.1210/jc.2012-3595&lt;/electronic-resource-num&gt;&lt;remote-database-provider&gt;NLM&lt;/remote-database-provider&gt;&lt;language&gt;eng&lt;/language&gt;&lt;/record&gt;&lt;/Cite&gt;&lt;/EndNote&gt;</w:instrText>
      </w:r>
      <w:r w:rsidR="00656161">
        <w:rPr>
          <w:rFonts w:cstheme="minorHAnsi"/>
        </w:rPr>
        <w:fldChar w:fldCharType="separate"/>
      </w:r>
      <w:r w:rsidR="000900CA">
        <w:rPr>
          <w:rFonts w:cstheme="minorHAnsi"/>
          <w:noProof/>
        </w:rPr>
        <w:t>[3</w:t>
      </w:r>
      <w:r w:rsidR="00A65F8F">
        <w:rPr>
          <w:rFonts w:cstheme="minorHAnsi"/>
          <w:noProof/>
        </w:rPr>
        <w:t>6</w:t>
      </w:r>
      <w:r w:rsidR="000900CA">
        <w:rPr>
          <w:rFonts w:cstheme="minorHAnsi"/>
          <w:noProof/>
        </w:rPr>
        <w:t>]</w:t>
      </w:r>
      <w:r w:rsidR="00656161">
        <w:rPr>
          <w:rFonts w:cstheme="minorHAnsi"/>
        </w:rPr>
        <w:fldChar w:fldCharType="end"/>
      </w:r>
      <w:r w:rsidR="002729AD">
        <w:rPr>
          <w:rFonts w:cstheme="minorHAnsi"/>
        </w:rPr>
        <w:t>.</w:t>
      </w:r>
      <w:r w:rsidR="00B20819" w:rsidRPr="001E7454">
        <w:rPr>
          <w:rFonts w:cstheme="minorHAnsi"/>
        </w:rPr>
        <w:t xml:space="preserve"> </w:t>
      </w:r>
      <w:r w:rsidR="00654881">
        <w:rPr>
          <w:rFonts w:cstheme="minorHAnsi"/>
        </w:rPr>
        <w:t>UK guidance recommends referral for children with height below the 0.4</w:t>
      </w:r>
      <w:r w:rsidR="00654881" w:rsidRPr="00006EA4">
        <w:rPr>
          <w:rFonts w:cstheme="minorHAnsi"/>
          <w:vertAlign w:val="superscript"/>
        </w:rPr>
        <w:t>th</w:t>
      </w:r>
      <w:r w:rsidR="00654881">
        <w:rPr>
          <w:rFonts w:cstheme="minorHAnsi"/>
        </w:rPr>
        <w:t xml:space="preserve"> centile (&lt;-2.67 SDS). This guideline is stricter than other European countries and has low sensitivity for detecting growth disorders (around 30%)</w:t>
      </w:r>
      <w:r w:rsidR="00D75545">
        <w:rPr>
          <w:rFonts w:cstheme="minorHAnsi"/>
        </w:rPr>
        <w:t xml:space="preserve"> </w:t>
      </w:r>
      <w:r w:rsidR="00654881">
        <w:rPr>
          <w:rFonts w:cstheme="minorHAnsi"/>
        </w:rPr>
        <w:fldChar w:fldCharType="begin"/>
      </w:r>
      <w:r w:rsidR="000900CA">
        <w:rPr>
          <w:rFonts w:cstheme="minorHAnsi"/>
        </w:rPr>
        <w:instrText xml:space="preserve"> ADDIN EN.CITE &lt;EndNote&gt;&lt;Cite&gt;&lt;Author&gt;Savage&lt;/Author&gt;&lt;Year&gt;2016&lt;/Year&gt;&lt;RecNum&gt;57&lt;/RecNum&gt;&lt;DisplayText&gt;[38]&lt;/DisplayText&gt;&lt;record&gt;&lt;rec-number&gt;57&lt;/rec-number&gt;&lt;foreign-keys&gt;&lt;key app="EN" db-id="rzsrwz2pt2tfzged2xlvt2eh9adpzpfrt29r" timestamp="1624893936"&gt;57&lt;/key&gt;&lt;/foreign-keys&gt;&lt;ref-type name="Journal Article"&gt;17&lt;/ref-type&gt;&lt;contributors&gt;&lt;authors&gt;&lt;author&gt;Savage, M. O.&lt;/author&gt;&lt;author&gt;Backeljauw, P. F.&lt;/author&gt;&lt;author&gt;Calzada, R.&lt;/author&gt;&lt;author&gt;Cianfarani, S.&lt;/author&gt;&lt;author&gt;Dunkel, L.&lt;/author&gt;&lt;author&gt;Koledova, E.&lt;/author&gt;&lt;author&gt;Wit, J. M.&lt;/author&gt;&lt;author&gt;Yoo, H. W.&lt;/author&gt;&lt;/authors&gt;&lt;/contributors&gt;&lt;titles&gt;&lt;title&gt;Early Detection, Referral, Investigation, and Diagnosis of Children with Growth Disorders&lt;/title&gt;&lt;secondary-title&gt;Hormone Research in Paediatrics&lt;/secondary-title&gt;&lt;/titles&gt;&lt;periodical&gt;&lt;full-title&gt;Hormone Research in Paediatrics&lt;/full-title&gt;&lt;/periodical&gt;&lt;pages&gt;325-332&lt;/pages&gt;&lt;volume&gt;85&lt;/volume&gt;&lt;number&gt;5&lt;/number&gt;&lt;dates&gt;&lt;year&gt;2016&lt;/year&gt;&lt;/dates&gt;&lt;isbn&gt;1663-2818&lt;/isbn&gt;&lt;urls&gt;&lt;related-urls&gt;&lt;url&gt;https://www.karger.com/DOI/10.1159/000444525&lt;/url&gt;&lt;/related-urls&gt;&lt;/urls&gt;&lt;electronic-resource-num&gt;10.1159/000444525&lt;/electronic-resource-num&gt;&lt;/record&gt;&lt;/Cite&gt;&lt;/EndNote&gt;</w:instrText>
      </w:r>
      <w:r w:rsidR="00654881">
        <w:rPr>
          <w:rFonts w:cstheme="minorHAnsi"/>
        </w:rPr>
        <w:fldChar w:fldCharType="separate"/>
      </w:r>
      <w:r w:rsidR="000900CA">
        <w:rPr>
          <w:rFonts w:cstheme="minorHAnsi"/>
          <w:noProof/>
        </w:rPr>
        <w:t>[3</w:t>
      </w:r>
      <w:r w:rsidR="00A65F8F">
        <w:rPr>
          <w:rFonts w:cstheme="minorHAnsi"/>
          <w:noProof/>
        </w:rPr>
        <w:t>7</w:t>
      </w:r>
      <w:r w:rsidR="000900CA">
        <w:rPr>
          <w:rFonts w:cstheme="minorHAnsi"/>
          <w:noProof/>
        </w:rPr>
        <w:t>]</w:t>
      </w:r>
      <w:r w:rsidR="00654881">
        <w:rPr>
          <w:rFonts w:cstheme="minorHAnsi"/>
        </w:rPr>
        <w:fldChar w:fldCharType="end"/>
      </w:r>
      <w:r w:rsidR="00654881">
        <w:rPr>
          <w:rFonts w:cstheme="minorHAnsi"/>
        </w:rPr>
        <w:t>. The combination of height SDS, parental heights and decreased growth rate can be used effectively for growth monitoring with optimal cut-off levels. However, this is currently not possible in the UK as parental heights are not routinely assessed and repeat measurements are not undertaken. Around 60</w:t>
      </w:r>
      <w:r w:rsidR="00024E0C">
        <w:rPr>
          <w:rFonts w:cstheme="minorHAnsi"/>
        </w:rPr>
        <w:t>-</w:t>
      </w:r>
      <w:r w:rsidR="00654881">
        <w:rPr>
          <w:rFonts w:cstheme="minorHAnsi"/>
        </w:rPr>
        <w:t>80% of short children (&lt;-2</w:t>
      </w:r>
      <w:r w:rsidR="00D772B2">
        <w:rPr>
          <w:rFonts w:cstheme="minorHAnsi"/>
        </w:rPr>
        <w:t>.0</w:t>
      </w:r>
      <w:r w:rsidR="00654881">
        <w:rPr>
          <w:rFonts w:cstheme="minorHAnsi"/>
        </w:rPr>
        <w:t xml:space="preserve"> SDS) are estimated to have no identifiable aetiology following review </w:t>
      </w:r>
      <w:r w:rsidR="00654881">
        <w:rPr>
          <w:rFonts w:cstheme="minorHAnsi"/>
        </w:rPr>
        <w:fldChar w:fldCharType="begin"/>
      </w:r>
      <w:r w:rsidR="000900CA">
        <w:rPr>
          <w:rFonts w:cstheme="minorHAnsi"/>
        </w:rPr>
        <w:instrText xml:space="preserve"> ADDIN EN.CITE &lt;EndNote&gt;&lt;Cite&gt;&lt;Author&gt;Lindsay&lt;/Author&gt;&lt;Year&gt;1994&lt;/Year&gt;&lt;RecNum&gt;59&lt;/RecNum&gt;&lt;DisplayText&gt;[39]&lt;/DisplayText&gt;&lt;record&gt;&lt;rec-number&gt;59&lt;/rec-number&gt;&lt;foreign-keys&gt;&lt;key app="EN" db-id="rzsrwz2pt2tfzged2xlvt2eh9adpzpfrt29r" timestamp="1624894570"&gt;59&lt;/key&gt;&lt;/foreign-keys&gt;&lt;ref-type name="Journal Article"&gt;17&lt;/ref-type&gt;&lt;contributors&gt;&lt;authors&gt;&lt;author&gt;Lindsay, R.&lt;/author&gt;&lt;author&gt;Feldkamp, M.&lt;/author&gt;&lt;author&gt;Harris, D.&lt;/author&gt;&lt;author&gt;Robertson, J.&lt;/author&gt;&lt;author&gt;Rallison, M.&lt;/author&gt;&lt;/authors&gt;&lt;/contributors&gt;&lt;auth-address&gt;Department of Pediatrics, University of Utah Medical Center, Salt Lake City.&lt;/auth-address&gt;&lt;titles&gt;&lt;title&gt;Utah Growth Study: growth standards and the prevalence of growth hormone deficiency&lt;/title&gt;&lt;secondary-title&gt;J Pediatr&lt;/secondary-title&gt;&lt;/titles&gt;&lt;periodical&gt;&lt;full-title&gt;J Pediatr&lt;/full-title&gt;&lt;/periodical&gt;&lt;pages&gt;29-35&lt;/pages&gt;&lt;volume&gt;125&lt;/volume&gt;&lt;number&gt;1&lt;/number&gt;&lt;edition&gt;1994/07/01&lt;/edition&gt;&lt;keywords&gt;&lt;keyword&gt;Child&lt;/keyword&gt;&lt;keyword&gt;Child, Preschool&lt;/keyword&gt;&lt;keyword&gt;Female&lt;/keyword&gt;&lt;keyword&gt;*Growth&lt;/keyword&gt;&lt;keyword&gt;Growth Disorders/diagnosis/*epidemiology&lt;/keyword&gt;&lt;keyword&gt;Growth Hormone/*deficiency&lt;/keyword&gt;&lt;keyword&gt;Humans&lt;/keyword&gt;&lt;keyword&gt;Male&lt;/keyword&gt;&lt;keyword&gt;Prevalence&lt;/keyword&gt;&lt;keyword&gt;Reference Values&lt;/keyword&gt;&lt;keyword&gt;Turner Syndrome/diagnosis&lt;/keyword&gt;&lt;keyword&gt;Utah/epidemiology&lt;/keyword&gt;&lt;/keywords&gt;&lt;dates&gt;&lt;year&gt;1994&lt;/year&gt;&lt;pub-dates&gt;&lt;date&gt;Jul&lt;/date&gt;&lt;/pub-dates&gt;&lt;/dates&gt;&lt;isbn&gt;0022-3476 (Print)&amp;#xD;0022-3476&lt;/isbn&gt;&lt;accession-num&gt;8021781&lt;/accession-num&gt;&lt;urls&gt;&lt;/urls&gt;&lt;electronic-resource-num&gt;10.1016/s0022-3476(94)70117-2&lt;/electronic-resource-num&gt;&lt;remote-database-provider&gt;NLM&lt;/remote-database-provider&gt;&lt;language&gt;eng&lt;/language&gt;&lt;/record&gt;&lt;/Cite&gt;&lt;/EndNote&gt;</w:instrText>
      </w:r>
      <w:r w:rsidR="00654881">
        <w:rPr>
          <w:rFonts w:cstheme="minorHAnsi"/>
        </w:rPr>
        <w:fldChar w:fldCharType="separate"/>
      </w:r>
      <w:r w:rsidR="000900CA">
        <w:rPr>
          <w:rFonts w:cstheme="minorHAnsi"/>
          <w:noProof/>
        </w:rPr>
        <w:t>[3</w:t>
      </w:r>
      <w:r w:rsidR="00A65F8F">
        <w:rPr>
          <w:rFonts w:cstheme="minorHAnsi"/>
          <w:noProof/>
        </w:rPr>
        <w:t>8</w:t>
      </w:r>
      <w:r w:rsidR="000900CA">
        <w:rPr>
          <w:rFonts w:cstheme="minorHAnsi"/>
          <w:noProof/>
        </w:rPr>
        <w:t>]</w:t>
      </w:r>
      <w:r w:rsidR="00654881">
        <w:rPr>
          <w:rFonts w:cstheme="minorHAnsi"/>
        </w:rPr>
        <w:fldChar w:fldCharType="end"/>
      </w:r>
      <w:r w:rsidR="00654881">
        <w:rPr>
          <w:rFonts w:cstheme="minorHAnsi"/>
        </w:rPr>
        <w:t xml:space="preserve">. </w:t>
      </w:r>
      <w:r w:rsidR="00446740">
        <w:rPr>
          <w:rFonts w:cstheme="minorHAnsi"/>
        </w:rPr>
        <w:t>We argue that screening should start earlier in life than the current NCMP programme, since school-age measurements may be</w:t>
      </w:r>
      <w:r w:rsidR="00C159BA">
        <w:rPr>
          <w:rFonts w:cstheme="minorHAnsi"/>
        </w:rPr>
        <w:t xml:space="preserve"> </w:t>
      </w:r>
      <w:r w:rsidR="007A0242">
        <w:rPr>
          <w:rFonts w:cstheme="minorHAnsi"/>
        </w:rPr>
        <w:t>too</w:t>
      </w:r>
      <w:r w:rsidR="009F3946">
        <w:rPr>
          <w:rFonts w:cstheme="minorHAnsi"/>
        </w:rPr>
        <w:t xml:space="preserve"> </w:t>
      </w:r>
      <w:r w:rsidR="00C159BA">
        <w:rPr>
          <w:rFonts w:cstheme="minorHAnsi"/>
        </w:rPr>
        <w:t xml:space="preserve">late to </w:t>
      </w:r>
      <w:r w:rsidR="008A05CB">
        <w:rPr>
          <w:rFonts w:cstheme="minorHAnsi"/>
        </w:rPr>
        <w:t>mitigate</w:t>
      </w:r>
      <w:r w:rsidR="00C410B3">
        <w:rPr>
          <w:rFonts w:cstheme="minorHAnsi"/>
        </w:rPr>
        <w:t xml:space="preserve"> </w:t>
      </w:r>
      <w:r w:rsidR="00C159BA">
        <w:rPr>
          <w:rFonts w:cstheme="minorHAnsi"/>
        </w:rPr>
        <w:t>many of the factors underl</w:t>
      </w:r>
      <w:r w:rsidR="008A05CB">
        <w:rPr>
          <w:rFonts w:cstheme="minorHAnsi"/>
        </w:rPr>
        <w:t>ying</w:t>
      </w:r>
      <w:r w:rsidR="00C159BA">
        <w:rPr>
          <w:rFonts w:cstheme="minorHAnsi"/>
        </w:rPr>
        <w:t xml:space="preserve"> s</w:t>
      </w:r>
      <w:r w:rsidR="00CE17C2">
        <w:rPr>
          <w:rFonts w:cstheme="minorHAnsi"/>
        </w:rPr>
        <w:t>hort stature</w:t>
      </w:r>
      <w:r w:rsidR="00C159BA">
        <w:rPr>
          <w:rFonts w:cstheme="minorHAnsi"/>
        </w:rPr>
        <w:t xml:space="preserve">. </w:t>
      </w:r>
      <w:r w:rsidR="00446740">
        <w:rPr>
          <w:rFonts w:cstheme="minorHAnsi"/>
        </w:rPr>
        <w:t>It</w:t>
      </w:r>
      <w:r w:rsidR="00C159BA" w:rsidRPr="001E7454">
        <w:rPr>
          <w:rFonts w:cstheme="minorHAnsi"/>
        </w:rPr>
        <w:t xml:space="preserve"> is now well established that the </w:t>
      </w:r>
      <w:r w:rsidR="00446740">
        <w:rPr>
          <w:rFonts w:cstheme="minorHAnsi"/>
        </w:rPr>
        <w:t>‘</w:t>
      </w:r>
      <w:r w:rsidR="00C159BA" w:rsidRPr="001E7454">
        <w:rPr>
          <w:rFonts w:cstheme="minorHAnsi"/>
        </w:rPr>
        <w:t>first 1000 days</w:t>
      </w:r>
      <w:r w:rsidR="00446740">
        <w:rPr>
          <w:rFonts w:cstheme="minorHAnsi"/>
        </w:rPr>
        <w:t>’</w:t>
      </w:r>
      <w:r w:rsidR="00C159BA" w:rsidRPr="001E7454">
        <w:rPr>
          <w:rFonts w:cstheme="minorHAnsi"/>
        </w:rPr>
        <w:t xml:space="preserve"> (conception to age 2</w:t>
      </w:r>
      <w:r w:rsidR="008A05CB">
        <w:rPr>
          <w:rFonts w:cstheme="minorHAnsi"/>
        </w:rPr>
        <w:t xml:space="preserve"> years</w:t>
      </w:r>
      <w:r w:rsidR="00C159BA" w:rsidRPr="001E7454">
        <w:rPr>
          <w:rFonts w:cstheme="minorHAnsi"/>
        </w:rPr>
        <w:t xml:space="preserve">) is the period </w:t>
      </w:r>
      <w:r w:rsidR="008A05CB">
        <w:rPr>
          <w:rFonts w:cstheme="minorHAnsi"/>
        </w:rPr>
        <w:t>during</w:t>
      </w:r>
      <w:r w:rsidR="008A05CB" w:rsidRPr="001E7454">
        <w:rPr>
          <w:rFonts w:cstheme="minorHAnsi"/>
        </w:rPr>
        <w:t xml:space="preserve"> </w:t>
      </w:r>
      <w:r w:rsidR="00C159BA" w:rsidRPr="001E7454">
        <w:rPr>
          <w:rFonts w:eastAsia="Times New Roman" w:cstheme="minorHAnsi"/>
          <w:color w:val="000000"/>
          <w:shd w:val="clear" w:color="auto" w:fill="FFFFFF"/>
          <w:lang w:val="en-GB"/>
        </w:rPr>
        <w:t>which linear growth</w:t>
      </w:r>
      <w:r w:rsidR="002A6DD0">
        <w:rPr>
          <w:rFonts w:eastAsia="Times New Roman" w:cstheme="minorHAnsi"/>
          <w:color w:val="000000"/>
          <w:shd w:val="clear" w:color="auto" w:fill="FFFFFF"/>
          <w:lang w:val="en-GB"/>
        </w:rPr>
        <w:t xml:space="preserve"> and neurodevelopment</w:t>
      </w:r>
      <w:r w:rsidR="00C159BA" w:rsidRPr="001E7454">
        <w:rPr>
          <w:rFonts w:eastAsia="Times New Roman" w:cstheme="minorHAnsi"/>
          <w:color w:val="000000"/>
          <w:shd w:val="clear" w:color="auto" w:fill="FFFFFF"/>
          <w:lang w:val="en-GB"/>
        </w:rPr>
        <w:t xml:space="preserve"> </w:t>
      </w:r>
      <w:r w:rsidR="00657E38">
        <w:rPr>
          <w:rFonts w:eastAsia="Times New Roman" w:cstheme="minorHAnsi"/>
          <w:color w:val="000000"/>
          <w:shd w:val="clear" w:color="auto" w:fill="FFFFFF"/>
          <w:lang w:val="en-GB"/>
        </w:rPr>
        <w:t>are</w:t>
      </w:r>
      <w:r w:rsidR="004A5D47">
        <w:rPr>
          <w:rFonts w:eastAsia="Times New Roman" w:cstheme="minorHAnsi"/>
          <w:color w:val="000000"/>
          <w:shd w:val="clear" w:color="auto" w:fill="FFFFFF"/>
          <w:lang w:val="en-GB"/>
        </w:rPr>
        <w:t xml:space="preserve"> </w:t>
      </w:r>
      <w:r w:rsidR="00C159BA" w:rsidRPr="001E7454">
        <w:rPr>
          <w:rFonts w:eastAsia="Times New Roman" w:cstheme="minorHAnsi"/>
          <w:color w:val="000000"/>
          <w:shd w:val="clear" w:color="auto" w:fill="FFFFFF"/>
          <w:lang w:val="en-GB"/>
        </w:rPr>
        <w:t>most sensitive to environmental modification</w:t>
      </w:r>
      <w:r w:rsidR="00C159BA" w:rsidRPr="001E7454">
        <w:rPr>
          <w:rFonts w:cstheme="minorHAnsi"/>
        </w:rPr>
        <w:t xml:space="preserve">. </w:t>
      </w:r>
      <w:r w:rsidR="008A05CB">
        <w:rPr>
          <w:rFonts w:eastAsia="Times New Roman" w:cstheme="minorHAnsi"/>
          <w:color w:val="000000"/>
          <w:shd w:val="clear" w:color="auto" w:fill="FFFFFF"/>
          <w:lang w:val="en-GB"/>
        </w:rPr>
        <w:t xml:space="preserve">We </w:t>
      </w:r>
      <w:r w:rsidR="00446740">
        <w:rPr>
          <w:rFonts w:eastAsia="Times New Roman" w:cstheme="minorHAnsi"/>
          <w:color w:val="000000"/>
          <w:shd w:val="clear" w:color="auto" w:fill="FFFFFF"/>
          <w:lang w:val="en-GB"/>
        </w:rPr>
        <w:t xml:space="preserve">therefore propose </w:t>
      </w:r>
      <w:r w:rsidR="008A05CB">
        <w:rPr>
          <w:rFonts w:eastAsia="Times New Roman" w:cstheme="minorHAnsi"/>
          <w:color w:val="000000"/>
          <w:shd w:val="clear" w:color="auto" w:fill="FFFFFF"/>
          <w:lang w:val="en-GB"/>
        </w:rPr>
        <w:t>that height should be systematically screened at younger ages in the UK, in line with</w:t>
      </w:r>
      <w:r w:rsidR="00C159BA" w:rsidRPr="001E7454">
        <w:rPr>
          <w:rFonts w:eastAsia="Times New Roman" w:cstheme="minorHAnsi"/>
          <w:color w:val="000000"/>
          <w:shd w:val="clear" w:color="auto" w:fill="FFFFFF"/>
          <w:lang w:val="en-GB"/>
        </w:rPr>
        <w:t xml:space="preserve"> other European countries. For example, children in the Netherlands </w:t>
      </w:r>
      <w:r w:rsidR="00C159BA">
        <w:rPr>
          <w:rFonts w:eastAsia="Times New Roman" w:cstheme="minorHAnsi"/>
          <w:color w:val="000000"/>
          <w:shd w:val="clear" w:color="auto" w:fill="FFFFFF"/>
          <w:lang w:val="en-GB"/>
        </w:rPr>
        <w:t xml:space="preserve">and Finland </w:t>
      </w:r>
      <w:r w:rsidR="00C159BA" w:rsidRPr="001E7454">
        <w:rPr>
          <w:rFonts w:eastAsia="Times New Roman" w:cstheme="minorHAnsi"/>
          <w:color w:val="000000"/>
          <w:shd w:val="clear" w:color="auto" w:fill="FFFFFF"/>
          <w:lang w:val="en-GB"/>
        </w:rPr>
        <w:t xml:space="preserve">have heights and weights routinely measured </w:t>
      </w:r>
      <w:r w:rsidR="00C159BA">
        <w:rPr>
          <w:rFonts w:eastAsia="Times New Roman" w:cstheme="minorHAnsi"/>
          <w:color w:val="000000"/>
          <w:shd w:val="clear" w:color="auto" w:fill="FFFFFF"/>
          <w:lang w:val="en-GB"/>
        </w:rPr>
        <w:t xml:space="preserve">at least </w:t>
      </w:r>
      <w:r w:rsidR="00C159BA" w:rsidRPr="001E7454">
        <w:rPr>
          <w:rFonts w:eastAsia="Times New Roman" w:cstheme="minorHAnsi"/>
          <w:color w:val="000000"/>
          <w:shd w:val="clear" w:color="auto" w:fill="FFFFFF"/>
          <w:lang w:val="en-GB"/>
        </w:rPr>
        <w:t>ten times in the first 1000 days</w:t>
      </w:r>
      <w:r w:rsidR="00BA0261">
        <w:rPr>
          <w:rFonts w:eastAsia="Times New Roman" w:cstheme="minorHAnsi"/>
          <w:color w:val="000000"/>
          <w:shd w:val="clear" w:color="auto" w:fill="FFFFFF"/>
          <w:lang w:val="en-GB"/>
        </w:rPr>
        <w:t xml:space="preserve"> </w:t>
      </w:r>
      <w:r w:rsidR="00101472">
        <w:rPr>
          <w:rFonts w:eastAsia="Times New Roman" w:cstheme="minorHAnsi"/>
          <w:color w:val="000000"/>
          <w:shd w:val="clear" w:color="auto" w:fill="FFFFFF"/>
          <w:lang w:val="en-GB"/>
        </w:rPr>
        <w:fldChar w:fldCharType="begin">
          <w:fldData xml:space="preserve">PEVuZE5vdGU+PENpdGU+PEF1dGhvcj5MZXZpbjwvQXV0aG9yPjxZZWFyPjIwMTY8L1llYXI+PFJl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</w:fldData>
        </w:fldChar>
      </w:r>
      <w:r w:rsidR="000900CA">
        <w:rPr>
          <w:rFonts w:eastAsia="Times New Roman" w:cstheme="minorHAnsi"/>
          <w:color w:val="000000"/>
          <w:shd w:val="clear" w:color="auto" w:fill="FFFFFF"/>
          <w:lang w:val="en-GB"/>
        </w:rPr>
        <w:instrText xml:space="preserve"> ADDIN EN.CITE </w:instrText>
      </w:r>
      <w:r w:rsidR="000900CA">
        <w:rPr>
          <w:rFonts w:eastAsia="Times New Roman" w:cstheme="minorHAnsi"/>
          <w:color w:val="000000"/>
          <w:shd w:val="clear" w:color="auto" w:fill="FFFFFF"/>
          <w:lang w:val="en-GB"/>
        </w:rPr>
        <w:fldChar w:fldCharType="begin">
          <w:fldData xml:space="preserve">PEVuZE5vdGU+PENpdGU+PEF1dGhvcj5MZXZpbjwvQXV0aG9yPjxZZWFyPjIwMTY8L1llYXI+PFJl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</w:fldData>
        </w:fldChar>
      </w:r>
      <w:r w:rsidR="000900CA">
        <w:rPr>
          <w:rFonts w:eastAsia="Times New Roman" w:cstheme="minorHAnsi"/>
          <w:color w:val="000000"/>
          <w:shd w:val="clear" w:color="auto" w:fill="FFFFFF"/>
          <w:lang w:val="en-GB"/>
        </w:rPr>
        <w:instrText xml:space="preserve"> ADDIN EN.CITE.DATA </w:instrText>
      </w:r>
      <w:r w:rsidR="000900CA">
        <w:rPr>
          <w:rFonts w:eastAsia="Times New Roman" w:cstheme="minorHAnsi"/>
          <w:color w:val="000000"/>
          <w:shd w:val="clear" w:color="auto" w:fill="FFFFFF"/>
          <w:lang w:val="en-GB"/>
        </w:rPr>
      </w:r>
      <w:r w:rsidR="000900CA">
        <w:rPr>
          <w:rFonts w:eastAsia="Times New Roman" w:cstheme="minorHAnsi"/>
          <w:color w:val="000000"/>
          <w:shd w:val="clear" w:color="auto" w:fill="FFFFFF"/>
          <w:lang w:val="en-GB"/>
        </w:rPr>
        <w:fldChar w:fldCharType="end"/>
      </w:r>
      <w:r w:rsidR="00101472">
        <w:rPr>
          <w:rFonts w:eastAsia="Times New Roman" w:cstheme="minorHAnsi"/>
          <w:color w:val="000000"/>
          <w:shd w:val="clear" w:color="auto" w:fill="FFFFFF"/>
          <w:lang w:val="en-GB"/>
        </w:rPr>
      </w:r>
      <w:r w:rsidR="00101472">
        <w:rPr>
          <w:rFonts w:eastAsia="Times New Roman" w:cstheme="minorHAnsi"/>
          <w:color w:val="000000"/>
          <w:shd w:val="clear" w:color="auto" w:fill="FFFFFF"/>
          <w:lang w:val="en-GB"/>
        </w:rPr>
        <w:fldChar w:fldCharType="separate"/>
      </w:r>
      <w:r w:rsidR="000900CA">
        <w:rPr>
          <w:rFonts w:eastAsia="Times New Roman" w:cstheme="minorHAnsi"/>
          <w:noProof/>
          <w:color w:val="000000"/>
          <w:shd w:val="clear" w:color="auto" w:fill="FFFFFF"/>
          <w:lang w:val="en-GB"/>
        </w:rPr>
        <w:t>[</w:t>
      </w:r>
      <w:r w:rsidR="00A65F8F">
        <w:rPr>
          <w:rFonts w:eastAsia="Times New Roman" w:cstheme="minorHAnsi"/>
          <w:noProof/>
          <w:color w:val="000000"/>
          <w:shd w:val="clear" w:color="auto" w:fill="FFFFFF"/>
          <w:lang w:val="en-GB"/>
        </w:rPr>
        <w:t>39</w:t>
      </w:r>
      <w:r w:rsidR="000900CA">
        <w:rPr>
          <w:rFonts w:eastAsia="Times New Roman" w:cstheme="minorHAnsi"/>
          <w:noProof/>
          <w:color w:val="000000"/>
          <w:shd w:val="clear" w:color="auto" w:fill="FFFFFF"/>
          <w:lang w:val="en-GB"/>
        </w:rPr>
        <w:t>]</w:t>
      </w:r>
      <w:r w:rsidR="00101472">
        <w:rPr>
          <w:rFonts w:eastAsia="Times New Roman" w:cstheme="minorHAnsi"/>
          <w:color w:val="000000"/>
          <w:shd w:val="clear" w:color="auto" w:fill="FFFFFF"/>
          <w:lang w:val="en-GB"/>
        </w:rPr>
        <w:fldChar w:fldCharType="end"/>
      </w:r>
      <w:r w:rsidR="00BA0261">
        <w:rPr>
          <w:rFonts w:eastAsia="Times New Roman" w:cstheme="minorHAnsi"/>
          <w:color w:val="000000"/>
          <w:shd w:val="clear" w:color="auto" w:fill="FFFFFF"/>
          <w:lang w:val="en-GB"/>
        </w:rPr>
        <w:t>.</w:t>
      </w:r>
      <w:r w:rsidR="00FF45CE">
        <w:rPr>
          <w:rFonts w:eastAsia="Times New Roman" w:cstheme="minorHAnsi"/>
          <w:color w:val="000000"/>
          <w:shd w:val="clear" w:color="auto" w:fill="FFFFFF"/>
          <w:lang w:val="en-GB"/>
        </w:rPr>
        <w:t xml:space="preserve"> The National Screening Committee </w:t>
      </w:r>
      <w:r w:rsidR="005716AB">
        <w:rPr>
          <w:rFonts w:eastAsia="Times New Roman" w:cstheme="minorHAnsi"/>
          <w:color w:val="000000"/>
          <w:shd w:val="clear" w:color="auto" w:fill="FFFFFF"/>
          <w:lang w:val="en-GB"/>
        </w:rPr>
        <w:t xml:space="preserve">and the Health and Social Care Committee have both </w:t>
      </w:r>
      <w:r w:rsidR="00FF45CE">
        <w:rPr>
          <w:rFonts w:eastAsia="Times New Roman" w:cstheme="minorHAnsi"/>
          <w:color w:val="000000"/>
          <w:shd w:val="clear" w:color="auto" w:fill="FFFFFF"/>
          <w:lang w:val="en-GB"/>
        </w:rPr>
        <w:t xml:space="preserve">recommended </w:t>
      </w:r>
      <w:r w:rsidR="009B340A">
        <w:rPr>
          <w:rFonts w:eastAsia="Times New Roman" w:cstheme="minorHAnsi"/>
          <w:color w:val="000000"/>
          <w:shd w:val="clear" w:color="auto" w:fill="FFFFFF"/>
          <w:lang w:val="en-GB"/>
        </w:rPr>
        <w:t xml:space="preserve">growth </w:t>
      </w:r>
      <w:r w:rsidR="00FF45CE">
        <w:rPr>
          <w:rFonts w:eastAsia="Times New Roman" w:cstheme="minorHAnsi"/>
          <w:color w:val="000000"/>
          <w:shd w:val="clear" w:color="auto" w:fill="FFFFFF"/>
          <w:lang w:val="en-GB"/>
        </w:rPr>
        <w:t xml:space="preserve">screening </w:t>
      </w:r>
      <w:r w:rsidR="009B340A">
        <w:rPr>
          <w:rFonts w:eastAsia="Times New Roman" w:cstheme="minorHAnsi"/>
          <w:color w:val="000000"/>
          <w:shd w:val="clear" w:color="auto" w:fill="FFFFFF"/>
          <w:lang w:val="en-GB"/>
        </w:rPr>
        <w:t>in early</w:t>
      </w:r>
      <w:r w:rsidR="00FF45CE">
        <w:rPr>
          <w:rFonts w:eastAsia="Times New Roman" w:cstheme="minorHAnsi"/>
          <w:color w:val="000000"/>
          <w:shd w:val="clear" w:color="auto" w:fill="FFFFFF"/>
          <w:lang w:val="en-GB"/>
        </w:rPr>
        <w:t xml:space="preserve"> childhood, yet no such programme currently exists</w:t>
      </w:r>
      <w:r w:rsidR="00BA0261">
        <w:rPr>
          <w:rFonts w:eastAsia="Times New Roman" w:cstheme="minorHAnsi"/>
          <w:color w:val="000000"/>
          <w:shd w:val="clear" w:color="auto" w:fill="FFFFFF"/>
          <w:lang w:val="en-GB"/>
        </w:rPr>
        <w:t xml:space="preserve"> </w:t>
      </w:r>
      <w:r w:rsidR="00FF45CE">
        <w:rPr>
          <w:rFonts w:eastAsia="Times New Roman" w:cstheme="minorHAnsi"/>
          <w:color w:val="000000"/>
          <w:shd w:val="clear" w:color="auto" w:fill="FFFFFF"/>
          <w:lang w:val="en-GB"/>
        </w:rPr>
        <w:fldChar w:fldCharType="begin"/>
      </w:r>
      <w:r w:rsidR="000900CA">
        <w:rPr>
          <w:rFonts w:eastAsia="Times New Roman" w:cstheme="minorHAnsi"/>
          <w:color w:val="000000"/>
          <w:shd w:val="clear" w:color="auto" w:fill="FFFFFF"/>
          <w:lang w:val="en-GB"/>
        </w:rPr>
        <w:instrText xml:space="preserve"> ADDIN EN.CITE &lt;EndNote&gt;&lt;Cite&gt;&lt;Author&gt;National Screening Committee&lt;/Author&gt;&lt;Year&gt;2004&lt;/Year&gt;&lt;RecNum&gt;43&lt;/RecNum&gt;&lt;DisplayText&gt;[41, 42]&lt;/DisplayText&gt;&lt;record&gt;&lt;rec-number&gt;43&lt;/rec-number&gt;&lt;foreign-keys&gt;&lt;key app="EN" db-id="rzsrwz2pt2tfzged2xlvt2eh9adpzpfrt29r" timestamp="1613403735"&gt;43&lt;/key&gt;&lt;/foreign-keys&gt;&lt;ref-type name="Report"&gt;27&lt;/ref-type&gt;&lt;contributors&gt;&lt;authors&gt;&lt;author&gt;National Screening Committee, &lt;/author&gt;&lt;/authors&gt;&lt;/contributors&gt;&lt;titles&gt;&lt;title&gt;Child Health Sub-Group Report: Growth Disorders&lt;/title&gt;&lt;/titles&gt;&lt;dates&gt;&lt;year&gt;2004&lt;/year&gt;&lt;/dates&gt;&lt;urls&gt;&lt;related-urls&gt;&lt;url&gt;https://legacyscreening.phe.org.uk/growth&lt;/url&gt;&lt;/related-urls&gt;&lt;/urls&gt;&lt;access-date&gt;15/02/2021&lt;/access-date&gt;&lt;/record&gt;&lt;/Cite&gt;&lt;Cite&gt;&lt;Author&gt;Health and Social Care Committee&lt;/Author&gt;&lt;Year&gt;2018&lt;/Year&gt;&lt;RecNum&gt;46&lt;/RecNum&gt;&lt;record&gt;&lt;rec-number&gt;46&lt;/rec-number&gt;&lt;foreign-keys&gt;&lt;key app="EN" db-id="rzsrwz2pt2tfzged2xlvt2eh9adpzpfrt29r" timestamp="1614863156"&gt;46&lt;/key&gt;&lt;/foreign-keys&gt;&lt;ref-type name="Report"&gt;27&lt;/ref-type&gt;&lt;contributors&gt;&lt;authors&gt;&lt;author&gt;Health and Social Care Committee, &lt;/author&gt;&lt;/authors&gt;&lt;secondary-authors&gt;&lt;author&gt;House of Commons Health Committee&lt;/author&gt;&lt;/secondary-authors&gt;&lt;/contributors&gt;&lt;titles&gt;&lt;title&gt;Childhood obesity: Time for action&lt;/title&gt;&lt;/titles&gt;&lt;dates&gt;&lt;year&gt;2018&lt;/year&gt;&lt;/dates&gt;&lt;urls&gt;&lt;/urls&gt;&lt;/record&gt;&lt;/Cite&gt;&lt;/EndNote&gt;</w:instrText>
      </w:r>
      <w:r w:rsidR="00FF45CE">
        <w:rPr>
          <w:rFonts w:eastAsia="Times New Roman" w:cstheme="minorHAnsi"/>
          <w:color w:val="000000"/>
          <w:shd w:val="clear" w:color="auto" w:fill="FFFFFF"/>
          <w:lang w:val="en-GB"/>
        </w:rPr>
        <w:fldChar w:fldCharType="separate"/>
      </w:r>
      <w:r w:rsidR="000900CA">
        <w:rPr>
          <w:rFonts w:eastAsia="Times New Roman" w:cstheme="minorHAnsi"/>
          <w:noProof/>
          <w:color w:val="000000"/>
          <w:shd w:val="clear" w:color="auto" w:fill="FFFFFF"/>
          <w:lang w:val="en-GB"/>
        </w:rPr>
        <w:t>[4</w:t>
      </w:r>
      <w:r w:rsidR="00A65F8F">
        <w:rPr>
          <w:rFonts w:eastAsia="Times New Roman" w:cstheme="minorHAnsi"/>
          <w:noProof/>
          <w:color w:val="000000"/>
          <w:shd w:val="clear" w:color="auto" w:fill="FFFFFF"/>
          <w:lang w:val="en-GB"/>
        </w:rPr>
        <w:t>0</w:t>
      </w:r>
      <w:r w:rsidR="000900CA">
        <w:rPr>
          <w:rFonts w:eastAsia="Times New Roman" w:cstheme="minorHAnsi"/>
          <w:noProof/>
          <w:color w:val="000000"/>
          <w:shd w:val="clear" w:color="auto" w:fill="FFFFFF"/>
          <w:lang w:val="en-GB"/>
        </w:rPr>
        <w:t>, 4</w:t>
      </w:r>
      <w:r w:rsidR="00A65F8F">
        <w:rPr>
          <w:rFonts w:eastAsia="Times New Roman" w:cstheme="minorHAnsi"/>
          <w:noProof/>
          <w:color w:val="000000"/>
          <w:shd w:val="clear" w:color="auto" w:fill="FFFFFF"/>
          <w:lang w:val="en-GB"/>
        </w:rPr>
        <w:t>1</w:t>
      </w:r>
      <w:r w:rsidR="000900CA">
        <w:rPr>
          <w:rFonts w:eastAsia="Times New Roman" w:cstheme="minorHAnsi"/>
          <w:noProof/>
          <w:color w:val="000000"/>
          <w:shd w:val="clear" w:color="auto" w:fill="FFFFFF"/>
          <w:lang w:val="en-GB"/>
        </w:rPr>
        <w:t>]</w:t>
      </w:r>
      <w:r w:rsidR="00FF45CE">
        <w:rPr>
          <w:rFonts w:eastAsia="Times New Roman" w:cstheme="minorHAnsi"/>
          <w:color w:val="000000"/>
          <w:shd w:val="clear" w:color="auto" w:fill="FFFFFF"/>
          <w:lang w:val="en-GB"/>
        </w:rPr>
        <w:fldChar w:fldCharType="end"/>
      </w:r>
      <w:r w:rsidR="00BA0261">
        <w:rPr>
          <w:rFonts w:eastAsia="Times New Roman" w:cstheme="minorHAnsi"/>
          <w:color w:val="000000"/>
          <w:shd w:val="clear" w:color="auto" w:fill="FFFFFF"/>
          <w:lang w:val="en-GB"/>
        </w:rPr>
        <w:t>.</w:t>
      </w:r>
      <w:r w:rsidR="008A05CB">
        <w:rPr>
          <w:rFonts w:eastAsia="Times New Roman" w:cstheme="minorHAnsi"/>
          <w:color w:val="000000"/>
          <w:shd w:val="clear" w:color="auto" w:fill="FFFFFF"/>
          <w:lang w:val="en-GB"/>
        </w:rPr>
        <w:t xml:space="preserve"> Earlier, systematic, nationwide screening and identification of linear growth </w:t>
      </w:r>
      <w:r w:rsidR="00BE46E3">
        <w:rPr>
          <w:rFonts w:eastAsia="Times New Roman" w:cstheme="minorHAnsi"/>
          <w:color w:val="000000"/>
          <w:shd w:val="clear" w:color="auto" w:fill="FFFFFF"/>
          <w:lang w:val="en-GB"/>
        </w:rPr>
        <w:t xml:space="preserve">faltering </w:t>
      </w:r>
      <w:r w:rsidR="008A05CB">
        <w:rPr>
          <w:rFonts w:eastAsia="Times New Roman" w:cstheme="minorHAnsi"/>
          <w:color w:val="000000"/>
          <w:shd w:val="clear" w:color="auto" w:fill="FFFFFF"/>
          <w:lang w:val="en-GB"/>
        </w:rPr>
        <w:t>could trigger timely referral for investigations to identify those with underlying medical disorders, and an opportunity for psychosocial and educational intervention prior to school-entry in those without underlying medical problems</w:t>
      </w:r>
      <w:r w:rsidR="00F31B2E">
        <w:rPr>
          <w:rFonts w:eastAsia="Times New Roman" w:cstheme="minorHAnsi"/>
          <w:color w:val="000000"/>
          <w:shd w:val="clear" w:color="auto" w:fill="FFFFFF"/>
          <w:lang w:val="en-GB"/>
        </w:rPr>
        <w:t>.</w:t>
      </w:r>
    </w:p>
    <w:p w14:paraId="5E5556DF" w14:textId="03367696" w:rsidR="00A0650C" w:rsidRDefault="00A0650C" w:rsidP="00A0650C">
      <w:pPr>
        <w:spacing w:line="360" w:lineRule="auto"/>
        <w:rPr>
          <w:rFonts w:eastAsia="Times New Roman" w:cstheme="minorHAnsi"/>
          <w:color w:val="000000"/>
          <w:shd w:val="clear" w:color="auto" w:fill="FFFFFF"/>
          <w:lang w:val="en-GB"/>
        </w:rPr>
      </w:pPr>
    </w:p>
    <w:p w14:paraId="5B70078C" w14:textId="3D8545CA" w:rsidR="00552EAD" w:rsidRDefault="00552EAD" w:rsidP="00A0650C">
      <w:pPr>
        <w:spacing w:line="360" w:lineRule="auto"/>
        <w:rPr>
          <w:rFonts w:eastAsia="Times New Roman" w:cstheme="minorHAnsi"/>
          <w:color w:val="000000"/>
          <w:shd w:val="clear" w:color="auto" w:fill="FFFFFF"/>
          <w:lang w:val="en-GB"/>
        </w:rPr>
      </w:pPr>
    </w:p>
    <w:p w14:paraId="3CD3358B" w14:textId="75EE4E8A" w:rsidR="00552EAD" w:rsidRDefault="00552EAD" w:rsidP="00A0650C">
      <w:pPr>
        <w:spacing w:line="360" w:lineRule="auto"/>
        <w:rPr>
          <w:rFonts w:eastAsia="Times New Roman" w:cstheme="minorHAnsi"/>
          <w:color w:val="000000"/>
          <w:shd w:val="clear" w:color="auto" w:fill="FFFFFF"/>
          <w:lang w:val="en-GB"/>
        </w:rPr>
      </w:pPr>
    </w:p>
    <w:p w14:paraId="52480409" w14:textId="462F4B6A" w:rsidR="00552EAD" w:rsidRDefault="00552EAD" w:rsidP="00A0650C">
      <w:pPr>
        <w:spacing w:line="360" w:lineRule="auto"/>
        <w:rPr>
          <w:rFonts w:eastAsia="Times New Roman" w:cstheme="minorHAnsi"/>
          <w:color w:val="000000"/>
          <w:shd w:val="clear" w:color="auto" w:fill="FFFFFF"/>
          <w:lang w:val="en-GB"/>
        </w:rPr>
      </w:pPr>
    </w:p>
    <w:p w14:paraId="1F6CECF7" w14:textId="5E04C1E5" w:rsidR="00552EAD" w:rsidRDefault="00552EAD" w:rsidP="00A0650C">
      <w:pPr>
        <w:spacing w:line="360" w:lineRule="auto"/>
        <w:rPr>
          <w:rFonts w:eastAsia="Times New Roman" w:cstheme="minorHAnsi"/>
          <w:color w:val="000000"/>
          <w:shd w:val="clear" w:color="auto" w:fill="FFFFFF"/>
          <w:lang w:val="en-GB"/>
        </w:rPr>
      </w:pPr>
    </w:p>
    <w:p w14:paraId="778F52D1" w14:textId="0FBD2323" w:rsidR="00552EAD" w:rsidRDefault="00552EAD" w:rsidP="00A0650C">
      <w:pPr>
        <w:spacing w:line="360" w:lineRule="auto"/>
        <w:rPr>
          <w:rFonts w:eastAsia="Times New Roman" w:cstheme="minorHAnsi"/>
          <w:color w:val="000000"/>
          <w:shd w:val="clear" w:color="auto" w:fill="FFFFFF"/>
          <w:lang w:val="en-GB"/>
        </w:rPr>
      </w:pPr>
    </w:p>
    <w:p w14:paraId="65F9A119" w14:textId="22D84F30" w:rsidR="00552EAD" w:rsidRDefault="00552EAD" w:rsidP="00A0650C">
      <w:pPr>
        <w:spacing w:line="360" w:lineRule="auto"/>
        <w:rPr>
          <w:rFonts w:eastAsia="Times New Roman" w:cstheme="minorHAnsi"/>
          <w:color w:val="000000"/>
          <w:shd w:val="clear" w:color="auto" w:fill="FFFFFF"/>
          <w:lang w:val="en-GB"/>
        </w:rPr>
      </w:pPr>
    </w:p>
    <w:p w14:paraId="5F62A27A" w14:textId="40DE1CD1" w:rsidR="00552EAD" w:rsidRDefault="00552EAD" w:rsidP="00A0650C">
      <w:pPr>
        <w:spacing w:line="360" w:lineRule="auto"/>
        <w:rPr>
          <w:rFonts w:eastAsia="Times New Roman" w:cstheme="minorHAnsi"/>
          <w:color w:val="000000"/>
          <w:shd w:val="clear" w:color="auto" w:fill="FFFFFF"/>
          <w:lang w:val="en-GB"/>
        </w:rPr>
      </w:pPr>
    </w:p>
    <w:p w14:paraId="24045D63" w14:textId="1A9B1895" w:rsidR="00552EAD" w:rsidRDefault="00552EAD" w:rsidP="00A0650C">
      <w:pPr>
        <w:spacing w:line="360" w:lineRule="auto"/>
        <w:rPr>
          <w:rFonts w:eastAsia="Times New Roman" w:cstheme="minorHAnsi"/>
          <w:color w:val="000000"/>
          <w:shd w:val="clear" w:color="auto" w:fill="FFFFFF"/>
          <w:lang w:val="en-GB"/>
        </w:rPr>
      </w:pPr>
    </w:p>
    <w:p w14:paraId="4B0AD662" w14:textId="64C76488" w:rsidR="00552EAD" w:rsidRDefault="00552EAD" w:rsidP="00A0650C">
      <w:pPr>
        <w:spacing w:line="360" w:lineRule="auto"/>
        <w:rPr>
          <w:rFonts w:eastAsia="Times New Roman" w:cstheme="minorHAnsi"/>
          <w:color w:val="000000"/>
          <w:shd w:val="clear" w:color="auto" w:fill="FFFFFF"/>
          <w:lang w:val="en-GB"/>
        </w:rPr>
      </w:pPr>
    </w:p>
    <w:p w14:paraId="506894CA" w14:textId="649133B8" w:rsidR="00552EAD" w:rsidRDefault="00552EAD" w:rsidP="00A0650C">
      <w:pPr>
        <w:spacing w:line="360" w:lineRule="auto"/>
        <w:rPr>
          <w:rFonts w:eastAsia="Times New Roman" w:cstheme="minorHAnsi"/>
          <w:color w:val="000000"/>
          <w:shd w:val="clear" w:color="auto" w:fill="FFFFFF"/>
          <w:lang w:val="en-GB"/>
        </w:rPr>
      </w:pPr>
    </w:p>
    <w:p w14:paraId="3179F9C1" w14:textId="2DD37DED" w:rsidR="00552EAD" w:rsidRDefault="00552EAD" w:rsidP="00A0650C">
      <w:pPr>
        <w:spacing w:line="360" w:lineRule="auto"/>
        <w:rPr>
          <w:rFonts w:eastAsia="Times New Roman" w:cstheme="minorHAnsi"/>
          <w:color w:val="000000"/>
          <w:shd w:val="clear" w:color="auto" w:fill="FFFFFF"/>
          <w:lang w:val="en-GB"/>
        </w:rPr>
      </w:pPr>
    </w:p>
    <w:p w14:paraId="2592B5DB" w14:textId="77093957" w:rsidR="00552EAD" w:rsidRDefault="00552EAD" w:rsidP="00A0650C">
      <w:pPr>
        <w:spacing w:line="360" w:lineRule="auto"/>
        <w:rPr>
          <w:rFonts w:eastAsia="Times New Roman" w:cstheme="minorHAnsi"/>
          <w:color w:val="000000"/>
          <w:shd w:val="clear" w:color="auto" w:fill="FFFFFF"/>
          <w:lang w:val="en-GB"/>
        </w:rPr>
      </w:pPr>
    </w:p>
    <w:p w14:paraId="37E9BF8F" w14:textId="1CA1D7EA" w:rsidR="00552EAD" w:rsidRDefault="00552EAD" w:rsidP="00A0650C">
      <w:pPr>
        <w:spacing w:line="360" w:lineRule="auto"/>
        <w:rPr>
          <w:rFonts w:eastAsia="Times New Roman" w:cstheme="minorHAnsi"/>
          <w:color w:val="000000"/>
          <w:shd w:val="clear" w:color="auto" w:fill="FFFFFF"/>
          <w:lang w:val="en-GB"/>
        </w:rPr>
      </w:pPr>
    </w:p>
    <w:p w14:paraId="07E4E0E9" w14:textId="5F3CEFD7" w:rsidR="00552EAD" w:rsidRDefault="00552EAD" w:rsidP="00A0650C">
      <w:pPr>
        <w:spacing w:line="360" w:lineRule="auto"/>
        <w:rPr>
          <w:rFonts w:eastAsia="Times New Roman" w:cstheme="minorHAnsi"/>
          <w:color w:val="000000"/>
          <w:shd w:val="clear" w:color="auto" w:fill="FFFFFF"/>
          <w:lang w:val="en-GB"/>
        </w:rPr>
      </w:pPr>
    </w:p>
    <w:p w14:paraId="3FC9F49B" w14:textId="0EB28325" w:rsidR="00552EAD" w:rsidRDefault="00552EAD" w:rsidP="00A0650C">
      <w:pPr>
        <w:spacing w:line="360" w:lineRule="auto"/>
        <w:rPr>
          <w:rFonts w:eastAsia="Times New Roman" w:cstheme="minorHAnsi"/>
          <w:color w:val="000000"/>
          <w:shd w:val="clear" w:color="auto" w:fill="FFFFFF"/>
          <w:lang w:val="en-GB"/>
        </w:rPr>
      </w:pPr>
    </w:p>
    <w:p w14:paraId="715DD158" w14:textId="3491A1D1" w:rsidR="00552EAD" w:rsidRDefault="00552EAD" w:rsidP="00A0650C">
      <w:pPr>
        <w:spacing w:line="360" w:lineRule="auto"/>
        <w:rPr>
          <w:rFonts w:eastAsia="Times New Roman" w:cstheme="minorHAnsi"/>
          <w:color w:val="000000"/>
          <w:shd w:val="clear" w:color="auto" w:fill="FFFFFF"/>
          <w:lang w:val="en-GB"/>
        </w:rPr>
      </w:pPr>
    </w:p>
    <w:p w14:paraId="51F99EF3" w14:textId="363E08E8" w:rsidR="00552EAD" w:rsidRDefault="00552EAD" w:rsidP="00A0650C">
      <w:pPr>
        <w:spacing w:line="360" w:lineRule="auto"/>
        <w:rPr>
          <w:rFonts w:eastAsia="Times New Roman" w:cstheme="minorHAnsi"/>
          <w:color w:val="000000"/>
          <w:shd w:val="clear" w:color="auto" w:fill="FFFFFF"/>
          <w:lang w:val="en-GB"/>
        </w:rPr>
      </w:pPr>
    </w:p>
    <w:p w14:paraId="04E88FDD" w14:textId="771EDD8A" w:rsidR="00552EAD" w:rsidRDefault="00552EAD" w:rsidP="00A0650C">
      <w:pPr>
        <w:spacing w:line="360" w:lineRule="auto"/>
        <w:rPr>
          <w:rFonts w:eastAsia="Times New Roman" w:cstheme="minorHAnsi"/>
          <w:color w:val="000000"/>
          <w:shd w:val="clear" w:color="auto" w:fill="FFFFFF"/>
          <w:lang w:val="en-GB"/>
        </w:rPr>
      </w:pPr>
    </w:p>
    <w:p w14:paraId="7625E559" w14:textId="2077399A" w:rsidR="00552EAD" w:rsidRDefault="00552EAD" w:rsidP="00A0650C">
      <w:pPr>
        <w:spacing w:line="360" w:lineRule="auto"/>
        <w:rPr>
          <w:rFonts w:eastAsia="Times New Roman" w:cstheme="minorHAnsi"/>
          <w:color w:val="000000"/>
          <w:shd w:val="clear" w:color="auto" w:fill="FFFFFF"/>
          <w:lang w:val="en-GB"/>
        </w:rPr>
      </w:pPr>
    </w:p>
    <w:p w14:paraId="18E98C29" w14:textId="12DDD002" w:rsidR="00552EAD" w:rsidRDefault="00552EAD" w:rsidP="00A0650C">
      <w:pPr>
        <w:spacing w:line="360" w:lineRule="auto"/>
        <w:rPr>
          <w:rFonts w:eastAsia="Times New Roman" w:cstheme="minorHAnsi"/>
          <w:color w:val="000000"/>
          <w:shd w:val="clear" w:color="auto" w:fill="FFFFFF"/>
          <w:lang w:val="en-GB"/>
        </w:rPr>
      </w:pPr>
    </w:p>
    <w:p w14:paraId="32C044E8" w14:textId="77777777" w:rsidR="00552EAD" w:rsidRPr="00A0650C" w:rsidRDefault="00552EAD" w:rsidP="00A0650C">
      <w:pPr>
        <w:spacing w:line="360" w:lineRule="auto"/>
        <w:rPr>
          <w:rFonts w:eastAsia="Times New Roman" w:cstheme="minorHAnsi"/>
          <w:color w:val="000000"/>
          <w:shd w:val="clear" w:color="auto" w:fill="FFFFFF"/>
          <w:lang w:val="en-GB"/>
        </w:rPr>
      </w:pPr>
    </w:p>
    <w:p w14:paraId="09F683B5" w14:textId="75A26C40" w:rsidR="00651C7F" w:rsidRPr="003F3A9F" w:rsidRDefault="00E4400E" w:rsidP="001E7454">
      <w:pPr>
        <w:spacing w:after="0" w:line="256" w:lineRule="auto"/>
        <w:rPr>
          <w:rFonts w:eastAsia="Calibri" w:cstheme="minorHAnsi"/>
          <w:b/>
        </w:rPr>
      </w:pPr>
      <w:r w:rsidRPr="003F3A9F">
        <w:rPr>
          <w:rFonts w:eastAsia="Calibri" w:cstheme="minorHAnsi"/>
          <w:b/>
        </w:rPr>
        <w:t>References</w:t>
      </w:r>
    </w:p>
    <w:p w14:paraId="0FD59E48" w14:textId="77777777" w:rsidR="00D02AA0" w:rsidRDefault="00D02AA0" w:rsidP="001E7454">
      <w:pPr>
        <w:spacing w:after="0"/>
        <w:rPr>
          <w:rFonts w:cstheme="minorHAnsi"/>
        </w:rPr>
      </w:pPr>
    </w:p>
    <w:p w14:paraId="7663C678" w14:textId="77777777" w:rsidR="00D02AA0" w:rsidRDefault="00D02AA0" w:rsidP="001E7454">
      <w:pPr>
        <w:spacing w:after="0"/>
        <w:rPr>
          <w:rFonts w:cstheme="minorHAnsi"/>
        </w:rPr>
      </w:pPr>
    </w:p>
    <w:p w14:paraId="6CB6D5BF" w14:textId="19C457CE" w:rsidR="000900CA" w:rsidRPr="000900CA" w:rsidRDefault="00D02AA0" w:rsidP="000900CA">
      <w:pPr>
        <w:pStyle w:val="EndNoteBibliography"/>
        <w:spacing w:after="0"/>
      </w:pPr>
      <w:r>
        <w:rPr>
          <w:rFonts w:cstheme="minorHAnsi"/>
        </w:rPr>
        <w:fldChar w:fldCharType="begin"/>
      </w:r>
      <w:r>
        <w:rPr>
          <w:rFonts w:cstheme="minorHAnsi"/>
        </w:rPr>
        <w:instrText xml:space="preserve"> ADDIN EN.REFLIST </w:instrText>
      </w:r>
      <w:r>
        <w:rPr>
          <w:rFonts w:cstheme="minorHAnsi"/>
        </w:rPr>
        <w:fldChar w:fldCharType="separate"/>
      </w:r>
      <w:r w:rsidR="000900CA" w:rsidRPr="000900CA">
        <w:t>1.</w:t>
      </w:r>
      <w:r w:rsidR="000900CA" w:rsidRPr="000900CA">
        <w:tab/>
        <w:t xml:space="preserve">de Onis M, Branca F. Childhood stunting: a global perspective. Matern Child Nutr. 2016;12 Suppl 1(Suppl 1):12-26. doi: 10.1111/mcn.12231. </w:t>
      </w:r>
    </w:p>
    <w:p w14:paraId="54E75206" w14:textId="1C6936AE" w:rsidR="000900CA" w:rsidRPr="000900CA" w:rsidRDefault="000900CA" w:rsidP="000900CA">
      <w:pPr>
        <w:pStyle w:val="EndNoteBibliography"/>
        <w:spacing w:after="0"/>
      </w:pPr>
      <w:r w:rsidRPr="000900CA">
        <w:t>2.</w:t>
      </w:r>
      <w:r w:rsidRPr="000900CA">
        <w:tab/>
        <w:t>World Health Organization Department of Nutrition for Health and Development. Global Nutrition Targets 2025: Stunting policy brief. 2014</w:t>
      </w:r>
      <w:r w:rsidR="007E4D11">
        <w:t xml:space="preserve"> </w:t>
      </w:r>
      <w:r w:rsidR="007E4D11" w:rsidRPr="000900CA">
        <w:t>[cited 202</w:t>
      </w:r>
      <w:r w:rsidR="007E4D11">
        <w:t>0</w:t>
      </w:r>
      <w:r w:rsidR="007E4D11" w:rsidRPr="000900CA">
        <w:t xml:space="preserve"> </w:t>
      </w:r>
      <w:r w:rsidR="007E4D11">
        <w:t>4</w:t>
      </w:r>
      <w:r w:rsidR="007E4D11" w:rsidRPr="000900CA">
        <w:t xml:space="preserve">th </w:t>
      </w:r>
      <w:r w:rsidR="004C029C">
        <w:t>December</w:t>
      </w:r>
      <w:r w:rsidR="007E4D11" w:rsidRPr="000900CA">
        <w:t>]</w:t>
      </w:r>
      <w:r w:rsidR="007E4D11">
        <w:t>.</w:t>
      </w:r>
      <w:r>
        <w:t xml:space="preserve"> Available from: </w:t>
      </w:r>
      <w:r w:rsidRPr="000900CA">
        <w:t>https://apps.who.int/iris/handle/10665/149019</w:t>
      </w:r>
    </w:p>
    <w:p w14:paraId="17A77FA6" w14:textId="0B637792" w:rsidR="000900CA" w:rsidRPr="000900CA" w:rsidRDefault="000900CA" w:rsidP="000900CA">
      <w:pPr>
        <w:pStyle w:val="EndNoteBibliography"/>
        <w:spacing w:after="0"/>
      </w:pPr>
      <w:r w:rsidRPr="000900CA">
        <w:t>3.</w:t>
      </w:r>
      <w:r w:rsidRPr="000900CA">
        <w:tab/>
        <w:t>Patients Association. Child Malnutrition Report. 2014</w:t>
      </w:r>
      <w:r w:rsidR="0009225E">
        <w:t xml:space="preserve"> </w:t>
      </w:r>
      <w:r w:rsidR="0009225E" w:rsidRPr="000900CA">
        <w:t>[cited 202</w:t>
      </w:r>
      <w:r w:rsidR="0009225E">
        <w:t>0</w:t>
      </w:r>
      <w:r w:rsidR="0009225E" w:rsidRPr="000900CA">
        <w:t xml:space="preserve"> </w:t>
      </w:r>
      <w:r w:rsidR="0009225E">
        <w:t>12</w:t>
      </w:r>
      <w:r w:rsidR="0009225E" w:rsidRPr="000900CA">
        <w:t xml:space="preserve">th </w:t>
      </w:r>
      <w:r w:rsidR="0009225E">
        <w:t>December</w:t>
      </w:r>
      <w:r w:rsidR="0009225E" w:rsidRPr="000900CA">
        <w:t>]</w:t>
      </w:r>
      <w:r w:rsidR="0009225E">
        <w:t>.</w:t>
      </w:r>
      <w:r w:rsidR="003C52FF">
        <w:t xml:space="preserve"> Available from: </w:t>
      </w:r>
      <w:r w:rsidR="003C52FF" w:rsidRPr="003C52FF">
        <w:t>https://www.patientlibrary.net/cgi-bin/downloadhw.cgi?file=537;gen=aMoXMAfxGIMqUqSTZdA8X_C4BOxM%7CHxk7C262KU0mRM_p9d4lP</w:t>
      </w:r>
    </w:p>
    <w:p w14:paraId="013FEB19" w14:textId="01EEE506" w:rsidR="000900CA" w:rsidRPr="000900CA" w:rsidRDefault="000900CA" w:rsidP="000900CA">
      <w:pPr>
        <w:pStyle w:val="EndNoteBibliography"/>
        <w:spacing w:after="0"/>
      </w:pPr>
      <w:r w:rsidRPr="000900CA">
        <w:t>4.</w:t>
      </w:r>
      <w:r w:rsidRPr="000900CA">
        <w:tab/>
        <w:t>Patients Association. Child Undernutrition Project Report: A report about the current undernourishment of children in England. London: 2017</w:t>
      </w:r>
      <w:r w:rsidR="00647F8D">
        <w:t xml:space="preserve"> </w:t>
      </w:r>
      <w:r w:rsidR="000502D1" w:rsidRPr="000900CA">
        <w:t>[cited 202</w:t>
      </w:r>
      <w:r w:rsidR="000502D1">
        <w:t>0</w:t>
      </w:r>
      <w:r w:rsidR="000502D1" w:rsidRPr="000900CA">
        <w:t xml:space="preserve"> </w:t>
      </w:r>
      <w:r w:rsidR="000502D1">
        <w:t>12</w:t>
      </w:r>
      <w:r w:rsidR="000502D1" w:rsidRPr="000900CA">
        <w:t xml:space="preserve">th </w:t>
      </w:r>
      <w:r w:rsidR="000502D1">
        <w:t>December</w:t>
      </w:r>
      <w:r w:rsidR="000502D1" w:rsidRPr="000900CA">
        <w:t>]</w:t>
      </w:r>
      <w:r w:rsidR="00F26C6B">
        <w:t xml:space="preserve">. </w:t>
      </w:r>
      <w:r w:rsidR="00647F8D">
        <w:t xml:space="preserve">Available from: </w:t>
      </w:r>
      <w:r w:rsidR="00647F8D" w:rsidRPr="00647F8D">
        <w:t>https://www.patients-association.org.uk/news/undernourishment-of-children-in-england</w:t>
      </w:r>
    </w:p>
    <w:p w14:paraId="62710437" w14:textId="77777777" w:rsidR="000900CA" w:rsidRPr="000900CA" w:rsidRDefault="000900CA" w:rsidP="000900CA">
      <w:pPr>
        <w:pStyle w:val="EndNoteBibliography"/>
        <w:spacing w:after="0"/>
      </w:pPr>
      <w:r w:rsidRPr="000900CA">
        <w:t>5.</w:t>
      </w:r>
      <w:r w:rsidRPr="000900CA">
        <w:tab/>
        <w:t>Popkin BM, Corvalan C, Grummer-Strawn LM. Dynamics of the double burden of malnutrition and the changing nutrition reality. The Lancet. 2020;395(10217):65-74. doi: 10.1016/S0140-6736(19)32497-3.</w:t>
      </w:r>
    </w:p>
    <w:p w14:paraId="7907AAB5" w14:textId="31F6A623" w:rsidR="000900CA" w:rsidRPr="000900CA" w:rsidRDefault="000900CA" w:rsidP="000900CA">
      <w:pPr>
        <w:pStyle w:val="EndNoteBibliography"/>
        <w:spacing w:after="0"/>
      </w:pPr>
      <w:r w:rsidRPr="000900CA">
        <w:t>6.</w:t>
      </w:r>
      <w:r w:rsidRPr="000900CA">
        <w:tab/>
        <w:t>NHS Digital. National Child Measurement Programme (NCMP)</w:t>
      </w:r>
      <w:r w:rsidR="00F26F12">
        <w:t xml:space="preserve"> </w:t>
      </w:r>
      <w:r w:rsidRPr="000900CA">
        <w:t xml:space="preserve">[cited 2021 27th January]. Available from: </w:t>
      </w:r>
      <w:hyperlink r:id="rId12" w:history="1">
        <w:r w:rsidRPr="000900CA">
          <w:rPr>
            <w:rStyle w:val="Hyperlink"/>
          </w:rPr>
          <w:t>https://digital.nhs.uk/services/national-child-measurement-programme/</w:t>
        </w:r>
      </w:hyperlink>
      <w:r w:rsidRPr="000900CA">
        <w:t>.</w:t>
      </w:r>
    </w:p>
    <w:p w14:paraId="339FD956" w14:textId="79E0FA41" w:rsidR="000900CA" w:rsidRPr="000900CA" w:rsidRDefault="000900CA" w:rsidP="000900CA">
      <w:pPr>
        <w:pStyle w:val="EndNoteBibliography"/>
        <w:spacing w:after="0"/>
      </w:pPr>
      <w:r w:rsidRPr="000900CA">
        <w:t>7.</w:t>
      </w:r>
      <w:r w:rsidRPr="000900CA">
        <w:tab/>
        <w:t xml:space="preserve">Public Health England. NCMP - Obesity Profile  [cited 2021 27th January]. Available from: </w:t>
      </w:r>
      <w:hyperlink r:id="rId13" w:history="1">
        <w:r w:rsidRPr="000900CA">
          <w:rPr>
            <w:rStyle w:val="Hyperlink"/>
          </w:rPr>
          <w:t>https://fingertips.phe.org.uk/profile/national-child-measurement-programme</w:t>
        </w:r>
      </w:hyperlink>
      <w:r w:rsidRPr="000900CA">
        <w:t>.</w:t>
      </w:r>
    </w:p>
    <w:p w14:paraId="34A1AA2B" w14:textId="34FDEFBA" w:rsidR="000900CA" w:rsidRPr="000900CA" w:rsidRDefault="000900CA" w:rsidP="000900CA">
      <w:pPr>
        <w:pStyle w:val="EndNoteBibliography"/>
        <w:spacing w:after="0"/>
      </w:pPr>
      <w:r w:rsidRPr="000900CA">
        <w:t>8.</w:t>
      </w:r>
      <w:r w:rsidRPr="000900CA">
        <w:tab/>
        <w:t>Department for Education. National Statistics: Schools, pupils and their characteristics: January 2011. 2011</w:t>
      </w:r>
      <w:r w:rsidR="005353CA">
        <w:t xml:space="preserve"> </w:t>
      </w:r>
      <w:r w:rsidR="005353CA" w:rsidRPr="000900CA">
        <w:t>[cited 202</w:t>
      </w:r>
      <w:r w:rsidR="005353CA">
        <w:t>1</w:t>
      </w:r>
      <w:r w:rsidR="005353CA" w:rsidRPr="000900CA">
        <w:t xml:space="preserve"> </w:t>
      </w:r>
      <w:r w:rsidR="005353CA">
        <w:t>18</w:t>
      </w:r>
      <w:r w:rsidR="005353CA" w:rsidRPr="000900CA">
        <w:t xml:space="preserve">th </w:t>
      </w:r>
      <w:r w:rsidR="005353CA">
        <w:t>June</w:t>
      </w:r>
      <w:r w:rsidR="005353CA" w:rsidRPr="000900CA">
        <w:t>]</w:t>
      </w:r>
      <w:r w:rsidRPr="000900CA">
        <w:t>.</w:t>
      </w:r>
      <w:r w:rsidR="00F26F12">
        <w:t xml:space="preserve"> Available from: </w:t>
      </w:r>
      <w:r w:rsidR="00F26F12" w:rsidRPr="00F26F12">
        <w:t>https://www.gov.uk/government/statistics/schools-pupils-and-their-characteristics-january-2011</w:t>
      </w:r>
    </w:p>
    <w:p w14:paraId="3E592C3D" w14:textId="0AA004FB" w:rsidR="000900CA" w:rsidRPr="000900CA" w:rsidRDefault="000900CA" w:rsidP="000900CA">
      <w:pPr>
        <w:pStyle w:val="EndNoteBibliography"/>
        <w:spacing w:after="0"/>
      </w:pPr>
      <w:r w:rsidRPr="000900CA">
        <w:t>9.</w:t>
      </w:r>
      <w:r w:rsidRPr="000900CA">
        <w:tab/>
        <w:t>Public Health England. National Child Measurement Programme Operational Guidance</w:t>
      </w:r>
      <w:r w:rsidR="005353CA">
        <w:t>.</w:t>
      </w:r>
      <w:r w:rsidRPr="000900CA">
        <w:t xml:space="preserve"> 2020</w:t>
      </w:r>
      <w:r w:rsidR="00F37434">
        <w:t xml:space="preserve"> [cited 2020 10th December]</w:t>
      </w:r>
      <w:r w:rsidRPr="000900CA">
        <w:t>.</w:t>
      </w:r>
      <w:r w:rsidR="005353CA">
        <w:t xml:space="preserve"> </w:t>
      </w:r>
      <w:r w:rsidR="00F37434">
        <w:t xml:space="preserve">Available from: </w:t>
      </w:r>
      <w:r w:rsidR="00F37434" w:rsidRPr="00F37434">
        <w:t>https://www.gov.uk/government/publications/national-child-measurement-programme-operational-guidance</w:t>
      </w:r>
    </w:p>
    <w:p w14:paraId="55572B7D" w14:textId="6D06A7BF" w:rsidR="000900CA" w:rsidRPr="000900CA" w:rsidRDefault="000900CA" w:rsidP="000900CA">
      <w:pPr>
        <w:pStyle w:val="EndNoteBibliography"/>
        <w:spacing w:after="0"/>
      </w:pPr>
      <w:r w:rsidRPr="000900CA">
        <w:t>10.</w:t>
      </w:r>
      <w:r w:rsidRPr="000900CA">
        <w:tab/>
        <w:t>NHS Digital. Validation of National Child Measurement Programme data. 2020</w:t>
      </w:r>
      <w:r w:rsidR="00082C43">
        <w:t xml:space="preserve"> [ci</w:t>
      </w:r>
      <w:r w:rsidR="00E60F8F">
        <w:t>ted 2020 10th December]</w:t>
      </w:r>
      <w:r w:rsidRPr="000900CA">
        <w:t>.</w:t>
      </w:r>
      <w:r w:rsidR="00E60F8F">
        <w:t xml:space="preserve"> Available from: </w:t>
      </w:r>
      <w:r w:rsidR="00E60F8F" w:rsidRPr="00E60F8F">
        <w:t>https://digital.nhs.uk/services/national-child-measurement-programme/it-system</w:t>
      </w:r>
    </w:p>
    <w:p w14:paraId="164D9364" w14:textId="4E0DC0A9" w:rsidR="000900CA" w:rsidRPr="000900CA" w:rsidRDefault="000900CA" w:rsidP="000900CA">
      <w:pPr>
        <w:pStyle w:val="EndNoteBibliography"/>
        <w:spacing w:after="0"/>
      </w:pPr>
      <w:r w:rsidRPr="000900CA">
        <w:t>11.</w:t>
      </w:r>
      <w:r w:rsidRPr="000900CA">
        <w:tab/>
      </w:r>
      <w:r w:rsidR="00554088">
        <w:t xml:space="preserve">NHS Digital. </w:t>
      </w:r>
      <w:r w:rsidRPr="000900CA">
        <w:t>National Child Measurement Programme. 2020</w:t>
      </w:r>
      <w:r w:rsidR="00554088">
        <w:t xml:space="preserve"> [cited 2020 16th October]</w:t>
      </w:r>
      <w:r w:rsidRPr="000900CA">
        <w:t>.</w:t>
      </w:r>
      <w:r w:rsidR="00554088">
        <w:t xml:space="preserve"> Available from: </w:t>
      </w:r>
      <w:r w:rsidR="00554088" w:rsidRPr="00554088">
        <w:t>https://digital.nhs.uk/data-and-information/publications/statistical/national-child-measurement-programme</w:t>
      </w:r>
      <w:r w:rsidR="00554088">
        <w:t xml:space="preserve"> </w:t>
      </w:r>
    </w:p>
    <w:p w14:paraId="3606A680" w14:textId="77777777" w:rsidR="000900CA" w:rsidRPr="000900CA" w:rsidRDefault="000900CA" w:rsidP="000900CA">
      <w:pPr>
        <w:pStyle w:val="EndNoteBibliography"/>
        <w:spacing w:after="0"/>
      </w:pPr>
      <w:r w:rsidRPr="000900CA">
        <w:t>12.</w:t>
      </w:r>
      <w:r w:rsidRPr="000900CA">
        <w:tab/>
        <w:t>Wright CM, Williams AF, Elliman D, Bedford H, Birks E, Butler G, et al. Using the new UK-WHO growth charts. BMJ. 2010;340:c1140. doi: 10.1136/bmj.c1140.</w:t>
      </w:r>
    </w:p>
    <w:p w14:paraId="34A07080" w14:textId="77777777" w:rsidR="000900CA" w:rsidRPr="000900CA" w:rsidRDefault="000900CA" w:rsidP="000900CA">
      <w:pPr>
        <w:pStyle w:val="EndNoteBibliography"/>
        <w:spacing w:after="0"/>
      </w:pPr>
      <w:r w:rsidRPr="000900CA">
        <w:t>13.</w:t>
      </w:r>
      <w:r w:rsidRPr="000900CA">
        <w:tab/>
        <w:t>Vidmar SI, Cole TJ, Pan H. Standardizing Anthropometric Measures in Children and Adolescents with Functions for Egen: Update. The Stata Journal. 2013;13(2):366-78. doi: 10.1177/1536867x1301300211.</w:t>
      </w:r>
    </w:p>
    <w:p w14:paraId="0C8BE829" w14:textId="00A500CB" w:rsidR="000900CA" w:rsidRPr="000900CA" w:rsidRDefault="000900CA" w:rsidP="000900CA">
      <w:pPr>
        <w:pStyle w:val="EndNoteBibliography"/>
        <w:spacing w:after="0"/>
      </w:pPr>
      <w:r w:rsidRPr="000900CA">
        <w:t>14.</w:t>
      </w:r>
      <w:r w:rsidRPr="000900CA">
        <w:tab/>
        <w:t>International Center for Equity in Health. Equiplot. 2020</w:t>
      </w:r>
      <w:r w:rsidR="0065187E">
        <w:t xml:space="preserve"> [cited </w:t>
      </w:r>
      <w:r w:rsidR="00A57124">
        <w:t xml:space="preserve">2020 </w:t>
      </w:r>
      <w:r w:rsidR="0065187E">
        <w:t>10th December]</w:t>
      </w:r>
      <w:r w:rsidRPr="000900CA">
        <w:t>.</w:t>
      </w:r>
      <w:r w:rsidR="0065187E">
        <w:t xml:space="preserve"> Available from </w:t>
      </w:r>
      <w:r w:rsidR="0065187E" w:rsidRPr="0065187E">
        <w:t>https://www.equidade.org/equiplot</w:t>
      </w:r>
    </w:p>
    <w:p w14:paraId="6C06289B" w14:textId="1B5EA486" w:rsidR="000900CA" w:rsidRPr="000900CA" w:rsidRDefault="000900CA" w:rsidP="000900CA">
      <w:pPr>
        <w:pStyle w:val="EndNoteBibliography"/>
        <w:spacing w:after="0"/>
      </w:pPr>
      <w:r w:rsidRPr="000900CA">
        <w:t>15.</w:t>
      </w:r>
      <w:r w:rsidRPr="000900CA">
        <w:tab/>
        <w:t>Kulldorff M. SaTScanTM user guide</w:t>
      </w:r>
      <w:r w:rsidR="00A57124">
        <w:t>.</w:t>
      </w:r>
      <w:r w:rsidRPr="000900CA">
        <w:t xml:space="preserve"> 2006</w:t>
      </w:r>
      <w:r w:rsidR="00A57124">
        <w:t xml:space="preserve"> [cited 2020 10th October]</w:t>
      </w:r>
      <w:r w:rsidRPr="000900CA">
        <w:t xml:space="preserve">. Available from: </w:t>
      </w:r>
      <w:hyperlink r:id="rId14" w:history="1">
        <w:r w:rsidRPr="000900CA">
          <w:rPr>
            <w:rStyle w:val="Hyperlink"/>
          </w:rPr>
          <w:t>http://cdemat.free.fr/iurc/demattei/satscan.7.0/SaTScan_Users_Guide.pdf</w:t>
        </w:r>
      </w:hyperlink>
      <w:r w:rsidRPr="000900CA">
        <w:t>.</w:t>
      </w:r>
    </w:p>
    <w:p w14:paraId="0B2EF9C1" w14:textId="77777777" w:rsidR="000900CA" w:rsidRPr="000900CA" w:rsidRDefault="000900CA" w:rsidP="000900CA">
      <w:pPr>
        <w:pStyle w:val="EndNoteBibliography"/>
        <w:spacing w:after="0"/>
      </w:pPr>
      <w:r w:rsidRPr="000900CA">
        <w:t>16.</w:t>
      </w:r>
      <w:r w:rsidRPr="000900CA">
        <w:tab/>
        <w:t>Cole TJ. Do growth chart centiles need a face lift? BMJ. 1994;308(6929):641-2. doi: 10.1136/bmj.308.6929.641.</w:t>
      </w:r>
    </w:p>
    <w:p w14:paraId="74615D6C" w14:textId="739A040B" w:rsidR="000900CA" w:rsidRPr="000900CA" w:rsidRDefault="000900CA" w:rsidP="000900CA">
      <w:pPr>
        <w:pStyle w:val="EndNoteBibliography"/>
        <w:spacing w:after="0"/>
      </w:pPr>
      <w:r w:rsidRPr="000900CA">
        <w:t>17.</w:t>
      </w:r>
      <w:r w:rsidRPr="000900CA">
        <w:tab/>
        <w:t xml:space="preserve">Tanner JM. Growth as a Mirror of the Condition of Society: Secular Trends and Class Distinctions. Pediatrics International. 1987;29(1):96-103. doi: </w:t>
      </w:r>
      <w:hyperlink r:id="rId15" w:history="1">
        <w:r w:rsidRPr="000900CA">
          <w:rPr>
            <w:rStyle w:val="Hyperlink"/>
          </w:rPr>
          <w:t>https://doi.org/10.1111/j.1442-200X.1987.tb00015.x</w:t>
        </w:r>
      </w:hyperlink>
      <w:r w:rsidRPr="000900CA">
        <w:t>.</w:t>
      </w:r>
    </w:p>
    <w:p w14:paraId="5D4D568F" w14:textId="551C26B7" w:rsidR="000900CA" w:rsidRPr="000900CA" w:rsidRDefault="000900CA" w:rsidP="000900CA">
      <w:pPr>
        <w:pStyle w:val="EndNoteBibliography"/>
        <w:spacing w:after="0"/>
      </w:pPr>
      <w:r w:rsidRPr="000900CA">
        <w:t>18.</w:t>
      </w:r>
      <w:r w:rsidRPr="000900CA">
        <w:tab/>
        <w:t xml:space="preserve">UNICEF W, World Bank,. Prevalence of stunting, height for age (% of children under 5) [cited 2020 5th December ]. Available from: </w:t>
      </w:r>
      <w:hyperlink r:id="rId16" w:history="1">
        <w:r w:rsidRPr="000900CA">
          <w:rPr>
            <w:rStyle w:val="Hyperlink"/>
          </w:rPr>
          <w:t>https://data.worldbank.org/indicator/SH.STA.STNT.ZS</w:t>
        </w:r>
      </w:hyperlink>
      <w:r w:rsidRPr="000900CA">
        <w:t>.</w:t>
      </w:r>
    </w:p>
    <w:p w14:paraId="17F582C1" w14:textId="67FE8E28" w:rsidR="000900CA" w:rsidRPr="000900CA" w:rsidRDefault="000900CA" w:rsidP="000900CA">
      <w:pPr>
        <w:pStyle w:val="EndNoteBibliography"/>
        <w:spacing w:after="0"/>
      </w:pPr>
      <w:r w:rsidRPr="000900CA">
        <w:t>19.</w:t>
      </w:r>
      <w:r w:rsidRPr="000900CA">
        <w:tab/>
        <w:t xml:space="preserve">Hancock C, Bettiol S, Smith L. Socioeconomic variation in height: analysis of National Child Measurement Programme data for England. Arch Dis Child. 2016;101(5):422-6. doi: 10.1136/archdischild-2015-308431. </w:t>
      </w:r>
    </w:p>
    <w:p w14:paraId="39FD34F6" w14:textId="2DF3ACDC" w:rsidR="000900CA" w:rsidRPr="000900CA" w:rsidRDefault="000900CA" w:rsidP="000900CA">
      <w:pPr>
        <w:pStyle w:val="EndNoteBibliography"/>
        <w:spacing w:after="0"/>
      </w:pPr>
      <w:r w:rsidRPr="000900CA">
        <w:t>20.</w:t>
      </w:r>
      <w:r w:rsidRPr="000900CA">
        <w:tab/>
        <w:t>Hirsch D, Stone J. Local indicators of child poverty after housing costs, 2018/19. Summary of estimates of child poverty after housing costs in local authorities and parliamentary constituencies, 2014/15–2018/19.</w:t>
      </w:r>
      <w:r w:rsidR="00A57124">
        <w:t xml:space="preserve"> 2020 [cited 2021 27th January]. Available from: </w:t>
      </w:r>
      <w:r w:rsidR="00A57124" w:rsidRPr="00A57124">
        <w:t>https://www.iser.essex.ac.uk/research/publications/526358</w:t>
      </w:r>
      <w:r w:rsidR="00A57124">
        <w:t xml:space="preserve"> </w:t>
      </w:r>
    </w:p>
    <w:p w14:paraId="684FA540" w14:textId="47632567" w:rsidR="000900CA" w:rsidRPr="000900CA" w:rsidRDefault="000900CA" w:rsidP="000900CA">
      <w:pPr>
        <w:pStyle w:val="EndNoteBibliography"/>
        <w:spacing w:after="0"/>
      </w:pPr>
      <w:r w:rsidRPr="000900CA">
        <w:t>21.</w:t>
      </w:r>
      <w:r w:rsidRPr="000900CA">
        <w:tab/>
        <w:t xml:space="preserve">Barker DJ, Osmond C, Golding J. Height and mortality in the counties of England and Wales. Ann Hum Biol. 1990;17(1):1-6. doi: 10.1080/03014469000000732. </w:t>
      </w:r>
    </w:p>
    <w:p w14:paraId="7521BCB9" w14:textId="419ECA71" w:rsidR="000900CA" w:rsidRPr="000900CA" w:rsidRDefault="000900CA" w:rsidP="000900CA">
      <w:pPr>
        <w:pStyle w:val="EndNoteBibliography"/>
        <w:spacing w:after="0"/>
      </w:pPr>
      <w:r w:rsidRPr="000900CA">
        <w:t>22.</w:t>
      </w:r>
      <w:r w:rsidRPr="000900CA">
        <w:tab/>
        <w:t>Institute of Health Equity. Health equity in England: the Marmot review 10 years on. London: 2020</w:t>
      </w:r>
      <w:r w:rsidR="00336459">
        <w:t xml:space="preserve"> [cited 2021 27th January]. Available from: </w:t>
      </w:r>
      <w:r w:rsidR="00336459" w:rsidRPr="00336459">
        <w:t>https://www.health.org.uk/publications/reports/the-marmot-review-10-years-on</w:t>
      </w:r>
    </w:p>
    <w:p w14:paraId="504E8FEA" w14:textId="2888A5A7" w:rsidR="000900CA" w:rsidRPr="000900CA" w:rsidRDefault="000900CA" w:rsidP="000900CA">
      <w:pPr>
        <w:pStyle w:val="EndNoteBibliography"/>
        <w:spacing w:after="0"/>
      </w:pPr>
      <w:r w:rsidRPr="000900CA">
        <w:t>23.</w:t>
      </w:r>
      <w:r w:rsidRPr="000900CA">
        <w:tab/>
        <w:t xml:space="preserve">WHO Multicentre Growth Reference Study Group, de Onis M. Assessment of differences in linear growth among populations in the WHO Multicentre Growth Reference Study. Acta Paediatrica. 2006;95(S450):56-65. doi: </w:t>
      </w:r>
      <w:hyperlink r:id="rId17" w:history="1">
        <w:r w:rsidRPr="000900CA">
          <w:rPr>
            <w:rStyle w:val="Hyperlink"/>
          </w:rPr>
          <w:t>https://doi.org/10.1111/j.1651-2227.2006.tb02376.x</w:t>
        </w:r>
      </w:hyperlink>
      <w:r w:rsidRPr="000900CA">
        <w:t>.</w:t>
      </w:r>
    </w:p>
    <w:p w14:paraId="42889687" w14:textId="482A5801" w:rsidR="000900CA" w:rsidRPr="000900CA" w:rsidRDefault="000900CA" w:rsidP="000900CA">
      <w:pPr>
        <w:pStyle w:val="EndNoteBibliography"/>
        <w:spacing w:after="0"/>
      </w:pPr>
      <w:r w:rsidRPr="000900CA">
        <w:t>24.</w:t>
      </w:r>
      <w:r w:rsidRPr="000900CA">
        <w:tab/>
        <w:t xml:space="preserve">Villar J, Papageorghiou AT, Pang R, Ohuma EO, Ismail LC, Barros FC, et al. The likeness of fetal growth and newborn size across non-isolated populations in the INTERGROWTH-21st Project: the Fetal Growth Longitudinal Study and Newborn Cross-Sectional Study. The Lancet Diabetes &amp; Endocrinology. 2014;2(10):781-92. doi: </w:t>
      </w:r>
      <w:hyperlink r:id="rId18" w:history="1">
        <w:r w:rsidRPr="000900CA">
          <w:rPr>
            <w:rStyle w:val="Hyperlink"/>
          </w:rPr>
          <w:t>https://doi.org/10.1016/S2213-8587(14)70121-4</w:t>
        </w:r>
      </w:hyperlink>
      <w:r w:rsidRPr="000900CA">
        <w:t>.</w:t>
      </w:r>
    </w:p>
    <w:p w14:paraId="18B38DD8" w14:textId="281EC35A" w:rsidR="000900CA" w:rsidRPr="000900CA" w:rsidRDefault="000900CA" w:rsidP="000900CA">
      <w:pPr>
        <w:pStyle w:val="EndNoteBibliography"/>
        <w:spacing w:after="0"/>
      </w:pPr>
      <w:r w:rsidRPr="000900CA">
        <w:t>2</w:t>
      </w:r>
      <w:r w:rsidR="002A5123">
        <w:t>5</w:t>
      </w:r>
      <w:r w:rsidRPr="000900CA">
        <w:t>.</w:t>
      </w:r>
      <w:r w:rsidRPr="000900CA">
        <w:tab/>
        <w:t xml:space="preserve">Grimberg A, Kutikov JK, Cucchiara AJ. Sex differences in patients referred for evaluation of poor growth. J Pediatr. 2005;146(2):212-6. doi: 10.1016/j.jpeds.2004.09.009. </w:t>
      </w:r>
    </w:p>
    <w:p w14:paraId="1475BE97" w14:textId="3F392238" w:rsidR="000900CA" w:rsidRPr="000900CA" w:rsidRDefault="000900CA" w:rsidP="000900CA">
      <w:pPr>
        <w:pStyle w:val="EndNoteBibliography"/>
        <w:spacing w:after="0"/>
      </w:pPr>
      <w:r w:rsidRPr="000900CA">
        <w:t>2</w:t>
      </w:r>
      <w:r w:rsidR="002A5123">
        <w:t>6</w:t>
      </w:r>
      <w:r w:rsidRPr="000900CA">
        <w:t>.</w:t>
      </w:r>
      <w:r w:rsidRPr="000900CA">
        <w:tab/>
        <w:t>Grimberg A, Feemster KA, Pati S, Ramos M, Grundmeier R, Cucchiara AJ, et al. Medically underserved girls receive less evaluation for short stature. Pediatrics. 2011;127(4):696-702. doi: 10.1542/peds.2010-1563.</w:t>
      </w:r>
    </w:p>
    <w:p w14:paraId="413B8C14" w14:textId="0DE2A5F9" w:rsidR="000900CA" w:rsidRPr="000900CA" w:rsidRDefault="000900CA" w:rsidP="000900CA">
      <w:pPr>
        <w:pStyle w:val="EndNoteBibliography"/>
        <w:spacing w:after="0"/>
      </w:pPr>
      <w:r w:rsidRPr="000900CA">
        <w:t>2</w:t>
      </w:r>
      <w:r w:rsidR="002A5123">
        <w:t>7</w:t>
      </w:r>
      <w:r w:rsidRPr="000900CA">
        <w:t>.</w:t>
      </w:r>
      <w:r w:rsidRPr="000900CA">
        <w:tab/>
        <w:t xml:space="preserve">O'Driscoll DN, McGovern M, Greene CM, Molloy EJ. Gender disparities in preterm neonatal outcomes. Acta Paediatr. 2018. doi: 10.1111/apa.14390. </w:t>
      </w:r>
    </w:p>
    <w:p w14:paraId="7FF25A43" w14:textId="4B05FCF3" w:rsidR="000900CA" w:rsidRPr="000900CA" w:rsidRDefault="000900CA" w:rsidP="000900CA">
      <w:pPr>
        <w:pStyle w:val="EndNoteBibliography"/>
        <w:spacing w:after="0"/>
      </w:pPr>
      <w:r w:rsidRPr="000900CA">
        <w:t>2</w:t>
      </w:r>
      <w:r w:rsidR="002A5123">
        <w:t>8</w:t>
      </w:r>
      <w:r w:rsidRPr="000900CA">
        <w:t>.</w:t>
      </w:r>
      <w:r w:rsidRPr="000900CA">
        <w:tab/>
        <w:t>Wamani H, Åstrøm AN, Peterson S, Tumwine JK, Tylleskär T. Boys are more stunted than girls in Sub-Saharan Africa: a meta-analysis of 16 demographic and health surveys. BMC Pediatrics. 2007;7(1):17. doi: 10.1186/1471-2431-7-17.</w:t>
      </w:r>
    </w:p>
    <w:p w14:paraId="6FCFF6A8" w14:textId="3FC5D8A9" w:rsidR="000900CA" w:rsidRPr="000900CA" w:rsidRDefault="002A5123" w:rsidP="000900CA">
      <w:pPr>
        <w:pStyle w:val="EndNoteBibliography"/>
        <w:spacing w:after="0"/>
      </w:pPr>
      <w:r>
        <w:t>29</w:t>
      </w:r>
      <w:r w:rsidR="000900CA" w:rsidRPr="000900CA">
        <w:t>.</w:t>
      </w:r>
      <w:r w:rsidR="000900CA" w:rsidRPr="000900CA">
        <w:tab/>
        <w:t xml:space="preserve">Muenchhoff M, Goulder PJR. Sex differences in pediatric infectious diseases. J Infect Dis. 2014;209 Suppl 3(Suppl 3):S120-S6. doi: 10.1093/infdis/jiu232. </w:t>
      </w:r>
    </w:p>
    <w:p w14:paraId="61025EB7" w14:textId="241591D4" w:rsidR="000900CA" w:rsidRPr="000900CA" w:rsidRDefault="000900CA" w:rsidP="000900CA">
      <w:pPr>
        <w:pStyle w:val="EndNoteBibliography"/>
        <w:spacing w:after="0"/>
      </w:pPr>
      <w:r w:rsidRPr="000900CA">
        <w:t>3</w:t>
      </w:r>
      <w:r w:rsidR="002A5123">
        <w:t>0</w:t>
      </w:r>
      <w:r w:rsidRPr="000900CA">
        <w:t>.</w:t>
      </w:r>
      <w:r w:rsidRPr="000900CA">
        <w:tab/>
        <w:t>Opondo C, Jayaweera H, Hollowell J, Li Y, Kurinczuk JJ, Quigley MA. Variations in neonatal mortality, infant mortality, preterm birth and birth weight in England and Wales according to ethnicity and maternal country or region of birth: an analysis of linked national data from 2006 to 2012. J Epidemiol Community Health. 2020;74(4):336-45. doi: 10.1136/jech-2019-213093.</w:t>
      </w:r>
    </w:p>
    <w:p w14:paraId="550ADD63" w14:textId="6A8841F6" w:rsidR="000900CA" w:rsidRPr="000900CA" w:rsidRDefault="000900CA" w:rsidP="000900CA">
      <w:pPr>
        <w:pStyle w:val="EndNoteBibliography"/>
        <w:spacing w:after="0"/>
      </w:pPr>
      <w:r w:rsidRPr="000900CA">
        <w:t>3</w:t>
      </w:r>
      <w:r w:rsidR="002A5123">
        <w:t>1</w:t>
      </w:r>
      <w:r w:rsidRPr="000900CA">
        <w:t>.</w:t>
      </w:r>
      <w:r w:rsidRPr="000900CA">
        <w:tab/>
        <w:t>Bann D, Johnson W, Li L, Kuh D, Hardy R. Socioeconomic inequalities in childhood and adolescent body-mass index, weight, and height from 1953 to 2015: an analysis of four longitudinal, observational, British birth cohort studies. Lancet Public Health. 2018;3(4):e194-e203. doi: 10.1016/S2468-2667(18)30045-8.</w:t>
      </w:r>
    </w:p>
    <w:p w14:paraId="003C866D" w14:textId="0857734E" w:rsidR="000900CA" w:rsidRPr="000900CA" w:rsidRDefault="000900CA" w:rsidP="000900CA">
      <w:pPr>
        <w:pStyle w:val="EndNoteBibliography"/>
        <w:spacing w:after="0"/>
      </w:pPr>
      <w:r w:rsidRPr="000900CA">
        <w:t>3</w:t>
      </w:r>
      <w:r w:rsidR="002A5123">
        <w:t>2</w:t>
      </w:r>
      <w:r w:rsidRPr="000900CA">
        <w:t>.</w:t>
      </w:r>
      <w:r w:rsidRPr="000900CA">
        <w:tab/>
        <w:t>Shackleton N, Hale D, Viner RM. Trends and socioeconomic disparities in preadolescent's health in the UK: evidence from two birth cohorts 32 years apart. J Epidemiol Community Health. 2016;70(2):140-6. doi: 10.1136/jech-2015-205603.</w:t>
      </w:r>
    </w:p>
    <w:p w14:paraId="2CE26168" w14:textId="1DEF3142" w:rsidR="000900CA" w:rsidRPr="000900CA" w:rsidRDefault="000900CA" w:rsidP="000900CA">
      <w:pPr>
        <w:pStyle w:val="EndNoteBibliography"/>
        <w:spacing w:after="0"/>
      </w:pPr>
      <w:r w:rsidRPr="000900CA">
        <w:t>3</w:t>
      </w:r>
      <w:r w:rsidR="002A5123">
        <w:t>3</w:t>
      </w:r>
      <w:r w:rsidRPr="000900CA">
        <w:t>.</w:t>
      </w:r>
      <w:r w:rsidRPr="000900CA">
        <w:tab/>
        <w:t xml:space="preserve">Li L, Manor O, Power C. Are inequalities in height narrowing? Comparing effects of social class on height in two generations. Arch Dis Child. 2004;89(11):1018-23. doi: 10.1136/adc.2003.035162. </w:t>
      </w:r>
    </w:p>
    <w:p w14:paraId="265F78D3" w14:textId="7C41741C" w:rsidR="000900CA" w:rsidRPr="000900CA" w:rsidRDefault="000900CA" w:rsidP="000900CA">
      <w:pPr>
        <w:pStyle w:val="EndNoteBibliography"/>
        <w:spacing w:after="0"/>
      </w:pPr>
      <w:r w:rsidRPr="000900CA">
        <w:t>3</w:t>
      </w:r>
      <w:r w:rsidR="002A5123">
        <w:t>4</w:t>
      </w:r>
      <w:r w:rsidRPr="000900CA">
        <w:t>.</w:t>
      </w:r>
      <w:r w:rsidRPr="000900CA">
        <w:tab/>
        <w:t>Public Health England. Official Statistics: National child measurement programme (NCMP): trends in child BMI. 2020</w:t>
      </w:r>
      <w:r w:rsidR="00DA1C5F">
        <w:t xml:space="preserve"> [cited 2021 27th January]</w:t>
      </w:r>
      <w:r w:rsidRPr="000900CA">
        <w:t>.</w:t>
      </w:r>
      <w:r w:rsidR="00DA1C5F">
        <w:t xml:space="preserve"> Available from</w:t>
      </w:r>
      <w:r w:rsidR="007A1012">
        <w:t xml:space="preserve">: </w:t>
      </w:r>
      <w:r w:rsidR="00DA1C5F" w:rsidRPr="00DA1C5F">
        <w:t>https://www.gov.uk/government/statistics/national-child-measurement-programme-ncmp-trends-in-child-bmi</w:t>
      </w:r>
    </w:p>
    <w:p w14:paraId="5BE2895E" w14:textId="76104CC8" w:rsidR="000900CA" w:rsidRPr="000900CA" w:rsidRDefault="000900CA" w:rsidP="000900CA">
      <w:pPr>
        <w:pStyle w:val="EndNoteBibliography"/>
        <w:spacing w:after="0"/>
      </w:pPr>
      <w:r w:rsidRPr="000900CA">
        <w:t>3</w:t>
      </w:r>
      <w:r w:rsidR="002A5123">
        <w:t>5</w:t>
      </w:r>
      <w:r w:rsidRPr="000900CA">
        <w:t>.</w:t>
      </w:r>
      <w:r w:rsidRPr="000900CA">
        <w:tab/>
        <w:t xml:space="preserve">Lundeen EA, Behrman JR, Crookston BT, Dearden KA, Engle P, Georgiadis A, et al. Growth faltering and recovery in children aged 1-8 years in four low- and middle-income countries: Young Lives. Public Health Nutr. 2014;17(9):2131-7. doi: 10.1017/s1368980013003017. </w:t>
      </w:r>
    </w:p>
    <w:p w14:paraId="67D88560" w14:textId="6A5E832C" w:rsidR="000900CA" w:rsidRPr="000900CA" w:rsidRDefault="000900CA" w:rsidP="000900CA">
      <w:pPr>
        <w:pStyle w:val="EndNoteBibliography"/>
        <w:spacing w:after="0"/>
      </w:pPr>
      <w:r w:rsidRPr="000900CA">
        <w:t>3</w:t>
      </w:r>
      <w:r w:rsidR="002A5123">
        <w:t>6</w:t>
      </w:r>
      <w:r w:rsidRPr="000900CA">
        <w:t>.</w:t>
      </w:r>
      <w:r w:rsidRPr="000900CA">
        <w:tab/>
        <w:t xml:space="preserve">Ong KK, Hardy R, Shah I, Kuh D. Childhood stunting and mortality between 36 and 64 years: the British 1946 Birth Cohort Study. J Clin Endocrinol Metab. 2013;98(5):2070-7. doi: 10.1210/jc.2012-3595. </w:t>
      </w:r>
    </w:p>
    <w:p w14:paraId="0CF0DFD0" w14:textId="46DB2C31" w:rsidR="000900CA" w:rsidRPr="000900CA" w:rsidRDefault="000900CA" w:rsidP="000900CA">
      <w:pPr>
        <w:pStyle w:val="EndNoteBibliography"/>
        <w:spacing w:after="0"/>
      </w:pPr>
      <w:r w:rsidRPr="000900CA">
        <w:t>3</w:t>
      </w:r>
      <w:r w:rsidR="002A5123">
        <w:t>7</w:t>
      </w:r>
      <w:r w:rsidRPr="000900CA">
        <w:t>.</w:t>
      </w:r>
      <w:r w:rsidRPr="000900CA">
        <w:tab/>
        <w:t>Savage MO, Backeljauw PF, Calzada R, Cianfarani S, Dunkel L, Koledova E, et al. Early Detection, Referral, Investigation, and Diagnosis of Children with Growth Disorders. Horm Res Paediatr. 2016;85(5):325-32. doi: 10.1159/000444525.</w:t>
      </w:r>
    </w:p>
    <w:p w14:paraId="5D98BB5D" w14:textId="613B1B48" w:rsidR="000900CA" w:rsidRPr="000900CA" w:rsidRDefault="000900CA" w:rsidP="000900CA">
      <w:pPr>
        <w:pStyle w:val="EndNoteBibliography"/>
        <w:spacing w:after="0"/>
      </w:pPr>
      <w:r w:rsidRPr="000900CA">
        <w:t>3</w:t>
      </w:r>
      <w:r w:rsidR="002A5123">
        <w:t>8</w:t>
      </w:r>
      <w:r w:rsidRPr="000900CA">
        <w:t>.</w:t>
      </w:r>
      <w:r w:rsidRPr="000900CA">
        <w:tab/>
        <w:t xml:space="preserve">Lindsay R, Feldkamp M, Harris D, Robertson J, Rallison M. Utah Growth Study: growth standards and the prevalence of growth hormone deficiency. J Pediatr. 1994;125(1):29-35. doi: 10.1016/s0022-3476(94)70117-2. </w:t>
      </w:r>
    </w:p>
    <w:p w14:paraId="5BB7EAA7" w14:textId="33927DF0" w:rsidR="000900CA" w:rsidRPr="000900CA" w:rsidRDefault="002A5123" w:rsidP="000900CA">
      <w:pPr>
        <w:pStyle w:val="EndNoteBibliography"/>
        <w:spacing w:after="0"/>
      </w:pPr>
      <w:r>
        <w:t>39</w:t>
      </w:r>
      <w:r w:rsidR="000900CA" w:rsidRPr="000900CA">
        <w:t>.</w:t>
      </w:r>
      <w:r w:rsidR="000900CA" w:rsidRPr="000900CA">
        <w:tab/>
        <w:t xml:space="preserve">Levin D, Marryat L, Cole TJ, McColl J, Harjunmaa U, Ashorn P, et al. Fit to WHO weight standard of European infants over time. Arch Dis Child. 2016;101(5):455-60. doi: 10.1136/archdischild-2015-309594. </w:t>
      </w:r>
    </w:p>
    <w:p w14:paraId="6FA672AF" w14:textId="15F61F6E" w:rsidR="000900CA" w:rsidRPr="000900CA" w:rsidRDefault="000900CA" w:rsidP="000900CA">
      <w:pPr>
        <w:pStyle w:val="EndNoteBibliography"/>
        <w:spacing w:after="0"/>
      </w:pPr>
      <w:r w:rsidRPr="000900CA">
        <w:t>4</w:t>
      </w:r>
      <w:r w:rsidR="002A5123">
        <w:t>0</w:t>
      </w:r>
      <w:r w:rsidRPr="000900CA">
        <w:t>.</w:t>
      </w:r>
      <w:r w:rsidRPr="000900CA">
        <w:tab/>
        <w:t>National Screening Committee. Child Health Sub-Group Report: Growth Disorders. 2004</w:t>
      </w:r>
      <w:r w:rsidR="004C11D6">
        <w:t xml:space="preserve"> [cited 2020 20th October]</w:t>
      </w:r>
      <w:r w:rsidRPr="000900CA">
        <w:t>.</w:t>
      </w:r>
      <w:r w:rsidR="004C11D6">
        <w:t xml:space="preserve"> Available from</w:t>
      </w:r>
      <w:r w:rsidR="00906139">
        <w:t>:</w:t>
      </w:r>
      <w:r w:rsidR="004C11D6">
        <w:t xml:space="preserve"> </w:t>
      </w:r>
      <w:r w:rsidR="004C11D6" w:rsidRPr="004C11D6">
        <w:t>https://legacyscreening.phe.org.uk/policydb_download.php?doc=1197</w:t>
      </w:r>
    </w:p>
    <w:p w14:paraId="60DD0787" w14:textId="1E207E21" w:rsidR="000900CA" w:rsidRPr="000900CA" w:rsidRDefault="000900CA" w:rsidP="000900CA">
      <w:pPr>
        <w:pStyle w:val="EndNoteBibliography"/>
      </w:pPr>
      <w:r w:rsidRPr="000900CA">
        <w:t>4</w:t>
      </w:r>
      <w:r w:rsidR="002A5123">
        <w:t>1</w:t>
      </w:r>
      <w:r w:rsidRPr="000900CA">
        <w:t>.</w:t>
      </w:r>
      <w:r w:rsidRPr="000900CA">
        <w:tab/>
        <w:t>Health and Social Care Committee. Childhood obesity: Time for action. 2018</w:t>
      </w:r>
      <w:r w:rsidR="00562E9B">
        <w:t xml:space="preserve"> [cited 2020 20th October]</w:t>
      </w:r>
      <w:r w:rsidRPr="000900CA">
        <w:t>.</w:t>
      </w:r>
      <w:r w:rsidR="00562E9B">
        <w:t xml:space="preserve"> Available from: </w:t>
      </w:r>
      <w:r w:rsidR="00562E9B" w:rsidRPr="00562E9B">
        <w:t>https://publications.parliament.uk/pa/cm201719/cmselect/cmhealth/882/88202.htm</w:t>
      </w:r>
    </w:p>
    <w:p w14:paraId="595C5768" w14:textId="5F8A8A00" w:rsidR="00674991" w:rsidRDefault="00D02AA0" w:rsidP="001E7454">
      <w:pPr>
        <w:spacing w:after="0"/>
        <w:rPr>
          <w:rFonts w:cstheme="minorHAnsi"/>
        </w:rPr>
      </w:pPr>
      <w:r>
        <w:rPr>
          <w:rFonts w:cstheme="minorHAnsi"/>
        </w:rPr>
        <w:fldChar w:fldCharType="end"/>
      </w:r>
    </w:p>
    <w:p w14:paraId="64EDA4D6" w14:textId="0BD9A2BA" w:rsidR="00733C7D" w:rsidRDefault="00733C7D" w:rsidP="001E7454">
      <w:pPr>
        <w:spacing w:after="0"/>
        <w:rPr>
          <w:rFonts w:cstheme="minorHAnsi"/>
        </w:rPr>
      </w:pPr>
    </w:p>
    <w:p w14:paraId="37446C26" w14:textId="56F5B895" w:rsidR="00733C7D" w:rsidRDefault="00733C7D" w:rsidP="001E7454">
      <w:pPr>
        <w:spacing w:after="0"/>
        <w:rPr>
          <w:rFonts w:cstheme="minorHAnsi"/>
        </w:rPr>
      </w:pPr>
    </w:p>
    <w:p w14:paraId="2BB7109C" w14:textId="0D26963D" w:rsidR="00733C7D" w:rsidRDefault="00733C7D" w:rsidP="001E7454">
      <w:pPr>
        <w:spacing w:after="0"/>
        <w:rPr>
          <w:rFonts w:cstheme="minorHAnsi"/>
        </w:rPr>
      </w:pPr>
    </w:p>
    <w:p w14:paraId="18C35C12" w14:textId="19AFD012" w:rsidR="00733C7D" w:rsidRDefault="00733C7D" w:rsidP="001E7454">
      <w:pPr>
        <w:spacing w:after="0"/>
        <w:rPr>
          <w:rFonts w:cstheme="minorHAnsi"/>
        </w:rPr>
      </w:pPr>
    </w:p>
    <w:p w14:paraId="08CDF87E" w14:textId="60C2A4DB" w:rsidR="00733C7D" w:rsidRDefault="00733C7D" w:rsidP="001E7454">
      <w:pPr>
        <w:spacing w:after="0"/>
        <w:rPr>
          <w:rFonts w:cstheme="minorHAnsi"/>
        </w:rPr>
      </w:pPr>
    </w:p>
    <w:p w14:paraId="263B5069" w14:textId="4C88805E" w:rsidR="00733C7D" w:rsidRDefault="00733C7D" w:rsidP="001E7454">
      <w:pPr>
        <w:spacing w:after="0"/>
        <w:rPr>
          <w:rFonts w:cstheme="minorHAnsi"/>
        </w:rPr>
      </w:pPr>
    </w:p>
    <w:p w14:paraId="2BB18724" w14:textId="549A469F" w:rsidR="00733C7D" w:rsidRDefault="00733C7D" w:rsidP="001E7454">
      <w:pPr>
        <w:spacing w:after="0"/>
        <w:rPr>
          <w:rFonts w:cstheme="minorHAnsi"/>
        </w:rPr>
      </w:pPr>
    </w:p>
    <w:p w14:paraId="3D9413BC" w14:textId="4C57525C" w:rsidR="00733C7D" w:rsidRDefault="00733C7D" w:rsidP="001E7454">
      <w:pPr>
        <w:spacing w:after="0"/>
        <w:rPr>
          <w:rFonts w:cstheme="minorHAnsi"/>
        </w:rPr>
      </w:pPr>
    </w:p>
    <w:sectPr w:rsidR="00733C7D" w:rsidSect="000C65B2">
      <w:footerReference w:type="even" r:id="rId19"/>
      <w:footerReference w:type="default" r:id="rId20"/>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6C8E" w14:textId="77777777" w:rsidR="00692010" w:rsidRDefault="00692010" w:rsidP="00D91C79">
      <w:pPr>
        <w:spacing w:after="0" w:line="240" w:lineRule="auto"/>
      </w:pPr>
      <w:r>
        <w:separator/>
      </w:r>
    </w:p>
  </w:endnote>
  <w:endnote w:type="continuationSeparator" w:id="0">
    <w:p w14:paraId="6D353CF1" w14:textId="77777777" w:rsidR="00692010" w:rsidRDefault="00692010" w:rsidP="00D9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3125410"/>
      <w:docPartObj>
        <w:docPartGallery w:val="Page Numbers (Bottom of Page)"/>
        <w:docPartUnique/>
      </w:docPartObj>
    </w:sdtPr>
    <w:sdtEndPr>
      <w:rPr>
        <w:rStyle w:val="PageNumber"/>
      </w:rPr>
    </w:sdtEndPr>
    <w:sdtContent>
      <w:p w14:paraId="076A7535" w14:textId="3A2AAF42" w:rsidR="00EB2596" w:rsidRDefault="00EB2596" w:rsidP="00FA0B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4014CA" w14:textId="77777777" w:rsidR="00EB2596" w:rsidRDefault="00EB2596" w:rsidP="004D2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1681988"/>
      <w:docPartObj>
        <w:docPartGallery w:val="Page Numbers (Bottom of Page)"/>
        <w:docPartUnique/>
      </w:docPartObj>
    </w:sdtPr>
    <w:sdtEndPr>
      <w:rPr>
        <w:rStyle w:val="PageNumber"/>
      </w:rPr>
    </w:sdtEndPr>
    <w:sdtContent>
      <w:p w14:paraId="618FC5C7" w14:textId="54094442" w:rsidR="00EB2596" w:rsidRDefault="00EB2596" w:rsidP="00FA0B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7A4C70C9" w14:textId="77777777" w:rsidR="00EB2596" w:rsidRDefault="00EB2596" w:rsidP="00FA0B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6749073"/>
      <w:docPartObj>
        <w:docPartGallery w:val="Page Numbers (Bottom of Page)"/>
        <w:docPartUnique/>
      </w:docPartObj>
    </w:sdtPr>
    <w:sdtEndPr>
      <w:rPr>
        <w:rStyle w:val="PageNumber"/>
      </w:rPr>
    </w:sdtEndPr>
    <w:sdtContent>
      <w:p w14:paraId="6645864E" w14:textId="77777777" w:rsidR="007F1ADF" w:rsidRDefault="007F1ADF" w:rsidP="00FA0B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3E485D" w14:textId="77777777" w:rsidR="007F1ADF" w:rsidRDefault="007F1ADF" w:rsidP="004D2BA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7942718"/>
      <w:docPartObj>
        <w:docPartGallery w:val="Page Numbers (Bottom of Page)"/>
        <w:docPartUnique/>
      </w:docPartObj>
    </w:sdtPr>
    <w:sdtEndPr>
      <w:rPr>
        <w:rStyle w:val="PageNumber"/>
      </w:rPr>
    </w:sdtEndPr>
    <w:sdtContent>
      <w:p w14:paraId="00243998" w14:textId="77777777" w:rsidR="007F1ADF" w:rsidRDefault="007F1ADF" w:rsidP="00FA0B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08C22848" w14:textId="77777777" w:rsidR="007F1ADF" w:rsidRDefault="007F1ADF" w:rsidP="00FA0B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1237" w14:textId="77777777" w:rsidR="00692010" w:rsidRDefault="00692010" w:rsidP="00D91C79">
      <w:pPr>
        <w:spacing w:after="0" w:line="240" w:lineRule="auto"/>
      </w:pPr>
      <w:r>
        <w:separator/>
      </w:r>
    </w:p>
  </w:footnote>
  <w:footnote w:type="continuationSeparator" w:id="0">
    <w:p w14:paraId="388CA091" w14:textId="77777777" w:rsidR="00692010" w:rsidRDefault="00692010" w:rsidP="00D9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C25"/>
    <w:multiLevelType w:val="hybridMultilevel"/>
    <w:tmpl w:val="995A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901597"/>
    <w:multiLevelType w:val="hybridMultilevel"/>
    <w:tmpl w:val="FD925954"/>
    <w:lvl w:ilvl="0" w:tplc="758CE7A6">
      <w:start w:val="1"/>
      <w:numFmt w:val="bullet"/>
      <w:lvlText w:val="•"/>
      <w:lvlJc w:val="left"/>
      <w:pPr>
        <w:tabs>
          <w:tab w:val="num" w:pos="720"/>
        </w:tabs>
        <w:ind w:left="720" w:hanging="360"/>
      </w:pPr>
      <w:rPr>
        <w:rFonts w:ascii="Arial" w:hAnsi="Arial" w:hint="default"/>
      </w:rPr>
    </w:lvl>
    <w:lvl w:ilvl="1" w:tplc="642A3370">
      <w:numFmt w:val="bullet"/>
      <w:lvlText w:val="•"/>
      <w:lvlJc w:val="left"/>
      <w:pPr>
        <w:tabs>
          <w:tab w:val="num" w:pos="1440"/>
        </w:tabs>
        <w:ind w:left="1440" w:hanging="360"/>
      </w:pPr>
      <w:rPr>
        <w:rFonts w:ascii="Arial" w:hAnsi="Arial" w:hint="default"/>
      </w:rPr>
    </w:lvl>
    <w:lvl w:ilvl="2" w:tplc="E1122236" w:tentative="1">
      <w:start w:val="1"/>
      <w:numFmt w:val="bullet"/>
      <w:lvlText w:val="•"/>
      <w:lvlJc w:val="left"/>
      <w:pPr>
        <w:tabs>
          <w:tab w:val="num" w:pos="2160"/>
        </w:tabs>
        <w:ind w:left="2160" w:hanging="360"/>
      </w:pPr>
      <w:rPr>
        <w:rFonts w:ascii="Arial" w:hAnsi="Arial" w:hint="default"/>
      </w:rPr>
    </w:lvl>
    <w:lvl w:ilvl="3" w:tplc="C6E25BB4" w:tentative="1">
      <w:start w:val="1"/>
      <w:numFmt w:val="bullet"/>
      <w:lvlText w:val="•"/>
      <w:lvlJc w:val="left"/>
      <w:pPr>
        <w:tabs>
          <w:tab w:val="num" w:pos="2880"/>
        </w:tabs>
        <w:ind w:left="2880" w:hanging="360"/>
      </w:pPr>
      <w:rPr>
        <w:rFonts w:ascii="Arial" w:hAnsi="Arial" w:hint="default"/>
      </w:rPr>
    </w:lvl>
    <w:lvl w:ilvl="4" w:tplc="A65E18BC" w:tentative="1">
      <w:start w:val="1"/>
      <w:numFmt w:val="bullet"/>
      <w:lvlText w:val="•"/>
      <w:lvlJc w:val="left"/>
      <w:pPr>
        <w:tabs>
          <w:tab w:val="num" w:pos="3600"/>
        </w:tabs>
        <w:ind w:left="3600" w:hanging="360"/>
      </w:pPr>
      <w:rPr>
        <w:rFonts w:ascii="Arial" w:hAnsi="Arial" w:hint="default"/>
      </w:rPr>
    </w:lvl>
    <w:lvl w:ilvl="5" w:tplc="3BACC1E6" w:tentative="1">
      <w:start w:val="1"/>
      <w:numFmt w:val="bullet"/>
      <w:lvlText w:val="•"/>
      <w:lvlJc w:val="left"/>
      <w:pPr>
        <w:tabs>
          <w:tab w:val="num" w:pos="4320"/>
        </w:tabs>
        <w:ind w:left="4320" w:hanging="360"/>
      </w:pPr>
      <w:rPr>
        <w:rFonts w:ascii="Arial" w:hAnsi="Arial" w:hint="default"/>
      </w:rPr>
    </w:lvl>
    <w:lvl w:ilvl="6" w:tplc="1040A704" w:tentative="1">
      <w:start w:val="1"/>
      <w:numFmt w:val="bullet"/>
      <w:lvlText w:val="•"/>
      <w:lvlJc w:val="left"/>
      <w:pPr>
        <w:tabs>
          <w:tab w:val="num" w:pos="5040"/>
        </w:tabs>
        <w:ind w:left="5040" w:hanging="360"/>
      </w:pPr>
      <w:rPr>
        <w:rFonts w:ascii="Arial" w:hAnsi="Arial" w:hint="default"/>
      </w:rPr>
    </w:lvl>
    <w:lvl w:ilvl="7" w:tplc="D8D85DEE" w:tentative="1">
      <w:start w:val="1"/>
      <w:numFmt w:val="bullet"/>
      <w:lvlText w:val="•"/>
      <w:lvlJc w:val="left"/>
      <w:pPr>
        <w:tabs>
          <w:tab w:val="num" w:pos="5760"/>
        </w:tabs>
        <w:ind w:left="5760" w:hanging="360"/>
      </w:pPr>
      <w:rPr>
        <w:rFonts w:ascii="Arial" w:hAnsi="Arial" w:hint="default"/>
      </w:rPr>
    </w:lvl>
    <w:lvl w:ilvl="8" w:tplc="CF8A93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3304A8"/>
    <w:multiLevelType w:val="multilevel"/>
    <w:tmpl w:val="5BB80EC2"/>
    <w:lvl w:ilvl="0">
      <w:start w:val="1"/>
      <w:numFmt w:val="decimal"/>
      <w:lvlText w:val="%1."/>
      <w:lvlJc w:val="left"/>
      <w:pPr>
        <w:ind w:left="720" w:hanging="360"/>
      </w:pPr>
      <w:rPr>
        <w:rFonts w:hint="default"/>
      </w:rPr>
    </w:lvl>
    <w:lvl w:ilvl="1">
      <w:start w:val="6"/>
      <w:numFmt w:val="decimalZero"/>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4D92392"/>
    <w:multiLevelType w:val="hybridMultilevel"/>
    <w:tmpl w:val="C24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BBE"/>
    <w:multiLevelType w:val="hybridMultilevel"/>
    <w:tmpl w:val="07F6CB84"/>
    <w:lvl w:ilvl="0" w:tplc="EB18B3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C49D2"/>
    <w:multiLevelType w:val="hybridMultilevel"/>
    <w:tmpl w:val="6382C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732970"/>
    <w:multiLevelType w:val="hybridMultilevel"/>
    <w:tmpl w:val="48BA9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C31EF6"/>
    <w:multiLevelType w:val="hybridMultilevel"/>
    <w:tmpl w:val="10B0A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4D6A31"/>
    <w:multiLevelType w:val="hybridMultilevel"/>
    <w:tmpl w:val="D75217CE"/>
    <w:lvl w:ilvl="0" w:tplc="94B4209E">
      <w:numFmt w:val="bullet"/>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15:restartNumberingAfterBreak="0">
    <w:nsid w:val="24FC14E9"/>
    <w:multiLevelType w:val="hybridMultilevel"/>
    <w:tmpl w:val="F5EAA81E"/>
    <w:lvl w:ilvl="0" w:tplc="D2882954">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1C14EB"/>
    <w:multiLevelType w:val="hybridMultilevel"/>
    <w:tmpl w:val="EE9A27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94322A3"/>
    <w:multiLevelType w:val="multilevel"/>
    <w:tmpl w:val="5324EE5E"/>
    <w:lvl w:ilvl="0">
      <w:start w:val="1"/>
      <w:numFmt w:val="decimal"/>
      <w:lvlText w:val="%1."/>
      <w:lvlJc w:val="left"/>
      <w:pPr>
        <w:ind w:left="720" w:hanging="360"/>
      </w:pPr>
      <w:rPr>
        <w:rFonts w:hint="default"/>
      </w:rPr>
    </w:lvl>
    <w:lvl w:ilvl="1">
      <w:start w:val="3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3F15CFA"/>
    <w:multiLevelType w:val="hybridMultilevel"/>
    <w:tmpl w:val="2CECA8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9206E0"/>
    <w:multiLevelType w:val="hybridMultilevel"/>
    <w:tmpl w:val="114E1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8969E9"/>
    <w:multiLevelType w:val="hybridMultilevel"/>
    <w:tmpl w:val="366E8A78"/>
    <w:lvl w:ilvl="0" w:tplc="ED5CA03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85670"/>
    <w:multiLevelType w:val="hybridMultilevel"/>
    <w:tmpl w:val="95F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07BCF"/>
    <w:multiLevelType w:val="hybridMultilevel"/>
    <w:tmpl w:val="2A4E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AF22D3"/>
    <w:multiLevelType w:val="hybridMultilevel"/>
    <w:tmpl w:val="5FAA875A"/>
    <w:lvl w:ilvl="0" w:tplc="EB18B3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EF750B"/>
    <w:multiLevelType w:val="hybridMultilevel"/>
    <w:tmpl w:val="E362AB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AE175E"/>
    <w:multiLevelType w:val="hybridMultilevel"/>
    <w:tmpl w:val="D93672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3907BED"/>
    <w:multiLevelType w:val="hybridMultilevel"/>
    <w:tmpl w:val="038A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146B03"/>
    <w:multiLevelType w:val="hybridMultilevel"/>
    <w:tmpl w:val="D2B4F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7400BD"/>
    <w:multiLevelType w:val="multilevel"/>
    <w:tmpl w:val="0F98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251B25"/>
    <w:multiLevelType w:val="hybridMultilevel"/>
    <w:tmpl w:val="CE320C28"/>
    <w:lvl w:ilvl="0" w:tplc="56288C96">
      <w:start w:val="3"/>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27E39AA"/>
    <w:multiLevelType w:val="hybridMultilevel"/>
    <w:tmpl w:val="2CECA8B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6A85471F"/>
    <w:multiLevelType w:val="hybridMultilevel"/>
    <w:tmpl w:val="84C61610"/>
    <w:lvl w:ilvl="0" w:tplc="EB18B3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225CD"/>
    <w:multiLevelType w:val="hybridMultilevel"/>
    <w:tmpl w:val="E03ABD0C"/>
    <w:lvl w:ilvl="0" w:tplc="EB18B3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2285A"/>
    <w:multiLevelType w:val="hybridMultilevel"/>
    <w:tmpl w:val="82C8C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939FA"/>
    <w:multiLevelType w:val="hybridMultilevel"/>
    <w:tmpl w:val="2CECA8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F8C6BF1"/>
    <w:multiLevelType w:val="hybridMultilevel"/>
    <w:tmpl w:val="77E63306"/>
    <w:lvl w:ilvl="0" w:tplc="D83AB5A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1"/>
  </w:num>
  <w:num w:numId="3">
    <w:abstractNumId w:val="12"/>
  </w:num>
  <w:num w:numId="4">
    <w:abstractNumId w:val="28"/>
  </w:num>
  <w:num w:numId="5">
    <w:abstractNumId w:val="8"/>
  </w:num>
  <w:num w:numId="6">
    <w:abstractNumId w:val="18"/>
  </w:num>
  <w:num w:numId="7">
    <w:abstractNumId w:val="25"/>
  </w:num>
  <w:num w:numId="8">
    <w:abstractNumId w:val="4"/>
  </w:num>
  <w:num w:numId="9">
    <w:abstractNumId w:val="26"/>
  </w:num>
  <w:num w:numId="10">
    <w:abstractNumId w:val="3"/>
  </w:num>
  <w:num w:numId="11">
    <w:abstractNumId w:val="24"/>
  </w:num>
  <w:num w:numId="12">
    <w:abstractNumId w:val="11"/>
  </w:num>
  <w:num w:numId="13">
    <w:abstractNumId w:val="2"/>
  </w:num>
  <w:num w:numId="14">
    <w:abstractNumId w:val="13"/>
  </w:num>
  <w:num w:numId="15">
    <w:abstractNumId w:val="5"/>
  </w:num>
  <w:num w:numId="16">
    <w:abstractNumId w:val="20"/>
  </w:num>
  <w:num w:numId="17">
    <w:abstractNumId w:val="17"/>
  </w:num>
  <w:num w:numId="18">
    <w:abstractNumId w:val="26"/>
  </w:num>
  <w:num w:numId="19">
    <w:abstractNumId w:val="7"/>
  </w:num>
  <w:num w:numId="20">
    <w:abstractNumId w:val="6"/>
  </w:num>
  <w:num w:numId="21">
    <w:abstractNumId w:val="14"/>
  </w:num>
  <w:num w:numId="22">
    <w:abstractNumId w:val="27"/>
  </w:num>
  <w:num w:numId="23">
    <w:abstractNumId w:val="16"/>
  </w:num>
  <w:num w:numId="24">
    <w:abstractNumId w:val="22"/>
  </w:num>
  <w:num w:numId="25">
    <w:abstractNumId w:val="15"/>
  </w:num>
  <w:num w:numId="26">
    <w:abstractNumId w:val="29"/>
  </w:num>
  <w:num w:numId="27">
    <w:abstractNumId w:val="21"/>
  </w:num>
  <w:num w:numId="28">
    <w:abstractNumId w:val="0"/>
  </w:num>
  <w:num w:numId="29">
    <w:abstractNumId w:val="10"/>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C3A1A"/>
    <w:rsid w:val="000020F8"/>
    <w:rsid w:val="00004376"/>
    <w:rsid w:val="0000448D"/>
    <w:rsid w:val="00004A90"/>
    <w:rsid w:val="00005B6A"/>
    <w:rsid w:val="00011A0D"/>
    <w:rsid w:val="0001243C"/>
    <w:rsid w:val="00015E08"/>
    <w:rsid w:val="00016D62"/>
    <w:rsid w:val="0002081A"/>
    <w:rsid w:val="0002264F"/>
    <w:rsid w:val="00023B64"/>
    <w:rsid w:val="00023F75"/>
    <w:rsid w:val="00024E0C"/>
    <w:rsid w:val="00024FE0"/>
    <w:rsid w:val="0002746F"/>
    <w:rsid w:val="0003321F"/>
    <w:rsid w:val="000334D4"/>
    <w:rsid w:val="00034347"/>
    <w:rsid w:val="000355AF"/>
    <w:rsid w:val="0003562E"/>
    <w:rsid w:val="0003795B"/>
    <w:rsid w:val="0004045F"/>
    <w:rsid w:val="00040BF7"/>
    <w:rsid w:val="00040C07"/>
    <w:rsid w:val="00040FFA"/>
    <w:rsid w:val="000412CE"/>
    <w:rsid w:val="0004172E"/>
    <w:rsid w:val="0004200F"/>
    <w:rsid w:val="0004533C"/>
    <w:rsid w:val="000502D1"/>
    <w:rsid w:val="000524C8"/>
    <w:rsid w:val="00055DCF"/>
    <w:rsid w:val="00056637"/>
    <w:rsid w:val="00057FBB"/>
    <w:rsid w:val="00061502"/>
    <w:rsid w:val="00062DCF"/>
    <w:rsid w:val="00064BC6"/>
    <w:rsid w:val="00064D2C"/>
    <w:rsid w:val="00067298"/>
    <w:rsid w:val="000719A6"/>
    <w:rsid w:val="00071F6F"/>
    <w:rsid w:val="000720A8"/>
    <w:rsid w:val="00072AE5"/>
    <w:rsid w:val="00072B58"/>
    <w:rsid w:val="0007423B"/>
    <w:rsid w:val="00074C7C"/>
    <w:rsid w:val="00075805"/>
    <w:rsid w:val="00076530"/>
    <w:rsid w:val="00076829"/>
    <w:rsid w:val="00076F32"/>
    <w:rsid w:val="00077F03"/>
    <w:rsid w:val="000826A7"/>
    <w:rsid w:val="000828FA"/>
    <w:rsid w:val="00082C43"/>
    <w:rsid w:val="000839B9"/>
    <w:rsid w:val="000867F7"/>
    <w:rsid w:val="0008792C"/>
    <w:rsid w:val="000900CA"/>
    <w:rsid w:val="0009225E"/>
    <w:rsid w:val="00092836"/>
    <w:rsid w:val="00092C7C"/>
    <w:rsid w:val="00092FA4"/>
    <w:rsid w:val="000930EB"/>
    <w:rsid w:val="00095C93"/>
    <w:rsid w:val="000A16DA"/>
    <w:rsid w:val="000A2445"/>
    <w:rsid w:val="000A4E77"/>
    <w:rsid w:val="000A67C3"/>
    <w:rsid w:val="000B1F04"/>
    <w:rsid w:val="000B2FF7"/>
    <w:rsid w:val="000B3046"/>
    <w:rsid w:val="000B649B"/>
    <w:rsid w:val="000B6E7A"/>
    <w:rsid w:val="000B7353"/>
    <w:rsid w:val="000C1427"/>
    <w:rsid w:val="000C21E0"/>
    <w:rsid w:val="000C53A5"/>
    <w:rsid w:val="000C65B2"/>
    <w:rsid w:val="000D0518"/>
    <w:rsid w:val="000D1A32"/>
    <w:rsid w:val="000D2F5B"/>
    <w:rsid w:val="000D710C"/>
    <w:rsid w:val="000E1279"/>
    <w:rsid w:val="000E759A"/>
    <w:rsid w:val="000E78F4"/>
    <w:rsid w:val="000F08CF"/>
    <w:rsid w:val="000F2A7A"/>
    <w:rsid w:val="000F4C1B"/>
    <w:rsid w:val="000F55E8"/>
    <w:rsid w:val="000F596A"/>
    <w:rsid w:val="00101472"/>
    <w:rsid w:val="00102083"/>
    <w:rsid w:val="0010252A"/>
    <w:rsid w:val="00104AF9"/>
    <w:rsid w:val="00106494"/>
    <w:rsid w:val="00106E56"/>
    <w:rsid w:val="001072EA"/>
    <w:rsid w:val="001137D1"/>
    <w:rsid w:val="00115F02"/>
    <w:rsid w:val="00116295"/>
    <w:rsid w:val="0011668A"/>
    <w:rsid w:val="001175DF"/>
    <w:rsid w:val="0012037A"/>
    <w:rsid w:val="00120C52"/>
    <w:rsid w:val="0012105E"/>
    <w:rsid w:val="00121C73"/>
    <w:rsid w:val="001241D6"/>
    <w:rsid w:val="001243A0"/>
    <w:rsid w:val="001259C9"/>
    <w:rsid w:val="001266E5"/>
    <w:rsid w:val="00126828"/>
    <w:rsid w:val="00126A9E"/>
    <w:rsid w:val="00130F63"/>
    <w:rsid w:val="001316D4"/>
    <w:rsid w:val="00134364"/>
    <w:rsid w:val="00134F69"/>
    <w:rsid w:val="00135A5E"/>
    <w:rsid w:val="00143F01"/>
    <w:rsid w:val="00143FF0"/>
    <w:rsid w:val="001442A7"/>
    <w:rsid w:val="001471B3"/>
    <w:rsid w:val="00147BC0"/>
    <w:rsid w:val="0015330B"/>
    <w:rsid w:val="001535EF"/>
    <w:rsid w:val="00153F1C"/>
    <w:rsid w:val="00156489"/>
    <w:rsid w:val="00161BD1"/>
    <w:rsid w:val="0016346E"/>
    <w:rsid w:val="00163BF2"/>
    <w:rsid w:val="00163D88"/>
    <w:rsid w:val="00165FC8"/>
    <w:rsid w:val="00170DC9"/>
    <w:rsid w:val="00172E8B"/>
    <w:rsid w:val="00173BC2"/>
    <w:rsid w:val="00176DE2"/>
    <w:rsid w:val="00183292"/>
    <w:rsid w:val="001850CE"/>
    <w:rsid w:val="00185DFD"/>
    <w:rsid w:val="001861D4"/>
    <w:rsid w:val="00186301"/>
    <w:rsid w:val="00186EE4"/>
    <w:rsid w:val="00187F4A"/>
    <w:rsid w:val="00191147"/>
    <w:rsid w:val="00191665"/>
    <w:rsid w:val="001A2110"/>
    <w:rsid w:val="001A7C07"/>
    <w:rsid w:val="001A7E61"/>
    <w:rsid w:val="001B459A"/>
    <w:rsid w:val="001C05FE"/>
    <w:rsid w:val="001C0A10"/>
    <w:rsid w:val="001C165D"/>
    <w:rsid w:val="001C1F8D"/>
    <w:rsid w:val="001C2043"/>
    <w:rsid w:val="001C20AC"/>
    <w:rsid w:val="001C3B20"/>
    <w:rsid w:val="001D02B7"/>
    <w:rsid w:val="001D0BE7"/>
    <w:rsid w:val="001D7B4C"/>
    <w:rsid w:val="001E6D90"/>
    <w:rsid w:val="001E7454"/>
    <w:rsid w:val="002023D0"/>
    <w:rsid w:val="00206E4C"/>
    <w:rsid w:val="00207D34"/>
    <w:rsid w:val="0021146E"/>
    <w:rsid w:val="002119E9"/>
    <w:rsid w:val="00211A8D"/>
    <w:rsid w:val="002163C4"/>
    <w:rsid w:val="002214DA"/>
    <w:rsid w:val="002234D3"/>
    <w:rsid w:val="00224EFF"/>
    <w:rsid w:val="00237055"/>
    <w:rsid w:val="00237AEF"/>
    <w:rsid w:val="002407F5"/>
    <w:rsid w:val="00240E27"/>
    <w:rsid w:val="0024348E"/>
    <w:rsid w:val="00243763"/>
    <w:rsid w:val="0024564A"/>
    <w:rsid w:val="002457C6"/>
    <w:rsid w:val="00245F48"/>
    <w:rsid w:val="00247950"/>
    <w:rsid w:val="00247C60"/>
    <w:rsid w:val="002507DE"/>
    <w:rsid w:val="00251A5D"/>
    <w:rsid w:val="002558AD"/>
    <w:rsid w:val="00260282"/>
    <w:rsid w:val="00261B43"/>
    <w:rsid w:val="00262CC6"/>
    <w:rsid w:val="00265F77"/>
    <w:rsid w:val="00267709"/>
    <w:rsid w:val="00270498"/>
    <w:rsid w:val="00270519"/>
    <w:rsid w:val="00270B20"/>
    <w:rsid w:val="00270CED"/>
    <w:rsid w:val="0027222F"/>
    <w:rsid w:val="002729AD"/>
    <w:rsid w:val="002742C8"/>
    <w:rsid w:val="00280295"/>
    <w:rsid w:val="00280810"/>
    <w:rsid w:val="00280E06"/>
    <w:rsid w:val="00281692"/>
    <w:rsid w:val="00281984"/>
    <w:rsid w:val="00285595"/>
    <w:rsid w:val="002858DF"/>
    <w:rsid w:val="00287DE2"/>
    <w:rsid w:val="002901D9"/>
    <w:rsid w:val="00290390"/>
    <w:rsid w:val="002906BE"/>
    <w:rsid w:val="002915E2"/>
    <w:rsid w:val="00293DBB"/>
    <w:rsid w:val="002971F5"/>
    <w:rsid w:val="002A3AF7"/>
    <w:rsid w:val="002A4BF7"/>
    <w:rsid w:val="002A5123"/>
    <w:rsid w:val="002A5514"/>
    <w:rsid w:val="002A5C33"/>
    <w:rsid w:val="002A6DD0"/>
    <w:rsid w:val="002B2231"/>
    <w:rsid w:val="002B3544"/>
    <w:rsid w:val="002C0FFB"/>
    <w:rsid w:val="002C3A1A"/>
    <w:rsid w:val="002C3FC5"/>
    <w:rsid w:val="002C534F"/>
    <w:rsid w:val="002C586C"/>
    <w:rsid w:val="002C5A59"/>
    <w:rsid w:val="002C66D1"/>
    <w:rsid w:val="002C7BDB"/>
    <w:rsid w:val="002D125D"/>
    <w:rsid w:val="002D17D9"/>
    <w:rsid w:val="002D28F6"/>
    <w:rsid w:val="002D630A"/>
    <w:rsid w:val="002E1CB7"/>
    <w:rsid w:val="002E1DD0"/>
    <w:rsid w:val="002E3452"/>
    <w:rsid w:val="002E57D1"/>
    <w:rsid w:val="002E5BD0"/>
    <w:rsid w:val="002E61B1"/>
    <w:rsid w:val="002E7521"/>
    <w:rsid w:val="002F23B8"/>
    <w:rsid w:val="002F33E9"/>
    <w:rsid w:val="002F36D0"/>
    <w:rsid w:val="002F3A48"/>
    <w:rsid w:val="002F40FD"/>
    <w:rsid w:val="002F4EF6"/>
    <w:rsid w:val="002F694F"/>
    <w:rsid w:val="002F7FBE"/>
    <w:rsid w:val="00300EB0"/>
    <w:rsid w:val="00301850"/>
    <w:rsid w:val="00301DA0"/>
    <w:rsid w:val="00307A43"/>
    <w:rsid w:val="00311E9A"/>
    <w:rsid w:val="0031634B"/>
    <w:rsid w:val="003166F7"/>
    <w:rsid w:val="00320BB9"/>
    <w:rsid w:val="00320F52"/>
    <w:rsid w:val="0032107B"/>
    <w:rsid w:val="0032250A"/>
    <w:rsid w:val="0032556A"/>
    <w:rsid w:val="00330152"/>
    <w:rsid w:val="003305B3"/>
    <w:rsid w:val="0033102E"/>
    <w:rsid w:val="00331165"/>
    <w:rsid w:val="003319E8"/>
    <w:rsid w:val="00331BAC"/>
    <w:rsid w:val="003324D4"/>
    <w:rsid w:val="003335E4"/>
    <w:rsid w:val="00333F0D"/>
    <w:rsid w:val="00336188"/>
    <w:rsid w:val="00336459"/>
    <w:rsid w:val="003369CD"/>
    <w:rsid w:val="00340999"/>
    <w:rsid w:val="00340A1E"/>
    <w:rsid w:val="00340AA8"/>
    <w:rsid w:val="00343EBC"/>
    <w:rsid w:val="00344063"/>
    <w:rsid w:val="003465E7"/>
    <w:rsid w:val="00346613"/>
    <w:rsid w:val="0034713C"/>
    <w:rsid w:val="003471C6"/>
    <w:rsid w:val="003478F4"/>
    <w:rsid w:val="003504E4"/>
    <w:rsid w:val="0035110C"/>
    <w:rsid w:val="00351EA9"/>
    <w:rsid w:val="00351F49"/>
    <w:rsid w:val="003523AC"/>
    <w:rsid w:val="00354F81"/>
    <w:rsid w:val="003560BD"/>
    <w:rsid w:val="00356E13"/>
    <w:rsid w:val="00360F03"/>
    <w:rsid w:val="00361249"/>
    <w:rsid w:val="00364302"/>
    <w:rsid w:val="00364404"/>
    <w:rsid w:val="00364BBC"/>
    <w:rsid w:val="0036674C"/>
    <w:rsid w:val="0036692D"/>
    <w:rsid w:val="00370A86"/>
    <w:rsid w:val="00370E14"/>
    <w:rsid w:val="00373D22"/>
    <w:rsid w:val="00375A5A"/>
    <w:rsid w:val="0037656B"/>
    <w:rsid w:val="00376A32"/>
    <w:rsid w:val="00376F4F"/>
    <w:rsid w:val="0038161D"/>
    <w:rsid w:val="00383463"/>
    <w:rsid w:val="00383C02"/>
    <w:rsid w:val="00387F79"/>
    <w:rsid w:val="00391CB6"/>
    <w:rsid w:val="0039222F"/>
    <w:rsid w:val="003928DE"/>
    <w:rsid w:val="00393188"/>
    <w:rsid w:val="00397470"/>
    <w:rsid w:val="003A3798"/>
    <w:rsid w:val="003A38FC"/>
    <w:rsid w:val="003A394D"/>
    <w:rsid w:val="003A3CF1"/>
    <w:rsid w:val="003A5675"/>
    <w:rsid w:val="003A61C0"/>
    <w:rsid w:val="003A6C3A"/>
    <w:rsid w:val="003B417F"/>
    <w:rsid w:val="003B51F3"/>
    <w:rsid w:val="003B55CC"/>
    <w:rsid w:val="003B6A38"/>
    <w:rsid w:val="003C0D53"/>
    <w:rsid w:val="003C4214"/>
    <w:rsid w:val="003C446C"/>
    <w:rsid w:val="003C52FF"/>
    <w:rsid w:val="003C53E9"/>
    <w:rsid w:val="003D0C77"/>
    <w:rsid w:val="003D3888"/>
    <w:rsid w:val="003D5307"/>
    <w:rsid w:val="003D5B36"/>
    <w:rsid w:val="003E5FEF"/>
    <w:rsid w:val="003E68D0"/>
    <w:rsid w:val="003E780A"/>
    <w:rsid w:val="003F1073"/>
    <w:rsid w:val="003F207E"/>
    <w:rsid w:val="003F2617"/>
    <w:rsid w:val="003F2E0E"/>
    <w:rsid w:val="003F37CD"/>
    <w:rsid w:val="003F3A9F"/>
    <w:rsid w:val="003F5D9E"/>
    <w:rsid w:val="003F7199"/>
    <w:rsid w:val="004040DB"/>
    <w:rsid w:val="004045ED"/>
    <w:rsid w:val="00405D26"/>
    <w:rsid w:val="00407B44"/>
    <w:rsid w:val="00407C5F"/>
    <w:rsid w:val="00412281"/>
    <w:rsid w:val="00415931"/>
    <w:rsid w:val="004249B7"/>
    <w:rsid w:val="004250C9"/>
    <w:rsid w:val="00426A09"/>
    <w:rsid w:val="00427B0F"/>
    <w:rsid w:val="00430751"/>
    <w:rsid w:val="00431393"/>
    <w:rsid w:val="00432DDF"/>
    <w:rsid w:val="00433D0D"/>
    <w:rsid w:val="00433F2D"/>
    <w:rsid w:val="004361B1"/>
    <w:rsid w:val="004363F2"/>
    <w:rsid w:val="004418F9"/>
    <w:rsid w:val="00442129"/>
    <w:rsid w:val="004452E9"/>
    <w:rsid w:val="0044600E"/>
    <w:rsid w:val="00446740"/>
    <w:rsid w:val="00450F63"/>
    <w:rsid w:val="0045108F"/>
    <w:rsid w:val="004519E7"/>
    <w:rsid w:val="00453EEE"/>
    <w:rsid w:val="00454F8C"/>
    <w:rsid w:val="00456AC7"/>
    <w:rsid w:val="0046102B"/>
    <w:rsid w:val="00463439"/>
    <w:rsid w:val="004634EB"/>
    <w:rsid w:val="00463B15"/>
    <w:rsid w:val="00463D69"/>
    <w:rsid w:val="00472919"/>
    <w:rsid w:val="00476658"/>
    <w:rsid w:val="00483A3F"/>
    <w:rsid w:val="00483C0C"/>
    <w:rsid w:val="00485F91"/>
    <w:rsid w:val="00486E8B"/>
    <w:rsid w:val="0048762D"/>
    <w:rsid w:val="004879B8"/>
    <w:rsid w:val="00490183"/>
    <w:rsid w:val="0049036E"/>
    <w:rsid w:val="00490964"/>
    <w:rsid w:val="00492D03"/>
    <w:rsid w:val="0049364F"/>
    <w:rsid w:val="00494FF1"/>
    <w:rsid w:val="00497177"/>
    <w:rsid w:val="004A06C0"/>
    <w:rsid w:val="004A18EE"/>
    <w:rsid w:val="004A1B15"/>
    <w:rsid w:val="004A26ED"/>
    <w:rsid w:val="004A4445"/>
    <w:rsid w:val="004A546B"/>
    <w:rsid w:val="004A5D47"/>
    <w:rsid w:val="004A60E9"/>
    <w:rsid w:val="004A6A66"/>
    <w:rsid w:val="004A6FD1"/>
    <w:rsid w:val="004A6FF8"/>
    <w:rsid w:val="004B1648"/>
    <w:rsid w:val="004B2E69"/>
    <w:rsid w:val="004B354B"/>
    <w:rsid w:val="004B76B3"/>
    <w:rsid w:val="004C029C"/>
    <w:rsid w:val="004C0522"/>
    <w:rsid w:val="004C11D6"/>
    <w:rsid w:val="004C5488"/>
    <w:rsid w:val="004C5DDC"/>
    <w:rsid w:val="004C712D"/>
    <w:rsid w:val="004D1177"/>
    <w:rsid w:val="004D14DD"/>
    <w:rsid w:val="004D2BAC"/>
    <w:rsid w:val="004D347B"/>
    <w:rsid w:val="004D7CA1"/>
    <w:rsid w:val="004E23C3"/>
    <w:rsid w:val="004E4CC4"/>
    <w:rsid w:val="004E655A"/>
    <w:rsid w:val="004E7979"/>
    <w:rsid w:val="004F44F5"/>
    <w:rsid w:val="004F477E"/>
    <w:rsid w:val="004F56E2"/>
    <w:rsid w:val="004F5DC4"/>
    <w:rsid w:val="004F5F18"/>
    <w:rsid w:val="004F745E"/>
    <w:rsid w:val="00512711"/>
    <w:rsid w:val="005133F0"/>
    <w:rsid w:val="005151ED"/>
    <w:rsid w:val="005168FF"/>
    <w:rsid w:val="00517727"/>
    <w:rsid w:val="00524649"/>
    <w:rsid w:val="00525093"/>
    <w:rsid w:val="00525181"/>
    <w:rsid w:val="00527347"/>
    <w:rsid w:val="00530560"/>
    <w:rsid w:val="0053486F"/>
    <w:rsid w:val="005349B3"/>
    <w:rsid w:val="005353CA"/>
    <w:rsid w:val="00536802"/>
    <w:rsid w:val="00542453"/>
    <w:rsid w:val="00542CB6"/>
    <w:rsid w:val="0054568F"/>
    <w:rsid w:val="00546F1D"/>
    <w:rsid w:val="005470C3"/>
    <w:rsid w:val="005478B3"/>
    <w:rsid w:val="00552EAD"/>
    <w:rsid w:val="00554088"/>
    <w:rsid w:val="005612AA"/>
    <w:rsid w:val="00562E9B"/>
    <w:rsid w:val="00563D3F"/>
    <w:rsid w:val="00564C8F"/>
    <w:rsid w:val="00566A6E"/>
    <w:rsid w:val="00567B24"/>
    <w:rsid w:val="005716AB"/>
    <w:rsid w:val="0057209C"/>
    <w:rsid w:val="005740B6"/>
    <w:rsid w:val="00575B4B"/>
    <w:rsid w:val="005760E6"/>
    <w:rsid w:val="00576840"/>
    <w:rsid w:val="00580B23"/>
    <w:rsid w:val="00583A38"/>
    <w:rsid w:val="00584543"/>
    <w:rsid w:val="00585F69"/>
    <w:rsid w:val="005922B4"/>
    <w:rsid w:val="00593C1C"/>
    <w:rsid w:val="00594702"/>
    <w:rsid w:val="00596EF6"/>
    <w:rsid w:val="005A3209"/>
    <w:rsid w:val="005A5878"/>
    <w:rsid w:val="005A7602"/>
    <w:rsid w:val="005A7776"/>
    <w:rsid w:val="005B000D"/>
    <w:rsid w:val="005B0C64"/>
    <w:rsid w:val="005B3F43"/>
    <w:rsid w:val="005B40AA"/>
    <w:rsid w:val="005C06BF"/>
    <w:rsid w:val="005C2971"/>
    <w:rsid w:val="005C300B"/>
    <w:rsid w:val="005C34BF"/>
    <w:rsid w:val="005C3DE2"/>
    <w:rsid w:val="005D07A5"/>
    <w:rsid w:val="005D0910"/>
    <w:rsid w:val="005D1921"/>
    <w:rsid w:val="005D2144"/>
    <w:rsid w:val="005D30F6"/>
    <w:rsid w:val="005D3A77"/>
    <w:rsid w:val="005D5294"/>
    <w:rsid w:val="005D6828"/>
    <w:rsid w:val="005D6C64"/>
    <w:rsid w:val="005D6E91"/>
    <w:rsid w:val="005D76B4"/>
    <w:rsid w:val="005E015B"/>
    <w:rsid w:val="005E1FD5"/>
    <w:rsid w:val="005E4351"/>
    <w:rsid w:val="005E4BEE"/>
    <w:rsid w:val="005E5025"/>
    <w:rsid w:val="005E7496"/>
    <w:rsid w:val="005F3D1B"/>
    <w:rsid w:val="005F596C"/>
    <w:rsid w:val="005F61BE"/>
    <w:rsid w:val="005F67AA"/>
    <w:rsid w:val="005F71C7"/>
    <w:rsid w:val="0060051F"/>
    <w:rsid w:val="006014E3"/>
    <w:rsid w:val="006018B7"/>
    <w:rsid w:val="00602576"/>
    <w:rsid w:val="006074CB"/>
    <w:rsid w:val="00610584"/>
    <w:rsid w:val="00612CA4"/>
    <w:rsid w:val="00612FBB"/>
    <w:rsid w:val="00616232"/>
    <w:rsid w:val="006208A4"/>
    <w:rsid w:val="00621AC1"/>
    <w:rsid w:val="00622010"/>
    <w:rsid w:val="006259EB"/>
    <w:rsid w:val="00625E7C"/>
    <w:rsid w:val="00627786"/>
    <w:rsid w:val="006318F2"/>
    <w:rsid w:val="00631CB8"/>
    <w:rsid w:val="00633D63"/>
    <w:rsid w:val="00634D23"/>
    <w:rsid w:val="00637C80"/>
    <w:rsid w:val="0064117C"/>
    <w:rsid w:val="00641573"/>
    <w:rsid w:val="00641C5E"/>
    <w:rsid w:val="006436B8"/>
    <w:rsid w:val="00643748"/>
    <w:rsid w:val="006473CB"/>
    <w:rsid w:val="00647F8D"/>
    <w:rsid w:val="0065187E"/>
    <w:rsid w:val="00651C7F"/>
    <w:rsid w:val="00653B68"/>
    <w:rsid w:val="0065483E"/>
    <w:rsid w:val="00654881"/>
    <w:rsid w:val="00655250"/>
    <w:rsid w:val="00656161"/>
    <w:rsid w:val="00657200"/>
    <w:rsid w:val="00657E38"/>
    <w:rsid w:val="00660E5F"/>
    <w:rsid w:val="006613D5"/>
    <w:rsid w:val="00665DFD"/>
    <w:rsid w:val="006665C5"/>
    <w:rsid w:val="0066671B"/>
    <w:rsid w:val="00672042"/>
    <w:rsid w:val="00672FDF"/>
    <w:rsid w:val="00673638"/>
    <w:rsid w:val="00674261"/>
    <w:rsid w:val="00674833"/>
    <w:rsid w:val="00674991"/>
    <w:rsid w:val="006750A5"/>
    <w:rsid w:val="00676382"/>
    <w:rsid w:val="0067639E"/>
    <w:rsid w:val="0067650F"/>
    <w:rsid w:val="00680B99"/>
    <w:rsid w:val="00682E16"/>
    <w:rsid w:val="00685040"/>
    <w:rsid w:val="006910FB"/>
    <w:rsid w:val="00692010"/>
    <w:rsid w:val="00695681"/>
    <w:rsid w:val="006964DA"/>
    <w:rsid w:val="006A08C8"/>
    <w:rsid w:val="006A093E"/>
    <w:rsid w:val="006A0C83"/>
    <w:rsid w:val="006A1504"/>
    <w:rsid w:val="006A192C"/>
    <w:rsid w:val="006A1B52"/>
    <w:rsid w:val="006A35F8"/>
    <w:rsid w:val="006A670C"/>
    <w:rsid w:val="006A70DB"/>
    <w:rsid w:val="006A79BD"/>
    <w:rsid w:val="006B0221"/>
    <w:rsid w:val="006B447D"/>
    <w:rsid w:val="006B4B57"/>
    <w:rsid w:val="006B60EB"/>
    <w:rsid w:val="006B6170"/>
    <w:rsid w:val="006B6466"/>
    <w:rsid w:val="006B7B08"/>
    <w:rsid w:val="006C04AD"/>
    <w:rsid w:val="006C2DBE"/>
    <w:rsid w:val="006C5317"/>
    <w:rsid w:val="006C61B5"/>
    <w:rsid w:val="006D0394"/>
    <w:rsid w:val="006D1982"/>
    <w:rsid w:val="006D2015"/>
    <w:rsid w:val="006D3939"/>
    <w:rsid w:val="006D3E55"/>
    <w:rsid w:val="006D61B2"/>
    <w:rsid w:val="006E0B30"/>
    <w:rsid w:val="006E262A"/>
    <w:rsid w:val="006E3802"/>
    <w:rsid w:val="006E3DB5"/>
    <w:rsid w:val="006E46C5"/>
    <w:rsid w:val="006E4AEA"/>
    <w:rsid w:val="006E5A98"/>
    <w:rsid w:val="006F11D3"/>
    <w:rsid w:val="006F57BA"/>
    <w:rsid w:val="006F62F2"/>
    <w:rsid w:val="006F6F32"/>
    <w:rsid w:val="006F7652"/>
    <w:rsid w:val="00702449"/>
    <w:rsid w:val="007037FD"/>
    <w:rsid w:val="00704C71"/>
    <w:rsid w:val="00704E26"/>
    <w:rsid w:val="00705F75"/>
    <w:rsid w:val="007075C5"/>
    <w:rsid w:val="00707B86"/>
    <w:rsid w:val="00707F43"/>
    <w:rsid w:val="00710233"/>
    <w:rsid w:val="00711A44"/>
    <w:rsid w:val="0071251A"/>
    <w:rsid w:val="007146C1"/>
    <w:rsid w:val="007219EC"/>
    <w:rsid w:val="00722796"/>
    <w:rsid w:val="007231E0"/>
    <w:rsid w:val="00724770"/>
    <w:rsid w:val="00724BCA"/>
    <w:rsid w:val="00726BF9"/>
    <w:rsid w:val="0072725A"/>
    <w:rsid w:val="00733C7D"/>
    <w:rsid w:val="0073541D"/>
    <w:rsid w:val="0073560B"/>
    <w:rsid w:val="00736292"/>
    <w:rsid w:val="007370D6"/>
    <w:rsid w:val="007377CA"/>
    <w:rsid w:val="0074172E"/>
    <w:rsid w:val="007443D6"/>
    <w:rsid w:val="00745175"/>
    <w:rsid w:val="00745E83"/>
    <w:rsid w:val="0074722E"/>
    <w:rsid w:val="00747FC8"/>
    <w:rsid w:val="00751AE4"/>
    <w:rsid w:val="00752B35"/>
    <w:rsid w:val="00753D03"/>
    <w:rsid w:val="00756D7A"/>
    <w:rsid w:val="007642BA"/>
    <w:rsid w:val="00764633"/>
    <w:rsid w:val="007705AE"/>
    <w:rsid w:val="00770F2E"/>
    <w:rsid w:val="0077342D"/>
    <w:rsid w:val="007749FA"/>
    <w:rsid w:val="00776CA2"/>
    <w:rsid w:val="00782A35"/>
    <w:rsid w:val="0078344F"/>
    <w:rsid w:val="00783728"/>
    <w:rsid w:val="0078649C"/>
    <w:rsid w:val="00787A4C"/>
    <w:rsid w:val="00787B70"/>
    <w:rsid w:val="007919D9"/>
    <w:rsid w:val="00792DA7"/>
    <w:rsid w:val="007942A7"/>
    <w:rsid w:val="0079607D"/>
    <w:rsid w:val="007975AA"/>
    <w:rsid w:val="007A0242"/>
    <w:rsid w:val="007A0B20"/>
    <w:rsid w:val="007A1012"/>
    <w:rsid w:val="007A19E9"/>
    <w:rsid w:val="007A4A5B"/>
    <w:rsid w:val="007A4DBE"/>
    <w:rsid w:val="007A4FD7"/>
    <w:rsid w:val="007A5332"/>
    <w:rsid w:val="007A5693"/>
    <w:rsid w:val="007B11EA"/>
    <w:rsid w:val="007B1C95"/>
    <w:rsid w:val="007B1F66"/>
    <w:rsid w:val="007B585A"/>
    <w:rsid w:val="007C068F"/>
    <w:rsid w:val="007C6EC5"/>
    <w:rsid w:val="007C6F01"/>
    <w:rsid w:val="007C77FC"/>
    <w:rsid w:val="007C7C4A"/>
    <w:rsid w:val="007D1B82"/>
    <w:rsid w:val="007D2FFC"/>
    <w:rsid w:val="007D44AB"/>
    <w:rsid w:val="007D7389"/>
    <w:rsid w:val="007D7EF6"/>
    <w:rsid w:val="007E0418"/>
    <w:rsid w:val="007E2C31"/>
    <w:rsid w:val="007E3839"/>
    <w:rsid w:val="007E4A46"/>
    <w:rsid w:val="007E4D11"/>
    <w:rsid w:val="007E76C3"/>
    <w:rsid w:val="007F10D3"/>
    <w:rsid w:val="007F1ADF"/>
    <w:rsid w:val="007F49C0"/>
    <w:rsid w:val="007F5F09"/>
    <w:rsid w:val="007F743D"/>
    <w:rsid w:val="007F79E5"/>
    <w:rsid w:val="0080113D"/>
    <w:rsid w:val="00801C87"/>
    <w:rsid w:val="0080293F"/>
    <w:rsid w:val="00804909"/>
    <w:rsid w:val="00804D31"/>
    <w:rsid w:val="00805A72"/>
    <w:rsid w:val="00807F6A"/>
    <w:rsid w:val="00811C4C"/>
    <w:rsid w:val="00813ADC"/>
    <w:rsid w:val="00815590"/>
    <w:rsid w:val="00816240"/>
    <w:rsid w:val="00816F2D"/>
    <w:rsid w:val="00817B91"/>
    <w:rsid w:val="00821564"/>
    <w:rsid w:val="00823060"/>
    <w:rsid w:val="00823EBF"/>
    <w:rsid w:val="008261E2"/>
    <w:rsid w:val="008303F9"/>
    <w:rsid w:val="0083057D"/>
    <w:rsid w:val="00840786"/>
    <w:rsid w:val="00843030"/>
    <w:rsid w:val="00845FCB"/>
    <w:rsid w:val="0084761A"/>
    <w:rsid w:val="008477A4"/>
    <w:rsid w:val="008502DB"/>
    <w:rsid w:val="008510C2"/>
    <w:rsid w:val="00851B01"/>
    <w:rsid w:val="00851C3E"/>
    <w:rsid w:val="00854F2C"/>
    <w:rsid w:val="00856899"/>
    <w:rsid w:val="008622F9"/>
    <w:rsid w:val="00862478"/>
    <w:rsid w:val="00862744"/>
    <w:rsid w:val="00863336"/>
    <w:rsid w:val="00863444"/>
    <w:rsid w:val="00863BD9"/>
    <w:rsid w:val="00866A6B"/>
    <w:rsid w:val="00867432"/>
    <w:rsid w:val="0086745F"/>
    <w:rsid w:val="00867511"/>
    <w:rsid w:val="00867ABE"/>
    <w:rsid w:val="00871055"/>
    <w:rsid w:val="00877951"/>
    <w:rsid w:val="00885533"/>
    <w:rsid w:val="00885BD8"/>
    <w:rsid w:val="00886038"/>
    <w:rsid w:val="00886363"/>
    <w:rsid w:val="00890D71"/>
    <w:rsid w:val="0089125B"/>
    <w:rsid w:val="00891D86"/>
    <w:rsid w:val="0089534A"/>
    <w:rsid w:val="008A05CB"/>
    <w:rsid w:val="008A2F37"/>
    <w:rsid w:val="008A5A04"/>
    <w:rsid w:val="008A6856"/>
    <w:rsid w:val="008A6CB8"/>
    <w:rsid w:val="008B23C3"/>
    <w:rsid w:val="008B2D63"/>
    <w:rsid w:val="008B3744"/>
    <w:rsid w:val="008B3A4C"/>
    <w:rsid w:val="008B527C"/>
    <w:rsid w:val="008B59C3"/>
    <w:rsid w:val="008B60EF"/>
    <w:rsid w:val="008B7E24"/>
    <w:rsid w:val="008C0633"/>
    <w:rsid w:val="008C3316"/>
    <w:rsid w:val="008C339B"/>
    <w:rsid w:val="008C6003"/>
    <w:rsid w:val="008C60E9"/>
    <w:rsid w:val="008C77B6"/>
    <w:rsid w:val="008C785B"/>
    <w:rsid w:val="008C7DC4"/>
    <w:rsid w:val="008D0FD1"/>
    <w:rsid w:val="008D125D"/>
    <w:rsid w:val="008D2E2E"/>
    <w:rsid w:val="008D332F"/>
    <w:rsid w:val="008D3DF1"/>
    <w:rsid w:val="008D7233"/>
    <w:rsid w:val="008D7531"/>
    <w:rsid w:val="008D7BE0"/>
    <w:rsid w:val="008E2E3D"/>
    <w:rsid w:val="008E4D7E"/>
    <w:rsid w:val="008E5316"/>
    <w:rsid w:val="008F0753"/>
    <w:rsid w:val="008F1705"/>
    <w:rsid w:val="008F5C35"/>
    <w:rsid w:val="008F7EEE"/>
    <w:rsid w:val="00902154"/>
    <w:rsid w:val="00903683"/>
    <w:rsid w:val="00903D97"/>
    <w:rsid w:val="009055C3"/>
    <w:rsid w:val="00906139"/>
    <w:rsid w:val="009111F0"/>
    <w:rsid w:val="009112E6"/>
    <w:rsid w:val="00913040"/>
    <w:rsid w:val="009132FB"/>
    <w:rsid w:val="009153F6"/>
    <w:rsid w:val="00917508"/>
    <w:rsid w:val="00920BE2"/>
    <w:rsid w:val="00923614"/>
    <w:rsid w:val="00923F07"/>
    <w:rsid w:val="00923F56"/>
    <w:rsid w:val="009241D8"/>
    <w:rsid w:val="00924EA4"/>
    <w:rsid w:val="00930D44"/>
    <w:rsid w:val="00931250"/>
    <w:rsid w:val="00931E54"/>
    <w:rsid w:val="00935A58"/>
    <w:rsid w:val="00940773"/>
    <w:rsid w:val="0094451A"/>
    <w:rsid w:val="00946008"/>
    <w:rsid w:val="00946DFE"/>
    <w:rsid w:val="00952C84"/>
    <w:rsid w:val="00952FBB"/>
    <w:rsid w:val="00957395"/>
    <w:rsid w:val="0096093D"/>
    <w:rsid w:val="009621AB"/>
    <w:rsid w:val="0096471B"/>
    <w:rsid w:val="00970047"/>
    <w:rsid w:val="0097136F"/>
    <w:rsid w:val="009715AE"/>
    <w:rsid w:val="00981565"/>
    <w:rsid w:val="009815A1"/>
    <w:rsid w:val="009873F1"/>
    <w:rsid w:val="0099121D"/>
    <w:rsid w:val="009913D1"/>
    <w:rsid w:val="00991D45"/>
    <w:rsid w:val="0099479C"/>
    <w:rsid w:val="00994D1D"/>
    <w:rsid w:val="00994D82"/>
    <w:rsid w:val="009953AD"/>
    <w:rsid w:val="00996091"/>
    <w:rsid w:val="009A0791"/>
    <w:rsid w:val="009A12DC"/>
    <w:rsid w:val="009A2E2C"/>
    <w:rsid w:val="009A583C"/>
    <w:rsid w:val="009A69CA"/>
    <w:rsid w:val="009A76BA"/>
    <w:rsid w:val="009B00DA"/>
    <w:rsid w:val="009B340A"/>
    <w:rsid w:val="009B5B72"/>
    <w:rsid w:val="009B7A60"/>
    <w:rsid w:val="009C2598"/>
    <w:rsid w:val="009C4AB8"/>
    <w:rsid w:val="009D1E58"/>
    <w:rsid w:val="009D33D0"/>
    <w:rsid w:val="009D3581"/>
    <w:rsid w:val="009D3D9D"/>
    <w:rsid w:val="009D3E03"/>
    <w:rsid w:val="009D4290"/>
    <w:rsid w:val="009D5FD0"/>
    <w:rsid w:val="009D6C6E"/>
    <w:rsid w:val="009D7786"/>
    <w:rsid w:val="009E0642"/>
    <w:rsid w:val="009E1466"/>
    <w:rsid w:val="009E14A6"/>
    <w:rsid w:val="009E2A9E"/>
    <w:rsid w:val="009E54A9"/>
    <w:rsid w:val="009E5832"/>
    <w:rsid w:val="009E7387"/>
    <w:rsid w:val="009E7A5A"/>
    <w:rsid w:val="009E7E83"/>
    <w:rsid w:val="009F00E1"/>
    <w:rsid w:val="009F093C"/>
    <w:rsid w:val="009F147F"/>
    <w:rsid w:val="009F3946"/>
    <w:rsid w:val="00A00C9B"/>
    <w:rsid w:val="00A01350"/>
    <w:rsid w:val="00A02840"/>
    <w:rsid w:val="00A035E3"/>
    <w:rsid w:val="00A05874"/>
    <w:rsid w:val="00A05EDD"/>
    <w:rsid w:val="00A0650C"/>
    <w:rsid w:val="00A06FE6"/>
    <w:rsid w:val="00A07C82"/>
    <w:rsid w:val="00A11604"/>
    <w:rsid w:val="00A12EBA"/>
    <w:rsid w:val="00A13438"/>
    <w:rsid w:val="00A13B24"/>
    <w:rsid w:val="00A140A5"/>
    <w:rsid w:val="00A155C4"/>
    <w:rsid w:val="00A15CA8"/>
    <w:rsid w:val="00A1738D"/>
    <w:rsid w:val="00A21D78"/>
    <w:rsid w:val="00A224B8"/>
    <w:rsid w:val="00A226C0"/>
    <w:rsid w:val="00A240C7"/>
    <w:rsid w:val="00A24806"/>
    <w:rsid w:val="00A263CD"/>
    <w:rsid w:val="00A2765D"/>
    <w:rsid w:val="00A278B9"/>
    <w:rsid w:val="00A31AA8"/>
    <w:rsid w:val="00A31F04"/>
    <w:rsid w:val="00A3216C"/>
    <w:rsid w:val="00A3252A"/>
    <w:rsid w:val="00A34304"/>
    <w:rsid w:val="00A37608"/>
    <w:rsid w:val="00A46AF5"/>
    <w:rsid w:val="00A508AD"/>
    <w:rsid w:val="00A51CBC"/>
    <w:rsid w:val="00A51F3D"/>
    <w:rsid w:val="00A5356F"/>
    <w:rsid w:val="00A537ED"/>
    <w:rsid w:val="00A5423B"/>
    <w:rsid w:val="00A56F27"/>
    <w:rsid w:val="00A570D4"/>
    <w:rsid w:val="00A57124"/>
    <w:rsid w:val="00A579CE"/>
    <w:rsid w:val="00A57B8A"/>
    <w:rsid w:val="00A624EB"/>
    <w:rsid w:val="00A6415C"/>
    <w:rsid w:val="00A64668"/>
    <w:rsid w:val="00A65251"/>
    <w:rsid w:val="00A65461"/>
    <w:rsid w:val="00A65F8F"/>
    <w:rsid w:val="00A6627E"/>
    <w:rsid w:val="00A67FCB"/>
    <w:rsid w:val="00A7008C"/>
    <w:rsid w:val="00A70E12"/>
    <w:rsid w:val="00A71079"/>
    <w:rsid w:val="00A72464"/>
    <w:rsid w:val="00A7643D"/>
    <w:rsid w:val="00A77296"/>
    <w:rsid w:val="00A808D4"/>
    <w:rsid w:val="00A8146C"/>
    <w:rsid w:val="00A843A5"/>
    <w:rsid w:val="00A8582C"/>
    <w:rsid w:val="00A877D4"/>
    <w:rsid w:val="00A901B7"/>
    <w:rsid w:val="00A94F82"/>
    <w:rsid w:val="00A95849"/>
    <w:rsid w:val="00A95B99"/>
    <w:rsid w:val="00A9607C"/>
    <w:rsid w:val="00A96126"/>
    <w:rsid w:val="00A963DA"/>
    <w:rsid w:val="00A96C07"/>
    <w:rsid w:val="00AA052E"/>
    <w:rsid w:val="00AA17BB"/>
    <w:rsid w:val="00AA20FC"/>
    <w:rsid w:val="00AA3AFD"/>
    <w:rsid w:val="00AA4F2A"/>
    <w:rsid w:val="00AA6DFB"/>
    <w:rsid w:val="00AB01E2"/>
    <w:rsid w:val="00AB0888"/>
    <w:rsid w:val="00AB2F9E"/>
    <w:rsid w:val="00AB3B56"/>
    <w:rsid w:val="00AB53F6"/>
    <w:rsid w:val="00AB67E3"/>
    <w:rsid w:val="00AC1735"/>
    <w:rsid w:val="00AC2BAF"/>
    <w:rsid w:val="00AC2CAB"/>
    <w:rsid w:val="00AC3296"/>
    <w:rsid w:val="00AC5285"/>
    <w:rsid w:val="00AC7193"/>
    <w:rsid w:val="00AD1130"/>
    <w:rsid w:val="00AD1761"/>
    <w:rsid w:val="00AD471E"/>
    <w:rsid w:val="00AD4FC7"/>
    <w:rsid w:val="00AD5CB6"/>
    <w:rsid w:val="00AE06B7"/>
    <w:rsid w:val="00AE242F"/>
    <w:rsid w:val="00AE2D97"/>
    <w:rsid w:val="00AE60B9"/>
    <w:rsid w:val="00AE66A0"/>
    <w:rsid w:val="00AF0026"/>
    <w:rsid w:val="00AF00D2"/>
    <w:rsid w:val="00AF0496"/>
    <w:rsid w:val="00AF0E69"/>
    <w:rsid w:val="00AF25C6"/>
    <w:rsid w:val="00AF3079"/>
    <w:rsid w:val="00AF6EA5"/>
    <w:rsid w:val="00AF7205"/>
    <w:rsid w:val="00B00A0B"/>
    <w:rsid w:val="00B00FD6"/>
    <w:rsid w:val="00B01AE8"/>
    <w:rsid w:val="00B05165"/>
    <w:rsid w:val="00B06005"/>
    <w:rsid w:val="00B11BD5"/>
    <w:rsid w:val="00B11C45"/>
    <w:rsid w:val="00B1482A"/>
    <w:rsid w:val="00B20819"/>
    <w:rsid w:val="00B22ABB"/>
    <w:rsid w:val="00B24B16"/>
    <w:rsid w:val="00B25920"/>
    <w:rsid w:val="00B306A1"/>
    <w:rsid w:val="00B317C6"/>
    <w:rsid w:val="00B32330"/>
    <w:rsid w:val="00B32504"/>
    <w:rsid w:val="00B3650E"/>
    <w:rsid w:val="00B408F8"/>
    <w:rsid w:val="00B43C48"/>
    <w:rsid w:val="00B5013B"/>
    <w:rsid w:val="00B50E91"/>
    <w:rsid w:val="00B53C70"/>
    <w:rsid w:val="00B544D6"/>
    <w:rsid w:val="00B54A82"/>
    <w:rsid w:val="00B54E53"/>
    <w:rsid w:val="00B54E99"/>
    <w:rsid w:val="00B564C8"/>
    <w:rsid w:val="00B625AF"/>
    <w:rsid w:val="00B63135"/>
    <w:rsid w:val="00B63190"/>
    <w:rsid w:val="00B64414"/>
    <w:rsid w:val="00B657AE"/>
    <w:rsid w:val="00B70253"/>
    <w:rsid w:val="00B70E7F"/>
    <w:rsid w:val="00B70F19"/>
    <w:rsid w:val="00B71178"/>
    <w:rsid w:val="00B71DDD"/>
    <w:rsid w:val="00B735E9"/>
    <w:rsid w:val="00B74C61"/>
    <w:rsid w:val="00B77F6B"/>
    <w:rsid w:val="00B810EF"/>
    <w:rsid w:val="00B854B2"/>
    <w:rsid w:val="00B865DF"/>
    <w:rsid w:val="00B91C17"/>
    <w:rsid w:val="00BA0261"/>
    <w:rsid w:val="00BA0DF3"/>
    <w:rsid w:val="00BA493F"/>
    <w:rsid w:val="00BA6ADB"/>
    <w:rsid w:val="00BB0E35"/>
    <w:rsid w:val="00BB19C1"/>
    <w:rsid w:val="00BB389E"/>
    <w:rsid w:val="00BC24C6"/>
    <w:rsid w:val="00BC3794"/>
    <w:rsid w:val="00BC4177"/>
    <w:rsid w:val="00BC65AA"/>
    <w:rsid w:val="00BD03FA"/>
    <w:rsid w:val="00BD35EA"/>
    <w:rsid w:val="00BD3F90"/>
    <w:rsid w:val="00BD4A03"/>
    <w:rsid w:val="00BD5324"/>
    <w:rsid w:val="00BD5682"/>
    <w:rsid w:val="00BE15F7"/>
    <w:rsid w:val="00BE21EB"/>
    <w:rsid w:val="00BE3776"/>
    <w:rsid w:val="00BE46E3"/>
    <w:rsid w:val="00BE745C"/>
    <w:rsid w:val="00BF48F9"/>
    <w:rsid w:val="00BF7E85"/>
    <w:rsid w:val="00C02FF7"/>
    <w:rsid w:val="00C03BBA"/>
    <w:rsid w:val="00C04483"/>
    <w:rsid w:val="00C058D0"/>
    <w:rsid w:val="00C06415"/>
    <w:rsid w:val="00C06807"/>
    <w:rsid w:val="00C06893"/>
    <w:rsid w:val="00C076CB"/>
    <w:rsid w:val="00C07C6E"/>
    <w:rsid w:val="00C13B47"/>
    <w:rsid w:val="00C13DDD"/>
    <w:rsid w:val="00C14872"/>
    <w:rsid w:val="00C153E9"/>
    <w:rsid w:val="00C1562D"/>
    <w:rsid w:val="00C159BA"/>
    <w:rsid w:val="00C16B6A"/>
    <w:rsid w:val="00C26212"/>
    <w:rsid w:val="00C26DAB"/>
    <w:rsid w:val="00C273EE"/>
    <w:rsid w:val="00C3356A"/>
    <w:rsid w:val="00C340B9"/>
    <w:rsid w:val="00C35CCD"/>
    <w:rsid w:val="00C36575"/>
    <w:rsid w:val="00C40D52"/>
    <w:rsid w:val="00C410B3"/>
    <w:rsid w:val="00C419B4"/>
    <w:rsid w:val="00C41B35"/>
    <w:rsid w:val="00C437E3"/>
    <w:rsid w:val="00C438E9"/>
    <w:rsid w:val="00C44021"/>
    <w:rsid w:val="00C44BEE"/>
    <w:rsid w:val="00C45383"/>
    <w:rsid w:val="00C46059"/>
    <w:rsid w:val="00C51061"/>
    <w:rsid w:val="00C513C5"/>
    <w:rsid w:val="00C5481B"/>
    <w:rsid w:val="00C609E3"/>
    <w:rsid w:val="00C6352D"/>
    <w:rsid w:val="00C63599"/>
    <w:rsid w:val="00C636C8"/>
    <w:rsid w:val="00C64A48"/>
    <w:rsid w:val="00C64F5F"/>
    <w:rsid w:val="00C65646"/>
    <w:rsid w:val="00C659B8"/>
    <w:rsid w:val="00C679AD"/>
    <w:rsid w:val="00C71110"/>
    <w:rsid w:val="00C71347"/>
    <w:rsid w:val="00C71D27"/>
    <w:rsid w:val="00C75C7C"/>
    <w:rsid w:val="00C77500"/>
    <w:rsid w:val="00C8371F"/>
    <w:rsid w:val="00C85FA8"/>
    <w:rsid w:val="00C8630F"/>
    <w:rsid w:val="00C9154E"/>
    <w:rsid w:val="00C9594D"/>
    <w:rsid w:val="00CA14F6"/>
    <w:rsid w:val="00CA1FFC"/>
    <w:rsid w:val="00CA33C1"/>
    <w:rsid w:val="00CA4536"/>
    <w:rsid w:val="00CA4B2B"/>
    <w:rsid w:val="00CA6D79"/>
    <w:rsid w:val="00CA729F"/>
    <w:rsid w:val="00CA7AF8"/>
    <w:rsid w:val="00CB426C"/>
    <w:rsid w:val="00CC063A"/>
    <w:rsid w:val="00CC4156"/>
    <w:rsid w:val="00CC49B4"/>
    <w:rsid w:val="00CC6CE1"/>
    <w:rsid w:val="00CC6F8E"/>
    <w:rsid w:val="00CD1BC3"/>
    <w:rsid w:val="00CD4289"/>
    <w:rsid w:val="00CD71A0"/>
    <w:rsid w:val="00CE1668"/>
    <w:rsid w:val="00CE17C2"/>
    <w:rsid w:val="00CE21D7"/>
    <w:rsid w:val="00CE3243"/>
    <w:rsid w:val="00CE3ADF"/>
    <w:rsid w:val="00CE44E9"/>
    <w:rsid w:val="00CE520D"/>
    <w:rsid w:val="00CE5746"/>
    <w:rsid w:val="00CE5E3F"/>
    <w:rsid w:val="00CF09F0"/>
    <w:rsid w:val="00CF0A7A"/>
    <w:rsid w:val="00CF1560"/>
    <w:rsid w:val="00CF6C91"/>
    <w:rsid w:val="00CF7C16"/>
    <w:rsid w:val="00D00905"/>
    <w:rsid w:val="00D00E95"/>
    <w:rsid w:val="00D02AA0"/>
    <w:rsid w:val="00D04511"/>
    <w:rsid w:val="00D05B86"/>
    <w:rsid w:val="00D0650E"/>
    <w:rsid w:val="00D073B8"/>
    <w:rsid w:val="00D11FFA"/>
    <w:rsid w:val="00D12745"/>
    <w:rsid w:val="00D201F6"/>
    <w:rsid w:val="00D229AB"/>
    <w:rsid w:val="00D24097"/>
    <w:rsid w:val="00D309CB"/>
    <w:rsid w:val="00D3210B"/>
    <w:rsid w:val="00D3259E"/>
    <w:rsid w:val="00D32FEB"/>
    <w:rsid w:val="00D34F80"/>
    <w:rsid w:val="00D35A9E"/>
    <w:rsid w:val="00D360A4"/>
    <w:rsid w:val="00D36802"/>
    <w:rsid w:val="00D36962"/>
    <w:rsid w:val="00D372DA"/>
    <w:rsid w:val="00D41769"/>
    <w:rsid w:val="00D43924"/>
    <w:rsid w:val="00D441A6"/>
    <w:rsid w:val="00D44B23"/>
    <w:rsid w:val="00D44DB3"/>
    <w:rsid w:val="00D44F0D"/>
    <w:rsid w:val="00D45482"/>
    <w:rsid w:val="00D46F84"/>
    <w:rsid w:val="00D47676"/>
    <w:rsid w:val="00D506D7"/>
    <w:rsid w:val="00D53B86"/>
    <w:rsid w:val="00D5430F"/>
    <w:rsid w:val="00D573B8"/>
    <w:rsid w:val="00D61116"/>
    <w:rsid w:val="00D629D9"/>
    <w:rsid w:val="00D63A61"/>
    <w:rsid w:val="00D64CF8"/>
    <w:rsid w:val="00D64EDD"/>
    <w:rsid w:val="00D658E1"/>
    <w:rsid w:val="00D65D38"/>
    <w:rsid w:val="00D71F0B"/>
    <w:rsid w:val="00D727DA"/>
    <w:rsid w:val="00D75545"/>
    <w:rsid w:val="00D75B32"/>
    <w:rsid w:val="00D772B2"/>
    <w:rsid w:val="00D80178"/>
    <w:rsid w:val="00D82064"/>
    <w:rsid w:val="00D83980"/>
    <w:rsid w:val="00D842AE"/>
    <w:rsid w:val="00D84393"/>
    <w:rsid w:val="00D84609"/>
    <w:rsid w:val="00D86652"/>
    <w:rsid w:val="00D86F44"/>
    <w:rsid w:val="00D9075A"/>
    <w:rsid w:val="00D90A7E"/>
    <w:rsid w:val="00D90D0D"/>
    <w:rsid w:val="00D912D0"/>
    <w:rsid w:val="00D91526"/>
    <w:rsid w:val="00D91C79"/>
    <w:rsid w:val="00D92D51"/>
    <w:rsid w:val="00D935E3"/>
    <w:rsid w:val="00D96B02"/>
    <w:rsid w:val="00DA0BCE"/>
    <w:rsid w:val="00DA0CA2"/>
    <w:rsid w:val="00DA1C5F"/>
    <w:rsid w:val="00DA64F1"/>
    <w:rsid w:val="00DA6C64"/>
    <w:rsid w:val="00DA7A4E"/>
    <w:rsid w:val="00DB15F4"/>
    <w:rsid w:val="00DB1945"/>
    <w:rsid w:val="00DB2B05"/>
    <w:rsid w:val="00DB3888"/>
    <w:rsid w:val="00DB3D74"/>
    <w:rsid w:val="00DB4102"/>
    <w:rsid w:val="00DB7C3B"/>
    <w:rsid w:val="00DC0709"/>
    <w:rsid w:val="00DC1B48"/>
    <w:rsid w:val="00DC2024"/>
    <w:rsid w:val="00DC3DDB"/>
    <w:rsid w:val="00DC59D1"/>
    <w:rsid w:val="00DC5E12"/>
    <w:rsid w:val="00DC626B"/>
    <w:rsid w:val="00DC6FF4"/>
    <w:rsid w:val="00DC747F"/>
    <w:rsid w:val="00DD18AF"/>
    <w:rsid w:val="00DD1D44"/>
    <w:rsid w:val="00DD4AA6"/>
    <w:rsid w:val="00DE0BFD"/>
    <w:rsid w:val="00DE26B2"/>
    <w:rsid w:val="00DE2794"/>
    <w:rsid w:val="00DE3A57"/>
    <w:rsid w:val="00DE4004"/>
    <w:rsid w:val="00DE4D4E"/>
    <w:rsid w:val="00DE7069"/>
    <w:rsid w:val="00DE763B"/>
    <w:rsid w:val="00DF1270"/>
    <w:rsid w:val="00DF1886"/>
    <w:rsid w:val="00DF3534"/>
    <w:rsid w:val="00DF7483"/>
    <w:rsid w:val="00DF7DC2"/>
    <w:rsid w:val="00E00F0F"/>
    <w:rsid w:val="00E01FD5"/>
    <w:rsid w:val="00E01FD7"/>
    <w:rsid w:val="00E0308C"/>
    <w:rsid w:val="00E030FE"/>
    <w:rsid w:val="00E06F37"/>
    <w:rsid w:val="00E1352D"/>
    <w:rsid w:val="00E13C51"/>
    <w:rsid w:val="00E16E4E"/>
    <w:rsid w:val="00E17945"/>
    <w:rsid w:val="00E20303"/>
    <w:rsid w:val="00E212C6"/>
    <w:rsid w:val="00E226A6"/>
    <w:rsid w:val="00E25129"/>
    <w:rsid w:val="00E2618F"/>
    <w:rsid w:val="00E27050"/>
    <w:rsid w:val="00E317B2"/>
    <w:rsid w:val="00E31C88"/>
    <w:rsid w:val="00E33401"/>
    <w:rsid w:val="00E352FA"/>
    <w:rsid w:val="00E3549E"/>
    <w:rsid w:val="00E37F96"/>
    <w:rsid w:val="00E410F9"/>
    <w:rsid w:val="00E41ABA"/>
    <w:rsid w:val="00E4400E"/>
    <w:rsid w:val="00E50967"/>
    <w:rsid w:val="00E510BC"/>
    <w:rsid w:val="00E60F8F"/>
    <w:rsid w:val="00E63D50"/>
    <w:rsid w:val="00E65678"/>
    <w:rsid w:val="00E70462"/>
    <w:rsid w:val="00E7100A"/>
    <w:rsid w:val="00E71A00"/>
    <w:rsid w:val="00E71DF0"/>
    <w:rsid w:val="00E76184"/>
    <w:rsid w:val="00E765EB"/>
    <w:rsid w:val="00E76C2C"/>
    <w:rsid w:val="00E76D6C"/>
    <w:rsid w:val="00E77BB2"/>
    <w:rsid w:val="00E77EFC"/>
    <w:rsid w:val="00E828BB"/>
    <w:rsid w:val="00E86F0D"/>
    <w:rsid w:val="00E87A43"/>
    <w:rsid w:val="00E90B8C"/>
    <w:rsid w:val="00E95FE8"/>
    <w:rsid w:val="00E971F5"/>
    <w:rsid w:val="00EA0A8F"/>
    <w:rsid w:val="00EA323C"/>
    <w:rsid w:val="00EA412C"/>
    <w:rsid w:val="00EA487D"/>
    <w:rsid w:val="00EA4C6C"/>
    <w:rsid w:val="00EA5249"/>
    <w:rsid w:val="00EA6BF4"/>
    <w:rsid w:val="00EB0318"/>
    <w:rsid w:val="00EB0CBE"/>
    <w:rsid w:val="00EB2596"/>
    <w:rsid w:val="00EB25B0"/>
    <w:rsid w:val="00EB3A4D"/>
    <w:rsid w:val="00EB5CED"/>
    <w:rsid w:val="00EC2720"/>
    <w:rsid w:val="00EC2A06"/>
    <w:rsid w:val="00EC6F48"/>
    <w:rsid w:val="00ED1382"/>
    <w:rsid w:val="00ED189D"/>
    <w:rsid w:val="00ED205E"/>
    <w:rsid w:val="00ED6D3F"/>
    <w:rsid w:val="00ED71C5"/>
    <w:rsid w:val="00EE1040"/>
    <w:rsid w:val="00EE2446"/>
    <w:rsid w:val="00EE32E9"/>
    <w:rsid w:val="00EE483A"/>
    <w:rsid w:val="00EE5CD1"/>
    <w:rsid w:val="00EE670B"/>
    <w:rsid w:val="00EE73A0"/>
    <w:rsid w:val="00EF255F"/>
    <w:rsid w:val="00EF7ECF"/>
    <w:rsid w:val="00F0034C"/>
    <w:rsid w:val="00F007B3"/>
    <w:rsid w:val="00F02A5C"/>
    <w:rsid w:val="00F035A6"/>
    <w:rsid w:val="00F05AD2"/>
    <w:rsid w:val="00F107C8"/>
    <w:rsid w:val="00F14CB1"/>
    <w:rsid w:val="00F16589"/>
    <w:rsid w:val="00F16ACE"/>
    <w:rsid w:val="00F17C04"/>
    <w:rsid w:val="00F205EC"/>
    <w:rsid w:val="00F20866"/>
    <w:rsid w:val="00F21FE5"/>
    <w:rsid w:val="00F24929"/>
    <w:rsid w:val="00F249C8"/>
    <w:rsid w:val="00F25436"/>
    <w:rsid w:val="00F26A26"/>
    <w:rsid w:val="00F26C6B"/>
    <w:rsid w:val="00F26F12"/>
    <w:rsid w:val="00F27017"/>
    <w:rsid w:val="00F31B2E"/>
    <w:rsid w:val="00F32F99"/>
    <w:rsid w:val="00F356E6"/>
    <w:rsid w:val="00F36ACE"/>
    <w:rsid w:val="00F36E1E"/>
    <w:rsid w:val="00F371DE"/>
    <w:rsid w:val="00F37434"/>
    <w:rsid w:val="00F41036"/>
    <w:rsid w:val="00F426CF"/>
    <w:rsid w:val="00F4311C"/>
    <w:rsid w:val="00F43265"/>
    <w:rsid w:val="00F5252F"/>
    <w:rsid w:val="00F53F38"/>
    <w:rsid w:val="00F55138"/>
    <w:rsid w:val="00F56D12"/>
    <w:rsid w:val="00F572F2"/>
    <w:rsid w:val="00F61244"/>
    <w:rsid w:val="00F61850"/>
    <w:rsid w:val="00F635C7"/>
    <w:rsid w:val="00F63CF5"/>
    <w:rsid w:val="00F647C5"/>
    <w:rsid w:val="00F71EB5"/>
    <w:rsid w:val="00F7232B"/>
    <w:rsid w:val="00F7444D"/>
    <w:rsid w:val="00F7556E"/>
    <w:rsid w:val="00F756F0"/>
    <w:rsid w:val="00F75CE8"/>
    <w:rsid w:val="00F7720F"/>
    <w:rsid w:val="00F81688"/>
    <w:rsid w:val="00F82B4E"/>
    <w:rsid w:val="00F832A1"/>
    <w:rsid w:val="00F83327"/>
    <w:rsid w:val="00F85A6C"/>
    <w:rsid w:val="00F867B4"/>
    <w:rsid w:val="00F91452"/>
    <w:rsid w:val="00F918AB"/>
    <w:rsid w:val="00F91C58"/>
    <w:rsid w:val="00F951C9"/>
    <w:rsid w:val="00F95F7E"/>
    <w:rsid w:val="00F96B37"/>
    <w:rsid w:val="00FA0B6B"/>
    <w:rsid w:val="00FA3A72"/>
    <w:rsid w:val="00FA3CEA"/>
    <w:rsid w:val="00FA5C1C"/>
    <w:rsid w:val="00FB04C4"/>
    <w:rsid w:val="00FB0B36"/>
    <w:rsid w:val="00FB1336"/>
    <w:rsid w:val="00FB1571"/>
    <w:rsid w:val="00FB2878"/>
    <w:rsid w:val="00FB3A4F"/>
    <w:rsid w:val="00FB3DE1"/>
    <w:rsid w:val="00FB40DF"/>
    <w:rsid w:val="00FB57BC"/>
    <w:rsid w:val="00FB5BA4"/>
    <w:rsid w:val="00FB7958"/>
    <w:rsid w:val="00FC20AD"/>
    <w:rsid w:val="00FD03D4"/>
    <w:rsid w:val="00FD060E"/>
    <w:rsid w:val="00FD1939"/>
    <w:rsid w:val="00FD4C9E"/>
    <w:rsid w:val="00FD50E6"/>
    <w:rsid w:val="00FD55AA"/>
    <w:rsid w:val="00FE2F2C"/>
    <w:rsid w:val="00FE38E9"/>
    <w:rsid w:val="00FE429F"/>
    <w:rsid w:val="00FE4693"/>
    <w:rsid w:val="00FE4815"/>
    <w:rsid w:val="00FE4E0F"/>
    <w:rsid w:val="00FF1988"/>
    <w:rsid w:val="00FF22E4"/>
    <w:rsid w:val="00FF3686"/>
    <w:rsid w:val="00FF45CE"/>
    <w:rsid w:val="00FF5B95"/>
    <w:rsid w:val="00FF60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1B5AB"/>
  <w15:chartTrackingRefBased/>
  <w15:docId w15:val="{D1D1E222-0DE9-42BC-9160-762F14E0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A1A"/>
    <w:rPr>
      <w:rFonts w:ascii="Segoe UI" w:hAnsi="Segoe UI" w:cs="Segoe UI"/>
      <w:sz w:val="18"/>
      <w:szCs w:val="18"/>
    </w:rPr>
  </w:style>
  <w:style w:type="paragraph" w:styleId="ListParagraph">
    <w:name w:val="List Paragraph"/>
    <w:basedOn w:val="Normal"/>
    <w:uiPriority w:val="34"/>
    <w:qFormat/>
    <w:rsid w:val="002C3A1A"/>
    <w:pPr>
      <w:ind w:left="720"/>
      <w:contextualSpacing/>
    </w:pPr>
  </w:style>
  <w:style w:type="table" w:styleId="TableGrid">
    <w:name w:val="Table Grid"/>
    <w:basedOn w:val="TableNormal"/>
    <w:uiPriority w:val="39"/>
    <w:rsid w:val="002C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C3A1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C3A1A"/>
    <w:rPr>
      <w:rFonts w:ascii="Calibri" w:hAnsi="Calibri" w:cs="Calibri"/>
      <w:noProof/>
      <w:lang w:val="en-US"/>
    </w:rPr>
  </w:style>
  <w:style w:type="paragraph" w:styleId="EndnoteText">
    <w:name w:val="endnote text"/>
    <w:basedOn w:val="Normal"/>
    <w:link w:val="EndnoteTextChar"/>
    <w:uiPriority w:val="99"/>
    <w:semiHidden/>
    <w:unhideWhenUsed/>
    <w:rsid w:val="002C3A1A"/>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2C3A1A"/>
    <w:rPr>
      <w:sz w:val="20"/>
      <w:szCs w:val="20"/>
      <w:lang w:val="en-GB"/>
    </w:rPr>
  </w:style>
  <w:style w:type="character" w:styleId="EndnoteReference">
    <w:name w:val="endnote reference"/>
    <w:basedOn w:val="DefaultParagraphFont"/>
    <w:uiPriority w:val="99"/>
    <w:semiHidden/>
    <w:unhideWhenUsed/>
    <w:rsid w:val="002C3A1A"/>
    <w:rPr>
      <w:vertAlign w:val="superscript"/>
    </w:rPr>
  </w:style>
  <w:style w:type="character" w:styleId="Hyperlink">
    <w:name w:val="Hyperlink"/>
    <w:basedOn w:val="DefaultParagraphFont"/>
    <w:uiPriority w:val="99"/>
    <w:unhideWhenUsed/>
    <w:rsid w:val="002C3A1A"/>
    <w:rPr>
      <w:color w:val="0563C1" w:themeColor="hyperlink"/>
      <w:u w:val="single"/>
    </w:rPr>
  </w:style>
  <w:style w:type="character" w:customStyle="1" w:styleId="UnresolvedMention1">
    <w:name w:val="Unresolved Mention1"/>
    <w:basedOn w:val="DefaultParagraphFont"/>
    <w:uiPriority w:val="99"/>
    <w:semiHidden/>
    <w:unhideWhenUsed/>
    <w:rsid w:val="002C3A1A"/>
    <w:rPr>
      <w:color w:val="605E5C"/>
      <w:shd w:val="clear" w:color="auto" w:fill="E1DFDD"/>
    </w:rPr>
  </w:style>
  <w:style w:type="character" w:styleId="CommentReference">
    <w:name w:val="annotation reference"/>
    <w:basedOn w:val="DefaultParagraphFont"/>
    <w:uiPriority w:val="99"/>
    <w:semiHidden/>
    <w:unhideWhenUsed/>
    <w:rsid w:val="002C3A1A"/>
    <w:rPr>
      <w:sz w:val="16"/>
      <w:szCs w:val="16"/>
    </w:rPr>
  </w:style>
  <w:style w:type="paragraph" w:styleId="CommentText">
    <w:name w:val="annotation text"/>
    <w:basedOn w:val="Normal"/>
    <w:link w:val="CommentTextChar"/>
    <w:uiPriority w:val="99"/>
    <w:unhideWhenUsed/>
    <w:rsid w:val="002C3A1A"/>
    <w:pPr>
      <w:spacing w:line="240" w:lineRule="auto"/>
    </w:pPr>
    <w:rPr>
      <w:sz w:val="20"/>
      <w:szCs w:val="20"/>
    </w:rPr>
  </w:style>
  <w:style w:type="character" w:customStyle="1" w:styleId="CommentTextChar">
    <w:name w:val="Comment Text Char"/>
    <w:basedOn w:val="DefaultParagraphFont"/>
    <w:link w:val="CommentText"/>
    <w:uiPriority w:val="99"/>
    <w:rsid w:val="002C3A1A"/>
    <w:rPr>
      <w:sz w:val="20"/>
      <w:szCs w:val="20"/>
    </w:rPr>
  </w:style>
  <w:style w:type="paragraph" w:styleId="CommentSubject">
    <w:name w:val="annotation subject"/>
    <w:basedOn w:val="CommentText"/>
    <w:next w:val="CommentText"/>
    <w:link w:val="CommentSubjectChar"/>
    <w:uiPriority w:val="99"/>
    <w:semiHidden/>
    <w:unhideWhenUsed/>
    <w:rsid w:val="002C3A1A"/>
    <w:rPr>
      <w:b/>
      <w:bCs/>
    </w:rPr>
  </w:style>
  <w:style w:type="character" w:customStyle="1" w:styleId="CommentSubjectChar">
    <w:name w:val="Comment Subject Char"/>
    <w:basedOn w:val="CommentTextChar"/>
    <w:link w:val="CommentSubject"/>
    <w:uiPriority w:val="99"/>
    <w:semiHidden/>
    <w:rsid w:val="002C3A1A"/>
    <w:rPr>
      <w:b/>
      <w:bCs/>
      <w:sz w:val="20"/>
      <w:szCs w:val="20"/>
    </w:rPr>
  </w:style>
  <w:style w:type="character" w:customStyle="1" w:styleId="hi">
    <w:name w:val="hi"/>
    <w:basedOn w:val="DefaultParagraphFont"/>
    <w:rsid w:val="00D91C79"/>
  </w:style>
  <w:style w:type="character" w:customStyle="1" w:styleId="contrib">
    <w:name w:val="contrib"/>
    <w:basedOn w:val="DefaultParagraphFont"/>
    <w:rsid w:val="00D91C79"/>
  </w:style>
  <w:style w:type="character" w:customStyle="1" w:styleId="aff-overlay">
    <w:name w:val="aff-overlay"/>
    <w:basedOn w:val="DefaultParagraphFont"/>
    <w:rsid w:val="00D91C79"/>
  </w:style>
  <w:style w:type="character" w:styleId="Emphasis">
    <w:name w:val="Emphasis"/>
    <w:basedOn w:val="DefaultParagraphFont"/>
    <w:uiPriority w:val="20"/>
    <w:qFormat/>
    <w:rsid w:val="00D91C79"/>
    <w:rPr>
      <w:i/>
      <w:iCs/>
    </w:rPr>
  </w:style>
  <w:style w:type="paragraph" w:styleId="NormalWeb">
    <w:name w:val="Normal (Web)"/>
    <w:basedOn w:val="Normal"/>
    <w:uiPriority w:val="99"/>
    <w:unhideWhenUsed/>
    <w:rsid w:val="0078344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8D2E2E"/>
    <w:rPr>
      <w:color w:val="954F72" w:themeColor="followedHyperlink"/>
      <w:u w:val="single"/>
    </w:rPr>
  </w:style>
  <w:style w:type="character" w:customStyle="1" w:styleId="highwire-citation-authors">
    <w:name w:val="highwire-citation-authors"/>
    <w:basedOn w:val="DefaultParagraphFont"/>
    <w:rsid w:val="00651C7F"/>
  </w:style>
  <w:style w:type="character" w:customStyle="1" w:styleId="highwire-citation-author">
    <w:name w:val="highwire-citation-author"/>
    <w:basedOn w:val="DefaultParagraphFont"/>
    <w:rsid w:val="00651C7F"/>
  </w:style>
  <w:style w:type="character" w:customStyle="1" w:styleId="nlm-surname">
    <w:name w:val="nlm-surname"/>
    <w:basedOn w:val="DefaultParagraphFont"/>
    <w:rsid w:val="00651C7F"/>
  </w:style>
  <w:style w:type="character" w:customStyle="1" w:styleId="apple-converted-space">
    <w:name w:val="apple-converted-space"/>
    <w:basedOn w:val="DefaultParagraphFont"/>
    <w:rsid w:val="00651C7F"/>
  </w:style>
  <w:style w:type="character" w:customStyle="1" w:styleId="highwire-cite-metadata-journal">
    <w:name w:val="highwire-cite-metadata-journal"/>
    <w:basedOn w:val="DefaultParagraphFont"/>
    <w:rsid w:val="00651C7F"/>
  </w:style>
  <w:style w:type="character" w:customStyle="1" w:styleId="highwire-cite-metadata-year">
    <w:name w:val="highwire-cite-metadata-year"/>
    <w:basedOn w:val="DefaultParagraphFont"/>
    <w:rsid w:val="00651C7F"/>
  </w:style>
  <w:style w:type="character" w:customStyle="1" w:styleId="highwire-cite-metadata-volume">
    <w:name w:val="highwire-cite-metadata-volume"/>
    <w:basedOn w:val="DefaultParagraphFont"/>
    <w:rsid w:val="00651C7F"/>
  </w:style>
  <w:style w:type="character" w:customStyle="1" w:styleId="highwire-cite-metadata-pages">
    <w:name w:val="highwire-cite-metadata-pages"/>
    <w:basedOn w:val="DefaultParagraphFont"/>
    <w:rsid w:val="00651C7F"/>
  </w:style>
  <w:style w:type="character" w:customStyle="1" w:styleId="cit-auth">
    <w:name w:val="cit-auth"/>
    <w:basedOn w:val="DefaultParagraphFont"/>
    <w:rsid w:val="00651C7F"/>
  </w:style>
  <w:style w:type="character" w:customStyle="1" w:styleId="cit-name-surname">
    <w:name w:val="cit-name-surname"/>
    <w:basedOn w:val="DefaultParagraphFont"/>
    <w:rsid w:val="00651C7F"/>
  </w:style>
  <w:style w:type="character" w:customStyle="1" w:styleId="cit-name-given-names">
    <w:name w:val="cit-name-given-names"/>
    <w:basedOn w:val="DefaultParagraphFont"/>
    <w:rsid w:val="00651C7F"/>
  </w:style>
  <w:style w:type="character" w:styleId="HTMLCite">
    <w:name w:val="HTML Cite"/>
    <w:basedOn w:val="DefaultParagraphFont"/>
    <w:uiPriority w:val="99"/>
    <w:semiHidden/>
    <w:unhideWhenUsed/>
    <w:rsid w:val="00651C7F"/>
    <w:rPr>
      <w:i/>
      <w:iCs/>
    </w:rPr>
  </w:style>
  <w:style w:type="character" w:customStyle="1" w:styleId="cit-article-title">
    <w:name w:val="cit-article-title"/>
    <w:basedOn w:val="DefaultParagraphFont"/>
    <w:rsid w:val="00651C7F"/>
  </w:style>
  <w:style w:type="character" w:customStyle="1" w:styleId="cit-pub-date">
    <w:name w:val="cit-pub-date"/>
    <w:basedOn w:val="DefaultParagraphFont"/>
    <w:rsid w:val="00651C7F"/>
  </w:style>
  <w:style w:type="character" w:customStyle="1" w:styleId="cit-vol">
    <w:name w:val="cit-vol"/>
    <w:basedOn w:val="DefaultParagraphFont"/>
    <w:rsid w:val="00651C7F"/>
  </w:style>
  <w:style w:type="character" w:customStyle="1" w:styleId="cit-fpage">
    <w:name w:val="cit-fpage"/>
    <w:basedOn w:val="DefaultParagraphFont"/>
    <w:rsid w:val="00651C7F"/>
  </w:style>
  <w:style w:type="character" w:customStyle="1" w:styleId="cit-lpage">
    <w:name w:val="cit-lpage"/>
    <w:basedOn w:val="DefaultParagraphFont"/>
    <w:rsid w:val="00651C7F"/>
  </w:style>
  <w:style w:type="character" w:customStyle="1" w:styleId="UnresolvedMention2">
    <w:name w:val="Unresolved Mention2"/>
    <w:basedOn w:val="DefaultParagraphFont"/>
    <w:uiPriority w:val="99"/>
    <w:semiHidden/>
    <w:unhideWhenUsed/>
    <w:rsid w:val="005C34BF"/>
    <w:rPr>
      <w:color w:val="605E5C"/>
      <w:shd w:val="clear" w:color="auto" w:fill="E1DFDD"/>
    </w:rPr>
  </w:style>
  <w:style w:type="paragraph" w:styleId="FootnoteText">
    <w:name w:val="footnote text"/>
    <w:basedOn w:val="Normal"/>
    <w:link w:val="FootnoteTextChar"/>
    <w:uiPriority w:val="99"/>
    <w:semiHidden/>
    <w:unhideWhenUsed/>
    <w:rsid w:val="00270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B20"/>
    <w:rPr>
      <w:sz w:val="20"/>
      <w:szCs w:val="20"/>
    </w:rPr>
  </w:style>
  <w:style w:type="character" w:styleId="FootnoteReference">
    <w:name w:val="footnote reference"/>
    <w:basedOn w:val="DefaultParagraphFont"/>
    <w:uiPriority w:val="99"/>
    <w:semiHidden/>
    <w:unhideWhenUsed/>
    <w:rsid w:val="00270B20"/>
    <w:rPr>
      <w:vertAlign w:val="superscript"/>
    </w:rPr>
  </w:style>
  <w:style w:type="paragraph" w:styleId="Revision">
    <w:name w:val="Revision"/>
    <w:hidden/>
    <w:uiPriority w:val="99"/>
    <w:semiHidden/>
    <w:rsid w:val="00C04483"/>
    <w:pPr>
      <w:spacing w:after="0" w:line="240" w:lineRule="auto"/>
    </w:pPr>
  </w:style>
  <w:style w:type="paragraph" w:customStyle="1" w:styleId="EndNoteBibliographyTitle">
    <w:name w:val="EndNote Bibliography Title"/>
    <w:basedOn w:val="Normal"/>
    <w:link w:val="EndNoteBibliographyTitleChar"/>
    <w:rsid w:val="00D02AA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02AA0"/>
    <w:rPr>
      <w:rFonts w:ascii="Calibri" w:hAnsi="Calibri" w:cs="Calibri"/>
      <w:noProof/>
      <w:lang w:val="en-US"/>
    </w:rPr>
  </w:style>
  <w:style w:type="paragraph" w:styleId="Footer">
    <w:name w:val="footer"/>
    <w:basedOn w:val="Normal"/>
    <w:link w:val="FooterChar"/>
    <w:uiPriority w:val="99"/>
    <w:unhideWhenUsed/>
    <w:rsid w:val="007E3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839"/>
  </w:style>
  <w:style w:type="character" w:styleId="PageNumber">
    <w:name w:val="page number"/>
    <w:basedOn w:val="DefaultParagraphFont"/>
    <w:uiPriority w:val="99"/>
    <w:semiHidden/>
    <w:unhideWhenUsed/>
    <w:rsid w:val="007E3839"/>
  </w:style>
  <w:style w:type="paragraph" w:styleId="Header">
    <w:name w:val="header"/>
    <w:basedOn w:val="Normal"/>
    <w:link w:val="HeaderChar"/>
    <w:uiPriority w:val="99"/>
    <w:unhideWhenUsed/>
    <w:rsid w:val="00FA0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B6B"/>
  </w:style>
  <w:style w:type="character" w:styleId="UnresolvedMention">
    <w:name w:val="Unresolved Mention"/>
    <w:basedOn w:val="DefaultParagraphFont"/>
    <w:uiPriority w:val="99"/>
    <w:semiHidden/>
    <w:unhideWhenUsed/>
    <w:rsid w:val="001137D1"/>
    <w:rPr>
      <w:color w:val="605E5C"/>
      <w:shd w:val="clear" w:color="auto" w:fill="E1DFDD"/>
    </w:rPr>
  </w:style>
  <w:style w:type="character" w:styleId="LineNumber">
    <w:name w:val="line number"/>
    <w:basedOn w:val="DefaultParagraphFont"/>
    <w:uiPriority w:val="99"/>
    <w:semiHidden/>
    <w:unhideWhenUsed/>
    <w:rsid w:val="0000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4280">
      <w:bodyDiv w:val="1"/>
      <w:marLeft w:val="0"/>
      <w:marRight w:val="0"/>
      <w:marTop w:val="0"/>
      <w:marBottom w:val="0"/>
      <w:divBdr>
        <w:top w:val="none" w:sz="0" w:space="0" w:color="auto"/>
        <w:left w:val="none" w:sz="0" w:space="0" w:color="auto"/>
        <w:bottom w:val="none" w:sz="0" w:space="0" w:color="auto"/>
        <w:right w:val="none" w:sz="0" w:space="0" w:color="auto"/>
      </w:divBdr>
    </w:div>
    <w:div w:id="281690382">
      <w:bodyDiv w:val="1"/>
      <w:marLeft w:val="0"/>
      <w:marRight w:val="0"/>
      <w:marTop w:val="0"/>
      <w:marBottom w:val="0"/>
      <w:divBdr>
        <w:top w:val="none" w:sz="0" w:space="0" w:color="auto"/>
        <w:left w:val="none" w:sz="0" w:space="0" w:color="auto"/>
        <w:bottom w:val="none" w:sz="0" w:space="0" w:color="auto"/>
        <w:right w:val="none" w:sz="0" w:space="0" w:color="auto"/>
      </w:divBdr>
    </w:div>
    <w:div w:id="337003010">
      <w:bodyDiv w:val="1"/>
      <w:marLeft w:val="0"/>
      <w:marRight w:val="0"/>
      <w:marTop w:val="0"/>
      <w:marBottom w:val="0"/>
      <w:divBdr>
        <w:top w:val="none" w:sz="0" w:space="0" w:color="auto"/>
        <w:left w:val="none" w:sz="0" w:space="0" w:color="auto"/>
        <w:bottom w:val="none" w:sz="0" w:space="0" w:color="auto"/>
        <w:right w:val="none" w:sz="0" w:space="0" w:color="auto"/>
      </w:divBdr>
    </w:div>
    <w:div w:id="493225442">
      <w:bodyDiv w:val="1"/>
      <w:marLeft w:val="0"/>
      <w:marRight w:val="0"/>
      <w:marTop w:val="0"/>
      <w:marBottom w:val="0"/>
      <w:divBdr>
        <w:top w:val="none" w:sz="0" w:space="0" w:color="auto"/>
        <w:left w:val="none" w:sz="0" w:space="0" w:color="auto"/>
        <w:bottom w:val="none" w:sz="0" w:space="0" w:color="auto"/>
        <w:right w:val="none" w:sz="0" w:space="0" w:color="auto"/>
      </w:divBdr>
    </w:div>
    <w:div w:id="548537741">
      <w:bodyDiv w:val="1"/>
      <w:marLeft w:val="0"/>
      <w:marRight w:val="0"/>
      <w:marTop w:val="0"/>
      <w:marBottom w:val="0"/>
      <w:divBdr>
        <w:top w:val="none" w:sz="0" w:space="0" w:color="auto"/>
        <w:left w:val="none" w:sz="0" w:space="0" w:color="auto"/>
        <w:bottom w:val="none" w:sz="0" w:space="0" w:color="auto"/>
        <w:right w:val="none" w:sz="0" w:space="0" w:color="auto"/>
      </w:divBdr>
      <w:divsChild>
        <w:div w:id="945312581">
          <w:marLeft w:val="0"/>
          <w:marRight w:val="0"/>
          <w:marTop w:val="0"/>
          <w:marBottom w:val="0"/>
          <w:divBdr>
            <w:top w:val="none" w:sz="0" w:space="0" w:color="auto"/>
            <w:left w:val="none" w:sz="0" w:space="0" w:color="auto"/>
            <w:bottom w:val="none" w:sz="0" w:space="0" w:color="auto"/>
            <w:right w:val="none" w:sz="0" w:space="0" w:color="auto"/>
          </w:divBdr>
          <w:divsChild>
            <w:div w:id="999649546">
              <w:marLeft w:val="0"/>
              <w:marRight w:val="0"/>
              <w:marTop w:val="0"/>
              <w:marBottom w:val="0"/>
              <w:divBdr>
                <w:top w:val="none" w:sz="0" w:space="0" w:color="auto"/>
                <w:left w:val="none" w:sz="0" w:space="0" w:color="auto"/>
                <w:bottom w:val="none" w:sz="0" w:space="0" w:color="auto"/>
                <w:right w:val="none" w:sz="0" w:space="0" w:color="auto"/>
              </w:divBdr>
              <w:divsChild>
                <w:div w:id="397438271">
                  <w:marLeft w:val="0"/>
                  <w:marRight w:val="0"/>
                  <w:marTop w:val="0"/>
                  <w:marBottom w:val="0"/>
                  <w:divBdr>
                    <w:top w:val="none" w:sz="0" w:space="0" w:color="auto"/>
                    <w:left w:val="none" w:sz="0" w:space="0" w:color="auto"/>
                    <w:bottom w:val="none" w:sz="0" w:space="0" w:color="auto"/>
                    <w:right w:val="none" w:sz="0" w:space="0" w:color="auto"/>
                  </w:divBdr>
                </w:div>
                <w:div w:id="639656955">
                  <w:marLeft w:val="0"/>
                  <w:marRight w:val="0"/>
                  <w:marTop w:val="0"/>
                  <w:marBottom w:val="0"/>
                  <w:divBdr>
                    <w:top w:val="none" w:sz="0" w:space="0" w:color="auto"/>
                    <w:left w:val="none" w:sz="0" w:space="0" w:color="auto"/>
                    <w:bottom w:val="none" w:sz="0" w:space="0" w:color="auto"/>
                    <w:right w:val="none" w:sz="0" w:space="0" w:color="auto"/>
                  </w:divBdr>
                </w:div>
                <w:div w:id="12152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7918">
      <w:bodyDiv w:val="1"/>
      <w:marLeft w:val="0"/>
      <w:marRight w:val="0"/>
      <w:marTop w:val="0"/>
      <w:marBottom w:val="0"/>
      <w:divBdr>
        <w:top w:val="none" w:sz="0" w:space="0" w:color="auto"/>
        <w:left w:val="none" w:sz="0" w:space="0" w:color="auto"/>
        <w:bottom w:val="none" w:sz="0" w:space="0" w:color="auto"/>
        <w:right w:val="none" w:sz="0" w:space="0" w:color="auto"/>
      </w:divBdr>
    </w:div>
    <w:div w:id="604852390">
      <w:bodyDiv w:val="1"/>
      <w:marLeft w:val="0"/>
      <w:marRight w:val="0"/>
      <w:marTop w:val="0"/>
      <w:marBottom w:val="0"/>
      <w:divBdr>
        <w:top w:val="none" w:sz="0" w:space="0" w:color="auto"/>
        <w:left w:val="none" w:sz="0" w:space="0" w:color="auto"/>
        <w:bottom w:val="none" w:sz="0" w:space="0" w:color="auto"/>
        <w:right w:val="none" w:sz="0" w:space="0" w:color="auto"/>
      </w:divBdr>
      <w:divsChild>
        <w:div w:id="1979215911">
          <w:marLeft w:val="0"/>
          <w:marRight w:val="0"/>
          <w:marTop w:val="0"/>
          <w:marBottom w:val="0"/>
          <w:divBdr>
            <w:top w:val="none" w:sz="0" w:space="0" w:color="auto"/>
            <w:left w:val="none" w:sz="0" w:space="0" w:color="auto"/>
            <w:bottom w:val="none" w:sz="0" w:space="0" w:color="auto"/>
            <w:right w:val="none" w:sz="0" w:space="0" w:color="auto"/>
          </w:divBdr>
          <w:divsChild>
            <w:div w:id="1198663102">
              <w:marLeft w:val="0"/>
              <w:marRight w:val="0"/>
              <w:marTop w:val="0"/>
              <w:marBottom w:val="0"/>
              <w:divBdr>
                <w:top w:val="none" w:sz="0" w:space="0" w:color="auto"/>
                <w:left w:val="none" w:sz="0" w:space="0" w:color="auto"/>
                <w:bottom w:val="none" w:sz="0" w:space="0" w:color="auto"/>
                <w:right w:val="none" w:sz="0" w:space="0" w:color="auto"/>
              </w:divBdr>
              <w:divsChild>
                <w:div w:id="915894844">
                  <w:marLeft w:val="0"/>
                  <w:marRight w:val="0"/>
                  <w:marTop w:val="0"/>
                  <w:marBottom w:val="0"/>
                  <w:divBdr>
                    <w:top w:val="none" w:sz="0" w:space="0" w:color="auto"/>
                    <w:left w:val="none" w:sz="0" w:space="0" w:color="auto"/>
                    <w:bottom w:val="none" w:sz="0" w:space="0" w:color="auto"/>
                    <w:right w:val="none" w:sz="0" w:space="0" w:color="auto"/>
                  </w:divBdr>
                </w:div>
                <w:div w:id="173569955">
                  <w:marLeft w:val="0"/>
                  <w:marRight w:val="0"/>
                  <w:marTop w:val="0"/>
                  <w:marBottom w:val="0"/>
                  <w:divBdr>
                    <w:top w:val="none" w:sz="0" w:space="0" w:color="auto"/>
                    <w:left w:val="none" w:sz="0" w:space="0" w:color="auto"/>
                    <w:bottom w:val="none" w:sz="0" w:space="0" w:color="auto"/>
                    <w:right w:val="none" w:sz="0" w:space="0" w:color="auto"/>
                  </w:divBdr>
                </w:div>
                <w:div w:id="1177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5335">
      <w:bodyDiv w:val="1"/>
      <w:marLeft w:val="0"/>
      <w:marRight w:val="0"/>
      <w:marTop w:val="0"/>
      <w:marBottom w:val="0"/>
      <w:divBdr>
        <w:top w:val="none" w:sz="0" w:space="0" w:color="auto"/>
        <w:left w:val="none" w:sz="0" w:space="0" w:color="auto"/>
        <w:bottom w:val="none" w:sz="0" w:space="0" w:color="auto"/>
        <w:right w:val="none" w:sz="0" w:space="0" w:color="auto"/>
      </w:divBdr>
    </w:div>
    <w:div w:id="724724125">
      <w:bodyDiv w:val="1"/>
      <w:marLeft w:val="0"/>
      <w:marRight w:val="0"/>
      <w:marTop w:val="0"/>
      <w:marBottom w:val="0"/>
      <w:divBdr>
        <w:top w:val="none" w:sz="0" w:space="0" w:color="auto"/>
        <w:left w:val="none" w:sz="0" w:space="0" w:color="auto"/>
        <w:bottom w:val="none" w:sz="0" w:space="0" w:color="auto"/>
        <w:right w:val="none" w:sz="0" w:space="0" w:color="auto"/>
      </w:divBdr>
    </w:div>
    <w:div w:id="796800680">
      <w:bodyDiv w:val="1"/>
      <w:marLeft w:val="0"/>
      <w:marRight w:val="0"/>
      <w:marTop w:val="0"/>
      <w:marBottom w:val="0"/>
      <w:divBdr>
        <w:top w:val="none" w:sz="0" w:space="0" w:color="auto"/>
        <w:left w:val="none" w:sz="0" w:space="0" w:color="auto"/>
        <w:bottom w:val="none" w:sz="0" w:space="0" w:color="auto"/>
        <w:right w:val="none" w:sz="0" w:space="0" w:color="auto"/>
      </w:divBdr>
    </w:div>
    <w:div w:id="822425633">
      <w:bodyDiv w:val="1"/>
      <w:marLeft w:val="0"/>
      <w:marRight w:val="0"/>
      <w:marTop w:val="0"/>
      <w:marBottom w:val="0"/>
      <w:divBdr>
        <w:top w:val="none" w:sz="0" w:space="0" w:color="auto"/>
        <w:left w:val="none" w:sz="0" w:space="0" w:color="auto"/>
        <w:bottom w:val="none" w:sz="0" w:space="0" w:color="auto"/>
        <w:right w:val="none" w:sz="0" w:space="0" w:color="auto"/>
      </w:divBdr>
    </w:div>
    <w:div w:id="941111198">
      <w:bodyDiv w:val="1"/>
      <w:marLeft w:val="0"/>
      <w:marRight w:val="0"/>
      <w:marTop w:val="0"/>
      <w:marBottom w:val="0"/>
      <w:divBdr>
        <w:top w:val="none" w:sz="0" w:space="0" w:color="auto"/>
        <w:left w:val="none" w:sz="0" w:space="0" w:color="auto"/>
        <w:bottom w:val="none" w:sz="0" w:space="0" w:color="auto"/>
        <w:right w:val="none" w:sz="0" w:space="0" w:color="auto"/>
      </w:divBdr>
      <w:divsChild>
        <w:div w:id="1038892917">
          <w:marLeft w:val="0"/>
          <w:marRight w:val="0"/>
          <w:marTop w:val="0"/>
          <w:marBottom w:val="0"/>
          <w:divBdr>
            <w:top w:val="none" w:sz="0" w:space="0" w:color="auto"/>
            <w:left w:val="none" w:sz="0" w:space="0" w:color="auto"/>
            <w:bottom w:val="none" w:sz="0" w:space="0" w:color="auto"/>
            <w:right w:val="none" w:sz="0" w:space="0" w:color="auto"/>
          </w:divBdr>
        </w:div>
        <w:div w:id="2125224364">
          <w:marLeft w:val="0"/>
          <w:marRight w:val="0"/>
          <w:marTop w:val="0"/>
          <w:marBottom w:val="0"/>
          <w:divBdr>
            <w:top w:val="none" w:sz="0" w:space="0" w:color="auto"/>
            <w:left w:val="none" w:sz="0" w:space="0" w:color="auto"/>
            <w:bottom w:val="none" w:sz="0" w:space="0" w:color="auto"/>
            <w:right w:val="none" w:sz="0" w:space="0" w:color="auto"/>
          </w:divBdr>
        </w:div>
      </w:divsChild>
    </w:div>
    <w:div w:id="942802693">
      <w:bodyDiv w:val="1"/>
      <w:marLeft w:val="0"/>
      <w:marRight w:val="0"/>
      <w:marTop w:val="0"/>
      <w:marBottom w:val="0"/>
      <w:divBdr>
        <w:top w:val="none" w:sz="0" w:space="0" w:color="auto"/>
        <w:left w:val="none" w:sz="0" w:space="0" w:color="auto"/>
        <w:bottom w:val="none" w:sz="0" w:space="0" w:color="auto"/>
        <w:right w:val="none" w:sz="0" w:space="0" w:color="auto"/>
      </w:divBdr>
      <w:divsChild>
        <w:div w:id="2015036541">
          <w:marLeft w:val="0"/>
          <w:marRight w:val="0"/>
          <w:marTop w:val="0"/>
          <w:marBottom w:val="0"/>
          <w:divBdr>
            <w:top w:val="none" w:sz="0" w:space="0" w:color="auto"/>
            <w:left w:val="none" w:sz="0" w:space="0" w:color="auto"/>
            <w:bottom w:val="none" w:sz="0" w:space="0" w:color="auto"/>
            <w:right w:val="none" w:sz="0" w:space="0" w:color="auto"/>
          </w:divBdr>
          <w:divsChild>
            <w:div w:id="699860365">
              <w:marLeft w:val="0"/>
              <w:marRight w:val="0"/>
              <w:marTop w:val="0"/>
              <w:marBottom w:val="0"/>
              <w:divBdr>
                <w:top w:val="none" w:sz="0" w:space="0" w:color="auto"/>
                <w:left w:val="none" w:sz="0" w:space="0" w:color="auto"/>
                <w:bottom w:val="none" w:sz="0" w:space="0" w:color="auto"/>
                <w:right w:val="none" w:sz="0" w:space="0" w:color="auto"/>
              </w:divBdr>
              <w:divsChild>
                <w:div w:id="15943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2501">
      <w:bodyDiv w:val="1"/>
      <w:marLeft w:val="0"/>
      <w:marRight w:val="0"/>
      <w:marTop w:val="0"/>
      <w:marBottom w:val="0"/>
      <w:divBdr>
        <w:top w:val="none" w:sz="0" w:space="0" w:color="auto"/>
        <w:left w:val="none" w:sz="0" w:space="0" w:color="auto"/>
        <w:bottom w:val="none" w:sz="0" w:space="0" w:color="auto"/>
        <w:right w:val="none" w:sz="0" w:space="0" w:color="auto"/>
      </w:divBdr>
    </w:div>
    <w:div w:id="1126772602">
      <w:bodyDiv w:val="1"/>
      <w:marLeft w:val="0"/>
      <w:marRight w:val="0"/>
      <w:marTop w:val="0"/>
      <w:marBottom w:val="0"/>
      <w:divBdr>
        <w:top w:val="none" w:sz="0" w:space="0" w:color="auto"/>
        <w:left w:val="none" w:sz="0" w:space="0" w:color="auto"/>
        <w:bottom w:val="none" w:sz="0" w:space="0" w:color="auto"/>
        <w:right w:val="none" w:sz="0" w:space="0" w:color="auto"/>
      </w:divBdr>
    </w:div>
    <w:div w:id="1142118117">
      <w:bodyDiv w:val="1"/>
      <w:marLeft w:val="0"/>
      <w:marRight w:val="0"/>
      <w:marTop w:val="0"/>
      <w:marBottom w:val="0"/>
      <w:divBdr>
        <w:top w:val="none" w:sz="0" w:space="0" w:color="auto"/>
        <w:left w:val="none" w:sz="0" w:space="0" w:color="auto"/>
        <w:bottom w:val="none" w:sz="0" w:space="0" w:color="auto"/>
        <w:right w:val="none" w:sz="0" w:space="0" w:color="auto"/>
      </w:divBdr>
    </w:div>
    <w:div w:id="1142892191">
      <w:bodyDiv w:val="1"/>
      <w:marLeft w:val="0"/>
      <w:marRight w:val="0"/>
      <w:marTop w:val="0"/>
      <w:marBottom w:val="0"/>
      <w:divBdr>
        <w:top w:val="none" w:sz="0" w:space="0" w:color="auto"/>
        <w:left w:val="none" w:sz="0" w:space="0" w:color="auto"/>
        <w:bottom w:val="none" w:sz="0" w:space="0" w:color="auto"/>
        <w:right w:val="none" w:sz="0" w:space="0" w:color="auto"/>
      </w:divBdr>
    </w:div>
    <w:div w:id="1170022844">
      <w:bodyDiv w:val="1"/>
      <w:marLeft w:val="0"/>
      <w:marRight w:val="0"/>
      <w:marTop w:val="0"/>
      <w:marBottom w:val="0"/>
      <w:divBdr>
        <w:top w:val="none" w:sz="0" w:space="0" w:color="auto"/>
        <w:left w:val="none" w:sz="0" w:space="0" w:color="auto"/>
        <w:bottom w:val="none" w:sz="0" w:space="0" w:color="auto"/>
        <w:right w:val="none" w:sz="0" w:space="0" w:color="auto"/>
      </w:divBdr>
    </w:div>
    <w:div w:id="1199855845">
      <w:bodyDiv w:val="1"/>
      <w:marLeft w:val="0"/>
      <w:marRight w:val="0"/>
      <w:marTop w:val="0"/>
      <w:marBottom w:val="0"/>
      <w:divBdr>
        <w:top w:val="none" w:sz="0" w:space="0" w:color="auto"/>
        <w:left w:val="none" w:sz="0" w:space="0" w:color="auto"/>
        <w:bottom w:val="none" w:sz="0" w:space="0" w:color="auto"/>
        <w:right w:val="none" w:sz="0" w:space="0" w:color="auto"/>
      </w:divBdr>
    </w:div>
    <w:div w:id="1217469734">
      <w:bodyDiv w:val="1"/>
      <w:marLeft w:val="0"/>
      <w:marRight w:val="0"/>
      <w:marTop w:val="0"/>
      <w:marBottom w:val="0"/>
      <w:divBdr>
        <w:top w:val="none" w:sz="0" w:space="0" w:color="auto"/>
        <w:left w:val="none" w:sz="0" w:space="0" w:color="auto"/>
        <w:bottom w:val="none" w:sz="0" w:space="0" w:color="auto"/>
        <w:right w:val="none" w:sz="0" w:space="0" w:color="auto"/>
      </w:divBdr>
    </w:div>
    <w:div w:id="1406103094">
      <w:bodyDiv w:val="1"/>
      <w:marLeft w:val="0"/>
      <w:marRight w:val="0"/>
      <w:marTop w:val="0"/>
      <w:marBottom w:val="0"/>
      <w:divBdr>
        <w:top w:val="none" w:sz="0" w:space="0" w:color="auto"/>
        <w:left w:val="none" w:sz="0" w:space="0" w:color="auto"/>
        <w:bottom w:val="none" w:sz="0" w:space="0" w:color="auto"/>
        <w:right w:val="none" w:sz="0" w:space="0" w:color="auto"/>
      </w:divBdr>
    </w:div>
    <w:div w:id="1574703540">
      <w:bodyDiv w:val="1"/>
      <w:marLeft w:val="0"/>
      <w:marRight w:val="0"/>
      <w:marTop w:val="0"/>
      <w:marBottom w:val="0"/>
      <w:divBdr>
        <w:top w:val="none" w:sz="0" w:space="0" w:color="auto"/>
        <w:left w:val="none" w:sz="0" w:space="0" w:color="auto"/>
        <w:bottom w:val="none" w:sz="0" w:space="0" w:color="auto"/>
        <w:right w:val="none" w:sz="0" w:space="0" w:color="auto"/>
      </w:divBdr>
    </w:div>
    <w:div w:id="1940329787">
      <w:bodyDiv w:val="1"/>
      <w:marLeft w:val="0"/>
      <w:marRight w:val="0"/>
      <w:marTop w:val="0"/>
      <w:marBottom w:val="0"/>
      <w:divBdr>
        <w:top w:val="none" w:sz="0" w:space="0" w:color="auto"/>
        <w:left w:val="none" w:sz="0" w:space="0" w:color="auto"/>
        <w:bottom w:val="none" w:sz="0" w:space="0" w:color="auto"/>
        <w:right w:val="none" w:sz="0" w:space="0" w:color="auto"/>
      </w:divBdr>
      <w:divsChild>
        <w:div w:id="1789471373">
          <w:marLeft w:val="0"/>
          <w:marRight w:val="0"/>
          <w:marTop w:val="0"/>
          <w:marBottom w:val="0"/>
          <w:divBdr>
            <w:top w:val="none" w:sz="0" w:space="0" w:color="auto"/>
            <w:left w:val="none" w:sz="0" w:space="0" w:color="auto"/>
            <w:bottom w:val="none" w:sz="0" w:space="0" w:color="auto"/>
            <w:right w:val="none" w:sz="0" w:space="0" w:color="auto"/>
          </w:divBdr>
          <w:divsChild>
            <w:div w:id="348337909">
              <w:marLeft w:val="0"/>
              <w:marRight w:val="0"/>
              <w:marTop w:val="0"/>
              <w:marBottom w:val="0"/>
              <w:divBdr>
                <w:top w:val="none" w:sz="0" w:space="0" w:color="auto"/>
                <w:left w:val="none" w:sz="0" w:space="0" w:color="auto"/>
                <w:bottom w:val="none" w:sz="0" w:space="0" w:color="auto"/>
                <w:right w:val="none" w:sz="0" w:space="0" w:color="auto"/>
              </w:divBdr>
              <w:divsChild>
                <w:div w:id="368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4402">
      <w:bodyDiv w:val="1"/>
      <w:marLeft w:val="0"/>
      <w:marRight w:val="0"/>
      <w:marTop w:val="0"/>
      <w:marBottom w:val="0"/>
      <w:divBdr>
        <w:top w:val="none" w:sz="0" w:space="0" w:color="auto"/>
        <w:left w:val="none" w:sz="0" w:space="0" w:color="auto"/>
        <w:bottom w:val="none" w:sz="0" w:space="0" w:color="auto"/>
        <w:right w:val="none" w:sz="0" w:space="0" w:color="auto"/>
      </w:divBdr>
    </w:div>
    <w:div w:id="205870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ingertips.phe.org.uk/profile/national-child-measurement-programme" TargetMode="External"/><Relationship Id="rId18" Type="http://schemas.openxmlformats.org/officeDocument/2006/relationships/hyperlink" Target="https://doi.org/10.1016/S2213-8587(14)7012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nhs.uk/services/national-child-measurement-programme/" TargetMode="External"/><Relationship Id="rId17" Type="http://schemas.openxmlformats.org/officeDocument/2006/relationships/hyperlink" Target="https://doi.org/10.1111/j.1651-2227.2006.tb02376.x" TargetMode="External"/><Relationship Id="rId2" Type="http://schemas.openxmlformats.org/officeDocument/2006/relationships/numbering" Target="numbering.xml"/><Relationship Id="rId16" Type="http://schemas.openxmlformats.org/officeDocument/2006/relationships/hyperlink" Target="https://data.worldbank.org/indicator/SH.STA.STNT.Z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portal.statistics.gov.uk/datasets/local-authority-districts-december-2017-full-clipped-boundaries-in-great-britain/explore?location=55.450000%2C-2.950000%2C5.64&amp;showTable=true" TargetMode="External"/><Relationship Id="rId5" Type="http://schemas.openxmlformats.org/officeDocument/2006/relationships/webSettings" Target="webSettings.xml"/><Relationship Id="rId15" Type="http://schemas.openxmlformats.org/officeDocument/2006/relationships/hyperlink" Target="https://doi.org/10.1111/j.1442-200X.1987.tb00015.x" TargetMode="External"/><Relationship Id="rId10" Type="http://schemas.openxmlformats.org/officeDocument/2006/relationships/hyperlink" Target="https://geoportal.statistics.gov.uk/datasets/local-authority-districts-december-2017-full-clipped-boundaries-in-great-britain/explore?location=55.450000%2C-2.950000%2C5.64&amp;showTable=tru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demat.free.fr/iurc/demattei/satscan.7.0/SaTScan_Users_Guid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A4D7-4C0A-427F-AA42-030E5154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12146</Words>
  <Characters>69238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Joanna Orr</cp:lastModifiedBy>
  <cp:revision>3</cp:revision>
  <cp:lastPrinted>2021-04-01T15:37:00Z</cp:lastPrinted>
  <dcterms:created xsi:type="dcterms:W3CDTF">2021-08-02T10:57:00Z</dcterms:created>
  <dcterms:modified xsi:type="dcterms:W3CDTF">2021-08-02T11:00:00Z</dcterms:modified>
</cp:coreProperties>
</file>