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6A89" w:rsidR="00F66A89" w:rsidP="4509802A" w:rsidRDefault="00F66A89" w14:paraId="3BC9E9AC" w14:textId="326A8883">
      <w:pPr>
        <w:rPr>
          <w:rFonts w:ascii="Calibri" w:hAnsi="Calibri" w:cs="Calibri"/>
          <w:b/>
          <w:bCs/>
          <w:color w:val="000000"/>
          <w:shd w:val="clear" w:color="auto" w:fill="FFFFFF"/>
        </w:rPr>
      </w:pPr>
      <w:r w:rsidRPr="4509802A">
        <w:rPr>
          <w:rFonts w:ascii="Calibri" w:hAnsi="Calibri" w:cs="Calibri"/>
          <w:b/>
          <w:bCs/>
          <w:color w:val="000000"/>
          <w:shd w:val="clear" w:color="auto" w:fill="FFFFFF"/>
        </w:rPr>
        <w:t xml:space="preserve">Excess all-cause mortality and COVID-19 related mortality: a temporal analysis in 22 countries, </w:t>
      </w:r>
      <w:r w:rsidRPr="4509802A" w:rsidR="1DAF2DDC">
        <w:rPr>
          <w:rFonts w:ascii="Calibri" w:hAnsi="Calibri" w:cs="Calibri"/>
          <w:b/>
          <w:bCs/>
          <w:color w:val="000000"/>
          <w:shd w:val="clear" w:color="auto" w:fill="FFFFFF"/>
        </w:rPr>
        <w:t xml:space="preserve">from January </w:t>
      </w:r>
      <w:r w:rsidRPr="4509802A">
        <w:rPr>
          <w:rFonts w:ascii="Calibri" w:hAnsi="Calibri" w:cs="Calibri"/>
          <w:b/>
          <w:bCs/>
          <w:color w:val="000000"/>
          <w:shd w:val="clear" w:color="auto" w:fill="FFFFFF"/>
        </w:rPr>
        <w:t>until August 2020</w:t>
      </w:r>
    </w:p>
    <w:p w:rsidRPr="00E90099" w:rsidR="00EE3C0B" w:rsidP="00A66DD6" w:rsidRDefault="00EE3C0B" w14:paraId="4EF56185" w14:textId="0B9705E5">
      <w:pPr>
        <w:rPr>
          <w:lang w:val="en-US"/>
        </w:rPr>
      </w:pPr>
      <w:r w:rsidRPr="00E90099">
        <w:rPr>
          <w:b/>
          <w:lang w:val="en-US"/>
        </w:rPr>
        <w:t xml:space="preserve">Running title: </w:t>
      </w:r>
      <w:r w:rsidRPr="00E90099">
        <w:rPr>
          <w:lang w:val="en-US"/>
        </w:rPr>
        <w:t>Excess all-cause mortality during the COVID-19 pandemic</w:t>
      </w:r>
    </w:p>
    <w:p w:rsidRPr="00E90099" w:rsidR="0041438C" w:rsidP="0041438C" w:rsidRDefault="0041438C" w14:paraId="3573498A" w14:textId="77777777">
      <w:pPr>
        <w:rPr>
          <w:b/>
          <w:lang w:val="en-US"/>
        </w:rPr>
      </w:pPr>
      <w:r w:rsidRPr="00E90099">
        <w:rPr>
          <w:b/>
          <w:lang w:val="en-US"/>
        </w:rPr>
        <w:t>Authors</w:t>
      </w:r>
    </w:p>
    <w:p w:rsidRPr="00E90099" w:rsidR="0041438C" w:rsidP="626203BE" w:rsidRDefault="002D5C01" w14:paraId="22D90C3A" w14:textId="45D69FEA">
      <w:pPr>
        <w:pStyle w:val="ListParagraph"/>
        <w:numPr>
          <w:ilvl w:val="0"/>
          <w:numId w:val="7"/>
        </w:numPr>
        <w:spacing w:before="60" w:after="0" w:line="276" w:lineRule="auto"/>
        <w:rPr>
          <w:rFonts w:eastAsia="Times New Roman"/>
        </w:rPr>
      </w:pPr>
      <w:r>
        <w:rPr>
          <w:rFonts w:eastAsia="Times New Roman"/>
        </w:rPr>
        <w:t>Achilleos, Souzana</w:t>
      </w:r>
      <w:r w:rsidRPr="000709EF" w:rsidR="000709EF">
        <w:rPr>
          <w:rFonts w:eastAsia="Times New Roman" w:cstheme="minorHAnsi"/>
          <w:vertAlign w:val="superscript"/>
        </w:rPr>
        <w:t>$</w:t>
      </w:r>
      <w:r w:rsidRPr="626203BE" w:rsidR="0041438C">
        <w:rPr>
          <w:rFonts w:eastAsia="Times New Roman"/>
        </w:rPr>
        <w:t xml:space="preserve"> </w:t>
      </w:r>
      <w:proofErr w:type="gramStart"/>
      <w:r w:rsidRPr="00613AEA" w:rsidR="5AF70AFC">
        <w:rPr>
          <w:rFonts w:eastAsia="Times New Roman"/>
          <w:vertAlign w:val="superscript"/>
        </w:rPr>
        <w:t>a</w:t>
      </w:r>
      <w:r w:rsidRPr="626203BE" w:rsidR="0041438C">
        <w:rPr>
          <w:rFonts w:eastAsia="Times New Roman"/>
        </w:rPr>
        <w:t>;</w:t>
      </w:r>
      <w:proofErr w:type="gramEnd"/>
      <w:r w:rsidRPr="626203BE" w:rsidR="0041438C">
        <w:rPr>
          <w:rFonts w:eastAsia="Times New Roman"/>
        </w:rPr>
        <w:t xml:space="preserve"> </w:t>
      </w:r>
    </w:p>
    <w:p w:rsidRPr="00E90099" w:rsidR="0041438C" w:rsidP="626203BE" w:rsidRDefault="002D5C01" w14:paraId="7BB6CAE2" w14:textId="3C4BC0FB">
      <w:pPr>
        <w:pStyle w:val="ListParagraph"/>
        <w:numPr>
          <w:ilvl w:val="0"/>
          <w:numId w:val="7"/>
        </w:numPr>
        <w:spacing w:before="60" w:after="0" w:line="276" w:lineRule="auto"/>
        <w:rPr>
          <w:rFonts w:eastAsia="Times New Roman"/>
        </w:rPr>
      </w:pPr>
      <w:proofErr w:type="spellStart"/>
      <w:r>
        <w:rPr>
          <w:rFonts w:eastAsia="Times New Roman"/>
        </w:rPr>
        <w:t>Quattrocchi</w:t>
      </w:r>
      <w:proofErr w:type="spellEnd"/>
      <w:r>
        <w:rPr>
          <w:rFonts w:eastAsia="Times New Roman"/>
        </w:rPr>
        <w:t>, Annalisa</w:t>
      </w:r>
      <w:r w:rsidRPr="000709EF" w:rsidR="000709EF">
        <w:rPr>
          <w:rFonts w:eastAsia="Times New Roman" w:cstheme="minorHAnsi"/>
          <w:vertAlign w:val="superscript"/>
        </w:rPr>
        <w:t>$</w:t>
      </w:r>
      <w:r w:rsidRPr="626203BE" w:rsidR="0041438C">
        <w:rPr>
          <w:rFonts w:eastAsia="Times New Roman"/>
        </w:rPr>
        <w:t xml:space="preserve"> </w:t>
      </w:r>
      <w:proofErr w:type="gramStart"/>
      <w:r w:rsidRPr="626203BE" w:rsidR="22D8F4DD">
        <w:rPr>
          <w:rFonts w:eastAsia="Times New Roman"/>
          <w:vertAlign w:val="superscript"/>
        </w:rPr>
        <w:t>a</w:t>
      </w:r>
      <w:r w:rsidRPr="626203BE" w:rsidR="0041438C">
        <w:rPr>
          <w:rFonts w:eastAsia="Times New Roman"/>
        </w:rPr>
        <w:t>;</w:t>
      </w:r>
      <w:proofErr w:type="gramEnd"/>
      <w:r w:rsidRPr="626203BE" w:rsidR="0041438C">
        <w:rPr>
          <w:rFonts w:eastAsia="Times New Roman"/>
        </w:rPr>
        <w:t xml:space="preserve"> </w:t>
      </w:r>
    </w:p>
    <w:p w:rsidRPr="00E90099" w:rsidR="0041438C" w:rsidP="626203BE" w:rsidRDefault="0041438C" w14:paraId="2E923AB0" w14:textId="00095CDE">
      <w:pPr>
        <w:pStyle w:val="ListParagraph"/>
        <w:numPr>
          <w:ilvl w:val="0"/>
          <w:numId w:val="7"/>
        </w:numPr>
        <w:spacing w:before="60" w:after="0" w:line="276" w:lineRule="auto"/>
        <w:rPr>
          <w:rFonts w:eastAsia="Times New Roman"/>
        </w:rPr>
      </w:pPr>
      <w:r w:rsidRPr="626203BE">
        <w:rPr>
          <w:rFonts w:eastAsia="Times New Roman"/>
        </w:rPr>
        <w:t xml:space="preserve">Gabel, John </w:t>
      </w:r>
      <w:proofErr w:type="gramStart"/>
      <w:r w:rsidRPr="626203BE" w:rsidR="55E78352">
        <w:rPr>
          <w:rFonts w:eastAsia="Times New Roman"/>
          <w:vertAlign w:val="superscript"/>
        </w:rPr>
        <w:t>b</w:t>
      </w:r>
      <w:r w:rsidRPr="626203BE">
        <w:rPr>
          <w:rFonts w:eastAsia="Times New Roman"/>
        </w:rPr>
        <w:t>;</w:t>
      </w:r>
      <w:proofErr w:type="gramEnd"/>
      <w:r w:rsidRPr="626203BE">
        <w:rPr>
          <w:rFonts w:eastAsia="Times New Roman"/>
        </w:rPr>
        <w:t xml:space="preserve"> </w:t>
      </w:r>
    </w:p>
    <w:p w:rsidRPr="00E90099" w:rsidR="0041438C" w:rsidP="626203BE" w:rsidRDefault="0041438C" w14:paraId="3AE22BB5" w14:textId="023C62B4">
      <w:pPr>
        <w:pStyle w:val="ListParagraph"/>
        <w:numPr>
          <w:ilvl w:val="0"/>
          <w:numId w:val="7"/>
        </w:numPr>
        <w:spacing w:before="60" w:after="0" w:line="276" w:lineRule="auto"/>
        <w:rPr>
          <w:rFonts w:eastAsia="Times New Roman"/>
        </w:rPr>
      </w:pPr>
      <w:proofErr w:type="spellStart"/>
      <w:r w:rsidRPr="626203BE">
        <w:rPr>
          <w:rFonts w:eastAsia="Times New Roman"/>
        </w:rPr>
        <w:t>Heraclides</w:t>
      </w:r>
      <w:proofErr w:type="spellEnd"/>
      <w:r w:rsidRPr="626203BE">
        <w:rPr>
          <w:rFonts w:eastAsia="Times New Roman"/>
        </w:rPr>
        <w:t xml:space="preserve">, Alexandros </w:t>
      </w:r>
      <w:proofErr w:type="gramStart"/>
      <w:r w:rsidRPr="00613AEA" w:rsidR="2995CEB7">
        <w:rPr>
          <w:rFonts w:eastAsia="Times New Roman"/>
          <w:vertAlign w:val="superscript"/>
        </w:rPr>
        <w:t>a</w:t>
      </w:r>
      <w:r w:rsidRPr="626203BE">
        <w:rPr>
          <w:rFonts w:eastAsia="Times New Roman"/>
        </w:rPr>
        <w:t>;</w:t>
      </w:r>
      <w:proofErr w:type="gramEnd"/>
      <w:r w:rsidRPr="626203BE">
        <w:rPr>
          <w:rFonts w:eastAsia="Times New Roman"/>
        </w:rPr>
        <w:t xml:space="preserve"> </w:t>
      </w:r>
    </w:p>
    <w:p w:rsidR="00737B4D" w:rsidP="626203BE" w:rsidRDefault="0041438C" w14:paraId="6818D7FC" w14:textId="61A353C1">
      <w:pPr>
        <w:pStyle w:val="ListParagraph"/>
        <w:numPr>
          <w:ilvl w:val="0"/>
          <w:numId w:val="7"/>
        </w:numPr>
        <w:spacing w:before="60" w:after="0" w:line="276" w:lineRule="auto"/>
        <w:rPr>
          <w:rFonts w:eastAsia="Times New Roman"/>
        </w:rPr>
      </w:pPr>
      <w:proofErr w:type="spellStart"/>
      <w:r w:rsidRPr="626203BE">
        <w:rPr>
          <w:rFonts w:eastAsia="Times New Roman"/>
        </w:rPr>
        <w:t>Kolokotroni</w:t>
      </w:r>
      <w:proofErr w:type="spellEnd"/>
      <w:r w:rsidRPr="626203BE">
        <w:rPr>
          <w:rFonts w:eastAsia="Times New Roman"/>
        </w:rPr>
        <w:t xml:space="preserve">, </w:t>
      </w:r>
      <w:proofErr w:type="spellStart"/>
      <w:r w:rsidRPr="626203BE">
        <w:rPr>
          <w:rFonts w:eastAsia="Times New Roman"/>
        </w:rPr>
        <w:t>Ourania</w:t>
      </w:r>
      <w:proofErr w:type="spellEnd"/>
      <w:r w:rsidRPr="626203BE">
        <w:rPr>
          <w:rFonts w:eastAsia="Times New Roman"/>
        </w:rPr>
        <w:t xml:space="preserve"> </w:t>
      </w:r>
      <w:proofErr w:type="gramStart"/>
      <w:r w:rsidRPr="626203BE" w:rsidR="79A4D2B8">
        <w:rPr>
          <w:rFonts w:eastAsia="Times New Roman"/>
          <w:vertAlign w:val="superscript"/>
        </w:rPr>
        <w:t>a</w:t>
      </w:r>
      <w:r w:rsidRPr="626203BE">
        <w:rPr>
          <w:rFonts w:eastAsia="Times New Roman"/>
        </w:rPr>
        <w:t>;</w:t>
      </w:r>
      <w:proofErr w:type="gramEnd"/>
      <w:r w:rsidRPr="626203BE">
        <w:rPr>
          <w:rFonts w:eastAsia="Times New Roman"/>
        </w:rPr>
        <w:t xml:space="preserve"> </w:t>
      </w:r>
    </w:p>
    <w:p w:rsidRPr="00A718B9" w:rsidR="002667A5" w:rsidP="002667A5" w:rsidRDefault="002667A5" w14:paraId="09E858F0" w14:textId="51D0FBBB">
      <w:pPr>
        <w:pStyle w:val="ListParagraph"/>
        <w:numPr>
          <w:ilvl w:val="0"/>
          <w:numId w:val="7"/>
        </w:numPr>
        <w:rPr>
          <w:lang w:val="en-US"/>
        </w:rPr>
      </w:pPr>
      <w:r w:rsidRPr="00A718B9">
        <w:rPr>
          <w:rFonts w:eastAsia="Times New Roman"/>
        </w:rPr>
        <w:t xml:space="preserve">Constantinou, </w:t>
      </w:r>
      <w:proofErr w:type="spellStart"/>
      <w:r w:rsidRPr="00A718B9">
        <w:rPr>
          <w:rFonts w:eastAsia="Times New Roman"/>
        </w:rPr>
        <w:t>Constantina</w:t>
      </w:r>
      <w:proofErr w:type="spellEnd"/>
      <w:r w:rsidRPr="00A718B9">
        <w:rPr>
          <w:rFonts w:eastAsia="Times New Roman"/>
        </w:rPr>
        <w:t xml:space="preserve"> </w:t>
      </w:r>
      <w:proofErr w:type="gramStart"/>
      <w:r w:rsidRPr="00A718B9" w:rsidR="16D05119">
        <w:rPr>
          <w:rFonts w:eastAsia="Times New Roman"/>
          <w:vertAlign w:val="superscript"/>
        </w:rPr>
        <w:t>c</w:t>
      </w:r>
      <w:r w:rsidRPr="00A718B9">
        <w:rPr>
          <w:rFonts w:eastAsia="Times New Roman"/>
        </w:rPr>
        <w:t>;</w:t>
      </w:r>
      <w:proofErr w:type="gramEnd"/>
    </w:p>
    <w:p w:rsidRPr="00BA667C" w:rsidR="00501540" w:rsidP="00501540" w:rsidRDefault="00501540" w14:paraId="6A90BDA2" w14:textId="77777777">
      <w:pPr>
        <w:pStyle w:val="ListParagraph"/>
        <w:numPr>
          <w:ilvl w:val="0"/>
          <w:numId w:val="7"/>
        </w:numPr>
        <w:spacing w:before="60" w:after="0" w:line="276" w:lineRule="auto"/>
        <w:rPr>
          <w:rFonts w:eastAsia="Times New Roman"/>
        </w:rPr>
      </w:pPr>
      <w:proofErr w:type="spellStart"/>
      <w:r w:rsidRPr="00BA667C">
        <w:t>Pagola</w:t>
      </w:r>
      <w:proofErr w:type="spellEnd"/>
      <w:r w:rsidRPr="00BA667C">
        <w:t xml:space="preserve"> Ugarte</w:t>
      </w:r>
      <w:r w:rsidRPr="00BA667C" w:rsidR="0041438C">
        <w:rPr>
          <w:rFonts w:eastAsia="Times New Roman"/>
        </w:rPr>
        <w:t xml:space="preserve">, </w:t>
      </w:r>
      <w:proofErr w:type="spellStart"/>
      <w:r w:rsidRPr="00BA667C" w:rsidR="0041438C">
        <w:rPr>
          <w:rFonts w:eastAsia="Times New Roman"/>
        </w:rPr>
        <w:t>Maider</w:t>
      </w:r>
      <w:proofErr w:type="spellEnd"/>
      <w:r w:rsidRPr="00BA667C" w:rsidR="0041438C">
        <w:rPr>
          <w:rFonts w:eastAsia="Times New Roman"/>
        </w:rPr>
        <w:t xml:space="preserve"> </w:t>
      </w:r>
      <w:proofErr w:type="gramStart"/>
      <w:r w:rsidRPr="00BA667C" w:rsidR="004E66EF">
        <w:rPr>
          <w:rFonts w:eastAsia="Times New Roman"/>
          <w:vertAlign w:val="superscript"/>
        </w:rPr>
        <w:t>b</w:t>
      </w:r>
      <w:r w:rsidRPr="00BA667C" w:rsidR="0041438C">
        <w:rPr>
          <w:rFonts w:eastAsia="Times New Roman"/>
        </w:rPr>
        <w:t>;</w:t>
      </w:r>
      <w:proofErr w:type="gramEnd"/>
      <w:r w:rsidRPr="00BA667C" w:rsidR="0041438C">
        <w:rPr>
          <w:rFonts w:eastAsia="Times New Roman"/>
        </w:rPr>
        <w:t xml:space="preserve"> </w:t>
      </w:r>
    </w:p>
    <w:p w:rsidRPr="00501540" w:rsidR="0041438C" w:rsidP="00501540" w:rsidRDefault="0041438C" w14:paraId="0D3B17B5" w14:textId="2DBA991D">
      <w:pPr>
        <w:pStyle w:val="ListParagraph"/>
        <w:numPr>
          <w:ilvl w:val="0"/>
          <w:numId w:val="7"/>
        </w:numPr>
        <w:spacing w:before="60" w:after="0" w:line="276" w:lineRule="auto"/>
        <w:rPr>
          <w:rFonts w:eastAsia="Times New Roman"/>
        </w:rPr>
      </w:pPr>
      <w:proofErr w:type="spellStart"/>
      <w:r w:rsidRPr="00501540">
        <w:rPr>
          <w:rFonts w:eastAsia="Times New Roman"/>
        </w:rPr>
        <w:t>Nicolaou</w:t>
      </w:r>
      <w:proofErr w:type="spellEnd"/>
      <w:r w:rsidRPr="00501540">
        <w:rPr>
          <w:rFonts w:eastAsia="Times New Roman"/>
        </w:rPr>
        <w:t xml:space="preserve">, Nicoletta </w:t>
      </w:r>
      <w:proofErr w:type="gramStart"/>
      <w:r w:rsidRPr="00501540" w:rsidR="5C1FA7EE">
        <w:rPr>
          <w:rFonts w:eastAsia="Times New Roman"/>
          <w:vertAlign w:val="superscript"/>
        </w:rPr>
        <w:t>c</w:t>
      </w:r>
      <w:r w:rsidRPr="00501540">
        <w:rPr>
          <w:rFonts w:eastAsia="Times New Roman"/>
        </w:rPr>
        <w:t>;</w:t>
      </w:r>
      <w:proofErr w:type="gramEnd"/>
      <w:r w:rsidRPr="00501540">
        <w:rPr>
          <w:rFonts w:eastAsia="Times New Roman"/>
        </w:rPr>
        <w:t xml:space="preserve"> </w:t>
      </w:r>
    </w:p>
    <w:p w:rsidR="0041438C" w:rsidP="626203BE" w:rsidRDefault="0041438C" w14:paraId="2F092B3C" w14:textId="7477ADE3">
      <w:pPr>
        <w:pStyle w:val="ListParagraph"/>
        <w:numPr>
          <w:ilvl w:val="0"/>
          <w:numId w:val="7"/>
        </w:numPr>
        <w:spacing w:before="60" w:after="0" w:line="276" w:lineRule="auto"/>
        <w:rPr>
          <w:rFonts w:eastAsia="Times New Roman"/>
        </w:rPr>
      </w:pPr>
      <w:r w:rsidRPr="626203BE">
        <w:rPr>
          <w:rFonts w:eastAsia="Times New Roman"/>
        </w:rPr>
        <w:t>Rodriguez-</w:t>
      </w:r>
      <w:proofErr w:type="spellStart"/>
      <w:r w:rsidRPr="626203BE">
        <w:rPr>
          <w:rFonts w:eastAsia="Times New Roman"/>
        </w:rPr>
        <w:t>Llanes</w:t>
      </w:r>
      <w:proofErr w:type="spellEnd"/>
      <w:r w:rsidRPr="626203BE">
        <w:rPr>
          <w:rFonts w:eastAsia="Times New Roman"/>
        </w:rPr>
        <w:t xml:space="preserve">, Jose Manuel </w:t>
      </w:r>
      <w:proofErr w:type="gramStart"/>
      <w:r w:rsidRPr="626203BE" w:rsidR="0463F82E">
        <w:rPr>
          <w:rFonts w:eastAsia="Times New Roman"/>
          <w:vertAlign w:val="superscript"/>
        </w:rPr>
        <w:t>d</w:t>
      </w:r>
      <w:r w:rsidRPr="626203BE">
        <w:rPr>
          <w:rFonts w:eastAsia="Times New Roman"/>
        </w:rPr>
        <w:t>;</w:t>
      </w:r>
      <w:proofErr w:type="gramEnd"/>
      <w:r w:rsidRPr="626203BE">
        <w:rPr>
          <w:rFonts w:eastAsia="Times New Roman"/>
        </w:rPr>
        <w:t xml:space="preserve"> </w:t>
      </w:r>
    </w:p>
    <w:p w:rsidR="0041438C" w:rsidP="626203BE" w:rsidRDefault="0041438C" w14:paraId="0DCC6448" w14:textId="2E56CB63">
      <w:pPr>
        <w:pStyle w:val="ListParagraph"/>
        <w:numPr>
          <w:ilvl w:val="0"/>
          <w:numId w:val="7"/>
        </w:numPr>
        <w:spacing w:before="60" w:after="0" w:line="276" w:lineRule="auto"/>
        <w:rPr>
          <w:rFonts w:eastAsia="Times New Roman"/>
        </w:rPr>
      </w:pPr>
      <w:r w:rsidRPr="626203BE">
        <w:rPr>
          <w:rFonts w:eastAsia="Times New Roman"/>
        </w:rPr>
        <w:t xml:space="preserve">Bennett, Catherine Marie </w:t>
      </w:r>
      <w:proofErr w:type="gramStart"/>
      <w:r w:rsidRPr="00613AEA" w:rsidR="3AB4C1E1">
        <w:rPr>
          <w:rFonts w:eastAsia="Times New Roman"/>
          <w:vertAlign w:val="superscript"/>
        </w:rPr>
        <w:t>e</w:t>
      </w:r>
      <w:r w:rsidRPr="626203BE">
        <w:rPr>
          <w:rFonts w:eastAsia="Times New Roman"/>
        </w:rPr>
        <w:t>;</w:t>
      </w:r>
      <w:proofErr w:type="gramEnd"/>
    </w:p>
    <w:p w:rsidR="0041438C" w:rsidP="626203BE" w:rsidRDefault="0041438C" w14:paraId="752FDC92" w14:textId="52C55A6C">
      <w:pPr>
        <w:pStyle w:val="ListParagraph"/>
        <w:numPr>
          <w:ilvl w:val="0"/>
          <w:numId w:val="7"/>
        </w:numPr>
        <w:spacing w:before="60" w:after="0" w:line="276" w:lineRule="auto"/>
        <w:rPr>
          <w:rFonts w:eastAsia="Times New Roman"/>
        </w:rPr>
      </w:pPr>
      <w:proofErr w:type="spellStart"/>
      <w:r w:rsidRPr="626203BE">
        <w:rPr>
          <w:rFonts w:eastAsia="Times New Roman"/>
        </w:rPr>
        <w:t>Bogatyreva</w:t>
      </w:r>
      <w:proofErr w:type="spellEnd"/>
      <w:r w:rsidRPr="626203BE">
        <w:rPr>
          <w:rFonts w:eastAsia="Times New Roman"/>
        </w:rPr>
        <w:t xml:space="preserve">, Ekaterina </w:t>
      </w:r>
      <w:proofErr w:type="gramStart"/>
      <w:r w:rsidRPr="626203BE" w:rsidR="2359A2A1">
        <w:rPr>
          <w:rFonts w:eastAsia="Times New Roman"/>
          <w:vertAlign w:val="superscript"/>
        </w:rPr>
        <w:t>e</w:t>
      </w:r>
      <w:r w:rsidRPr="626203BE">
        <w:rPr>
          <w:rFonts w:eastAsia="Times New Roman"/>
        </w:rPr>
        <w:t>;</w:t>
      </w:r>
      <w:proofErr w:type="gramEnd"/>
    </w:p>
    <w:p w:rsidR="0041438C" w:rsidP="626203BE" w:rsidRDefault="0041438C" w14:paraId="482DB2A4" w14:textId="782AC9AE">
      <w:pPr>
        <w:pStyle w:val="ListParagraph"/>
        <w:numPr>
          <w:ilvl w:val="0"/>
          <w:numId w:val="7"/>
        </w:numPr>
        <w:spacing w:before="60" w:after="0" w:line="276" w:lineRule="auto"/>
        <w:rPr>
          <w:rFonts w:eastAsia="Times New Roman"/>
        </w:rPr>
      </w:pPr>
      <w:proofErr w:type="spellStart"/>
      <w:r w:rsidRPr="626203BE">
        <w:rPr>
          <w:rFonts w:eastAsia="Times New Roman"/>
        </w:rPr>
        <w:t>Schernhammer</w:t>
      </w:r>
      <w:proofErr w:type="spellEnd"/>
      <w:r w:rsidRPr="626203BE">
        <w:rPr>
          <w:rFonts w:eastAsia="Times New Roman"/>
        </w:rPr>
        <w:t xml:space="preserve">, Eva </w:t>
      </w:r>
      <w:proofErr w:type="gramStart"/>
      <w:r w:rsidRPr="626203BE" w:rsidR="02322E94">
        <w:rPr>
          <w:rFonts w:eastAsia="Times New Roman"/>
          <w:vertAlign w:val="superscript"/>
        </w:rPr>
        <w:t>f</w:t>
      </w:r>
      <w:r w:rsidRPr="626203BE">
        <w:rPr>
          <w:rFonts w:eastAsia="Times New Roman"/>
        </w:rPr>
        <w:t>;</w:t>
      </w:r>
      <w:proofErr w:type="gramEnd"/>
    </w:p>
    <w:p w:rsidR="0041438C" w:rsidP="626203BE" w:rsidRDefault="0041438C" w14:paraId="1C2B231C" w14:textId="1C88205C">
      <w:pPr>
        <w:pStyle w:val="ListParagraph"/>
        <w:numPr>
          <w:ilvl w:val="0"/>
          <w:numId w:val="7"/>
        </w:numPr>
        <w:spacing w:before="60" w:after="0" w:line="276" w:lineRule="auto"/>
        <w:rPr>
          <w:rFonts w:eastAsia="Times New Roman"/>
        </w:rPr>
      </w:pPr>
      <w:r w:rsidRPr="626203BE">
        <w:rPr>
          <w:rFonts w:eastAsia="Times New Roman"/>
        </w:rPr>
        <w:t>Zimmermann, Claudia</w:t>
      </w:r>
      <w:r w:rsidRPr="626203BE">
        <w:rPr>
          <w:rFonts w:eastAsia="Times New Roman"/>
          <w:vertAlign w:val="superscript"/>
        </w:rPr>
        <w:t xml:space="preserve"> </w:t>
      </w:r>
      <w:proofErr w:type="gramStart"/>
      <w:r w:rsidRPr="626203BE" w:rsidR="2C339D8A">
        <w:rPr>
          <w:rFonts w:eastAsia="Times New Roman"/>
          <w:vertAlign w:val="superscript"/>
        </w:rPr>
        <w:t>f</w:t>
      </w:r>
      <w:r w:rsidRPr="626203BE">
        <w:rPr>
          <w:rFonts w:eastAsia="Times New Roman"/>
        </w:rPr>
        <w:t>;</w:t>
      </w:r>
      <w:proofErr w:type="gramEnd"/>
    </w:p>
    <w:p w:rsidRPr="00E54603" w:rsidR="0041438C" w:rsidP="626203BE" w:rsidRDefault="0041438C" w14:paraId="3DEEA15E" w14:textId="2D4E1E8C">
      <w:pPr>
        <w:pStyle w:val="ListParagraph"/>
        <w:numPr>
          <w:ilvl w:val="0"/>
          <w:numId w:val="7"/>
        </w:numPr>
        <w:spacing w:before="60" w:after="0" w:line="276" w:lineRule="auto"/>
        <w:rPr>
          <w:rFonts w:eastAsia="Times New Roman"/>
          <w:lang w:val="it-IT"/>
        </w:rPr>
      </w:pPr>
      <w:r w:rsidRPr="00E54603">
        <w:rPr>
          <w:rFonts w:eastAsia="Times New Roman"/>
          <w:lang w:val="it-IT"/>
        </w:rPr>
        <w:t xml:space="preserve">Costa, Antonio Jose Leal </w:t>
      </w:r>
      <w:r w:rsidRPr="00E54603" w:rsidR="5C5FFED0">
        <w:rPr>
          <w:rFonts w:eastAsia="Times New Roman"/>
          <w:vertAlign w:val="superscript"/>
          <w:lang w:val="it-IT"/>
        </w:rPr>
        <w:t>g</w:t>
      </w:r>
      <w:r w:rsidRPr="00E54603">
        <w:rPr>
          <w:rFonts w:eastAsia="Times New Roman"/>
          <w:lang w:val="it-IT"/>
        </w:rPr>
        <w:t>;</w:t>
      </w:r>
    </w:p>
    <w:p w:rsidR="0041438C" w:rsidP="626203BE" w:rsidRDefault="0041438C" w14:paraId="06B175D5" w14:textId="28F6B262">
      <w:pPr>
        <w:pStyle w:val="ListParagraph"/>
        <w:numPr>
          <w:ilvl w:val="0"/>
          <w:numId w:val="7"/>
        </w:numPr>
        <w:spacing w:before="60" w:after="0" w:line="276" w:lineRule="auto"/>
        <w:rPr>
          <w:rFonts w:eastAsia="Times New Roman"/>
        </w:rPr>
      </w:pPr>
      <w:r w:rsidRPr="626203BE">
        <w:rPr>
          <w:rFonts w:eastAsia="Times New Roman"/>
        </w:rPr>
        <w:t xml:space="preserve">Lobato, Jackeline Christiane Pinto </w:t>
      </w:r>
      <w:proofErr w:type="gramStart"/>
      <w:r w:rsidRPr="626203BE" w:rsidR="30B2281C">
        <w:rPr>
          <w:rFonts w:eastAsia="Times New Roman"/>
          <w:vertAlign w:val="superscript"/>
        </w:rPr>
        <w:t>h</w:t>
      </w:r>
      <w:r w:rsidRPr="626203BE">
        <w:rPr>
          <w:rFonts w:eastAsia="Times New Roman"/>
        </w:rPr>
        <w:t>;</w:t>
      </w:r>
      <w:proofErr w:type="gramEnd"/>
    </w:p>
    <w:p w:rsidR="0041438C" w:rsidP="626203BE" w:rsidRDefault="0041438C" w14:paraId="61022852" w14:textId="1B26250F">
      <w:pPr>
        <w:pStyle w:val="ListParagraph"/>
        <w:numPr>
          <w:ilvl w:val="0"/>
          <w:numId w:val="7"/>
        </w:numPr>
        <w:spacing w:before="60" w:after="0" w:line="276" w:lineRule="auto"/>
        <w:rPr>
          <w:rFonts w:eastAsia="Times New Roman"/>
        </w:rPr>
      </w:pPr>
      <w:r w:rsidRPr="626203BE">
        <w:rPr>
          <w:rFonts w:eastAsia="Times New Roman"/>
        </w:rPr>
        <w:t xml:space="preserve">Fernandes, </w:t>
      </w:r>
      <w:proofErr w:type="spellStart"/>
      <w:r w:rsidRPr="626203BE">
        <w:rPr>
          <w:rFonts w:eastAsia="Times New Roman"/>
        </w:rPr>
        <w:t>Ngibo</w:t>
      </w:r>
      <w:proofErr w:type="spellEnd"/>
      <w:r w:rsidRPr="626203BE">
        <w:rPr>
          <w:rFonts w:eastAsia="Times New Roman"/>
        </w:rPr>
        <w:t xml:space="preserve"> </w:t>
      </w:r>
      <w:proofErr w:type="spellStart"/>
      <w:r w:rsidRPr="626203BE">
        <w:rPr>
          <w:rFonts w:eastAsia="Times New Roman"/>
        </w:rPr>
        <w:t>Mubeta</w:t>
      </w:r>
      <w:proofErr w:type="spellEnd"/>
      <w:r w:rsidRPr="626203BE">
        <w:rPr>
          <w:rFonts w:eastAsia="Times New Roman"/>
        </w:rPr>
        <w:t xml:space="preserve"> </w:t>
      </w:r>
      <w:proofErr w:type="spellStart"/>
      <w:proofErr w:type="gramStart"/>
      <w:r w:rsidRPr="626203BE" w:rsidR="2EAC1E1D">
        <w:rPr>
          <w:rFonts w:eastAsia="Times New Roman"/>
          <w:vertAlign w:val="superscript"/>
        </w:rPr>
        <w:t>i</w:t>
      </w:r>
      <w:proofErr w:type="spellEnd"/>
      <w:r w:rsidRPr="626203BE">
        <w:rPr>
          <w:rFonts w:eastAsia="Times New Roman"/>
        </w:rPr>
        <w:t>;</w:t>
      </w:r>
      <w:proofErr w:type="gramEnd"/>
    </w:p>
    <w:p w:rsidRPr="00E54603" w:rsidR="0041438C" w:rsidP="626203BE" w:rsidRDefault="0041438C" w14:paraId="2AD1B79E" w14:textId="2168608E">
      <w:pPr>
        <w:pStyle w:val="ListParagraph"/>
        <w:numPr>
          <w:ilvl w:val="0"/>
          <w:numId w:val="7"/>
        </w:numPr>
        <w:spacing w:before="60" w:after="0" w:line="276" w:lineRule="auto"/>
        <w:rPr>
          <w:rFonts w:eastAsia="Times New Roman"/>
          <w:lang w:val="it-IT"/>
        </w:rPr>
      </w:pPr>
      <w:r w:rsidRPr="00E54603">
        <w:rPr>
          <w:rFonts w:eastAsia="Times New Roman"/>
          <w:lang w:val="it-IT"/>
        </w:rPr>
        <w:t xml:space="preserve">Semedo-Aguiar, Ana Paula </w:t>
      </w:r>
      <w:r w:rsidRPr="00E54603" w:rsidR="6314FA2D">
        <w:rPr>
          <w:rFonts w:eastAsia="Times New Roman"/>
          <w:vertAlign w:val="superscript"/>
          <w:lang w:val="it-IT"/>
        </w:rPr>
        <w:t>j</w:t>
      </w:r>
      <w:r w:rsidRPr="00E54603">
        <w:rPr>
          <w:rFonts w:eastAsia="Times New Roman"/>
          <w:lang w:val="it-IT"/>
        </w:rPr>
        <w:t>;</w:t>
      </w:r>
    </w:p>
    <w:p w:rsidRPr="00E54603" w:rsidR="0041438C" w:rsidP="626203BE" w:rsidRDefault="0041438C" w14:paraId="4A7DFC78" w14:textId="6F035DE0">
      <w:pPr>
        <w:pStyle w:val="ListParagraph"/>
        <w:numPr>
          <w:ilvl w:val="0"/>
          <w:numId w:val="7"/>
        </w:numPr>
        <w:rPr>
          <w:lang w:val="it-IT"/>
        </w:rPr>
      </w:pPr>
      <w:r w:rsidRPr="00E54603">
        <w:rPr>
          <w:lang w:val="it-IT"/>
        </w:rPr>
        <w:t xml:space="preserve">Jaramillo Ramirez, Gloria Isabel </w:t>
      </w:r>
      <w:r w:rsidRPr="00E54603" w:rsidR="2FE2F429">
        <w:rPr>
          <w:rFonts w:eastAsia="Times New Roman"/>
          <w:vertAlign w:val="superscript"/>
          <w:lang w:val="it-IT"/>
        </w:rPr>
        <w:t>k</w:t>
      </w:r>
      <w:r w:rsidRPr="00E54603">
        <w:rPr>
          <w:rFonts w:eastAsia="Times New Roman"/>
          <w:lang w:val="it-IT"/>
        </w:rPr>
        <w:t>;</w:t>
      </w:r>
    </w:p>
    <w:p w:rsidRPr="00E54603" w:rsidR="0041438C" w:rsidP="626203BE" w:rsidRDefault="0041438C" w14:paraId="5E4B59CA" w14:textId="6F353E1A">
      <w:pPr>
        <w:pStyle w:val="ListParagraph"/>
        <w:numPr>
          <w:ilvl w:val="0"/>
          <w:numId w:val="7"/>
        </w:numPr>
        <w:rPr>
          <w:lang w:val="it-IT"/>
        </w:rPr>
      </w:pPr>
      <w:r w:rsidRPr="00E54603">
        <w:rPr>
          <w:lang w:val="it-IT"/>
        </w:rPr>
        <w:t xml:space="preserve">Martin Garzon, Oscar Dario </w:t>
      </w:r>
      <w:r w:rsidRPr="00E54603" w:rsidR="0415F639">
        <w:rPr>
          <w:rFonts w:eastAsia="Times New Roman"/>
          <w:vertAlign w:val="superscript"/>
          <w:lang w:val="it-IT"/>
        </w:rPr>
        <w:t>k</w:t>
      </w:r>
      <w:r w:rsidRPr="00E54603">
        <w:rPr>
          <w:rFonts w:eastAsia="Times New Roman"/>
          <w:lang w:val="it-IT"/>
        </w:rPr>
        <w:t>;</w:t>
      </w:r>
    </w:p>
    <w:p w:rsidRPr="0031531D" w:rsidR="0041438C" w:rsidP="626203BE" w:rsidRDefault="0041438C" w14:paraId="0BC07E31" w14:textId="5281A092">
      <w:pPr>
        <w:pStyle w:val="ListParagraph"/>
        <w:numPr>
          <w:ilvl w:val="0"/>
          <w:numId w:val="7"/>
        </w:numPr>
        <w:rPr>
          <w:lang w:val="en-US"/>
        </w:rPr>
      </w:pPr>
      <w:r w:rsidRPr="626203BE">
        <w:rPr>
          <w:lang w:val="en-US"/>
        </w:rPr>
        <w:t xml:space="preserve">Mortensen, </w:t>
      </w:r>
      <w:proofErr w:type="spellStart"/>
      <w:r w:rsidRPr="626203BE">
        <w:rPr>
          <w:lang w:val="en-US"/>
        </w:rPr>
        <w:t>Laust</w:t>
      </w:r>
      <w:proofErr w:type="spellEnd"/>
      <w:r w:rsidRPr="626203BE">
        <w:rPr>
          <w:lang w:val="en-US"/>
        </w:rPr>
        <w:t xml:space="preserve"> </w:t>
      </w:r>
      <w:proofErr w:type="spellStart"/>
      <w:r w:rsidRPr="626203BE">
        <w:rPr>
          <w:lang w:val="en-US"/>
        </w:rPr>
        <w:t>Hvas</w:t>
      </w:r>
      <w:proofErr w:type="spellEnd"/>
      <w:r w:rsidRPr="626203BE">
        <w:rPr>
          <w:lang w:val="en-US"/>
        </w:rPr>
        <w:t xml:space="preserve"> </w:t>
      </w:r>
      <w:proofErr w:type="gramStart"/>
      <w:r w:rsidRPr="626203BE" w:rsidR="2F567637">
        <w:rPr>
          <w:rFonts w:eastAsia="Times New Roman"/>
          <w:vertAlign w:val="superscript"/>
        </w:rPr>
        <w:t>l</w:t>
      </w:r>
      <w:r w:rsidRPr="626203BE">
        <w:rPr>
          <w:rFonts w:eastAsia="Times New Roman"/>
        </w:rPr>
        <w:t>;</w:t>
      </w:r>
      <w:proofErr w:type="gramEnd"/>
    </w:p>
    <w:p w:rsidRPr="0031531D" w:rsidR="0041438C" w:rsidP="626203BE" w:rsidRDefault="0041438C" w14:paraId="72B5CF2D" w14:textId="79A7D766">
      <w:pPr>
        <w:pStyle w:val="ListParagraph"/>
        <w:numPr>
          <w:ilvl w:val="0"/>
          <w:numId w:val="7"/>
        </w:numPr>
        <w:rPr>
          <w:lang w:val="en-US"/>
        </w:rPr>
      </w:pPr>
      <w:r w:rsidRPr="626203BE">
        <w:rPr>
          <w:lang w:val="en-US"/>
        </w:rPr>
        <w:t xml:space="preserve">Critchley, Julia A. </w:t>
      </w:r>
      <w:proofErr w:type="gramStart"/>
      <w:r w:rsidRPr="626203BE" w:rsidR="62F1829E">
        <w:rPr>
          <w:rFonts w:eastAsia="Times New Roman"/>
          <w:vertAlign w:val="superscript"/>
        </w:rPr>
        <w:t>m</w:t>
      </w:r>
      <w:r w:rsidRPr="626203BE">
        <w:rPr>
          <w:rFonts w:eastAsia="Times New Roman"/>
        </w:rPr>
        <w:t>;</w:t>
      </w:r>
      <w:proofErr w:type="gramEnd"/>
    </w:p>
    <w:p w:rsidRPr="00FB0E73" w:rsidR="0041438C" w:rsidP="626203BE" w:rsidRDefault="0041438C" w14:paraId="43D9E616" w14:textId="7CBF0047">
      <w:pPr>
        <w:pStyle w:val="ListParagraph"/>
        <w:numPr>
          <w:ilvl w:val="0"/>
          <w:numId w:val="7"/>
        </w:numPr>
        <w:rPr>
          <w:lang w:val="en-US"/>
        </w:rPr>
      </w:pPr>
      <w:r w:rsidRPr="626203BE">
        <w:rPr>
          <w:lang w:val="en-US"/>
        </w:rPr>
        <w:t xml:space="preserve">Goldsmith, Lucy P. </w:t>
      </w:r>
      <w:proofErr w:type="gramStart"/>
      <w:r w:rsidRPr="626203BE" w:rsidR="5424FA3A">
        <w:rPr>
          <w:rFonts w:eastAsia="Times New Roman"/>
          <w:vertAlign w:val="superscript"/>
        </w:rPr>
        <w:t>m</w:t>
      </w:r>
      <w:r w:rsidRPr="626203BE">
        <w:rPr>
          <w:rFonts w:eastAsia="Times New Roman"/>
        </w:rPr>
        <w:t>;</w:t>
      </w:r>
      <w:proofErr w:type="gramEnd"/>
    </w:p>
    <w:p w:rsidRPr="00FB0E73" w:rsidR="0041438C" w:rsidP="626203BE" w:rsidRDefault="0041438C" w14:paraId="195CB3D5" w14:textId="68B8ED8E">
      <w:pPr>
        <w:pStyle w:val="ListParagraph"/>
        <w:numPr>
          <w:ilvl w:val="0"/>
          <w:numId w:val="7"/>
        </w:numPr>
        <w:rPr>
          <w:lang w:val="en-US"/>
        </w:rPr>
      </w:pPr>
      <w:proofErr w:type="spellStart"/>
      <w:r w:rsidRPr="626203BE">
        <w:rPr>
          <w:lang w:val="en-US"/>
        </w:rPr>
        <w:t>Denissov</w:t>
      </w:r>
      <w:proofErr w:type="spellEnd"/>
      <w:r w:rsidRPr="626203BE">
        <w:rPr>
          <w:lang w:val="en-US"/>
        </w:rPr>
        <w:t xml:space="preserve">, </w:t>
      </w:r>
      <w:proofErr w:type="spellStart"/>
      <w:r w:rsidRPr="626203BE">
        <w:rPr>
          <w:lang w:val="en-US"/>
        </w:rPr>
        <w:t>Gleb</w:t>
      </w:r>
      <w:proofErr w:type="spellEnd"/>
      <w:r w:rsidRPr="626203BE">
        <w:rPr>
          <w:lang w:val="en-US"/>
        </w:rPr>
        <w:t xml:space="preserve"> </w:t>
      </w:r>
      <w:proofErr w:type="gramStart"/>
      <w:r w:rsidRPr="626203BE" w:rsidR="1D40C7C0">
        <w:rPr>
          <w:rFonts w:eastAsia="Times New Roman"/>
          <w:vertAlign w:val="superscript"/>
        </w:rPr>
        <w:t>n</w:t>
      </w:r>
      <w:r w:rsidRPr="626203BE">
        <w:rPr>
          <w:rFonts w:eastAsia="Times New Roman"/>
        </w:rPr>
        <w:t>;</w:t>
      </w:r>
      <w:proofErr w:type="gramEnd"/>
    </w:p>
    <w:p w:rsidRPr="00FB0E73" w:rsidR="0041438C" w:rsidP="626203BE" w:rsidRDefault="0041438C" w14:paraId="146BC40E" w14:textId="1AED5543">
      <w:pPr>
        <w:pStyle w:val="ListParagraph"/>
        <w:numPr>
          <w:ilvl w:val="0"/>
          <w:numId w:val="7"/>
        </w:numPr>
        <w:rPr>
          <w:lang w:val="en-US"/>
        </w:rPr>
      </w:pPr>
      <w:proofErr w:type="spellStart"/>
      <w:r w:rsidRPr="626203BE">
        <w:rPr>
          <w:lang w:val="en-US"/>
        </w:rPr>
        <w:t>Rüütel</w:t>
      </w:r>
      <w:proofErr w:type="spellEnd"/>
      <w:r w:rsidRPr="626203BE">
        <w:rPr>
          <w:lang w:val="en-US"/>
        </w:rPr>
        <w:t xml:space="preserve">, Kristi </w:t>
      </w:r>
      <w:proofErr w:type="gramStart"/>
      <w:r w:rsidRPr="626203BE" w:rsidR="155821E6">
        <w:rPr>
          <w:rFonts w:eastAsia="Times New Roman"/>
          <w:vertAlign w:val="superscript"/>
        </w:rPr>
        <w:t>o</w:t>
      </w:r>
      <w:r w:rsidRPr="626203BE">
        <w:rPr>
          <w:rFonts w:eastAsia="Times New Roman"/>
        </w:rPr>
        <w:t>;</w:t>
      </w:r>
      <w:proofErr w:type="gramEnd"/>
    </w:p>
    <w:p w:rsidRPr="00FB0E73" w:rsidR="0041438C" w:rsidP="626203BE" w:rsidRDefault="0041438C" w14:paraId="054D001E" w14:textId="1D5E3E04">
      <w:pPr>
        <w:pStyle w:val="ListParagraph"/>
        <w:numPr>
          <w:ilvl w:val="0"/>
          <w:numId w:val="7"/>
        </w:numPr>
        <w:rPr>
          <w:lang w:val="en-US"/>
        </w:rPr>
      </w:pPr>
      <w:r w:rsidRPr="626203BE">
        <w:rPr>
          <w:rFonts w:eastAsia="Times New Roman"/>
        </w:rPr>
        <w:t xml:space="preserve">Le </w:t>
      </w:r>
      <w:proofErr w:type="spellStart"/>
      <w:r w:rsidRPr="626203BE">
        <w:rPr>
          <w:rFonts w:eastAsia="Times New Roman"/>
        </w:rPr>
        <w:t>Meur</w:t>
      </w:r>
      <w:proofErr w:type="spellEnd"/>
      <w:r w:rsidRPr="626203BE">
        <w:rPr>
          <w:rFonts w:eastAsia="Times New Roman"/>
        </w:rPr>
        <w:t xml:space="preserve">, </w:t>
      </w:r>
      <w:proofErr w:type="spellStart"/>
      <w:r w:rsidRPr="626203BE">
        <w:rPr>
          <w:rFonts w:eastAsia="Times New Roman"/>
        </w:rPr>
        <w:t>Nolwenn</w:t>
      </w:r>
      <w:proofErr w:type="spellEnd"/>
      <w:r w:rsidRPr="626203BE">
        <w:rPr>
          <w:rFonts w:eastAsia="Times New Roman"/>
        </w:rPr>
        <w:t xml:space="preserve"> </w:t>
      </w:r>
      <w:proofErr w:type="gramStart"/>
      <w:r w:rsidRPr="626203BE" w:rsidR="64906EAF">
        <w:rPr>
          <w:rFonts w:eastAsia="Times New Roman"/>
          <w:vertAlign w:val="superscript"/>
        </w:rPr>
        <w:t>p</w:t>
      </w:r>
      <w:r w:rsidRPr="626203BE">
        <w:rPr>
          <w:rFonts w:eastAsia="Times New Roman"/>
        </w:rPr>
        <w:t>;</w:t>
      </w:r>
      <w:proofErr w:type="gramEnd"/>
    </w:p>
    <w:p w:rsidRPr="00FB0E73" w:rsidR="0041438C" w:rsidP="626203BE" w:rsidRDefault="0041438C" w14:paraId="760A26C2" w14:textId="51983204">
      <w:pPr>
        <w:pStyle w:val="ListParagraph"/>
        <w:numPr>
          <w:ilvl w:val="0"/>
          <w:numId w:val="7"/>
        </w:numPr>
        <w:rPr>
          <w:lang w:val="en-US"/>
        </w:rPr>
      </w:pPr>
      <w:proofErr w:type="spellStart"/>
      <w:r w:rsidRPr="626203BE">
        <w:rPr>
          <w:lang w:val="en-US"/>
        </w:rPr>
        <w:t>Kandelaki</w:t>
      </w:r>
      <w:proofErr w:type="spellEnd"/>
      <w:r w:rsidRPr="626203BE">
        <w:rPr>
          <w:lang w:val="en-US"/>
        </w:rPr>
        <w:t xml:space="preserve">, Levan </w:t>
      </w:r>
      <w:proofErr w:type="gramStart"/>
      <w:r w:rsidRPr="626203BE" w:rsidR="23FA2BFA">
        <w:rPr>
          <w:rFonts w:eastAsia="Times New Roman"/>
          <w:vertAlign w:val="superscript"/>
        </w:rPr>
        <w:t>q</w:t>
      </w:r>
      <w:r w:rsidRPr="626203BE">
        <w:rPr>
          <w:rFonts w:eastAsia="Times New Roman"/>
        </w:rPr>
        <w:t>;</w:t>
      </w:r>
      <w:proofErr w:type="gramEnd"/>
    </w:p>
    <w:p w:rsidRPr="00FB0E73" w:rsidR="0041438C" w:rsidP="626203BE" w:rsidRDefault="0041438C" w14:paraId="7E7DD297" w14:textId="27B88BF7">
      <w:pPr>
        <w:pStyle w:val="ListParagraph"/>
        <w:numPr>
          <w:ilvl w:val="0"/>
          <w:numId w:val="7"/>
        </w:numPr>
        <w:rPr>
          <w:lang w:val="en-US"/>
        </w:rPr>
      </w:pPr>
      <w:proofErr w:type="spellStart"/>
      <w:r w:rsidRPr="626203BE">
        <w:rPr>
          <w:lang w:val="en-US"/>
        </w:rPr>
        <w:t>Tsiklauri</w:t>
      </w:r>
      <w:proofErr w:type="spellEnd"/>
      <w:r w:rsidRPr="626203BE">
        <w:rPr>
          <w:lang w:val="en-US"/>
        </w:rPr>
        <w:t xml:space="preserve">, </w:t>
      </w:r>
      <w:proofErr w:type="spellStart"/>
      <w:r w:rsidRPr="626203BE">
        <w:rPr>
          <w:lang w:val="en-US"/>
        </w:rPr>
        <w:t>Shorena</w:t>
      </w:r>
      <w:proofErr w:type="spellEnd"/>
      <w:r w:rsidRPr="626203BE">
        <w:rPr>
          <w:lang w:val="en-US"/>
        </w:rPr>
        <w:t xml:space="preserve"> </w:t>
      </w:r>
      <w:proofErr w:type="gramStart"/>
      <w:r w:rsidRPr="626203BE" w:rsidR="75A1B903">
        <w:rPr>
          <w:rFonts w:eastAsia="Times New Roman"/>
          <w:vertAlign w:val="superscript"/>
        </w:rPr>
        <w:t>r</w:t>
      </w:r>
      <w:r w:rsidRPr="626203BE">
        <w:rPr>
          <w:rFonts w:eastAsia="Times New Roman"/>
        </w:rPr>
        <w:t>;</w:t>
      </w:r>
      <w:proofErr w:type="gramEnd"/>
    </w:p>
    <w:p w:rsidRPr="00FB0E73" w:rsidR="0041438C" w:rsidP="626203BE" w:rsidRDefault="0041438C" w14:paraId="3C04DD46" w14:textId="047E56A4">
      <w:pPr>
        <w:pStyle w:val="ListParagraph"/>
        <w:numPr>
          <w:ilvl w:val="0"/>
          <w:numId w:val="7"/>
        </w:numPr>
        <w:rPr>
          <w:lang w:val="en-US"/>
        </w:rPr>
      </w:pPr>
      <w:r w:rsidRPr="626203BE">
        <w:rPr>
          <w:lang w:val="en-US"/>
        </w:rPr>
        <w:t xml:space="preserve">O’Donnell, Joan </w:t>
      </w:r>
      <w:proofErr w:type="gramStart"/>
      <w:r w:rsidRPr="626203BE" w:rsidR="11A3B835">
        <w:rPr>
          <w:rFonts w:eastAsia="Times New Roman"/>
          <w:vertAlign w:val="superscript"/>
        </w:rPr>
        <w:t>s</w:t>
      </w:r>
      <w:r w:rsidRPr="626203BE">
        <w:rPr>
          <w:rFonts w:eastAsia="Times New Roman"/>
        </w:rPr>
        <w:t>;</w:t>
      </w:r>
      <w:proofErr w:type="gramEnd"/>
    </w:p>
    <w:p w:rsidRPr="0008641C" w:rsidR="0041438C" w:rsidP="626203BE" w:rsidRDefault="0041438C" w14:paraId="21A987FE" w14:textId="760A04CF">
      <w:pPr>
        <w:pStyle w:val="ListParagraph"/>
        <w:numPr>
          <w:ilvl w:val="0"/>
          <w:numId w:val="7"/>
        </w:numPr>
        <w:rPr>
          <w:lang w:val="en-US"/>
        </w:rPr>
      </w:pPr>
      <w:proofErr w:type="spellStart"/>
      <w:r w:rsidRPr="626203BE">
        <w:rPr>
          <w:lang w:val="en-US"/>
        </w:rPr>
        <w:t>Oza</w:t>
      </w:r>
      <w:proofErr w:type="spellEnd"/>
      <w:r w:rsidRPr="626203BE">
        <w:rPr>
          <w:lang w:val="en-US"/>
        </w:rPr>
        <w:t xml:space="preserve">, Ajay </w:t>
      </w:r>
      <w:proofErr w:type="gramStart"/>
      <w:r w:rsidRPr="626203BE" w:rsidR="7FA44EBC">
        <w:rPr>
          <w:rFonts w:eastAsia="Times New Roman"/>
          <w:vertAlign w:val="superscript"/>
        </w:rPr>
        <w:t>s</w:t>
      </w:r>
      <w:r w:rsidRPr="626203BE">
        <w:rPr>
          <w:rFonts w:eastAsia="Times New Roman"/>
        </w:rPr>
        <w:t>;</w:t>
      </w:r>
      <w:proofErr w:type="gramEnd"/>
    </w:p>
    <w:p w:rsidRPr="0008641C" w:rsidR="0041438C" w:rsidP="626203BE" w:rsidRDefault="0041438C" w14:paraId="7FD2F2A3" w14:textId="79676684">
      <w:pPr>
        <w:pStyle w:val="ListParagraph"/>
        <w:numPr>
          <w:ilvl w:val="0"/>
          <w:numId w:val="7"/>
        </w:numPr>
        <w:rPr>
          <w:lang w:val="en-US"/>
        </w:rPr>
      </w:pPr>
      <w:r w:rsidRPr="626203BE">
        <w:rPr>
          <w:lang w:val="en-US"/>
        </w:rPr>
        <w:t xml:space="preserve">Kaufman, </w:t>
      </w:r>
      <w:proofErr w:type="spellStart"/>
      <w:r w:rsidRPr="626203BE">
        <w:rPr>
          <w:lang w:val="en-US"/>
        </w:rPr>
        <w:t>Zalman</w:t>
      </w:r>
      <w:proofErr w:type="spellEnd"/>
      <w:r w:rsidRPr="626203BE">
        <w:rPr>
          <w:lang w:val="en-US"/>
        </w:rPr>
        <w:t xml:space="preserve"> </w:t>
      </w:r>
      <w:proofErr w:type="gramStart"/>
      <w:r w:rsidRPr="626203BE" w:rsidR="2A41D0F8">
        <w:rPr>
          <w:rFonts w:eastAsia="Times New Roman"/>
          <w:vertAlign w:val="superscript"/>
        </w:rPr>
        <w:t>t</w:t>
      </w:r>
      <w:r w:rsidRPr="626203BE">
        <w:rPr>
          <w:rFonts w:eastAsia="Times New Roman"/>
        </w:rPr>
        <w:t>;</w:t>
      </w:r>
      <w:proofErr w:type="gramEnd"/>
    </w:p>
    <w:p w:rsidRPr="0008641C" w:rsidR="0041438C" w:rsidP="00D77C23" w:rsidRDefault="0041438C" w14:paraId="5AB34F79" w14:textId="534595E5">
      <w:pPr>
        <w:pStyle w:val="ListParagraph"/>
        <w:numPr>
          <w:ilvl w:val="0"/>
          <w:numId w:val="7"/>
        </w:numPr>
        <w:rPr>
          <w:lang w:val="en-US"/>
        </w:rPr>
      </w:pPr>
      <w:r w:rsidRPr="626203BE">
        <w:rPr>
          <w:rFonts w:eastAsia="Times New Roman"/>
        </w:rPr>
        <w:t xml:space="preserve">Zucker, Inbar </w:t>
      </w:r>
      <w:proofErr w:type="spellStart"/>
      <w:proofErr w:type="gramStart"/>
      <w:r w:rsidRPr="626203BE" w:rsidR="7A4898F4">
        <w:rPr>
          <w:rFonts w:eastAsia="Times New Roman"/>
          <w:vertAlign w:val="superscript"/>
        </w:rPr>
        <w:t>t</w:t>
      </w:r>
      <w:r w:rsidRPr="626203BE">
        <w:rPr>
          <w:rFonts w:eastAsia="Times New Roman"/>
          <w:vertAlign w:val="superscript"/>
        </w:rPr>
        <w:t>,</w:t>
      </w:r>
      <w:r w:rsidRPr="626203BE" w:rsidR="757A1B5A">
        <w:rPr>
          <w:rFonts w:eastAsia="Times New Roman"/>
          <w:vertAlign w:val="superscript"/>
        </w:rPr>
        <w:t>u</w:t>
      </w:r>
      <w:proofErr w:type="spellEnd"/>
      <w:proofErr w:type="gramEnd"/>
      <w:r w:rsidRPr="626203BE">
        <w:rPr>
          <w:rFonts w:eastAsia="Times New Roman"/>
          <w:vertAlign w:val="superscript"/>
        </w:rPr>
        <w:t xml:space="preserve"> </w:t>
      </w:r>
      <w:r w:rsidRPr="626203BE">
        <w:rPr>
          <w:rFonts w:eastAsia="Times New Roman"/>
        </w:rPr>
        <w:t>;</w:t>
      </w:r>
    </w:p>
    <w:p w:rsidRPr="00F0459A" w:rsidR="0041438C" w:rsidP="626203BE" w:rsidRDefault="0041438C" w14:paraId="2BFCC354" w14:textId="0F0E3E3B">
      <w:pPr>
        <w:pStyle w:val="ListParagraph"/>
        <w:numPr>
          <w:ilvl w:val="0"/>
          <w:numId w:val="7"/>
        </w:numPr>
        <w:rPr>
          <w:lang w:val="en-US"/>
        </w:rPr>
      </w:pPr>
      <w:r w:rsidRPr="626203BE">
        <w:rPr>
          <w:lang w:val="en-US"/>
        </w:rPr>
        <w:t xml:space="preserve">Ambrosio, Giuseppe </w:t>
      </w:r>
      <w:r w:rsidRPr="626203BE" w:rsidR="1006ED73">
        <w:rPr>
          <w:rFonts w:eastAsia="Times New Roman"/>
          <w:vertAlign w:val="superscript"/>
        </w:rPr>
        <w:t>v</w:t>
      </w:r>
      <w:r w:rsidRPr="626203BE">
        <w:rPr>
          <w:rFonts w:eastAsia="Times New Roman"/>
          <w:vertAlign w:val="superscript"/>
        </w:rPr>
        <w:t xml:space="preserve">, </w:t>
      </w:r>
      <w:proofErr w:type="gramStart"/>
      <w:r w:rsidRPr="626203BE" w:rsidR="087C3778">
        <w:rPr>
          <w:rFonts w:eastAsia="Times New Roman"/>
          <w:vertAlign w:val="superscript"/>
        </w:rPr>
        <w:t>w</w:t>
      </w:r>
      <w:r w:rsidRPr="626203BE">
        <w:rPr>
          <w:rFonts w:eastAsia="Times New Roman"/>
        </w:rPr>
        <w:t>;</w:t>
      </w:r>
      <w:proofErr w:type="gramEnd"/>
    </w:p>
    <w:p w:rsidRPr="00F0459A" w:rsidR="0041438C" w:rsidP="626203BE" w:rsidRDefault="0041438C" w14:paraId="1ADE3659" w14:textId="3C25EFCF">
      <w:pPr>
        <w:pStyle w:val="ListParagraph"/>
        <w:numPr>
          <w:ilvl w:val="0"/>
          <w:numId w:val="7"/>
        </w:numPr>
        <w:rPr>
          <w:lang w:val="en-US"/>
        </w:rPr>
      </w:pPr>
      <w:proofErr w:type="spellStart"/>
      <w:r w:rsidRPr="626203BE">
        <w:rPr>
          <w:lang w:val="en-US"/>
        </w:rPr>
        <w:t>Stracci</w:t>
      </w:r>
      <w:proofErr w:type="spellEnd"/>
      <w:r w:rsidRPr="626203BE">
        <w:rPr>
          <w:lang w:val="en-US"/>
        </w:rPr>
        <w:t xml:space="preserve">, Fabrizio </w:t>
      </w:r>
      <w:proofErr w:type="gramStart"/>
      <w:r w:rsidRPr="626203BE" w:rsidR="1083A43F">
        <w:rPr>
          <w:rFonts w:eastAsia="Times New Roman"/>
          <w:vertAlign w:val="superscript"/>
        </w:rPr>
        <w:t>v</w:t>
      </w:r>
      <w:r w:rsidRPr="626203BE">
        <w:rPr>
          <w:rFonts w:eastAsia="Times New Roman"/>
        </w:rPr>
        <w:t>;</w:t>
      </w:r>
      <w:proofErr w:type="gramEnd"/>
    </w:p>
    <w:p w:rsidRPr="002C1414" w:rsidR="0041438C" w:rsidP="626203BE" w:rsidRDefault="0041438C" w14:paraId="59D7BD16" w14:textId="08B022AE">
      <w:pPr>
        <w:pStyle w:val="ListParagraph"/>
        <w:numPr>
          <w:ilvl w:val="0"/>
          <w:numId w:val="7"/>
        </w:numPr>
        <w:rPr>
          <w:lang w:val="en-US"/>
        </w:rPr>
      </w:pPr>
      <w:r w:rsidRPr="626203BE">
        <w:rPr>
          <w:lang w:val="en-US"/>
        </w:rPr>
        <w:t xml:space="preserve">Hagen, </w:t>
      </w:r>
      <w:proofErr w:type="spellStart"/>
      <w:r w:rsidRPr="626203BE">
        <w:rPr>
          <w:lang w:val="en-US"/>
        </w:rPr>
        <w:t>Terje</w:t>
      </w:r>
      <w:proofErr w:type="spellEnd"/>
      <w:r w:rsidRPr="626203BE">
        <w:rPr>
          <w:lang w:val="en-US"/>
        </w:rPr>
        <w:t xml:space="preserve"> P. </w:t>
      </w:r>
      <w:proofErr w:type="gramStart"/>
      <w:r w:rsidRPr="626203BE" w:rsidR="44C85838">
        <w:rPr>
          <w:rFonts w:eastAsia="Times New Roman"/>
          <w:vertAlign w:val="superscript"/>
        </w:rPr>
        <w:t>x</w:t>
      </w:r>
      <w:r w:rsidRPr="626203BE">
        <w:rPr>
          <w:rFonts w:eastAsia="Times New Roman"/>
        </w:rPr>
        <w:t>;</w:t>
      </w:r>
      <w:proofErr w:type="gramEnd"/>
    </w:p>
    <w:p w:rsidRPr="002C1414" w:rsidR="0041438C" w:rsidP="626203BE" w:rsidRDefault="0041438C" w14:paraId="447DDD24" w14:textId="73A9AA3C">
      <w:pPr>
        <w:pStyle w:val="ListParagraph"/>
        <w:numPr>
          <w:ilvl w:val="0"/>
          <w:numId w:val="7"/>
        </w:numPr>
        <w:rPr>
          <w:lang w:val="en-US"/>
        </w:rPr>
      </w:pPr>
      <w:proofErr w:type="spellStart"/>
      <w:r w:rsidRPr="626203BE">
        <w:rPr>
          <w:lang w:val="en-US"/>
        </w:rPr>
        <w:t>Erzen</w:t>
      </w:r>
      <w:proofErr w:type="spellEnd"/>
      <w:r w:rsidRPr="626203BE">
        <w:rPr>
          <w:lang w:val="en-US"/>
        </w:rPr>
        <w:t xml:space="preserve">, Ivan </w:t>
      </w:r>
      <w:proofErr w:type="gramStart"/>
      <w:r w:rsidRPr="626203BE" w:rsidR="111E2301">
        <w:rPr>
          <w:rFonts w:eastAsia="Times New Roman"/>
          <w:vertAlign w:val="superscript"/>
        </w:rPr>
        <w:t>y</w:t>
      </w:r>
      <w:r w:rsidRPr="626203BE">
        <w:rPr>
          <w:rFonts w:eastAsia="Times New Roman"/>
        </w:rPr>
        <w:t>;</w:t>
      </w:r>
      <w:proofErr w:type="gramEnd"/>
    </w:p>
    <w:p w:rsidRPr="002C1414" w:rsidR="0041438C" w:rsidP="626203BE" w:rsidRDefault="0041438C" w14:paraId="2B999A5A" w14:textId="1DB03ABF">
      <w:pPr>
        <w:pStyle w:val="ListParagraph"/>
        <w:numPr>
          <w:ilvl w:val="0"/>
          <w:numId w:val="7"/>
        </w:numPr>
        <w:rPr>
          <w:lang w:val="en-US"/>
        </w:rPr>
      </w:pPr>
      <w:proofErr w:type="spellStart"/>
      <w:r w:rsidRPr="626203BE">
        <w:rPr>
          <w:lang w:val="en-US"/>
        </w:rPr>
        <w:t>Klepac</w:t>
      </w:r>
      <w:proofErr w:type="spellEnd"/>
      <w:r w:rsidRPr="626203BE">
        <w:rPr>
          <w:lang w:val="en-US"/>
        </w:rPr>
        <w:t xml:space="preserve">, Petra </w:t>
      </w:r>
      <w:proofErr w:type="gramStart"/>
      <w:r w:rsidRPr="626203BE" w:rsidR="07D4484A">
        <w:rPr>
          <w:rFonts w:eastAsia="Times New Roman"/>
          <w:vertAlign w:val="superscript"/>
        </w:rPr>
        <w:t>z</w:t>
      </w:r>
      <w:r w:rsidRPr="626203BE">
        <w:rPr>
          <w:rFonts w:eastAsia="Times New Roman"/>
        </w:rPr>
        <w:t>;</w:t>
      </w:r>
      <w:proofErr w:type="gramEnd"/>
    </w:p>
    <w:p w:rsidRPr="002C1414" w:rsidR="0041438C" w:rsidP="626203BE" w:rsidRDefault="42ED3F9E" w14:paraId="5D2679D4" w14:textId="0CCA822A">
      <w:pPr>
        <w:pStyle w:val="ListParagraph"/>
        <w:numPr>
          <w:ilvl w:val="0"/>
          <w:numId w:val="7"/>
        </w:numPr>
        <w:rPr>
          <w:rFonts w:eastAsiaTheme="minorEastAsia"/>
          <w:lang w:val="en-US"/>
        </w:rPr>
      </w:pPr>
      <w:proofErr w:type="spellStart"/>
      <w:r w:rsidRPr="626203BE">
        <w:rPr>
          <w:lang w:val="en-US"/>
        </w:rPr>
        <w:t>Arcos</w:t>
      </w:r>
      <w:proofErr w:type="spellEnd"/>
      <w:r w:rsidRPr="626203BE">
        <w:rPr>
          <w:lang w:val="en-US"/>
        </w:rPr>
        <w:t xml:space="preserve"> González, Pedro </w:t>
      </w:r>
      <w:proofErr w:type="gramStart"/>
      <w:r w:rsidRPr="626203BE" w:rsidR="143B69EC">
        <w:rPr>
          <w:rFonts w:eastAsia="Times New Roman"/>
          <w:vertAlign w:val="superscript"/>
        </w:rPr>
        <w:t>aa</w:t>
      </w:r>
      <w:r w:rsidRPr="626203BE">
        <w:rPr>
          <w:rFonts w:eastAsia="Times New Roman"/>
        </w:rPr>
        <w:t>;</w:t>
      </w:r>
      <w:proofErr w:type="gramEnd"/>
      <w:r w:rsidRPr="626203BE">
        <w:rPr>
          <w:lang w:val="en-US"/>
        </w:rPr>
        <w:t xml:space="preserve"> </w:t>
      </w:r>
    </w:p>
    <w:p w:rsidRPr="002C1414" w:rsidR="0041438C" w:rsidP="6DCEBC4C" w:rsidRDefault="73641E90" w14:paraId="3EC3343B" w14:textId="4CA3A2A4">
      <w:pPr>
        <w:pStyle w:val="ListParagraph"/>
        <w:numPr>
          <w:ilvl w:val="0"/>
          <w:numId w:val="7"/>
        </w:numPr>
        <w:rPr>
          <w:lang w:val="en-US"/>
        </w:rPr>
      </w:pPr>
      <w:r w:rsidRPr="626203BE">
        <w:rPr>
          <w:lang w:val="en-US"/>
        </w:rPr>
        <w:t xml:space="preserve">Fernández </w:t>
      </w:r>
      <w:proofErr w:type="spellStart"/>
      <w:r w:rsidRPr="626203BE" w:rsidR="0041438C">
        <w:rPr>
          <w:lang w:val="en-US"/>
        </w:rPr>
        <w:t>Camporro</w:t>
      </w:r>
      <w:proofErr w:type="spellEnd"/>
      <w:r w:rsidRPr="626203BE" w:rsidR="0041438C">
        <w:rPr>
          <w:lang w:val="en-US"/>
        </w:rPr>
        <w:t xml:space="preserve">, </w:t>
      </w:r>
      <w:proofErr w:type="spellStart"/>
      <w:r w:rsidRPr="626203BE" w:rsidR="0041438C">
        <w:rPr>
          <w:lang w:val="en-US"/>
        </w:rPr>
        <w:t>Ángel</w:t>
      </w:r>
      <w:proofErr w:type="spellEnd"/>
      <w:r w:rsidRPr="626203BE" w:rsidR="0041438C">
        <w:rPr>
          <w:lang w:val="en-US"/>
        </w:rPr>
        <w:t xml:space="preserve"> </w:t>
      </w:r>
      <w:proofErr w:type="gramStart"/>
      <w:r w:rsidRPr="626203BE" w:rsidR="35674262">
        <w:rPr>
          <w:rFonts w:eastAsia="Times New Roman"/>
          <w:vertAlign w:val="superscript"/>
        </w:rPr>
        <w:t>aa</w:t>
      </w:r>
      <w:r w:rsidRPr="626203BE" w:rsidR="0041438C">
        <w:rPr>
          <w:rFonts w:eastAsia="Times New Roman"/>
        </w:rPr>
        <w:t>;</w:t>
      </w:r>
      <w:proofErr w:type="gramEnd"/>
    </w:p>
    <w:p w:rsidRPr="00BA667C" w:rsidR="0041438C" w:rsidP="6DCEBC4C" w:rsidRDefault="0041438C" w14:paraId="58628D12" w14:textId="61EE8366">
      <w:pPr>
        <w:pStyle w:val="ListParagraph"/>
        <w:numPr>
          <w:ilvl w:val="0"/>
          <w:numId w:val="7"/>
        </w:numPr>
        <w:rPr>
          <w:lang w:val="en-US"/>
        </w:rPr>
      </w:pPr>
      <w:proofErr w:type="spellStart"/>
      <w:r w:rsidRPr="00BA667C">
        <w:rPr>
          <w:lang w:val="en-US"/>
        </w:rPr>
        <w:t>Burström</w:t>
      </w:r>
      <w:proofErr w:type="spellEnd"/>
      <w:r w:rsidRPr="00BA667C">
        <w:rPr>
          <w:lang w:val="en-US"/>
        </w:rPr>
        <w:t xml:space="preserve">, Bo </w:t>
      </w:r>
      <w:proofErr w:type="gramStart"/>
      <w:r w:rsidRPr="00BA667C" w:rsidR="02DD7BE7">
        <w:rPr>
          <w:rFonts w:eastAsia="Times New Roman"/>
          <w:vertAlign w:val="superscript"/>
        </w:rPr>
        <w:t>ab</w:t>
      </w:r>
      <w:r w:rsidRPr="00BA667C">
        <w:rPr>
          <w:rFonts w:eastAsia="Times New Roman"/>
        </w:rPr>
        <w:t>;</w:t>
      </w:r>
      <w:proofErr w:type="gramEnd"/>
    </w:p>
    <w:p w:rsidRPr="00BA667C" w:rsidR="0041438C" w:rsidP="6DCEBC4C" w:rsidRDefault="0041438C" w14:paraId="194DA88D" w14:textId="789042C0">
      <w:pPr>
        <w:pStyle w:val="ListParagraph"/>
        <w:numPr>
          <w:ilvl w:val="0"/>
          <w:numId w:val="7"/>
        </w:numPr>
        <w:rPr>
          <w:lang w:val="en-US"/>
        </w:rPr>
      </w:pPr>
      <w:proofErr w:type="spellStart"/>
      <w:r w:rsidRPr="00BA667C">
        <w:rPr>
          <w:lang w:val="en-US"/>
        </w:rPr>
        <w:t>Pidmurniak</w:t>
      </w:r>
      <w:proofErr w:type="spellEnd"/>
      <w:r w:rsidRPr="00BA667C">
        <w:rPr>
          <w:lang w:val="en-US"/>
        </w:rPr>
        <w:t xml:space="preserve">, </w:t>
      </w:r>
      <w:proofErr w:type="spellStart"/>
      <w:r w:rsidRPr="00BA667C">
        <w:rPr>
          <w:lang w:val="en-US"/>
        </w:rPr>
        <w:t>Nataliia</w:t>
      </w:r>
      <w:proofErr w:type="spellEnd"/>
      <w:r w:rsidRPr="00BA667C">
        <w:rPr>
          <w:lang w:val="en-US"/>
        </w:rPr>
        <w:t xml:space="preserve"> </w:t>
      </w:r>
      <w:proofErr w:type="gramStart"/>
      <w:r w:rsidRPr="00BA667C" w:rsidR="2035D496">
        <w:rPr>
          <w:rFonts w:eastAsia="Times New Roman"/>
          <w:vertAlign w:val="superscript"/>
        </w:rPr>
        <w:t>a</w:t>
      </w:r>
      <w:r w:rsidRPr="00BA667C" w:rsidR="0015057D">
        <w:rPr>
          <w:rFonts w:eastAsia="Times New Roman"/>
          <w:vertAlign w:val="superscript"/>
        </w:rPr>
        <w:t>c</w:t>
      </w:r>
      <w:r w:rsidRPr="00BA667C">
        <w:rPr>
          <w:rFonts w:eastAsia="Times New Roman"/>
        </w:rPr>
        <w:t>;</w:t>
      </w:r>
      <w:proofErr w:type="gramEnd"/>
    </w:p>
    <w:p w:rsidRPr="00AF36D1" w:rsidR="0041438C" w:rsidP="6DCEBC4C" w:rsidRDefault="0041438C" w14:paraId="5347E431" w14:textId="08939ED4">
      <w:pPr>
        <w:pStyle w:val="ListParagraph"/>
        <w:numPr>
          <w:ilvl w:val="0"/>
          <w:numId w:val="7"/>
        </w:numPr>
        <w:rPr>
          <w:lang w:val="en-US"/>
        </w:rPr>
      </w:pPr>
      <w:proofErr w:type="spellStart"/>
      <w:r w:rsidRPr="626203BE">
        <w:rPr>
          <w:lang w:val="en-US"/>
        </w:rPr>
        <w:t>Verstiuk</w:t>
      </w:r>
      <w:proofErr w:type="spellEnd"/>
      <w:r w:rsidRPr="626203BE">
        <w:rPr>
          <w:lang w:val="en-US"/>
        </w:rPr>
        <w:t xml:space="preserve">, </w:t>
      </w:r>
      <w:proofErr w:type="spellStart"/>
      <w:r w:rsidRPr="626203BE">
        <w:rPr>
          <w:lang w:val="en-US"/>
        </w:rPr>
        <w:t>Olesia</w:t>
      </w:r>
      <w:proofErr w:type="spellEnd"/>
      <w:r w:rsidRPr="626203BE">
        <w:rPr>
          <w:lang w:val="en-US"/>
        </w:rPr>
        <w:t xml:space="preserve"> </w:t>
      </w:r>
      <w:proofErr w:type="gramStart"/>
      <w:r w:rsidRPr="626203BE" w:rsidR="1CFD4A5F">
        <w:rPr>
          <w:rFonts w:eastAsia="Times New Roman"/>
          <w:vertAlign w:val="superscript"/>
        </w:rPr>
        <w:t>a</w:t>
      </w:r>
      <w:r w:rsidR="0015057D">
        <w:rPr>
          <w:rFonts w:eastAsia="Times New Roman"/>
          <w:vertAlign w:val="superscript"/>
        </w:rPr>
        <w:t>c</w:t>
      </w:r>
      <w:r w:rsidRPr="626203BE">
        <w:rPr>
          <w:rFonts w:eastAsia="Times New Roman"/>
        </w:rPr>
        <w:t>;</w:t>
      </w:r>
      <w:proofErr w:type="gramEnd"/>
    </w:p>
    <w:p w:rsidRPr="00AF36D1" w:rsidR="00453561" w:rsidP="6DCEBC4C" w:rsidRDefault="00453561" w14:paraId="4EA4AEE1" w14:textId="12432C4D">
      <w:pPr>
        <w:pStyle w:val="ListParagraph"/>
        <w:numPr>
          <w:ilvl w:val="0"/>
          <w:numId w:val="7"/>
        </w:numPr>
        <w:rPr>
          <w:lang w:val="en-US"/>
        </w:rPr>
      </w:pPr>
      <w:r w:rsidRPr="626203BE">
        <w:rPr>
          <w:rFonts w:eastAsia="Times New Roman"/>
        </w:rPr>
        <w:lastRenderedPageBreak/>
        <w:t xml:space="preserve">Huang, Qian </w:t>
      </w:r>
      <w:proofErr w:type="gramStart"/>
      <w:r w:rsidRPr="626203BE" w:rsidR="40AA3B79">
        <w:rPr>
          <w:rFonts w:eastAsia="Times New Roman"/>
          <w:vertAlign w:val="superscript"/>
        </w:rPr>
        <w:t>a</w:t>
      </w:r>
      <w:r w:rsidR="0015057D">
        <w:rPr>
          <w:rFonts w:eastAsia="Times New Roman"/>
          <w:vertAlign w:val="superscript"/>
        </w:rPr>
        <w:t>d</w:t>
      </w:r>
      <w:r w:rsidRPr="626203BE">
        <w:rPr>
          <w:rFonts w:eastAsia="Times New Roman"/>
        </w:rPr>
        <w:t>;</w:t>
      </w:r>
      <w:proofErr w:type="gramEnd"/>
    </w:p>
    <w:p w:rsidRPr="00737B4D" w:rsidR="0041438C" w:rsidP="6DCEBC4C" w:rsidRDefault="0041438C" w14:paraId="080A03C5" w14:textId="1134260F">
      <w:pPr>
        <w:pStyle w:val="ListParagraph"/>
        <w:numPr>
          <w:ilvl w:val="0"/>
          <w:numId w:val="7"/>
        </w:numPr>
        <w:rPr>
          <w:lang w:val="en-US"/>
        </w:rPr>
      </w:pPr>
      <w:r w:rsidRPr="626203BE">
        <w:rPr>
          <w:lang w:val="en-US"/>
        </w:rPr>
        <w:t xml:space="preserve">Mehta, Neil Kishor </w:t>
      </w:r>
      <w:proofErr w:type="gramStart"/>
      <w:r w:rsidR="0015057D">
        <w:rPr>
          <w:rFonts w:eastAsia="Times New Roman"/>
          <w:vertAlign w:val="superscript"/>
        </w:rPr>
        <w:t>e</w:t>
      </w:r>
      <w:r w:rsidRPr="626203BE">
        <w:rPr>
          <w:rFonts w:eastAsia="Times New Roman"/>
        </w:rPr>
        <w:t>;</w:t>
      </w:r>
      <w:proofErr w:type="gramEnd"/>
    </w:p>
    <w:p w:rsidRPr="00AF36D1" w:rsidR="0041438C" w:rsidP="6DCEBC4C" w:rsidRDefault="0041438C" w14:paraId="033F597D" w14:textId="653D1A70">
      <w:pPr>
        <w:pStyle w:val="ListParagraph"/>
        <w:numPr>
          <w:ilvl w:val="0"/>
          <w:numId w:val="7"/>
        </w:numPr>
        <w:rPr>
          <w:lang w:val="en-US"/>
        </w:rPr>
      </w:pPr>
      <w:proofErr w:type="spellStart"/>
      <w:r w:rsidRPr="626203BE">
        <w:rPr>
          <w:rFonts w:eastAsia="Times New Roman"/>
        </w:rPr>
        <w:t>Polemitis</w:t>
      </w:r>
      <w:proofErr w:type="spellEnd"/>
      <w:r w:rsidRPr="626203BE">
        <w:rPr>
          <w:rFonts w:eastAsia="Times New Roman"/>
        </w:rPr>
        <w:t xml:space="preserve">, Antonis </w:t>
      </w:r>
      <w:proofErr w:type="spellStart"/>
      <w:proofErr w:type="gramStart"/>
      <w:r w:rsidRPr="626203BE" w:rsidR="58EDA0C9">
        <w:rPr>
          <w:rFonts w:eastAsia="Times New Roman"/>
          <w:vertAlign w:val="superscript"/>
        </w:rPr>
        <w:t>a</w:t>
      </w:r>
      <w:r w:rsidR="0015057D">
        <w:rPr>
          <w:rFonts w:eastAsia="Times New Roman"/>
          <w:vertAlign w:val="superscript"/>
        </w:rPr>
        <w:t>f</w:t>
      </w:r>
      <w:proofErr w:type="spellEnd"/>
      <w:r w:rsidRPr="626203BE">
        <w:rPr>
          <w:rFonts w:eastAsia="Times New Roman"/>
        </w:rPr>
        <w:t>;</w:t>
      </w:r>
      <w:proofErr w:type="gramEnd"/>
      <w:r w:rsidRPr="626203BE">
        <w:rPr>
          <w:rFonts w:eastAsia="Times New Roman"/>
        </w:rPr>
        <w:t xml:space="preserve"> </w:t>
      </w:r>
    </w:p>
    <w:p w:rsidRPr="00E90099" w:rsidR="0041438C" w:rsidP="6DCEBC4C" w:rsidRDefault="0041438C" w14:paraId="3058B760" w14:textId="76292CF1">
      <w:pPr>
        <w:pStyle w:val="ListParagraph"/>
        <w:numPr>
          <w:ilvl w:val="0"/>
          <w:numId w:val="7"/>
        </w:numPr>
        <w:spacing w:before="60" w:after="0" w:line="276" w:lineRule="auto"/>
        <w:rPr>
          <w:rFonts w:eastAsia="Times New Roman"/>
        </w:rPr>
      </w:pPr>
      <w:r w:rsidRPr="626203BE">
        <w:rPr>
          <w:rFonts w:eastAsia="Times New Roman"/>
        </w:rPr>
        <w:t xml:space="preserve">Charalambous, Andreas </w:t>
      </w:r>
      <w:proofErr w:type="gramStart"/>
      <w:r w:rsidRPr="00613AEA" w:rsidR="2910C4DD">
        <w:rPr>
          <w:rFonts w:eastAsia="Times New Roman"/>
          <w:vertAlign w:val="superscript"/>
        </w:rPr>
        <w:t>b</w:t>
      </w:r>
      <w:r w:rsidRPr="626203BE">
        <w:rPr>
          <w:rFonts w:eastAsia="Times New Roman"/>
        </w:rPr>
        <w:t>;</w:t>
      </w:r>
      <w:proofErr w:type="gramEnd"/>
      <w:r w:rsidRPr="626203BE">
        <w:rPr>
          <w:rFonts w:eastAsia="Times New Roman"/>
        </w:rPr>
        <w:t xml:space="preserve"> </w:t>
      </w:r>
    </w:p>
    <w:p w:rsidRPr="00283B76" w:rsidR="0041438C" w:rsidP="6DCEBC4C" w:rsidRDefault="0041438C" w14:paraId="567FA2BC" w14:textId="626A8A8F">
      <w:pPr>
        <w:pStyle w:val="ListParagraph"/>
        <w:numPr>
          <w:ilvl w:val="0"/>
          <w:numId w:val="7"/>
        </w:numPr>
        <w:spacing w:before="60" w:after="0" w:line="276" w:lineRule="auto"/>
        <w:rPr>
          <w:rFonts w:eastAsia="Times New Roman"/>
        </w:rPr>
      </w:pPr>
      <w:r w:rsidRPr="626203BE">
        <w:rPr>
          <w:rFonts w:eastAsia="Times New Roman"/>
        </w:rPr>
        <w:t xml:space="preserve">Demetriou, Christiana A. </w:t>
      </w:r>
      <w:r w:rsidRPr="00613AEA" w:rsidR="31BA5060">
        <w:rPr>
          <w:rFonts w:eastAsia="Times New Roman"/>
          <w:vertAlign w:val="superscript"/>
        </w:rPr>
        <w:t>a</w:t>
      </w:r>
      <w:r w:rsidRPr="000709EF" w:rsidR="000709EF">
        <w:rPr>
          <w:rFonts w:eastAsia="Times New Roman"/>
        </w:rPr>
        <w:t>*</w:t>
      </w:r>
      <w:r w:rsidRPr="626203BE">
        <w:rPr>
          <w:rFonts w:eastAsia="Times New Roman"/>
        </w:rPr>
        <w:t xml:space="preserve">; </w:t>
      </w:r>
      <w:r w:rsidRPr="626203BE" w:rsidR="00AD6C46">
        <w:rPr>
          <w:rFonts w:eastAsia="Times New Roman"/>
        </w:rPr>
        <w:t>On behalf of the C-MOR consortium</w:t>
      </w:r>
    </w:p>
    <w:p w:rsidRPr="00E90099" w:rsidR="0041438C" w:rsidP="0041438C" w:rsidRDefault="000709EF" w14:paraId="7992F45D" w14:textId="76F114DD">
      <w:pPr>
        <w:rPr>
          <w:b/>
          <w:lang w:val="en-US"/>
        </w:rPr>
      </w:pPr>
      <w:r w:rsidRPr="000709EF">
        <w:rPr>
          <w:b/>
          <w:vertAlign w:val="superscript"/>
          <w:lang w:val="en-US"/>
        </w:rPr>
        <w:t>$</w:t>
      </w:r>
      <w:r>
        <w:rPr>
          <w:b/>
          <w:lang w:val="en-US"/>
        </w:rPr>
        <w:t>joint first authors</w:t>
      </w:r>
    </w:p>
    <w:p w:rsidR="008642B8" w:rsidP="0041438C" w:rsidRDefault="008642B8" w14:paraId="220EDFFD" w14:textId="77777777">
      <w:pPr>
        <w:rPr>
          <w:b/>
          <w:bCs/>
          <w:lang w:val="en-US"/>
        </w:rPr>
      </w:pPr>
    </w:p>
    <w:p w:rsidRPr="00E90099" w:rsidR="0041438C" w:rsidP="0041438C" w:rsidRDefault="0041438C" w14:paraId="15B58D79" w14:textId="2DD36678">
      <w:pPr>
        <w:rPr>
          <w:b/>
          <w:lang w:val="en-US"/>
        </w:rPr>
      </w:pPr>
      <w:r w:rsidRPr="626203BE">
        <w:rPr>
          <w:b/>
          <w:bCs/>
          <w:lang w:val="en-US"/>
        </w:rPr>
        <w:t>Affiliations</w:t>
      </w:r>
    </w:p>
    <w:p w:rsidRPr="00340823" w:rsidR="0041438C" w:rsidP="4FBC0E3E" w:rsidRDefault="25145BEE" w14:paraId="3F3E4F9B" w14:textId="2E038086">
      <w:pPr>
        <w:rPr>
          <w:lang w:val="en-US"/>
        </w:rPr>
      </w:pPr>
      <w:r w:rsidRPr="4FBC0E3E">
        <w:rPr>
          <w:rFonts w:eastAsia="Times New Roman"/>
          <w:vertAlign w:val="superscript"/>
        </w:rPr>
        <w:t>a</w:t>
      </w:r>
      <w:r w:rsidRPr="4FBC0E3E">
        <w:rPr>
          <w:rFonts w:eastAsia="Times New Roman"/>
        </w:rPr>
        <w:t xml:space="preserve"> </w:t>
      </w:r>
      <w:r w:rsidRPr="4FBC0E3E" w:rsidR="0041438C">
        <w:rPr>
          <w:rFonts w:eastAsia="Times New Roman"/>
        </w:rPr>
        <w:t>Department of Primary Care and Population Health, University of Nicosia Medical School, Nicosia, Cyprus</w:t>
      </w:r>
    </w:p>
    <w:p w:rsidRPr="00340823" w:rsidR="0041438C" w:rsidP="00613AEA" w:rsidRDefault="63C1C2A3" w14:paraId="507C8B08" w14:textId="53C99B4B">
      <w:pPr>
        <w:rPr>
          <w:lang w:val="en-US"/>
        </w:rPr>
      </w:pPr>
      <w:proofErr w:type="spellStart"/>
      <w:r w:rsidRPr="4FBC0E3E">
        <w:rPr>
          <w:rFonts w:eastAsia="Times New Roman"/>
          <w:vertAlign w:val="superscript"/>
        </w:rPr>
        <w:t>b</w:t>
      </w:r>
      <w:r w:rsidRPr="4FBC0E3E" w:rsidR="0041438C">
        <w:rPr>
          <w:rFonts w:eastAsia="Times New Roman"/>
        </w:rPr>
        <w:t>University</w:t>
      </w:r>
      <w:proofErr w:type="spellEnd"/>
      <w:r w:rsidRPr="4FBC0E3E" w:rsidR="0041438C">
        <w:rPr>
          <w:rFonts w:eastAsia="Times New Roman"/>
        </w:rPr>
        <w:t xml:space="preserve"> of Nicosia Medical School, Nicosia, Cyprus</w:t>
      </w:r>
    </w:p>
    <w:p w:rsidRPr="00340823" w:rsidR="00340823" w:rsidP="00613AEA" w:rsidRDefault="5B20289C" w14:paraId="2226DA99" w14:textId="121E4628">
      <w:pPr>
        <w:rPr>
          <w:lang w:val="en-US"/>
        </w:rPr>
      </w:pPr>
      <w:proofErr w:type="spellStart"/>
      <w:r w:rsidRPr="00613AEA">
        <w:rPr>
          <w:vertAlign w:val="superscript"/>
        </w:rPr>
        <w:t>c</w:t>
      </w:r>
      <w:r w:rsidR="002667A5">
        <w:t>Department</w:t>
      </w:r>
      <w:proofErr w:type="spellEnd"/>
      <w:r w:rsidR="00340823">
        <w:t xml:space="preserve"> of Basic and Clinical Sciences, University of Nicosia Medical School, Nicosia, Cyprus</w:t>
      </w:r>
    </w:p>
    <w:p w:rsidRPr="001B3645" w:rsidR="0041438C" w:rsidP="00613AEA" w:rsidRDefault="518F1B16" w14:paraId="54EE860D" w14:textId="1EDCD6E7">
      <w:pPr>
        <w:rPr>
          <w:lang w:val="en-US"/>
        </w:rPr>
      </w:pPr>
      <w:proofErr w:type="spellStart"/>
      <w:r w:rsidRPr="00613AEA">
        <w:rPr>
          <w:rFonts w:eastAsia="Times New Roman"/>
          <w:vertAlign w:val="superscript"/>
        </w:rPr>
        <w:t>d</w:t>
      </w:r>
      <w:r w:rsidRPr="626203BE" w:rsidR="0041438C">
        <w:rPr>
          <w:rFonts w:eastAsia="Times New Roman"/>
        </w:rPr>
        <w:t>European</w:t>
      </w:r>
      <w:proofErr w:type="spellEnd"/>
      <w:r w:rsidRPr="626203BE" w:rsidR="0041438C">
        <w:rPr>
          <w:rFonts w:eastAsia="Times New Roman"/>
        </w:rPr>
        <w:t xml:space="preserve"> Commission Joint Research Centre,</w:t>
      </w:r>
      <w:r w:rsidRPr="626203BE" w:rsidR="5DA768EF">
        <w:rPr>
          <w:rFonts w:eastAsia="Times New Roman"/>
        </w:rPr>
        <w:t xml:space="preserve"> </w:t>
      </w:r>
      <w:proofErr w:type="spellStart"/>
      <w:r w:rsidRPr="626203BE" w:rsidR="5DA768EF">
        <w:rPr>
          <w:rFonts w:eastAsia="Times New Roman"/>
        </w:rPr>
        <w:t>Ispra</w:t>
      </w:r>
      <w:proofErr w:type="spellEnd"/>
      <w:r w:rsidRPr="626203BE" w:rsidR="5DA768EF">
        <w:rPr>
          <w:rFonts w:eastAsia="Times New Roman"/>
        </w:rPr>
        <w:t>,</w:t>
      </w:r>
      <w:r w:rsidRPr="626203BE" w:rsidR="0041438C">
        <w:rPr>
          <w:rFonts w:eastAsia="Times New Roman"/>
        </w:rPr>
        <w:t xml:space="preserve"> Italy</w:t>
      </w:r>
    </w:p>
    <w:p w:rsidR="0041438C" w:rsidP="00613AEA" w:rsidRDefault="0C5C61F6" w14:paraId="5D9979E3" w14:textId="44AD96AA">
      <w:pPr>
        <w:rPr>
          <w:lang w:val="en-US"/>
        </w:rPr>
      </w:pPr>
      <w:proofErr w:type="spellStart"/>
      <w:r w:rsidRPr="00613AEA">
        <w:rPr>
          <w:vertAlign w:val="superscript"/>
          <w:lang w:val="en-US"/>
        </w:rPr>
        <w:t>e</w:t>
      </w:r>
      <w:r w:rsidRPr="626203BE" w:rsidR="0041438C">
        <w:rPr>
          <w:lang w:val="en-US"/>
        </w:rPr>
        <w:t>School</w:t>
      </w:r>
      <w:proofErr w:type="spellEnd"/>
      <w:r w:rsidRPr="626203BE" w:rsidR="0041438C">
        <w:rPr>
          <w:lang w:val="en-US"/>
        </w:rPr>
        <w:t xml:space="preserve"> of Health and Social Development, Deakin University, Melbourne, Australia</w:t>
      </w:r>
    </w:p>
    <w:p w:rsidR="0041438C" w:rsidP="00613AEA" w:rsidRDefault="2CAFB2C0" w14:paraId="63E5D925" w14:textId="52FB58D9">
      <w:pPr>
        <w:rPr>
          <w:lang w:val="en-US"/>
        </w:rPr>
      </w:pPr>
      <w:proofErr w:type="spellStart"/>
      <w:r w:rsidRPr="00613AEA">
        <w:rPr>
          <w:vertAlign w:val="superscript"/>
          <w:lang w:val="en-US"/>
        </w:rPr>
        <w:t>f</w:t>
      </w:r>
      <w:r w:rsidRPr="626203BE" w:rsidR="0041438C">
        <w:rPr>
          <w:lang w:val="en-US"/>
        </w:rPr>
        <w:t>Department</w:t>
      </w:r>
      <w:proofErr w:type="spellEnd"/>
      <w:r w:rsidRPr="626203BE" w:rsidR="0041438C">
        <w:rPr>
          <w:lang w:val="en-US"/>
        </w:rPr>
        <w:t xml:space="preserve"> of Epidemiology, Center for Public Health, Medical University of Vienna, Vienna, Austria</w:t>
      </w:r>
    </w:p>
    <w:p w:rsidR="0041438C" w:rsidP="00613AEA" w:rsidRDefault="7EA709E6" w14:paraId="03C85EED" w14:textId="14CD357C">
      <w:pPr>
        <w:rPr>
          <w:lang w:val="en-US"/>
        </w:rPr>
      </w:pPr>
      <w:proofErr w:type="spellStart"/>
      <w:r w:rsidRPr="00613AEA">
        <w:rPr>
          <w:vertAlign w:val="superscript"/>
          <w:lang w:val="en-US"/>
        </w:rPr>
        <w:t>g</w:t>
      </w:r>
      <w:r w:rsidRPr="626203BE" w:rsidR="0041438C">
        <w:rPr>
          <w:lang w:val="en-US"/>
        </w:rPr>
        <w:t>Institute</w:t>
      </w:r>
      <w:proofErr w:type="spellEnd"/>
      <w:r w:rsidRPr="626203BE" w:rsidR="0041438C">
        <w:rPr>
          <w:lang w:val="en-US"/>
        </w:rPr>
        <w:t xml:space="preserve"> of Studies in Collective Health (IESC), </w:t>
      </w:r>
      <w:r w:rsidRPr="626203BE" w:rsidR="21F6D312">
        <w:rPr>
          <w:lang w:val="en-US"/>
        </w:rPr>
        <w:t xml:space="preserve">Federal University of Rio de Janeiro, </w:t>
      </w:r>
      <w:r w:rsidRPr="626203BE" w:rsidR="0041438C">
        <w:rPr>
          <w:lang w:val="en-US"/>
        </w:rPr>
        <w:t xml:space="preserve">Rio de Janeiro, </w:t>
      </w:r>
      <w:proofErr w:type="spellStart"/>
      <w:r w:rsidRPr="626203BE" w:rsidR="0041438C">
        <w:rPr>
          <w:lang w:val="en-US"/>
        </w:rPr>
        <w:t>Brasil</w:t>
      </w:r>
      <w:proofErr w:type="spellEnd"/>
    </w:p>
    <w:p w:rsidR="0041438C" w:rsidP="00613AEA" w:rsidRDefault="05C0EA70" w14:paraId="38EE4E97" w14:textId="41AF19B1">
      <w:pPr>
        <w:rPr>
          <w:rFonts w:eastAsiaTheme="minorEastAsia"/>
          <w:lang w:val="en-US"/>
        </w:rPr>
      </w:pPr>
      <w:proofErr w:type="spellStart"/>
      <w:r w:rsidRPr="00613AEA">
        <w:rPr>
          <w:vertAlign w:val="superscript"/>
          <w:lang w:val="en-US"/>
        </w:rPr>
        <w:t>h</w:t>
      </w:r>
      <w:r w:rsidRPr="626203BE" w:rsidR="0041438C">
        <w:rPr>
          <w:lang w:val="en-US"/>
        </w:rPr>
        <w:t>Department</w:t>
      </w:r>
      <w:proofErr w:type="spellEnd"/>
      <w:r w:rsidRPr="626203BE" w:rsidR="0041438C">
        <w:rPr>
          <w:lang w:val="en-US"/>
        </w:rPr>
        <w:t xml:space="preserve"> of Epidemiology and Biostatistics, Institute of Collective Health</w:t>
      </w:r>
      <w:r w:rsidRPr="626203BE" w:rsidR="55DE1579">
        <w:rPr>
          <w:lang w:val="en-US"/>
        </w:rPr>
        <w:t xml:space="preserve"> (ISC)</w:t>
      </w:r>
      <w:r w:rsidRPr="626203BE" w:rsidR="0041438C">
        <w:rPr>
          <w:lang w:val="en-US"/>
        </w:rPr>
        <w:t>,</w:t>
      </w:r>
      <w:r w:rsidRPr="626203BE" w:rsidR="433E09F3">
        <w:rPr>
          <w:lang w:val="en-US"/>
        </w:rPr>
        <w:t xml:space="preserve"> </w:t>
      </w:r>
      <w:r w:rsidRPr="626203BE" w:rsidR="4A7F3660">
        <w:rPr>
          <w:lang w:val="en-US"/>
        </w:rPr>
        <w:t xml:space="preserve">Fluminense </w:t>
      </w:r>
      <w:r w:rsidRPr="626203BE" w:rsidR="433E09F3">
        <w:rPr>
          <w:lang w:val="en-US"/>
        </w:rPr>
        <w:t xml:space="preserve">Federal University </w:t>
      </w:r>
      <w:proofErr w:type="spellStart"/>
      <w:r w:rsidRPr="626203BE" w:rsidR="0041438C">
        <w:rPr>
          <w:lang w:val="en-US"/>
        </w:rPr>
        <w:t>Niterói</w:t>
      </w:r>
      <w:proofErr w:type="spellEnd"/>
      <w:r w:rsidRPr="626203BE" w:rsidR="0041438C">
        <w:rPr>
          <w:lang w:val="en-US"/>
        </w:rPr>
        <w:t xml:space="preserve">, </w:t>
      </w:r>
      <w:proofErr w:type="spellStart"/>
      <w:r w:rsidRPr="626203BE" w:rsidR="0041438C">
        <w:rPr>
          <w:lang w:val="en-US"/>
        </w:rPr>
        <w:t>Brasil</w:t>
      </w:r>
      <w:proofErr w:type="spellEnd"/>
    </w:p>
    <w:p w:rsidR="0041438C" w:rsidP="00613AEA" w:rsidRDefault="2BAF4715" w14:paraId="2949BBF1" w14:textId="7DDD9419">
      <w:pPr>
        <w:rPr>
          <w:lang w:val="en-US"/>
        </w:rPr>
      </w:pPr>
      <w:proofErr w:type="spellStart"/>
      <w:r w:rsidRPr="00613AEA">
        <w:rPr>
          <w:vertAlign w:val="superscript"/>
          <w:lang w:val="en-US"/>
        </w:rPr>
        <w:t>i</w:t>
      </w:r>
      <w:r w:rsidRPr="626203BE" w:rsidR="0041438C">
        <w:rPr>
          <w:lang w:val="en-US"/>
        </w:rPr>
        <w:t>National</w:t>
      </w:r>
      <w:proofErr w:type="spellEnd"/>
      <w:r w:rsidRPr="626203BE" w:rsidR="0041438C">
        <w:rPr>
          <w:lang w:val="en-US"/>
        </w:rPr>
        <w:t xml:space="preserve"> Health Observatory, National Institute of Public Health, Praia, Cape Verde</w:t>
      </w:r>
    </w:p>
    <w:p w:rsidR="0041438C" w:rsidP="00613AEA" w:rsidRDefault="3EE35862" w14:paraId="0CBBD22A" w14:textId="0EC66138">
      <w:pPr>
        <w:rPr>
          <w:lang w:val="en-US"/>
        </w:rPr>
      </w:pPr>
      <w:proofErr w:type="spellStart"/>
      <w:r w:rsidRPr="00613AEA">
        <w:rPr>
          <w:vertAlign w:val="superscript"/>
          <w:lang w:val="en-US"/>
        </w:rPr>
        <w:t>j</w:t>
      </w:r>
      <w:r w:rsidRPr="626203BE" w:rsidR="0041438C">
        <w:rPr>
          <w:lang w:val="en-US"/>
        </w:rPr>
        <w:t>Nature</w:t>
      </w:r>
      <w:proofErr w:type="spellEnd"/>
      <w:r w:rsidRPr="626203BE" w:rsidR="0041438C">
        <w:rPr>
          <w:lang w:val="en-US"/>
        </w:rPr>
        <w:t>, Life and Environment Sciences Department, University Jean Piaget of Cape Verde, Praia, Cape Verde</w:t>
      </w:r>
    </w:p>
    <w:p w:rsidR="0041438C" w:rsidP="00613AEA" w:rsidRDefault="7E3F3CE3" w14:paraId="1C7A3EEC" w14:textId="48D53D75">
      <w:pPr>
        <w:rPr>
          <w:lang w:val="en-US"/>
        </w:rPr>
      </w:pPr>
      <w:proofErr w:type="spellStart"/>
      <w:r w:rsidRPr="00613AEA">
        <w:rPr>
          <w:vertAlign w:val="superscript"/>
          <w:lang w:val="en-US"/>
        </w:rPr>
        <w:t>k</w:t>
      </w:r>
      <w:r w:rsidRPr="626203BE" w:rsidR="0041438C">
        <w:rPr>
          <w:lang w:val="en-US"/>
        </w:rPr>
        <w:t>Medicine</w:t>
      </w:r>
      <w:proofErr w:type="spellEnd"/>
      <w:r w:rsidRPr="626203BE" w:rsidR="0041438C">
        <w:rPr>
          <w:lang w:val="en-US"/>
        </w:rPr>
        <w:t xml:space="preserve"> Faculty, Cooperative University of Colombia, Villavicencio, Colombia</w:t>
      </w:r>
    </w:p>
    <w:p w:rsidR="0041438C" w:rsidP="00613AEA" w:rsidRDefault="56CC4FC5" w14:paraId="18CC96EA" w14:textId="340AE387">
      <w:pPr>
        <w:rPr>
          <w:lang w:val="en-US"/>
        </w:rPr>
      </w:pPr>
      <w:proofErr w:type="spellStart"/>
      <w:r w:rsidRPr="00613AEA">
        <w:rPr>
          <w:vertAlign w:val="superscript"/>
          <w:lang w:val="en-US"/>
        </w:rPr>
        <w:t>l</w:t>
      </w:r>
      <w:r w:rsidRPr="626203BE" w:rsidR="0041438C">
        <w:rPr>
          <w:lang w:val="en-US"/>
        </w:rPr>
        <w:t>Department</w:t>
      </w:r>
      <w:proofErr w:type="spellEnd"/>
      <w:r w:rsidRPr="626203BE" w:rsidR="0041438C">
        <w:rPr>
          <w:lang w:val="en-US"/>
        </w:rPr>
        <w:t xml:space="preserve"> of Public Health, University of Copenhagen, Copenhagen, Denmark, Methods and Analysis, Statistics Denmark, Copenhagen, Denmark</w:t>
      </w:r>
    </w:p>
    <w:p w:rsidR="0041438C" w:rsidP="00613AEA" w:rsidRDefault="76E43DD3" w14:paraId="7BC644CE" w14:textId="2565E77A">
      <w:pPr>
        <w:rPr>
          <w:lang w:val="en-US"/>
        </w:rPr>
      </w:pPr>
      <w:proofErr w:type="spellStart"/>
      <w:r w:rsidRPr="00613AEA">
        <w:rPr>
          <w:vertAlign w:val="superscript"/>
          <w:lang w:val="en-US"/>
        </w:rPr>
        <w:t>m</w:t>
      </w:r>
      <w:r w:rsidRPr="626203BE" w:rsidR="0041438C">
        <w:rPr>
          <w:lang w:val="en-US"/>
        </w:rPr>
        <w:t>Population</w:t>
      </w:r>
      <w:proofErr w:type="spellEnd"/>
      <w:r w:rsidRPr="626203BE" w:rsidR="0041438C">
        <w:rPr>
          <w:lang w:val="en-US"/>
        </w:rPr>
        <w:t xml:space="preserve"> Health Research Institute, St George's, University of London, London, UK</w:t>
      </w:r>
    </w:p>
    <w:p w:rsidR="0041438C" w:rsidP="00613AEA" w:rsidRDefault="0365E982" w14:paraId="004A7CB7" w14:textId="2E8B0579">
      <w:pPr>
        <w:rPr>
          <w:lang w:val="en-US"/>
        </w:rPr>
      </w:pPr>
      <w:proofErr w:type="spellStart"/>
      <w:r w:rsidRPr="00613AEA">
        <w:rPr>
          <w:vertAlign w:val="superscript"/>
          <w:lang w:val="en-US"/>
        </w:rPr>
        <w:t>n</w:t>
      </w:r>
      <w:r w:rsidRPr="626203BE" w:rsidR="0041438C">
        <w:rPr>
          <w:lang w:val="en-US"/>
        </w:rPr>
        <w:t>Department</w:t>
      </w:r>
      <w:proofErr w:type="spellEnd"/>
      <w:r w:rsidRPr="626203BE" w:rsidR="0041438C">
        <w:rPr>
          <w:lang w:val="en-US"/>
        </w:rPr>
        <w:t xml:space="preserve"> of Registries, National Institute for Health Development, Tallinn, Estonia</w:t>
      </w:r>
    </w:p>
    <w:p w:rsidR="0041438C" w:rsidP="00613AEA" w:rsidRDefault="1D80C1D9" w14:paraId="449F1EEB" w14:textId="4586557C">
      <w:pPr>
        <w:rPr>
          <w:lang w:val="en-US"/>
        </w:rPr>
      </w:pPr>
      <w:proofErr w:type="spellStart"/>
      <w:r w:rsidRPr="00613AEA">
        <w:rPr>
          <w:vertAlign w:val="superscript"/>
          <w:lang w:val="en-US"/>
        </w:rPr>
        <w:t>o</w:t>
      </w:r>
      <w:r w:rsidRPr="626203BE" w:rsidR="1B4F1991">
        <w:rPr>
          <w:lang w:val="en-US"/>
        </w:rPr>
        <w:t>Department</w:t>
      </w:r>
      <w:proofErr w:type="spellEnd"/>
      <w:r w:rsidRPr="626203BE" w:rsidR="1B4F1991">
        <w:rPr>
          <w:lang w:val="en-US"/>
        </w:rPr>
        <w:t xml:space="preserve"> of Drug and Infectious Diseases Epidemiology</w:t>
      </w:r>
      <w:r w:rsidRPr="626203BE" w:rsidR="0041438C">
        <w:rPr>
          <w:lang w:val="en-US"/>
        </w:rPr>
        <w:t>, National Institute for Health Development, Tallinn, Estonia</w:t>
      </w:r>
    </w:p>
    <w:p w:rsidR="0041438C" w:rsidP="00613AEA" w:rsidRDefault="3181E03A" w14:paraId="2771FE2F" w14:textId="3EF51312">
      <w:pPr>
        <w:rPr>
          <w:lang w:val="en-US"/>
        </w:rPr>
      </w:pPr>
      <w:proofErr w:type="spellStart"/>
      <w:r w:rsidRPr="00613AEA">
        <w:rPr>
          <w:vertAlign w:val="superscript"/>
          <w:lang w:val="en-US"/>
        </w:rPr>
        <w:t>p</w:t>
      </w:r>
      <w:r w:rsidRPr="626203BE" w:rsidR="0041438C">
        <w:rPr>
          <w:lang w:val="en-US"/>
        </w:rPr>
        <w:t>University</w:t>
      </w:r>
      <w:proofErr w:type="spellEnd"/>
      <w:r w:rsidRPr="626203BE" w:rsidR="0041438C">
        <w:rPr>
          <w:lang w:val="en-US"/>
        </w:rPr>
        <w:t xml:space="preserve"> of Rennes, EHESP, REPERES - EA 7449, F-35000 Rennes, France</w:t>
      </w:r>
    </w:p>
    <w:p w:rsidR="0041438C" w:rsidP="00613AEA" w:rsidRDefault="0872B2F8" w14:paraId="5B3106A6" w14:textId="127F068F">
      <w:pPr>
        <w:rPr>
          <w:lang w:val="en-US"/>
        </w:rPr>
      </w:pPr>
      <w:proofErr w:type="spellStart"/>
      <w:r w:rsidRPr="00613AEA">
        <w:rPr>
          <w:vertAlign w:val="superscript"/>
          <w:lang w:val="en-US"/>
        </w:rPr>
        <w:t>q</w:t>
      </w:r>
      <w:r w:rsidRPr="626203BE" w:rsidR="0041438C">
        <w:rPr>
          <w:lang w:val="en-US"/>
        </w:rPr>
        <w:t>National</w:t>
      </w:r>
      <w:proofErr w:type="spellEnd"/>
      <w:r w:rsidRPr="626203BE" w:rsidR="0041438C">
        <w:rPr>
          <w:lang w:val="en-US"/>
        </w:rPr>
        <w:t xml:space="preserve"> Center for Disease Control and Public Health, Tbilisi, Georgia</w:t>
      </w:r>
    </w:p>
    <w:p w:rsidR="0041438C" w:rsidP="00613AEA" w:rsidRDefault="4BBFEE63" w14:paraId="02D8E347" w14:textId="21B88408">
      <w:pPr>
        <w:rPr>
          <w:lang w:val="en-US"/>
        </w:rPr>
      </w:pPr>
      <w:proofErr w:type="spellStart"/>
      <w:r w:rsidRPr="00613AEA">
        <w:rPr>
          <w:vertAlign w:val="superscript"/>
          <w:lang w:val="en-US"/>
        </w:rPr>
        <w:t>r</w:t>
      </w:r>
      <w:r w:rsidRPr="626203BE" w:rsidR="0041438C">
        <w:rPr>
          <w:lang w:val="en-US"/>
        </w:rPr>
        <w:t>National</w:t>
      </w:r>
      <w:proofErr w:type="spellEnd"/>
      <w:r w:rsidRPr="626203BE" w:rsidR="0041438C">
        <w:rPr>
          <w:lang w:val="en-US"/>
        </w:rPr>
        <w:t xml:space="preserve"> Statistics Office of Georgia, Tbilisi, Georgia</w:t>
      </w:r>
    </w:p>
    <w:p w:rsidR="0041438C" w:rsidP="00613AEA" w:rsidRDefault="2AAD3C5D" w14:paraId="5593CD85" w14:textId="5A7DE7E8">
      <w:pPr>
        <w:rPr>
          <w:lang w:val="en-US"/>
        </w:rPr>
      </w:pPr>
      <w:proofErr w:type="spellStart"/>
      <w:r w:rsidRPr="00613AEA">
        <w:rPr>
          <w:vertAlign w:val="superscript"/>
          <w:lang w:val="en-US"/>
        </w:rPr>
        <w:t>s</w:t>
      </w:r>
      <w:r w:rsidRPr="626203BE" w:rsidR="0041438C">
        <w:rPr>
          <w:lang w:val="en-US"/>
        </w:rPr>
        <w:t>HSE</w:t>
      </w:r>
      <w:proofErr w:type="spellEnd"/>
      <w:r w:rsidRPr="626203BE" w:rsidR="0041438C">
        <w:rPr>
          <w:lang w:val="en-US"/>
        </w:rPr>
        <w:t>-Health Protection Surveillance Centre, Dublin, Ireland</w:t>
      </w:r>
    </w:p>
    <w:p w:rsidR="0041438C" w:rsidP="00613AEA" w:rsidRDefault="502566D3" w14:paraId="22404009" w14:textId="7BA0DBEE">
      <w:pPr>
        <w:rPr>
          <w:lang w:val="en-US"/>
        </w:rPr>
      </w:pPr>
      <w:proofErr w:type="spellStart"/>
      <w:r w:rsidRPr="00613AEA">
        <w:rPr>
          <w:vertAlign w:val="superscript"/>
          <w:lang w:val="en-US"/>
        </w:rPr>
        <w:t>t</w:t>
      </w:r>
      <w:r w:rsidRPr="626203BE" w:rsidR="0041438C">
        <w:rPr>
          <w:lang w:val="en-US"/>
        </w:rPr>
        <w:t>Israel</w:t>
      </w:r>
      <w:proofErr w:type="spellEnd"/>
      <w:r w:rsidRPr="626203BE" w:rsidR="0041438C">
        <w:rPr>
          <w:lang w:val="en-US"/>
        </w:rPr>
        <w:t xml:space="preserve"> Center of Disease Control, Ministry of Health, Ramat Gan, Israel</w:t>
      </w:r>
    </w:p>
    <w:p w:rsidR="0041438C" w:rsidP="00613AEA" w:rsidRDefault="669150C2" w14:paraId="15E56626" w14:textId="7DEE36C7">
      <w:pPr>
        <w:rPr>
          <w:lang w:val="en-US"/>
        </w:rPr>
      </w:pPr>
      <w:proofErr w:type="spellStart"/>
      <w:r w:rsidRPr="00613AEA">
        <w:rPr>
          <w:vertAlign w:val="superscript"/>
          <w:lang w:val="en-US"/>
        </w:rPr>
        <w:t>u</w:t>
      </w:r>
      <w:r w:rsidRPr="626203BE" w:rsidR="0041438C">
        <w:rPr>
          <w:lang w:val="en-US"/>
        </w:rPr>
        <w:t>Faculty</w:t>
      </w:r>
      <w:proofErr w:type="spellEnd"/>
      <w:r w:rsidRPr="626203BE" w:rsidR="0041438C">
        <w:rPr>
          <w:lang w:val="en-US"/>
        </w:rPr>
        <w:t xml:space="preserve"> of Medicine, Tel Aviv University, Tel Aviv, Israel</w:t>
      </w:r>
    </w:p>
    <w:p w:rsidR="0041438C" w:rsidP="00613AEA" w:rsidRDefault="6D86AF13" w14:paraId="1C8C8138" w14:textId="721DE716">
      <w:pPr>
        <w:rPr>
          <w:lang w:val="en-US"/>
        </w:rPr>
      </w:pPr>
      <w:proofErr w:type="spellStart"/>
      <w:r w:rsidRPr="00613AEA">
        <w:rPr>
          <w:vertAlign w:val="superscript"/>
          <w:lang w:val="en-US"/>
        </w:rPr>
        <w:lastRenderedPageBreak/>
        <w:t>v</w:t>
      </w:r>
      <w:r w:rsidRPr="626203BE" w:rsidR="0041438C">
        <w:rPr>
          <w:lang w:val="en-US"/>
        </w:rPr>
        <w:t>Department</w:t>
      </w:r>
      <w:proofErr w:type="spellEnd"/>
      <w:r w:rsidRPr="626203BE" w:rsidR="0041438C">
        <w:rPr>
          <w:lang w:val="en-US"/>
        </w:rPr>
        <w:t xml:space="preserve"> of Medicine, University of Perugia School of Medicine, Perugia, Italy</w:t>
      </w:r>
    </w:p>
    <w:p w:rsidR="0041438C" w:rsidP="00613AEA" w:rsidRDefault="63713A04" w14:paraId="55460AC6" w14:textId="5EBCA4BC">
      <w:pPr>
        <w:rPr>
          <w:lang w:val="en-US"/>
        </w:rPr>
      </w:pPr>
      <w:proofErr w:type="spellStart"/>
      <w:r w:rsidRPr="00613AEA">
        <w:rPr>
          <w:vertAlign w:val="superscript"/>
          <w:lang w:val="en-US"/>
        </w:rPr>
        <w:t>w</w:t>
      </w:r>
      <w:r w:rsidRPr="626203BE" w:rsidR="0041438C">
        <w:rPr>
          <w:lang w:val="en-US"/>
        </w:rPr>
        <w:t>CERICLET</w:t>
      </w:r>
      <w:proofErr w:type="spellEnd"/>
      <w:r w:rsidRPr="626203BE" w:rsidR="0041438C">
        <w:rPr>
          <w:lang w:val="en-US"/>
        </w:rPr>
        <w:t>- Interdepartmental Center for Clinical and Translational Research, University of Perugia School of Medicine, Perugia, Italy</w:t>
      </w:r>
    </w:p>
    <w:p w:rsidR="0041438C" w:rsidP="00613AEA" w:rsidRDefault="0AAC2A8E" w14:paraId="7B182811" w14:textId="7B8F4B77">
      <w:pPr>
        <w:rPr>
          <w:lang w:val="en-US"/>
        </w:rPr>
      </w:pPr>
      <w:proofErr w:type="spellStart"/>
      <w:r w:rsidRPr="00613AEA">
        <w:rPr>
          <w:vertAlign w:val="superscript"/>
          <w:lang w:val="en-US"/>
        </w:rPr>
        <w:t>x</w:t>
      </w:r>
      <w:r w:rsidRPr="626203BE" w:rsidR="0041438C">
        <w:rPr>
          <w:lang w:val="en-US"/>
        </w:rPr>
        <w:t>Department</w:t>
      </w:r>
      <w:proofErr w:type="spellEnd"/>
      <w:r w:rsidRPr="626203BE" w:rsidR="0041438C">
        <w:rPr>
          <w:lang w:val="en-US"/>
        </w:rPr>
        <w:t xml:space="preserve"> of Health Management and Health Economics, University of Oslo, Oslo, Norway</w:t>
      </w:r>
    </w:p>
    <w:p w:rsidR="0041438C" w:rsidP="00613AEA" w:rsidRDefault="6457EF86" w14:paraId="68C601B8" w14:textId="68666181">
      <w:pPr>
        <w:rPr>
          <w:lang w:val="en-US"/>
        </w:rPr>
      </w:pPr>
      <w:proofErr w:type="spellStart"/>
      <w:r w:rsidRPr="00613AEA">
        <w:rPr>
          <w:vertAlign w:val="superscript"/>
          <w:lang w:val="en-US"/>
        </w:rPr>
        <w:t>y</w:t>
      </w:r>
      <w:r w:rsidRPr="626203BE" w:rsidR="0041438C">
        <w:rPr>
          <w:lang w:val="en-US"/>
        </w:rPr>
        <w:t>Public</w:t>
      </w:r>
      <w:proofErr w:type="spellEnd"/>
      <w:r w:rsidRPr="626203BE" w:rsidR="0041438C">
        <w:rPr>
          <w:lang w:val="en-US"/>
        </w:rPr>
        <w:t xml:space="preserve"> health School, National Institute of Public Health, Ljubljana, Slovenia</w:t>
      </w:r>
    </w:p>
    <w:p w:rsidR="0041438C" w:rsidP="00613AEA" w:rsidRDefault="3E151BD5" w14:paraId="0F3CDF44" w14:textId="1DFE4BF8">
      <w:pPr>
        <w:rPr>
          <w:lang w:val="en-US"/>
        </w:rPr>
      </w:pPr>
      <w:proofErr w:type="spellStart"/>
      <w:r w:rsidRPr="00613AEA">
        <w:rPr>
          <w:vertAlign w:val="superscript"/>
          <w:lang w:val="en-US"/>
        </w:rPr>
        <w:t>z</w:t>
      </w:r>
      <w:r w:rsidRPr="626203BE" w:rsidR="0041438C">
        <w:rPr>
          <w:lang w:val="en-US"/>
        </w:rPr>
        <w:t>Communicable</w:t>
      </w:r>
      <w:proofErr w:type="spellEnd"/>
      <w:r w:rsidRPr="626203BE" w:rsidR="0041438C">
        <w:rPr>
          <w:lang w:val="en-US"/>
        </w:rPr>
        <w:t xml:space="preserve"> diseases, National Institute of Public Health, Ljubljana, Slovenia</w:t>
      </w:r>
    </w:p>
    <w:p w:rsidR="0041438C" w:rsidP="00613AEA" w:rsidRDefault="3AB8096C" w14:paraId="2D4DEB00" w14:textId="5A3FDFEF">
      <w:pPr>
        <w:rPr>
          <w:lang w:val="en-US"/>
        </w:rPr>
      </w:pPr>
      <w:proofErr w:type="spellStart"/>
      <w:r w:rsidRPr="00613AEA">
        <w:rPr>
          <w:vertAlign w:val="superscript"/>
          <w:lang w:val="en-US"/>
        </w:rPr>
        <w:t>aa</w:t>
      </w:r>
      <w:r w:rsidRPr="626203BE" w:rsidR="0041438C">
        <w:rPr>
          <w:lang w:val="en-US"/>
        </w:rPr>
        <w:t>Department</w:t>
      </w:r>
      <w:proofErr w:type="spellEnd"/>
      <w:r w:rsidRPr="626203BE" w:rsidR="0041438C">
        <w:rPr>
          <w:lang w:val="en-US"/>
        </w:rPr>
        <w:t xml:space="preserve"> of Medicine, University of Oviedo, Oviedo, Spain</w:t>
      </w:r>
    </w:p>
    <w:p w:rsidR="0041438C" w:rsidP="00613AEA" w:rsidRDefault="4425D028" w14:paraId="213D3ACA" w14:textId="244CAF72">
      <w:pPr>
        <w:rPr>
          <w:lang w:val="en-US"/>
        </w:rPr>
      </w:pPr>
      <w:proofErr w:type="spellStart"/>
      <w:r w:rsidRPr="00613AEA">
        <w:rPr>
          <w:vertAlign w:val="superscript"/>
          <w:lang w:val="en-US"/>
        </w:rPr>
        <w:t>ab</w:t>
      </w:r>
      <w:r w:rsidRPr="626203BE" w:rsidR="0041438C">
        <w:rPr>
          <w:lang w:val="en-US"/>
        </w:rPr>
        <w:t>Department</w:t>
      </w:r>
      <w:proofErr w:type="spellEnd"/>
      <w:r w:rsidRPr="626203BE" w:rsidR="0041438C">
        <w:rPr>
          <w:lang w:val="en-US"/>
        </w:rPr>
        <w:t xml:space="preserve"> of Global Public Health, Karolinska </w:t>
      </w:r>
      <w:proofErr w:type="spellStart"/>
      <w:r w:rsidRPr="626203BE" w:rsidR="0041438C">
        <w:rPr>
          <w:lang w:val="en-US"/>
        </w:rPr>
        <w:t>Institutet</w:t>
      </w:r>
      <w:proofErr w:type="spellEnd"/>
      <w:r w:rsidRPr="626203BE" w:rsidR="0041438C">
        <w:rPr>
          <w:lang w:val="en-US"/>
        </w:rPr>
        <w:t>, Stockholm, Sweden</w:t>
      </w:r>
    </w:p>
    <w:p w:rsidR="0041438C" w:rsidP="00613AEA" w:rsidRDefault="7265D0F2" w14:paraId="706CA9D6" w14:textId="3BAFABD8">
      <w:pPr>
        <w:rPr>
          <w:lang w:val="en-US"/>
        </w:rPr>
      </w:pPr>
      <w:proofErr w:type="spellStart"/>
      <w:r w:rsidRPr="00613AEA">
        <w:rPr>
          <w:vertAlign w:val="superscript"/>
          <w:lang w:val="en-US"/>
        </w:rPr>
        <w:t>a</w:t>
      </w:r>
      <w:r w:rsidR="0015057D">
        <w:rPr>
          <w:vertAlign w:val="superscript"/>
          <w:lang w:val="en-US"/>
        </w:rPr>
        <w:t>c</w:t>
      </w:r>
      <w:r w:rsidRPr="626203BE" w:rsidR="0041438C">
        <w:rPr>
          <w:lang w:val="en-US"/>
        </w:rPr>
        <w:t>Bogomolets</w:t>
      </w:r>
      <w:proofErr w:type="spellEnd"/>
      <w:r w:rsidRPr="626203BE" w:rsidR="0041438C">
        <w:rPr>
          <w:lang w:val="en-US"/>
        </w:rPr>
        <w:t xml:space="preserve"> National Medical University, Faculty of Medicine 2, Kyiv, Ukraine</w:t>
      </w:r>
    </w:p>
    <w:p w:rsidRPr="00453561" w:rsidR="00453561" w:rsidP="00613AEA" w:rsidRDefault="5228924B" w14:paraId="29A63548" w14:textId="4A99C80D">
      <w:pPr>
        <w:rPr>
          <w:lang w:val="en-US"/>
        </w:rPr>
      </w:pPr>
      <w:proofErr w:type="spellStart"/>
      <w:r w:rsidRPr="00613AEA">
        <w:rPr>
          <w:vertAlign w:val="superscript"/>
          <w:lang w:val="en-US"/>
        </w:rPr>
        <w:t>a</w:t>
      </w:r>
      <w:r w:rsidR="0015057D">
        <w:rPr>
          <w:vertAlign w:val="superscript"/>
          <w:lang w:val="en-US"/>
        </w:rPr>
        <w:t>d</w:t>
      </w:r>
      <w:r w:rsidRPr="626203BE" w:rsidR="13286715">
        <w:rPr>
          <w:lang w:val="en-US"/>
        </w:rPr>
        <w:t>SC</w:t>
      </w:r>
      <w:proofErr w:type="spellEnd"/>
      <w:r w:rsidRPr="626203BE" w:rsidR="13286715">
        <w:rPr>
          <w:lang w:val="en-US"/>
        </w:rPr>
        <w:t xml:space="preserve"> Center for Rural </w:t>
      </w:r>
      <w:r w:rsidRPr="626203BE" w:rsidR="55804636">
        <w:rPr>
          <w:lang w:val="en-US"/>
        </w:rPr>
        <w:t>and</w:t>
      </w:r>
      <w:r w:rsidRPr="626203BE" w:rsidR="13286715">
        <w:rPr>
          <w:lang w:val="en-US"/>
        </w:rPr>
        <w:t xml:space="preserve"> Primary Health Care &amp; Department of Geography, University of South Carolina, Columbia SC, USA</w:t>
      </w:r>
    </w:p>
    <w:p w:rsidR="0041438C" w:rsidP="00613AEA" w:rsidRDefault="619498E1" w14:paraId="13BC7513" w14:textId="224F4CAF">
      <w:pPr>
        <w:rPr>
          <w:lang w:val="en-US"/>
        </w:rPr>
      </w:pPr>
      <w:proofErr w:type="spellStart"/>
      <w:r w:rsidRPr="00613AEA">
        <w:rPr>
          <w:vertAlign w:val="superscript"/>
          <w:lang w:val="en-US"/>
        </w:rPr>
        <w:t>a</w:t>
      </w:r>
      <w:r w:rsidR="0015057D">
        <w:rPr>
          <w:vertAlign w:val="superscript"/>
          <w:lang w:val="en-US"/>
        </w:rPr>
        <w:t>e</w:t>
      </w:r>
      <w:r w:rsidRPr="626203BE" w:rsidR="0041438C">
        <w:rPr>
          <w:lang w:val="en-US"/>
        </w:rPr>
        <w:t>Department</w:t>
      </w:r>
      <w:proofErr w:type="spellEnd"/>
      <w:r w:rsidRPr="626203BE" w:rsidR="0041438C">
        <w:rPr>
          <w:lang w:val="en-US"/>
        </w:rPr>
        <w:t xml:space="preserve"> of Preventive Medicine and Population Health, University of Texas Medical Branch, Galveston TX, USA</w:t>
      </w:r>
    </w:p>
    <w:p w:rsidR="5F5C4201" w:rsidP="00613AEA" w:rsidRDefault="5F5C4201" w14:paraId="7F4F97A5" w14:textId="0045063F">
      <w:pPr>
        <w:rPr>
          <w:lang w:val="en-US"/>
        </w:rPr>
      </w:pPr>
      <w:proofErr w:type="spellStart"/>
      <w:r w:rsidRPr="00613AEA">
        <w:rPr>
          <w:vertAlign w:val="superscript"/>
          <w:lang w:val="en-US"/>
        </w:rPr>
        <w:t>a</w:t>
      </w:r>
      <w:r w:rsidR="0015057D">
        <w:rPr>
          <w:vertAlign w:val="superscript"/>
          <w:lang w:val="en-US"/>
        </w:rPr>
        <w:t>f</w:t>
      </w:r>
      <w:r w:rsidRPr="626203BE" w:rsidR="3E6789E1">
        <w:rPr>
          <w:lang w:val="en-US"/>
        </w:rPr>
        <w:t>University</w:t>
      </w:r>
      <w:proofErr w:type="spellEnd"/>
      <w:r w:rsidRPr="626203BE" w:rsidR="3E6789E1">
        <w:rPr>
          <w:lang w:val="en-US"/>
        </w:rPr>
        <w:t xml:space="preserve"> of Nicosia, Nicosia, Cyprus</w:t>
      </w:r>
    </w:p>
    <w:p w:rsidRPr="00E90099" w:rsidR="00EE3C0B" w:rsidP="005E6906" w:rsidRDefault="00EE3C0B" w14:paraId="1FD55104" w14:textId="77777777">
      <w:pPr>
        <w:rPr>
          <w:b/>
          <w:lang w:val="en-US"/>
        </w:rPr>
      </w:pPr>
    </w:p>
    <w:p w:rsidRPr="00E90099" w:rsidR="005E6906" w:rsidP="005E6906" w:rsidRDefault="000709EF" w14:paraId="1BF7CC32" w14:textId="0F09B219">
      <w:pPr>
        <w:rPr>
          <w:b/>
        </w:rPr>
      </w:pPr>
      <w:r>
        <w:rPr>
          <w:b/>
        </w:rPr>
        <w:t>*</w:t>
      </w:r>
      <w:r w:rsidRPr="00E90099" w:rsidR="005E6906">
        <w:rPr>
          <w:b/>
        </w:rPr>
        <w:t>Corresponding Author:</w:t>
      </w:r>
    </w:p>
    <w:p w:rsidRPr="00E54603" w:rsidR="005E6906" w:rsidP="005E6906" w:rsidRDefault="005E6906" w14:paraId="0C615DC1" w14:textId="77777777">
      <w:pPr>
        <w:rPr>
          <w:lang w:val="it-IT"/>
        </w:rPr>
      </w:pPr>
      <w:r w:rsidRPr="00E54603">
        <w:rPr>
          <w:lang w:val="it-IT"/>
        </w:rPr>
        <w:t>Christiana A. Demetriou</w:t>
      </w:r>
    </w:p>
    <w:p w:rsidRPr="00564F72" w:rsidR="005E6906" w:rsidP="005E6906" w:rsidRDefault="00EE3C0B" w14:paraId="0E566273" w14:textId="44F8C0C2">
      <w:pPr>
        <w:rPr>
          <w:lang w:val="it-IT"/>
        </w:rPr>
      </w:pPr>
      <w:r w:rsidRPr="00564F72">
        <w:rPr>
          <w:lang w:val="it-IT"/>
        </w:rPr>
        <w:t xml:space="preserve">E-mail: </w:t>
      </w:r>
      <w:r w:rsidRPr="00E54603" w:rsidR="005E6906">
        <w:rPr>
          <w:lang w:val="it-IT"/>
        </w:rPr>
        <w:t>demetriou.chri@unic.ac.cy</w:t>
      </w:r>
    </w:p>
    <w:p w:rsidRPr="00E90099" w:rsidR="00EE3C0B" w:rsidP="005E6906" w:rsidRDefault="00EE3C0B" w14:paraId="657414B8" w14:textId="77777777">
      <w:r w:rsidRPr="00E90099">
        <w:t>Telephone: (+357) 22-471789</w:t>
      </w:r>
    </w:p>
    <w:p w:rsidRPr="00E90099" w:rsidR="00EE3C0B" w:rsidP="005E6906" w:rsidRDefault="00EE3C0B" w14:paraId="602543B3" w14:textId="08C7BE1F">
      <w:r w:rsidRPr="00E90099">
        <w:t xml:space="preserve">Postal Address: </w:t>
      </w:r>
    </w:p>
    <w:p w:rsidRPr="00E90099" w:rsidR="005E6906" w:rsidP="005E6906" w:rsidRDefault="005E6906" w14:paraId="230B8522" w14:textId="0D7F1A6B">
      <w:r w:rsidRPr="00E90099">
        <w:t xml:space="preserve">21 Ilia </w:t>
      </w:r>
      <w:proofErr w:type="spellStart"/>
      <w:r w:rsidRPr="00E90099">
        <w:t>Papakyriakou</w:t>
      </w:r>
      <w:proofErr w:type="spellEnd"/>
      <w:r w:rsidRPr="00E90099">
        <w:t xml:space="preserve"> St. </w:t>
      </w:r>
    </w:p>
    <w:p w:rsidRPr="00E90099" w:rsidR="005E6906" w:rsidP="005E6906" w:rsidRDefault="005E6906" w14:paraId="59968DEC" w14:textId="66D7DDA1">
      <w:r w:rsidRPr="00E90099">
        <w:t xml:space="preserve">2414 </w:t>
      </w:r>
      <w:proofErr w:type="spellStart"/>
      <w:r w:rsidRPr="00E90099">
        <w:t>Engomi</w:t>
      </w:r>
      <w:proofErr w:type="spellEnd"/>
      <w:r w:rsidRPr="00E90099">
        <w:t>, Nicosia, Cyprus</w:t>
      </w:r>
    </w:p>
    <w:p w:rsidRPr="00E90099" w:rsidR="005E6906" w:rsidP="005E6906" w:rsidRDefault="005E6906" w14:paraId="69044C19" w14:textId="63772E42">
      <w:pPr>
        <w:rPr>
          <w:b/>
        </w:rPr>
      </w:pPr>
    </w:p>
    <w:p w:rsidRPr="00E90099" w:rsidR="00EE3C0B" w:rsidP="001F530C" w:rsidRDefault="00EE3C0B" w14:paraId="18BA478B" w14:textId="34218DE4">
      <w:pPr>
        <w:pStyle w:val="ListParagraph"/>
        <w:rPr>
          <w:b/>
        </w:rPr>
      </w:pPr>
    </w:p>
    <w:p w:rsidRPr="00E90099" w:rsidR="001F530C" w:rsidP="001F530C" w:rsidRDefault="001F530C" w14:paraId="064D2219" w14:textId="77777777">
      <w:pPr>
        <w:pStyle w:val="ListParagraph"/>
        <w:rPr>
          <w:b/>
        </w:rPr>
      </w:pPr>
    </w:p>
    <w:p w:rsidRPr="00E90099" w:rsidR="00146A9E" w:rsidRDefault="00146A9E" w14:paraId="5652188B" w14:textId="33E4324A">
      <w:r w:rsidRPr="00E90099">
        <w:rPr>
          <w:b/>
        </w:rPr>
        <w:t xml:space="preserve">Word count: </w:t>
      </w:r>
      <w:r w:rsidRPr="00D050D2">
        <w:rPr>
          <w:b/>
        </w:rPr>
        <w:t>5,</w:t>
      </w:r>
      <w:r w:rsidRPr="00D050D2" w:rsidR="00D050D2">
        <w:rPr>
          <w:b/>
        </w:rPr>
        <w:t>255</w:t>
      </w:r>
      <w:r w:rsidRPr="00D050D2">
        <w:rPr>
          <w:b/>
        </w:rPr>
        <w:t xml:space="preserve"> </w:t>
      </w:r>
      <w:r w:rsidRPr="00E90099">
        <w:t>(excluding references and tables)</w:t>
      </w:r>
    </w:p>
    <w:p w:rsidRPr="00E90099" w:rsidR="005E6906" w:rsidRDefault="005E6906" w14:paraId="0918A943" w14:textId="77777777">
      <w:pPr>
        <w:rPr>
          <w:b/>
        </w:rPr>
      </w:pPr>
      <w:r w:rsidRPr="00E90099">
        <w:rPr>
          <w:b/>
        </w:rPr>
        <w:br w:type="page"/>
      </w:r>
    </w:p>
    <w:p w:rsidRPr="00BF0D9C" w:rsidR="001F530C" w:rsidP="00BF0D9C" w:rsidRDefault="001F530C" w14:paraId="6F7A2F6C" w14:textId="3EB00D9E">
      <w:pPr>
        <w:spacing w:line="480" w:lineRule="auto"/>
        <w:rPr>
          <w:b/>
        </w:rPr>
      </w:pPr>
      <w:r w:rsidRPr="00BF0D9C">
        <w:rPr>
          <w:b/>
        </w:rPr>
        <w:lastRenderedPageBreak/>
        <w:t xml:space="preserve">Abstract </w:t>
      </w:r>
    </w:p>
    <w:p w:rsidRPr="00FB05BE" w:rsidR="00A048E8" w:rsidP="00BF0D9C" w:rsidRDefault="00A048E8" w14:paraId="38B8996C" w14:textId="77777777">
      <w:pPr>
        <w:spacing w:after="0" w:line="480" w:lineRule="auto"/>
        <w:rPr>
          <w:b/>
        </w:rPr>
      </w:pPr>
      <w:r w:rsidRPr="00FB05BE">
        <w:rPr>
          <w:b/>
        </w:rPr>
        <w:t>Background</w:t>
      </w:r>
    </w:p>
    <w:p w:rsidRPr="00BF0D9C" w:rsidR="001F530C" w:rsidP="00BF0D9C" w:rsidRDefault="050E5D26" w14:paraId="5648FD43" w14:textId="554CC652">
      <w:pPr>
        <w:spacing w:after="0" w:line="480" w:lineRule="auto"/>
      </w:pPr>
      <w:r>
        <w:t>This study aimed to investigate</w:t>
      </w:r>
      <w:r w:rsidR="39410688">
        <w:t xml:space="preserve"> </w:t>
      </w:r>
      <w:r>
        <w:t xml:space="preserve">overall and </w:t>
      </w:r>
      <w:r w:rsidR="073141D4">
        <w:t>sex</w:t>
      </w:r>
      <w:r>
        <w:t>-specific excess all-cause mortality</w:t>
      </w:r>
      <w:r w:rsidR="00C22A4E">
        <w:t xml:space="preserve"> since the inception of the COVID-19 pandemic until August 2020</w:t>
      </w:r>
      <w:r w:rsidR="15DAF66D">
        <w:t>,</w:t>
      </w:r>
      <w:r>
        <w:t xml:space="preserve"> among 22 countries.</w:t>
      </w:r>
    </w:p>
    <w:p w:rsidRPr="00FB05BE" w:rsidR="00A048E8" w:rsidP="00BF0D9C" w:rsidRDefault="00A048E8" w14:paraId="44624874" w14:textId="11C8E836">
      <w:pPr>
        <w:spacing w:after="0" w:line="480" w:lineRule="auto"/>
        <w:rPr>
          <w:b/>
        </w:rPr>
      </w:pPr>
      <w:r w:rsidRPr="00FB05BE">
        <w:rPr>
          <w:b/>
        </w:rPr>
        <w:t>Methods</w:t>
      </w:r>
    </w:p>
    <w:p w:rsidRPr="00BF0D9C" w:rsidR="001F530C" w:rsidP="00BF0D9C" w:rsidRDefault="001F530C" w14:paraId="50720B6D" w14:textId="7B7B6542">
      <w:pPr>
        <w:spacing w:after="0" w:line="480" w:lineRule="auto"/>
      </w:pPr>
      <w:r w:rsidRPr="00BF0D9C">
        <w:t>Countries reported weekly or monthly all-cause mortality from January 2015 until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w:t>
      </w:r>
      <w:r w:rsidRPr="00BF0D9C" w:rsidR="09358BA5">
        <w:t>:</w:t>
      </w:r>
      <w:r w:rsidRPr="00BF0D9C">
        <w:t xml:space="preserve"> a) difference in</w:t>
      </w:r>
      <w:r w:rsidRPr="00BF0D9C" w:rsidR="101828F3">
        <w:t xml:space="preserve"> observed</w:t>
      </w:r>
      <w:r w:rsidRPr="00BF0D9C">
        <w:t xml:space="preserve"> mortality rates between 2020 and the 2015-2019 average, and b) difference between observed and expected</w:t>
      </w:r>
      <w:r w:rsidRPr="00BF0D9C" w:rsidR="00123F41">
        <w:t xml:space="preserve"> </w:t>
      </w:r>
      <w:r w:rsidRPr="00BF0D9C">
        <w:t xml:space="preserve">2020 deaths. </w:t>
      </w:r>
    </w:p>
    <w:p w:rsidRPr="00FB05BE" w:rsidR="00A048E8" w:rsidP="00BF0D9C" w:rsidRDefault="00A048E8" w14:paraId="47E89973" w14:textId="4797AE14">
      <w:pPr>
        <w:spacing w:after="0" w:line="480" w:lineRule="auto"/>
        <w:rPr>
          <w:b/>
        </w:rPr>
      </w:pPr>
      <w:r w:rsidRPr="00FB05BE">
        <w:rPr>
          <w:b/>
        </w:rPr>
        <w:t>Results</w:t>
      </w:r>
    </w:p>
    <w:p w:rsidRPr="00BF0D9C" w:rsidR="001F530C" w:rsidP="00BF0D9C" w:rsidRDefault="050E5D26" w14:paraId="4BD0388C" w14:textId="503C993E">
      <w:pPr>
        <w:spacing w:after="0" w:line="480" w:lineRule="auto"/>
        <w:rPr>
          <w:rFonts w:ascii="Calibri" w:hAnsi="Calibri" w:eastAsia="Times New Roman" w:cs="Calibri"/>
        </w:rPr>
      </w:pPr>
      <w:r w:rsidRPr="4C10505A">
        <w:rPr>
          <w:rFonts w:ascii="Calibri" w:hAnsi="Calibri" w:eastAsia="Times New Roman" w:cs="Calibri"/>
        </w:rPr>
        <w:t xml:space="preserve">Brazil, France, Italy, Spain, Sweden, </w:t>
      </w:r>
      <w:r w:rsidR="006379C6">
        <w:t>UK (England, Wales, Northern Ireland, Scotland)</w:t>
      </w:r>
      <w:r w:rsidRPr="4C10505A" w:rsidR="47629F25">
        <w:rPr>
          <w:rFonts w:ascii="Calibri" w:hAnsi="Calibri" w:eastAsia="Times New Roman" w:cs="Calibri"/>
        </w:rPr>
        <w:t>,</w:t>
      </w:r>
      <w:r w:rsidRPr="4C10505A">
        <w:rPr>
          <w:rFonts w:ascii="Calibri" w:hAnsi="Calibri" w:eastAsia="Times New Roman" w:cs="Calibri"/>
        </w:rPr>
        <w:t xml:space="preserve"> and the USA demonstrated excess all-cause mortality</w:t>
      </w:r>
      <w:r w:rsidRPr="4C10505A" w:rsidR="009F5978">
        <w:rPr>
          <w:rFonts w:ascii="Calibri" w:hAnsi="Calibri" w:eastAsia="Times New Roman" w:cs="Calibri"/>
        </w:rPr>
        <w:t xml:space="preserve">, </w:t>
      </w:r>
      <w:r w:rsidRPr="4C10505A" w:rsidR="3EEE0553">
        <w:rPr>
          <w:rFonts w:ascii="Calibri" w:hAnsi="Calibri" w:eastAsia="Times New Roman" w:cs="Calibri"/>
        </w:rPr>
        <w:t>w</w:t>
      </w:r>
      <w:r w:rsidRPr="4C10505A" w:rsidR="009F5978">
        <w:rPr>
          <w:rFonts w:ascii="Calibri" w:hAnsi="Calibri" w:eastAsia="Times New Roman" w:cs="Calibri"/>
        </w:rPr>
        <w:t xml:space="preserve">hile </w:t>
      </w:r>
      <w:r w:rsidRPr="4C10505A">
        <w:rPr>
          <w:rFonts w:ascii="Calibri" w:hAnsi="Calibri" w:eastAsia="Times New Roman" w:cs="Calibri"/>
        </w:rPr>
        <w:t xml:space="preserve">Australia, Denmark, and Georgia experienced a decrease in </w:t>
      </w:r>
      <w:r w:rsidRPr="4C10505A" w:rsidR="310EE4A2">
        <w:rPr>
          <w:rFonts w:ascii="Calibri" w:hAnsi="Calibri" w:eastAsia="Times New Roman" w:cs="Calibri"/>
        </w:rPr>
        <w:t xml:space="preserve">all-cause </w:t>
      </w:r>
      <w:r w:rsidRPr="4C10505A">
        <w:rPr>
          <w:rFonts w:ascii="Calibri" w:hAnsi="Calibri" w:eastAsia="Times New Roman" w:cs="Calibri"/>
        </w:rPr>
        <w:t>mortality</w:t>
      </w:r>
      <w:r w:rsidRPr="4C10505A" w:rsidR="009F5978">
        <w:rPr>
          <w:rFonts w:ascii="Calibri" w:hAnsi="Calibri" w:eastAsia="Times New Roman" w:cs="Calibri"/>
        </w:rPr>
        <w:t>.</w:t>
      </w:r>
      <w:r w:rsidRPr="4C10505A" w:rsidR="02D8F0A7">
        <w:rPr>
          <w:rFonts w:ascii="Calibri" w:hAnsi="Calibri" w:eastAsia="Times New Roman" w:cs="Calibri"/>
        </w:rPr>
        <w:t xml:space="preserve"> </w:t>
      </w:r>
      <w:r w:rsidRPr="4C10505A">
        <w:rPr>
          <w:rFonts w:ascii="Calibri" w:hAnsi="Calibri" w:eastAsia="Times New Roman" w:cs="Calibri"/>
        </w:rPr>
        <w:t xml:space="preserve">Israel, </w:t>
      </w:r>
      <w:proofErr w:type="gramStart"/>
      <w:r w:rsidRPr="4C10505A">
        <w:rPr>
          <w:rFonts w:ascii="Calibri" w:hAnsi="Calibri" w:eastAsia="Times New Roman" w:cs="Calibri"/>
        </w:rPr>
        <w:t>Ukraine</w:t>
      </w:r>
      <w:proofErr w:type="gramEnd"/>
      <w:r w:rsidRPr="4C10505A">
        <w:rPr>
          <w:rFonts w:ascii="Calibri" w:hAnsi="Calibri" w:eastAsia="Times New Roman" w:cs="Calibri"/>
        </w:rPr>
        <w:t xml:space="preserve"> and Ireland demonstrated </w:t>
      </w:r>
      <w:r w:rsidRPr="4C10505A" w:rsidR="073141D4">
        <w:rPr>
          <w:rFonts w:ascii="Calibri" w:hAnsi="Calibri" w:eastAsia="Times New Roman" w:cs="Calibri"/>
        </w:rPr>
        <w:t>sex</w:t>
      </w:r>
      <w:r w:rsidRPr="4C10505A" w:rsidR="3E90EB62">
        <w:rPr>
          <w:rFonts w:ascii="Calibri" w:hAnsi="Calibri" w:eastAsia="Times New Roman" w:cs="Calibri"/>
        </w:rPr>
        <w:t>-</w:t>
      </w:r>
      <w:r w:rsidRPr="4C10505A">
        <w:rPr>
          <w:rFonts w:ascii="Calibri" w:hAnsi="Calibri" w:eastAsia="Times New Roman" w:cs="Calibri"/>
        </w:rPr>
        <w:t xml:space="preserve">specific changes in </w:t>
      </w:r>
      <w:r w:rsidRPr="4C10505A" w:rsidR="763B2CB7">
        <w:rPr>
          <w:rFonts w:ascii="Calibri" w:hAnsi="Calibri" w:eastAsia="Times New Roman" w:cs="Calibri"/>
        </w:rPr>
        <w:t xml:space="preserve">all-cause </w:t>
      </w:r>
      <w:r w:rsidRPr="4C10505A">
        <w:rPr>
          <w:rFonts w:ascii="Calibri" w:hAnsi="Calibri" w:eastAsia="Times New Roman" w:cs="Calibri"/>
        </w:rPr>
        <w:t xml:space="preserve">mortality. </w:t>
      </w:r>
    </w:p>
    <w:p w:rsidRPr="00FB05BE" w:rsidR="00A048E8" w:rsidP="00BF0D9C" w:rsidRDefault="00A048E8" w14:paraId="3100F6D6" w14:textId="4901AFD0">
      <w:pPr>
        <w:spacing w:after="0" w:line="480" w:lineRule="auto"/>
        <w:rPr>
          <w:rFonts w:ascii="Calibri" w:hAnsi="Calibri" w:eastAsia="Times New Roman" w:cs="Calibri"/>
          <w:b/>
        </w:rPr>
      </w:pPr>
      <w:r w:rsidRPr="00FB05BE">
        <w:rPr>
          <w:rFonts w:ascii="Calibri" w:hAnsi="Calibri" w:eastAsia="Times New Roman" w:cs="Calibri"/>
          <w:b/>
        </w:rPr>
        <w:t>Conclusion</w:t>
      </w:r>
    </w:p>
    <w:p w:rsidR="00FB05BE" w:rsidP="00BF0D9C" w:rsidRDefault="00320EF2" w14:paraId="7781356C" w14:textId="3B7147FA">
      <w:pPr>
        <w:spacing w:after="0" w:line="480" w:lineRule="auto"/>
        <w:rPr>
          <w:rFonts w:ascii="Calibri" w:hAnsi="Calibri" w:eastAsia="Times New Roman" w:cs="Calibri"/>
        </w:rPr>
      </w:pPr>
      <w:r w:rsidRPr="00BF0D9C">
        <w:t>All-cause mortality up to August 2020 was higher than pre</w:t>
      </w:r>
      <w:r w:rsidRPr="00BF0D9C" w:rsidR="00AD6C46">
        <w:t xml:space="preserve">vious years </w:t>
      </w:r>
      <w:r w:rsidRPr="00BF0D9C" w:rsidR="002C6DB4">
        <w:t xml:space="preserve">in some, </w:t>
      </w:r>
      <w:r w:rsidRPr="00BF0D9C">
        <w:t>but not all</w:t>
      </w:r>
      <w:r w:rsidRPr="00BF0D9C" w:rsidR="002C6DB4">
        <w:t>,</w:t>
      </w:r>
      <w:r w:rsidRPr="00BF0D9C">
        <w:t xml:space="preserve"> participating countries. </w:t>
      </w:r>
      <w:r w:rsidRPr="00BF0D9C" w:rsidR="002C6DB4">
        <w:rPr>
          <w:rFonts w:ascii="Calibri" w:hAnsi="Calibri" w:eastAsia="Times New Roman" w:cs="Calibri"/>
        </w:rPr>
        <w:t>G</w:t>
      </w:r>
      <w:r w:rsidRPr="00BF0D9C" w:rsidR="001F530C">
        <w:rPr>
          <w:rFonts w:ascii="Calibri" w:hAnsi="Calibri" w:eastAsia="Times New Roman" w:cs="Calibri"/>
        </w:rPr>
        <w:t xml:space="preserve">eographical location and seasonality of each country, as well as the prompt application of </w:t>
      </w:r>
      <w:r w:rsidRPr="00BF0D9C" w:rsidR="00AD6C46">
        <w:rPr>
          <w:rFonts w:ascii="Calibri" w:hAnsi="Calibri" w:eastAsia="Times New Roman" w:cs="Calibri"/>
        </w:rPr>
        <w:t xml:space="preserve">high stringency </w:t>
      </w:r>
      <w:r w:rsidRPr="00BF0D9C" w:rsidR="001F530C">
        <w:rPr>
          <w:rFonts w:ascii="Calibri" w:hAnsi="Calibri" w:eastAsia="Times New Roman" w:cs="Calibri"/>
        </w:rPr>
        <w:t>control measures</w:t>
      </w:r>
      <w:r w:rsidRPr="00BF0D9C" w:rsidR="002C6DB4">
        <w:rPr>
          <w:rFonts w:ascii="Calibri" w:hAnsi="Calibri" w:eastAsia="Times New Roman" w:cs="Calibri"/>
        </w:rPr>
        <w:t xml:space="preserve">, may explain the </w:t>
      </w:r>
      <w:r w:rsidRPr="00BF0D9C" w:rsidR="002C6DB4">
        <w:t>observed variability in mortality changes</w:t>
      </w:r>
      <w:r w:rsidRPr="00BF0D9C" w:rsidR="001F530C">
        <w:rPr>
          <w:rFonts w:ascii="Calibri" w:hAnsi="Calibri" w:eastAsia="Times New Roman" w:cs="Calibri"/>
        </w:rPr>
        <w:t>.</w:t>
      </w:r>
    </w:p>
    <w:p w:rsidR="00FB05BE" w:rsidRDefault="00FB05BE" w14:paraId="797D71C8" w14:textId="77777777">
      <w:pPr>
        <w:rPr>
          <w:rFonts w:ascii="Calibri" w:hAnsi="Calibri" w:eastAsia="Times New Roman" w:cs="Calibri"/>
        </w:rPr>
      </w:pPr>
    </w:p>
    <w:p w:rsidR="00FB05BE" w:rsidRDefault="00FB05BE" w14:paraId="54A52A4B" w14:textId="77777777">
      <w:pPr>
        <w:rPr>
          <w:rFonts w:ascii="Calibri" w:hAnsi="Calibri" w:eastAsia="Times New Roman" w:cs="Calibri"/>
        </w:rPr>
      </w:pPr>
    </w:p>
    <w:p w:rsidRPr="00E90099" w:rsidR="00FB05BE" w:rsidP="00FB05BE" w:rsidRDefault="00FB05BE" w14:paraId="6D70BAFA" w14:textId="77777777">
      <w:r w:rsidRPr="00E90099">
        <w:rPr>
          <w:b/>
        </w:rPr>
        <w:t xml:space="preserve">Keywords: </w:t>
      </w:r>
      <w:r w:rsidRPr="00E90099">
        <w:t xml:space="preserve">COVID-19; SARS-CoV-2; pandemic; mortality; infection control </w:t>
      </w:r>
    </w:p>
    <w:p w:rsidR="00FB05BE" w:rsidRDefault="00FB05BE" w14:paraId="03E307A8" w14:textId="77C17B53">
      <w:pPr>
        <w:rPr>
          <w:rFonts w:ascii="Calibri" w:hAnsi="Calibri" w:eastAsia="Times New Roman" w:cs="Calibri"/>
        </w:rPr>
      </w:pPr>
      <w:r>
        <w:rPr>
          <w:rFonts w:ascii="Calibri" w:hAnsi="Calibri" w:eastAsia="Times New Roman" w:cs="Calibri"/>
        </w:rPr>
        <w:br w:type="page"/>
      </w:r>
    </w:p>
    <w:p w:rsidR="001F530C" w:rsidP="00BF0D9C" w:rsidRDefault="00FB05BE" w14:paraId="2511EB01" w14:textId="4A5DCDFD">
      <w:pPr>
        <w:spacing w:after="0" w:line="480" w:lineRule="auto"/>
        <w:rPr>
          <w:rFonts w:ascii="Calibri" w:hAnsi="Calibri" w:eastAsia="Times New Roman" w:cs="Calibri"/>
          <w:b/>
        </w:rPr>
      </w:pPr>
      <w:r w:rsidRPr="00FB05BE">
        <w:rPr>
          <w:rFonts w:ascii="Calibri" w:hAnsi="Calibri" w:eastAsia="Times New Roman" w:cs="Calibri"/>
          <w:b/>
        </w:rPr>
        <w:lastRenderedPageBreak/>
        <w:t>Key Messages:</w:t>
      </w:r>
    </w:p>
    <w:p w:rsidRPr="00E90099" w:rsidR="00FB05BE" w:rsidP="00FB05BE" w:rsidRDefault="00FB05BE" w14:paraId="52EA1DAF" w14:textId="51B5110F">
      <w:pPr>
        <w:pStyle w:val="ListParagraph"/>
        <w:numPr>
          <w:ilvl w:val="0"/>
          <w:numId w:val="11"/>
        </w:numPr>
      </w:pPr>
      <w:r w:rsidRPr="47957D4F">
        <w:rPr>
          <w:rFonts w:ascii="Calibri" w:hAnsi="Calibri" w:eastAsia="Times New Roman" w:cs="Calibri"/>
        </w:rPr>
        <w:t>Some countries</w:t>
      </w:r>
      <w:r>
        <w:rPr>
          <w:rFonts w:ascii="Calibri" w:hAnsi="Calibri" w:eastAsia="Times New Roman" w:cs="Calibri"/>
        </w:rPr>
        <w:t xml:space="preserve"> </w:t>
      </w:r>
      <w:r w:rsidRPr="47957D4F">
        <w:rPr>
          <w:rFonts w:ascii="Calibri" w:hAnsi="Calibri" w:eastAsia="Times New Roman" w:cs="Calibri"/>
        </w:rPr>
        <w:t xml:space="preserve">showed excess all-cause mortality </w:t>
      </w:r>
      <w:r>
        <w:rPr>
          <w:rFonts w:ascii="Calibri" w:hAnsi="Calibri" w:eastAsia="Times New Roman" w:cs="Calibri"/>
        </w:rPr>
        <w:t>between January and August 2020, whereas others displayed either negligible excess mortality or even a decrease in all-cause mortality</w:t>
      </w:r>
    </w:p>
    <w:p w:rsidRPr="00E90099" w:rsidR="00FB05BE" w:rsidP="00FB05BE" w:rsidRDefault="00FB05BE" w14:paraId="7A8199F0" w14:textId="77777777">
      <w:pPr>
        <w:pStyle w:val="ListParagraph"/>
        <w:numPr>
          <w:ilvl w:val="0"/>
          <w:numId w:val="11"/>
        </w:numPr>
      </w:pPr>
      <w:r w:rsidRPr="17C305B8">
        <w:rPr>
          <w:rFonts w:ascii="Calibri" w:hAnsi="Calibri" w:eastAsia="Times New Roman" w:cs="Calibri"/>
        </w:rPr>
        <w:t xml:space="preserve">Excess mortality may be partly attributed to delayed application of strict control measures </w:t>
      </w:r>
    </w:p>
    <w:p w:rsidRPr="00221CD2" w:rsidR="00FB05BE" w:rsidP="00FB05BE" w:rsidRDefault="00FB05BE" w14:paraId="58FB8472" w14:textId="13F63182">
      <w:pPr>
        <w:pStyle w:val="ListParagraph"/>
        <w:numPr>
          <w:ilvl w:val="0"/>
          <w:numId w:val="11"/>
        </w:numPr>
      </w:pPr>
      <w:r w:rsidRPr="00E90099">
        <w:t xml:space="preserve">Lack of excess mortality may be due to </w:t>
      </w:r>
      <w:r w:rsidRPr="00221CD2">
        <w:rPr>
          <w:rFonts w:ascii="Calibri" w:hAnsi="Calibri" w:eastAsia="Times New Roman" w:cs="Calibri"/>
        </w:rPr>
        <w:t xml:space="preserve">seasonality and/or strict control measures </w:t>
      </w:r>
      <w:r>
        <w:rPr>
          <w:rFonts w:ascii="Calibri" w:hAnsi="Calibri" w:eastAsia="Times New Roman" w:cs="Calibri"/>
        </w:rPr>
        <w:t>in the participating countries</w:t>
      </w:r>
    </w:p>
    <w:p w:rsidRPr="00CC43CB" w:rsidR="00FB05BE" w:rsidP="5E0CCDD2" w:rsidRDefault="073141D4" w14:paraId="4414F7C9" w14:textId="08F78F0C">
      <w:pPr>
        <w:pStyle w:val="ListParagraph"/>
        <w:numPr>
          <w:ilvl w:val="0"/>
          <w:numId w:val="11"/>
        </w:numPr>
      </w:pPr>
      <w:r w:rsidRPr="7312A2DD">
        <w:rPr>
          <w:rFonts w:ascii="Calibri" w:hAnsi="Calibri" w:eastAsia="Times New Roman" w:cs="Calibri"/>
        </w:rPr>
        <w:t>Sex</w:t>
      </w:r>
      <w:r w:rsidRPr="7312A2DD" w:rsidR="3EBB39A0">
        <w:rPr>
          <w:rFonts w:ascii="Calibri" w:hAnsi="Calibri" w:eastAsia="Times New Roman" w:cs="Calibri"/>
        </w:rPr>
        <w:t>-</w:t>
      </w:r>
      <w:r w:rsidRPr="7312A2DD" w:rsidR="00FB05BE">
        <w:rPr>
          <w:rFonts w:ascii="Calibri" w:hAnsi="Calibri" w:eastAsia="Times New Roman" w:cs="Calibri"/>
        </w:rPr>
        <w:t>specific mortality was different from total mortality in some countries</w:t>
      </w:r>
    </w:p>
    <w:p w:rsidRPr="00E90099" w:rsidR="00FB05BE" w:rsidP="00FB05BE" w:rsidRDefault="00FB05BE" w14:paraId="7372A2D9" w14:textId="77777777">
      <w:pPr>
        <w:pStyle w:val="ListParagraph"/>
        <w:numPr>
          <w:ilvl w:val="0"/>
          <w:numId w:val="11"/>
        </w:numPr>
      </w:pPr>
      <w:r>
        <w:rPr>
          <w:rFonts w:ascii="Calibri" w:hAnsi="Calibri" w:eastAsia="Times New Roman" w:cs="Calibri"/>
        </w:rPr>
        <w:t>The synergistic effect of several predictors of mortality warrants investigation</w:t>
      </w:r>
    </w:p>
    <w:p w:rsidRPr="00FB05BE" w:rsidR="00FB05BE" w:rsidP="00BF0D9C" w:rsidRDefault="00FB05BE" w14:paraId="0BB44957" w14:textId="77777777">
      <w:pPr>
        <w:spacing w:after="0" w:line="480" w:lineRule="auto"/>
        <w:rPr>
          <w:rFonts w:ascii="Calibri" w:hAnsi="Calibri" w:eastAsia="Times New Roman" w:cs="Calibri"/>
          <w:b/>
        </w:rPr>
      </w:pPr>
    </w:p>
    <w:p w:rsidRPr="00BF0D9C" w:rsidR="00FB05BE" w:rsidP="00BF0D9C" w:rsidRDefault="00FB05BE" w14:paraId="76F493C8" w14:textId="77777777">
      <w:pPr>
        <w:spacing w:after="0" w:line="480" w:lineRule="auto"/>
        <w:rPr>
          <w:rFonts w:ascii="Calibri" w:hAnsi="Calibri" w:eastAsia="Times New Roman" w:cs="Calibri"/>
        </w:rPr>
      </w:pPr>
    </w:p>
    <w:p w:rsidRPr="00BF0D9C" w:rsidR="001F530C" w:rsidP="00BF0D9C" w:rsidRDefault="001F530C" w14:paraId="36AAFCB9" w14:textId="77777777">
      <w:pPr>
        <w:spacing w:line="480" w:lineRule="auto"/>
      </w:pPr>
    </w:p>
    <w:p w:rsidRPr="00BF0D9C" w:rsidR="001F530C" w:rsidP="00BF0D9C" w:rsidRDefault="001F530C" w14:paraId="076413AF" w14:textId="77777777">
      <w:pPr>
        <w:spacing w:line="480" w:lineRule="auto"/>
      </w:pPr>
    </w:p>
    <w:p w:rsidRPr="00BF0D9C" w:rsidR="001F530C" w:rsidP="00BF0D9C" w:rsidRDefault="001F530C" w14:paraId="56DC320E" w14:textId="77777777">
      <w:pPr>
        <w:spacing w:line="480" w:lineRule="auto"/>
        <w:rPr>
          <w:b/>
        </w:rPr>
      </w:pPr>
    </w:p>
    <w:p w:rsidRPr="00BF0D9C" w:rsidR="001F530C" w:rsidP="00BF0D9C" w:rsidRDefault="001F530C" w14:paraId="3323ED59" w14:textId="77777777">
      <w:pPr>
        <w:spacing w:line="480" w:lineRule="auto"/>
        <w:rPr>
          <w:b/>
        </w:rPr>
      </w:pPr>
      <w:r w:rsidRPr="00BF0D9C">
        <w:rPr>
          <w:b/>
        </w:rPr>
        <w:br w:type="page"/>
      </w:r>
    </w:p>
    <w:p w:rsidRPr="00BF0D9C" w:rsidR="00A66DD6" w:rsidP="00BF0D9C" w:rsidRDefault="00A66DD6" w14:paraId="6178B96E" w14:textId="2644A969">
      <w:pPr>
        <w:spacing w:line="480" w:lineRule="auto"/>
        <w:rPr>
          <w:b/>
        </w:rPr>
      </w:pPr>
      <w:r w:rsidRPr="00BF0D9C">
        <w:rPr>
          <w:b/>
        </w:rPr>
        <w:lastRenderedPageBreak/>
        <w:t>Introduction</w:t>
      </w:r>
    </w:p>
    <w:p w:rsidRPr="00BF0D9C" w:rsidR="00F520A0" w:rsidP="00BF0D9C" w:rsidRDefault="00F520A0" w14:paraId="6F6E8DB8" w14:textId="0357FAD7">
      <w:pPr>
        <w:spacing w:line="480" w:lineRule="auto"/>
      </w:pPr>
      <w:r w:rsidRPr="00BF0D9C">
        <w:t xml:space="preserve">A new coronavirus, Severe Acute Respiratory Syndrome </w:t>
      </w:r>
      <w:proofErr w:type="spellStart"/>
      <w:r w:rsidRPr="00BF0D9C">
        <w:t>CoronaVirus</w:t>
      </w:r>
      <w:proofErr w:type="spellEnd"/>
      <w:r w:rsidRPr="00BF0D9C">
        <w:t xml:space="preserve"> 2 (SARS</w:t>
      </w:r>
      <w:r w:rsidRPr="00BF0D9C" w:rsidR="00564F72">
        <w:t>-</w:t>
      </w:r>
      <w:r w:rsidRPr="00BF0D9C">
        <w:t>CoV</w:t>
      </w:r>
      <w:r w:rsidRPr="00BF0D9C" w:rsidR="00564F72">
        <w:t>-</w:t>
      </w:r>
      <w:r w:rsidRPr="00BF0D9C">
        <w:t>2), emerged in late 2019 as a cau</w:t>
      </w:r>
      <w:r w:rsidRPr="00BF0D9C" w:rsidR="001D0B7D">
        <w:t>se of pneumonia in humans. SARS-</w:t>
      </w:r>
      <w:proofErr w:type="spellStart"/>
      <w:r w:rsidRPr="00BF0D9C">
        <w:t>CoV</w:t>
      </w:r>
      <w:proofErr w:type="spellEnd"/>
      <w:r w:rsidRPr="00BF0D9C">
        <w:t xml:space="preserve"> 2 rapidly spread worldwide from the initial outbreak site in the city of Wuhan, China, leading the World Health Organization (WHO) to declare a global pandemic on March 11, 2020. One year after its identification, the novel coronavirus infected </w:t>
      </w:r>
      <w:r w:rsidRPr="00BF0D9C" w:rsidR="001D0B7D">
        <w:t>more than 80</w:t>
      </w:r>
      <w:r w:rsidRPr="00BF0D9C" w:rsidR="00564F72">
        <w:t xml:space="preserve"> </w:t>
      </w:r>
      <w:r w:rsidRPr="00BF0D9C" w:rsidR="001D0B7D">
        <w:t>million</w:t>
      </w:r>
      <w:r w:rsidRPr="00BF0D9C">
        <w:t xml:space="preserve"> individuals</w:t>
      </w:r>
      <w:r w:rsidRPr="00BF0D9C" w:rsidR="001D0B7D">
        <w:t xml:space="preserve"> and </w:t>
      </w:r>
      <w:r w:rsidRPr="00BF0D9C" w:rsidR="00FB14E8">
        <w:t>was</w:t>
      </w:r>
      <w:r w:rsidRPr="00BF0D9C" w:rsidR="001D0B7D">
        <w:t xml:space="preserve"> responsible for more than </w:t>
      </w:r>
      <w:r w:rsidRPr="00BF0D9C" w:rsidR="7C4E396F">
        <w:t xml:space="preserve">2.04 </w:t>
      </w:r>
      <w:r w:rsidRPr="00BF0D9C" w:rsidR="001D0B7D">
        <w:t>million deaths</w:t>
      </w:r>
      <w:r w:rsidRPr="00BF0D9C">
        <w:t xml:space="preserve">, with confirmed cases in </w:t>
      </w:r>
      <w:r w:rsidRPr="00BF0D9C" w:rsidR="001D0B7D">
        <w:t>214</w:t>
      </w:r>
      <w:r w:rsidRPr="00BF0D9C">
        <w:t xml:space="preserve"> countries</w:t>
      </w:r>
      <w:r w:rsidRPr="00BF0D9C">
        <w:fldChar w:fldCharType="begin"/>
      </w:r>
      <w:r w:rsidRPr="00BF0D9C">
        <w:instrText xml:space="preserve"> ADDIN ZOTERO_ITEM CSL_CITATION {"citationID":"fcmxYvOv","properties":{"formattedCitation":"\\super 1\\nosupersub{}","plainCitation":"1","noteIndex":0},"citationItems":[{"id":6539,"uris":["http://zotero.org/users/384481/items/TYW2KUF5"],"uri":["http://zotero.org/users/384481/items/TYW2KUF5"],"itemData":{"id":6539,"type":"webpage","abstract":"Latest information on the geographical distribution of COVID-19 cases globally.","container-title":"European Centre for Disease Prevention and Control","language":"en","title":"COVID-19 situation update worldwide, as of week 52 2020","URL":"https://www.ecdc.europa.eu/en/geographical-distribution-2019-ncov-cases","accessed":{"date-parts":[["2021",1,3]]}}}],"schema":"https://github.com/citation-style-language/schema/raw/master/csl-citation.json"} </w:instrText>
      </w:r>
      <w:r w:rsidRPr="00BF0D9C">
        <w:fldChar w:fldCharType="separate"/>
      </w:r>
      <w:r w:rsidRPr="002D5C01" w:rsidR="002D5C01">
        <w:rPr>
          <w:rFonts w:ascii="Calibri" w:hAnsi="Calibri" w:cs="Calibri"/>
          <w:szCs w:val="24"/>
          <w:vertAlign w:val="superscript"/>
        </w:rPr>
        <w:t>1</w:t>
      </w:r>
      <w:r w:rsidRPr="00BF0D9C">
        <w:fldChar w:fldCharType="end"/>
      </w:r>
      <w:r w:rsidRPr="00BF0D9C">
        <w:t xml:space="preserve">. </w:t>
      </w:r>
    </w:p>
    <w:p w:rsidRPr="00BF0D9C" w:rsidR="626203BE" w:rsidP="00BF0D9C" w:rsidRDefault="0386ED93" w14:paraId="322127EF" w14:textId="59553904">
      <w:pPr>
        <w:spacing w:after="0" w:line="480" w:lineRule="auto"/>
      </w:pPr>
      <w:r w:rsidRPr="7312A2DD">
        <w:rPr>
          <w:rFonts w:ascii="Calibri" w:hAnsi="Calibri" w:eastAsia="Calibri" w:cs="Calibri"/>
        </w:rPr>
        <w:t>To assess the health burden of</w:t>
      </w:r>
      <w:r w:rsidRPr="7312A2DD">
        <w:rPr>
          <w:rFonts w:ascii="Calibri" w:hAnsi="Calibri" w:eastAsia="Times New Roman" w:cs="Calibri"/>
          <w:lang w:eastAsia="en-GB"/>
        </w:rPr>
        <w:t xml:space="preserve"> </w:t>
      </w:r>
      <w:r w:rsidRPr="7312A2DD" w:rsidR="2D0FEA4B">
        <w:rPr>
          <w:rFonts w:ascii="Calibri" w:hAnsi="Calibri" w:eastAsia="Times New Roman" w:cs="Calibri"/>
          <w:lang w:eastAsia="en-GB"/>
        </w:rPr>
        <w:t>the coronavirus disease 2019 (COVID-19) pandemic, the excess mortality</w:t>
      </w:r>
      <w:r w:rsidRPr="7312A2DD" w:rsidR="00BD0661">
        <w:rPr>
          <w:rFonts w:ascii="Calibri" w:hAnsi="Calibri" w:eastAsia="Times New Roman" w:cs="Calibri"/>
          <w:lang w:eastAsia="en-GB"/>
        </w:rPr>
        <w:t xml:space="preserve"> (defined as the difference between expected and observed mortality in a given time period)</w:t>
      </w:r>
      <w:r w:rsidRPr="7312A2DD" w:rsidR="2D0FEA4B">
        <w:rPr>
          <w:rFonts w:ascii="Calibri" w:hAnsi="Calibri" w:eastAsia="Times New Roman" w:cs="Calibri"/>
          <w:lang w:eastAsia="en-GB"/>
        </w:rPr>
        <w:t> </w:t>
      </w:r>
      <w:r w:rsidR="2D0FEA4B">
        <w:t xml:space="preserve">has been investigated and </w:t>
      </w:r>
      <w:r w:rsidR="74920C24">
        <w:t>described</w:t>
      </w:r>
      <w:r w:rsidR="2D0FEA4B">
        <w:t xml:space="preserve"> in several</w:t>
      </w:r>
      <w:r w:rsidR="002C6DB4">
        <w:t xml:space="preserve"> countries</w:t>
      </w:r>
      <w:r>
        <w:fldChar w:fldCharType="begin"/>
      </w:r>
      <w:r>
        <w:instrText xml:space="preserve"> ADDIN ZOTERO_ITEM CSL_CITATION {"citationID":"FxmPD0Tj","properties":{"formattedCitation":"\\super 2\\uc0\\u8211{}11\\nosupersub{}","plainCitation":"2–11","noteIndex":0},"citationItems":[{"id":6379,"uris":["http://zotero.org/users/384481/items/UXHCBVRT"],"uri":["http://zotero.org/users/384481/items/UXHCBVRT"],"itemData":{"id":6379,"type":"article-journal","abstract":"The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6383,"uris":["http://zotero.org/users/384481/items/WMEYT26J"],"uri":["http://zotero.org/users/384481/items/WMEYT26J"],"itemData":{"id":6383,"type":"article-journal","abstract":"&lt;h2&gt;Abstract&lt;/h2&gt;&lt;h3&gt;Objectives&lt;/h3&gt;&lt;p&gt;The first wave of the SARS-CoV-2 pandemic in Germany lasted from week 10 to 23 in 2020. The aim is to provide estimates of excess mortality in Germany during this time.&lt;/p&gt;&lt;h3&gt;Methods&lt;/h3&gt;&lt;p&gt;We analyzed age-specific numbers of deaths per week from 2016 to week 26 in 2020. We used weekly mean numbers of deaths of 2016–2019 to estimate expected weekly numbers for 2020. We estimated standardized mortality ratios (SMR) and 95% confidence intervals.&lt;/p&gt;&lt;h3&gt;Results&lt;/h3&gt;&lt;p&gt;During the first wave observed numbers of deaths were higher than expected for age groups 60–69, 80–89, and 90+. The age group 70–79 years did not show excess mortality. The net excess number of deaths for weeks 10–23 was +8,071. The overall SMR was 1•03 (95%CI 1•03–1•04). The largest increase occurred among people aged 80–89 and 90+ (SMR=1•08 and SMR=1•09). A sensitivity analysis that accounts for demographic changes revealed an overall SMR of 0•98 (95%CI 0•98–0•99) and a deficit of 4,926 deaths for week 10–23, 2020.&lt;/p&gt;&lt;h3&gt;Conclusions&lt;/h3&gt;&lt;p&gt;The excess mortality existed for two months. The favorable course of the first wave may be explained by a younger age at infection at the beginning of the pandemic, lower contact rates, and a more efficient pandemic management.&lt;/p&gt;","container-title":"Journal of Infection","DOI":"10.1016/j.jinf.2020.09.012","ISSN":"0163-4453, 1532-2742","issue":"5","journalAbbreviation":"Journal of Infection","language":"English","note":"publisher: Elsevier\nPMID: 32956730","page":"797-801","source":"www.journalofinfection.com","title":"Excess mortality due to COVID-19 in Germany","volume":"81","author":[{"family":"Stang","given":"Andreas"},{"family":"Standl","given":"Fabian"},{"family":"Kowall","given":"Bernd"},{"family":"Brune","given":"Bastian"},{"family":"Böttcher","given":"Juliane"},{"family":"Brinkmann","given":"Marcus"},{"family":"Dittmer","given":"Ulf"},{"family":"Jöckel","given":"Karl-Heinz"}],"issued":{"date-parts":[["2020",11,1]]}}},{"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6401,"uris":["http://zotero.org/users/384481/items/GF8RXQWZ"],"uri":["http://zotero.org/users/384481/items/GF8RXQWZ"],"itemData":{"id":6401,"type":"article-journal","abstract":"AbstractBackground. Sweden has one of the highest numbers of COVID-19 deaths per inhabitant globally. However, absolute death counts can be misleading. Estimati","container-title":"European Journal of Public Health","DOI":"10.1093/eurpub/ckaa218","journalAbbreviation":"Eur J Public Health","language":"en","source":"academic.oup.com","title":"EXCESS MORTALITY FROM COVID-19. WEEKLY EXCESS DEATH RATES BY AGE AND SEX FOR SWEDEN AND ITS MOST AFFECTED REGION","URL":"https://academic.oup.com/eurpub/advance-article/doi/10.1093/eurpub/ckaa218/5968985","author":[{"family":"Modig","given":"Karin"},{"family":"Ahlbom","given":"Anders"},{"family":"Ebeling","given":"Marcus"}],"accessed":{"date-parts":[["2020",11,20]]}}},{"id":6406,"uris":["http://zotero.org/users/384481/items/TXWDDVP4"],"uri":["http://zotero.org/users/384481/items/TXWDDVP4"],"itemData":{"id":6406,"type":"report","event-place":"United Kingdom","publisher":"Office for National Statistics","publisher-place":"United Kingdom","title":"Comparisons of all-cause mortality between European countries and regions: January to June 2020","URL":"https://www.ons.gov.uk/peoplepopulationandcommunity/birthsdeathsandmarriages/deaths/articles/comparisonsofallcausemortalitybetweeneuropeancountriesandregions/januarytojune2020#toc","author":[{"family":"Campbell","given":"Annie"},{"family":"Morgan","given":"Edward"}],"accessed":{"date-parts":[["2020",11,20]]},"issued":{"date-parts":[["2020",7,30]]}}},{"id":6407,"uris":["http://zotero.org/users/384481/items/UEHTUUQS"],"uri":["http://zotero.org/users/384481/items/UEHTUUQS"],"itemData":{"id":6407,"type":"article-journal","abstract":"In response to the urgent need for data on the effect of the COVID-19 pandemic, the\nNational Institute of Statistics, in collaboration with the Italian National Institute\nof Health, published preliminary data on the daily number of deaths in Italy from\nany cause occurring during the pandemic, up to May 31, 2020.1 The total number of\ndeaths was obtained through integration of the Population Registers and the Tax Register,\nand these data were released for 7357 municipalities, with validated data from 7904\nmunicipalities, covering 95% of the Italian resident population.","container-title":"The Lancet","DOI":"10.1016/S0140-6736(20)31865-1","ISSN":"0140-6736, 1474-547X","issue":"10253","journalAbbreviation":"The Lancet","language":"English","note":"publisher: Elsevier\nPMID: 32891216","page":"e27-e28","source":"www.thelancet.com","title":"Italy's first wave of the COVID-19 pandemic has ended: no excess mortality in May, 2020","title-short":"Italy's first wave of the COVID-19 pandemic has ended","volume":"396","author":[{"family":"Alicandro","given":"Gianfranco"},{"family":"Remuzzi","given":"Giuseppe"},{"family":"Vecchia","given":"Carlo La"}],"issued":{"date-parts":[["2020",9,12]]}}},{"id":6414,"uris":["http://zotero.org/users/384481/items/IGCHGD9S"],"uri":["http://zotero.org/users/384481/items/IGCHGD9S"],"itemData":{"id":6414,"type":"article-journal","abstract":"In this study we present the first comprehensive analysis of the spatio-temporal differences in excess mortality during the COVID-19 pandemic in Italy. We used a population-based design on all-cause mortality data, for the 7,904 Italian municipalities. We estimated sex-specific weekly mortality rates for each municipality, based on the first four months of 2016–2019, while adjusting for age, localised temporal trends and the effect of temperature. Then, we predicted all-cause weekly deaths and mortality rates at municipality level for the same period in 2020, based on the modelled spatio-temporal trends. Lombardia showed higher mortality rates than expected from the end of February, with 23,946 (23,013 to 24,786) total excess deaths. North-West and North-East regions showed one week lag, with higher mortality from the beginning of March and 6,942 (6,142 to 7,667) and 8,033 (7,061 to 9,044) total excess deaths respectively. We observed marked geographical differences also at municipality level. For males, the city of Bergamo (Lombardia) showed the largest percent excess, 88.9% (81.9% to 95.2%), at the peak of the pandemic. An excess of 84.2% (73.8% to 93.4%) was also estimated at the same time for males in the city of Pesaro (Central Italy), in stark contrast with the rest of the region, which does not show evidence of excess deaths. We provided a fully probabilistic analysis of excess mortality during the COVID-19 pandemic at sub-national level, suggesting a differential direct and indirect effect in space and time. Our model can be used to help policy-makers target measures locally to contain the burden on the health-care system as well as reducing social and economic consequences. Additionally, this framework can be used for real-time mortality surveillance, continuous monitoring of local temporal trends and to flag where and when mortality rates deviate from the expected range, which might suggest a second wave of the pandemic.","container-title":"PLOS ONE","DOI":"10.1371/journal.pone.0240286","ISSN":"1932-6203","issue":"10","journalAbbreviation":"PLOS ONE","language":"en","note":"publisher: Public Library of Science","page":"e0240286","source":"PLoS Journals","title":"Estimating weekly excess mortality at sub-national level in Italy during the COVID-19 pandemic","volume":"15","author":[{"family":"Blangiardo","given":"Marta"},{"family":"Cameletti","given":"Michela"},{"family":"Pirani","given":"Monica"},{"family":"Corsetti","given":"Gianni"},{"family":"Battaglini","given":"Marco"},{"family":"Baio","given":"Gianluca"}],"issued":{"date-parts":[["2020",10,9]]}}},{"id":6411,"uris":["http://zotero.org/users/384481/items/4NJSMQYM"],"uri":["http://zotero.org/users/384481/items/4NJSMQYM"],"itemData":{"id":6411,"type":"article-journal","abstract":"Through a weekly all-cause mortality surveillance system, we observed in France a major all-cause excess mortality from March to May 2020, concomitant with the coronavirus disease (COVID-19) epidemic. The excess mortality was 25,030 deaths, mainly among elderly people. Five metropolitan regions were the most affected, particularly Île-de-France and the Grand-Est regions. Assessing the excess mortality related to COVID-19 is complex because of the potential protective effect of the lockdown period on other causes of mortality.","container-title":"Eurosurveillance","DOI":"10.2807/1560-7917.ES.2020.25.34.2001485","ISSN":"1560-7917","issue":"34","language":"en","note":"publisher: European Centre for Disease Prevention and Control","page":"2001485","source":"www.eurosurveillance.org","title":"Excess all-cause mortality during the first wave of the COVID-19 epidemic in France, March to May 2020","volume":"25","author":[{"family":"Fouillet","given":"Anne"},{"family":"Pontais","given":"Isabelle"},{"family":"Caserio-Schönemann","given":"Céline"}],"issued":{"date-parts":[["2020",8,27]]}}}],"schema":"https://github.com/citation-style-language/schema/raw/master/csl-citation.json"} </w:instrText>
      </w:r>
      <w:r>
        <w:fldChar w:fldCharType="separate"/>
      </w:r>
      <w:r w:rsidRPr="7312A2DD" w:rsidR="002D5C01">
        <w:rPr>
          <w:rFonts w:ascii="Calibri" w:hAnsi="Calibri" w:cs="Calibri"/>
          <w:vertAlign w:val="superscript"/>
        </w:rPr>
        <w:t>2–11</w:t>
      </w:r>
      <w:r>
        <w:fldChar w:fldCharType="end"/>
      </w:r>
      <w:r w:rsidR="00AD6C46">
        <w:t>.</w:t>
      </w:r>
      <w:r w:rsidR="2D0FEA4B">
        <w:t xml:space="preserve"> </w:t>
      </w:r>
      <w:r w:rsidR="6D4C2D92">
        <w:t xml:space="preserve">However, the impact of the COVID-19 pandemic on mortality is not completely captured by the analysis of </w:t>
      </w:r>
      <w:r w:rsidR="0E547B84">
        <w:t xml:space="preserve">the </w:t>
      </w:r>
      <w:r w:rsidR="6D4C2D92">
        <w:t>reported</w:t>
      </w:r>
      <w:r w:rsidR="58327229">
        <w:t xml:space="preserve"> COVID-19</w:t>
      </w:r>
      <w:r w:rsidR="6D4C2D92">
        <w:t xml:space="preserve"> deaths </w:t>
      </w:r>
      <w:r w:rsidR="0E547B84">
        <w:t>and</w:t>
      </w:r>
      <w:r w:rsidR="6D4C2D92">
        <w:t xml:space="preserve"> cases</w:t>
      </w:r>
      <w:r w:rsidR="0E547B84">
        <w:t xml:space="preserve"> due</w:t>
      </w:r>
      <w:r w:rsidR="48D71165">
        <w:t xml:space="preserve"> to</w:t>
      </w:r>
      <w:r w:rsidR="0E547B84">
        <w:t xml:space="preserve"> </w:t>
      </w:r>
      <w:r w:rsidR="5AADB13C">
        <w:t>limited</w:t>
      </w:r>
      <w:r w:rsidR="58327229">
        <w:t xml:space="preserve"> </w:t>
      </w:r>
      <w:r w:rsidR="6D4C2D92">
        <w:t>testing capacity, disrupt</w:t>
      </w:r>
      <w:r w:rsidR="0E547B84">
        <w:t>ion of</w:t>
      </w:r>
      <w:r w:rsidR="6D4C2D92">
        <w:t xml:space="preserve"> health services</w:t>
      </w:r>
      <w:r w:rsidR="0E547B84">
        <w:t>, and possible</w:t>
      </w:r>
      <w:r w:rsidR="6D4C2D92">
        <w:t xml:space="preserve"> reduction o</w:t>
      </w:r>
      <w:r w:rsidR="0E547B84">
        <w:t>f</w:t>
      </w:r>
      <w:r w:rsidR="6D4C2D92">
        <w:t xml:space="preserve"> other causes of death </w:t>
      </w:r>
      <w:proofErr w:type="gramStart"/>
      <w:r w:rsidR="6D4C2D92">
        <w:t>as a consequence</w:t>
      </w:r>
      <w:r w:rsidR="00BF2B1D">
        <w:t xml:space="preserve"> </w:t>
      </w:r>
      <w:r w:rsidR="00A66DD6">
        <w:t>of</w:t>
      </w:r>
      <w:proofErr w:type="gramEnd"/>
      <w:r w:rsidR="00BF2B1D">
        <w:t xml:space="preserve"> </w:t>
      </w:r>
      <w:r w:rsidR="6D4C2D92">
        <w:t xml:space="preserve">restrictive </w:t>
      </w:r>
      <w:r w:rsidR="41747D0C">
        <w:t xml:space="preserve">control </w:t>
      </w:r>
      <w:r w:rsidR="58327229">
        <w:t>measures</w:t>
      </w:r>
      <w:r w:rsidR="6D4C2D92">
        <w:t>. Indeed, many</w:t>
      </w:r>
      <w:r w:rsidR="2D0FEA4B">
        <w:t xml:space="preserve"> studies have highlighted that COVID-19 deaths represent only a small proportion of the excess </w:t>
      </w:r>
      <w:r w:rsidR="329D8176">
        <w:t>mortality</w:t>
      </w:r>
      <w:r w:rsidR="2D0FEA4B">
        <w:t xml:space="preserve"> </w:t>
      </w:r>
      <w:r w:rsidR="222182BD">
        <w:t xml:space="preserve">observed since the start of the pandemic </w:t>
      </w:r>
      <w:r w:rsidR="2D0FEA4B">
        <w:t>in several countries</w:t>
      </w:r>
      <w:r>
        <w:fldChar w:fldCharType="begin"/>
      </w:r>
      <w:r>
        <w:instrText xml:space="preserve"> ADDIN ZOTERO_ITEM CSL_CITATION {"citationID":"Jeoz1RlV","properties":{"formattedCitation":"\\super 5,6,12,13\\nosupersub{}","plainCitation":"5,6,12,13","noteIndex":0},"citationItems":[{"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6375,"uris":["http://zotero.org/users/384481/items/TFD3JTF8"],"uri":["http://zotero.org/users/384481/items/TFD3JTF8"],"itemData":{"id":6375,"type":"article-journal","abstract":"The US had more than 225 000 excess deaths between March and July this year, and about two thirds of them were due to covid-19, reports a study published online in JAMA by authors from Virginia Commonwealth University School of Medicine and Yale School of Public Health.1\n\nWhen compared with 18 other countries the US had high covid-19 mortality and high excess mortality, said researchers from Harvard and the University of Pennsylvania.2 If the US had the same death rate as Australia, 187 661 Americans would still be alive, they estimated. If the US had the same death rate as Canada 117 622 Americans would still be alive. It was not clear whether this pattern would continue through the autumn, the authors said.\n\nDeaths in the US …","container-title":"BMJ","DOI":"10.1136/bmj.m3948","ISSN":"1756-1833","journalAbbreviation":"BMJ","language":"en","note":"publisher: British Medical Journal Publishing Group\nsection: News\nPMID: 33046481","source":"www.bmj.com","title":"Covid-19: At least two thirds of 225 000 excess deaths in US were due to virus","title-short":"Covid-19","URL":"https://www.bmj.com/content/371/bmj.m3948","volume":"371","author":[{"family":"Tanne","given":"Janice Hopkins"}],"accessed":{"date-parts":[["2020",11,20]]},"issued":{"date-parts":[["2020",10,12]]}}},{"id":6371,"uris":["http://zotero.org/users/384481/items/9ANN9B94"],"uri":["http://zotero.org/users/384481/items/9ANN9B94"],"itemData":{"id":6371,"type":"article-journal","container-title":"JAMA","DOI":"10.1001/jama.2020.19545","ISSN":"0098-7484","issue":"15","journalAbbreviation":"JAMA","language":"en","page":"1562","source":"DOI.org (Crossref)","title":"Excess Deaths From COVID-19 and Other Causes, March-July 2020","volume":"324","author":[{"family":"Woolf","given":"Steven H."},{"family":"Chapman","given":"Derek A."},{"family":"Sabo","given":"Roy T."},{"family":"Weinberger","given":"Daniel M."},{"family":"Hill","given":"Latoya"},{"family":"Taylor","given":"DaShaunda D. H."}],"issued":{"date-parts":[["2020",10,20]]}}}],"schema":"https://github.com/citation-style-language/schema/raw/master/csl-citation.json"} </w:instrText>
      </w:r>
      <w:r>
        <w:fldChar w:fldCharType="separate"/>
      </w:r>
      <w:r w:rsidRPr="7312A2DD" w:rsidR="002D5C01">
        <w:rPr>
          <w:rFonts w:ascii="Calibri" w:hAnsi="Calibri" w:cs="Calibri"/>
          <w:vertAlign w:val="superscript"/>
        </w:rPr>
        <w:t>5,6,12,13</w:t>
      </w:r>
      <w:r>
        <w:fldChar w:fldCharType="end"/>
      </w:r>
      <w:r w:rsidR="2D0FEA4B">
        <w:t>, indicating that indirect excess deaths may also contribute to the overall mortality burden. This is particularly true in countries heavily affected by the pandemic such as Italy</w:t>
      </w:r>
      <w:r>
        <w:fldChar w:fldCharType="begin"/>
      </w:r>
      <w:r>
        <w:instrText xml:space="preserve"> ADDIN ZOTERO_ITEM CSL_CITATION {"citationID":"FEJuMSUY","properties":{"formattedCitation":"\\super 5,6\\nosupersub{}","plainCitation":"5,6","noteIndex":0},"citationItems":[{"id":6391,"uris":["http://zotero.org/users/384481/items/4LVJ5RYM"],"uri":["http://zotero.org/users/384481/items/4LVJ5RYM"],"itemData":{"id":6391,"type":"article-journal","abstract":"Standardized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schema":"https://github.com/citation-style-language/schema/raw/master/csl-citation.json"} </w:instrText>
      </w:r>
      <w:r>
        <w:fldChar w:fldCharType="separate"/>
      </w:r>
      <w:r w:rsidRPr="7312A2DD" w:rsidR="002D5C01">
        <w:rPr>
          <w:rFonts w:ascii="Calibri" w:hAnsi="Calibri" w:cs="Calibri"/>
          <w:vertAlign w:val="superscript"/>
        </w:rPr>
        <w:t>5,6</w:t>
      </w:r>
      <w:r>
        <w:fldChar w:fldCharType="end"/>
      </w:r>
      <w:r w:rsidR="2D0FEA4B">
        <w:t>, France</w:t>
      </w:r>
      <w:r>
        <w:fldChar w:fldCharType="begin"/>
      </w:r>
      <w:r>
        <w:instrText xml:space="preserve"> ADDIN ZOTERO_ITEM CSL_CITATION {"citationID":"zigYghcV","properties":{"formattedCitation":"\\super 6\\nosupersub{}","plainCitation":"6","noteIndex":0},"citationItems":[{"id":6395,"uris":["http://zotero.org/users/384481/items/JTC3YZ74"],"uri":["http://zotero.org/users/384481/items/JTC3YZ74"],"itemData":{"id":6395,"type":"article-journal","abstract":"&lt;p&gt;INTRODUCTION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schema":"https://github.com/citation-style-language/schema/raw/master/csl-citation.json"} </w:instrText>
      </w:r>
      <w:r>
        <w:fldChar w:fldCharType="separate"/>
      </w:r>
      <w:r w:rsidRPr="7312A2DD" w:rsidR="002D5C01">
        <w:rPr>
          <w:rFonts w:ascii="Calibri" w:hAnsi="Calibri" w:cs="Calibri"/>
          <w:vertAlign w:val="superscript"/>
        </w:rPr>
        <w:t>6</w:t>
      </w:r>
      <w:r>
        <w:fldChar w:fldCharType="end"/>
      </w:r>
      <w:r w:rsidR="2D0FEA4B">
        <w:t>, Brazil</w:t>
      </w:r>
      <w:r>
        <w:fldChar w:fldCharType="begin"/>
      </w:r>
      <w:r>
        <w:instrText xml:space="preserve"> ADDIN ZOTERO_ITEM CSL_CITATION {"citationID":"oCm2hBCQ","properties":{"formattedCitation":"\\super 14,15\\nosupersub{}","plainCitation":"14,15","noteIndex":0},"citationItems":[{"id":6529,"uris":["http://zotero.org/users/384481/items/FU5EPFYB"],"uri":["http://zotero.org/users/384481/items/FU5EPFYB"],"itemData":{"id":6529,"type":"article-journal","container-title":"Revista da Sociedade Brasileira de Medicina Tropical","DOI":"10.1590/0037-8682-0558-2020","ISSN":"0037-8682","note":"publisher: SBMT","source":"SciELO","title":"Tracking excess deaths associated with the COVID-19 epidemic as an epidemiological surveillance strategy-preliminary results of the evaluation of six Brazilian capitals","URL":"http://www.scielo.br/scielo.php?script=sci_abstract&amp;pid=S0037-86822020000100377&amp;lng=en&amp;nrm=iso&amp;tlng=en","volume":"53","author":[{"family":"Freitas","given":"André Ricardo Ribas"},{"family":"Medeiros","given":"Nicole Montenegro","dropping-particle":"de"},{"family":"Frutuoso","given":"Livia Carla Vinhal"},{"family":"Beckedorff","given":"Otto Albuquerque"},{"family":"Martin","given":"Lucas Mariscal Alves","dropping-particle":"de"},{"family":"Coelho","given":"Marcela Montenegro de Medeiros"},{"family":"Freitas","given":"Giovanna Gimenez Souza","dropping-particle":"de"},{"family":"Lemos","given":"Daniele Rocha Queiróz"},{"family":"Cavalcanti","given":"Luciano Pamplona de Góes"},{"family":"Freitas","given":"André Ricardo Ribas"},{"family":"Medeiros","given":"Nicole Montenegro","dropping-particle":"de"},{"family":"Frutuoso","given":"Livia Carla Vinhal"},{"family":"Beckedorff","given":"Otto Albuquerque"},{"family":"Martin","given":"Lucas Mariscal Alves","dropping-particle":"de"},{"family":"Coelho","given":"Marcela Montenegro de Medeiros"},{"family":"Freitas","given":"Giovanna Gimenez Souza","dropping-particle":"de"},{"family":"Lemos","given":"Daniele Rocha Queiróz"},{"family":"Cavalcanti","given":"Luciano Pamplona de Góes"}],"accessed":{"date-parts":[["2020",12,18]]},"issued":{"date-parts":[["2020"]]}}},{"id":6462,"uris":["http://zotero.org/users/384481/items/V5H2W4CX"],"uri":["http://zotero.org/users/384481/items/V5H2W4CX"],"itemData":{"id":6462,"type":"article-journal","abstract":"•\n              Monitoring of death indicators is a strategy recommended by the World Health Organization to assess the direct and indirect effects of the COVID-19 pandemic.\n            \n            \n              •\n              The global underreporting is a challenge to deal with the COVID-19 pandemic and it is associated with political, technological, and economic burden associated with different territories.\n            \n            \n              •\n              In our data, the high number of unexpected deaths by natural causes during the COVID-19 pandemic is evident.\n            \n            \n              •\n              A total of 118,406 unexpected deaths by natural causes was observed during the COVID-19 pandemic.\n            \n            \n              •\n              Maybe, our data represent the Brazilian underreporting for severe patients affected by COVID-19 due to limitations to perform the SARS-CoV-2 screen by RT-PCR.\n            \n          \n        , Brazil is one of the epicenters of the COVID-19 pandemic and has reported 5,113,628 cases and 150,998 deaths by the disease. Comparing the deaths by natural causes expected and the excess mortality rate, there is a 22% increase in deaths mainly of male patients and individuals over 60 years old.","container-title":"Diagnostic Microbiology and Infectious Disease","DOI":"10.1016/j.diagmicrobio.2020.115258","ISSN":"0732-8893","issue":"3","journalAbbreviation":"Diagn Microbiol Infect Dis","note":"PMID: 33279819\nPMCID: PMC7576323","page":"115258","source":"PubMed Central","title":"COVID-19 in Brazil: 150,000 deaths and the Brazilian underreporting","title-short":"COVID-19 in Brazil","volume":"99","author":[{"family":"Carvalho","given":"Tatiana Aline"},{"family":"Boschiero","given":"Matheus Negri"},{"family":"Marson","given":"Fernando Augusto Lima"}],"issued":{"date-parts":[["2021",3]]}}}],"schema":"https://github.com/citation-style-language/schema/raw/master/csl-citation.json"} </w:instrText>
      </w:r>
      <w:r>
        <w:fldChar w:fldCharType="separate"/>
      </w:r>
      <w:r w:rsidRPr="7312A2DD" w:rsidR="002D5C01">
        <w:rPr>
          <w:rFonts w:ascii="Calibri" w:hAnsi="Calibri" w:cs="Calibri"/>
          <w:vertAlign w:val="superscript"/>
        </w:rPr>
        <w:t>14,15</w:t>
      </w:r>
      <w:r>
        <w:fldChar w:fldCharType="end"/>
      </w:r>
      <w:r w:rsidR="2D0FEA4B">
        <w:t>, the United Kingdom (UK)</w:t>
      </w:r>
      <w:r>
        <w:fldChar w:fldCharType="begin"/>
      </w:r>
      <w:r>
        <w:instrText xml:space="preserve"> ADDIN ZOTERO_ITEM CSL_CITATION {"citationID":"TiZkdTow","properties":{"formattedCitation":"\\super 6\\nosupersub{}","plainCitation":"6","noteIndex":0},"citationItems":[{"id":6395,"uris":["http://zotero.org/users/384481/items/JTC3YZ74"],"uri":["http://zotero.org/users/384481/items/JTC3YZ74"],"itemData":{"id":6395,"type":"article-journal","abstract":"&lt;p&gt;INTRODUCTION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schema":"https://github.com/citation-style-language/schema/raw/master/csl-citation.json"} </w:instrText>
      </w:r>
      <w:r>
        <w:fldChar w:fldCharType="separate"/>
      </w:r>
      <w:r w:rsidRPr="7312A2DD" w:rsidR="002D5C01">
        <w:rPr>
          <w:rFonts w:ascii="Calibri" w:hAnsi="Calibri" w:cs="Calibri"/>
          <w:vertAlign w:val="superscript"/>
        </w:rPr>
        <w:t>6</w:t>
      </w:r>
      <w:r>
        <w:fldChar w:fldCharType="end"/>
      </w:r>
      <w:r w:rsidR="2D0FEA4B">
        <w:t xml:space="preserve"> and the U</w:t>
      </w:r>
      <w:r w:rsidR="58327229">
        <w:t xml:space="preserve">nited </w:t>
      </w:r>
      <w:r w:rsidR="2D0FEA4B">
        <w:t>S</w:t>
      </w:r>
      <w:r w:rsidR="58327229">
        <w:t xml:space="preserve">tates of </w:t>
      </w:r>
      <w:r w:rsidR="2D0FEA4B">
        <w:t>A</w:t>
      </w:r>
      <w:r w:rsidR="58327229">
        <w:t>merica (USA)</w:t>
      </w:r>
      <w:r>
        <w:fldChar w:fldCharType="begin"/>
      </w:r>
      <w:r>
        <w:instrText xml:space="preserve"> ADDIN ZOTERO_ITEM CSL_CITATION {"citationID":"ZIV7yCzi","properties":{"formattedCitation":"\\super 12,13\\nosupersub{}","plainCitation":"12,13","noteIndex":0},"citationItems":[{"id":6375,"uris":["http://zotero.org/users/384481/items/TFD3JTF8"],"uri":["http://zotero.org/users/384481/items/TFD3JTF8"],"itemData":{"id":6375,"type":"article-journal","abstract":"The US had more than 225 000 excess deaths between March and July this year, and about two thirds of them were due to covid-19, reports a study published online in JAMA by authors from Virginia Commonwealth University School of Medicine and Yale School of Public Health.1\n\nWhen compared with 18 other countries the US had high covid-19 mortality and high excess mortality, said researchers from Harvard and the University of Pennsylvania.2 If the US had the same death rate as Australia, 187 661 Americans would still be alive, they estimated. If the US had the same death rate as Canada 117 622 Americans would still be alive. It was not clear whether this pattern would continue through the autumn, the authors said.\n\nDeaths in the US …","container-title":"BMJ","DOI":"10.1136/bmj.m3948","ISSN":"1756-1833","journalAbbreviation":"BMJ","language":"en","note":"publisher: British Medical Journal Publishing Group\nsection: News\nPMID: 33046481","source":"www.bmj.com","title":"Covid-19: At least two thirds of 225 000 excess deaths in US were due to virus","title-short":"Covid-19","URL":"https://www.bmj.com/content/371/bmj.m3948","volume":"371","author":[{"family":"Tanne","given":"Janice Hopkins"}],"accessed":{"date-parts":[["2020",11,20]]},"issued":{"date-parts":[["2020",10,12]]}}},{"id":6371,"uris":["http://zotero.org/users/384481/items/9ANN9B94"],"uri":["http://zotero.org/users/384481/items/9ANN9B94"],"itemData":{"id":6371,"type":"article-journal","container-title":"JAMA","DOI":"10.1001/jama.2020.19545","ISSN":"0098-7484","issue":"15","journalAbbreviation":"JAMA","language":"en","page":"1562","source":"DOI.org (Crossref)","title":"Excess Deaths From COVID-19 and Other Causes, March-July 2020","volume":"324","author":[{"family":"Woolf","given":"Steven H."},{"family":"Chapman","given":"Derek A."},{"family":"Sabo","given":"Roy T."},{"family":"Weinberger","given":"Daniel M."},{"family":"Hill","given":"Latoya"},{"family":"Taylor","given":"DaShaunda D. H."}],"issued":{"date-parts":[["2020",10,20]]}}}],"schema":"https://github.com/citation-style-language/schema/raw/master/csl-citation.json"} </w:instrText>
      </w:r>
      <w:r>
        <w:fldChar w:fldCharType="separate"/>
      </w:r>
      <w:r w:rsidRPr="7312A2DD" w:rsidR="002D5C01">
        <w:rPr>
          <w:rFonts w:ascii="Calibri" w:hAnsi="Calibri" w:cs="Calibri"/>
          <w:vertAlign w:val="superscript"/>
        </w:rPr>
        <w:t>12,13</w:t>
      </w:r>
      <w:r>
        <w:fldChar w:fldCharType="end"/>
      </w:r>
      <w:r w:rsidR="2D0FEA4B">
        <w:t xml:space="preserve">. </w:t>
      </w:r>
      <w:r w:rsidR="6D4C2D92">
        <w:t>Thus, analysis of overall excess mortality represents an important complementary tool to investigate the influence of SARS</w:t>
      </w:r>
      <w:r w:rsidR="464E8A9A">
        <w:t>-</w:t>
      </w:r>
      <w:r w:rsidR="6D4C2D92">
        <w:t>CoV</w:t>
      </w:r>
      <w:r w:rsidR="464E8A9A">
        <w:t>-</w:t>
      </w:r>
      <w:r w:rsidR="6D4C2D92">
        <w:t xml:space="preserve">2 </w:t>
      </w:r>
      <w:r w:rsidR="75A4A617">
        <w:t>pan</w:t>
      </w:r>
      <w:r w:rsidR="6D4C2D92">
        <w:t xml:space="preserve">demic on mortality. </w:t>
      </w:r>
      <w:r w:rsidR="3CC3CC68">
        <w:t xml:space="preserve">Importantly, </w:t>
      </w:r>
      <w:r w:rsidR="7B0D7170">
        <w:t xml:space="preserve">in the case of COVID-19, during the initial </w:t>
      </w:r>
      <w:r w:rsidR="22CB335F">
        <w:t xml:space="preserve">weeks </w:t>
      </w:r>
      <w:r w:rsidR="7B0D7170">
        <w:t>of</w:t>
      </w:r>
      <w:r w:rsidR="2985B608">
        <w:t xml:space="preserve"> the</w:t>
      </w:r>
      <w:r w:rsidR="7B0D7170">
        <w:t xml:space="preserve"> pandemic most countries lacked adequate testing and </w:t>
      </w:r>
      <w:r w:rsidR="3EB29D4F">
        <w:t>healthcare systems</w:t>
      </w:r>
      <w:r w:rsidR="1BFDEE33">
        <w:t xml:space="preserve"> </w:t>
      </w:r>
      <w:r w:rsidR="7B0D7170">
        <w:t xml:space="preserve">were overwhelmed </w:t>
      </w:r>
      <w:r w:rsidR="06E790EE">
        <w:t>with</w:t>
      </w:r>
      <w:r w:rsidR="726F6335">
        <w:t xml:space="preserve"> </w:t>
      </w:r>
      <w:r w:rsidR="7B0D7170">
        <w:t>patients</w:t>
      </w:r>
      <w:r w:rsidR="6F94B2CF">
        <w:t xml:space="preserve"> displaying symptoms of COVID-19</w:t>
      </w:r>
      <w:r w:rsidR="7B0D7170">
        <w:t xml:space="preserve">; therefore, many cases and deaths that should have been attributed to COVID-19 were not </w:t>
      </w:r>
      <w:r w:rsidR="66E03ED6">
        <w:t xml:space="preserve">tested and </w:t>
      </w:r>
      <w:r w:rsidR="7B0D7170">
        <w:t>identified</w:t>
      </w:r>
      <w:r>
        <w:fldChar w:fldCharType="begin"/>
      </w:r>
      <w:r>
        <w:instrText xml:space="preserve"> ADDIN ZOTERO_ITEM CSL_CITATION {"citationID":"UXeqvrra","properties":{"formattedCitation":"\\super 16\\uc0\\u8211{}18\\nosupersub{}","plainCitation":"16–18","noteIndex":0},"citationItems":[{"id":6541,"uris":["http://zotero.org/users/384481/items/2T9HERG5"],"uri":["http://zotero.org/users/384481/items/2T9HERG5"],"itemData":{"id":6541,"type":"article-journal","container-title":"New England Journal of Medicine","DOI":"10.1056/NEJMoa2008457","ISSN":"0028-4793","issue":"22","note":"publisher: Massachusetts Medical Society\n_eprint: https://doi.org/10.1056/NEJMoa2008457","page":"2081-2090","source":"Taylor and Francis+NEJM","title":"Presymptomatic SARS-CoV-2 Infections and Transmission in a Skilled Nursing Facility","volume":"382","author":[{"family":"Arons","given":"Melissa M."},{"family":"Hatfield","given":"Kelly M."},{"family":"Reddy","given":"Sujan C."},{"family":"Kimball","given":"Anne"},{"family":"James","given":"Allison"},{"family":"Jacobs","given":"Jesica R."},{"family":"Taylor","given":"Joanne"},{"family":"Spicer","given":"Kevin"},{"family":"Bardossy","given":"Ana C."},{"family":"Oakley","given":"Lisa P."},{"family":"Tanwar","given":"Sukarma"},{"family":"Dyal","given":"Jonathan W."},{"family":"Harney","given":"Josh"},{"family":"Chisty","given":"Zeshan"},{"family":"Bell","given":"Jeneita M."},{"family":"Methner","given":"Mark"},{"family":"Paul","given":"Prabasaj"},{"family":"Carlson","given":"Christina M."},{"family":"McLaughlin","given":"Heather P."},{"family":"Thornburg","given":"Natalie"},{"family":"Tong","given":"Suxiang"},{"family":"Tamin","given":"Azaibi"},{"family":"Tao","given":"Ying"},{"family":"Uehara","given":"Anna"},{"family":"Harcourt","given":"Jennifer"},{"family":"Clark","given":"Shauna"},{"family":"Brostrom-Smith","given":"Claire"},{"family":"Page","given":"Libby C."},{"family":"Kay","given":"Meagan"},{"family":"Lewis","given":"James"},{"family":"Montgomery","given":"Patty"},{"family":"Stone","given":"Nimalie D."},{"family":"Clark","given":"Thomas A."},{"family":"Honein","given":"Margaret A."},{"family":"Duchin","given":"Jeffrey S."},{"family":"Jernigan","given":"John A."}],"issued":{"date-parts":[["2020",5,28]]}}},{"id":6544,"uris":["http://zotero.org/users/384481/items/H8W76NDT"],"uri":["http://zotero.org/users/384481/items/H8W76NDT"],"itemData":{"id":6544,"type":"article-journal","abstract":"Undetected cases\nThe virus causing coronavirus disease 2019 (COVID-19) has now become pandemic. How has it managed to spread from China to all around the world within 3 to 4 months? Li et al. used multiple sources to infer the proportion of early infections that went undetected and their contribution to virus spread. The researchers combined data from Tencent, one of the world's largest social media and technology companies, with a networked dynamic metapopulation model and Bayesian inference to analyze early spread within China. They estimate that </w:instrText>
      </w:r>
      <w:r w:rsidRPr="7312A2DD">
        <w:rPr>
          <w:rFonts w:ascii="Cambria Math" w:hAnsi="Cambria Math" w:cs="Cambria Math"/>
        </w:rPr>
        <w:instrText>∼</w:instrText>
      </w:r>
      <w:r>
        <w:instrText xml:space="preserve">86% of cases were undocumented before travel restrictions were put in place. Before travel restriction and personal isolation were implemented, the transmission rate of undocumented infections was a little more than half that of the known cases. However, because of their greater numbers, undocumented infections were the source for </w:instrText>
      </w:r>
      <w:r w:rsidRPr="7312A2DD">
        <w:rPr>
          <w:rFonts w:ascii="Cambria Math" w:hAnsi="Cambria Math" w:cs="Cambria Math"/>
        </w:rPr>
        <w:instrText>∼</w:instrText>
      </w:r>
      <w:r>
        <w:instrText xml:space="preserve">80% of the documented cases. Immediately after travel restrictions were imposed, </w:instrText>
      </w:r>
      <w:r w:rsidRPr="7312A2DD">
        <w:rPr>
          <w:rFonts w:ascii="Cambria Math" w:hAnsi="Cambria Math" w:cs="Cambria Math"/>
        </w:rPr>
        <w:instrText>∼</w:instrText>
      </w:r>
      <w:r>
        <w:instrText xml:space="preserve">65% of cases were documented. These findings help to explain the lightning-fast spread of this virus around the world.\nScience, this issue p. 489\nEstimation of the prevalence and contagiousness of undocumented novel coronavirus [severe acute respiratory syndrome–coronavirus 2 (SARS-CoV-2)] infections is critical for understanding the overall prevalence and pandemic potential of this disease. Here, we use observations of reported infection within China, in conjunction with mobility data, a networked dynamic metapopulation model, and Bayesian inference, to infer critical epidemiological characteristics associated with SARS-CoV-2, including the fraction of undocumented infections and their contagiousness. We estimate that 86% of all infections were undocumented [95% credible interval (CI): 82–90%] before the 23 January 2020 travel restrictions. The transmission rate of undocumented infections per person was 55% the transmission rate of documented infections (95% CI: 46–62%), yet, because of their greater numbers, undocumented infections were the source of 79% of the documented cases. These findings explain the rapid geographic spread of SARS-CoV-2 and indicate that containment of this virus will be particularly challenging.\nPrior to travel restrictions, most SARS-CoV-2 infections went undocumented and substantially contributed to global virus spread.\nPrior to travel restrictions, most SARS-CoV-2 infections went undocumented and substantially contributed to global virus spread.","container-title":"Science","DOI":"10.1126/science.abb3221","ISSN":"0036-8075, 1095-9203","issue":"6490","language":"en","note":"publisher: American Association for the Advancement of Science\nsection: Research Article\nPMID: 32179701","page":"489-493","source":"science.sciencemag.org","title":"Substantial undocumented infection facilitates the rapid dissemination of novel coronavirus (SARS-CoV-2)","volume":"368","author":[{"family":"Li","given":"Ruiyun"},{"family":"Pei","given":"Sen"},{"family":"Chen","given":"Bin"},{"family":"Song","given":"Yimeng"},{"family":"Zhang","given":"Tao"},{"family":"Yang","given":"Wan"},{"family":"Shaman","given":"Jeffrey"}],"issued":{"date-parts":[["2020",5,1]]}}},{"id":6548,"uris":["http://zotero.org/users/384481/items/RL2DNVJI"],"uri":["http://zotero.org/users/384481/items/RL2DNVJI"],"itemData":{"id":6548,"type":"report","language":"en","number":"v04","publisher":"WHO","title":"Revealing the toll of COVID-19: A technical package for rapid mortality surveillance and epidemic response","URL":"https://www.who.int/publications/i/item/revealing-the-toll-of-covid-19","author":[{"family":"WHO","given":""}],"accessed":{"date-parts":[["2021",1,21]]},"issued":{"date-parts":[["2020"]]}}}],"schema":"https://github.com/citation-style-language/schema/raw/master/csl-citation.json"} </w:instrText>
      </w:r>
      <w:r>
        <w:fldChar w:fldCharType="separate"/>
      </w:r>
      <w:r w:rsidRPr="7312A2DD" w:rsidR="002D5C01">
        <w:rPr>
          <w:rFonts w:ascii="Calibri" w:hAnsi="Calibri" w:cs="Calibri"/>
          <w:vertAlign w:val="superscript"/>
        </w:rPr>
        <w:t>16–18</w:t>
      </w:r>
      <w:r>
        <w:fldChar w:fldCharType="end"/>
      </w:r>
      <w:r w:rsidR="00BF2B1D">
        <w:t xml:space="preserve">. </w:t>
      </w:r>
      <w:r w:rsidR="7B0D7170">
        <w:t xml:space="preserve">For this reason, all-cause excess deaths (i.e., observed deaths during the </w:t>
      </w:r>
      <w:r w:rsidR="7D4DEC24">
        <w:t>pan</w:t>
      </w:r>
      <w:r w:rsidR="7B0D7170">
        <w:t xml:space="preserve">demic over those expected in the same period of previous </w:t>
      </w:r>
      <w:r w:rsidR="7B0D7170">
        <w:lastRenderedPageBreak/>
        <w:t>years) is recommended by WHO and the European Centre for Disease Prevention and Control as a more reliable metric for comparing countries/regions</w:t>
      </w:r>
      <w:r>
        <w:fldChar w:fldCharType="begin"/>
      </w:r>
      <w:r>
        <w:instrText xml:space="preserve"> ADDIN ZOTERO_ITEM CSL_CITATION {"citationID":"Xacd5SVJ","properties":{"formattedCitation":"\\super 19\\nosupersub{}","plainCitation":"19","noteIndex":0},"citationItems":[{"id":6551,"uris":["http://zotero.org/users/384481/items/TZ82XSGY"],"uri":["http://zotero.org/users/384481/items/TZ82XSGY"],"itemData":{"id":6551,"type":"webpage","abstract":"Since 31 December 2019 and as of 22 April 2020, approximately 2.5 million (2 524 812) cases of COVID-19 have been reported worldwide and 177 780 deaths. Of these, 988 241 cases were reported by EU/EEA countries and the UK, including 105 064 deaths.","container-title":"European Centre for Disease Prevention and Control","language":"en","title":"Rapid Risk Assessment: Coronavirus disease 2019 (COVID-19) in the EU/EEA and the UK– ninth update","title-short":"Rapid Risk Assessment","URL":"https://www.ecdc.europa.eu/en/publications-data/rapid-risk-assessment-coronavirus-disease-2019-covid-19-pandemic-ninth-update","author":[{"family":"European Centre for Disease Prevention and Control","given":""}],"accessed":{"date-parts":[["2021",1,21]]},"issued":{"date-parts":[["2020",4,23]]}}}],"schema":"https://github.com/citation-style-language/schema/raw/master/csl-citation.json"} </w:instrText>
      </w:r>
      <w:r>
        <w:fldChar w:fldCharType="separate"/>
      </w:r>
      <w:r w:rsidRPr="7312A2DD" w:rsidR="002D5C01">
        <w:rPr>
          <w:rFonts w:ascii="Calibri" w:hAnsi="Calibri" w:cs="Calibri"/>
          <w:vertAlign w:val="superscript"/>
        </w:rPr>
        <w:t>19</w:t>
      </w:r>
      <w:r>
        <w:fldChar w:fldCharType="end"/>
      </w:r>
      <w:r w:rsidR="00BF2B1D">
        <w:t>.</w:t>
      </w:r>
    </w:p>
    <w:p w:rsidRPr="00BF0D9C" w:rsidR="00A66DD6" w:rsidP="00BF0D9C" w:rsidRDefault="00AF6C81" w14:paraId="121DEC3D" w14:textId="59B04303">
      <w:pPr>
        <w:spacing w:line="480" w:lineRule="auto"/>
      </w:pPr>
      <w:r w:rsidRPr="00BF0D9C">
        <w:t>E</w:t>
      </w:r>
      <w:r w:rsidRPr="00BF0D9C" w:rsidR="00A66DD6">
        <w:t xml:space="preserve">xcess mortality in countries less affected by COVID-19 and the extent to which any excess can be attributed to COVID-19 are less well researched. </w:t>
      </w:r>
      <w:r w:rsidR="281CD808">
        <w:t>In addition</w:t>
      </w:r>
      <w:r w:rsidRPr="00BF0D9C" w:rsidR="00A66DD6">
        <w:t xml:space="preserve">, most studies investigating excess mortality to date have focused on </w:t>
      </w:r>
      <w:r w:rsidRPr="00BF0D9C" w:rsidR="002C6DB4">
        <w:t xml:space="preserve">single </w:t>
      </w:r>
      <w:r w:rsidRPr="00BF0D9C" w:rsidR="00BD0661">
        <w:t xml:space="preserve">countries or world regions and </w:t>
      </w:r>
      <w:r w:rsidRPr="00BF0D9C" w:rsidR="00A66DD6">
        <w:t>have mostly relied on publicly available data</w:t>
      </w:r>
      <w:r w:rsidRPr="00BF0D9C" w:rsidR="00BD0661">
        <w:fldChar w:fldCharType="begin"/>
      </w:r>
      <w:r w:rsidRPr="00BF0D9C" w:rsidR="00BD0661">
        <w:instrText xml:space="preserve"> ADDIN ZOTERO_ITEM CSL_CITATION {"citationID":"eJjvn4P7","properties":{"formattedCitation":"\\super 2\\uc0\\u8211{}11\\nosupersub{}","plainCitation":"2–11","noteIndex":0},"citationItems":[{"id":6379,"uris":["http://zotero.org/users/384481/items/UXHCBVRT"],"uri":["http://zotero.org/users/384481/items/UXHCBVRT"],"itemData":{"id":6379,"type":"article-journal","abstract":"The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6383,"uris":["http://zotero.org/users/384481/items/WMEYT26J"],"uri":["http://zotero.org/users/384481/items/WMEYT26J"],"itemData":{"id":6383,"type":"article-journal","abstract":"&lt;h2&gt;Abstract&lt;/h2&gt;&lt;h3&gt;Objectives&lt;/h3&gt;&lt;p&gt;The first wave of the SARS-CoV-2 pandemic in Germany lasted from week 10 to 23 in 2020. The aim is to provide estimates of excess mortality in Germany during this time.&lt;/p&gt;&lt;h3&gt;Methods&lt;/h3&gt;&lt;p&gt;We analyzed age-specific numbers of deaths per week from 2016 to week 26 in 2020. We used weekly mean numbers of deaths of 2016–2019 to estimate expected weekly numbers for 2020. We estimated standardized mortality ratios (SMR) and 95% confidence intervals.&lt;/p&gt;&lt;h3&gt;Results&lt;/h3&gt;&lt;p&gt;During the first wave observed numbers of deaths were higher than expected for age groups 60–69, 80–89, and 90+. The age group 70–79 years did not show excess mortality. The net excess number of deaths for weeks 10–23 was +8,071. The overall SMR was 1•03 (95%CI 1•03–1•04). The largest increase occurred among people aged 80–89 and 90+ (SMR=1•08 and SMR=1•09). A sensitivity analysis that accounts for demographic changes revealed an overall SMR of 0•98 (95%CI 0•98–0•99) and a deficit of 4,926 deaths for week 10–23, 2020.&lt;/p&gt;&lt;h3&gt;Conclusions&lt;/h3&gt;&lt;p&gt;The excess mortality existed for two months. The favorable course of the first wave may be explained by a younger age at infection at the beginning of the pandemic, lower contact rates, and a more efficient pandemic management.&lt;/p&gt;","container-title":"Journal of Infection","DOI":"10.1016/j.jinf.2020.09.012","ISSN":"0163-4453, 1532-2742","issue":"5","journalAbbreviation":"Journal of Infection","language":"English","note":"publisher: Elsevier\nPMID: 32956730","page":"797-801","source":"www.journalofinfection.com","title":"Excess mortality due to COVID-19 in Germany","volume":"81","author":[{"family":"Stang","given":"Andreas"},{"family":"Standl","given":"Fabian"},{"family":"Kowall","given":"Bernd"},{"family":"Brune","given":"Bastian"},{"family":"Böttcher","given":"Juliane"},{"family":"Brinkmann","given":"Marcus"},{"family":"Dittmer","given":"Ulf"},{"family":"Jöckel","given":"Karl-Heinz"}],"issued":{"date-parts":[["2020",11,1]]}}},{"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6401,"uris":["http://zotero.org/users/384481/items/GF8RXQWZ"],"uri":["http://zotero.org/users/384481/items/GF8RXQWZ"],"itemData":{"id":6401,"type":"article-journal","abstract":"AbstractBackground. Sweden has one of the highest numbers of COVID-19 deaths per inhabitant globally. However, absolute death counts can be misleading. Estimati","container-title":"European Journal of Public Health","DOI":"10.1093/eurpub/ckaa218","journalAbbreviation":"Eur J Public Health","language":"en","source":"academic.oup.com","title":"EXCESS MORTALITY FROM COVID-19. WEEKLY EXCESS DEATH RATES BY AGE AND SEX FOR SWEDEN AND ITS MOST AFFECTED REGION","URL":"https://academic.oup.com/eurpub/advance-article/doi/10.1093/eurpub/ckaa218/5968985","author":[{"family":"Modig","given":"Karin"},{"family":"Ahlbom","given":"Anders"},{"family":"Ebeling","given":"Marcus"}],"accessed":{"date-parts":[["2020",11,20]]}}},{"id":6406,"uris":["http://zotero.org/users/384481/items/TXWDDVP4"],"uri":["http://zotero.org/users/384481/items/TXWDDVP4"],"itemData":{"id":6406,"type":"report","event-place":"United Kingdom","publisher":"Office for National Statistics","publisher-place":"United Kingdom","title":"Comparisons of all-cause mortality between European countries and regions: January to June 2020","URL":"https://www.ons.gov.uk/peoplepopulationandcommunity/birthsdeathsandmarriages/deaths/articles/comparisonsofallcausemortalitybetweeneuropeancountriesandregions/januarytojune2020#toc","author":[{"family":"Campbell","given":"Annie"},{"family":"Morgan","given":"Edward"}],"accessed":{"date-parts":[["2020",11,20]]},"issued":{"date-parts":[["2020",7,30]]}}},{"id":6407,"uris":["http://zotero.org/users/384481/items/UEHTUUQS"],"uri":["http://zotero.org/users/384481/items/UEHTUUQS"],"itemData":{"id":6407,"type":"article-journal","abstract":"In response to the urgent need for data on the effect of the COVID-19 pandemic, the\nNational Institute of Statistics, in collaboration with the Italian National Institute\nof Health, published preliminary data on the daily number of deaths in Italy from\nany cause occurring during the pandemic, up to May 31, 2020.1 The total number of\ndeaths was obtained through integration of the Population Registers and the Tax Register,\nand these data were released for 7357 municipalities, with validated data from 7904\nmunicipalities, covering 95% of the Italian resident population.","container-title":"The Lancet","DOI":"10.1016/S0140-6736(20)31865-1","ISSN":"0140-6736, 1474-547X","issue":"10253","journalAbbreviation":"The Lancet","language":"English","note":"publisher: Elsevier\nPMID: 32891216","page":"e27-e28","source":"www.thelancet.com","title":"Italy's first wave of the COVID-19 pandemic has ended: no excess mortality in May, 2020","title-short":"Italy's first wave of the COVID-19 pandemic has ended","volume":"396","author":[{"family":"Alicandro","given":"Gianfranco"},{"family":"Remuzzi","given":"Giuseppe"},{"family":"Vecchia","given":"Carlo La"}],"issued":{"date-parts":[["2020",9,12]]}}},{"id":6414,"uris":["http://zotero.org/users/384481/items/IGCHGD9S"],"uri":["http://zotero.org/users/384481/items/IGCHGD9S"],"itemData":{"id":6414,"type":"article-journal","abstract":"In this study we present the first comprehensive analysis of the spatio-temporal differences in excess mortality during the COVID-19 pandemic in Italy. We used a population-based design on all-cause mortality data, for the 7,904 Italian municipalities. We estimated sex-specific weekly mortality rates for each municipality, based on the first four months of 2016–2019, while adjusting for age, localised temporal trends and the effect of temperature. Then, we predicted all-cause weekly deaths and mortality rates at municipality level for the same period in 2020, based on the modelled spatio-temporal trends. Lombardia showed higher mortality rates than expected from the end of February, with 23,946 (23,013 to 24,786) total excess deaths. North-West and North-East regions showed one week lag, with higher mortality from the beginning of March and 6,942 (6,142 to 7,667) and 8,033 (7,061 to 9,044) total excess deaths respectively. We observed marked geographical differences also at municipality level. For males, the city of Bergamo (Lombardia) showed the largest percent excess, 88.9% (81.9% to 95.2%), at the peak of the pandemic. An excess of 84.2% (73.8% to 93.4%) was also estimated at the same time for males in the city of Pesaro (Central Italy), in stark contrast with the rest of the region, which does not show evidence of excess deaths. We provided a fully probabilistic analysis of excess mortality during the COVID-19 pandemic at sub-national level, suggesting a differential direct and indirect effect in space and time. Our model can be used to help policy-makers target measures locally to contain the burden on the health-care system as well as reducing social and economic consequences. Additionally, this framework can be used for real-time mortality surveillance, continuous monitoring of local temporal trends and to flag where and when mortality rates deviate from the expected range, which might suggest a second wave of the pandemic.","container-title":"PLOS ONE","DOI":"10.1371/journal.pone.0240286","ISSN":"1932-6203","issue":"10","journalAbbreviation":"PLOS ONE","language":"en","note":"publisher: Public Library of Science","page":"e0240286","source":"PLoS Journals","title":"Estimating weekly excess mortality at sub-national level in Italy during the COVID-19 pandemic","volume":"15","author":[{"family":"Blangiardo","given":"Marta"},{"family":"Cameletti","given":"Michela"},{"family":"Pirani","given":"Monica"},{"family":"Corsetti","given":"Gianni"},{"family":"Battaglini","given":"Marco"},{"family":"Baio","given":"Gianluca"}],"issued":{"date-parts":[["2020",10,9]]}}},{"id":6411,"uris":["http://zotero.org/users/384481/items/4NJSMQYM"],"uri":["http://zotero.org/users/384481/items/4NJSMQYM"],"itemData":{"id":6411,"type":"article-journal","abstract":"Through a weekly all-cause mortality surveillance system, we observed in France a major all-cause excess mortality from March to May 2020, concomitant with the coronavirus disease (COVID-19) epidemic. The excess mortality was 25,030 deaths, mainly among elderly people. Five metropolitan regions were the most affected, particularly Île-de-France and the Grand-Est regions. Assessing the excess mortality related to COVID-19 is complex because of the potential protective effect of the lockdown period on other causes of mortality.","container-title":"Eurosurveillance","DOI":"10.2807/1560-7917.ES.2020.25.34.2001485","ISSN":"1560-7917","issue":"34","language":"en","note":"publisher: European Centre for Disease Prevention and Control","page":"2001485","source":"www.eurosurveillance.org","title":"Excess all-cause mortality during the first wave of the COVID-19 epidemic in France, March to May 2020","volume":"25","author":[{"family":"Fouillet","given":"Anne"},{"family":"Pontais","given":"Isabelle"},{"family":"Caserio-Schönemann","given":"Céline"}],"issued":{"date-parts":[["2020",8,27]]}}}],"schema":"https://github.com/citation-style-language/schema/raw/master/csl-citation.json"} </w:instrText>
      </w:r>
      <w:r w:rsidRPr="00BF0D9C" w:rsidR="00BD0661">
        <w:fldChar w:fldCharType="separate"/>
      </w:r>
      <w:r w:rsidRPr="0C82DD25" w:rsidR="002D5C01">
        <w:rPr>
          <w:rFonts w:ascii="Calibri" w:hAnsi="Calibri" w:cs="Calibri"/>
          <w:vertAlign w:val="superscript"/>
        </w:rPr>
        <w:t>2–11</w:t>
      </w:r>
      <w:r w:rsidRPr="00BF0D9C" w:rsidR="00BD0661">
        <w:fldChar w:fldCharType="end"/>
      </w:r>
      <w:r w:rsidRPr="00BF0D9C" w:rsidR="00BD0661">
        <w:t>. Furthermore, existing studies</w:t>
      </w:r>
      <w:r w:rsidRPr="00BF0D9C" w:rsidR="00A66DD6">
        <w:rPr>
          <w:rFonts w:ascii="Calibri" w:hAnsi="Calibri" w:eastAsia="Times New Roman" w:cs="Calibri"/>
          <w:shd w:val="clear" w:color="auto" w:fill="FFFFFF"/>
          <w:lang w:eastAsia="en-GB"/>
        </w:rPr>
        <w:t> have not interpreted the differences across jurisdictions or over time in the context of COVID-19 control measures and/or death reporting criteria</w:t>
      </w:r>
      <w:r w:rsidRPr="00BF0D9C" w:rsidR="00BD0661">
        <w:fldChar w:fldCharType="begin"/>
      </w:r>
      <w:r w:rsidRPr="00BF0D9C" w:rsidR="00BD0661">
        <w:instrText xml:space="preserve"> ADDIN ZOTERO_ITEM CSL_CITATION {"citationID":"SBSOvt6Y","properties":{"formattedCitation":"\\super 2\\uc0\\u8211{}11\\nosupersub{}","plainCitation":"2–11","noteIndex":0},"citationItems":[{"id":6379,"uris":["http://zotero.org/users/384481/items/UXHCBVRT"],"uri":["http://zotero.org/users/384481/items/UXHCBVRT"],"itemData":{"id":6379,"type":"article-journal","abstract":"The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6383,"uris":["http://zotero.org/users/384481/items/WMEYT26J"],"uri":["http://zotero.org/users/384481/items/WMEYT26J"],"itemData":{"id":6383,"type":"article-journal","abstract":"&lt;h2&gt;Abstract&lt;/h2&gt;&lt;h3&gt;Objectives&lt;/h3&gt;&lt;p&gt;The first wave of the SARS-CoV-2 pandemic in Germany lasted from week 10 to 23 in 2020. The aim is to provide estimates of excess mortality in Germany during this time.&lt;/p&gt;&lt;h3&gt;Methods&lt;/h3&gt;&lt;p&gt;We analyzed age-specific numbers of deaths per week from 2016 to week 26 in 2020. We used weekly mean numbers of deaths of 2016–2019 to estimate expected weekly numbers for 2020. We estimated standardized mortality ratios (SMR) and 95% confidence intervals.&lt;/p&gt;&lt;h3&gt;Results&lt;/h3&gt;&lt;p&gt;During the first wave observed numbers of deaths were higher than expected for age groups 60–69, 80–89, and 90+. The age group 70–79 years did not show excess mortality. The net excess number of deaths for weeks 10–23 was +8,071. The overall SMR was 1•03 (95%CI 1•03–1•04). The largest increase occurred among people aged 80–89 and 90+ (SMR=1•08 and SMR=1•09). A sensitivity analysis that accounts for demographic changes revealed an overall SMR of 0•98 (95%CI 0•98–0•99) and a deficit of 4,926 deaths for week 10–23, 2020.&lt;/p&gt;&lt;h3&gt;Conclusions&lt;/h3&gt;&lt;p&gt;The excess mortality existed for two months. The favorable course of the first wave may be explained by a younger age at infection at the beginning of the pandemic, lower contact rates, and a more efficient pandemic management.&lt;/p&gt;","container-title":"Journal of Infection","DOI":"10.1016/j.jinf.2020.09.012","ISSN":"0163-4453, 1532-2742","issue":"5","journalAbbreviation":"Journal of Infection","language":"English","note":"publisher: Elsevier\nPMID: 32956730","page":"797-801","source":"www.journalofinfection.com","title":"Excess mortality due to COVID-19 in Germany","volume":"81","author":[{"family":"Stang","given":"Andreas"},{"family":"Standl","given":"Fabian"},{"family":"Kowall","given":"Bernd"},{"family":"Brune","given":"Bastian"},{"family":"Böttcher","given":"Juliane"},{"family":"Brinkmann","given":"Marcus"},{"family":"Dittmer","given":"Ulf"},{"family":"Jöckel","given":"Karl-Heinz"}],"issued":{"date-parts":[["2020",11,1]]}}},{"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6401,"uris":["http://zotero.org/users/384481/items/GF8RXQWZ"],"uri":["http://zotero.org/users/384481/items/GF8RXQWZ"],"itemData":{"id":6401,"type":"article-journal","abstract":"AbstractBackground. Sweden has one of the highest numbers of COVID-19 deaths per inhabitant globally. However, absolute death counts can be misleading. Estimati","container-title":"European Journal of Public Health","DOI":"10.1093/eurpub/ckaa218","journalAbbreviation":"Eur J Public Health","language":"en","source":"academic.oup.com","title":"EXCESS MORTALITY FROM COVID-19. WEEKLY EXCESS DEATH RATES BY AGE AND SEX FOR SWEDEN AND ITS MOST AFFECTED REGION","URL":"https://academic.oup.com/eurpub/advance-article/doi/10.1093/eurpub/ckaa218/5968985","author":[{"family":"Modig","given":"Karin"},{"family":"Ahlbom","given":"Anders"},{"family":"Ebeling","given":"Marcus"}],"accessed":{"date-parts":[["2020",11,20]]}}},{"id":6406,"uris":["http://zotero.org/users/384481/items/TXWDDVP4"],"uri":["http://zotero.org/users/384481/items/TXWDDVP4"],"itemData":{"id":6406,"type":"report","event-place":"United Kingdom","publisher":"Office for National Statistics","publisher-place":"United Kingdom","title":"Comparisons of all-cause mortality between European countries and regions: January to June 2020","URL":"https://www.ons.gov.uk/peoplepopulationandcommunity/birthsdeathsandmarriages/deaths/articles/comparisonsofallcausemortalitybetweeneuropeancountriesandregions/januarytojune2020#toc","author":[{"family":"Campbell","given":"Annie"},{"family":"Morgan","given":"Edward"}],"accessed":{"date-parts":[["2020",11,20]]},"issued":{"date-parts":[["2020",7,30]]}}},{"id":6407,"uris":["http://zotero.org/users/384481/items/UEHTUUQS"],"uri":["http://zotero.org/users/384481/items/UEHTUUQS"],"itemData":{"id":6407,"type":"article-journal","abstract":"In response to the urgent need for data on the effect of the COVID-19 pandemic, the\nNational Institute of Statistics, in collaboration with the Italian National Institute\nof Health, published preliminary data on the daily number of deaths in Italy from\nany cause occurring during the pandemic, up to May 31, 2020.1 The total number of\ndeaths was obtained through integration of the Population Registers and the Tax Register,\nand these data were released for 7357 municipalities, with validated data from 7904\nmunicipalities, covering 95% of the Italian resident population.","container-title":"The Lancet","DOI":"10.1016/S0140-6736(20)31865-1","ISSN":"0140-6736, 1474-547X","issue":"10253","journalAbbreviation":"The Lancet","language":"English","note":"publisher: Elsevier\nPMID: 32891216","page":"e27-e28","source":"www.thelancet.com","title":"Italy's first wave of the COVID-19 pandemic has ended: no excess mortality in May, 2020","title-short":"Italy's first wave of the COVID-19 pandemic has ended","volume":"396","author":[{"family":"Alicandro","given":"Gianfranco"},{"family":"Remuzzi","given":"Giuseppe"},{"family":"Vecchia","given":"Carlo La"}],"issued":{"date-parts":[["2020",9,12]]}}},{"id":6414,"uris":["http://zotero.org/users/384481/items/IGCHGD9S"],"uri":["http://zotero.org/users/384481/items/IGCHGD9S"],"itemData":{"id":6414,"type":"article-journal","abstract":"In this study we present the first comprehensive analysis of the spatio-temporal differences in excess mortality during the COVID-19 pandemic in Italy. We used a population-based design on all-cause mortality data, for the 7,904 Italian municipalities. We estimated sex-specific weekly mortality rates for each municipality, based on the first four months of 2016–2019, while adjusting for age, localised temporal trends and the effect of temperature. Then, we predicted all-cause weekly deaths and mortality rates at municipality level for the same period in 2020, based on the modelled spatio-temporal trends. Lombardia showed higher mortality rates than expected from the end of February, with 23,946 (23,013 to 24,786) total excess deaths. North-West and North-East regions showed one week lag, with higher mortality from the beginning of March and 6,942 (6,142 to 7,667) and 8,033 (7,061 to 9,044) total excess deaths respectively. We observed marked geographical differences also at municipality level. For males, the city of Bergamo (Lombardia) showed the largest percent excess, 88.9% (81.9% to 95.2%), at the peak of the pandemic. An excess of 84.2% (73.8% to 93.4%) was also estimated at the same time for males in the city of Pesaro (Central Italy), in stark contrast with the rest of the region, which does not show evidence of excess deaths. We provided a fully probabilistic analysis of excess mortality during the COVID-19 pandemic at sub-national level, suggesting a differential direct and indirect effect in space and time. Our model can be used to help policy-makers target measures locally to contain the burden on the health-care system as well as reducing social and economic consequences. Additionally, this framework can be used for real-time mortality surveillance, continuous monitoring of local temporal trends and to flag where and when mortality rates deviate from the expected range, which might suggest a second wave of the pandemic.","container-title":"PLOS ONE","DOI":"10.1371/journal.pone.0240286","ISSN":"1932-6203","issue":"10","journalAbbreviation":"PLOS ONE","language":"en","note":"publisher: Public Library of Science","page":"e0240286","source":"PLoS Journals","title":"Estimating weekly excess mortality at sub-national level in Italy during the COVID-19 pandemic","volume":"15","author":[{"family":"Blangiardo","given":"Marta"},{"family":"Cameletti","given":"Michela"},{"family":"Pirani","given":"Monica"},{"family":"Corsetti","given":"Gianni"},{"family":"Battaglini","given":"Marco"},{"family":"Baio","given":"Gianluca"}],"issued":{"date-parts":[["2020",10,9]]}}},{"id":6411,"uris":["http://zotero.org/users/384481/items/4NJSMQYM"],"uri":["http://zotero.org/users/384481/items/4NJSMQYM"],"itemData":{"id":6411,"type":"article-journal","abstract":"Through a weekly all-cause mortality surveillance system, we observed in France a major all-cause excess mortality from March to May 2020, concomitant with the coronavirus disease (COVID-19) epidemic. The excess mortality was 25,030 deaths, mainly among elderly people. Five metropolitan regions were the most affected, particularly Île-de-France and the Grand-Est regions. Assessing the excess mortality related to COVID-19 is complex because of the potential protective effect of the lockdown period on other causes of mortality.","container-title":"Eurosurveillance","DOI":"10.2807/1560-7917.ES.2020.25.34.2001485","ISSN":"1560-7917","issue":"34","language":"en","note":"publisher: European Centre for Disease Prevention and Control","page":"2001485","source":"www.eurosurveillance.org","title":"Excess all-cause mortality during the first wave of the COVID-19 epidemic in France, March to May 2020","volume":"25","author":[{"family":"Fouillet","given":"Anne"},{"family":"Pontais","given":"Isabelle"},{"family":"Caserio-Schönemann","given":"Céline"}],"issued":{"date-parts":[["2020",8,27]]}}}],"schema":"https://github.com/citation-style-language/schema/raw/master/csl-citation.json"} </w:instrText>
      </w:r>
      <w:r w:rsidRPr="00BF0D9C" w:rsidR="00BD0661">
        <w:fldChar w:fldCharType="separate"/>
      </w:r>
      <w:r w:rsidRPr="0C82DD25" w:rsidR="002D5C01">
        <w:rPr>
          <w:rFonts w:ascii="Calibri" w:hAnsi="Calibri" w:cs="Calibri"/>
          <w:vertAlign w:val="superscript"/>
        </w:rPr>
        <w:t>2–11</w:t>
      </w:r>
      <w:r w:rsidRPr="00BF0D9C" w:rsidR="00BD0661">
        <w:fldChar w:fldCharType="end"/>
      </w:r>
      <w:r w:rsidRPr="00BF0D9C" w:rsidR="00A66DD6">
        <w:t>. This leaves a gap as to the excess mortality picture in countries without publicly available data,</w:t>
      </w:r>
      <w:r w:rsidRPr="00BF0D9C" w:rsidR="00A66DD6">
        <w:rPr>
          <w:rFonts w:ascii="Calibri" w:hAnsi="Calibri" w:eastAsia="Times New Roman" w:cs="Calibri"/>
          <w:shd w:val="clear" w:color="auto" w:fill="FFFFFF"/>
          <w:lang w:eastAsia="en-GB"/>
        </w:rPr>
        <w:t xml:space="preserve"> and in the interpretation of differences based on factors beyond excess deaths alone</w:t>
      </w:r>
      <w:r w:rsidRPr="00BF0D9C" w:rsidR="00A66DD6">
        <w:t xml:space="preserve">. </w:t>
      </w:r>
    </w:p>
    <w:p w:rsidRPr="00BF0D9C" w:rsidR="00A66DD6" w:rsidP="00BF0D9C" w:rsidRDefault="00AF6C81" w14:paraId="20FC93F0" w14:textId="782B235A">
      <w:pPr>
        <w:spacing w:line="480" w:lineRule="auto"/>
      </w:pPr>
      <w:r>
        <w:t xml:space="preserve">To this </w:t>
      </w:r>
      <w:r w:rsidR="00340823">
        <w:t>end</w:t>
      </w:r>
      <w:r>
        <w:t>, a</w:t>
      </w:r>
      <w:r w:rsidR="00A66DD6">
        <w:t xml:space="preserve">n international consortium consisting of over 50 institutions across </w:t>
      </w:r>
      <w:r w:rsidR="00A87908">
        <w:t>52</w:t>
      </w:r>
      <w:r w:rsidR="00A66DD6">
        <w:t xml:space="preserve"> countries </w:t>
      </w:r>
      <w:r w:rsidR="511D6390">
        <w:t>and</w:t>
      </w:r>
      <w:r w:rsidR="00A66DD6">
        <w:t xml:space="preserve"> six continents was formed to investigate excess mortality </w:t>
      </w:r>
      <w:r w:rsidR="00C22A4E">
        <w:t xml:space="preserve">during the </w:t>
      </w:r>
      <w:r w:rsidR="00A66DD6">
        <w:t>COVID-19</w:t>
      </w:r>
      <w:r w:rsidR="00C22A4E">
        <w:t xml:space="preserve"> pandemic</w:t>
      </w:r>
      <w:r w:rsidR="00A66DD6">
        <w:t>. The consortium attempts to include countries worldwide without restriction and constitutes an ongoing effort to monitor overall and cause-specific mortality resulting from the COVID-19 pandemic. Th</w:t>
      </w:r>
      <w:r w:rsidR="5254399C">
        <w:t>e present</w:t>
      </w:r>
      <w:r w:rsidR="00A66DD6">
        <w:t xml:space="preserve"> study investigate</w:t>
      </w:r>
      <w:r w:rsidR="00672BD9">
        <w:t>s</w:t>
      </w:r>
      <w:r w:rsidR="00A66DD6">
        <w:t xml:space="preserve"> overall and </w:t>
      </w:r>
      <w:r w:rsidR="073141D4">
        <w:t>sex</w:t>
      </w:r>
      <w:r w:rsidR="00A66DD6">
        <w:t>-specific excess all-cause mortality</w:t>
      </w:r>
      <w:r w:rsidR="00C22A4E">
        <w:t>,</w:t>
      </w:r>
      <w:r w:rsidR="00A66DD6">
        <w:t xml:space="preserve"> </w:t>
      </w:r>
      <w:r w:rsidR="00C22A4E">
        <w:t>since the inception of the COVID-19 pandemic until August 2020,</w:t>
      </w:r>
      <w:r w:rsidR="00F20934">
        <w:t xml:space="preserve"> in </w:t>
      </w:r>
      <w:r w:rsidR="00BD0661">
        <w:t>22</w:t>
      </w:r>
      <w:r w:rsidR="00E631D6">
        <w:t xml:space="preserve"> </w:t>
      </w:r>
      <w:r w:rsidR="00F20934">
        <w:t>countries</w:t>
      </w:r>
      <w:r w:rsidR="00A66DD6">
        <w:t>.</w:t>
      </w:r>
    </w:p>
    <w:p w:rsidRPr="00BF0D9C" w:rsidR="00A66DD6" w:rsidP="00BF0D9C" w:rsidRDefault="00A66DD6" w14:paraId="14C4255F" w14:textId="77777777">
      <w:pPr>
        <w:spacing w:line="480" w:lineRule="auto"/>
        <w:rPr>
          <w:b/>
        </w:rPr>
      </w:pPr>
      <w:r w:rsidRPr="00BF0D9C">
        <w:rPr>
          <w:b/>
        </w:rPr>
        <w:br w:type="page"/>
      </w:r>
    </w:p>
    <w:p w:rsidRPr="00BF0D9C" w:rsidR="00A66DD6" w:rsidP="00BF0D9C" w:rsidRDefault="00A66DD6" w14:paraId="43DA766B" w14:textId="77777777">
      <w:pPr>
        <w:spacing w:line="480" w:lineRule="auto"/>
        <w:rPr>
          <w:b/>
        </w:rPr>
      </w:pPr>
      <w:r w:rsidRPr="00BF0D9C">
        <w:rPr>
          <w:b/>
        </w:rPr>
        <w:lastRenderedPageBreak/>
        <w:t>Methods</w:t>
      </w:r>
    </w:p>
    <w:p w:rsidRPr="00BF0D9C" w:rsidR="00A66DD6" w:rsidP="00BF0D9C" w:rsidRDefault="00A66DD6" w14:paraId="2EFDB699" w14:textId="77777777">
      <w:pPr>
        <w:spacing w:line="480" w:lineRule="auto"/>
        <w:rPr>
          <w:i/>
          <w:iCs/>
        </w:rPr>
      </w:pPr>
      <w:r w:rsidRPr="00BF0D9C">
        <w:rPr>
          <w:i/>
          <w:iCs/>
        </w:rPr>
        <w:t>Data acquisition</w:t>
      </w:r>
    </w:p>
    <w:p w:rsidRPr="00BF0D9C" w:rsidR="00A66DD6" w:rsidP="00BF0D9C" w:rsidRDefault="00A66DD6" w14:paraId="5652C93F" w14:textId="489D73E4">
      <w:pPr>
        <w:spacing w:line="480" w:lineRule="auto"/>
        <w:rPr>
          <w:rFonts w:ascii="Times New Roman" w:hAnsi="Times New Roman" w:eastAsia="Times New Roman" w:cs="Times New Roman"/>
          <w:sz w:val="24"/>
          <w:szCs w:val="24"/>
          <w:lang w:eastAsia="en-GB"/>
        </w:rPr>
      </w:pPr>
      <w:r>
        <w:t xml:space="preserve">In this </w:t>
      </w:r>
      <w:r w:rsidR="00BD0661">
        <w:t>study,</w:t>
      </w:r>
      <w:r>
        <w:t xml:space="preserve"> we examine</w:t>
      </w:r>
      <w:r w:rsidR="006B7B23">
        <w:t>d</w:t>
      </w:r>
      <w:r>
        <w:t xml:space="preserve"> the mortality data from 22 countries </w:t>
      </w:r>
      <w:r w:rsidR="00BD236F">
        <w:t xml:space="preserve">participating in the international consortium </w:t>
      </w:r>
      <w:r>
        <w:t xml:space="preserve">(Supplementary Figure 1 and Supplementary Table 1) that have collected and provided data until the end of either June </w:t>
      </w:r>
      <w:r w:rsidR="75F13B34">
        <w:t xml:space="preserve">(n=5) </w:t>
      </w:r>
      <w:r>
        <w:t>or August 2020</w:t>
      </w:r>
      <w:r w:rsidR="424D954E">
        <w:t xml:space="preserve"> (n=17)</w:t>
      </w:r>
      <w:r w:rsidR="002C6DB4">
        <w:t>, depending on data availability</w:t>
      </w:r>
      <w:r>
        <w:t>.</w:t>
      </w:r>
      <w:r w:rsidR="00BD236F">
        <w:t xml:space="preserve"> I</w:t>
      </w:r>
      <w:r>
        <w:t>nformation was collected</w:t>
      </w:r>
      <w:r w:rsidR="00F20934">
        <w:t xml:space="preserve"> </w:t>
      </w:r>
      <w:r>
        <w:t xml:space="preserve">for total and </w:t>
      </w:r>
      <w:r w:rsidR="073141D4">
        <w:t>sex</w:t>
      </w:r>
      <w:r>
        <w:t xml:space="preserve">-specific all-cause mortality (for 2015-2020), as well as total and </w:t>
      </w:r>
      <w:r w:rsidR="073141D4">
        <w:t>sex</w:t>
      </w:r>
      <w:r>
        <w:t>-specific COVID-19 deaths (for 2020). Anonymous data was collected from national vital statistics databases</w:t>
      </w:r>
      <w:r w:rsidR="00F20934">
        <w:t>, either publicly available or with restricted access</w:t>
      </w:r>
      <w:r w:rsidR="00BD236F">
        <w:t>,</w:t>
      </w:r>
      <w:r>
        <w:t xml:space="preserve"> </w:t>
      </w:r>
      <w:r w:rsidR="00F20934">
        <w:t xml:space="preserve">from </w:t>
      </w:r>
      <w:r>
        <w:t>each participating country to the latest available data point of 2020</w:t>
      </w:r>
      <w:r w:rsidR="00036FF8">
        <w:t xml:space="preserve"> (Supplementary Table 1)</w:t>
      </w:r>
      <w:r>
        <w:t xml:space="preserve">. </w:t>
      </w:r>
    </w:p>
    <w:p w:rsidRPr="00BF0D9C" w:rsidR="00A66DD6" w:rsidP="00BF0D9C" w:rsidRDefault="2D0FEA4B" w14:paraId="40FF6288" w14:textId="06F7BBCE">
      <w:pPr>
        <w:spacing w:line="480" w:lineRule="auto"/>
        <w:rPr>
          <w:rFonts w:ascii="Times New Roman" w:hAnsi="Times New Roman" w:eastAsia="Times New Roman" w:cs="Times New Roman"/>
          <w:sz w:val="24"/>
          <w:szCs w:val="24"/>
          <w:lang w:eastAsia="en-GB"/>
        </w:rPr>
      </w:pPr>
      <w:r w:rsidRPr="00BF0D9C">
        <w:t xml:space="preserve">Countries reported all-cause mortality and COVID-19 deaths by week (either </w:t>
      </w:r>
      <w:r w:rsidR="006B00D0">
        <w:t xml:space="preserve">International </w:t>
      </w:r>
      <w:r w:rsidR="004943BC">
        <w:t xml:space="preserve">Organization for Standardization - </w:t>
      </w:r>
      <w:r w:rsidRPr="00BF0D9C">
        <w:t xml:space="preserve">ISO </w:t>
      </w:r>
      <w:r w:rsidR="004943BC">
        <w:t xml:space="preserve">- </w:t>
      </w:r>
      <w:r w:rsidRPr="00BF0D9C">
        <w:t>week, starting on Monday</w:t>
      </w:r>
      <w:r w:rsidRPr="00BF0D9C" w:rsidR="001231E0">
        <w:t>;</w:t>
      </w:r>
      <w:r w:rsidRPr="00BF0D9C">
        <w:t xml:space="preserve"> or </w:t>
      </w:r>
      <w:r w:rsidR="004943BC">
        <w:t xml:space="preserve">epidemiological </w:t>
      </w:r>
      <w:r w:rsidR="001629B4">
        <w:t>-</w:t>
      </w:r>
      <w:r w:rsidR="003F0354">
        <w:t xml:space="preserve"> </w:t>
      </w:r>
      <w:r w:rsidRPr="00BF0D9C">
        <w:t>Epi</w:t>
      </w:r>
      <w:r w:rsidR="003F0354">
        <w:t xml:space="preserve"> -</w:t>
      </w:r>
      <w:r w:rsidRPr="00BF0D9C">
        <w:t xml:space="preserve"> week, starting on Sunday</w:t>
      </w:r>
      <w:r w:rsidRPr="00BF0D9C" w:rsidR="001231E0">
        <w:t>;</w:t>
      </w:r>
      <w:r w:rsidRPr="00BF0D9C">
        <w:t xml:space="preserve"> or other national counting week</w:t>
      </w:r>
      <w:r w:rsidRPr="00BF0D9C" w:rsidR="3731CE3B">
        <w:t xml:space="preserve"> system</w:t>
      </w:r>
      <w:r w:rsidRPr="00BF0D9C">
        <w:t>, depending on the country). COVID-19 death reporting also differed between countries</w:t>
      </w:r>
      <w:r w:rsidR="00C22A4E">
        <w:t xml:space="preserve">, as shown in </w:t>
      </w:r>
      <w:r w:rsidR="00C22A4E">
        <w:rPr>
          <w:rFonts w:ascii="Calibri" w:hAnsi="Calibri" w:eastAsia="Times New Roman" w:cs="Calibri"/>
          <w:shd w:val="clear" w:color="auto" w:fill="FFFFFF"/>
          <w:lang w:eastAsia="en-GB"/>
        </w:rPr>
        <w:t>Supplementary Table 1</w:t>
      </w:r>
      <w:r w:rsidRPr="00BF0D9C">
        <w:t xml:space="preserve">. Some countries </w:t>
      </w:r>
      <w:r w:rsidRPr="00BF0D9C" w:rsidR="00DB6CAA">
        <w:t>(n=1</w:t>
      </w:r>
      <w:r w:rsidRPr="00BF0D9C" w:rsidR="00486C14">
        <w:t>1</w:t>
      </w:r>
      <w:r w:rsidRPr="00BF0D9C" w:rsidR="00DB6CAA">
        <w:t xml:space="preserve">) </w:t>
      </w:r>
      <w:r w:rsidRPr="00BF0D9C">
        <w:t xml:space="preserve">reported </w:t>
      </w:r>
      <w:r w:rsidRPr="00BF0D9C" w:rsidR="00DE2555">
        <w:t xml:space="preserve">as </w:t>
      </w:r>
      <w:r w:rsidRPr="00BF0D9C">
        <w:t>COVID-19 deaths</w:t>
      </w:r>
      <w:r w:rsidRPr="00BF0D9C" w:rsidR="00470BE5">
        <w:t>,</w:t>
      </w:r>
      <w:r w:rsidRPr="00BF0D9C">
        <w:t xml:space="preserve"> deaths </w:t>
      </w:r>
      <w:r w:rsidRPr="00BF0D9C" w:rsidR="5A46313E">
        <w:t>among</w:t>
      </w:r>
      <w:r w:rsidRPr="00BF0D9C">
        <w:t xml:space="preserve"> positive cases</w:t>
      </w:r>
      <w:r w:rsidRPr="00BF0D9C" w:rsidR="00470BE5">
        <w:t xml:space="preserve"> irrespective of where COVID-19 was listed on the death certificate. T</w:t>
      </w:r>
      <w:r w:rsidRPr="00BF0D9C" w:rsidR="6F597A5E">
        <w:t>hus</w:t>
      </w:r>
      <w:r w:rsidRPr="00BF0D9C">
        <w:t xml:space="preserve"> COVID-19 was either </w:t>
      </w:r>
      <w:r w:rsidRPr="00BF0D9C" w:rsidR="00DE2555">
        <w:t xml:space="preserve">listed among the chain of causes leading to death or as a contributing </w:t>
      </w:r>
      <w:r w:rsidRPr="00BF0D9C" w:rsidR="00AF4B24">
        <w:t>condition on the death certificate (</w:t>
      </w:r>
      <w:r w:rsidRPr="00BF0D9C" w:rsidR="00AF4B24">
        <w:rPr>
          <w:i/>
          <w:iCs/>
        </w:rPr>
        <w:t xml:space="preserve">cause </w:t>
      </w:r>
      <w:r w:rsidRPr="00BF0D9C" w:rsidR="00E17710">
        <w:rPr>
          <w:i/>
          <w:iCs/>
        </w:rPr>
        <w:t>of death</w:t>
      </w:r>
      <w:r w:rsidRPr="00BF0D9C" w:rsidR="623397C6">
        <w:rPr>
          <w:i/>
          <w:iCs/>
        </w:rPr>
        <w:t>,</w:t>
      </w:r>
      <w:r w:rsidRPr="00BF0D9C" w:rsidR="00613AEA">
        <w:rPr>
          <w:i/>
          <w:iCs/>
        </w:rPr>
        <w:t xml:space="preserve"> </w:t>
      </w:r>
      <w:r w:rsidRPr="00BF0D9C" w:rsidR="0073001E">
        <w:rPr>
          <w:i/>
          <w:iCs/>
        </w:rPr>
        <w:t>COD</w:t>
      </w:r>
      <w:r w:rsidRPr="00BF0D9C" w:rsidR="7F4AE5F4">
        <w:rPr>
          <w:i/>
          <w:iCs/>
        </w:rPr>
        <w:t>,</w:t>
      </w:r>
      <w:r w:rsidRPr="00BF0D9C" w:rsidR="0073001E">
        <w:rPr>
          <w:i/>
          <w:iCs/>
        </w:rPr>
        <w:t xml:space="preserve"> </w:t>
      </w:r>
      <w:r w:rsidRPr="00BF0D9C" w:rsidR="00AF4B24">
        <w:rPr>
          <w:i/>
          <w:iCs/>
        </w:rPr>
        <w:t>or contributing condition</w:t>
      </w:r>
      <w:r w:rsidRPr="00BF0D9C" w:rsidR="00AF4B24">
        <w:t>)</w:t>
      </w:r>
      <w:r w:rsidRPr="00BF0D9C" w:rsidR="00BD0661">
        <w:fldChar w:fldCharType="begin"/>
      </w:r>
      <w:r w:rsidRPr="00BF0D9C" w:rsidR="000C72BE">
        <w:instrText xml:space="preserve"> ADDIN ZOTERO_ITEM CSL_CITATION {"citationID":"J6LaGwYI","properties":{"formattedCitation":"\\super 20\\nosupersub{}","plainCitation":"20","noteIndex":0},"citationItems":[{"id":6575,"uris":["http://zotero.org/users/384481/items/4Z7E529A"],"uri":["http://zotero.org/users/384481/items/4Z7E529A"],"itemData":{"id":6575,"type":"report","number":"1","publisher":"WHO","title":"International Guidelines for Certification and Classification (coding) of COVID-19 as Cause of Death; Based on ICD International Statistical Classification of Diseases","URL":"https://www.who.int/classifications/icd/Guidelines_Cause_of_Death_COVID-19.pdf?ua=1","author":[{"family":"WHO","given":""}],"issued":{"date-parts":[["2020",4,16]]}}}],"schema":"https://github.com/citation-style-language/schema/raw/master/csl-citation.json"} </w:instrText>
      </w:r>
      <w:r w:rsidRPr="00BF0D9C" w:rsidR="00BD0661">
        <w:fldChar w:fldCharType="separate"/>
      </w:r>
      <w:r w:rsidRPr="002D5C01" w:rsidR="002D5C01">
        <w:rPr>
          <w:rFonts w:ascii="Calibri" w:hAnsi="Calibri" w:cs="Calibri"/>
          <w:szCs w:val="24"/>
          <w:vertAlign w:val="superscript"/>
        </w:rPr>
        <w:t>20</w:t>
      </w:r>
      <w:r w:rsidRPr="00BF0D9C" w:rsidR="00BD0661">
        <w:fldChar w:fldCharType="end"/>
      </w:r>
      <w:r w:rsidRPr="00BF0D9C">
        <w:t xml:space="preserve">. Other countries </w:t>
      </w:r>
      <w:r w:rsidRPr="00BF0D9C" w:rsidR="00DB6CAA">
        <w:t>(n=1</w:t>
      </w:r>
      <w:r w:rsidRPr="00BF0D9C" w:rsidR="00486C14">
        <w:t>1</w:t>
      </w:r>
      <w:r w:rsidRPr="00BF0D9C" w:rsidR="00DB6CAA">
        <w:t xml:space="preserve">) </w:t>
      </w:r>
      <w:r w:rsidRPr="00BF0D9C">
        <w:t xml:space="preserve">reported </w:t>
      </w:r>
      <w:r w:rsidRPr="00BF0D9C" w:rsidR="00DE2555">
        <w:t xml:space="preserve">as </w:t>
      </w:r>
      <w:r w:rsidRPr="00BF0D9C">
        <w:t xml:space="preserve">COVID-19 deaths only the deaths where COVID-19 was </w:t>
      </w:r>
      <w:r w:rsidRPr="00BF0D9C" w:rsidR="00DE2555">
        <w:t>listed among the chain of causes leading to death</w:t>
      </w:r>
      <w:r w:rsidRPr="00BF0D9C" w:rsidR="00AF4B24">
        <w:t xml:space="preserve"> (</w:t>
      </w:r>
      <w:r w:rsidRPr="00BF0D9C" w:rsidR="0073001E">
        <w:rPr>
          <w:i/>
          <w:iCs/>
        </w:rPr>
        <w:t>COD</w:t>
      </w:r>
      <w:r w:rsidRPr="00BF0D9C" w:rsidR="00AF4B24">
        <w:t>)</w:t>
      </w:r>
      <w:r w:rsidRPr="00BF0D9C" w:rsidR="00BD0661">
        <w:fldChar w:fldCharType="begin"/>
      </w:r>
      <w:r w:rsidRPr="00BF0D9C" w:rsidR="000C72BE">
        <w:instrText xml:space="preserve"> ADDIN ZOTERO_ITEM CSL_CITATION {"citationID":"GSwm9z7j","properties":{"formattedCitation":"\\super 20\\nosupersub{}","plainCitation":"20","noteIndex":0},"citationItems":[{"id":6575,"uris":["http://zotero.org/users/384481/items/4Z7E529A"],"uri":["http://zotero.org/users/384481/items/4Z7E529A"],"itemData":{"id":6575,"type":"report","number":"1","publisher":"WHO","title":"International Guidelines for Certification and Classification (coding) of COVID-19 as Cause of Death; Based on ICD International Statistical Classification of Diseases","URL":"https://www.who.int/classifications/icd/Guidelines_Cause_of_Death_COVID-19.pdf?ua=1","author":[{"family":"WHO","given":""}],"issued":{"date-parts":[["2020",4,16]]}}}],"schema":"https://github.com/citation-style-language/schema/raw/master/csl-citation.json"} </w:instrText>
      </w:r>
      <w:r w:rsidRPr="00BF0D9C" w:rsidR="00BD0661">
        <w:fldChar w:fldCharType="separate"/>
      </w:r>
      <w:r w:rsidRPr="002D5C01" w:rsidR="002D5C01">
        <w:rPr>
          <w:rFonts w:ascii="Calibri" w:hAnsi="Calibri" w:cs="Calibri"/>
          <w:szCs w:val="24"/>
          <w:vertAlign w:val="superscript"/>
        </w:rPr>
        <w:t>20</w:t>
      </w:r>
      <w:r w:rsidRPr="00BF0D9C" w:rsidR="00BD0661">
        <w:fldChar w:fldCharType="end"/>
      </w:r>
      <w:r w:rsidR="00615689">
        <w:t>;</w:t>
      </w:r>
      <w:r w:rsidRPr="00BF0D9C" w:rsidR="2EC63260">
        <w:t xml:space="preserve"> </w:t>
      </w:r>
      <w:r w:rsidR="00615689">
        <w:t>o</w:t>
      </w:r>
      <w:r w:rsidRPr="00BF0D9C" w:rsidR="00DE2555">
        <w:t>f these</w:t>
      </w:r>
      <w:r w:rsidR="005A76C4">
        <w:t xml:space="preserve"> latter</w:t>
      </w:r>
      <w:r w:rsidRPr="00BF0D9C" w:rsidR="2EC63260">
        <w:t xml:space="preserve">, France reported only </w:t>
      </w:r>
      <w:r w:rsidRPr="00BF0D9C" w:rsidR="2EC63260">
        <w:rPr>
          <w:rFonts w:ascii="Calibri" w:hAnsi="Calibri" w:eastAsia="Times New Roman" w:cs="Calibri"/>
          <w:shd w:val="clear" w:color="auto" w:fill="FFFFFF"/>
          <w:lang w:eastAsia="en-GB"/>
        </w:rPr>
        <w:t>hospital and nursing homes COVID-19 deaths.</w:t>
      </w:r>
      <w:r w:rsidRPr="00BF0D9C">
        <w:t xml:space="preserve"> </w:t>
      </w:r>
      <w:r w:rsidRPr="00BF0D9C">
        <w:rPr>
          <w:rStyle w:val="xxnormaltextrun"/>
          <w:shd w:val="clear" w:color="auto" w:fill="FFFFFF"/>
        </w:rPr>
        <w:t>The national </w:t>
      </w:r>
      <w:r w:rsidRPr="00BF0D9C">
        <w:rPr>
          <w:rStyle w:val="xxfindhit"/>
          <w:shd w:val="clear" w:color="auto" w:fill="FFFFFF"/>
        </w:rPr>
        <w:t>primary</w:t>
      </w:r>
      <w:r w:rsidRPr="00BF0D9C">
        <w:rPr>
          <w:rStyle w:val="xxnormaltextrun"/>
          <w:shd w:val="clear" w:color="auto" w:fill="FFFFFF"/>
        </w:rPr>
        <w:t> data sources used in this study and endorsed by the national partners might differ from publicly available repositories/databases</w:t>
      </w:r>
      <w:r w:rsidRPr="00BF0D9C" w:rsidR="62962830">
        <w:rPr>
          <w:rStyle w:val="xxnormaltextrun"/>
          <w:shd w:val="clear" w:color="auto" w:fill="FFFFFF"/>
        </w:rPr>
        <w:t>,</w:t>
      </w:r>
      <w:r w:rsidRPr="00BF0D9C">
        <w:rPr>
          <w:rStyle w:val="xxnormaltextrun"/>
          <w:shd w:val="clear" w:color="auto" w:fill="FFFFFF"/>
        </w:rPr>
        <w:t xml:space="preserve"> </w:t>
      </w:r>
      <w:r w:rsidRPr="00BF0D9C" w:rsidR="62962830">
        <w:t>primarily</w:t>
      </w:r>
      <w:r w:rsidRPr="00BF0D9C" w:rsidR="62962830">
        <w:rPr>
          <w:rStyle w:val="xxnormaltextrun"/>
          <w:shd w:val="clear" w:color="auto" w:fill="FFFFFF"/>
        </w:rPr>
        <w:t xml:space="preserve"> </w:t>
      </w:r>
      <w:r w:rsidRPr="00BF0D9C">
        <w:rPr>
          <w:rStyle w:val="xxnormaltextrun"/>
          <w:shd w:val="clear" w:color="auto" w:fill="FFFFFF"/>
        </w:rPr>
        <w:t xml:space="preserve">due to </w:t>
      </w:r>
      <w:r w:rsidRPr="00BF0D9C">
        <w:t>retrospective addition of cases and deaths declared with some delay</w:t>
      </w:r>
      <w:r w:rsidRPr="00BF0D9C">
        <w:rPr>
          <w:rStyle w:val="xxnormaltextrun"/>
          <w:shd w:val="clear" w:color="auto" w:fill="FFFFFF"/>
        </w:rPr>
        <w:t xml:space="preserve">. Data </w:t>
      </w:r>
      <w:r w:rsidRPr="00BF0D9C" w:rsidR="43441D10">
        <w:rPr>
          <w:rStyle w:val="xxnormaltextrun"/>
          <w:shd w:val="clear" w:color="auto" w:fill="FFFFFF"/>
        </w:rPr>
        <w:t>was</w:t>
      </w:r>
      <w:r w:rsidRPr="00BF0D9C">
        <w:rPr>
          <w:rStyle w:val="xxnormaltextrun"/>
          <w:shd w:val="clear" w:color="auto" w:fill="FFFFFF"/>
        </w:rPr>
        <w:t xml:space="preserve"> collected during October and November 2020</w:t>
      </w:r>
      <w:r w:rsidRPr="00BF0D9C" w:rsidR="47B411ED">
        <w:rPr>
          <w:rStyle w:val="xxnormaltextrun"/>
          <w:shd w:val="clear" w:color="auto" w:fill="FFFFFF"/>
        </w:rPr>
        <w:t>, several weeks after the end of the study period,</w:t>
      </w:r>
      <w:r w:rsidRPr="00BF0D9C" w:rsidR="3A73C72F">
        <w:rPr>
          <w:rStyle w:val="xxnormaltextrun"/>
          <w:shd w:val="clear" w:color="auto" w:fill="FFFFFF"/>
        </w:rPr>
        <w:t xml:space="preserve"> to account for reporting delays</w:t>
      </w:r>
      <w:r w:rsidRPr="00BF0D9C" w:rsidR="47B411ED">
        <w:rPr>
          <w:rStyle w:val="xxnormaltextrun"/>
          <w:shd w:val="clear" w:color="auto" w:fill="FFFFFF"/>
        </w:rPr>
        <w:t xml:space="preserve"> (ranging from a few days to a few weeks)</w:t>
      </w:r>
      <w:r w:rsidRPr="00BF0D9C" w:rsidR="00470C65">
        <w:rPr>
          <w:rFonts w:ascii="Calibri" w:hAnsi="Calibri" w:eastAsia="Times New Roman" w:cs="Calibri"/>
        </w:rPr>
        <w:fldChar w:fldCharType="begin"/>
      </w:r>
      <w:r w:rsidRPr="00BF0D9C" w:rsidR="00BD0661">
        <w:rPr>
          <w:rFonts w:ascii="Calibri" w:hAnsi="Calibri" w:eastAsia="Times New Roman" w:cs="Calibri"/>
        </w:rPr>
        <w:instrText xml:space="preserve"> ADDIN ZOTERO_ITEM CSL_CITATION {"citationID":"X87EkCzT","properties":{"formattedCitation":"\\super 6,21,22\\nosupersub{}","plainCitation":"6,21,22","noteIndex":0},"citationItems":[{"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6459,"uris":["http://zotero.org/users/384481/items/Q95AKJSZ"],"uri":["http://zotero.org/users/384481/items/Q95AKJSZ"],"itemData":{"id":6459,"type":"article-journal","abstract":"The mortality effects of COVID-19 are a critical aspect of the disease’s impact. Years of life lost (YLLs) can provide greater insight than the number of deaths by conveying the shortfall in life expectancy and thus the age profile of the decedents.We employed data regarding COVID-19 deaths in the USA by jurisdiction, gender and age group for the period 1 February 2020 through 11 July 2020. We used actuarial life expectancy tables by gender and age to estimate YLLs.We estimated roughly 1.2 million YLLs due to COVID-19 deaths. The YLLs for the top six jurisdictions exceeded those for the remaining 43. On a per-capita basis, female YLLs were generally higher than male YLLs throughout the country.Our estimates offer new insight into the effects of COVID-19. Our findings of heterogenous rates of YLLs by geography and gender highlight variation in the magnitude of the pandemic’s effects that may inform effective policy responses.","container-title":"Journal of Public Health","DOI":"10.1093/pubmed/fdaa159","ISSN":"1741-3842","issue":"4","journalAbbreviation":"Journal of Public Health","page":"717-722","source":"Silverchair","title":"Years of life lost associated with COVID-19 deaths in the United States","volume":"42","author":[{"family":"Quast","given":"Troy"},{"family":"Andel","given":"Ross"},{"family":"Gregory","given":"Sean"},{"family":"Storch","given":"Eric A"}],"issued":{"date-parts":[["2020",11,23]]}}},{"id":6491,"uris":["http://zotero.org/users/384481/items/ED8VRYGA"],"uri":["http://zotero.org/users/384481/items/ED8VRYGA"],"itemData":{"id":6491,"type":"webpage","abstract":"Reference Metadata in Euro SDMX Metadata Structure (ESMS)","container-title":"eurostat.eu","title":"Eurostat: Weekly deaths – special data collection","URL":"https://ec.europa.eu/eurostat/cache/metadata/en/demomwk_esms.htm","accessed":{"date-parts":[["2020",12,15]]}}}],"schema":"https://github.com/citation-style-language/schema/raw/master/csl-citation.json"} </w:instrText>
      </w:r>
      <w:r w:rsidRPr="00BF0D9C" w:rsidR="00470C65">
        <w:rPr>
          <w:rFonts w:ascii="Calibri" w:hAnsi="Calibri" w:eastAsia="Times New Roman" w:cs="Calibri"/>
        </w:rPr>
        <w:fldChar w:fldCharType="separate"/>
      </w:r>
      <w:r w:rsidRPr="002D5C01" w:rsidR="002D5C01">
        <w:rPr>
          <w:rFonts w:ascii="Calibri" w:hAnsi="Calibri" w:cs="Calibri"/>
          <w:szCs w:val="24"/>
          <w:vertAlign w:val="superscript"/>
        </w:rPr>
        <w:t>6,21,22</w:t>
      </w:r>
      <w:r w:rsidRPr="00BF0D9C" w:rsidR="00470C65">
        <w:rPr>
          <w:rFonts w:ascii="Calibri" w:hAnsi="Calibri" w:eastAsia="Times New Roman" w:cs="Calibri"/>
        </w:rPr>
        <w:fldChar w:fldCharType="end"/>
      </w:r>
      <w:r w:rsidRPr="00BF0D9C">
        <w:rPr>
          <w:rStyle w:val="xxnormaltextrun"/>
          <w:shd w:val="clear" w:color="auto" w:fill="FFFFFF"/>
        </w:rPr>
        <w:t>.</w:t>
      </w:r>
      <w:r w:rsidRPr="00BF0D9C">
        <w:t xml:space="preserve"> The national data source, the period of available mortality data, time unit, and COVID-19 deaths definition used per country are summarized in Supplementary Table 1. </w:t>
      </w:r>
    </w:p>
    <w:p w:rsidR="00BF0D9C" w:rsidP="00BF0D9C" w:rsidRDefault="00BF0D9C" w14:paraId="6F6AC4C7" w14:textId="77777777">
      <w:pPr>
        <w:spacing w:line="480" w:lineRule="auto"/>
        <w:rPr>
          <w:i/>
          <w:iCs/>
        </w:rPr>
      </w:pPr>
    </w:p>
    <w:p w:rsidRPr="00BF0D9C" w:rsidR="00A66DD6" w:rsidP="00BF0D9C" w:rsidRDefault="00A66DD6" w14:paraId="18F64A79" w14:textId="229CAB77">
      <w:pPr>
        <w:spacing w:line="480" w:lineRule="auto"/>
        <w:rPr>
          <w:i/>
          <w:iCs/>
        </w:rPr>
      </w:pPr>
      <w:r w:rsidRPr="00BF0D9C">
        <w:rPr>
          <w:i/>
          <w:iCs/>
        </w:rPr>
        <w:t>Statistical analysis</w:t>
      </w:r>
    </w:p>
    <w:p w:rsidRPr="00BF0D9C" w:rsidR="00A66DD6" w:rsidP="00E54603" w:rsidRDefault="00A66DD6" w14:paraId="7705878A" w14:textId="7C5DF2D7">
      <w:pPr>
        <w:spacing w:line="480" w:lineRule="auto"/>
        <w:rPr>
          <w:rStyle w:val="Hyperlink"/>
          <w:rFonts w:ascii="Calibri" w:hAnsi="Calibri" w:eastAsia="Calibri" w:cs="Calibri"/>
        </w:rPr>
      </w:pPr>
      <w:r>
        <w:t xml:space="preserve">Excess mortality for 2020 was calculated by comparing </w:t>
      </w:r>
      <w:r w:rsidR="00A87908">
        <w:t xml:space="preserve">weekly or monthly </w:t>
      </w:r>
      <w:r>
        <w:t xml:space="preserve">2020 mortality (observed deaths) against a baseline mortality obtained from 2015-2019 data </w:t>
      </w:r>
      <w:r w:rsidR="00A87908">
        <w:t xml:space="preserve">for the same week or month </w:t>
      </w:r>
      <w:r>
        <w:t xml:space="preserve">using two different methods. </w:t>
      </w:r>
      <w:r w:rsidR="0F590E39">
        <w:t xml:space="preserve">The choice of </w:t>
      </w:r>
      <w:r w:rsidR="3BBC235D">
        <w:t>five</w:t>
      </w:r>
      <w:r w:rsidR="0F590E39">
        <w:t xml:space="preserve"> years for the </w:t>
      </w:r>
      <w:r w:rsidR="164F1572">
        <w:t>baseline mortality e</w:t>
      </w:r>
      <w:r w:rsidR="0F590E39">
        <w:t xml:space="preserve">stimation was based </w:t>
      </w:r>
      <w:r w:rsidRPr="00E54603" w:rsidR="0F590E39">
        <w:t xml:space="preserve">on </w:t>
      </w:r>
      <w:r w:rsidRPr="00E54603" w:rsidR="6AC040FE">
        <w:rPr>
          <w:rFonts w:ascii="Calibri" w:hAnsi="Calibri" w:eastAsia="Calibri" w:cs="Calibri"/>
        </w:rPr>
        <w:t>widely adopted practices</w:t>
      </w:r>
      <w:r w:rsidRPr="00E54603" w:rsidR="0F590E39">
        <w:t xml:space="preserve"> </w:t>
      </w:r>
      <w:r w:rsidR="0F590E39">
        <w:t xml:space="preserve">from well-established surveillance </w:t>
      </w:r>
      <w:r w:rsidRPr="00E54603" w:rsidR="0F590E39">
        <w:t>consortia</w:t>
      </w:r>
      <w:r w:rsidRPr="00E54603">
        <w:fldChar w:fldCharType="begin"/>
      </w:r>
      <w:r w:rsidRPr="00E54603">
        <w:instrText xml:space="preserve"> ADDIN ZOTERO_ITEM CSL_CITATION {"citationID":"0CF9XGdL","properties":{"formattedCitation":"\\super 3,23,24\\nosupersub{}","plainCitation":"3,23,24","noteIndex":0},"citationItems":[{"id":6654,"uris":["http://zotero.org/users/384481/items/HXIHIA2G"],"uri":["http://zotero.org/users/384481/items/HXIHIA2G"],"itemData":{"id":6654,"type":"report","event-place":"Copenhagen, Denmark","number":"Work Package 7 Report","publisher":"EUROMOMO","publisher-place":"Copenhagen, Denmark","title":"A European algorithm for a common monitoring of mortality across Europe.","URL":"https://euromomo.eu/uploads/pdf/wp7_report.pdf","author":[{"family":"Gergonne","given":"Bernadette"},{"family":"Mazick","given":"Anne"},{"family":"O'Donnell","given":"Joan"},{"family":"Oza","given":"Ajay"},{"family":"Cox","given":"Bianca"},{"family":"Wuillaume","given":"Françoise"},{"family":"Kaufman","given":"Zalman"},{"family":"Virtanen","given":"Mikko"},{"family":"Green","given":"Helen"},{"family":"Hardelid","given":"Pia"},{"family":"Andrews","given":"Nick"},{"family":"Pelody","given":"Richard"},{"family":"Holmberg","given":"Martin"},{"family":"Detsis","given":"Marios"},{"family":"Danis","given":"Costas"}]}},{"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6443,"uris":["http://zotero.org/users/384481/items/WJ5PXWHQ"],"uri":["http://zotero.org/users/384481/items/WJ5PXWHQ"],"itemData":{"id":6443,"type":"article-journal","abstract":"Background In temperate zones, all-cause mortality exhibits a marked seasonality, and influenza represents a major cause of winter excess mortality. We present a statistical model, FluMOMO, which estimate influenza-associated mortality from all-cause mortality data and apply it to Danish data from 2010/11 to 2016/17. Methods We applied a multivariable time series model with all-cause mortality as outcome, influenza activity and extreme temperatures as explanatory variables while adjusting for time trend and seasonality. Three indicators of weekly influenza activity (IA) were explored: percentage of consultations for influenza-like illness (ILI) at primary health care, national percentage of influenza-positive samples, and the product of ILI percentage and percentage of influenza-positive specimens in a given week, that is, the Goldstein index. Results Independent of the choice of parameter to represent influenza activity, the estimated influenza-associated mortality showed similar patterns with the Goldstein index being the most conservative. Over the 7 winter seasons, the median influenza-associated mortality per 100 000 population was 17.6 (range: 0.0-36.8), 14.1 (0.3-31.6) and 8.3 (0.0-25.0) for the 3 indicators, respectively, for all ages. Conclusion The FluMOMO model fitted the Danish data well and has the potential to estimate all-cause influenza-associated mortality in near real time and could be used as a standardised method in other countries. We recommend using the Goldstein index as the influenza activity indicator in the FluMOMO model. Further work is needed to improve the interpretation of the estimated effects.","container-title":"Influenza and Other Respiratory Viruses","DOI":"https://doi.org/10.1111/irv.12564","ISSN":"1750-2659","issue":"5","language":"en","note":"_eprint: https://onlinelibrary.wiley.com/doi/pdf/10.1111/irv.12564","page":"591-604","source":"Wiley Online Library","title":"Influenza-associated mortality determined from all-cause mortality, Denmark 2010/11-2016/17: The FluMOMO model","title-short":"Influenza-associated mortality determined from all-cause mortality, Denmark 2010/11-2016/17","volume":"12","author":[{"family":"Nielsen","given":"Jens"},{"family":"Krause","given":"Tyra Grove"},{"family":"Mølbak","given":"Kåre"}],"issued":{"date-parts":[["2018"]]}}}],"schema":"https://github.com/citation-style-language/schema/raw/master/csl-citation.json"} </w:instrText>
      </w:r>
      <w:r w:rsidRPr="00E54603">
        <w:fldChar w:fldCharType="separate"/>
      </w:r>
      <w:r w:rsidRPr="00E54603" w:rsidR="00E96CAE">
        <w:rPr>
          <w:rFonts w:ascii="Calibri" w:hAnsi="Calibri" w:cs="Calibri"/>
          <w:vertAlign w:val="superscript"/>
        </w:rPr>
        <w:t>3,23,24</w:t>
      </w:r>
      <w:r w:rsidRPr="00E54603">
        <w:fldChar w:fldCharType="end"/>
      </w:r>
      <w:r w:rsidRPr="00E54603" w:rsidR="0F590E39">
        <w:t xml:space="preserve"> </w:t>
      </w:r>
      <w:r w:rsidRPr="00E54603" w:rsidR="0F590E39">
        <w:rPr>
          <w:rStyle w:val="Hyperlink"/>
          <w:rFonts w:ascii="Calibri" w:hAnsi="Calibri" w:eastAsia="Calibri" w:cs="Calibri"/>
          <w:color w:val="auto"/>
          <w:u w:val="none"/>
        </w:rPr>
        <w:t xml:space="preserve">as well as </w:t>
      </w:r>
      <w:r w:rsidRPr="00E54603" w:rsidR="6D21750F">
        <w:rPr>
          <w:rStyle w:val="Hyperlink"/>
          <w:rFonts w:ascii="Calibri" w:hAnsi="Calibri" w:eastAsia="Calibri" w:cs="Calibri"/>
          <w:color w:val="auto"/>
          <w:u w:val="none"/>
        </w:rPr>
        <w:t xml:space="preserve">on </w:t>
      </w:r>
      <w:r w:rsidRPr="00E54603" w:rsidR="0F590E39">
        <w:rPr>
          <w:rStyle w:val="Hyperlink"/>
          <w:rFonts w:ascii="Calibri" w:hAnsi="Calibri" w:eastAsia="Calibri" w:cs="Calibri"/>
          <w:color w:val="auto"/>
          <w:u w:val="none"/>
        </w:rPr>
        <w:t>other published studies</w:t>
      </w:r>
      <w:r w:rsidRPr="00E54603">
        <w:rPr>
          <w:rStyle w:val="Hyperlink"/>
          <w:rFonts w:ascii="Calibri" w:hAnsi="Calibri" w:eastAsia="Calibri" w:cs="Calibri"/>
          <w:color w:val="auto"/>
          <w:u w:val="none"/>
        </w:rPr>
        <w:fldChar w:fldCharType="begin"/>
      </w:r>
      <w:r w:rsidRPr="00E54603">
        <w:rPr>
          <w:rStyle w:val="Hyperlink"/>
          <w:rFonts w:ascii="Calibri" w:hAnsi="Calibri" w:eastAsia="Calibri" w:cs="Calibri"/>
          <w:color w:val="auto"/>
          <w:u w:val="none"/>
        </w:rPr>
        <w:instrText xml:space="preserve"> ADDIN ZOTERO_ITEM CSL_CITATION {"citationID":"W06vX93Y","properties":{"formattedCitation":"\\super 2\\nosupersub{}","plainCitation":"2","noteIndex":0},"citationItems":[{"id":6379,"uris":["http://zotero.org/users/384481/items/UXHCBVRT"],"uri":["http://zotero.org/users/384481/items/UXHCBVRT"],"itemData":{"id":6379,"type":"article-journal","abstract":"The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D."},{"family":"Ezzati","given":"Majid"}],"issued":{"date-parts":[["2020",10,14]]}}}],"schema":"https://github.com/citation-style-language/schema/raw/master/csl-citation.json"} </w:instrText>
      </w:r>
      <w:r w:rsidRPr="00E54603">
        <w:rPr>
          <w:rStyle w:val="Hyperlink"/>
          <w:rFonts w:ascii="Calibri" w:hAnsi="Calibri" w:eastAsia="Calibri" w:cs="Calibri"/>
          <w:color w:val="auto"/>
          <w:u w:val="none"/>
        </w:rPr>
        <w:fldChar w:fldCharType="separate"/>
      </w:r>
      <w:r w:rsidRPr="00E54603" w:rsidR="00E96CAE">
        <w:rPr>
          <w:rFonts w:ascii="Calibri" w:hAnsi="Calibri" w:cs="Calibri"/>
          <w:vertAlign w:val="superscript"/>
        </w:rPr>
        <w:t>2</w:t>
      </w:r>
      <w:r w:rsidRPr="00E54603">
        <w:rPr>
          <w:rStyle w:val="Hyperlink"/>
          <w:rFonts w:ascii="Calibri" w:hAnsi="Calibri" w:eastAsia="Calibri" w:cs="Calibri"/>
          <w:color w:val="auto"/>
          <w:u w:val="none"/>
        </w:rPr>
        <w:fldChar w:fldCharType="end"/>
      </w:r>
      <w:r w:rsidRPr="00E54603" w:rsidR="0F590E39">
        <w:rPr>
          <w:rStyle w:val="Hyperlink"/>
          <w:rFonts w:ascii="Calibri" w:hAnsi="Calibri" w:eastAsia="Calibri" w:cs="Calibri"/>
          <w:color w:val="auto"/>
          <w:u w:val="none"/>
        </w:rPr>
        <w:t>.</w:t>
      </w:r>
      <w:r w:rsidRPr="00E54603">
        <w:t xml:space="preserve"> </w:t>
      </w:r>
      <w:r>
        <w:t>In the first method the baseline was computed as the average mortality rate of the previous five years</w:t>
      </w:r>
      <w:r>
        <w:fldChar w:fldCharType="begin"/>
      </w:r>
      <w:r>
        <w:instrText xml:space="preserve"> ADDIN ZOTERO_ITEM CSL_CITATION {"citationID":"LX24XgrQ","properties":{"formattedCitation":"\\super 8\\nosupersub{}","plainCitation":"8","noteIndex":0},"citationItems":[{"id":6406,"uris":["http://zotero.org/users/384481/items/TXWDDVP4"],"uri":["http://zotero.org/users/384481/items/TXWDDVP4"],"itemData":{"id":6406,"type":"report","event-place":"United Kingdom","publisher":"Office for National Statistics","publisher-place":"United Kingdom","title":"Comparisons of all-cause mortality between European countries and regions: January to June 2020","URL":"https://www.ons.gov.uk/peoplepopulationandcommunity/birthsdeathsandmarriages/deaths/articles/comparisonsofallcausemortalitybetweeneuropeancountriesandregions/januarytojune2020#toc","author":[{"family":"Campbell","given":"Annie"},{"family":"Morgan","given":"Edward"}],"accessed":{"date-parts":[["2020",11,20]]},"issued":{"date-parts":[["2020",7,30]]}}}],"schema":"https://github.com/citation-style-language/schema/raw/master/csl-citation.json"} </w:instrText>
      </w:r>
      <w:r>
        <w:fldChar w:fldCharType="separate"/>
      </w:r>
      <w:r w:rsidRPr="4FBC0E3E" w:rsidR="002D5C01">
        <w:rPr>
          <w:rFonts w:ascii="Calibri" w:hAnsi="Calibri" w:cs="Calibri"/>
          <w:vertAlign w:val="superscript"/>
        </w:rPr>
        <w:t>8</w:t>
      </w:r>
      <w:r>
        <w:fldChar w:fldCharType="end"/>
      </w:r>
      <w:r>
        <w:t>. In the second method</w:t>
      </w:r>
      <w:r w:rsidR="7425D02A">
        <w:t>,</w:t>
      </w:r>
      <w:r>
        <w:t xml:space="preserve"> the baseline was estimated based on historical data accounting for</w:t>
      </w:r>
      <w:r w:rsidRPr="4FBC0E3E">
        <w:rPr>
          <w:rFonts w:ascii="Calibri" w:hAnsi="Calibri" w:eastAsia="Calibri" w:cs="Calibri"/>
        </w:rPr>
        <w:t xml:space="preserve"> seasonality,</w:t>
      </w:r>
      <w:r w:rsidRPr="4FBC0E3E" w:rsidR="4551E378">
        <w:rPr>
          <w:rFonts w:ascii="Calibri" w:hAnsi="Calibri" w:eastAsia="Calibri" w:cs="Calibri"/>
        </w:rPr>
        <w:t xml:space="preserve"> and</w:t>
      </w:r>
      <w:r w:rsidRPr="4FBC0E3E">
        <w:rPr>
          <w:rFonts w:ascii="Calibri" w:hAnsi="Calibri" w:eastAsia="Calibri" w:cs="Calibri"/>
        </w:rPr>
        <w:t xml:space="preserve"> long- and short-term trends</w:t>
      </w:r>
      <w:r w:rsidRPr="4FBC0E3E" w:rsidR="0618088F">
        <w:rPr>
          <w:rFonts w:ascii="Calibri" w:hAnsi="Calibri" w:eastAsia="Calibri" w:cs="Calibri"/>
        </w:rPr>
        <w:t>;</w:t>
      </w:r>
      <w:r w:rsidRPr="4FBC0E3E">
        <w:rPr>
          <w:rFonts w:ascii="Calibri" w:hAnsi="Calibri" w:eastAsia="Calibri" w:cs="Calibri"/>
        </w:rPr>
        <w:t xml:space="preserve"> representing the expected number of deaths in 2020</w:t>
      </w:r>
      <w:r>
        <w:fldChar w:fldCharType="begin"/>
      </w:r>
      <w:r>
        <w:instrText xml:space="preserve"> ADDIN ZOTERO_ITEM CSL_CITATION {"citationID":"hzUHDa3k","properties":{"formattedCitation":"\\super 24\\uc0\\u8211{}26\\nosupersub{}","plainCitation":"24–26","noteIndex":0},"citationItems":[{"id":6440,"uris":["http://zotero.org/users/384481/items/67FEEUUA"],"uri":["http://zotero.org/users/384481/items/67FEEUUA"],"itemData":{"id":6440,"type":"article-journal","abstract":"Outbreaks of infectious diseases must be detected early for effective control measures to be introduced. When dealing with large amounts of data, automated procedures can usefully supplement traditional surveillance methods, provided that the wide variety of patterns and frequencies of infections are taken into account. This paper describes a robust system developed to process weekly reports of infections received at the Communicable Disease Surveillance Centre. A simple regression algorithm is used to calculate suitable thresholds. Organisms exceeding their threshold are then flagged for further investigation.","container-title":"Journal of the Royal Statistical Society. Series A (Statistics in Society)","DOI":"10.2307/2983331","ISSN":"0964-1998","issue":"3","note":"publisher: [Wiley, Royal Statistical Society]","page":"547-563","source":"JSTOR","title":"A Statistical Algorithm for the Early Detection of Outbreaks of Infectious Disease","volume":"159","author":[{"family":"Farrington","given":"C. P."},{"family":"Andrews","given":"N. J."},{"family":"Beale","given":"A. D."},{"family":"Catchpole","given":"M. A."}],"issued":{"date-parts":[["1996"]]}}},{"id":6441,"uris":["http://zotero.org/users/384481/items/REP9UT5K"],"uri":["http://zotero.org/users/384481/items/REP9UT5K"],"itemData":{"id":6441,"type":"article-journal","abstract":"Images\nnull","container-title":"Public Health Reports","ISSN":"0094-6214","issue":"6","journalAbbreviation":"Public Health Rep","note":"PMID: 19316455\nPMCID: PMC1915276","page":"494-506","source":"PubMed Central","title":"Methods for current statistical analysis of excess pneumonia-influenza deaths","volume":"78","author":[{"family":"Serfling","given":"Robert E."}],"issued":{"date-parts":[["1963",6]]}}},{"id":6443,"uris":["http://zotero.org/users/384481/items/WJ5PXWHQ"],"uri":["http://zotero.org/users/384481/items/WJ5PXWHQ"],"itemData":{"id":6443,"type":"article-journal","abstract":"Background In temperate zones, all-cause mortality exhibits a marked seasonality, and influenza represents a major cause of winter excess mortality. We present a statistical model, FluMOMO, which estimate influenza-associated mortality from all-cause mortality data and apply it to Danish data from 2010/11 to 2016/17. Methods We applied a multivariable time series model with all-cause mortality as outcome, influenza activity and extreme temperatures as explanatory variables while adjusting for time trend and seasonality. Three indicators of weekly influenza activity (IA) were explored: percentage of consultations for influenza-like illness (ILI) at primary health care, national percentage of influenza-positive samples, and the product of ILI percentage and percentage of influenza-positive specimens in a given week, that is, the Goldstein index. Results Independent of the choice of parameter to represent influenza activity, the estimated influenza-associated mortality showed similar patterns with the Goldstein index being the most conservative. Over the 7 winter seasons, the median influenza-associated mortality per 100 000 population was 17.6 (range: 0.0-36.8), 14.1 (0.3-31.6) and 8.3 (0.0-25.0) for the 3 indicators, respectively, for all ages. Conclusion The FluMOMO model fitted the Danish data well and has the potential to estimate all-cause influenza-associated mortality in near real time and could be used as a standardised method in other countries. We recommend using the Goldstein index as the influenza activity indicator in the FluMOMO model. Further work is needed to improve the interpretation of the estimated effects.","container-title":"Influenza and Other Respiratory Viruses","DOI":"https://doi.org/10.1111/irv.12564","ISSN":"1750-2659","issue":"5","language":"en","note":"_eprint: https://onlinelibrary.wiley.com/doi/pdf/10.1111/irv.12564","page":"591-604","source":"Wiley Online Library","title":"Influenza-associated mortality determined from all-cause mortality, Denmark 2010/11-2016/17: The FluMOMO model","title-short":"Influenza-associated mortality determined from all-cause mortality, Denmark 2010/11-2016/17","volume":"12","author":[{"family":"Nielsen","given":"Jens"},{"family":"Krause","given":"Tyra Grove"},{"family":"Mølbak","given":"Kåre"}],"issued":{"date-parts":[["2018"]]}}}],"schema":"https://github.com/citation-style-language/schema/raw/master/csl-citation.json"} </w:instrText>
      </w:r>
      <w:r>
        <w:fldChar w:fldCharType="separate"/>
      </w:r>
      <w:r w:rsidRPr="4FBC0E3E" w:rsidR="00E96CAE">
        <w:rPr>
          <w:rFonts w:ascii="Calibri" w:hAnsi="Calibri" w:cs="Calibri"/>
          <w:vertAlign w:val="superscript"/>
        </w:rPr>
        <w:t>24–26</w:t>
      </w:r>
      <w:r>
        <w:fldChar w:fldCharType="end"/>
      </w:r>
      <w:r>
        <w:t>.</w:t>
      </w:r>
      <w:r w:rsidR="0018244C">
        <w:t xml:space="preserve"> </w:t>
      </w:r>
    </w:p>
    <w:p w:rsidRPr="00BF0D9C" w:rsidR="00A66DD6" w:rsidP="00BF0D9C" w:rsidRDefault="00A66DD6" w14:paraId="3B93BD21" w14:textId="2B3D16EB">
      <w:pPr>
        <w:spacing w:line="480" w:lineRule="auto"/>
      </w:pPr>
    </w:p>
    <w:p w:rsidRPr="00BF0D9C" w:rsidR="00A66DD6" w:rsidP="00BF0D9C" w:rsidRDefault="00A66DD6" w14:paraId="14D452D8" w14:textId="24AEDD04">
      <w:pPr>
        <w:spacing w:after="0" w:line="480" w:lineRule="auto"/>
        <w:rPr>
          <w:i/>
          <w:iCs/>
        </w:rPr>
      </w:pPr>
      <w:r w:rsidRPr="00BF0D9C">
        <w:rPr>
          <w:i/>
          <w:iCs/>
        </w:rPr>
        <w:t>Method 1: Observed 2020 versus 2015-2019 average mortality rate</w:t>
      </w:r>
    </w:p>
    <w:p w:rsidRPr="00BF0D9C" w:rsidR="626203BE" w:rsidP="00BF0D9C" w:rsidRDefault="00A66DD6" w14:paraId="7967D2A6" w14:textId="25A99428">
      <w:pPr>
        <w:spacing w:after="0" w:line="480" w:lineRule="auto"/>
        <w:rPr>
          <w:rFonts w:ascii="Times New Roman" w:hAnsi="Times New Roman" w:eastAsia="Times New Roman" w:cs="Times New Roman"/>
          <w:sz w:val="24"/>
          <w:szCs w:val="24"/>
          <w:lang w:eastAsia="en-GB"/>
        </w:rPr>
      </w:pPr>
      <w:r>
        <w:t>For each country</w:t>
      </w:r>
      <w:r w:rsidR="260EC392">
        <w:t xml:space="preserve"> </w:t>
      </w:r>
      <w:r w:rsidR="00687AE4">
        <w:t xml:space="preserve">(n = 22) </w:t>
      </w:r>
      <w:r w:rsidR="260EC392">
        <w:t>and year</w:t>
      </w:r>
      <w:r>
        <w:t xml:space="preserve">, the </w:t>
      </w:r>
      <w:r w:rsidR="3512A032">
        <w:t xml:space="preserve">weekly or monthly </w:t>
      </w:r>
      <w:r>
        <w:t xml:space="preserve">observed number of deaths was divided by the </w:t>
      </w:r>
      <w:r w:rsidR="06ABD125">
        <w:t xml:space="preserve">country’s </w:t>
      </w:r>
      <w:r>
        <w:t>population</w:t>
      </w:r>
      <w:r w:rsidR="44606AF4">
        <w:t xml:space="preserve"> at the beginning of the </w:t>
      </w:r>
      <w:r w:rsidR="78EA942A">
        <w:t>particular</w:t>
      </w:r>
      <w:r w:rsidR="44606AF4">
        <w:t xml:space="preserve"> year </w:t>
      </w:r>
      <w:r>
        <w:t xml:space="preserve">  to obtain </w:t>
      </w:r>
      <w:r w:rsidR="72837202">
        <w:t xml:space="preserve">weekly and monthly </w:t>
      </w:r>
      <w:r>
        <w:t>mortality rates</w:t>
      </w:r>
      <w:r w:rsidR="5A8BBF13">
        <w:t>.  Therefore, country-specific population</w:t>
      </w:r>
      <w:r w:rsidR="70ACDEF2">
        <w:t>s</w:t>
      </w:r>
      <w:r w:rsidR="5A8BBF13">
        <w:t xml:space="preserve"> w</w:t>
      </w:r>
      <w:r w:rsidR="4513F49A">
        <w:t>ere</w:t>
      </w:r>
      <w:r w:rsidR="5A8BBF13">
        <w:t xml:space="preserve"> assumed to be constant throughout the year</w:t>
      </w:r>
      <w:r w:rsidR="61852146">
        <w:t xml:space="preserve"> </w:t>
      </w:r>
      <w:r w:rsidR="17E5F9DF">
        <w:t xml:space="preserve">and mortality rates were </w:t>
      </w:r>
      <w:r>
        <w:t xml:space="preserve">expressed </w:t>
      </w:r>
      <w:r w:rsidR="00F20934">
        <w:t xml:space="preserve">as </w:t>
      </w:r>
      <w:r>
        <w:t>deaths per 100,000 population.</w:t>
      </w:r>
      <w:r w:rsidR="05AFEED6">
        <w:t xml:space="preserve"> </w:t>
      </w:r>
      <w:r w:rsidR="6280CFB9">
        <w:t xml:space="preserve">Mortality rates instead of number of deaths were used to </w:t>
      </w:r>
      <w:r w:rsidR="7F05F662">
        <w:t>account for population differences</w:t>
      </w:r>
      <w:r w:rsidR="4D4A8912">
        <w:t>.</w:t>
      </w:r>
      <w:r w:rsidR="6A0D2947">
        <w:t xml:space="preserve"> </w:t>
      </w:r>
      <w:r>
        <w:t xml:space="preserve">Total and </w:t>
      </w:r>
      <w:r w:rsidR="073141D4">
        <w:t>sex</w:t>
      </w:r>
      <w:r>
        <w:t>-specific population estimates for the participating countries were obtained from the World bank</w:t>
      </w:r>
      <w:r>
        <w:fldChar w:fldCharType="begin"/>
      </w:r>
      <w:r>
        <w:instrText xml:space="preserve"> ADDIN ZOTERO_ITEM CSL_CITATION {"citationID":"YzBbo7HP","properties":{"formattedCitation":"\\super 27\\nosupersub{}","plainCitation":"27","noteIndex":0},"citationItems":[{"id":6431,"uris":["http://zotero.org/users/384481/items/GB4Y8KSF"],"uri":["http://zotero.org/users/384481/items/GB4Y8KSF"],"itemData":{"id":6431,"type":"webpage","title":"World Bank Open Data | Data","URL":"https://data.worldbank.org/","accessed":{"date-parts":[["2020",11,20]]}}}],"schema":"https://github.com/citation-style-language/schema/raw/master/csl-citation.json"} </w:instrText>
      </w:r>
      <w:r>
        <w:fldChar w:fldCharType="separate"/>
      </w:r>
      <w:r w:rsidRPr="7312A2DD" w:rsidR="00E96CAE">
        <w:rPr>
          <w:rFonts w:ascii="Calibri" w:hAnsi="Calibri" w:cs="Calibri"/>
          <w:vertAlign w:val="superscript"/>
        </w:rPr>
        <w:t>27</w:t>
      </w:r>
      <w:r>
        <w:fldChar w:fldCharType="end"/>
      </w:r>
      <w:r>
        <w:t>, except for the UK nations for which data from the Office for National Statistics</w:t>
      </w:r>
      <w:r>
        <w:fldChar w:fldCharType="begin"/>
      </w:r>
      <w:r>
        <w:instrText xml:space="preserve"> ADDIN ZOTERO_ITEM CSL_CITATION {"citationID":"VfIFbtxK","properties":{"formattedCitation":"\\super 28\\nosupersub{}","plainCitation":"28","noteIndex":0},"citationItems":[{"id":6432,"uris":["http://zotero.org/users/384481/items/JVFZESBA"],"uri":["http://zotero.org/users/384481/items/JVFZESBA"],"itemData":{"id":6432,"type":"webpage","title":"Estimates of the population for the UK, England and Wales, Scotland and Northern Ireland - Office for National Statistics","URL":"https://www.ons.gov.uk/peoplepopulationandcommunity/populationandmigration/populationestimates/datasets/populationestimatesforukenglandandwalesscotlandandnorthernireland","accessed":{"date-parts":[["2020",11,20]]}}}],"schema":"https://github.com/citation-style-language/schema/raw/master/csl-citation.json"} </w:instrText>
      </w:r>
      <w:r>
        <w:fldChar w:fldCharType="separate"/>
      </w:r>
      <w:r w:rsidRPr="7312A2DD" w:rsidR="00E96CAE">
        <w:rPr>
          <w:rFonts w:ascii="Calibri" w:hAnsi="Calibri" w:cs="Calibri"/>
          <w:vertAlign w:val="superscript"/>
        </w:rPr>
        <w:t>28</w:t>
      </w:r>
      <w:r>
        <w:fldChar w:fldCharType="end"/>
      </w:r>
      <w:r>
        <w:t xml:space="preserve"> was used, and for Cyprus for which Eurostat data</w:t>
      </w:r>
      <w:r>
        <w:fldChar w:fldCharType="begin"/>
      </w:r>
      <w:r>
        <w:instrText xml:space="preserve"> ADDIN ZOTERO_ITEM CSL_CITATION {"citationID":"2V3ZABv0","properties":{"formattedCitation":"\\super 29\\nosupersub{}","plainCitation":"29","noteIndex":0},"citationItems":[{"id":6437,"uris":["http://zotero.org/users/384481/items/URDB5DBZ"],"uri":["http://zotero.org/users/384481/items/URDB5DBZ"],"itemData":{"id":6437,"type":"webpage","container-title":"Population on 1 January by age and sex","title":"Statistics | Eurostat","URL":"https://ec.europa.eu/eurostat/databrowser/view/demo_pjan/default/table?lang=en","author":[{"family":"European Commission","given":""}],"accessed":{"date-parts":[["2020",11,23]]}}}],"schema":"https://github.com/citation-style-language/schema/raw/master/csl-citation.json"} </w:instrText>
      </w:r>
      <w:r>
        <w:fldChar w:fldCharType="separate"/>
      </w:r>
      <w:r w:rsidRPr="7312A2DD" w:rsidR="00E96CAE">
        <w:rPr>
          <w:rFonts w:ascii="Calibri" w:hAnsi="Calibri" w:cs="Calibri"/>
          <w:vertAlign w:val="superscript"/>
        </w:rPr>
        <w:t>29</w:t>
      </w:r>
      <w:r>
        <w:fldChar w:fldCharType="end"/>
      </w:r>
      <w:r>
        <w:t xml:space="preserve"> was used to include only the population in the Republic of Cyprus government</w:t>
      </w:r>
      <w:r w:rsidR="00103F73">
        <w:t>-</w:t>
      </w:r>
      <w:r>
        <w:t>controlled</w:t>
      </w:r>
      <w:r w:rsidR="00103F73">
        <w:t xml:space="preserve"> </w:t>
      </w:r>
      <w:r>
        <w:t xml:space="preserve">area. Population estimates for 2019 were also applied to 2020 </w:t>
      </w:r>
      <w:proofErr w:type="spellStart"/>
      <w:proofErr w:type="gramStart"/>
      <w:r>
        <w:t>data.</w:t>
      </w:r>
      <w:r w:rsidR="2D0FEA4B">
        <w:t>For</w:t>
      </w:r>
      <w:proofErr w:type="spellEnd"/>
      <w:proofErr w:type="gramEnd"/>
      <w:r w:rsidR="2D0FEA4B">
        <w:t xml:space="preserve"> each country, </w:t>
      </w:r>
      <w:r w:rsidR="487BD240">
        <w:t xml:space="preserve">the average </w:t>
      </w:r>
      <w:r w:rsidR="2D0FEA4B">
        <w:t xml:space="preserve">weekly or monthly total and </w:t>
      </w:r>
      <w:r w:rsidR="073141D4">
        <w:t>sex</w:t>
      </w:r>
      <w:r w:rsidR="2D0FEA4B">
        <w:t xml:space="preserve">-specific </w:t>
      </w:r>
      <w:r w:rsidR="487BD240">
        <w:t xml:space="preserve">year-to-date (YTD) mortality rate </w:t>
      </w:r>
      <w:r w:rsidR="2D0FEA4B">
        <w:t xml:space="preserve">for 2015-2019 </w:t>
      </w:r>
      <w:r w:rsidR="487BD240">
        <w:t>w</w:t>
      </w:r>
      <w:r w:rsidR="0041438C">
        <w:t>as</w:t>
      </w:r>
      <w:r w:rsidR="487BD240">
        <w:t xml:space="preserve"> calculated </w:t>
      </w:r>
      <w:r w:rsidR="2D0FEA4B">
        <w:t>and plotted against weekly or monthly 2020 mortality rates up to the latest available data point of 2020</w:t>
      </w:r>
      <w:r w:rsidR="25576229">
        <w:t>,</w:t>
      </w:r>
      <w:r w:rsidR="2D0FEA4B">
        <w:t xml:space="preserve"> to provide a visual representation of excess mortality by time-point. For data visualisation, </w:t>
      </w:r>
      <w:r w:rsidR="00F15198">
        <w:t xml:space="preserve">we </w:t>
      </w:r>
      <w:r w:rsidR="007365AB">
        <w:t xml:space="preserve">downloaded and </w:t>
      </w:r>
      <w:r w:rsidR="00F15198">
        <w:t xml:space="preserve">used </w:t>
      </w:r>
      <w:r w:rsidR="2D0FEA4B">
        <w:t>a stringency index (SI)</w:t>
      </w:r>
      <w:r w:rsidR="0A787B95">
        <w:t>;</w:t>
      </w:r>
      <w:r w:rsidR="007365AB">
        <w:t xml:space="preserve"> a composite measure </w:t>
      </w:r>
      <w:r w:rsidR="007365AB">
        <w:lastRenderedPageBreak/>
        <w:t xml:space="preserve">based on nine response indicators including school closures, workplace closures, and travel bans, rescaled to a value from 0 to 100 (100=strictest), from the </w:t>
      </w:r>
      <w:r w:rsidRPr="5E0CCDD2" w:rsidR="007365AB">
        <w:rPr>
          <w:rFonts w:ascii="Calibri" w:hAnsi="Calibri" w:cs="Calibri"/>
          <w:i/>
          <w:iCs/>
        </w:rPr>
        <w:t>Oxford COVID-19 Government Response Tracker</w:t>
      </w:r>
      <w:r w:rsidR="2D0FEA4B">
        <w:fldChar w:fldCharType="begin"/>
      </w:r>
      <w:r w:rsidR="00E96CAE">
        <w:instrText xml:space="preserve"> ADDIN ZOTERO_ITEM CSL_CITATION {"citationID":"dgsyrEYu","properties":{"formattedCitation":"\\super 30\\nosupersub{}","plainCitation":"30","noteIndex":0},"citationItems":[{"id":6527,"uris":["http://zotero.org/users/384481/items/TE2KV2B3"],"uri":["http://zotero.org/users/384481/items/TE2KV2B3"],"itemData":{"id":6527,"type":"report","publisher":"Blavatnik School of Government","title":"Oxford COVID-19 Government Response Tracker","URL":"https://qap.ecdc.europa.eu/public/extensions/COVID-19/COVID-19.html#global-overview-tab","author":[{"family":"Hale","given":"Thomas"},{"family":"Atav","given":"Tilbe"},{"family":"Hallas","given":"Laura"},{"family":"Kira","given":"Beatriz"},{"family":"Phillips","given":"Toby"},{"family":"Petherick","given":"Anna"},{"family":"Pott","given":"Annalena"}],"accessed":{"date-parts":[["2020",12,18]]},"issued":{"date-parts":[["2020"]]}}}],"schema":"https://github.com/citation-style-language/schema/raw/master/csl-citation.json"} </w:instrText>
      </w:r>
      <w:r w:rsidR="2D0FEA4B">
        <w:fldChar w:fldCharType="separate"/>
      </w:r>
      <w:r w:rsidRPr="00E96CAE" w:rsidR="00E96CAE">
        <w:rPr>
          <w:rFonts w:ascii="Calibri" w:hAnsi="Calibri" w:cs="Calibri"/>
          <w:szCs w:val="24"/>
          <w:vertAlign w:val="superscript"/>
        </w:rPr>
        <w:t>30</w:t>
      </w:r>
      <w:r w:rsidR="2D0FEA4B">
        <w:fldChar w:fldCharType="end"/>
      </w:r>
      <w:r w:rsidR="007365AB">
        <w:t xml:space="preserve">. </w:t>
      </w:r>
      <w:r w:rsidR="2D0FEA4B">
        <w:t>Although the index should not be interpreted as a score for the appropriateness or effectiveness of a country’s response, it provides indication on the number and strictness of government policies. For each country and time unit of 2020, the SI was categorised as: low (&lt;25%), moderate (between 25-7</w:t>
      </w:r>
      <w:r w:rsidR="487BD240">
        <w:t>4</w:t>
      </w:r>
      <w:r w:rsidR="2D0FEA4B">
        <w:t>%), and high (</w:t>
      </w:r>
      <w:r w:rsidR="487BD240">
        <w:t>≥</w:t>
      </w:r>
      <w:r w:rsidR="2D0FEA4B">
        <w:t>75%). The SI categories were then plotted together with the country profiles of excess mortality.</w:t>
      </w:r>
    </w:p>
    <w:p w:rsidRPr="00BF0D9C" w:rsidR="00A66DD6" w:rsidP="00BF0D9C" w:rsidRDefault="00A66DD6" w14:paraId="5AA027A8" w14:textId="40C66D8A">
      <w:pPr>
        <w:spacing w:after="0" w:line="480" w:lineRule="auto"/>
      </w:pPr>
      <w:r>
        <w:t xml:space="preserve">Then, the </w:t>
      </w:r>
      <w:r w:rsidR="0041438C">
        <w:t xml:space="preserve">average </w:t>
      </w:r>
      <w:r>
        <w:t xml:space="preserve">YTD mortality rate between 2015-2019 was considered </w:t>
      </w:r>
      <w:r w:rsidR="005661CC">
        <w:t xml:space="preserve">as </w:t>
      </w:r>
      <w:r>
        <w:t xml:space="preserve">the ‘baseline’, while excess mortality for 2020 was estimated for each country by subtracting the baseline from the 2020 YTD mortality rate. </w:t>
      </w:r>
      <w:r w:rsidRPr="00BF0D9C" w:rsidR="2D0FEA4B">
        <w:t xml:space="preserve">For Sweden and Cape Verde, only monthly data </w:t>
      </w:r>
      <w:r w:rsidRPr="00BF0D9C" w:rsidR="43441D10">
        <w:t>was</w:t>
      </w:r>
      <w:r w:rsidRPr="00BF0D9C" w:rsidR="2D0FEA4B">
        <w:t xml:space="preserve"> available for this analysis</w:t>
      </w:r>
      <w:r w:rsidRPr="00BF0D9C" w:rsidR="4853D27B">
        <w:t>. F</w:t>
      </w:r>
      <w:r w:rsidRPr="00BF0D9C" w:rsidR="2D0FEA4B">
        <w:t>or Colombia trimester data were used for the YTD comparison (trimester data could not be graphically compared). For all other countries weekly data was used for the graphical and YTD comparisons.</w:t>
      </w:r>
    </w:p>
    <w:p w:rsidRPr="00BF0D9C" w:rsidR="000B43FA" w:rsidP="00BF0D9C" w:rsidRDefault="000B43FA" w14:paraId="5ECC665D" w14:textId="5A10F554">
      <w:pPr>
        <w:spacing w:line="480" w:lineRule="auto"/>
      </w:pPr>
    </w:p>
    <w:p w:rsidRPr="00BF0D9C" w:rsidR="00A66DD6" w:rsidP="00BF0D9C" w:rsidRDefault="2D0FEA4B" w14:paraId="19D0D0AB" w14:textId="3615F1DA">
      <w:pPr>
        <w:spacing w:after="0" w:line="480" w:lineRule="auto"/>
        <w:rPr>
          <w:i/>
          <w:iCs/>
        </w:rPr>
      </w:pPr>
      <w:r w:rsidRPr="00BF0D9C">
        <w:rPr>
          <w:i/>
          <w:iCs/>
        </w:rPr>
        <w:t xml:space="preserve">Method 2: Observed versus expected 2020 deaths </w:t>
      </w:r>
    </w:p>
    <w:p w:rsidRPr="00BF0D9C" w:rsidR="00A66DD6" w:rsidP="00BF0D9C" w:rsidRDefault="00A66DD6" w14:paraId="4B6E8202" w14:textId="662AE774">
      <w:pPr>
        <w:spacing w:line="480" w:lineRule="auto"/>
      </w:pPr>
      <w:r w:rsidRPr="00BF0D9C">
        <w:t>Expected</w:t>
      </w:r>
      <w:r w:rsidRPr="00BF0D9C" w:rsidR="2460E2FF">
        <w:t xml:space="preserve"> number of deaths</w:t>
      </w:r>
      <w:r w:rsidRPr="00BF0D9C">
        <w:t xml:space="preserve"> for 2020 was modelled using Poisson regression, assuming a quasi-Poisson distribution to account for over-dispersion in the weekly mortality counts. We used a Generalized Linear Model with a linear time trend (weekly mortality as the time unit) to adjust for secular trends, and two sine and cosine terms for yearly and half-yearly seasonal cycles. The terms for sine-type cyclical seasonality were chosen based on the weekly distribution of the data and periodograms. Other periodicities (i.e., 4 and 9 months) were also tested but were omitted because the effect was negligible and did not improve the model fit. </w:t>
      </w:r>
      <w:r w:rsidRPr="00BF0D9C" w:rsidR="00196E14">
        <w:t xml:space="preserve">The same model was applied to all countries with weekly data, separately. </w:t>
      </w:r>
      <w:r w:rsidRPr="00BF0D9C">
        <w:t xml:space="preserve">The regression models </w:t>
      </w:r>
      <w:r w:rsidRPr="00BF0D9C">
        <w:rPr>
          <w:rFonts w:ascii="Calibri" w:hAnsi="Calibri" w:eastAsia="Calibri" w:cs="Calibri"/>
        </w:rPr>
        <w:t xml:space="preserve">were built on complete weeks and any truncated weeks were excluded. Truncated weeks were observed during the last week of the year in </w:t>
      </w:r>
      <w:r w:rsidRPr="00BF0D9C">
        <w:t>Australia, England and Wales, Scotland, and during the last two weeks in Northern Ireland. Different death counts around Christmas and New Year were observed and accounted for</w:t>
      </w:r>
      <w:r w:rsidRPr="00BF0D9C">
        <w:fldChar w:fldCharType="begin"/>
      </w:r>
      <w:r w:rsidRPr="00BF0D9C">
        <w:instrText xml:space="preserve"> ADDIN ZOTERO_ITEM CSL_CITATION {"citationID":"OaceZaQ4","properties":{"formattedCitation":"\\super 2\\nosupersub{}","plainCitation":"2","noteIndex":0},"citationItems":[{"id":6379,"uris":["http://zotero.org/users/384481/items/UXHCBVRT"],"uri":["http://zotero.org/users/384481/items/UXHCBVRT"],"itemData":{"id":6379,"type":"article-journal","abstract":"The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D."},{"family":"Ezzati","given":"Majid"}],"issued":{"date-parts":[["2020",10,14]]}}}],"schema":"https://github.com/citation-style-language/schema/raw/master/csl-citation.json"} </w:instrText>
      </w:r>
      <w:r w:rsidRPr="00BF0D9C">
        <w:fldChar w:fldCharType="separate"/>
      </w:r>
      <w:r w:rsidRPr="002D5C01" w:rsidR="002D5C01">
        <w:rPr>
          <w:rFonts w:ascii="Calibri" w:hAnsi="Calibri" w:cs="Calibri"/>
          <w:szCs w:val="24"/>
          <w:vertAlign w:val="superscript"/>
        </w:rPr>
        <w:t>2</w:t>
      </w:r>
      <w:r w:rsidRPr="00BF0D9C">
        <w:fldChar w:fldCharType="end"/>
      </w:r>
      <w:r w:rsidRPr="00BF0D9C">
        <w:t xml:space="preserve">.  The </w:t>
      </w:r>
      <w:r w:rsidRPr="00BF0D9C">
        <w:lastRenderedPageBreak/>
        <w:t>residual variation was corrected for skewness by applying a 2/3 power transformation</w:t>
      </w:r>
      <w:r w:rsidRPr="00BF0D9C">
        <w:fldChar w:fldCharType="begin"/>
      </w:r>
      <w:r w:rsidR="00E96CAE">
        <w:instrText xml:space="preserve"> ADDIN ZOTERO_ITEM CSL_CITATION {"citationID":"L56unRyw","properties":{"formattedCitation":"\\super 25\\nosupersub{}","plainCitation":"25","noteIndex":0},"citationItems":[{"id":6440,"uris":["http://zotero.org/users/384481/items/67FEEUUA"],"uri":["http://zotero.org/users/384481/items/67FEEUUA"],"itemData":{"id":6440,"type":"article-journal","abstract":"Outbreaks of infectious diseases must be detected early for effective control measures to be introduced. When dealing with large amounts of data, automated procedures can usefully supplement traditional surveillance methods, provided that the wide variety of patterns and frequencies of infections are taken into account. This paper describes a robust system developed to process weekly reports of infections received at the Communicable Disease Surveillance Centre. A simple regression algorithm is used to calculate suitable thresholds. Organisms exceeding their threshold are then flagged for further investigation.","container-title":"Journal of the Royal Statistical Society. Series A (Statistics in Society)","DOI":"10.2307/2983331","ISSN":"0964-1998","issue":"3","note":"publisher: [Wiley, Royal Statistical Society]","page":"547-563","source":"JSTOR","title":"A Statistical Algorithm for the Early Detection of Outbreaks of Infectious Disease","volume":"159","author":[{"family":"Farrington","given":"C. P."},{"family":"Andrews","given":"N. J."},{"family":"Beale","given":"A. D."},{"family":"Catchpole","given":"M. A."}],"issued":{"date-parts":[["1996"]]}}}],"schema":"https://github.com/citation-style-language/schema/raw/master/csl-citation.json"} </w:instrText>
      </w:r>
      <w:r w:rsidRPr="00BF0D9C">
        <w:fldChar w:fldCharType="separate"/>
      </w:r>
      <w:r w:rsidRPr="00E96CAE" w:rsidR="00E96CAE">
        <w:rPr>
          <w:rFonts w:ascii="Calibri" w:hAnsi="Calibri" w:cs="Calibri"/>
          <w:szCs w:val="24"/>
          <w:vertAlign w:val="superscript"/>
        </w:rPr>
        <w:t>25</w:t>
      </w:r>
      <w:r w:rsidRPr="00BF0D9C">
        <w:fldChar w:fldCharType="end"/>
      </w:r>
      <w:r w:rsidRPr="00BF0D9C" w:rsidR="00AF3352">
        <w:t xml:space="preserve">. The </w:t>
      </w:r>
      <w:r w:rsidRPr="00BF0D9C">
        <w:t xml:space="preserve">95% Confidence Intervals </w:t>
      </w:r>
      <w:r w:rsidRPr="00BF0D9C" w:rsidR="00AF3352">
        <w:t>and</w:t>
      </w:r>
      <w:r w:rsidRPr="00BF0D9C">
        <w:t xml:space="preserve"> standard deviation for expected deaths were </w:t>
      </w:r>
      <w:r w:rsidRPr="00BF0D9C" w:rsidR="00AF3352">
        <w:t xml:space="preserve">also </w:t>
      </w:r>
      <w:r w:rsidRPr="00BF0D9C">
        <w:t xml:space="preserve">estimated. The weekly results of the observed </w:t>
      </w:r>
      <w:r w:rsidRPr="00BF0D9C">
        <w:rPr>
          <w:i/>
          <w:iCs/>
        </w:rPr>
        <w:t>versus</w:t>
      </w:r>
      <w:r w:rsidRPr="00BF0D9C">
        <w:t xml:space="preserve"> expected deaths are displayed graphically for each country using z-scores [</w:t>
      </w:r>
      <w:r w:rsidRPr="00BF0D9C">
        <w:rPr>
          <w:rFonts w:ascii="Calibri" w:hAnsi="Calibri" w:eastAsia="Calibri" w:cs="Calibri"/>
        </w:rPr>
        <w:t>(number of observed deaths – expected mortality) / standard deviation of the residuals]</w:t>
      </w:r>
      <w:r w:rsidRPr="00BF0D9C">
        <w:t>. Z-scores range between -2 and +2 is considered ‘normal’ and a value of &gt;4 z-scores is considered a substantial increase</w:t>
      </w:r>
      <w:r w:rsidRPr="00BF0D9C">
        <w:fldChar w:fldCharType="begin"/>
      </w:r>
      <w:r w:rsidR="00E96CAE">
        <w:instrText xml:space="preserve"> ADDIN ZOTERO_ITEM CSL_CITATION {"citationID":"oiTv7rEH","properties":{"formattedCitation":"\\super 3,31\\nosupersub{}","plainCitation":"3,31","noteIndex":0},"citationItems":[{"id":6398,"uris":["http://zotero.org/users/384481/items/8LB8G66L"],"uri":["http://zotero.org/users/384481/items/8LB8G66L"],"itemData":{"id":6398,"type":"article-journal","abstract":"A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6451,"uris":["http://zotero.org/users/384481/items/GN7USDNN"],"uri":["http://zotero.org/users/384481/items/GN7USDNN"],"itemData":{"id":6451,"type":"article-journal","abstract":"&lt;h2&gt;Abstract&lt;/h2&gt;&lt;h3&gt;Objectives&lt;/h3&gt;&lt;p&gt;Weekly monitoring of European all-cause excess mortality, the EuroMOMO network, observed high excess mortality during the influenza B/Yamagata dominated 2017/18 winter season, especially among elderly. We describe all-cause excess and influenza-attributable mortality during the season 2017/18 in Europe.&lt;/p&gt;&lt;h3&gt;Methods&lt;/h3&gt;&lt;p&gt;Based on weekly reporting of mortality from 24 European countries or sub-national regions, representing 60% of the European population excluding the Russian and Turkish parts of Europe, we estimated age stratified all-cause excess morality using the EuroMOMO model. In addition, age stratified all-cause influenza-attributable mortality was estimated using the FluMOMO algorithm, incorporating influenza activity based on clinical and virological surveillance data, and adjusting for extreme temperatures.&lt;/p&gt;&lt;h3&gt;Results&lt;/h3&gt;&lt;p&gt;Excess mortality was mainly attributable to influenza activity from December 2017 to April 2018, but also due to exceptionally low temperatures in February-March 2018. The pattern and extent of mortality excess was similar to the previous A(H3N2) dominated seasons, 2014/15 and 2016/17. The 2017/18 overall all-cause influenza-attributable mortality was estimated to be 25.4 (95%CI 25.0-25.8) per 100,000 population; 118.2 (116.4-119.9) for persons aged 65. Extending to the European population this translates into over-all 152,000 deaths.&lt;/p&gt;&lt;h3&gt;Conclusions&lt;/h3&gt;&lt;p&gt;The high mortality among elderly was unexpected in an influenza B dominated season, which commonly are considered to cause mild illness, mainly among children. Even though A(H3N2) also circulated in the 2017/18 season and may have contributed to the excess mortality among the elderly, the common perception of influenza B only having a modest impact on excess mortality in the older population may need to be reconsidered.&lt;/p&gt;","container-title":"Clinical Microbiology and Infection","DOI":"10.1016/j.cmi.2019.02.011","ISSN":"1198-743X","issue":"10","journalAbbreviation":"Clinical Microbiology and Infection","language":"English","note":"publisher: Elsevier\nPMID: 30790685","page":"1266-1276","source":"www.clinicalmicrobiologyandinfection.com","title":"European all-cause excess and influenza-attributable mortality in the 2017/18 season: should the burden of influenza B be reconsidered?","title-short":"European all-cause excess and influenza-attributable mortality in the 2017/18 season","volume":"25","author":[{"family":"Nielsen","given":"J."},{"family":"Vestergaard","given":"L. S."},{"family":"Richter","given":"L."},{"family":"Schmid","given":"D."},{"family":"Bustos","given":"N."},{"family":"Asikainen","given":"T."},{"family":"Trebbien","given":"R."},{"family":"Denissov","given":"G."},{"family":"Innos","given":"K."},{"family":"Virtanen","given":"M. J."},{"family":"Fouillet","given":"A."},{"family":"Lytras","given":"T."},{"family":"Gkolfinopoulou","given":"K."},{"family":"Heiden","given":"M.","dropping-particle":"an der"},{"family":"Grabenhenrich","given":"L."},{"family":"Uphoff","given":"H."},{"family":"Paldy","given":"A."},{"family":"Bobvos","given":"J."},{"family":"Domegan","given":"L."},{"family":"O'Donnell","given":"J."},{"family":"Scortichini","given":"M."},{"family":"Martino","given":"A.","dropping-particle":"de"},{"family":"Mossong","given":"J."},{"family":"England","given":"K."},{"family":"Melillo","given":"J."},{"family":"Asten","given":"L.","dropping-particle":"van"},{"family":"Lange","given":"M. MA","dropping-particle":"de"},{"family":"Tønnessen","given":"R."},{"family":"White","given":"R. A."},{"family":"Silva","given":"S. P.","dropping-particle":"da"},{"family":"Rodrigues","given":"A. P."},{"family":"Larrauri","given":"A."},{"family":"Mazagatos","given":"C."},{"family":"Farah","given":"A."},{"family":"Carnahan","given":"A. D."},{"family":"Junker","given":"C."},{"family":"Sinnathamby","given":"M."},{"family":"Pebody","given":"R. G."},{"family":"Andrews","given":"N."},{"family":"Reynolds","given":"A."},{"family":"McMenamin","given":"J."},{"family":"Brown","given":"C. S."},{"family":"Adlhoch","given":"C."},{"family":"Penttinen","given":"P."},{"family":"Mølbak","given":"K."},{"family":"Krause","given":"T. G."}],"issued":{"date-parts":[["2019",10,1]]}}}],"schema":"https://github.com/citation-style-language/schema/raw/master/csl-citation.json"} </w:instrText>
      </w:r>
      <w:r w:rsidRPr="00BF0D9C">
        <w:fldChar w:fldCharType="separate"/>
      </w:r>
      <w:r w:rsidRPr="00E96CAE" w:rsidR="00E96CAE">
        <w:rPr>
          <w:rFonts w:ascii="Calibri" w:hAnsi="Calibri" w:cs="Calibri"/>
          <w:szCs w:val="24"/>
          <w:vertAlign w:val="superscript"/>
        </w:rPr>
        <w:t>3,31</w:t>
      </w:r>
      <w:r w:rsidRPr="00BF0D9C">
        <w:fldChar w:fldCharType="end"/>
      </w:r>
      <w:r w:rsidRPr="00BF0D9C">
        <w:t xml:space="preserve">. </w:t>
      </w:r>
    </w:p>
    <w:p w:rsidRPr="00BF0D9C" w:rsidR="00A66DD6" w:rsidDel="00261B94" w:rsidP="00BF0D9C" w:rsidRDefault="00A66DD6" w14:paraId="697E50FA" w14:textId="45F7FC79">
      <w:pPr>
        <w:spacing w:line="480" w:lineRule="auto"/>
        <w:rPr>
          <w:rFonts w:ascii="Calibri" w:hAnsi="Calibri" w:cs="Calibri"/>
          <w:strike/>
          <w:shd w:val="clear" w:color="auto" w:fill="FFFFFF"/>
        </w:rPr>
      </w:pPr>
      <w:r w:rsidRPr="00BF0D9C">
        <w:t>Then, the sum of expected 2020 deaths was subtracted from the sum of the observed 2020 deaths</w:t>
      </w:r>
      <w:r w:rsidRPr="00BF0D9C">
        <w:rPr>
          <w:rStyle w:val="normaltextrun"/>
          <w:rFonts w:ascii="Calibri" w:hAnsi="Calibri" w:cs="Calibri"/>
          <w:shd w:val="clear" w:color="auto" w:fill="FFFFFF"/>
        </w:rPr>
        <w:t> to obtain an estimate of excess deaths</w:t>
      </w:r>
      <w:r w:rsidRPr="00BF0D9C">
        <w:t xml:space="preserve">. The statistical significance of excess deaths was determined using the 95% Confidence Intervals estimated by the model. </w:t>
      </w:r>
    </w:p>
    <w:p w:rsidRPr="00BF0D9C" w:rsidR="0018244C" w:rsidP="7312A2DD" w:rsidRDefault="2D0FEA4B" w14:paraId="35ABC16E" w14:textId="0D1B3166">
      <w:pPr>
        <w:spacing w:line="480" w:lineRule="auto"/>
      </w:pPr>
      <w:r>
        <w:t xml:space="preserve">It is important to note that only countries providing weekly data </w:t>
      </w:r>
      <w:r w:rsidR="00FC041D">
        <w:t xml:space="preserve">(n = 19) </w:t>
      </w:r>
      <w:r>
        <w:t>were included in th</w:t>
      </w:r>
      <w:r w:rsidR="074E4CE7">
        <w:t>e</w:t>
      </w:r>
      <w:r>
        <w:t xml:space="preserve"> second methodolog</w:t>
      </w:r>
      <w:r w:rsidR="4DDBAF15">
        <w:t>ical approach</w:t>
      </w:r>
      <w:r>
        <w:t>. In addition, 2019 weekly mortality was not available</w:t>
      </w:r>
      <w:r w:rsidR="1C867E19">
        <w:t xml:space="preserve"> for Scotland</w:t>
      </w:r>
      <w:r>
        <w:t xml:space="preserve"> and</w:t>
      </w:r>
      <w:r w:rsidR="1C867E19">
        <w:t>,</w:t>
      </w:r>
      <w:r>
        <w:t xml:space="preserve"> therefore</w:t>
      </w:r>
      <w:r w:rsidR="1C867E19">
        <w:t>,</w:t>
      </w:r>
      <w:r>
        <w:t xml:space="preserve"> the estimation of ‘baseline’ was based on 2015-2018 data in both methods. </w:t>
      </w:r>
      <w:r w:rsidR="178E8499">
        <w:t>F</w:t>
      </w:r>
      <w:r>
        <w:t xml:space="preserve">or Northern Ireland and Spain, </w:t>
      </w:r>
      <w:r w:rsidR="073141D4">
        <w:t>sex</w:t>
      </w:r>
      <w:r>
        <w:t>-specific all-cause mortality was not available</w:t>
      </w:r>
      <w:r w:rsidR="74B94EE0">
        <w:t xml:space="preserve"> at the time of data analysis</w:t>
      </w:r>
      <w:r w:rsidR="5441C610">
        <w:t xml:space="preserve">, thus sex-specific all-cause mortality was calculated </w:t>
      </w:r>
      <w:r w:rsidR="3FDD334F">
        <w:t>for 17 countries</w:t>
      </w:r>
      <w:r>
        <w:t xml:space="preserve">. </w:t>
      </w:r>
      <w:r w:rsidR="178E8499">
        <w:t xml:space="preserve">England </w:t>
      </w:r>
      <w:r w:rsidR="43441D10">
        <w:t>&amp;</w:t>
      </w:r>
      <w:r w:rsidR="178E8499">
        <w:t xml:space="preserve"> Wales </w:t>
      </w:r>
      <w:r w:rsidR="0A182C6B">
        <w:t xml:space="preserve">were </w:t>
      </w:r>
      <w:r w:rsidR="178E8499">
        <w:t xml:space="preserve">considered as one country </w:t>
      </w:r>
      <w:r w:rsidR="72326CE5">
        <w:t xml:space="preserve">for the purposes of analysis and reporting of results, </w:t>
      </w:r>
      <w:r w:rsidR="178E8499">
        <w:t xml:space="preserve">as combined data </w:t>
      </w:r>
      <w:r w:rsidR="67C2742B">
        <w:t xml:space="preserve">are routinely </w:t>
      </w:r>
      <w:r w:rsidR="178E8499">
        <w:t>provided</w:t>
      </w:r>
      <w:r w:rsidR="1F28F4F3">
        <w:t xml:space="preserve"> this way</w:t>
      </w:r>
      <w:r w:rsidR="178E8499">
        <w:t xml:space="preserve">. </w:t>
      </w:r>
      <w:r>
        <w:t xml:space="preserve">For each </w:t>
      </w:r>
      <w:proofErr w:type="gramStart"/>
      <w:r>
        <w:t>country</w:t>
      </w:r>
      <w:proofErr w:type="gramEnd"/>
      <w:r>
        <w:t xml:space="preserve"> the reported type of COVID-19 death was used in both methods and no between-country comparisons were attempted.</w:t>
      </w:r>
      <w:r w:rsidR="66B151FC">
        <w:t xml:space="preserve"> A sensitivity analysis involving the truncation of the observation period to week 26 (June 2020) for all countries was conducted to investigate any further reporting delay.</w:t>
      </w:r>
    </w:p>
    <w:p w:rsidRPr="00BF0D9C" w:rsidR="0018244C" w:rsidP="00BF0D9C" w:rsidRDefault="0018244C" w14:paraId="06595552" w14:textId="33BEB17C">
      <w:pPr>
        <w:spacing w:line="480" w:lineRule="auto"/>
      </w:pPr>
      <w:r w:rsidRPr="00BF0D9C">
        <w:t xml:space="preserve">All analyses were performed in R Statistical Software, version 3.6.1 (The R Foundation for Statistical Computing, Vienna, Austria). </w:t>
      </w:r>
    </w:p>
    <w:p w:rsidRPr="00BF0D9C" w:rsidR="00F35CD2" w:rsidP="00BF0D9C" w:rsidRDefault="00F35CD2" w14:paraId="16403DF7" w14:textId="77777777">
      <w:pPr>
        <w:spacing w:line="480" w:lineRule="auto"/>
        <w:rPr>
          <w:b/>
        </w:rPr>
      </w:pPr>
      <w:r w:rsidRPr="00BF0D9C">
        <w:rPr>
          <w:b/>
        </w:rPr>
        <w:br w:type="page"/>
      </w:r>
    </w:p>
    <w:p w:rsidRPr="00BF0D9C" w:rsidR="00F35CD2" w:rsidP="00BF0D9C" w:rsidRDefault="00F35CD2" w14:paraId="1CD660A1" w14:textId="77777777">
      <w:pPr>
        <w:spacing w:line="480" w:lineRule="auto"/>
      </w:pPr>
      <w:r w:rsidRPr="00BF0D9C">
        <w:rPr>
          <w:b/>
        </w:rPr>
        <w:lastRenderedPageBreak/>
        <w:t>Results</w:t>
      </w:r>
    </w:p>
    <w:p w:rsidRPr="00BF0D9C" w:rsidR="00116AD0" w:rsidP="00BF0D9C" w:rsidRDefault="00116AD0" w14:paraId="5730D235" w14:textId="08AD9BA0">
      <w:pPr>
        <w:spacing w:line="480" w:lineRule="auto"/>
        <w:rPr>
          <w:i/>
        </w:rPr>
      </w:pPr>
      <w:r w:rsidRPr="00BF0D9C">
        <w:rPr>
          <w:i/>
        </w:rPr>
        <w:t xml:space="preserve">Observed 2020 versus 2015-2019 average mortality rate </w:t>
      </w:r>
    </w:p>
    <w:p w:rsidRPr="00BF0D9C" w:rsidR="00116AD0" w:rsidP="00BF0D9C" w:rsidRDefault="00116AD0" w14:paraId="06FD2A3A" w14:textId="28B8F077">
      <w:pPr>
        <w:spacing w:line="480" w:lineRule="auto"/>
      </w:pPr>
      <w:r>
        <w:t xml:space="preserve">Tables 1 and 2 compare the country-specific YTD mortality rates of the previous five years (2015-2019) to 2020 for the total population and by </w:t>
      </w:r>
      <w:r w:rsidR="073141D4">
        <w:t>sex</w:t>
      </w:r>
      <w:r>
        <w:t xml:space="preserve">, respectively. The total all-cause mortality rate (total, males, and females) was higher during 2020 compared to the average of the previous five years in 11 out of the 22 participating countries: Brazil, Cyprus, England &amp; Wales, France, Italy, North Ireland, Scotland, Spain, the USA, Slovenia, and Sweden. Among the total population, the highest increase, in descending order, was observed for England and Wales, Spain, the USA, Scotland, Brazil, and Northern Ireland (&gt;50 deaths per 100,000 population). In France, Sweden, Slovenia, Italy, and Cyprus the increase was less pronounced (&lt;35 deaths per 100,000 population; countries listed in descending order). Within the countries with higher 2020 mortality rate, COVID-19 was reported as a </w:t>
      </w:r>
      <w:r w:rsidR="0073001E">
        <w:t>COD</w:t>
      </w:r>
      <w:r>
        <w:t xml:space="preserve"> in five countries (Cyprus, England and Wales, France, Italy, the USA) and as a </w:t>
      </w:r>
      <w:r w:rsidR="0073001E">
        <w:t xml:space="preserve">COD </w:t>
      </w:r>
      <w:r>
        <w:t xml:space="preserve">or contributing condition in the other six countries (Brazil, Northern Ireland, Scotland, Slovenia, Spain, Sweden). </w:t>
      </w:r>
    </w:p>
    <w:p w:rsidRPr="00BF0D9C" w:rsidR="00116AD0" w:rsidP="00BF0D9C" w:rsidRDefault="00116AD0" w14:paraId="3949A6EC" w14:textId="77777777">
      <w:pPr>
        <w:spacing w:line="480" w:lineRule="auto"/>
      </w:pPr>
      <w:r w:rsidRPr="00BF0D9C">
        <w:t xml:space="preserve">By contrast, Cape Verde, Estonia, Georgia, and Norway had a reduced YTD mortality rate in 2020 compared to the previous five years (range between -12.5 and -64.1 deaths per 100,000 population). </w:t>
      </w:r>
    </w:p>
    <w:p w:rsidRPr="00BF0D9C" w:rsidR="00116AD0" w:rsidP="00BF0D9C" w:rsidRDefault="00116AD0" w14:paraId="136D4360" w14:textId="6CD57FAF">
      <w:pPr>
        <w:spacing w:line="480" w:lineRule="auto"/>
      </w:pPr>
      <w:r>
        <w:t xml:space="preserve">In the rest of the participating countries (Australia, Austria, Colombia, Denmark, Ireland, Israel, Ukraine), we observed discordant results in the mortality rates change within the two </w:t>
      </w:r>
      <w:r w:rsidR="558CF462">
        <w:t>sexes</w:t>
      </w:r>
      <w:r>
        <w:t xml:space="preserve">. </w:t>
      </w:r>
    </w:p>
    <w:p w:rsidRPr="00BF0D9C" w:rsidR="00116AD0" w:rsidP="00BF0D9C" w:rsidRDefault="00116AD0" w14:paraId="649C6D59" w14:textId="77777777">
      <w:pPr>
        <w:spacing w:after="0" w:line="480" w:lineRule="auto"/>
        <w:rPr>
          <w:i/>
          <w:iCs/>
        </w:rPr>
      </w:pPr>
      <w:r w:rsidRPr="00BF0D9C">
        <w:rPr>
          <w:i/>
          <w:iCs/>
        </w:rPr>
        <w:t>Weekly/monthly 2020 mortality rate and COVID-19 control measures</w:t>
      </w:r>
    </w:p>
    <w:p w:rsidRPr="00BF0D9C" w:rsidR="00116AD0" w:rsidP="00BF0D9C" w:rsidRDefault="00116AD0" w14:paraId="601BCFD7" w14:textId="1657207F">
      <w:pPr>
        <w:spacing w:after="0" w:line="480" w:lineRule="auto"/>
      </w:pPr>
      <w:r>
        <w:t xml:space="preserve">The 2020 all-cause mortality rate against the 2015-2019 average mortality rate per </w:t>
      </w:r>
      <w:r w:rsidR="007419C3">
        <w:t>week</w:t>
      </w:r>
      <w:r>
        <w:t xml:space="preserve"> is displayed graphically for each country using country-specific scales in Figure 1</w:t>
      </w:r>
      <w:r w:rsidR="007419C3">
        <w:t xml:space="preserve"> for total population and Figure 2 by sex</w:t>
      </w:r>
      <w:r>
        <w:t xml:space="preserve">. </w:t>
      </w:r>
      <w:r w:rsidR="007419C3">
        <w:t xml:space="preserve">Figure 3 displays countries reporting monthly data; trimester rates were not plotted. </w:t>
      </w:r>
      <w:r>
        <w:t>The same figure</w:t>
      </w:r>
      <w:r w:rsidR="007419C3">
        <w:t>s</w:t>
      </w:r>
      <w:r>
        <w:t xml:space="preserve"> also display the progress of the control measures in each country using the weekly or monthly SI, and the onset of COVID-19 death reports. </w:t>
      </w:r>
    </w:p>
    <w:p w:rsidRPr="00BF0D9C" w:rsidR="00116AD0" w:rsidP="00BF0D9C" w:rsidRDefault="00116AD0" w14:paraId="1979CCB1" w14:textId="179208A4">
      <w:pPr>
        <w:spacing w:line="480" w:lineRule="auto"/>
      </w:pPr>
      <w:r w:rsidRPr="00BF0D9C">
        <w:lastRenderedPageBreak/>
        <w:t>As shown</w:t>
      </w:r>
      <w:r w:rsidR="007419C3">
        <w:t xml:space="preserve"> in Figures 1-3</w:t>
      </w:r>
      <w:r w:rsidRPr="00BF0D9C">
        <w:t>, excess mortality rate during 2020 was observed for Brazil, England and Wales, France, Ireland, Italy, Northern Ireland, Scotland, Spain, Sweden, and the USA. The maximum mortality rate was observed sometime between week 12/2020 (</w:t>
      </w:r>
      <w:r w:rsidRPr="00BF0D9C" w:rsidR="61A53BC9">
        <w:t xml:space="preserve">Italy; </w:t>
      </w:r>
      <w:r w:rsidRPr="00BF0D9C">
        <w:t>36.2 deaths per 100,000 population) and weeks 19-20/2020 (</w:t>
      </w:r>
      <w:r w:rsidRPr="00BF0D9C" w:rsidR="4B3E2639">
        <w:t xml:space="preserve">Brazil; </w:t>
      </w:r>
      <w:r w:rsidRPr="00BF0D9C">
        <w:t xml:space="preserve">17.0 deaths per 100,000 population); and in April 2020 in Sweden (100.8 deaths per 100,000 population). The mortality rate peaks for 2020 were observed </w:t>
      </w:r>
      <w:proofErr w:type="gramStart"/>
      <w:r w:rsidRPr="00BF0D9C">
        <w:t>in</w:t>
      </w:r>
      <w:proofErr w:type="gramEnd"/>
      <w:r w:rsidRPr="00BF0D9C">
        <w:t xml:space="preserve"> the same time for males and females in France, England and Wales, the USA, and Sweden. However, small peaks of excess mortality were observed in Australia (week 13/2020), Austria (weeks 12 and 15/2020), Cyprus (weeks 20-21/2020), Estonia (week 17/2020), Georgia (week 28/2020), Israel (weeks 14, 21, 34/2020), Slovenia (week 26/2020), and Ukraine (weeks 4, 17, 29/2020). </w:t>
      </w:r>
    </w:p>
    <w:p w:rsidRPr="00BF0D9C" w:rsidR="00116AD0" w:rsidP="55E9D2D9" w:rsidRDefault="00116AD0" w14:paraId="5246C569" w14:textId="4A822494">
      <w:pPr>
        <w:spacing w:line="480" w:lineRule="auto"/>
      </w:pPr>
      <w:r>
        <w:t>COVID-19 deaths were first reported in March 2020 for all the participating countries except in the case of Spain, Italy, and the USA for which COVID-19 deaths were first reported in February 2020 (Figure</w:t>
      </w:r>
      <w:r w:rsidR="007419C3">
        <w:t>s</w:t>
      </w:r>
      <w:r>
        <w:t xml:space="preserve"> 1</w:t>
      </w:r>
      <w:r w:rsidR="007419C3">
        <w:t>-3</w:t>
      </w:r>
      <w:r>
        <w:t xml:space="preserve">). In Australia, deaths due to COVID-19 started end of February – beginning of March; and in Georgia, late March – early April 2020. In Colombia, COVID-19 deaths were also first reported during the first trimester of 2020. At the same time, </w:t>
      </w:r>
      <w:r w:rsidR="0CFC2D8C">
        <w:t>in all countries</w:t>
      </w:r>
      <w:r w:rsidR="443E724E">
        <w:t>,</w:t>
      </w:r>
      <w:r w:rsidR="0CFC2D8C">
        <w:t xml:space="preserve"> </w:t>
      </w:r>
      <w:r>
        <w:t xml:space="preserve">the beginning of the implementation of </w:t>
      </w:r>
      <w:r w:rsidR="4522E873">
        <w:t xml:space="preserve">moderate or high stringency control </w:t>
      </w:r>
      <w:r>
        <w:t xml:space="preserve">measures ranged from week 9 to week 13 (SI: 25-74 %), and from week 11 to week 18 (SI: ≥75 %). </w:t>
      </w:r>
    </w:p>
    <w:p w:rsidRPr="00BF0D9C" w:rsidR="00116AD0" w:rsidP="00BF0D9C" w:rsidRDefault="00116AD0" w14:paraId="09C2400C" w14:textId="1F234724">
      <w:pPr>
        <w:spacing w:line="480" w:lineRule="auto"/>
        <w:rPr>
          <w:i/>
        </w:rPr>
      </w:pPr>
      <w:r w:rsidRPr="00BF0D9C">
        <w:rPr>
          <w:i/>
        </w:rPr>
        <w:t xml:space="preserve">Observed versus expected 2020 deaths </w:t>
      </w:r>
    </w:p>
    <w:p w:rsidRPr="00BF0D9C" w:rsidR="00116AD0" w:rsidP="00BF0D9C" w:rsidRDefault="00116AD0" w14:paraId="7C1FB6FE" w14:textId="4D119E7A">
      <w:pPr>
        <w:spacing w:line="480" w:lineRule="auto"/>
      </w:pPr>
      <w:r w:rsidRPr="00BF0D9C">
        <w:t xml:space="preserve">For most countries where all-cause deaths in 2020 (January-June/August) were higher than expected, mortality was raised for both males and females (Brazil, England and Wales, France, </w:t>
      </w:r>
      <w:proofErr w:type="gramStart"/>
      <w:r w:rsidRPr="00BF0D9C">
        <w:t>Scotland</w:t>
      </w:r>
      <w:proofErr w:type="gramEnd"/>
      <w:r w:rsidRPr="00BF0D9C">
        <w:t xml:space="preserve"> and the US</w:t>
      </w:r>
      <w:r w:rsidRPr="00BF0D9C" w:rsidR="00952515">
        <w:t>A</w:t>
      </w:r>
      <w:r w:rsidRPr="00BF0D9C">
        <w:t xml:space="preserve">) (Tables 3 and 4). For Ukraine and Israel, only male deaths were elevated; for Ireland total and female deaths; and for Italy total and male deaths. For some countries (Northern Ireland, Spain) only total deaths were elevated.   </w:t>
      </w:r>
    </w:p>
    <w:p w:rsidRPr="00BF0D9C" w:rsidR="00116AD0" w:rsidP="00BF0D9C" w:rsidRDefault="00116AD0" w14:paraId="37A43B49" w14:textId="47826F53">
      <w:pPr>
        <w:spacing w:line="480" w:lineRule="auto"/>
      </w:pPr>
      <w:r>
        <w:t xml:space="preserve">On the contrary, all-cause 2020 deaths in Australia and Denmark (both </w:t>
      </w:r>
      <w:r w:rsidR="4B151D39">
        <w:t>sexes</w:t>
      </w:r>
      <w:r>
        <w:t>), and only total and male deaths in Georgia were lower than expected.</w:t>
      </w:r>
    </w:p>
    <w:p w:rsidRPr="00BF0D9C" w:rsidR="00116AD0" w:rsidP="00BF0D9C" w:rsidRDefault="00116AD0" w14:paraId="6FD4A93D" w14:textId="2175811C">
      <w:pPr>
        <w:spacing w:after="0" w:line="480" w:lineRule="auto"/>
      </w:pPr>
      <w:r>
        <w:lastRenderedPageBreak/>
        <w:t xml:space="preserve">The weekly COVID-19 deaths </w:t>
      </w:r>
      <w:r w:rsidR="3F019AF4">
        <w:t xml:space="preserve">in relation </w:t>
      </w:r>
      <w:r>
        <w:t>to excess deaths is displayed graphic</w:t>
      </w:r>
      <w:r w:rsidR="00DB00B9">
        <w:t>ally in Supplementary Figure 2.</w:t>
      </w:r>
    </w:p>
    <w:p w:rsidRPr="00BF0D9C" w:rsidR="626203BE" w:rsidP="00BF0D9C" w:rsidRDefault="626203BE" w14:paraId="643F6A3E" w14:textId="3AE14BE0">
      <w:pPr>
        <w:spacing w:after="0" w:line="480" w:lineRule="auto"/>
      </w:pPr>
    </w:p>
    <w:p w:rsidRPr="00BF0D9C" w:rsidR="00116AD0" w:rsidP="00BF0D9C" w:rsidRDefault="00116AD0" w14:paraId="4C6D6E50" w14:textId="77777777">
      <w:pPr>
        <w:spacing w:after="0" w:line="480" w:lineRule="auto"/>
        <w:rPr>
          <w:i/>
          <w:iCs/>
        </w:rPr>
      </w:pPr>
      <w:r w:rsidRPr="00BF0D9C">
        <w:rPr>
          <w:i/>
          <w:iCs/>
        </w:rPr>
        <w:t>Weekly deaths z-score</w:t>
      </w:r>
    </w:p>
    <w:p w:rsidRPr="00BF0D9C" w:rsidR="00116AD0" w:rsidP="00BF0D9C" w:rsidRDefault="00116AD0" w14:paraId="025C7D1C" w14:textId="785C8421">
      <w:pPr>
        <w:spacing w:line="480" w:lineRule="auto"/>
      </w:pPr>
      <w:r w:rsidRPr="00BF0D9C">
        <w:t xml:space="preserve">Figure </w:t>
      </w:r>
      <w:r w:rsidR="007419C3">
        <w:t>4</w:t>
      </w:r>
      <w:r w:rsidRPr="00BF0D9C">
        <w:t xml:space="preserve"> shows the weekly deaths z-score over time from week 1/2018 to week 26/2020 or week 35/2020, for the total population. The countries that showed a substantial increase (&gt;4 z-scores) in the observed mortality during 2020 include Brazil, Cyprus, England and Wales, France, Ireland, Italy, Northern Ireland, Scotland, </w:t>
      </w:r>
      <w:proofErr w:type="gramStart"/>
      <w:r w:rsidRPr="00BF0D9C">
        <w:t>Spain</w:t>
      </w:r>
      <w:proofErr w:type="gramEnd"/>
      <w:r w:rsidRPr="00BF0D9C">
        <w:t xml:space="preserve"> and the USA. The first substantial weekly excess in all-cause deaths was observed in different weeks of 2020 depending on the country; from week 11 (Italy) to week 21 (Cyprus). This excess in mortality lasted from one (Cyprus) to seven (England and Wales, Scotland) weeks. In Brazil and the USA, a substantial excess mortality has been observed since week 17 and 14 of 2020, respectively. </w:t>
      </w:r>
    </w:p>
    <w:p w:rsidRPr="00BF0D9C" w:rsidR="00116AD0" w:rsidP="5E0CCDD2" w:rsidRDefault="00116AD0" w14:paraId="1F6E08AE" w14:textId="096E875C">
      <w:pPr>
        <w:spacing w:line="480" w:lineRule="auto"/>
      </w:pPr>
      <w:r>
        <w:t xml:space="preserve">Among the countries with a substantial excess of mortality for the total population, a similar excess was observed for both males and females in Brazil, France, Ireland, and the USA; with differences in the duration and timing of observed weekly excess mortality (Figure </w:t>
      </w:r>
      <w:r w:rsidR="007419C3">
        <w:t>5</w:t>
      </w:r>
      <w:r>
        <w:t xml:space="preserve">). However, a </w:t>
      </w:r>
      <w:proofErr w:type="spellStart"/>
      <w:r>
        <w:t>substantialexcess</w:t>
      </w:r>
      <w:proofErr w:type="spellEnd"/>
      <w:r>
        <w:t xml:space="preserve"> in mortality was observed only for total population in Cyprus, only for total and males in England and Wales, and only for total and females in Italy and Scotland.</w:t>
      </w:r>
    </w:p>
    <w:p w:rsidRPr="00BF0D9C" w:rsidR="00116AD0" w:rsidP="00BF0D9C" w:rsidRDefault="00116AD0" w14:paraId="5B4FC89C" w14:textId="77777777">
      <w:pPr>
        <w:spacing w:line="480" w:lineRule="auto"/>
      </w:pPr>
      <w:r w:rsidRPr="00BF0D9C">
        <w:t>The sensitivity analysis by truncating the observation period to week 26 for all countries did not show any difference for the participating countries experiencing the first wave of the pandemic in the first half of 2020 (data not shown).</w:t>
      </w:r>
    </w:p>
    <w:p w:rsidRPr="00BF0D9C" w:rsidR="00116AD0" w:rsidP="00BF0D9C" w:rsidRDefault="00116AD0" w14:paraId="1ECFFADD" w14:textId="77777777">
      <w:pPr>
        <w:spacing w:line="480" w:lineRule="auto"/>
      </w:pPr>
      <w:r w:rsidRPr="00BF0D9C">
        <w:t> </w:t>
      </w:r>
    </w:p>
    <w:p w:rsidRPr="00BF0D9C" w:rsidR="00116AD0" w:rsidP="00BF0D9C" w:rsidRDefault="00116AD0" w14:paraId="2BD7C33B" w14:textId="77777777">
      <w:pPr>
        <w:spacing w:line="480" w:lineRule="auto"/>
      </w:pPr>
      <w:r w:rsidRPr="00BF0D9C">
        <w:t xml:space="preserve"> </w:t>
      </w:r>
    </w:p>
    <w:p w:rsidRPr="00BF0D9C" w:rsidR="00116AD0" w:rsidP="00BF0D9C" w:rsidRDefault="00116AD0" w14:paraId="6AE0D399" w14:textId="3DFF9B75">
      <w:pPr>
        <w:spacing w:line="480" w:lineRule="auto"/>
        <w:sectPr w:rsidRPr="00BF0D9C" w:rsidR="00116AD0" w:rsidSect="00A66DD6">
          <w:headerReference w:type="default" r:id="rId8"/>
          <w:footerReference w:type="default" r:id="rId9"/>
          <w:pgSz w:w="11906" w:h="16838" w:orient="portrait"/>
          <w:pgMar w:top="1440" w:right="1440" w:bottom="1440" w:left="1440" w:header="709" w:footer="709" w:gutter="0"/>
          <w:cols w:space="708"/>
          <w:docGrid w:linePitch="360"/>
        </w:sectPr>
      </w:pPr>
    </w:p>
    <w:p w:rsidRPr="00BF0D9C" w:rsidR="00B11336" w:rsidP="00BF0D9C" w:rsidRDefault="00B11336" w14:paraId="77E66D42" w14:textId="2A383716">
      <w:pPr>
        <w:spacing w:after="0" w:line="480" w:lineRule="auto"/>
        <w:contextualSpacing/>
        <w:rPr>
          <w:rFonts w:ascii="Calibri" w:hAnsi="Calibri" w:eastAsia="Times New Roman" w:cs="Calibri"/>
          <w:b/>
          <w:bCs/>
        </w:rPr>
      </w:pPr>
      <w:r w:rsidRPr="00BF0D9C">
        <w:rPr>
          <w:rFonts w:ascii="Calibri" w:hAnsi="Calibri" w:eastAsia="Times New Roman" w:cs="Calibri"/>
          <w:b/>
          <w:bCs/>
        </w:rPr>
        <w:lastRenderedPageBreak/>
        <w:t xml:space="preserve">Discussion </w:t>
      </w:r>
    </w:p>
    <w:p w:rsidRPr="00BF0D9C" w:rsidR="626203BE" w:rsidP="00BF0D9C" w:rsidRDefault="626203BE" w14:paraId="512B2EA4" w14:textId="46A11F8B">
      <w:pPr>
        <w:spacing w:after="0" w:line="480" w:lineRule="auto"/>
        <w:rPr>
          <w:rFonts w:ascii="Calibri" w:hAnsi="Calibri" w:eastAsia="Times New Roman" w:cs="Calibri"/>
          <w:i/>
          <w:iCs/>
        </w:rPr>
      </w:pPr>
    </w:p>
    <w:p w:rsidRPr="00BF0D9C" w:rsidR="00C3337F" w:rsidP="00BF0D9C" w:rsidRDefault="00C3337F" w14:paraId="32C70F54" w14:textId="02244CA7">
      <w:pPr>
        <w:spacing w:after="0" w:line="480" w:lineRule="auto"/>
        <w:contextualSpacing/>
        <w:rPr>
          <w:rFonts w:ascii="Calibri" w:hAnsi="Calibri" w:eastAsia="Times New Roman" w:cs="Calibri"/>
          <w:i/>
          <w:iCs/>
        </w:rPr>
      </w:pPr>
      <w:r w:rsidRPr="00BF0D9C">
        <w:rPr>
          <w:rFonts w:ascii="Calibri" w:hAnsi="Calibri" w:eastAsia="Times New Roman" w:cs="Calibri"/>
          <w:i/>
          <w:iCs/>
        </w:rPr>
        <w:t>Summary of findings</w:t>
      </w:r>
    </w:p>
    <w:p w:rsidRPr="00BF0D9C" w:rsidR="626203BE" w:rsidP="00BF0D9C" w:rsidRDefault="626203BE" w14:paraId="68107B94" w14:textId="354DD38A">
      <w:pPr>
        <w:spacing w:after="0" w:line="480" w:lineRule="auto"/>
        <w:rPr>
          <w:rFonts w:ascii="Calibri" w:hAnsi="Calibri" w:eastAsia="Times New Roman" w:cs="Calibri"/>
          <w:i/>
          <w:iCs/>
        </w:rPr>
      </w:pPr>
    </w:p>
    <w:p w:rsidRPr="00BF0D9C" w:rsidR="64F2F7D8" w:rsidP="00BF0D9C" w:rsidRDefault="00B11336" w14:paraId="3182E082" w14:textId="7B12CC4D">
      <w:pPr>
        <w:pStyle w:val="CommentText"/>
        <w:spacing w:after="0" w:line="480" w:lineRule="auto"/>
        <w:rPr>
          <w:rFonts w:ascii="Calibri" w:hAnsi="Calibri" w:eastAsia="Times New Roman" w:cs="Calibri"/>
        </w:rPr>
      </w:pPr>
      <w:bookmarkStart w:name="_Hlk70351060" w:id="0"/>
      <w:r w:rsidRPr="5E0CCDD2">
        <w:rPr>
          <w:rFonts w:ascii="Calibri" w:hAnsi="Calibri" w:eastAsia="Times New Roman" w:cs="Calibri"/>
          <w:sz w:val="22"/>
          <w:szCs w:val="22"/>
        </w:rPr>
        <w:t xml:space="preserve">In this investigation of 22 countries across </w:t>
      </w:r>
      <w:r w:rsidRPr="5E0CCDD2" w:rsidR="0041438C">
        <w:rPr>
          <w:rFonts w:ascii="Calibri" w:hAnsi="Calibri" w:eastAsia="Times New Roman" w:cs="Calibri"/>
          <w:sz w:val="22"/>
          <w:szCs w:val="22"/>
        </w:rPr>
        <w:t xml:space="preserve">five </w:t>
      </w:r>
      <w:r w:rsidRPr="5E0CCDD2">
        <w:rPr>
          <w:rFonts w:ascii="Calibri" w:hAnsi="Calibri" w:eastAsia="Times New Roman" w:cs="Calibri"/>
          <w:sz w:val="22"/>
          <w:szCs w:val="22"/>
        </w:rPr>
        <w:t>continents, we show</w:t>
      </w:r>
      <w:r w:rsidR="00E827D3">
        <w:rPr>
          <w:rFonts w:ascii="Calibri" w:hAnsi="Calibri" w:eastAsia="Times New Roman" w:cs="Calibri"/>
          <w:sz w:val="22"/>
          <w:szCs w:val="22"/>
        </w:rPr>
        <w:t xml:space="preserve"> </w:t>
      </w:r>
      <w:r w:rsidRPr="5E0CCDD2">
        <w:rPr>
          <w:rFonts w:ascii="Calibri" w:hAnsi="Calibri" w:eastAsia="Times New Roman" w:cs="Calibri"/>
          <w:sz w:val="22"/>
          <w:szCs w:val="22"/>
        </w:rPr>
        <w:t>that Brazil, France,</w:t>
      </w:r>
      <w:r w:rsidRPr="5E0CCDD2" w:rsidR="00613AEA">
        <w:rPr>
          <w:rFonts w:ascii="Calibri" w:hAnsi="Calibri" w:eastAsia="Times New Roman" w:cs="Calibri"/>
          <w:sz w:val="22"/>
          <w:szCs w:val="22"/>
        </w:rPr>
        <w:t xml:space="preserve"> Ireland,</w:t>
      </w:r>
      <w:r w:rsidRPr="5E0CCDD2">
        <w:rPr>
          <w:rFonts w:ascii="Calibri" w:hAnsi="Calibri" w:eastAsia="Times New Roman" w:cs="Calibri"/>
          <w:sz w:val="22"/>
          <w:szCs w:val="22"/>
        </w:rPr>
        <w:t xml:space="preserve"> Italy, Spain, Sweden,</w:t>
      </w:r>
      <w:r w:rsidRPr="5E0CCDD2" w:rsidR="003936C8">
        <w:rPr>
          <w:rFonts w:ascii="Calibri" w:hAnsi="Calibri" w:eastAsia="Times New Roman" w:cs="Calibri"/>
          <w:sz w:val="22"/>
          <w:szCs w:val="22"/>
        </w:rPr>
        <w:t xml:space="preserve"> </w:t>
      </w:r>
      <w:r w:rsidRPr="5E0CCDD2" w:rsidR="00236F03">
        <w:rPr>
          <w:sz w:val="22"/>
          <w:szCs w:val="22"/>
        </w:rPr>
        <w:t>UK (England &amp; Wales, North Ireland, Scotland)</w:t>
      </w:r>
      <w:r w:rsidRPr="5E0CCDD2" w:rsidR="12367E77">
        <w:rPr>
          <w:sz w:val="22"/>
          <w:szCs w:val="22"/>
        </w:rPr>
        <w:t xml:space="preserve"> </w:t>
      </w:r>
      <w:r w:rsidRPr="5E0CCDD2">
        <w:rPr>
          <w:rFonts w:ascii="Calibri" w:hAnsi="Calibri" w:eastAsia="Times New Roman" w:cs="Calibri"/>
          <w:sz w:val="22"/>
          <w:szCs w:val="22"/>
        </w:rPr>
        <w:t xml:space="preserve">and the USA demonstrated excess all-cause </w:t>
      </w:r>
      <w:r w:rsidRPr="5E0CCDD2" w:rsidR="0073001E">
        <w:rPr>
          <w:rFonts w:ascii="Calibri" w:hAnsi="Calibri" w:eastAsia="Times New Roman" w:cs="Calibri"/>
          <w:sz w:val="22"/>
          <w:szCs w:val="22"/>
        </w:rPr>
        <w:t>deaths</w:t>
      </w:r>
      <w:r w:rsidRPr="5E0CCDD2">
        <w:rPr>
          <w:rFonts w:ascii="Calibri" w:hAnsi="Calibri" w:eastAsia="Times New Roman" w:cs="Calibri"/>
          <w:sz w:val="22"/>
          <w:szCs w:val="22"/>
        </w:rPr>
        <w:t xml:space="preserve"> </w:t>
      </w:r>
      <w:r w:rsidRPr="5E0CCDD2" w:rsidR="00BD0661">
        <w:rPr>
          <w:rFonts w:ascii="Calibri" w:hAnsi="Calibri" w:eastAsia="Times New Roman" w:cs="Calibri"/>
          <w:sz w:val="22"/>
          <w:szCs w:val="22"/>
        </w:rPr>
        <w:t>between</w:t>
      </w:r>
      <w:r w:rsidRPr="5E0CCDD2">
        <w:rPr>
          <w:rFonts w:ascii="Calibri" w:hAnsi="Calibri" w:eastAsia="Times New Roman" w:cs="Calibri"/>
          <w:sz w:val="22"/>
          <w:szCs w:val="22"/>
        </w:rPr>
        <w:t xml:space="preserve"> </w:t>
      </w:r>
      <w:r w:rsidRPr="5E0CCDD2" w:rsidR="00BD0661">
        <w:rPr>
          <w:rFonts w:ascii="Calibri" w:hAnsi="Calibri" w:eastAsia="Times New Roman" w:cs="Calibri"/>
          <w:sz w:val="22"/>
          <w:szCs w:val="22"/>
        </w:rPr>
        <w:t xml:space="preserve">January and June or </w:t>
      </w:r>
      <w:proofErr w:type="gramStart"/>
      <w:r w:rsidRPr="5E0CCDD2" w:rsidR="00BD0661">
        <w:rPr>
          <w:rFonts w:ascii="Calibri" w:hAnsi="Calibri" w:eastAsia="Times New Roman" w:cs="Calibri"/>
          <w:sz w:val="22"/>
          <w:szCs w:val="22"/>
        </w:rPr>
        <w:t>August,</w:t>
      </w:r>
      <w:proofErr w:type="gramEnd"/>
      <w:r w:rsidRPr="5E0CCDD2" w:rsidR="00BD0661">
        <w:rPr>
          <w:rFonts w:ascii="Calibri" w:hAnsi="Calibri" w:eastAsia="Times New Roman" w:cs="Calibri"/>
          <w:sz w:val="22"/>
          <w:szCs w:val="22"/>
        </w:rPr>
        <w:t xml:space="preserve"> 2020</w:t>
      </w:r>
      <w:r w:rsidRPr="5E0CCDD2">
        <w:rPr>
          <w:rFonts w:ascii="Calibri" w:hAnsi="Calibri" w:eastAsia="Times New Roman" w:cs="Calibri"/>
          <w:sz w:val="22"/>
          <w:szCs w:val="22"/>
        </w:rPr>
        <w:t>, among males and females combined</w:t>
      </w:r>
      <w:bookmarkEnd w:id="0"/>
      <w:r w:rsidRPr="5E0CCDD2">
        <w:rPr>
          <w:rFonts w:ascii="Calibri" w:hAnsi="Calibri" w:eastAsia="Times New Roman" w:cs="Calibri"/>
          <w:sz w:val="22"/>
          <w:szCs w:val="22"/>
        </w:rPr>
        <w:t xml:space="preserve">. In </w:t>
      </w:r>
      <w:proofErr w:type="gramStart"/>
      <w:r w:rsidRPr="5E0CCDD2">
        <w:rPr>
          <w:rFonts w:ascii="Calibri" w:hAnsi="Calibri" w:eastAsia="Times New Roman" w:cs="Calibri"/>
          <w:sz w:val="22"/>
          <w:szCs w:val="22"/>
        </w:rPr>
        <w:t>Italy</w:t>
      </w:r>
      <w:proofErr w:type="gramEnd"/>
      <w:r w:rsidRPr="5E0CCDD2">
        <w:rPr>
          <w:rFonts w:ascii="Calibri" w:hAnsi="Calibri" w:eastAsia="Times New Roman" w:cs="Calibri"/>
          <w:sz w:val="22"/>
          <w:szCs w:val="22"/>
        </w:rPr>
        <w:t xml:space="preserve"> the excess </w:t>
      </w:r>
      <w:r w:rsidRPr="5E0CCDD2" w:rsidR="0073001E">
        <w:rPr>
          <w:rFonts w:ascii="Calibri" w:hAnsi="Calibri" w:eastAsia="Times New Roman" w:cs="Calibri"/>
          <w:sz w:val="22"/>
          <w:szCs w:val="22"/>
        </w:rPr>
        <w:t>deaths</w:t>
      </w:r>
      <w:r w:rsidRPr="5E0CCDD2">
        <w:rPr>
          <w:rFonts w:ascii="Calibri" w:hAnsi="Calibri" w:eastAsia="Times New Roman" w:cs="Calibri"/>
          <w:sz w:val="22"/>
          <w:szCs w:val="22"/>
        </w:rPr>
        <w:t xml:space="preserve"> w</w:t>
      </w:r>
      <w:r w:rsidRPr="5E0CCDD2" w:rsidR="0073001E">
        <w:rPr>
          <w:rFonts w:ascii="Calibri" w:hAnsi="Calibri" w:eastAsia="Times New Roman" w:cs="Calibri"/>
          <w:sz w:val="22"/>
          <w:szCs w:val="22"/>
        </w:rPr>
        <w:t>ere</w:t>
      </w:r>
      <w:r w:rsidRPr="5E0CCDD2">
        <w:rPr>
          <w:rFonts w:ascii="Calibri" w:hAnsi="Calibri" w:eastAsia="Times New Roman" w:cs="Calibri"/>
          <w:sz w:val="22"/>
          <w:szCs w:val="22"/>
        </w:rPr>
        <w:t xml:space="preserve"> driven by excess deaths among males</w:t>
      </w:r>
      <w:r w:rsidRPr="5E0CCDD2" w:rsidR="00613AEA">
        <w:rPr>
          <w:rFonts w:ascii="Calibri" w:hAnsi="Calibri" w:eastAsia="Times New Roman" w:cs="Calibri"/>
          <w:sz w:val="22"/>
          <w:szCs w:val="22"/>
        </w:rPr>
        <w:t xml:space="preserve"> and in Ireland by excess deaths in females</w:t>
      </w:r>
      <w:r w:rsidRPr="5E0CCDD2">
        <w:rPr>
          <w:rFonts w:ascii="Calibri" w:hAnsi="Calibri" w:eastAsia="Times New Roman" w:cs="Calibri"/>
          <w:sz w:val="22"/>
          <w:szCs w:val="22"/>
        </w:rPr>
        <w:t xml:space="preserve">. On the other hand, we show that Australia, Denmark, and Georgia </w:t>
      </w:r>
      <w:proofErr w:type="gramStart"/>
      <w:r w:rsidRPr="5E0CCDD2" w:rsidR="333BECFA">
        <w:rPr>
          <w:rFonts w:ascii="Calibri" w:hAnsi="Calibri" w:eastAsia="Times New Roman" w:cs="Calibri"/>
          <w:sz w:val="22"/>
          <w:szCs w:val="22"/>
        </w:rPr>
        <w:t xml:space="preserve">actually </w:t>
      </w:r>
      <w:r w:rsidRPr="5E0CCDD2">
        <w:rPr>
          <w:rFonts w:ascii="Calibri" w:hAnsi="Calibri" w:eastAsia="Times New Roman" w:cs="Calibri"/>
          <w:sz w:val="22"/>
          <w:szCs w:val="22"/>
        </w:rPr>
        <w:t>experienced</w:t>
      </w:r>
      <w:proofErr w:type="gramEnd"/>
      <w:r w:rsidRPr="5E0CCDD2">
        <w:rPr>
          <w:rFonts w:ascii="Calibri" w:hAnsi="Calibri" w:eastAsia="Times New Roman" w:cs="Calibri"/>
          <w:sz w:val="22"/>
          <w:szCs w:val="22"/>
        </w:rPr>
        <w:t xml:space="preserve"> a decrease in </w:t>
      </w:r>
      <w:r w:rsidRPr="5E0CCDD2" w:rsidR="0073001E">
        <w:rPr>
          <w:rFonts w:ascii="Calibri" w:hAnsi="Calibri" w:eastAsia="Times New Roman" w:cs="Calibri"/>
          <w:sz w:val="22"/>
          <w:szCs w:val="22"/>
        </w:rPr>
        <w:t>deaths</w:t>
      </w:r>
      <w:r w:rsidRPr="5E0CCDD2">
        <w:rPr>
          <w:rFonts w:ascii="Calibri" w:hAnsi="Calibri" w:eastAsia="Times New Roman" w:cs="Calibri"/>
          <w:sz w:val="22"/>
          <w:szCs w:val="22"/>
        </w:rPr>
        <w:t xml:space="preserve"> in 2020 among males and females combined. </w:t>
      </w:r>
      <w:r w:rsidRPr="5E0CCDD2" w:rsidR="003936C8">
        <w:rPr>
          <w:rFonts w:ascii="Calibri" w:hAnsi="Calibri" w:eastAsia="Times New Roman" w:cs="Calibri"/>
          <w:sz w:val="22"/>
          <w:szCs w:val="22"/>
        </w:rPr>
        <w:t>Austria, Cyprus,</w:t>
      </w:r>
      <w:r w:rsidRPr="5E0CCDD2">
        <w:rPr>
          <w:rFonts w:ascii="Calibri" w:hAnsi="Calibri" w:eastAsia="Times New Roman" w:cs="Calibri"/>
          <w:sz w:val="22"/>
          <w:szCs w:val="22"/>
        </w:rPr>
        <w:t xml:space="preserve"> Ireland, Israel, Norway, Slovenia, Ukraine, Cape </w:t>
      </w:r>
      <w:proofErr w:type="gramStart"/>
      <w:r w:rsidRPr="5E0CCDD2">
        <w:rPr>
          <w:rFonts w:ascii="Calibri" w:hAnsi="Calibri" w:eastAsia="Times New Roman" w:cs="Calibri"/>
          <w:sz w:val="22"/>
          <w:szCs w:val="22"/>
        </w:rPr>
        <w:t>Verde</w:t>
      </w:r>
      <w:proofErr w:type="gramEnd"/>
      <w:r w:rsidRPr="5E0CCDD2">
        <w:rPr>
          <w:rFonts w:ascii="Calibri" w:hAnsi="Calibri" w:eastAsia="Times New Roman" w:cs="Calibri"/>
          <w:sz w:val="22"/>
          <w:szCs w:val="22"/>
        </w:rPr>
        <w:t xml:space="preserve"> and Colombia experienced no</w:t>
      </w:r>
      <w:r w:rsidRPr="5E0CCDD2" w:rsidR="0B8CCC1A">
        <w:rPr>
          <w:rFonts w:ascii="Calibri" w:hAnsi="Calibri" w:eastAsia="Times New Roman" w:cs="Calibri"/>
          <w:sz w:val="22"/>
          <w:szCs w:val="22"/>
        </w:rPr>
        <w:t>ne</w:t>
      </w:r>
      <w:r w:rsidRPr="5E0CCDD2">
        <w:rPr>
          <w:rFonts w:ascii="Calibri" w:hAnsi="Calibri" w:eastAsia="Times New Roman" w:cs="Calibri"/>
          <w:sz w:val="22"/>
          <w:szCs w:val="22"/>
        </w:rPr>
        <w:t xml:space="preserve"> or only very limited excess </w:t>
      </w:r>
      <w:r w:rsidRPr="5E0CCDD2" w:rsidR="0073001E">
        <w:rPr>
          <w:rFonts w:ascii="Calibri" w:hAnsi="Calibri" w:eastAsia="Times New Roman" w:cs="Calibri"/>
          <w:sz w:val="22"/>
          <w:szCs w:val="22"/>
        </w:rPr>
        <w:t>deaths</w:t>
      </w:r>
      <w:r w:rsidRPr="5E0CCDD2">
        <w:rPr>
          <w:rFonts w:ascii="Calibri" w:hAnsi="Calibri" w:eastAsia="Times New Roman" w:cs="Calibri"/>
          <w:sz w:val="22"/>
          <w:szCs w:val="22"/>
        </w:rPr>
        <w:t xml:space="preserve"> among males and females combined.</w:t>
      </w:r>
    </w:p>
    <w:p w:rsidRPr="00BF0D9C" w:rsidR="00B11336" w:rsidP="00BF0D9C" w:rsidRDefault="00B11336" w14:paraId="66EB5FC2" w14:textId="46657C83">
      <w:pPr>
        <w:pStyle w:val="CommentText"/>
        <w:spacing w:line="480" w:lineRule="auto"/>
        <w:rPr>
          <w:rFonts w:ascii="Calibri" w:hAnsi="Calibri" w:eastAsia="Times New Roman" w:cs="Calibri"/>
        </w:rPr>
      </w:pPr>
      <w:r w:rsidRPr="00BF0D9C">
        <w:rPr>
          <w:rFonts w:ascii="Calibri" w:hAnsi="Calibri" w:eastAsia="Times New Roman" w:cs="Calibri"/>
          <w:sz w:val="22"/>
          <w:szCs w:val="22"/>
        </w:rPr>
        <w:t xml:space="preserve">Our findings on excess mortality in Brazil, France, Italy, Spain, Sweden, </w:t>
      </w:r>
      <w:r w:rsidRPr="00BF0D9C" w:rsidR="00236F03">
        <w:rPr>
          <w:sz w:val="22"/>
          <w:szCs w:val="22"/>
        </w:rPr>
        <w:t xml:space="preserve">UK (England &amp; Wales, North Ireland, Scotland) </w:t>
      </w:r>
      <w:r w:rsidRPr="00BF0D9C">
        <w:rPr>
          <w:rFonts w:ascii="Calibri" w:hAnsi="Calibri" w:eastAsia="Times New Roman" w:cs="Calibri"/>
          <w:sz w:val="22"/>
          <w:szCs w:val="22"/>
        </w:rPr>
        <w:t>and the USA are in agreement with previous publications and reports</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{"citationID":"3EK1wrHg","properties":{"formattedCitation":"\\super 2,3,5\\uc0\\u8211{}8,10,11,13,32,33\\nosupersub{}","plainCitation":"2,3,5–8,10,11,13,32,33","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6391,"uris":["http://zotero.org/users/384481/items/4LVJ5RYM"],"uri":["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6401,"uris":["http://zotero.org/users/384481/items/GF8RXQWZ"],"uri":["http://zotero.org/users/384481/items/GF8RXQWZ"],"itemData":{"id":6401,"type":"article-journal","abstract":"AbstractBackground. Sweden has one of the highest numbers of COVID-19 deaths per inhabitant globally. However, absolute death counts can be misleading. Estimati","container-title":"European Journal of Public Health","DOI":"10.1093/eurpub/ckaa218","journalAbbreviation":"Eur J Public Health","language":"en","source":"academic.oup.com","title":"EXCESS MORTALITY FROM COVID-19. WEEKLY EXCESS DEATH RATES BY AGE AND SEX FOR SWEDEN AND ITS MOST AFFECTED REGION","URL":"https://academic.oup.com/eurpub/advance-article/doi/10.1093/eurpub/ckaa218/5968985","author":[{"family":"Modig","given":"Karin"},{"family":"Ahlbom","given":"Anders"},{"family":"Ebeling","given":"Marcus"}],"accessed":{"date-parts":[["2020",11,20]]}}},{"id":6406,"uris":["http://zotero.org/users/384481/items/TXWDDVP4"],"uri":["http://zotero.org/users/384481/items/TXWDDVP4"],"itemData":{"id":6406,"type":"report","event-place":"United Kingdom","publisher":"Office for National Statistics","publisher-place":"United Kingdom","title":"Comparisons of all-cause mortality between European countries and regions: January to June 2020","URL":"https://www.ons.gov.uk/peoplepopulationandcommunity/birthsdeathsandmarriages/deaths/articles/comparisonsofallcausemortalitybetweeneuropeancountriesandregions/januarytojune2020#toc","author":[{"family":"Campbell","given":"Annie"},{"family":"Morgan","given":"Edward"}],"accessed":{"date-parts":[["2020",11,20]]},"issued":{"date-parts":[["2020",7,30]]}}},{"id":6414,"uris":["http://zotero.org/users/384481/items/IGCHGD9S"],"uri":["http://zotero.org/users/384481/items/IGCHGD9S"],"itemData":{"id":6414,"type":"article-journal","abstract":"In this study we present the first comprehensive analysis of the spatio-temporal differences in excess mortality during the COVID-19 pandemic in Italy. We used a population-based design on all-cause mortality data, for the 7,904 Italian municipalities. We estimated sex-specific weekly mortality rates for each municipality, based on the first four months of 2016–2019, while adjusting for age, localised temporal trends and the effect of temperature. Then, we predicted all-cause weekly deaths and mortality rates at municipality level for the same period in 2020, based on the modelled spatio-temporal trends. Lombardia showed higher mortality rates than expected from the end of February, with 23,946 (23,013 to 24,786) total excess deaths. North-West and North-East regions showed one week lag, with higher mortality from the beginning of March and 6,942 (6,142 to 7,667) and 8,033 (7,061 to 9,044) total excess deaths respectively. We observed marked geographical differences also at municipality level. For males, the city of Bergamo (Lombardia) showed the largest percent excess, 88.9% (81.9% to 95.2%), at the peak of the pandemic. An excess of 84.2% (73.8% to 93.4%) was also estimated at the same time for males in the city of Pesaro (Central Italy), in stark contrast with the rest of the region, which does not show evidence of excess deaths. We provided a fully probabilistic analysis of excess mortality during the COVID-19 pandemic at sub-national level, suggesting a differential direct and indirect effect in space and time. Our model can be used to help policy-makers target measures locally to contain the burden on the health-care system as well as reducing social and economic consequences. Additionally, this framework can be used for real-time mortality surveillance, continuous monitoring of local temporal trends and to flag where and when mortality rates deviate from the expected range, which might suggest a second wave of the pandemic.","container-title":"PLOS ONE","DOI":"10.1371/journal.pone.0240286","ISSN":"1932-6203","issue":"10","journalAbbreviation":"PLOS ONE","language":"en","note":"publisher: Public Library of Science","page":"e0240286","source":"PLoS Journals","title":"Estimating weekly excess mortality at sub-national level in Italy during the COVID-19 pandemic","volume":"15","author":[{"family":"Blangiardo","given":"Marta"},{"family":"Cameletti","given":"Michela"},{"family":"Pirani","given":"Monica"},{"family":"Corsetti","given":"Gianni"},{"family":"Battaglini","given":"Marco"},{"family":"Baio","given":"Gianluca"}],"issued":{"date-parts":[["2020",10,9]]}}},{"id":6411,"uris":["http://zotero.org/users/384481/items/4NJSMQYM"],"uri":["http://zotero.org/users/384481/items/4NJSMQYM"],"itemData":{"id":6411,"type":"article-journal","abstract":"Through a weekly all-cause mortality surveillance system, we observed in France a major all-cause excess mortality from March to May 2020, concomitant with the coronavirus disease (COVID-19) epidemic. The excess mortality was 25,030 deaths, mainly among elderly people. Five metropolitan regions were the most affected, particularly Île-de-France and the Grand-Est regions. Assessing the excess mortality related to COVID-19 is complex because of the potential protective effect of the lockdown period on other causes of mortality.","container-title":"Eurosurveillance","DOI":"10.2807/1560-7917.ES.2020.25.34.2001485","ISSN":"1560-7917","issue":"34","language":"en","note":"publisher: European Centre for Disease Prevention and Control","page":"2001485","source":"www.eurosurveillance.org","title":"Excess all-cause mortality during the first wave of the COVID-19 epidemic in France, March to May 2020","volume":"25","author":[{"family":"Fouillet","given":"Anne"},{"family":"Pontais","given":"Isabelle"},{"family":"Caserio-Schönemann","given":"Céline"}],"issued":{"date-parts":[["2020",8,27]]}}},{"id":6371,"uris":["http://zotero.org/users/384481/items/9ANN9B94"],"uri":["http://zotero.org/users/384481/items/9ANN9B94"],"itemData":{"id":6371,"type":"article-journal","container-title":"JAMA","DOI":"10.1001/jama.2020.19545","ISSN":"0098-7484","issue":"15","journalAbbreviation":"JAMA","language":"en","page":"1562","source":"DOI.org (Crossref)","title":"Excess Deaths From COVID-19 and Other Causes, March-July 2020","volume":"324","author":[{"family":"Woolf","given":"Steven H."},{"family":"Chapman","given":"Derek A."},{"family":"Sabo","given":"Roy T."},{"family":"Weinberger","given":"Daniel M."},{"family":"Hill","given":"Latoya"},{"family":"Taylor","given":"DaShaunda D. H."}],"issued":{"date-parts":[["2020",10,20]]}}},{"id":6520,"uris":["http://zotero.org/users/384481/items/UUFGZR7Q"],"uri":["http://zotero.org/users/384481/items/UUFGZR7Q"],"itemData":{"id":6520,"type":"webpage","abstract":"The FT analyses the scale of outbreaks and the number of deaths around the world","language":"en-GB","title":"Coronavirus tracker: the latest figures as countries fight Covid-19 resurgence | Free to read","title-short":"Coronavirus tracker","URL":"https://www.ft.com/content/a2901ce8-5eb7-4633-b89c-cbdf5b386938","author":[{"family":"Madsen","given":"William"},{"family":"Kao","given":"Joanna S."},{"family":"Burn-Murdoch","given":"John"},{"family":"Smith","given":"Alan"},{"family":"Klasa","given":"Adrienne"},{"family":"Blood","given":"David"},{"family":"Wisniewska","given":"Aleksandra"},{"family":"Harlow","given":"Max"},{"family":"Elliott","given":"Oliver"},{"family":"Tilford","given":"Cale"},{"family":"Stabe","given":"Martin"}],"accessed":{"date-parts":[["2020",12,17]]},"issued":{"date-parts":[["2020",12,15]]}}},{"id":6518,"uris":["http://zotero.org/users/384481/items/KWTT8XUK"],"uri":["http://zotero.org/users/384481/items/KWTT8XUK"],"itemData":{"id":6518,"type":"article-magazine","abstract":"In many parts of the world, official death tolls undercount the total number of fatalities","container-title":"The Economist","ISSN":"0013-0613","source":"The Economist","title":"Tracking covid-19 excess deaths across countries","URL":"https://www.economist.com/graphic-detail/2020/07/15/tracking-covid-19-excess-deaths-across-countries","accessed":{"date-parts":[["2020",12,17]]},"issued":{"date-parts":[["2020",7,15]]}}}],"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2,3,5–8,10,11,13,32,33</w:t>
      </w:r>
      <w:r w:rsidRPr="00BF0D9C">
        <w:rPr>
          <w:rFonts w:ascii="Calibri" w:hAnsi="Calibri" w:eastAsia="Times New Roman" w:cs="Calibri"/>
        </w:rPr>
        <w:fldChar w:fldCharType="end"/>
      </w:r>
      <w:r w:rsidRPr="00BF0D9C">
        <w:rPr>
          <w:rFonts w:ascii="Calibri" w:hAnsi="Calibri" w:eastAsia="Times New Roman" w:cs="Calibri"/>
          <w:sz w:val="22"/>
          <w:szCs w:val="22"/>
        </w:rPr>
        <w:t xml:space="preserve">. </w:t>
      </w:r>
      <w:r w:rsidRPr="00BF0D9C" w:rsidR="00236F03">
        <w:rPr>
          <w:rFonts w:ascii="Calibri" w:hAnsi="Calibri" w:eastAsia="Times New Roman" w:cs="Calibri"/>
          <w:sz w:val="22"/>
          <w:szCs w:val="22"/>
        </w:rPr>
        <w:t>Similarly</w:t>
      </w:r>
      <w:r w:rsidRPr="00BF0D9C">
        <w:rPr>
          <w:rFonts w:ascii="Calibri" w:hAnsi="Calibri" w:eastAsia="Times New Roman" w:cs="Calibri"/>
          <w:sz w:val="22"/>
          <w:szCs w:val="22"/>
        </w:rPr>
        <w:t>, the lack of a</w:t>
      </w:r>
      <w:r w:rsidR="000709EF">
        <w:rPr>
          <w:rFonts w:ascii="Calibri" w:hAnsi="Calibri" w:eastAsia="Times New Roman" w:cs="Calibri"/>
          <w:sz w:val="22"/>
          <w:szCs w:val="22"/>
        </w:rPr>
        <w:t>n</w:t>
      </w:r>
      <w:r w:rsidRPr="00BF0D9C">
        <w:rPr>
          <w:rFonts w:ascii="Calibri" w:hAnsi="Calibri" w:eastAsia="Times New Roman" w:cs="Calibri"/>
          <w:sz w:val="22"/>
          <w:szCs w:val="22"/>
        </w:rPr>
        <w:t xml:space="preserve"> increase in overall all-cause mortality in Australia, Austria, Denmark, Estonia, Israel and Norway was in agreement with previous reports</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{"citationID":"LjhVGmhN","properties":{"formattedCitation":"\\super 2,3,32\\uc0\\u8211{}34\\nosupersub{}","plainCitation":"2,3,32–34","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D."},{"family":"Ezzati","given":"Majid"}],"issued":{"date-parts":[["2020",10,14]]}}},{"id":6398,"uris":["http://zotero.org/users/384481/items/8LB8G66L"],"uri":["http://zotero.org/users/384481/items/8LB8G66L"],"itemData":{"id":6398,"type":"article-journal","abstract":"A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6520,"uris":["http://zotero.org/users/384481/items/UUFGZR7Q"],"uri":["http://zotero.org/users/384481/items/UUFGZR7Q"],"itemData":{"id":6520,"type":"webpage","abstract":"The FT analyses the scale of outbreaks and the number of deaths around the world","language":"en-GB","title":"Coronavirus tracker: the latest figures as countries fight Covid-19 resurgence | Free to read","title-short":"Coronavirus tracker","URL":"https://www.ft.com/content/a2901ce8-5eb7-4633-b89c-cbdf5b386938","author":[{"family":"Madsen","given":"William"},{"family":"Kao","given":"Joanna S."},{"family":"Burn-Murdoch","given":"John"},{"family":"Smith","given":"Alan"},{"family":"Klasa","given":"Adrienne"},{"family":"Blood","given":"David"},{"family":"Wisniewska","given":"Aleksandra"},{"family":"Harlow","given":"Max"},{"family":"Elliott","given":"Oliver"},{"family":"Tilford","given":"Cale"},{"family":"Stabe","given":"Martin"}],"accessed":{"date-parts":[["2020",12,17]]},"issued":{"date-parts":[["2020",12,15]]}}},{"id":6518,"uris":["http://zotero.org/users/384481/items/KWTT8XUK"],"uri":["http://zotero.org/users/384481/items/KWTT8XUK"],"itemData":{"id":6518,"type":"article-magazine","abstract":"In many parts of the world, official death tolls undercount the total number of fatalities","container-title":"The Economist","ISSN":"0013-0613","source":"The Economist","title":"Tracking covid-19 excess deaths across countries","URL":"https://www.economist.com/graphic-detail/2020/07/15/tracking-covid-19-excess-deaths-across-countries","accessed":{"date-parts":[["2020",12,17]]},"issued":{"date-parts":[["2020",7,15]]}}},{"id":6468,"uris":["http://zotero.org/users/384481/items/JVPPRUWF"],"uri":["http://zotero.org/users/384481/items/JVPPRUWF"],"itemData":{"id":6468,"type":"article-journal","abstract":"The first case of COVID-19 was confirmed in Israel on February 21, 2020. Within approximately 30 days, the total number of confirmed cases climbed up to 1, 000, accompanied by a doubling period of less than 3 days. About one week later, after this number exceeded 4, 000 cases, and following some extreme lockdown measures taken by the Israeli government, the daily infection rate started a sharp decrease from the peak value of 1, 131 down to slightly more than 100 new confirmed cases on April 30. Motivated by this encouraging data, similar to the trends observed in many other countries, along with the growing economic pressures, the Israeli government has quickly lifted most of its emergency regulations. Throughout May, the daily number of new cases stayed at a very low level of 20–40 until at the end of May it started a steady increase, exceeding 1, 000 by the end of June and 2, 000 on July 22. As suggested by some experts and popular media, this disturbing trend may be even a part of a “second wave”. This article attempts to analyze the data available on Israel at the end of July 2020, compared to three European countries (Greece, Italy, and Sweden), in order to understand the local dynamics of COVID-19, assess the effect of the implemented intervention measures, and discuss some plausible scenarios for the foreseeable future.","container-title":"PLOS ONE","DOI":"10.1371/journal.pone.0240393","ISSN":"1932-6203","issue":"10","journalAbbreviation":"PLOS ONE","language":"en","note":"publisher: Public Library of Science","page":"e0240393","source":"PLoS Journals","title":"The first wave of COVID-19 in Israel—Initial analysis of publicly available data","volume":"15","author":[{"family":"Last","given":"Mark"}],"issued":{"date-parts":[["2020",10,29]]}}}],"schema":"https://github.com/citation-style-language/schema/raw/master/csl-citation.json"}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2,3,32–34</w:t>
      </w:r>
      <w:r w:rsidRPr="00BF0D9C">
        <w:rPr>
          <w:rFonts w:ascii="Calibri" w:hAnsi="Calibri" w:eastAsia="Times New Roman" w:cs="Calibri"/>
        </w:rPr>
        <w:fldChar w:fldCharType="end"/>
      </w:r>
      <w:r w:rsidRPr="00BF0D9C">
        <w:rPr>
          <w:rFonts w:ascii="Calibri" w:hAnsi="Calibri" w:eastAsia="Times New Roman" w:cs="Calibri"/>
          <w:sz w:val="22"/>
          <w:szCs w:val="22"/>
        </w:rPr>
        <w:t>. Colombia was elsewhere demonstrated to have excess mortality during 2020</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{"citationID":"TleYcOe2","properties":{"formattedCitation":"\\super 35\\nosupersub{}","plainCitation":"35","noteIndex":0},"citationItems":[{"id":6465,"uris":["http://zotero.org/users/384481/items/CVIHPHNX"],"uri":["http://zotero.org/users/384481/items/CVIHPHNX"],"itemData":{"id":6465,"type":"article-journal","abstract":"&lt;p&gt;National predictions of the course of COVID mortality can be used to plan for effective healthcare responses as well as to support COVID policymaking. We developed the Global COVID Assessment of Mortality (GCAM), a statistical model with continually improving precision that combines actual mortality counts with Bayesian inference, to predict COVID trends, currently until December 1, 2020. In Colombia, the GCAM analysis found the peak of COVID mortality around August 12 and an expected total of COVID deaths of 24,000-31,000, or 48%-92% over the total through August 21. In Peru, a first mortality peak occurred around May 24, and given the current trajectory, a second peak is predicted around September 6. Peru can expect 29,000-43,000 COVID deaths, representing an increase of 7%-55% over COVID deaths through August 21. GCAM projections are also used to estimate medical surge capacity needs. To gauge the reliability of COVID mortality forecasts, we compared all-cause mortality from January through June 2020 with average all-cause mortality in previous years in Colombia and Peru, and found that the excesses were consistent with GCAM forecast, most notably a doubling of overall mortality from May 25-June 7th of weeks in Peru. The GCAM results predict that as a percentage of all adult deaths in previous years, Colombia can expect about 13% excess from COVID deaths, whereas Peru can expect 34% excess. Comparisons of GCAM analyses of several other countries with Colombia and Peru demonstrate the extreme variability that characterizes COVID mortality around the world, emphasizing the need for country-specific analyses and ongoing monitoring as more mortality data become available.&lt;/p&gt;","container-title":"medRxiv","DOI":"10.1101/2020.08.24.20181016","language":"en","note":"publisher: Cold Spring Harbor Laboratory Press","page":"2020.08.24.20181016","source":"www.medrxiv.org","title":"Mortality from COVID in Colombia and Peru: Analyses of Mortality Data and Statistical Forecasts","title-short":"Mortality from COVID in Colombia and Peru","author":[{"family":"Brown","given":"Patrick E."},{"family":"Greenwald","given":"Zoë R."},{"family":"Salinas","given":"Luis Ernesto"},{"family":"Martens","given":"Gabriel Aguirre"},{"family":"Newcombe","given":"Leslie"},{"family":"Gelband","given":"Hellen"},{"family":"Veillard","given":"Jeremy"},{"family":"Jha","given":"Prabhat"}],"issued":{"date-parts":[["2020",11,16]]}}}],"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35</w:t>
      </w:r>
      <w:r w:rsidRPr="00BF0D9C">
        <w:rPr>
          <w:rFonts w:ascii="Calibri" w:hAnsi="Calibri" w:eastAsia="Times New Roman" w:cs="Calibri"/>
        </w:rPr>
        <w:fldChar w:fldCharType="end"/>
      </w:r>
      <w:r w:rsidRPr="00BF0D9C">
        <w:rPr>
          <w:rFonts w:ascii="Calibri" w:hAnsi="Calibri" w:eastAsia="Times New Roman" w:cs="Calibri"/>
          <w:sz w:val="22"/>
          <w:szCs w:val="22"/>
        </w:rPr>
        <w:t xml:space="preserve">, but the increase in mortality started towards the end of the observation period of Colombia for this </w:t>
      </w:r>
      <w:r w:rsidR="000709EF">
        <w:rPr>
          <w:rFonts w:ascii="Calibri" w:hAnsi="Calibri" w:eastAsia="Times New Roman" w:cs="Calibri"/>
          <w:sz w:val="22"/>
          <w:szCs w:val="22"/>
        </w:rPr>
        <w:t xml:space="preserve">study, explaining the lack of an </w:t>
      </w:r>
      <w:r w:rsidRPr="00BF0D9C">
        <w:rPr>
          <w:rFonts w:ascii="Calibri" w:hAnsi="Calibri" w:eastAsia="Times New Roman" w:cs="Calibri"/>
          <w:sz w:val="22"/>
          <w:szCs w:val="22"/>
        </w:rPr>
        <w:t xml:space="preserve">increase in our results. To our knowledge, this is the first published analysis on excess mortality in Cyprus, Georgia, Ireland, Slovenia, Ukraine, and Cape Verde. </w:t>
      </w:r>
    </w:p>
    <w:p w:rsidRPr="00BF0D9C" w:rsidR="00751F0E" w:rsidP="55E9D2D9" w:rsidRDefault="00C3337F" w14:paraId="71166655" w14:textId="6E5C0515">
      <w:pPr>
        <w:spacing w:line="480" w:lineRule="auto"/>
        <w:contextualSpacing/>
        <w:rPr>
          <w:i/>
          <w:iCs/>
        </w:rPr>
      </w:pPr>
      <w:r w:rsidRPr="55E9D2D9">
        <w:rPr>
          <w:i/>
          <w:iCs/>
        </w:rPr>
        <w:t>Mortality burden across countries</w:t>
      </w:r>
    </w:p>
    <w:p w:rsidRPr="000506F1" w:rsidR="00B11336" w:rsidP="7312A2DD" w:rsidRDefault="68D3FD91" w14:paraId="537C0744" w14:textId="3D60AB01">
      <w:pPr>
        <w:spacing w:line="480" w:lineRule="auto"/>
        <w:jc w:val="both"/>
        <w:rPr>
          <w:rFonts w:eastAsiaTheme="minorEastAsia"/>
          <w:color w:val="333333"/>
        </w:rPr>
      </w:pPr>
      <w:r w:rsidRPr="000506F1">
        <w:rPr>
          <w:rFonts w:eastAsiaTheme="minorEastAsia"/>
          <w:color w:val="333333"/>
        </w:rPr>
        <w:t xml:space="preserve">In </w:t>
      </w:r>
      <w:r w:rsidRPr="000506F1" w:rsidR="5F9A13D5">
        <w:rPr>
          <w:rFonts w:eastAsiaTheme="minorEastAsia"/>
          <w:color w:val="333333"/>
        </w:rPr>
        <w:t xml:space="preserve">several </w:t>
      </w:r>
      <w:r w:rsidRPr="000506F1" w:rsidR="7833BD64">
        <w:rPr>
          <w:rFonts w:eastAsiaTheme="minorEastAsia"/>
          <w:color w:val="333333"/>
        </w:rPr>
        <w:t>of the</w:t>
      </w:r>
      <w:r w:rsidRPr="000506F1">
        <w:rPr>
          <w:rFonts w:eastAsiaTheme="minorEastAsia"/>
          <w:color w:val="333333"/>
        </w:rPr>
        <w:t xml:space="preserve"> participating countries</w:t>
      </w:r>
      <w:r w:rsidRPr="000506F1" w:rsidR="1FE31D60">
        <w:rPr>
          <w:rFonts w:eastAsiaTheme="minorEastAsia"/>
          <w:color w:val="333333"/>
        </w:rPr>
        <w:t xml:space="preserve">, </w:t>
      </w:r>
      <w:r w:rsidRPr="000506F1" w:rsidR="6F0B6B84">
        <w:rPr>
          <w:rFonts w:eastAsiaTheme="minorEastAsia"/>
          <w:color w:val="333333"/>
        </w:rPr>
        <w:t xml:space="preserve">moderate and high stringency control measures </w:t>
      </w:r>
      <w:r w:rsidRPr="000506F1" w:rsidR="1FE31D60">
        <w:rPr>
          <w:rFonts w:eastAsiaTheme="minorEastAsia"/>
          <w:color w:val="333333"/>
        </w:rPr>
        <w:t>were first put in place on the same week or one week after the first reported COVID-19 deaths.</w:t>
      </w:r>
      <w:r w:rsidRPr="000506F1">
        <w:rPr>
          <w:rFonts w:eastAsiaTheme="minorEastAsia"/>
          <w:color w:val="333333"/>
        </w:rPr>
        <w:t xml:space="preserve"> </w:t>
      </w:r>
      <w:r w:rsidRPr="000506F1" w:rsidR="01C6826E">
        <w:rPr>
          <w:rFonts w:eastAsiaTheme="minorEastAsia"/>
          <w:color w:val="333333"/>
        </w:rPr>
        <w:t>O</w:t>
      </w:r>
      <w:r w:rsidRPr="000506F1" w:rsidR="1ADD5B71">
        <w:rPr>
          <w:rFonts w:eastAsiaTheme="minorEastAsia"/>
          <w:color w:val="333333"/>
        </w:rPr>
        <w:t>ther countries</w:t>
      </w:r>
      <w:r w:rsidRPr="000506F1" w:rsidR="6B3DDEC7">
        <w:rPr>
          <w:rFonts w:eastAsiaTheme="minorEastAsia"/>
          <w:color w:val="333333"/>
        </w:rPr>
        <w:t xml:space="preserve"> </w:t>
      </w:r>
      <w:r w:rsidRPr="000506F1" w:rsidR="02F6D44A">
        <w:rPr>
          <w:rFonts w:eastAsiaTheme="minorEastAsia"/>
          <w:color w:val="333333"/>
        </w:rPr>
        <w:t xml:space="preserve">implemented </w:t>
      </w:r>
      <w:r w:rsidRPr="000506F1" w:rsidR="1C0D7971">
        <w:rPr>
          <w:rFonts w:eastAsiaTheme="minorEastAsia"/>
          <w:color w:val="333333"/>
        </w:rPr>
        <w:t xml:space="preserve">such measures </w:t>
      </w:r>
      <w:r w:rsidRPr="000506F1" w:rsidR="02F6D44A">
        <w:rPr>
          <w:rFonts w:eastAsiaTheme="minorEastAsia"/>
          <w:color w:val="333333"/>
        </w:rPr>
        <w:t xml:space="preserve">ahead of the peak of the </w:t>
      </w:r>
      <w:r w:rsidRPr="000506F1" w:rsidR="51382A13">
        <w:rPr>
          <w:rFonts w:eastAsiaTheme="minorEastAsia"/>
          <w:color w:val="333333"/>
        </w:rPr>
        <w:t>pan</w:t>
      </w:r>
      <w:r w:rsidRPr="000506F1" w:rsidR="02F6D44A">
        <w:rPr>
          <w:rFonts w:eastAsiaTheme="minorEastAsia"/>
          <w:color w:val="333333"/>
        </w:rPr>
        <w:t xml:space="preserve">demic. </w:t>
      </w:r>
      <w:r w:rsidRPr="000506F1" w:rsidR="3CD581D4">
        <w:rPr>
          <w:rFonts w:eastAsiaTheme="minorEastAsia"/>
          <w:color w:val="333333"/>
        </w:rPr>
        <w:t xml:space="preserve">Still, in some countries strict control measures were either applied with delay or </w:t>
      </w:r>
      <w:r w:rsidRPr="000506F1" w:rsidR="3B4CA496">
        <w:rPr>
          <w:rFonts w:eastAsiaTheme="minorEastAsia"/>
          <w:color w:val="333333"/>
        </w:rPr>
        <w:t>not applied at all.</w:t>
      </w:r>
      <w:r w:rsidRPr="000506F1" w:rsidR="2C4643F5">
        <w:rPr>
          <w:rFonts w:eastAsiaTheme="minorEastAsia"/>
          <w:color w:val="333333"/>
        </w:rPr>
        <w:t xml:space="preserve"> </w:t>
      </w:r>
      <w:r w:rsidRPr="000506F1" w:rsidR="48DBD849">
        <w:rPr>
          <w:rFonts w:eastAsiaTheme="minorEastAsia"/>
          <w:color w:val="333333"/>
        </w:rPr>
        <w:t>As discussed below, t</w:t>
      </w:r>
      <w:r w:rsidRPr="000506F1" w:rsidR="754E2E34">
        <w:rPr>
          <w:rFonts w:eastAsiaTheme="minorEastAsia"/>
          <w:color w:val="333333"/>
        </w:rPr>
        <w:t xml:space="preserve">he mortality </w:t>
      </w:r>
      <w:r w:rsidRPr="000506F1" w:rsidR="754E2E34">
        <w:rPr>
          <w:rFonts w:eastAsiaTheme="minorEastAsia"/>
          <w:color w:val="333333"/>
        </w:rPr>
        <w:lastRenderedPageBreak/>
        <w:t>burden observed in the participating countries of this study, seems to be</w:t>
      </w:r>
      <w:r w:rsidRPr="000506F1" w:rsidR="349946F9">
        <w:rPr>
          <w:rFonts w:eastAsiaTheme="minorEastAsia"/>
          <w:color w:val="333333"/>
        </w:rPr>
        <w:t>, at least partly,</w:t>
      </w:r>
      <w:r w:rsidRPr="000506F1" w:rsidR="754E2E34">
        <w:rPr>
          <w:rFonts w:eastAsiaTheme="minorEastAsia"/>
          <w:color w:val="333333"/>
        </w:rPr>
        <w:t xml:space="preserve"> related to the promptness in the application of control measures of high SI.</w:t>
      </w:r>
    </w:p>
    <w:p w:rsidRPr="00BF0D9C" w:rsidR="00B11336" w:rsidP="55E9D2D9" w:rsidRDefault="543DA81A" w14:paraId="28C7B707" w14:textId="75B3C730">
      <w:pPr>
        <w:spacing w:line="480" w:lineRule="auto"/>
        <w:jc w:val="both"/>
        <w:rPr>
          <w:rFonts w:ascii="Calibri" w:hAnsi="Calibri" w:eastAsia="Times New Roman" w:cs="Calibri"/>
        </w:rPr>
      </w:pPr>
      <w:r w:rsidRPr="5E0CCDD2">
        <w:rPr>
          <w:rFonts w:ascii="Calibri" w:hAnsi="Calibri" w:eastAsia="Times New Roman" w:cs="Calibri"/>
        </w:rPr>
        <w:t xml:space="preserve">The magnitude of excess mortality observed in Brazil, France, Italy, Spain, Sweden, </w:t>
      </w:r>
      <w:proofErr w:type="gramStart"/>
      <w:r w:rsidRPr="5E0CCDD2">
        <w:rPr>
          <w:rFonts w:ascii="Calibri" w:hAnsi="Calibri" w:eastAsia="Times New Roman" w:cs="Calibri"/>
        </w:rPr>
        <w:t>UK</w:t>
      </w:r>
      <w:proofErr w:type="gramEnd"/>
      <w:r w:rsidRPr="5E0CCDD2">
        <w:rPr>
          <w:rFonts w:ascii="Calibri" w:hAnsi="Calibri" w:eastAsia="Times New Roman" w:cs="Calibri"/>
        </w:rPr>
        <w:t xml:space="preserve"> and the USA </w:t>
      </w:r>
      <w:r w:rsidRPr="5E0CCDD2" w:rsidR="00C3337F">
        <w:rPr>
          <w:rFonts w:ascii="Calibri" w:hAnsi="Calibri" w:eastAsia="Times New Roman" w:cs="Calibri"/>
        </w:rPr>
        <w:t>appear</w:t>
      </w:r>
      <w:r w:rsidRPr="5E0CCDD2" w:rsidR="5816A401">
        <w:rPr>
          <w:rFonts w:ascii="Calibri" w:hAnsi="Calibri" w:eastAsia="Times New Roman" w:cs="Calibri"/>
        </w:rPr>
        <w:t>s</w:t>
      </w:r>
      <w:r w:rsidRPr="5E0CCDD2" w:rsidR="00C3337F">
        <w:rPr>
          <w:rFonts w:ascii="Calibri" w:hAnsi="Calibri" w:eastAsia="Times New Roman" w:cs="Calibri"/>
        </w:rPr>
        <w:t xml:space="preserve"> to</w:t>
      </w:r>
      <w:r w:rsidRPr="5E0CCDD2" w:rsidR="1C51AB6E">
        <w:rPr>
          <w:rFonts w:ascii="Calibri" w:hAnsi="Calibri" w:eastAsia="Times New Roman" w:cs="Calibri"/>
        </w:rPr>
        <w:t xml:space="preserve"> correspond to</w:t>
      </w:r>
      <w:r w:rsidRPr="5E0CCDD2">
        <w:rPr>
          <w:rFonts w:ascii="Calibri" w:hAnsi="Calibri" w:eastAsia="Times New Roman" w:cs="Calibri"/>
        </w:rPr>
        <w:t xml:space="preserve"> lack of</w:t>
      </w:r>
      <w:r w:rsidRPr="5E0CCDD2" w:rsidR="38396D95">
        <w:rPr>
          <w:rFonts w:ascii="Calibri" w:hAnsi="Calibri" w:eastAsia="Times New Roman" w:cs="Calibri"/>
        </w:rPr>
        <w:t>,</w:t>
      </w:r>
      <w:r w:rsidRPr="5E0CCDD2">
        <w:rPr>
          <w:rFonts w:ascii="Calibri" w:hAnsi="Calibri" w:eastAsia="Times New Roman" w:cs="Calibri"/>
        </w:rPr>
        <w:t xml:space="preserve"> or delay in</w:t>
      </w:r>
      <w:r w:rsidRPr="5E0CCDD2" w:rsidR="58B5EC5D">
        <w:rPr>
          <w:rFonts w:ascii="Calibri" w:hAnsi="Calibri" w:eastAsia="Times New Roman" w:cs="Calibri"/>
        </w:rPr>
        <w:t>,</w:t>
      </w:r>
      <w:r w:rsidRPr="5E0CCDD2">
        <w:rPr>
          <w:rFonts w:ascii="Calibri" w:hAnsi="Calibri" w:eastAsia="Times New Roman" w:cs="Calibri"/>
        </w:rPr>
        <w:t xml:space="preserve"> application of strict control measures by the respective governments after the first COVID-19 death in these countries. </w:t>
      </w:r>
      <w:r w:rsidRPr="5E0CCDD2" w:rsidR="4B425C97">
        <w:rPr>
          <w:rFonts w:ascii="Calibri" w:hAnsi="Calibri" w:eastAsia="Times New Roman" w:cs="Calibri"/>
        </w:rPr>
        <w:t xml:space="preserve">Italy, Spain, </w:t>
      </w:r>
      <w:proofErr w:type="gramStart"/>
      <w:r w:rsidRPr="5E0CCDD2" w:rsidR="4B425C97">
        <w:rPr>
          <w:rFonts w:ascii="Calibri" w:hAnsi="Calibri" w:eastAsia="Times New Roman" w:cs="Calibri"/>
        </w:rPr>
        <w:t>UK</w:t>
      </w:r>
      <w:proofErr w:type="gramEnd"/>
      <w:r w:rsidRPr="5E0CCDD2" w:rsidR="4B425C97">
        <w:rPr>
          <w:rFonts w:ascii="Calibri" w:hAnsi="Calibri" w:eastAsia="Times New Roman" w:cs="Calibri"/>
        </w:rPr>
        <w:t xml:space="preserve"> and Brazil enforced high stringency measures after </w:t>
      </w:r>
      <w:r w:rsidRPr="5E0CCDD2" w:rsidR="5D525130">
        <w:rPr>
          <w:rFonts w:ascii="Calibri" w:hAnsi="Calibri" w:eastAsia="Times New Roman" w:cs="Calibri"/>
        </w:rPr>
        <w:t>three</w:t>
      </w:r>
      <w:r w:rsidRPr="5E0CCDD2" w:rsidR="4B425C97">
        <w:rPr>
          <w:rFonts w:ascii="Calibri" w:hAnsi="Calibri" w:eastAsia="Times New Roman" w:cs="Calibri"/>
        </w:rPr>
        <w:t xml:space="preserve"> (Italy, UK), </w:t>
      </w:r>
      <w:r w:rsidRPr="5E0CCDD2" w:rsidR="5D525130">
        <w:rPr>
          <w:rFonts w:ascii="Calibri" w:hAnsi="Calibri" w:eastAsia="Times New Roman" w:cs="Calibri"/>
        </w:rPr>
        <w:t xml:space="preserve">five </w:t>
      </w:r>
      <w:r w:rsidRPr="5E0CCDD2" w:rsidR="4B425C97">
        <w:rPr>
          <w:rFonts w:ascii="Calibri" w:hAnsi="Calibri" w:eastAsia="Times New Roman" w:cs="Calibri"/>
        </w:rPr>
        <w:t xml:space="preserve">(Spain), and </w:t>
      </w:r>
      <w:r w:rsidRPr="5E0CCDD2" w:rsidR="5D525130">
        <w:rPr>
          <w:rFonts w:ascii="Calibri" w:hAnsi="Calibri" w:eastAsia="Times New Roman" w:cs="Calibri"/>
        </w:rPr>
        <w:t xml:space="preserve">seven </w:t>
      </w:r>
      <w:r w:rsidRPr="5E0CCDD2" w:rsidR="4B425C97">
        <w:rPr>
          <w:rFonts w:ascii="Calibri" w:hAnsi="Calibri" w:eastAsia="Times New Roman" w:cs="Calibri"/>
        </w:rPr>
        <w:t xml:space="preserve">(Brazil) weeks from the first COVID-19 death. </w:t>
      </w:r>
      <w:r w:rsidRPr="5E0CCDD2" w:rsidR="4AD4BCD7">
        <w:rPr>
          <w:rFonts w:ascii="Calibri" w:hAnsi="Calibri" w:eastAsia="Times New Roman" w:cs="Calibri"/>
        </w:rPr>
        <w:t>Although</w:t>
      </w:r>
      <w:r w:rsidRPr="5E0CCDD2" w:rsidR="2EC63260">
        <w:rPr>
          <w:rFonts w:ascii="Calibri" w:hAnsi="Calibri" w:eastAsia="Times New Roman" w:cs="Calibri"/>
        </w:rPr>
        <w:t xml:space="preserve"> for</w:t>
      </w:r>
      <w:r w:rsidRPr="5E0CCDD2">
        <w:rPr>
          <w:rFonts w:ascii="Calibri" w:hAnsi="Calibri" w:eastAsia="Times New Roman" w:cs="Calibri"/>
        </w:rPr>
        <w:t xml:space="preserve"> France</w:t>
      </w:r>
      <w:r w:rsidRPr="5E0CCDD2" w:rsidR="2EC63260">
        <w:rPr>
          <w:rFonts w:ascii="Calibri" w:hAnsi="Calibri" w:eastAsia="Times New Roman" w:cs="Calibri"/>
        </w:rPr>
        <w:t xml:space="preserve"> </w:t>
      </w:r>
      <w:r w:rsidRPr="5E0CCDD2" w:rsidR="4AD4BCD7">
        <w:rPr>
          <w:rFonts w:ascii="Calibri" w:hAnsi="Calibri" w:eastAsia="Times New Roman" w:cs="Calibri"/>
        </w:rPr>
        <w:t>it appears that strict measures were implemented soon after the first</w:t>
      </w:r>
      <w:r w:rsidRPr="5E0CCDD2" w:rsidR="55D666E2">
        <w:rPr>
          <w:rFonts w:ascii="Calibri" w:hAnsi="Calibri" w:eastAsia="Times New Roman" w:cs="Calibri"/>
        </w:rPr>
        <w:t xml:space="preserve"> rise of</w:t>
      </w:r>
      <w:r w:rsidRPr="5E0CCDD2" w:rsidR="4AD4BCD7">
        <w:rPr>
          <w:rFonts w:ascii="Calibri" w:hAnsi="Calibri" w:eastAsia="Times New Roman" w:cs="Calibri"/>
        </w:rPr>
        <w:t xml:space="preserve"> COVID-19 death</w:t>
      </w:r>
      <w:r w:rsidRPr="5E0CCDD2" w:rsidR="00C3337F">
        <w:rPr>
          <w:rFonts w:ascii="Calibri" w:hAnsi="Calibri" w:eastAsia="Times New Roman" w:cs="Calibri"/>
        </w:rPr>
        <w:t>s</w:t>
      </w:r>
      <w:r w:rsidRPr="5E0CCDD2" w:rsidR="4AD4BCD7">
        <w:rPr>
          <w:rFonts w:ascii="Calibri" w:hAnsi="Calibri" w:eastAsia="Times New Roman" w:cs="Calibri"/>
        </w:rPr>
        <w:t xml:space="preserve"> </w:t>
      </w:r>
      <w:r w:rsidRPr="5E0CCDD2" w:rsidR="45E43BD3">
        <w:rPr>
          <w:rFonts w:ascii="Calibri" w:hAnsi="Calibri" w:eastAsia="Times New Roman" w:cs="Calibri"/>
        </w:rPr>
        <w:t xml:space="preserve">in hospitals and nursing homes </w:t>
      </w:r>
      <w:r w:rsidRPr="5E0CCDD2" w:rsidR="4AD4BCD7">
        <w:rPr>
          <w:rFonts w:ascii="Calibri" w:hAnsi="Calibri" w:eastAsia="Times New Roman" w:cs="Calibri"/>
        </w:rPr>
        <w:t>(week 12</w:t>
      </w:r>
      <w:r w:rsidRPr="5E0CCDD2" w:rsidR="00C3337F">
        <w:rPr>
          <w:rFonts w:ascii="Calibri" w:hAnsi="Calibri" w:eastAsia="Times New Roman" w:cs="Calibri"/>
        </w:rPr>
        <w:t xml:space="preserve">) </w:t>
      </w:r>
      <w:r w:rsidRPr="5E0CCDD2">
        <w:rPr>
          <w:rFonts w:ascii="Calibri" w:hAnsi="Calibri" w:eastAsia="Times New Roman" w:cs="Calibri"/>
        </w:rPr>
        <w:t xml:space="preserve">the first COVID-19 deaths </w:t>
      </w:r>
      <w:r w:rsidRPr="5E0CCDD2" w:rsidR="4AD4BCD7">
        <w:rPr>
          <w:rFonts w:ascii="Calibri" w:hAnsi="Calibri" w:eastAsia="Times New Roman" w:cs="Calibri"/>
        </w:rPr>
        <w:t xml:space="preserve">occurred </w:t>
      </w:r>
      <w:r w:rsidRPr="5E0CCDD2" w:rsidR="325F2ACB">
        <w:rPr>
          <w:rFonts w:ascii="Calibri" w:hAnsi="Calibri" w:eastAsia="Times New Roman" w:cs="Calibri"/>
        </w:rPr>
        <w:t>mid-February</w:t>
      </w:r>
      <w:r w:rsidRPr="5E0CCDD2" w:rsidR="4AD4BCD7">
        <w:rPr>
          <w:rFonts w:ascii="Calibri" w:hAnsi="Calibri" w:eastAsia="Times New Roman" w:cs="Calibri"/>
        </w:rPr>
        <w:t xml:space="preserve"> </w:t>
      </w:r>
      <w:r w:rsidRPr="5E0CCDD2">
        <w:rPr>
          <w:rFonts w:ascii="Calibri" w:hAnsi="Calibri" w:eastAsia="Times New Roman" w:cs="Calibri"/>
        </w:rPr>
        <w:t>in the country</w:t>
      </w:r>
      <w:r w:rsidRPr="5E0CCDD2">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{"citationID":"eo8JQovX","properties":{"formattedCitation":"\\super 36\\nosupersub{}","plainCitation":"36","noteIndex":0},"citationItems":[{"id":6537,"uris":["http://zotero.org/users/384481/items/IX3NJ8LJ"],"uri":["http://zotero.org/users/384481/items/IX3NJ8LJ"],"itemData":{"id":6537,"type":"webpage","abstract":"The downloadable data file was updated daily to 14 December 2020 using the latest available public data on COVID-19. You may use the data in line with ECDC’s copyright policy.","container-title":"European Centre for Disease Prevention and Control","language":"en","title":"Download historical data (to 14 December 2020) on the daily number of new reported COVID-19 cases and deaths worldwide","URL":"https://www.ecdc.europa.eu/en/publications-data/download-todays-data-geographic-distribution-covid-19-cases-worldwide","accessed":{"date-parts":[["2020",12,18]]},"issued":{"date-parts":[["2020",12,14]]}}}],"schema":"https://github.com/citation-style-language/schema/raw/master/csl-citation.json"} </w:instrText>
      </w:r>
      <w:r w:rsidRPr="5E0CCDD2">
        <w:rPr>
          <w:rFonts w:ascii="Calibri" w:hAnsi="Calibri" w:eastAsia="Times New Roman" w:cs="Calibri"/>
        </w:rPr>
        <w:fldChar w:fldCharType="separate"/>
      </w:r>
      <w:r w:rsidRPr="00E96CAE" w:rsidR="00E96CAE">
        <w:rPr>
          <w:rFonts w:ascii="Calibri" w:hAnsi="Calibri" w:cs="Calibri"/>
          <w:szCs w:val="24"/>
          <w:vertAlign w:val="superscript"/>
        </w:rPr>
        <w:t>36</w:t>
      </w:r>
      <w:r w:rsidRPr="5E0CCDD2">
        <w:rPr>
          <w:rFonts w:ascii="Calibri" w:hAnsi="Calibri" w:eastAsia="Times New Roman" w:cs="Calibri"/>
        </w:rPr>
        <w:fldChar w:fldCharType="end"/>
      </w:r>
      <w:r w:rsidRPr="5E0CCDD2" w:rsidR="494B37C0">
        <w:rPr>
          <w:rFonts w:ascii="Calibri" w:hAnsi="Calibri" w:eastAsia="Times New Roman" w:cs="Calibri"/>
        </w:rPr>
        <w:t xml:space="preserve">, suggesting a </w:t>
      </w:r>
      <w:r w:rsidRPr="5E0CCDD2">
        <w:rPr>
          <w:rFonts w:ascii="Calibri" w:hAnsi="Calibri" w:eastAsia="Times New Roman" w:cs="Calibri"/>
        </w:rPr>
        <w:t xml:space="preserve">delay in enforcing strict control measures. Similarly, in the countries of the </w:t>
      </w:r>
      <w:r w:rsidRPr="5E0CCDD2" w:rsidR="4AD4BCD7">
        <w:rPr>
          <w:rFonts w:ascii="Calibri" w:hAnsi="Calibri" w:eastAsia="Times New Roman" w:cs="Calibri"/>
        </w:rPr>
        <w:t>UK</w:t>
      </w:r>
      <w:r w:rsidRPr="5E0CCDD2">
        <w:rPr>
          <w:rFonts w:ascii="Calibri" w:hAnsi="Calibri" w:eastAsia="Times New Roman" w:cs="Calibri"/>
        </w:rPr>
        <w:t xml:space="preserve">, the delay between the first death and the application of measures with a SI of </w:t>
      </w:r>
      <w:r w:rsidRPr="5E0CCDD2" w:rsidR="4AD4BCD7">
        <w:rPr>
          <w:rFonts w:ascii="Calibri" w:hAnsi="Calibri" w:eastAsia="Times New Roman" w:cs="Calibri"/>
        </w:rPr>
        <w:t>≥</w:t>
      </w:r>
      <w:r w:rsidRPr="5E0CCDD2">
        <w:rPr>
          <w:rFonts w:ascii="Calibri" w:hAnsi="Calibri" w:eastAsia="Times New Roman" w:cs="Calibri"/>
        </w:rPr>
        <w:t xml:space="preserve">75% </w:t>
      </w:r>
      <w:r w:rsidRPr="5E0CCDD2" w:rsidR="4B425C97">
        <w:rPr>
          <w:rFonts w:ascii="Calibri" w:hAnsi="Calibri" w:eastAsia="Times New Roman" w:cs="Calibri"/>
        </w:rPr>
        <w:t>is</w:t>
      </w:r>
      <w:r w:rsidRPr="5E0CCDD2">
        <w:rPr>
          <w:rFonts w:ascii="Calibri" w:hAnsi="Calibri" w:eastAsia="Times New Roman" w:cs="Calibri"/>
        </w:rPr>
        <w:t xml:space="preserve"> likely to be longer due to limited testing taking place in the UK during the first weeks of the pandemic</w:t>
      </w:r>
      <w:r w:rsidRPr="5E0CCDD2">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{"citationID":"aqfnel2N","properties":{"formattedCitation":"\\super 37\\nosupersub{}","plainCitation":"37","noteIndex":0},"citationItems":[{"id":6525,"uris":["http://zotero.org/users/384481/items/7RGFB289"],"uri":["http://zotero.org/users/384481/items/7RGFB289"],"itemData":{"id":6525,"type":"webpage","abstract":"The downloadable data file contains information about testing volume for COVID-19 by week and country. Each row contains the corresponding data for a country and a week. The file is updated weekly. You may use the data in line with ECDC’s copyright policy.","container-title":"European Centre for Disease Prevention and Control","language":"en","title":"Data on testing for COVID-19 by week and country","URL":"https://www.ecdc.europa.eu/en/publications-data/covid-19-testing","accessed":{"date-parts":[["2020",12,18]]},"issued":{"date-parts":[["2020",12,17]]}}}],"schema":"https://github.com/citation-style-language/schema/raw/master/csl-citation.json"} </w:instrText>
      </w:r>
      <w:r w:rsidRPr="5E0CCDD2">
        <w:rPr>
          <w:rFonts w:ascii="Calibri" w:hAnsi="Calibri" w:eastAsia="Times New Roman" w:cs="Calibri"/>
        </w:rPr>
        <w:fldChar w:fldCharType="separate"/>
      </w:r>
      <w:r w:rsidRPr="00E96CAE" w:rsidR="00E96CAE">
        <w:rPr>
          <w:rFonts w:ascii="Calibri" w:hAnsi="Calibri" w:cs="Calibri"/>
          <w:szCs w:val="24"/>
          <w:vertAlign w:val="superscript"/>
        </w:rPr>
        <w:t>37</w:t>
      </w:r>
      <w:r w:rsidRPr="5E0CCDD2">
        <w:rPr>
          <w:rFonts w:ascii="Calibri" w:hAnsi="Calibri" w:eastAsia="Times New Roman" w:cs="Calibri"/>
        </w:rPr>
        <w:fldChar w:fldCharType="end"/>
      </w:r>
      <w:r w:rsidRPr="5E0CCDD2">
        <w:rPr>
          <w:rFonts w:ascii="Calibri" w:hAnsi="Calibri" w:eastAsia="Times New Roman" w:cs="Calibri"/>
        </w:rPr>
        <w:t xml:space="preserve">. </w:t>
      </w:r>
      <w:r w:rsidRPr="5E0CCDD2" w:rsidR="492E0205">
        <w:rPr>
          <w:rFonts w:ascii="Calibri" w:hAnsi="Calibri" w:eastAsia="Calibri" w:cs="Calibri"/>
        </w:rPr>
        <w:t>In Brazil, pre-existing inequalities in health care access, particularly to critically ill patients, also accounted for excess mortality</w:t>
      </w:r>
      <w:r w:rsidRPr="5E0CCDD2">
        <w:rPr>
          <w:rFonts w:ascii="Calibri" w:hAnsi="Calibri" w:eastAsia="Calibri" w:cs="Calibri"/>
        </w:rPr>
        <w:fldChar w:fldCharType="begin"/>
      </w:r>
      <w:r w:rsidR="00E96CAE">
        <w:rPr>
          <w:rFonts w:ascii="Calibri" w:hAnsi="Calibri" w:eastAsia="Calibri" w:cs="Calibri"/>
        </w:rPr>
        <w:instrText xml:space="preserve"> ADDIN ZOTERO_ITEM CSL_CITATION {"citationID":"zbhu3EQn","properties":{"formattedCitation":"\\super 38\\nosupersub{}","plainCitation":"38","noteIndex":0},"citationItems":[{"id":6553,"uris":["http://zotero.org/users/384481/items/GE8S3MGU"],"uri":["http://zotero.org/users/384481/items/GE8S3MGU"],"itemData":{"id":6553,"type":"article-journal","abstract":"&lt;h2&gt;Summary&lt;/h2&gt;&lt;h3&gt;Background&lt;/h3&gt;&lt;p&gt;Most low-income and middle-income countries (LMICs) have little or no data integrated into a national surveillance system to identify characteristics or outcomes of COVID-19 hospital admissions and the impact of the COVID-19 pandemic on their national health systems. We aimed to analyse characteristics of patients admitted to hospital with COVID-19 in Brazil, and to examine the impact of COVID-19 on health-care resources and in-hospital mortality.&lt;/p&gt;&lt;h3&gt;Methods&lt;/h3&gt;&lt;p&gt;We did a retrospective analysis of all patients aged 20 years or older with quantitative RT-PCR (RT-qPCR)-confirmed COVID-19 who were admitted to hospital and registered in SIVEP-Gripe, a nationwide surveillance database in Brazil, between Feb 16 and Aug 15, 2020 (epidemiological weeks 8–33). We also examined the progression of the COVID-19 pandemic across three 4-week periods within this timeframe (epidemiological weeks 8–12, 19–22, and 27–30). The primary outcome was in-hospital mortality. We compared the regional burden of hospital admissions stratified by age, intensive care unit (ICU) admission, and respiratory support. We analysed data from the whole country and its five regions: North, Northeast, Central-West, Southeast, and South.&lt;/p&gt;&lt;h3&gt;Findings&lt;/h3&gt;&lt;p&gt;Between Feb 16 and Aug 15, 2020, 254 288 patients with RT-qPCR-confirmed COVID-19 were admitted to hospital and registered in SIVEP-Gripe. The mean age of patients was 60 (SD 17) years, 119 657 (47%) of 254 288 were aged younger than 60 years, 143 521 (56%) of 254 243 were male, and 14 979 (16%) of 90 829 had no comorbidities. Case numbers increased across the three 4-week periods studied: by epidemiological weeks 19–22, cases were concentrated in the North, Northeast, and Southeast; by weeks 27–30, cases had spread to the Central-West and South regions. 232 036 (91%) of 254 288 patients had a defined hospital outcome when the data were exported; in-hospital mortality was 38% (87 515 of 232 036 patients) overall, 59% (47 002 of 79 687) among patients admitted to the ICU, and 80% (36 046 of 45 205) among those who were mechanically ventilated. The overall burden of ICU admissions per ICU beds was more pronounced in the North, Southeast, and Northeast, than in the Central-West and South. In the Northeast, 1545 (16%) of 9960 patients received invasive mechanical ventilation outside the ICU compared with 431 (8%) of 5388 in the South. In-hospital mortality among patients younger than 60 years was 31% (4204 of 13 468) in the Northeast versus 15% (1694 of 11 196) in the South.&lt;/p&gt;&lt;h3&gt;Interpretation&lt;/h3&gt;&lt;p&gt;We observed a widespread distribution of COVID-19 across all regions in Brazil, resulting in a high overall disease burden. In-hospital mortality was high, even in patients younger than 60 years, and worsened by existing regional disparities within the health system. The COVID-19 pandemic highlights the need to improve access to high-quality care for critically ill patients admitted to hospital with COVID-19, particularly in LMICs.&lt;/p&gt;&lt;h3&gt;Funding&lt;/h3&gt;&lt;p&gt;National Council for Scientific and Technological Development (CNPq), Coordinating Agency for Advanced Training of Graduate Personnel (CAPES), Carlos Chagas Filho Foundation for Research Support of the State of Rio de Janeiro (FAPERJ), and Instituto de Salud Carlos III.&lt;/p&gt;","container-title":"The Lancet Respiratory Medicine","DOI":"10.1016/S2213-2600(20)30560-9","ISSN":"2213-2600, 2213-2619","issue":"0","journalAbbreviation":"The Lancet Respiratory Medicine","language":"English","note":"publisher: Elsevier\nPMID: 33460571","source":"www.thelancet.com","title":"Characterisation of the first 250 000 hospital admissions for COVID-19 in Brazil: a retrospective analysis of nationwide data","title-short":"Characterisation of the first 250 000 hospital admissions for COVID-19 in Brazil","URL":"https://www.thelancet.com/journals/lanres/article/PIIS2213-2600(20)30560-9/abstract","volume":"0","author":[{"family":"Ranzani","given":"Otavio T."},{"family":"Bastos","given":"Leonardo S. L."},{"family":"Gelli","given":"João Gabriel M."},{"family":"Marchesi","given":"Janaina F."},{"family":"Baião","given":"Fernanda"},{"family":"Hamacher","given":"Silvio"},{"family":"Bozza","given":"Fernando A."}],"accessed":{"date-parts":[["2021",1,21]]},"issued":{"date-parts":[["2021",1,15]]}}}],"schema":"https://github.com/citation-style-language/schema/raw/master/csl-citation.json"} </w:instrText>
      </w:r>
      <w:r w:rsidRPr="5E0CCDD2">
        <w:rPr>
          <w:rFonts w:ascii="Calibri" w:hAnsi="Calibri" w:eastAsia="Calibri" w:cs="Calibri"/>
        </w:rPr>
        <w:fldChar w:fldCharType="separate"/>
      </w:r>
      <w:r w:rsidRPr="00E96CAE" w:rsidR="00E96CAE">
        <w:rPr>
          <w:rFonts w:ascii="Calibri" w:hAnsi="Calibri" w:cs="Calibri"/>
          <w:szCs w:val="24"/>
          <w:vertAlign w:val="superscript"/>
        </w:rPr>
        <w:t>38</w:t>
      </w:r>
      <w:r w:rsidRPr="5E0CCDD2">
        <w:rPr>
          <w:rFonts w:ascii="Calibri" w:hAnsi="Calibri" w:eastAsia="Calibri" w:cs="Calibri"/>
        </w:rPr>
        <w:fldChar w:fldCharType="end"/>
      </w:r>
      <w:r w:rsidRPr="5E0CCDD2" w:rsidR="492E0205">
        <w:rPr>
          <w:rFonts w:ascii="Calibri" w:hAnsi="Calibri" w:eastAsia="Calibri" w:cs="Calibri"/>
        </w:rPr>
        <w:t xml:space="preserve">. </w:t>
      </w:r>
      <w:r w:rsidRPr="5E0CCDD2">
        <w:rPr>
          <w:rFonts w:ascii="Calibri" w:hAnsi="Calibri" w:eastAsia="Times New Roman" w:cs="Calibri"/>
        </w:rPr>
        <w:t xml:space="preserve">On the other hand, Swedish and USA governments did not apply measures whose SI was above 75% for the duration of this study and this </w:t>
      </w:r>
      <w:r w:rsidRPr="5E0CCDD2" w:rsidR="184D954E">
        <w:rPr>
          <w:rFonts w:ascii="Calibri" w:hAnsi="Calibri" w:eastAsia="Times New Roman" w:cs="Calibri"/>
        </w:rPr>
        <w:t>may have</w:t>
      </w:r>
      <w:r w:rsidRPr="5E0CCDD2">
        <w:rPr>
          <w:rFonts w:ascii="Calibri" w:hAnsi="Calibri" w:eastAsia="Times New Roman" w:cs="Calibri"/>
        </w:rPr>
        <w:t xml:space="preserve"> contributed to </w:t>
      </w:r>
      <w:r w:rsidRPr="5E0CCDD2" w:rsidR="00B11336">
        <w:rPr>
          <w:rFonts w:ascii="Calibri" w:hAnsi="Calibri" w:eastAsia="Times New Roman" w:cs="Calibri"/>
        </w:rPr>
        <w:t>poor</w:t>
      </w:r>
      <w:r w:rsidRPr="5E0CCDD2" w:rsidR="3E4F8B4E">
        <w:rPr>
          <w:rFonts w:ascii="Calibri" w:hAnsi="Calibri" w:eastAsia="Times New Roman" w:cs="Calibri"/>
        </w:rPr>
        <w:t>er</w:t>
      </w:r>
      <w:r w:rsidRPr="5E0CCDD2" w:rsidR="00B11336">
        <w:rPr>
          <w:rFonts w:ascii="Calibri" w:hAnsi="Calibri" w:eastAsia="Times New Roman" w:cs="Calibri"/>
        </w:rPr>
        <w:t xml:space="preserve"> control of the pandemic and </w:t>
      </w:r>
      <w:r w:rsidRPr="5E0CCDD2">
        <w:rPr>
          <w:rFonts w:ascii="Calibri" w:hAnsi="Calibri" w:eastAsia="Times New Roman" w:cs="Calibri"/>
        </w:rPr>
        <w:t>high</w:t>
      </w:r>
      <w:r w:rsidRPr="5E0CCDD2" w:rsidR="3625EBF7">
        <w:rPr>
          <w:rFonts w:ascii="Calibri" w:hAnsi="Calibri" w:eastAsia="Times New Roman" w:cs="Calibri"/>
        </w:rPr>
        <w:t>er</w:t>
      </w:r>
      <w:r w:rsidRPr="5E0CCDD2">
        <w:rPr>
          <w:rFonts w:ascii="Calibri" w:hAnsi="Calibri" w:eastAsia="Times New Roman" w:cs="Calibri"/>
        </w:rPr>
        <w:t xml:space="preserve"> excess mortality.</w:t>
      </w:r>
    </w:p>
    <w:p w:rsidRPr="00BF0D9C" w:rsidR="00B11336" w:rsidP="00BF0D9C" w:rsidRDefault="00B11336" w14:paraId="10C55A31" w14:textId="4BC4BF13">
      <w:pPr>
        <w:spacing w:line="480" w:lineRule="auto"/>
        <w:rPr>
          <w:shd w:val="clear" w:color="auto" w:fill="FFFFFF"/>
        </w:rPr>
      </w:pPr>
      <w:r w:rsidRPr="00BF0D9C">
        <w:rPr>
          <w:rFonts w:ascii="Calibri" w:hAnsi="Calibri" w:eastAsia="Times New Roman" w:cs="Calibri"/>
        </w:rPr>
        <w:t>Ireland enforced strict measures four weeks after the first COVID-19 death, which</w:t>
      </w:r>
      <w:r w:rsidRPr="00BF0D9C" w:rsidR="7694F410">
        <w:rPr>
          <w:rFonts w:ascii="Calibri" w:hAnsi="Calibri" w:eastAsia="Times New Roman" w:cs="Calibri"/>
        </w:rPr>
        <w:t xml:space="preserve"> may have</w:t>
      </w:r>
      <w:r w:rsidRPr="00BF0D9C">
        <w:rPr>
          <w:rFonts w:ascii="Calibri" w:hAnsi="Calibri" w:eastAsia="Times New Roman" w:cs="Calibri"/>
        </w:rPr>
        <w:t xml:space="preserve"> led to an initial surge in cases. However, mortality was decreased in the weeks </w:t>
      </w:r>
      <w:proofErr w:type="gramStart"/>
      <w:r w:rsidRPr="00BF0D9C">
        <w:rPr>
          <w:rFonts w:ascii="Calibri" w:hAnsi="Calibri" w:eastAsia="Times New Roman" w:cs="Calibri"/>
        </w:rPr>
        <w:t>subsequent to</w:t>
      </w:r>
      <w:proofErr w:type="gramEnd"/>
      <w:r w:rsidRPr="00BF0D9C">
        <w:rPr>
          <w:rFonts w:ascii="Calibri" w:hAnsi="Calibri" w:eastAsia="Times New Roman" w:cs="Calibri"/>
        </w:rPr>
        <w:t xml:space="preserve"> these strict measures, </w:t>
      </w:r>
      <w:r w:rsidRPr="00BF0D9C" w:rsidR="20A9EDAC">
        <w:rPr>
          <w:rFonts w:ascii="Calibri" w:hAnsi="Calibri" w:eastAsia="Times New Roman" w:cs="Calibri"/>
        </w:rPr>
        <w:t xml:space="preserve">possibly leading to lower </w:t>
      </w:r>
      <w:r w:rsidRPr="00BF0D9C">
        <w:rPr>
          <w:rFonts w:ascii="Calibri" w:hAnsi="Calibri" w:eastAsia="Times New Roman" w:cs="Calibri"/>
        </w:rPr>
        <w:t xml:space="preserve">overall excess mortality. In Denmark, despite the lack of enforcement of measures with a </w:t>
      </w:r>
      <w:r w:rsidRPr="00BF0D9C" w:rsidR="00345D0C">
        <w:rPr>
          <w:rFonts w:ascii="Calibri" w:hAnsi="Calibri" w:eastAsia="Times New Roman" w:cs="Calibri"/>
        </w:rPr>
        <w:t>SI</w:t>
      </w:r>
      <w:r w:rsidRPr="00BF0D9C">
        <w:rPr>
          <w:rFonts w:ascii="Calibri" w:hAnsi="Calibri" w:eastAsia="Times New Roman" w:cs="Calibri"/>
        </w:rPr>
        <w:t xml:space="preserve"> </w:t>
      </w:r>
      <w:r w:rsidRPr="00BF0D9C" w:rsidR="00345D0C">
        <w:rPr>
          <w:rFonts w:ascii="Calibri" w:hAnsi="Calibri" w:eastAsia="Times New Roman" w:cs="Calibri"/>
        </w:rPr>
        <w:t>≥</w:t>
      </w:r>
      <w:r w:rsidRPr="00BF0D9C">
        <w:rPr>
          <w:rFonts w:ascii="Calibri" w:hAnsi="Calibri" w:eastAsia="Times New Roman" w:cs="Calibri"/>
        </w:rPr>
        <w:t>75%, the Danish government was among the first countries in Europe to act firmly against the virus by declaring a national lockdown and closing its borders which, along with other social factors, was sufficient to prevent excess mortality</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{"citationID":"t6rUqdZ5","properties":{"formattedCitation":"\\super 39\\nosupersub{}","plainCitation":"39","noteIndex":0},"citationItems":[{"id":6522,"uris":["http://zotero.org/users/384481/items/9BYPUN7F"],"uri":["http://zotero.org/users/384481/items/9BYPUN7F"],"itemData":{"id":6522,"type":"article-journal","abstract":"•\n              Denmark has effectively controlled the spread of SARS-CoV-2 with a fast and strict lockdown response.\n            \n            \n              •\n              Danish society and industry slowly began to re-open in mid-April.\n            \n            \n              •\n              A rapid response, trust in government and social heritage all contributed to the effective management of Covid-19.\n            \n          \n        , Denmark, a Scandinavian country of 5.8 million people has weathered the Covid-19 crisis with a relatively low rate of infection and death. Denmark has also become one of the first European countries to partially re-open its society. We offer the perspective that the combination of rapid response from the government, trust and a high level of confidence in government by Danish citizens, and the importance of social heritage contributed to the effective management of the coronavirus crisis.","container-title":"Cytokine &amp; Growth Factor Reviews","DOI":"10.1016/j.cytogfr.2020.05.005","ISSN":"1359-6101","journalAbbreviation":"Cytokine Growth Factor Rev","note":"PMID: 32405247\nPMCID: PMC7217796","page":"10-12","source":"PubMed Central","title":"The Covid-19 pandemic in Denmark: Big lessons from a small country","title-short":"The Covid-19 pandemic in Denmark","volume":"53","author":[{"family":"Olagnier","given":"David"},{"family":"Mogensen","given":"Trine H."}],"issued":{"date-parts":[["2020",6]]}}}],"schema":"https://github.com/citation-style-language/schema/raw/master/csl-citation.json"}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39</w:t>
      </w:r>
      <w:r w:rsidRPr="00BF0D9C">
        <w:rPr>
          <w:rFonts w:ascii="Calibri" w:hAnsi="Calibri" w:eastAsia="Times New Roman" w:cs="Calibri"/>
        </w:rPr>
        <w:fldChar w:fldCharType="end"/>
      </w:r>
      <w:r w:rsidRPr="00BF0D9C">
        <w:rPr>
          <w:rFonts w:ascii="Calibri" w:hAnsi="Calibri" w:eastAsia="Times New Roman" w:cs="Calibri"/>
        </w:rPr>
        <w:t xml:space="preserve">. </w:t>
      </w:r>
      <w:r w:rsidRPr="00BF0D9C">
        <w:rPr>
          <w:shd w:val="clear" w:color="auto" w:fill="FFFFFF"/>
        </w:rPr>
        <w:t xml:space="preserve"> </w:t>
      </w:r>
    </w:p>
    <w:p w:rsidRPr="00BF0D9C" w:rsidR="00101043" w:rsidP="00BF0D9C" w:rsidRDefault="00B11336" w14:paraId="26809FEF" w14:textId="397D0445">
      <w:pPr>
        <w:spacing w:line="480" w:lineRule="auto"/>
        <w:rPr>
          <w:rFonts w:ascii="Calibri" w:hAnsi="Calibri" w:eastAsia="Times New Roman" w:cs="Calibri"/>
        </w:rPr>
      </w:pPr>
      <w:r w:rsidRPr="5E0CCDD2">
        <w:rPr>
          <w:rFonts w:ascii="Calibri" w:hAnsi="Calibri" w:eastAsia="Times New Roman" w:cs="Calibri"/>
        </w:rPr>
        <w:t>On the contrary,</w:t>
      </w:r>
      <w:r w:rsidR="00236F03">
        <w:t xml:space="preserve"> </w:t>
      </w:r>
      <w:r w:rsidR="0073001E">
        <w:t>the</w:t>
      </w:r>
      <w:r w:rsidR="00236F03">
        <w:t xml:space="preserve"> lack or only modest excess mortality</w:t>
      </w:r>
      <w:r w:rsidR="0073001E">
        <w:t xml:space="preserve"> in countries</w:t>
      </w:r>
      <w:r w:rsidRPr="5E0CCDD2">
        <w:rPr>
          <w:rFonts w:ascii="Calibri" w:hAnsi="Calibri" w:eastAsia="Times New Roman" w:cs="Calibri"/>
        </w:rPr>
        <w:t xml:space="preserve"> such as Austria, Estonia, Israel, Norway, Cyprus, Georgia, </w:t>
      </w:r>
      <w:proofErr w:type="gramStart"/>
      <w:r w:rsidRPr="5E0CCDD2">
        <w:rPr>
          <w:rFonts w:ascii="Calibri" w:hAnsi="Calibri" w:eastAsia="Times New Roman" w:cs="Calibri"/>
        </w:rPr>
        <w:t>Slovenia</w:t>
      </w:r>
      <w:proofErr w:type="gramEnd"/>
      <w:r w:rsidRPr="5E0CCDD2">
        <w:rPr>
          <w:rFonts w:ascii="Calibri" w:hAnsi="Calibri" w:eastAsia="Times New Roman" w:cs="Calibri"/>
        </w:rPr>
        <w:t xml:space="preserve"> and Ukraine, can be </w:t>
      </w:r>
      <w:r w:rsidRPr="5E0CCDD2" w:rsidR="00483466">
        <w:rPr>
          <w:rFonts w:ascii="Calibri" w:hAnsi="Calibri" w:eastAsia="Times New Roman" w:cs="Calibri"/>
        </w:rPr>
        <w:t xml:space="preserve">partly </w:t>
      </w:r>
      <w:r w:rsidRPr="5E0CCDD2">
        <w:rPr>
          <w:rFonts w:ascii="Calibri" w:hAnsi="Calibri" w:eastAsia="Times New Roman" w:cs="Calibri"/>
        </w:rPr>
        <w:t xml:space="preserve">attributed to the implementation of measures of stringency </w:t>
      </w:r>
      <w:r w:rsidRPr="5E0CCDD2" w:rsidR="00345D0C">
        <w:rPr>
          <w:rFonts w:ascii="Calibri" w:hAnsi="Calibri" w:eastAsia="Times New Roman" w:cs="Calibri"/>
        </w:rPr>
        <w:t>≥</w:t>
      </w:r>
      <w:r w:rsidRPr="5E0CCDD2">
        <w:rPr>
          <w:rFonts w:ascii="Calibri" w:hAnsi="Calibri" w:eastAsia="Times New Roman" w:cs="Calibri"/>
        </w:rPr>
        <w:t xml:space="preserve">75% within 2 weeks of the first COVID-19 death in these countries. </w:t>
      </w:r>
      <w:r w:rsidR="00C3337F">
        <w:t xml:space="preserve">Previous studies gave evidence that </w:t>
      </w:r>
      <w:r w:rsidR="00F97685">
        <w:t>a</w:t>
      </w:r>
      <w:r w:rsidR="00C3337F">
        <w:t xml:space="preserve"> strict lockdown is associated with a rapid and large decrease in </w:t>
      </w:r>
      <w:r w:rsidR="00C3337F">
        <w:lastRenderedPageBreak/>
        <w:t>transmission as measured by the effective reproduction number</w:t>
      </w:r>
      <w:r>
        <w:fldChar w:fldCharType="begin"/>
      </w:r>
      <w:r w:rsidR="00E96CAE">
        <w:instrText xml:space="preserve"> ADDIN ZOTERO_ITEM CSL_CITATION {"citationID":"aiJyWKIp","properties":{"formattedCitation":"\\super 40,41\\nosupersub{}","plainCitation":"40,41","noteIndex":0},"citationItems":[{"id":6569,"uris":["http://zotero.org/users/384481/items/ZRWRJT63"],"uri":["http://zotero.org/users/384481/items/ZRWRJT63"],"itemData":{"id":6569,"type":"article-journal","abstract":"To mitigate and slow the spread of COVID-19, many countries have adopted unprecedented physical distancing policies, including the UK. We evaluate whether these measures might be sufficient to control the epidemic by estimating their impact on the reproduction number (R0, the average number of secondary cases generated per case).","container-title":"BMC Medicine","DOI":"10.1186/s12916-020-01597-8","ISSN":"1741-7015","issue":"1","journalAbbreviation":"BMC Medicine","page":"124","source":"BioMed Central","title":"Quantifying the impact of physical distance measures on the transmission of COVID-19 in the UK","volume":"18","author":[{"family":"Jarvis","given":"Christopher I."},{"family":"Van Zandvoort","given":"Kevin"},{"family":"Gimma","given":"Amy"},{"family":"Prem","given":"Kiesha"},{"family":"Auzenbergs","given":"Megan"},{"family":"O’Reilly","given":"Kathleen"},{"family":"Medley","given":"Graham"},{"family":"Emery","given":"Jon C."},{"family":"Houben","given":"Rein M. G. J."},{"family":"Davies","given":"Nicholas"},{"family":"Nightingale","given":"Emily S."},{"family":"Flasche","given":"Stefan"},{"family":"Jombart","given":"Thibaut"},{"family":"Hellewell","given":"Joel"},{"family":"Abbott","given":"Sam"},{"family":"Munday","given":"James D."},{"family":"Bosse","given":"Nikos I."},{"family":"Funk","given":"Sebastian"},{"family":"Sun","given":"Fiona"},{"family":"Endo","given":"Akira"},{"family":"Rosello","given":"Alicia"},{"family":"Procter","given":"Simon R."},{"family":"Kucharski","given":"Adam J."},{"family":"Russell","given":"Timothy W."},{"family":"Knight","given":"Gwen"},{"family":"Gibbs","given":"Hamish"},{"family":"Leclerc","given":"Quentin"},{"family":"Quilty","given":"Billy J."},{"family":"Diamond","given":"Charlie"},{"family":"Liu","given":"Yang"},{"family":"Jit","given":"Mark"},{"family":"Clifford","given":"Samuel"},{"family":"Pearson","given":"Carl A. B."},{"family":"Eggo","given":"Rosalind M."},{"family":"Deol","given":"Arminder K."},{"family":"Klepac","given":"Petra"},{"family":"Rubin","given":"G. James"},{"family":"Edmunds","given":"W. John"},{"literal":"CMMID COVID-19 working group"}],"issued":{"date-parts":[["2020",5,7]]}}},{"id":6566,"uris":["http://zotero.org/users/384481/items/DGLTJELD"],"uri":["http://zotero.org/users/384481/items/DGLTJELD"],"itemData":{"id":6566,"type":"article-journal","abstract":"&lt;h2&gt;Summary&lt;/h2&gt;&lt;h3&gt;Background&lt;/h3&gt;&lt;p&gt;Non-pharmaceutical interventions (NPIs) were implemented by many countries to reduce the transmission of severe acute respiratory syndrome coronavirus 2 (SARS-CoV-2), the causal agent of COVID-19. A resurgence in COVID-19 cases has been reported in some countries that lifted some of these NPIs. We aimed to understand the association of introducing and lifting NPIs with the level of transmission of SARS-CoV-2, as measured by the time-varying reproduction number (&lt;i&gt;R&lt;/i&gt;), from a broad perspective across 131 countries.&lt;/p&gt;&lt;h3&gt;Methods&lt;/h3&gt;&lt;p&gt;In this modelling study, we linked data on daily country-level estimates of &lt;i&gt;R&lt;/i&gt; from the London School of Hygiene &amp; Tropical Medicine (London, UK) with data on country-specific policies on NPIs from the Oxford COVID-19 Government Response Tracker, available between Jan 1 and July 20, 2020. We defined a phase as a time period when all NPIs remained the same, and we divided the timeline of each country into individual phases based on the status of NPIs. We calculated the &lt;i&gt;R&lt;/i&gt; ratio as the ratio between the daily &lt;i&gt;R&lt;/i&gt; of each phase and the &lt;i&gt;R&lt;/i&gt; from the last day of the previous phase (ie, before the NPI status changed) as a measure of the association between NPI status and transmission of SARS-CoV-2. We then modelled the &lt;i&gt;R&lt;/i&gt; ratio using a log-linear regression with introduction and relaxation of each NPI as independent variables for each day of the first 28 days after the change in the corresponding NPI. In an ad-hoc analysis, we estimated the effect of reintroducing multiple NPIs with the greatest effects, and in the observed sequence, to tackle the possible resurgence of SARS-CoV-2.&lt;/p&gt;&lt;h3&gt;Findings&lt;/h3&gt;&lt;p&gt;790 phases from 131 countries were included in the analysis. A decreasing trend over time in the &lt;i&gt;R&lt;/i&gt; ratio was found following the introduction of school closure, workplace closure, public events ban, requirements to stay at home, and internal movement limits; the reduction in &lt;i&gt;R&lt;/i&gt; ranged from 3% to 24% on day 28 following the introduction compared with the last day before introduction, although the reduction was significant only for public events ban (&lt;i&gt;R&lt;/i&gt; ratio 0·76, 95% CI 0·58–1·00); for all other NPIs, the upper bound of the 95% CI was above 1. An increasing trend over time in the &lt;i&gt;R&lt;/i&gt; ratio was found following the relaxation of school closure, bans on public events, bans on public gatherings of more than ten people, requirements to stay at home, and internal movement limits; the increase in &lt;i&gt;R&lt;/i&gt; ranged from 11% to 25% on day 28 following the relaxation compared with the last day before relaxation, although the increase was significant only for school reopening (&lt;i&gt;R&lt;/i&gt; ratio 1·24, 95% CI 1·00–1·52) and lifting bans on public gatherings of more than ten people (1·25, 1·03–1·51); for all other NPIs, the lower bound of the 95% CI was below 1. It took a median of 8 days (IQR 6–9) following the introduction of an NPI to observe 60% of the maximum reduction in &lt;i&gt;R&lt;/i&gt; and even longer (17 days [14–20]) following relaxation to observe 60% of the maximum increase in &lt;i&gt;R&lt;/i&gt;. In response to a possible resurgence of COVID-19, a control strategy of banning public events and public gatherings of more than ten people was estimated to reduce &lt;i&gt;R&lt;/i&gt;, with an &lt;i&gt;R&lt;/i&gt; ratio of 0·71 (95% CI 0·55–0·93) on day 28, decreasing to 0·62 (0·47–0·82) on day 28 if measures to close workplaces were added, 0·58 (0·41–0·81) if measures to close workplaces and internal movement restrictions were added, and 0·48 (0·32–0·71) if measures to close workplaces, internal movement restrictions, and requirements to stay at home were added.&lt;/p&gt;&lt;h3&gt;Interpretation&lt;/h3&gt;&lt;p&gt;Individual NPIs, including school closure, workplace closure, public events ban, ban on gatherings of more than ten people, requirements to stay at home, and internal movement limits, are associated with reduced transmission of SARS-CoV-2, but the effect of introducing and lifting these NPIs is delayed by 1–3 weeks, with this delay being longer when lifting NPIs. These findings provide additional evidence that can inform policy-maker decisions on the timing of introducing and lifting different NPIs, although &lt;i&gt;R&lt;/i&gt; should be interpreted in the context of its known limitations.&lt;/p&gt;&lt;h3&gt;Funding&lt;/h3&gt;&lt;p&gt;Wellcome Trust Institutional Strategic Support Fund and Data-Driven Innovation initiative.&lt;/p&gt;","container-title":"The Lancet Infectious Diseases","DOI":"10.1016/S1473-3099(20)30785-4","ISSN":"1473-3099, 1474-4457","issue":"0","journalAbbreviation":"The Lancet Infectious Diseases","language":"English","note":"publisher: Elsevier","source":"www.thelancet.com","title":"The temporal association of introducing and lifting non-pharmaceutical interventions with the time-varying reproduction number (R) of SARS-CoV-2: a modelling study across 131 countries","title-short":"The temporal association of introducing and lifting non-pharmaceutical interventions with the time-varying reproduction number (R) of SARS-CoV-2","URL":"https://www.thelancet.com/journals/laninf/article/PIIS1473-3099(20)30785-4/abstract","volume":"0","author":[{"family":"Li","given":"You"},{"family":"Campbell","given":"Harry"},{"family":"Kulkarni","given":"Durga"},{"family":"Harpur","given":"Alice"},{"family":"Nundy","given":"Madhurima"},{"family":"Wang","given":"Xin"},{"family":"Nair","given":"Harish"}],"accessed":{"date-parts":[["2021",1,22]]},"issued":{"date-parts":[["2020",10,22]]}}}],"schema":"https://github.com/citation-style-language/schema/raw/master/csl-citation.json"} </w:instrText>
      </w:r>
      <w:r>
        <w:fldChar w:fldCharType="separate"/>
      </w:r>
      <w:r w:rsidRPr="00E96CAE" w:rsidR="00E96CAE">
        <w:rPr>
          <w:rFonts w:ascii="Calibri" w:hAnsi="Calibri" w:cs="Calibri"/>
          <w:szCs w:val="24"/>
          <w:vertAlign w:val="superscript"/>
        </w:rPr>
        <w:t>40,41</w:t>
      </w:r>
      <w:r>
        <w:fldChar w:fldCharType="end"/>
      </w:r>
      <w:r w:rsidR="00F97685">
        <w:t xml:space="preserve">. Our study adds to this evidence by suggesting that the introduction of strict lockdown measures in the early </w:t>
      </w:r>
      <w:r w:rsidR="5241D915">
        <w:t>pan</w:t>
      </w:r>
      <w:r w:rsidR="00F97685">
        <w:t xml:space="preserve">demic phase may also be associated with lower mortality.  </w:t>
      </w:r>
    </w:p>
    <w:p w:rsidRPr="00BF0D9C" w:rsidR="00B11336" w:rsidP="4509802A" w:rsidRDefault="00B11336" w14:paraId="7169A750" w14:textId="357D23E0">
      <w:pPr>
        <w:spacing w:line="480" w:lineRule="auto"/>
      </w:pPr>
      <w:r w:rsidRPr="4509802A">
        <w:rPr>
          <w:rFonts w:ascii="Calibri" w:hAnsi="Calibri" w:eastAsia="Times New Roman" w:cs="Calibri"/>
        </w:rPr>
        <w:t>Furthermore, t</w:t>
      </w:r>
      <w:r>
        <w:t xml:space="preserve">he decreased mortality seen in some countries located in the tropical region or in the southern hemisphere, such as Colombia, Cape </w:t>
      </w:r>
      <w:proofErr w:type="gramStart"/>
      <w:r>
        <w:t>Verde</w:t>
      </w:r>
      <w:proofErr w:type="gramEnd"/>
      <w:r>
        <w:t xml:space="preserve"> and Australia, are most likely attributed to the different timing of the COVID-19 pandemic in these countries</w:t>
      </w:r>
      <w:r w:rsidR="2626FF75">
        <w:t>.</w:t>
      </w:r>
      <w:r>
        <w:t xml:space="preserve"> The</w:t>
      </w:r>
      <w:r w:rsidRPr="4509802A">
        <w:rPr>
          <w:rFonts w:ascii="Calibri" w:hAnsi="Calibri" w:eastAsia="Times New Roman" w:cs="Calibri"/>
        </w:rPr>
        <w:t xml:space="preserve"> different seasonality patterns and different meteorological factors</w:t>
      </w:r>
      <w:r w:rsidRPr="4509802A" w:rsidR="41D6EA4C">
        <w:rPr>
          <w:rFonts w:ascii="Calibri" w:hAnsi="Calibri" w:eastAsia="Times New Roman" w:cs="Calibri"/>
        </w:rPr>
        <w:t>,</w:t>
      </w:r>
      <w:r w:rsidRPr="4509802A">
        <w:rPr>
          <w:rFonts w:ascii="Calibri" w:hAnsi="Calibri" w:eastAsia="Times New Roman" w:cs="Calibri"/>
        </w:rPr>
        <w:t xml:space="preserve"> coupled with strict control measures </w:t>
      </w:r>
      <w:r w:rsidRPr="4509802A" w:rsidR="018E8E4E">
        <w:rPr>
          <w:rFonts w:ascii="Calibri" w:hAnsi="Calibri" w:eastAsia="Times New Roman" w:cs="Calibri"/>
        </w:rPr>
        <w:t xml:space="preserve">informed from </w:t>
      </w:r>
      <w:r w:rsidR="359C28C0">
        <w:t xml:space="preserve">lessons learned </w:t>
      </w:r>
      <w:r w:rsidR="59FA16EE">
        <w:t xml:space="preserve">based on </w:t>
      </w:r>
      <w:r w:rsidR="359C28C0">
        <w:t>countries affected earlier on</w:t>
      </w:r>
      <w:r w:rsidR="5EF81509">
        <w:t>,</w:t>
      </w:r>
      <w:r w:rsidRPr="4509802A" w:rsidR="359C28C0">
        <w:rPr>
          <w:rFonts w:ascii="Calibri" w:hAnsi="Calibri" w:eastAsia="Times New Roman" w:cs="Calibri"/>
        </w:rPr>
        <w:t xml:space="preserve"> </w:t>
      </w:r>
      <w:r w:rsidRPr="4509802A">
        <w:rPr>
          <w:rFonts w:ascii="Calibri" w:hAnsi="Calibri" w:eastAsia="Times New Roman" w:cs="Calibri"/>
        </w:rPr>
        <w:t xml:space="preserve">led to a mild impact of the pandemic in these countries before July, </w:t>
      </w:r>
      <w:r w:rsidRPr="4509802A" w:rsidR="0073001E">
        <w:rPr>
          <w:rFonts w:ascii="Calibri" w:hAnsi="Calibri" w:eastAsia="Times New Roman" w:cs="Calibri"/>
        </w:rPr>
        <w:t xml:space="preserve">thereby </w:t>
      </w:r>
      <w:r w:rsidRPr="4509802A">
        <w:rPr>
          <w:rFonts w:ascii="Calibri" w:hAnsi="Calibri" w:eastAsia="Times New Roman" w:cs="Calibri"/>
        </w:rPr>
        <w:t xml:space="preserve">explaining their lack of excess mortality </w:t>
      </w:r>
      <w:r w:rsidRPr="4509802A" w:rsidR="0086360A">
        <w:rPr>
          <w:rFonts w:ascii="Calibri" w:hAnsi="Calibri" w:eastAsia="Times New Roman" w:cs="Calibri"/>
        </w:rPr>
        <w:t>within the date window of this study</w:t>
      </w:r>
      <w:r w:rsidR="0086360A">
        <w:t xml:space="preserve">. More specifically, </w:t>
      </w:r>
      <w:r>
        <w:t xml:space="preserve">Colombia </w:t>
      </w:r>
      <w:r w:rsidR="4E127801">
        <w:t xml:space="preserve">experienced a steady increase in cases since March but </w:t>
      </w:r>
      <w:r>
        <w:t>had its peak of the COVID-19 pandemic in July and August</w:t>
      </w:r>
      <w:r w:rsidR="0073001E">
        <w:t xml:space="preserve"> 2020</w:t>
      </w:r>
      <w:r>
        <w:t>; Australia had a minor peak in coronavirus cases in March, but the number of cases ha</w:t>
      </w:r>
      <w:r w:rsidR="00211102">
        <w:t>s</w:t>
      </w:r>
      <w:r>
        <w:t xml:space="preserve"> substantially escalated in July</w:t>
      </w:r>
      <w:r w:rsidR="0073001E">
        <w:t xml:space="preserve"> 2020</w:t>
      </w:r>
      <w:r>
        <w:t>; and Cape Verde started seeing a surge in cases over the summer, but the peak of the pandemic was experienced in September-October 2020</w:t>
      </w:r>
      <w:r>
        <w:fldChar w:fldCharType="begin"/>
      </w:r>
      <w:r>
        <w:instrText xml:space="preserve"> ADDIN ZOTERO_ITEM CSL_CITATION {"citationID":"2sa4S5Ym","properties":{"formattedCitation":"\\super 30\\nosupersub{}","plainCitation":"30","noteIndex":0},"citationItems":[{"id":6527,"uris":["http://zotero.org/users/384481/items/TE2KV2B3"],"uri":["http://zotero.org/users/384481/items/TE2KV2B3"],"itemData":{"id":6527,"type":"report","publisher":"Blavatnik School of Government","title":"Oxford COVID-19 Government Response Tracker","URL":"https://qap.ecdc.europa.eu/public/extensions/COVID-19/COVID-19.html#global-overview-tab","author":[{"family":"Hale","given":"Thomas"},{"family":"Atav","given":"Tilbe"},{"family":"Hallas","given":"Laura"},{"family":"Kira","given":"Beatriz"},{"family":"Phillips","given":"Toby"},{"family":"Petherick","given":"Anna"},{"family":"Pott","given":"Annalena"}],"accessed":{"date-parts":[["2020",12,18]]},"issued":{"date-parts":[["2020"]]}}}],"schema":"https://github.com/citation-style-language/schema/raw/master/csl-citation.json"} </w:instrText>
      </w:r>
      <w:r>
        <w:fldChar w:fldCharType="separate"/>
      </w:r>
      <w:r w:rsidRPr="4509802A" w:rsidR="00E96CAE">
        <w:rPr>
          <w:rFonts w:ascii="Calibri" w:hAnsi="Calibri" w:cs="Calibri"/>
          <w:vertAlign w:val="superscript"/>
        </w:rPr>
        <w:t>30</w:t>
      </w:r>
      <w:r>
        <w:fldChar w:fldCharType="end"/>
      </w:r>
      <w:r>
        <w:t xml:space="preserve">. </w:t>
      </w:r>
      <w:r w:rsidR="0086360A">
        <w:t xml:space="preserve">Moreover, Australia was entering the influenza season as the restrictions were introduced and the government brought forward and expanded the flu vaccination campaign. </w:t>
      </w:r>
      <w:proofErr w:type="gramStart"/>
      <w:r w:rsidR="0086360A">
        <w:t>As a consequence</w:t>
      </w:r>
      <w:proofErr w:type="gramEnd"/>
      <w:r w:rsidR="0086360A">
        <w:t>, flu deaths were delayed or avoided, contributing to reduced all-cause mortality.</w:t>
      </w:r>
    </w:p>
    <w:p w:rsidRPr="00BF0D9C" w:rsidR="00C3337F" w:rsidP="5E0CCDD2" w:rsidRDefault="073141D4" w14:paraId="035F947B" w14:textId="42DE76A7">
      <w:pPr>
        <w:spacing w:line="480" w:lineRule="auto"/>
        <w:rPr>
          <w:rFonts w:ascii="Calibri" w:hAnsi="Calibri" w:eastAsia="Times New Roman" w:cs="Calibri"/>
          <w:i/>
          <w:iCs/>
        </w:rPr>
      </w:pPr>
      <w:r w:rsidRPr="5E0CCDD2">
        <w:rPr>
          <w:i/>
          <w:iCs/>
        </w:rPr>
        <w:t>Sex</w:t>
      </w:r>
      <w:r w:rsidRPr="5E0CCDD2" w:rsidR="00C3337F">
        <w:rPr>
          <w:i/>
          <w:iCs/>
        </w:rPr>
        <w:t xml:space="preserve"> differences</w:t>
      </w:r>
    </w:p>
    <w:p w:rsidRPr="00BF0D9C" w:rsidR="00B11336" w:rsidP="00BF0D9C" w:rsidRDefault="00B11336" w14:paraId="7D449F1F" w14:textId="79ADB3CB">
      <w:pPr>
        <w:spacing w:line="480" w:lineRule="auto"/>
        <w:rPr>
          <w:rFonts w:ascii="Calibri" w:hAnsi="Calibri" w:eastAsia="Times New Roman" w:cs="Calibri"/>
        </w:rPr>
      </w:pPr>
      <w:r w:rsidRPr="7312A2DD">
        <w:rPr>
          <w:rFonts w:ascii="Calibri" w:hAnsi="Calibri" w:eastAsia="Times New Roman" w:cs="Calibri"/>
        </w:rPr>
        <w:t xml:space="preserve">In this study, some countries </w:t>
      </w:r>
      <w:r w:rsidRPr="7312A2DD" w:rsidR="00211102">
        <w:rPr>
          <w:rFonts w:ascii="Calibri" w:hAnsi="Calibri" w:eastAsia="Times New Roman" w:cs="Calibri"/>
        </w:rPr>
        <w:t xml:space="preserve">that </w:t>
      </w:r>
      <w:r w:rsidRPr="7312A2DD">
        <w:rPr>
          <w:rFonts w:ascii="Calibri" w:hAnsi="Calibri" w:eastAsia="Times New Roman" w:cs="Calibri"/>
        </w:rPr>
        <w:t xml:space="preserve">did not display changes in mortality for the total population, demonstrated </w:t>
      </w:r>
      <w:r w:rsidRPr="7312A2DD" w:rsidR="073141D4">
        <w:rPr>
          <w:rFonts w:ascii="Calibri" w:hAnsi="Calibri" w:eastAsia="Times New Roman" w:cs="Calibri"/>
        </w:rPr>
        <w:t>sex</w:t>
      </w:r>
      <w:r w:rsidRPr="7312A2DD" w:rsidR="641FC589">
        <w:rPr>
          <w:rFonts w:ascii="Calibri" w:hAnsi="Calibri" w:eastAsia="Times New Roman" w:cs="Calibri"/>
        </w:rPr>
        <w:t>-</w:t>
      </w:r>
      <w:r w:rsidRPr="7312A2DD">
        <w:rPr>
          <w:rFonts w:ascii="Calibri" w:hAnsi="Calibri" w:eastAsia="Times New Roman" w:cs="Calibri"/>
        </w:rPr>
        <w:t>specific increases or decreases. Males in Israel and Ukraine</w:t>
      </w:r>
      <w:r w:rsidRPr="7312A2DD" w:rsidR="5572AC62">
        <w:rPr>
          <w:rFonts w:ascii="Calibri" w:hAnsi="Calibri" w:eastAsia="Times New Roman" w:cs="Calibri"/>
        </w:rPr>
        <w:t>, and females in Ireland</w:t>
      </w:r>
      <w:r w:rsidRPr="7312A2DD">
        <w:rPr>
          <w:rFonts w:ascii="Calibri" w:hAnsi="Calibri" w:eastAsia="Times New Roman" w:cs="Calibri"/>
        </w:rPr>
        <w:t xml:space="preserve"> demonstrated increases in mortality.  This highlights the importance of examining </w:t>
      </w:r>
      <w:r w:rsidRPr="7312A2DD" w:rsidR="073141D4">
        <w:rPr>
          <w:rFonts w:ascii="Calibri" w:hAnsi="Calibri" w:eastAsia="Times New Roman" w:cs="Calibri"/>
        </w:rPr>
        <w:t>sex</w:t>
      </w:r>
      <w:r w:rsidRPr="7312A2DD">
        <w:rPr>
          <w:rFonts w:ascii="Calibri" w:hAnsi="Calibri" w:eastAsia="Times New Roman" w:cs="Calibri"/>
        </w:rPr>
        <w:t xml:space="preserve"> specific differences in </w:t>
      </w:r>
      <w:r w:rsidRPr="7312A2DD" w:rsidR="0073001E">
        <w:rPr>
          <w:rFonts w:ascii="Calibri" w:hAnsi="Calibri" w:eastAsia="Times New Roman" w:cs="Calibri"/>
        </w:rPr>
        <w:t xml:space="preserve">all-cause </w:t>
      </w:r>
      <w:r w:rsidRPr="7312A2DD">
        <w:rPr>
          <w:rFonts w:ascii="Calibri" w:hAnsi="Calibri" w:eastAsia="Times New Roman" w:cs="Calibri"/>
        </w:rPr>
        <w:t>mortality, as there is an evident sex difference excess mortality</w:t>
      </w:r>
      <w:r w:rsidRPr="7312A2DD">
        <w:rPr>
          <w:rFonts w:ascii="Calibri" w:hAnsi="Calibri" w:eastAsia="Times New Roman" w:cs="Calibri"/>
        </w:rPr>
        <w:fldChar w:fldCharType="begin"/>
      </w:r>
      <w:r w:rsidRPr="7312A2DD">
        <w:rPr>
          <w:rFonts w:ascii="Calibri" w:hAnsi="Calibri" w:eastAsia="Times New Roman" w:cs="Calibri"/>
        </w:rPr>
        <w:instrText xml:space="preserve"> ADDIN ZOTERO_ITEM CSL_CITATION {"citationID":"VqNOzJgd","properties":{"formattedCitation":"\\super 2\\nosupersub{}","plainCitation":"2","noteIndex":0},"citationItems":[{"id":6379,"uris":["http://zotero.org/users/384481/items/UXHCBVRT"],"uri":["http://zotero.org/users/384481/items/UXHCBVRT"],"itemData":{"id":6379,"type":"article-journal","abstract":"The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D."},{"family":"Ezzati","given":"Majid"}],"issued":{"date-parts":[["2020",10,14]]}}}],"schema":"https://github.com/citation-style-language/schema/raw/master/csl-citation.json"} </w:instrText>
      </w:r>
      <w:r w:rsidRPr="7312A2DD">
        <w:rPr>
          <w:rFonts w:ascii="Calibri" w:hAnsi="Calibri" w:eastAsia="Times New Roman" w:cs="Calibri"/>
        </w:rPr>
        <w:fldChar w:fldCharType="separate"/>
      </w:r>
      <w:r w:rsidRPr="7312A2DD" w:rsidR="002D5C01">
        <w:rPr>
          <w:rFonts w:ascii="Calibri" w:hAnsi="Calibri" w:cs="Calibri"/>
          <w:vertAlign w:val="superscript"/>
        </w:rPr>
        <w:t>2</w:t>
      </w:r>
      <w:r w:rsidRPr="7312A2DD">
        <w:rPr>
          <w:rFonts w:ascii="Calibri" w:hAnsi="Calibri" w:eastAsia="Times New Roman" w:cs="Calibri"/>
        </w:rPr>
        <w:fldChar w:fldCharType="end"/>
      </w:r>
      <w:r w:rsidRPr="7312A2DD">
        <w:rPr>
          <w:rFonts w:ascii="Calibri" w:hAnsi="Calibri" w:eastAsia="Times New Roman" w:cs="Calibri"/>
        </w:rPr>
        <w:t>.</w:t>
      </w:r>
    </w:p>
    <w:p w:rsidRPr="00BF0D9C" w:rsidR="00C3337F" w:rsidP="00BF0D9C" w:rsidRDefault="00C3337F" w14:paraId="41E46542" w14:textId="720D7F72">
      <w:pPr>
        <w:spacing w:line="480" w:lineRule="auto"/>
        <w:contextualSpacing/>
      </w:pPr>
    </w:p>
    <w:p w:rsidRPr="00BF0D9C" w:rsidR="32651B34" w:rsidP="00BF0D9C" w:rsidRDefault="00BC4293" w14:paraId="102303F8" w14:textId="361B9F7B">
      <w:pPr>
        <w:spacing w:line="480" w:lineRule="auto"/>
        <w:contextualSpacing/>
        <w:rPr>
          <w:i/>
          <w:iCs/>
        </w:rPr>
      </w:pPr>
      <w:r w:rsidRPr="00BF0D9C">
        <w:rPr>
          <w:i/>
          <w:iCs/>
        </w:rPr>
        <w:t>Challenges</w:t>
      </w:r>
      <w:r w:rsidRPr="00BF0D9C" w:rsidR="00C3337F">
        <w:rPr>
          <w:i/>
          <w:iCs/>
        </w:rPr>
        <w:t xml:space="preserve"> in </w:t>
      </w:r>
      <w:r w:rsidRPr="00BF0D9C">
        <w:rPr>
          <w:i/>
          <w:iCs/>
        </w:rPr>
        <w:t xml:space="preserve">COVID-19 and all-cause </w:t>
      </w:r>
      <w:r w:rsidRPr="00BF0D9C" w:rsidR="00C3337F">
        <w:rPr>
          <w:i/>
          <w:iCs/>
        </w:rPr>
        <w:t>excess mortality investigations</w:t>
      </w:r>
    </w:p>
    <w:p w:rsidRPr="00BF0D9C" w:rsidR="003936C8" w:rsidP="5E0CCDD2" w:rsidRDefault="7901654F" w14:paraId="7C6083B5" w14:textId="10491973">
      <w:pPr>
        <w:spacing w:line="480" w:lineRule="auto"/>
        <w:rPr>
          <w:rFonts w:ascii="Calibri" w:hAnsi="Calibri" w:eastAsia="Times New Roman" w:cs="Calibri"/>
        </w:rPr>
      </w:pPr>
      <w:r w:rsidRPr="4FBC0E3E">
        <w:rPr>
          <w:rFonts w:ascii="Calibri" w:hAnsi="Calibri" w:eastAsia="Times New Roman" w:cs="Calibri"/>
        </w:rPr>
        <w:lastRenderedPageBreak/>
        <w:t>One challenge in excess mortality investigations, which complicates between-country statistical comparisons, is the issue of</w:t>
      </w:r>
      <w:r w:rsidRPr="4FBC0E3E" w:rsidR="22961AE6">
        <w:rPr>
          <w:rFonts w:ascii="Calibri" w:hAnsi="Calibri" w:eastAsia="Times New Roman" w:cs="Calibri"/>
        </w:rPr>
        <w:t xml:space="preserve"> delays in death registrations within and between countries</w:t>
      </w:r>
      <w:r w:rsidRPr="4FBC0E3E" w:rsidR="5C236866">
        <w:rPr>
          <w:rFonts w:ascii="Calibri" w:hAnsi="Calibri" w:eastAsia="Times New Roman" w:cs="Calibri"/>
        </w:rPr>
        <w:t xml:space="preserve">, </w:t>
      </w:r>
      <w:r w:rsidRPr="4FBC0E3E">
        <w:rPr>
          <w:rFonts w:ascii="Calibri" w:hAnsi="Calibri" w:eastAsia="Times New Roman" w:cs="Calibri"/>
        </w:rPr>
        <w:t>which is complicated even further by whether the country reports deaths by the date of death, or by the date of registration</w:t>
      </w:r>
      <w:r w:rsidRPr="4FBC0E3E" w:rsidR="22961AE6">
        <w:rPr>
          <w:rFonts w:ascii="Calibri" w:hAnsi="Calibri" w:eastAsia="Times New Roman" w:cs="Calibri"/>
        </w:rPr>
        <w:t>. Delays in death reporting can range from a few days to a few weeks</w:t>
      </w:r>
      <w:r w:rsidRPr="4FBC0E3E">
        <w:rPr>
          <w:rFonts w:ascii="Calibri" w:hAnsi="Calibri" w:eastAsia="Times New Roman" w:cs="Calibri"/>
        </w:rPr>
        <w:fldChar w:fldCharType="begin"/>
      </w:r>
      <w:r w:rsidRPr="4FBC0E3E">
        <w:rPr>
          <w:rFonts w:ascii="Calibri" w:hAnsi="Calibri" w:eastAsia="Times New Roman" w:cs="Calibri"/>
        </w:rPr>
        <w:instrText xml:space="preserve"> ADDIN ZOTERO_ITEM CSL_CITATION {"citationID":"6IxWr6cI","properties":{"formattedCitation":"\\super 6,21,22\\nosupersub{}","plainCitation":"6,21,22","noteIndex":0},"citationItems":[{"id":6395,"uris":["http://zotero.org/users/384481/items/JTC3YZ74"],"uri":["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6459,"uris":["http://zotero.org/users/384481/items/Q95AKJSZ"],"uri":["http://zotero.org/users/384481/items/Q95AKJSZ"],"itemData":{"id":6459,"type":"article-journal","abstract":"The mortality effects of COVID-19 are a critical aspect of the disease’s impact. Years of life lost (YLLs) can provide greater insight than the number of deaths by conveying the shortfall in life expectancy and thus the age profile of the decedents.We employed data regarding COVID-19 deaths in the USA by jurisdiction, gender and age group for the period 1 February 2020 through 11 July 2020. We used actuarial life expectancy tables by gender and age to estimate YLLs.We estimated roughly 1.2 million YLLs due to COVID-19 deaths. The YLLs for the top six jurisdictions exceeded those for the remaining 43. On a per-capita basis, female YLLs were generally higher than male YLLs throughout the country.Our estimates offer new insight into the effects of COVID-19. Our findings of heterogenous rates of YLLs by geography and gender highlight variation in the magnitude of the pandemic’s effects that may inform effective policy responses.","container-title":"Journal of Public Health","DOI":"10.1093/pubmed/fdaa159","ISSN":"1741-3842","issue":"4","journalAbbreviation":"Journal of Public Health","page":"717-722","source":"Silverchair","title":"Years of life lost associated with COVID-19 deaths in the United States","volume":"42","author":[{"family":"Quast","given":"Troy"},{"family":"Andel","given":"Ross"},{"family":"Gregory","given":"Sean"},{"family":"Storch","given":"Eric A"}],"issued":{"date-parts":[["2020",11,23]]}}},{"id":6491,"uris":["http://zotero.org/users/384481/items/ED8VRYGA"],"uri":["http://zotero.org/users/384481/items/ED8VRYGA"],"itemData":{"id":6491,"type":"webpage","abstract":"Reference Metadata in Euro SDMX Metadata Structure (ESMS)","container-title":"eurostat.eu","title":"Eurostat: Weekly deaths – special data collection","URL":"https://ec.europa.eu/eurostat/cache/metadata/en/demomwk_esms.htm","accessed":{"date-parts":[["2020",12,15]]}}}],"schema":"https://github.com/citation-style-language/schema/raw/master/csl-citation.json"} </w:instrText>
      </w:r>
      <w:r w:rsidRPr="4FBC0E3E">
        <w:rPr>
          <w:rFonts w:ascii="Calibri" w:hAnsi="Calibri" w:eastAsia="Times New Roman" w:cs="Calibri"/>
        </w:rPr>
        <w:fldChar w:fldCharType="separate"/>
      </w:r>
      <w:r w:rsidRPr="4FBC0E3E" w:rsidR="093DC7FE">
        <w:rPr>
          <w:rFonts w:ascii="Calibri" w:hAnsi="Calibri" w:cs="Calibri"/>
          <w:vertAlign w:val="superscript"/>
        </w:rPr>
        <w:t>6,21,22</w:t>
      </w:r>
      <w:r w:rsidRPr="4FBC0E3E">
        <w:rPr>
          <w:rFonts w:ascii="Calibri" w:hAnsi="Calibri" w:eastAsia="Times New Roman" w:cs="Calibri"/>
        </w:rPr>
        <w:fldChar w:fldCharType="end"/>
      </w:r>
      <w:r w:rsidRPr="4FBC0E3E" w:rsidR="22961AE6">
        <w:rPr>
          <w:rFonts w:ascii="Calibri" w:hAnsi="Calibri" w:eastAsia="Times New Roman" w:cs="Calibri"/>
        </w:rPr>
        <w:t xml:space="preserve">. We attempted to account for such delays by allowing a minimum of </w:t>
      </w:r>
      <w:r w:rsidRPr="4FBC0E3E" w:rsidR="37BD8833">
        <w:rPr>
          <w:rFonts w:ascii="Calibri" w:hAnsi="Calibri" w:eastAsia="Times New Roman" w:cs="Calibri"/>
        </w:rPr>
        <w:t>four</w:t>
      </w:r>
      <w:r w:rsidRPr="4FBC0E3E" w:rsidR="22961AE6">
        <w:rPr>
          <w:rFonts w:ascii="Calibri" w:hAnsi="Calibri" w:eastAsia="Times New Roman" w:cs="Calibri"/>
        </w:rPr>
        <w:t xml:space="preserve"> weeks between the end of the observation period and data acquisition </w:t>
      </w:r>
      <w:r w:rsidRPr="4FBC0E3E" w:rsidR="22961AE6">
        <w:rPr>
          <w:rFonts w:eastAsia="Times New Roman"/>
        </w:rPr>
        <w:t>and by carrying out a sensitivity analysis</w:t>
      </w:r>
      <w:r w:rsidRPr="4FBC0E3E" w:rsidR="28B6606C">
        <w:rPr>
          <w:rFonts w:eastAsia="Times New Roman"/>
        </w:rPr>
        <w:t>,</w:t>
      </w:r>
      <w:r w:rsidRPr="4FBC0E3E" w:rsidR="22961AE6">
        <w:rPr>
          <w:rFonts w:eastAsia="Times New Roman"/>
        </w:rPr>
        <w:t xml:space="preserve"> which demonstrated that our results </w:t>
      </w:r>
      <w:r w:rsidRPr="4FBC0E3E" w:rsidR="5CB2E005">
        <w:rPr>
          <w:rFonts w:eastAsia="Times New Roman"/>
        </w:rPr>
        <w:t>we</w:t>
      </w:r>
      <w:r w:rsidRPr="4FBC0E3E" w:rsidR="22961AE6">
        <w:rPr>
          <w:rFonts w:eastAsia="Times New Roman"/>
        </w:rPr>
        <w:t>re not affected by reporting delays</w:t>
      </w:r>
      <w:r w:rsidRPr="4FBC0E3E" w:rsidR="22961AE6">
        <w:rPr>
          <w:rFonts w:ascii="Calibri" w:hAnsi="Calibri" w:eastAsia="Times New Roman" w:cs="Calibri"/>
        </w:rPr>
        <w:t xml:space="preserve">. However, death counts from each country may be differentially affected by delays in registrations, making comparisons up to one time-point inaccurate. </w:t>
      </w:r>
    </w:p>
    <w:p w:rsidRPr="000506F1" w:rsidR="44CD07CB" w:rsidP="07F6B9F0" w:rsidRDefault="44CD07CB" w14:paraId="294E8801" w14:textId="1B348FED">
      <w:pPr>
        <w:spacing w:line="480" w:lineRule="auto"/>
        <w:rPr>
          <w:rFonts w:ascii="Calibri" w:hAnsi="Calibri" w:eastAsia="Calibri" w:cs="Calibri"/>
        </w:rPr>
      </w:pPr>
      <w:r w:rsidRPr="000506F1">
        <w:rPr>
          <w:rFonts w:ascii="Calibri" w:hAnsi="Calibri" w:eastAsia="Calibri" w:cs="Calibri"/>
        </w:rPr>
        <w:t xml:space="preserve">Another challenge which contributes to the variability of results between countries is differential practices in death reporting. Many studies have previously established significant inaccuracies in the cause of death as reported on death certificates and the WHO estimates that only 13% of the world’s population resides in countries with ideal death registration systems (reviewed in </w:t>
      </w:r>
      <w:r w:rsidRPr="000506F1">
        <w:rPr>
          <w:rFonts w:ascii="Calibri" w:hAnsi="Calibri" w:eastAsia="Calibri" w:cs="Calibri"/>
        </w:rPr>
        <w:fldChar w:fldCharType="begin"/>
      </w:r>
      <w:r w:rsidRPr="000506F1">
        <w:rPr>
          <w:rFonts w:ascii="Calibri" w:hAnsi="Calibri" w:eastAsia="Calibri" w:cs="Calibri"/>
        </w:rPr>
        <w:instrText xml:space="preserve"> ADDIN ZOTERO_ITEM CSL_CITATION {"citationID":"LYWfn427","properties":{"formattedCitation":"\\super 42\\nosupersub{}","plainCitation":"42","noteIndex":0},"citationItems":[{"id":6652,"uris":["http://zotero.org/users/384481/items/774IXVCF"],"uri":["http://zotero.org/users/384481/items/774IXVCF"],"itemData":{"id":6652,"type":"chapter","abstract":"For at least five centuries, death certificates had been used by governments and scientists to judge the health of populations, study epidemiologic associations, and formulate public policy. In most modern countries, the maintenance, dissemination, and study of vital statistics is an important governmental function. Death certificates are also important legal documents. Many previous studies have established significant inaccuracies in the cause of death as reported on death certificates. Other studies have reported inaccuracies in demographic information, such as race, occupation, and alcohol use, as reported on death certificates. Despite these limitations, death certificates remain an important tool for researchers, population health scientists, and policymakers. Strategies to improve the accuracy of death certificates include education of certifiers, performance of more autopsies, and comparison of information on death certificates to similar information contained in other databases.","container-title":"Handbook of Disease Burdens and Quality of Life Measures","event-place":"New York, NY","ISBN":"978-0-387-78665-0","language":"en","note":"DOI: 10.1007/978-0-387-78665-0_18","page":"329-344","publisher":"Springer","publisher-place":"New York, NY","source":"Springer Link","title":"Accuracy of Death Certifications and the Implications for Studying Disease Burdens","URL":"https://doi.org/10.1007/978-0-387-78665-0_18","author":[{"family":"Pierce","given":"J. R."},{"family":"Denison","given":"A. V."}],"editor":[{"family":"Preedy","given":"Victor R."},{"family":"Watson","given":"Ronald R."}],"accessed":{"date-parts":[["2021",3,24]]},"issued":{"date-parts":[["2010"]]}}}],"schema":"https://github.com/citation-style-language/schema/raw/master/csl-citation.json"} </w:instrText>
      </w:r>
      <w:r w:rsidRPr="000506F1">
        <w:rPr>
          <w:rFonts w:ascii="Calibri" w:hAnsi="Calibri" w:eastAsia="Calibri" w:cs="Calibri"/>
        </w:rPr>
        <w:fldChar w:fldCharType="separate"/>
      </w:r>
      <w:r w:rsidRPr="000506F1" w:rsidR="00E96CAE">
        <w:rPr>
          <w:rFonts w:ascii="Calibri" w:hAnsi="Calibri" w:cs="Calibri"/>
          <w:vertAlign w:val="superscript"/>
        </w:rPr>
        <w:t>42</w:t>
      </w:r>
      <w:r w:rsidRPr="000506F1">
        <w:rPr>
          <w:rFonts w:ascii="Calibri" w:hAnsi="Calibri" w:eastAsia="Calibri" w:cs="Calibri"/>
        </w:rPr>
        <w:fldChar w:fldCharType="end"/>
      </w:r>
      <w:r w:rsidRPr="000506F1">
        <w:rPr>
          <w:rFonts w:ascii="Calibri" w:hAnsi="Calibri" w:eastAsia="Calibri" w:cs="Calibri"/>
        </w:rPr>
        <w:t xml:space="preserve">). These inaccuracies may have been exacerbated during the COVID-19 pandemic. More specifically, a report on the reporting COVID-19 deaths in </w:t>
      </w:r>
      <w:r w:rsidRPr="000506F1" w:rsidR="58B7DCD3">
        <w:rPr>
          <w:rFonts w:ascii="Calibri" w:hAnsi="Calibri" w:eastAsia="Calibri" w:cs="Calibri"/>
        </w:rPr>
        <w:t>five</w:t>
      </w:r>
      <w:r w:rsidRPr="000506F1">
        <w:rPr>
          <w:rFonts w:ascii="Calibri" w:hAnsi="Calibri" w:eastAsia="Calibri" w:cs="Calibri"/>
        </w:rPr>
        <w:t xml:space="preserve"> European countries has identified regulatory and legislative differences in the procedures followed regarding the completion of death certificates</w:t>
      </w:r>
      <w:r w:rsidRPr="000506F1">
        <w:rPr>
          <w:rFonts w:ascii="Calibri" w:hAnsi="Calibri" w:eastAsia="Calibri" w:cs="Calibri"/>
        </w:rPr>
        <w:fldChar w:fldCharType="begin"/>
      </w:r>
      <w:r w:rsidRPr="000506F1">
        <w:rPr>
          <w:rFonts w:ascii="Calibri" w:hAnsi="Calibri" w:eastAsia="Calibri" w:cs="Calibri"/>
        </w:rPr>
        <w:instrText xml:space="preserve"> ADDIN ZOTERO_ITEM CSL_CITATION {"citationID":"acv99XEe","properties":{"formattedCitation":"\\super 43\\nosupersub{}","plainCitation":"43","noteIndex":0},"citationItems":[{"id":6653,"uris":["http://zotero.org/users/384481/items/7M9X54X8"],"uri":["http://zotero.org/users/384481/items/7M9X54X8"],"itemData":{"id":6653,"type":"report","event-place":"London","number":"Social Policy Working Paper 10-20","publisher":"LSE Department of Social Policy","publisher-place":"London","title":"Reporting COVID-19 deaths in Austria, France, Germany, Italy, Portugal and the UK","URL":"https://www.lse.ac.uk/social-policy/Assets/Documents/PDF/working-paper-series/10-20-Anne-West.pdf","author":[{"family":"West","given":"Anna"},{"family":"Czypionka","given":"Thomas"},{"family":"Steffen","given":"Monika"},{"family":"Ettelt","given":"Stephanie"},{"family":"Ghislandi","given":"Simone"},{"family":"Mateus","given":"Céu"}],"issued":{"date-parts":[["2020"]]}}}],"schema":"https://github.com/citation-style-language/schema/raw/master/csl-citation.json"} </w:instrText>
      </w:r>
      <w:r w:rsidRPr="000506F1">
        <w:rPr>
          <w:rFonts w:ascii="Calibri" w:hAnsi="Calibri" w:eastAsia="Calibri" w:cs="Calibri"/>
        </w:rPr>
        <w:fldChar w:fldCharType="separate"/>
      </w:r>
      <w:r w:rsidRPr="000506F1" w:rsidR="00E96CAE">
        <w:rPr>
          <w:rFonts w:ascii="Calibri" w:hAnsi="Calibri" w:cs="Calibri"/>
          <w:vertAlign w:val="superscript"/>
        </w:rPr>
        <w:t>43</w:t>
      </w:r>
      <w:r w:rsidRPr="000506F1">
        <w:rPr>
          <w:rFonts w:ascii="Calibri" w:hAnsi="Calibri" w:eastAsia="Calibri" w:cs="Calibri"/>
        </w:rPr>
        <w:fldChar w:fldCharType="end"/>
      </w:r>
      <w:r w:rsidRPr="000506F1">
        <w:rPr>
          <w:rFonts w:ascii="Calibri" w:hAnsi="Calibri" w:eastAsia="Calibri" w:cs="Calibri"/>
        </w:rPr>
        <w:t xml:space="preserve">. </w:t>
      </w:r>
      <w:bookmarkStart w:name="_Hlk70351237" w:id="1"/>
      <w:r w:rsidRPr="000506F1">
        <w:rPr>
          <w:rFonts w:ascii="Calibri" w:hAnsi="Calibri" w:eastAsia="Calibri" w:cs="Calibri"/>
        </w:rPr>
        <w:t>Differential practices between countries include, among others, the need for an external examin</w:t>
      </w:r>
      <w:r w:rsidR="00BB1D10">
        <w:rPr>
          <w:rFonts w:ascii="Calibri" w:hAnsi="Calibri" w:eastAsia="Calibri" w:cs="Calibri"/>
        </w:rPr>
        <w:t>er</w:t>
      </w:r>
      <w:r w:rsidRPr="000506F1">
        <w:rPr>
          <w:rFonts w:ascii="Calibri" w:hAnsi="Calibri" w:eastAsia="Calibri" w:cs="Calibri"/>
        </w:rPr>
        <w:t>, who is authorized to complete the death certificate, and the legislative requirement to notify authorities of suspected COVID-19 deaths.</w:t>
      </w:r>
      <w:bookmarkEnd w:id="1"/>
      <w:r w:rsidRPr="000506F1">
        <w:rPr>
          <w:rFonts w:ascii="Calibri" w:hAnsi="Calibri" w:eastAsia="Calibri" w:cs="Calibri"/>
        </w:rPr>
        <w:t xml:space="preserve"> Additionally, regarding the cause of death, the report highlighted differences between countries in how this is documented on the death certificate, since in most countries the medical practitioner completing the form can exert considerable discretion on what is listed on the certificate. Information provided on the causes of death and reported on death certificates was found to vary considerably, b</w:t>
      </w:r>
      <w:r w:rsidRPr="000506F1" w:rsidR="05AB20D6">
        <w:rPr>
          <w:rFonts w:ascii="Calibri" w:hAnsi="Calibri" w:eastAsia="Calibri" w:cs="Calibri"/>
        </w:rPr>
        <w:t xml:space="preserve">ased on </w:t>
      </w:r>
      <w:r w:rsidRPr="000506F1">
        <w:rPr>
          <w:rFonts w:ascii="Calibri" w:hAnsi="Calibri" w:eastAsia="Calibri" w:cs="Calibri"/>
        </w:rPr>
        <w:t xml:space="preserve">different conventions and/or rules regarding whether COVID-19 </w:t>
      </w:r>
      <w:r w:rsidRPr="000506F1" w:rsidR="6EAAB218">
        <w:rPr>
          <w:rFonts w:ascii="Calibri" w:hAnsi="Calibri" w:eastAsia="Calibri" w:cs="Calibri"/>
        </w:rPr>
        <w:t>wa</w:t>
      </w:r>
      <w:r w:rsidRPr="000506F1">
        <w:rPr>
          <w:rFonts w:ascii="Calibri" w:hAnsi="Calibri" w:eastAsia="Calibri" w:cs="Calibri"/>
        </w:rPr>
        <w:t>s included as a direct or indirect cause of death.</w:t>
      </w:r>
    </w:p>
    <w:p w:rsidRPr="00BF0D9C" w:rsidR="003936C8" w:rsidP="00BF0D9C" w:rsidRDefault="003936C8" w14:paraId="66465C43" w14:textId="12B5D272">
      <w:pPr>
        <w:spacing w:line="480" w:lineRule="auto"/>
        <w:rPr>
          <w:rFonts w:ascii="Calibri" w:hAnsi="Calibri" w:eastAsia="Times New Roman" w:cs="Calibri"/>
        </w:rPr>
      </w:pPr>
      <w:r w:rsidRPr="00BF0D9C">
        <w:rPr>
          <w:rFonts w:ascii="Calibri" w:hAnsi="Calibri" w:eastAsia="Times New Roman" w:cs="Calibri"/>
        </w:rPr>
        <w:lastRenderedPageBreak/>
        <w:t xml:space="preserve">Furthermore, </w:t>
      </w:r>
      <w:r w:rsidRPr="00BF0D9C" w:rsidR="00B11336">
        <w:rPr>
          <w:rFonts w:ascii="Calibri" w:hAnsi="Calibri" w:eastAsia="Times New Roman" w:cs="Calibri"/>
        </w:rPr>
        <w:t xml:space="preserve">the different COVID-19 death definitions adopted by each country, but also the testing practices followed during the pandemic by different countries (testing only hospitalized patients, not testing care-home residents, etc.) adds uncertainty to </w:t>
      </w:r>
      <w:r w:rsidRPr="00BF0D9C">
        <w:rPr>
          <w:rFonts w:ascii="Calibri" w:hAnsi="Calibri" w:eastAsia="Times New Roman" w:cs="Calibri"/>
        </w:rPr>
        <w:t>investigations of COVID-19 and all-cause mortality</w:t>
      </w:r>
      <w:r w:rsidRPr="00BF0D9C" w:rsidR="00B11336">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{"citationID":"CZGCQHap","properties":{"formattedCitation":"\\super 44,45\\nosupersub{}","plainCitation":"44,45","noteIndex":0},"citationItems":[{"id":6497,"uris":["http://zotero.org/users/384481/items/9VMFJ5LA"],"uri":["http://zotero.org/users/384481/items/9VMFJ5LA"],"itemData":{"id":6497,"type":"post-weblog","genre":"COVID-19 Health System Response Monitor: Cross Country Analysis","language":"en-GB","title":"How comparable is COVID-19 mortality across countries? – Cross-Country Analysis","title-short":"How comparable is COVID-19 mortality across countries?","URL":"https://analysis.covid19healthsystem.org/index.php/2020/06/04/how-comparable-is-covid-19-mortality-across-countries/","author":[{"family":"Karanikolos","given":"Maria"},{"family":"McKee","given":"Martin"}],"accessed":{"date-parts":[["2020",12,15]]}}},{"id":6493,"uris":["http://zotero.org/users/384481/items/4V62V9CS"],"uri":["http://zotero.org/users/384481/items/4V62V9CS"],"itemData":{"id":6493,"type":"article-journal","abstract":"Appleby asks what is happening to non-covid deaths.1 The covid-19 pandemic has significantly affected our hepatopancreaticobiliary unit. Because of the need to ring fence critical care facilities, our theatre lists have been reduced, and surgery is only proceeding in cases likely to become inoperable before normal service resumes. Unfortunately, many patients will develop inoperable disease before theatre capacity is reinstated. Although many …","container-title":"BMJ","DOI":"10.1136/bmj.m2153","ISSN":"1756-1833","journalAbbreviation":"BMJ","language":"en","note":"publisher: British Medical Journal Publishing Group\nsection: Letter\nPMID: 32471919","page":"m2153","source":"www.bmj.com","title":"Expanding the definition of covid-19 deaths will show the true effect of the pandemic","volume":"369","author":[{"family":"Labib","given":"Peter L."},{"family":"Aroori","given":"Somaiah"}],"issued":{"date-parts":[["2020",5,29]]}}}],"schema":"https://github.com/citation-style-language/schema/raw/master/csl-citation.json"} </w:instrText>
      </w:r>
      <w:r w:rsidRPr="00BF0D9C" w:rsidR="00B11336">
        <w:rPr>
          <w:rFonts w:ascii="Calibri" w:hAnsi="Calibri" w:eastAsia="Times New Roman" w:cs="Calibri"/>
        </w:rPr>
        <w:fldChar w:fldCharType="separate"/>
      </w:r>
      <w:r w:rsidRPr="00E96CAE" w:rsidR="00E96CAE">
        <w:rPr>
          <w:rFonts w:ascii="Calibri" w:hAnsi="Calibri" w:cs="Calibri"/>
          <w:szCs w:val="24"/>
          <w:vertAlign w:val="superscript"/>
        </w:rPr>
        <w:t>44,45</w:t>
      </w:r>
      <w:r w:rsidRPr="00BF0D9C" w:rsidR="00B11336">
        <w:rPr>
          <w:rFonts w:ascii="Calibri" w:hAnsi="Calibri" w:eastAsia="Times New Roman" w:cs="Calibri"/>
        </w:rPr>
        <w:fldChar w:fldCharType="end"/>
      </w:r>
      <w:r w:rsidRPr="00BF0D9C" w:rsidR="00B11336">
        <w:rPr>
          <w:rFonts w:ascii="Calibri" w:hAnsi="Calibri" w:eastAsia="Times New Roman" w:cs="Calibri"/>
        </w:rPr>
        <w:t>.</w:t>
      </w:r>
      <w:r w:rsidRPr="00BF0D9C" w:rsidR="00382137">
        <w:rPr>
          <w:rFonts w:ascii="Calibri" w:hAnsi="Calibri" w:eastAsia="Times New Roman" w:cs="Calibri"/>
        </w:rPr>
        <w:t xml:space="preserve"> </w:t>
      </w:r>
    </w:p>
    <w:p w:rsidRPr="00BF0D9C" w:rsidR="003936C8" w:rsidP="00BF0D9C" w:rsidRDefault="003936C8" w14:paraId="2D008EA4" w14:textId="2B682D8C">
      <w:pPr>
        <w:spacing w:line="480" w:lineRule="auto"/>
        <w:rPr>
          <w:rFonts w:ascii="Calibri" w:hAnsi="Calibri" w:eastAsia="Times New Roman" w:cs="Calibri"/>
        </w:rPr>
      </w:pPr>
      <w:r w:rsidRPr="00BF0D9C">
        <w:rPr>
          <w:rFonts w:ascii="Calibri" w:hAnsi="Calibri" w:eastAsia="Times New Roman" w:cs="Calibri"/>
        </w:rPr>
        <w:t>Also</w:t>
      </w:r>
      <w:r w:rsidRPr="00BF0D9C" w:rsidR="00B11336">
        <w:rPr>
          <w:rFonts w:ascii="Calibri" w:hAnsi="Calibri" w:eastAsia="Times New Roman" w:cs="Calibri"/>
        </w:rPr>
        <w:t>, depending on their geographical location, different countries experienced the first wave of the pandemic and its peak during different weeks or months of the year. Early in the pandemic, northern hemisphere countries with cold climates appeared to be the most vulnerable to COVID-19 transmission, while southern hemisphere countries and tropical regions seemed to be the least affected</w:t>
      </w:r>
      <w:r w:rsidRPr="00BF0D9C" w:rsidR="00B11336">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{"citationID":"I85slHPc","properties":{"formattedCitation":"\\super 46\\nosupersub{}","plainCitation":"46","noteIndex":0},"citationItems":[{"id":6503,"uris":["http://zotero.org/users/384481/items/VCIQIFQC"],"uri":["http://zotero.org/users/384481/items/VCIQIFQC"],"itemData":{"id":6503,"type":"article-journal","abstract":"Respiratory viruses, including coronaviruses, are known to have a high incidence of infection during winter, especially in temperate regions. Dry and cold conditions during winter are the major drivers for increased respiratory tract infections as they increase virus stability and transmission and weaken the host immune system. The novel severe acute respiratory syndrome coronavirus -2 (SARS-CoV-2) is associated with severe illness and an unprecedented devastating economic burden. The world is currently experiencing the first wave of the pandemic, which will likely be followed by multiple and more severe waves. Even though tropical regions are suffering from a high COVID-19 pandemic burden, virus transmission has been more aggressive in the temperate regions where winter is prevailing. This indicates that cold and dry conditions might promote SARS-CoV-2 infections. Based on our previous knowledge about the seasonality of respiratory viruses and the recent studies about stability and transmission of SARS-CoV-2, we speculate that the virus might mimic the other respiratory viruses and wane during summer due to warmer and more humid weather.","container-title":"Frontiers in Public Health","DOI":"10.3389/fpubh.2020.567184","ISSN":"2296-2565","journalAbbreviation":"Front. Public Health","language":"English","note":"publisher: Frontiers","source":"Frontiers","title":"Seasonality of Respiratory Viral Infections: Will COVID-19 Follow Suit?","title-short":"Seasonality of Respiratory Viral Infections","URL":"https://www.frontiersin.org/articles/10.3389/fpubh.2020.567184/full","volume":"8","author":[{"family":"Audi","given":"Amani"},{"family":"AlIbrahim","given":"Malak"},{"family":"Kaddoura","given":"Malak"},{"family":"Hijazi","given":"Ghina"},{"family":"Yassine","given":"Hadi M."},{"family":"Zaraket","given":"Hassan"}],"accessed":{"date-parts":[["2020",12,15]]},"issued":{"date-parts":[["2020"]]}}}],"schema":"https://github.com/citation-style-language/schema/raw/master/csl-citation.json"} </w:instrText>
      </w:r>
      <w:r w:rsidRPr="00BF0D9C" w:rsidR="00B11336">
        <w:rPr>
          <w:rFonts w:ascii="Calibri" w:hAnsi="Calibri" w:eastAsia="Times New Roman" w:cs="Calibri"/>
        </w:rPr>
        <w:fldChar w:fldCharType="separate"/>
      </w:r>
      <w:r w:rsidRPr="00E96CAE" w:rsidR="00E96CAE">
        <w:rPr>
          <w:rFonts w:ascii="Calibri" w:hAnsi="Calibri" w:cs="Calibri"/>
          <w:szCs w:val="24"/>
          <w:vertAlign w:val="superscript"/>
        </w:rPr>
        <w:t>46</w:t>
      </w:r>
      <w:r w:rsidRPr="00BF0D9C" w:rsidR="00B11336">
        <w:rPr>
          <w:rFonts w:ascii="Calibri" w:hAnsi="Calibri" w:eastAsia="Times New Roman" w:cs="Calibri"/>
        </w:rPr>
        <w:fldChar w:fldCharType="end"/>
      </w:r>
      <w:r w:rsidRPr="00BF0D9C" w:rsidR="00B11336">
        <w:rPr>
          <w:rFonts w:ascii="Calibri" w:hAnsi="Calibri" w:eastAsia="Times New Roman" w:cs="Calibri"/>
        </w:rPr>
        <w:t>. As previously mentioned, these differences may be due to seasonality patterns and more specifically the role of meteorological factors affecting host susceptibility to infection, and modes of transmission</w:t>
      </w:r>
      <w:r w:rsidRPr="00BF0D9C" w:rsidR="00B11336">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{"citationID":"t2evmrtt","properties":{"formattedCitation":"\\super 46,47\\nosupersub{}","plainCitation":"46,47","noteIndex":0},"citationItems":[{"id":6503,"uris":["http://zotero.org/users/384481/items/VCIQIFQC"],"uri":["http://zotero.org/users/384481/items/VCIQIFQC"],"itemData":{"id":6503,"type":"article-journal","abstract":"Respiratory viruses, including coronaviruses, are known to have a high incidence of infection during winter, especially in temperate regions. Dry and cold conditions during winter are the major drivers for increased respiratory tract infections as they increase virus stability and transmission and weaken the host immune system. The novel severe acute respiratory syndrome coronavirus -2 (SARS-CoV-2) is associated with severe illness and an unprecedented devastating economic burden. The world is currently experiencing the first wave of the pandemic, which will likely be followed by multiple and more severe waves. Even though tropical regions are suffering from a high COVID-19 pandemic burden, virus transmission has been more aggressive in the temperate regions where winter is prevailing. This indicates that cold and dry conditions might promote SARS-CoV-2 infections. Based on our previous knowledge about the seasonality of respiratory viruses and the recent studies about stability and transmission of SARS-CoV-2, we speculate that the virus might mimic the other respiratory viruses and wane during summer due to warmer and more humid weather.","container-title":"Frontiers in Public Health","DOI":"10.3389/fpubh.2020.567184","ISSN":"2296-2565","journalAbbreviation":"Front. Public Health","language":"English","note":"publisher: Frontiers","source":"Frontiers","title":"Seasonality of Respiratory Viral Infections: Will COVID-19 Follow Suit?","title-short":"Seasonality of Respiratory Viral Infections","URL":"https://www.frontiersin.org/articles/10.3389/fpubh.2020.567184/full","volume":"8","author":[{"family":"Audi","given":"Amani"},{"family":"AlIbrahim","given":"Malak"},{"family":"Kaddoura","given":"Malak"},{"family":"Hijazi","given":"Ghina"},{"family":"Yassine","given":"Hadi M."},{"family":"Zaraket","given":"Hassan"}],"accessed":{"date-parts":[["2020",12,15]]},"issued":{"date-parts":[["2020"]]}}},{"id":6499,"uris":["http://zotero.org/users/384481/items/4PXRPMIW"],"uri":["http://zotero.org/users/384481/items/4PXRPMIW"],"itemData":{"id":6499,"type":"article-journal","abstract":"The virus causing COVID-19 has spread rapidly worldwide and threatens millions of lives. It remains unknown, as of April 2020, whether summer weather will reduce its spread, thereby alleviating strains on hospitals and providing time for vaccine development. Early insights from laboratory studies and research on related viruses predicted that COVID-19 would decline with higher temperatures, humidity, and ultraviolet (UV) light. Using current, fine-scaled weather data and global reports of infections, we develop a model that explains 36% of the variation in maximum COVID-19 growth rates based on weather and demography (17%) and country-specific effects (19%). UV light is most strongly associated with lower COVID-19 growth. Projections suggest that, without intervention, COVID-19 will decrease temporarily during summer, rebound by autumn, and peak next winter. Validation based on data from May and June 2020 confirms the generality of the climate signal detected. However, uncertainty remains high, and the probability of weekly doubling rates remains &gt;20% throughout summer in the absence of social interventions. Consequently, aggressive interventions will likely be needed despite seasonal trends.","container-title":"Proceedings of the National Academy of Sciences","DOI":"10.1073/pnas.2008590117","ISSN":"0027-8424, 1091-6490","issue":"44","journalAbbreviation":"PNAS","language":"en","note":"publisher: National Academy of Sciences\nsection: Biological Sciences\nPMID: 33051302","page":"27456-27464","source":"www.pnas.org","title":"Seasonality and uncertainty in global COVID-19 growth rates","volume":"117","author":[{"family":"Merow","given":"Cory"},{"family":"Urban","given":"Mark C."}],"issued":{"date-parts":[["2020",11,3]]}}}],"schema":"https://github.com/citation-style-language/schema/raw/master/csl-citation.json"} </w:instrText>
      </w:r>
      <w:r w:rsidRPr="00BF0D9C" w:rsidR="00B11336">
        <w:rPr>
          <w:rFonts w:ascii="Calibri" w:hAnsi="Calibri" w:eastAsia="Times New Roman" w:cs="Calibri"/>
        </w:rPr>
        <w:fldChar w:fldCharType="separate"/>
      </w:r>
      <w:r w:rsidRPr="00E96CAE" w:rsidR="00E96CAE">
        <w:rPr>
          <w:rFonts w:ascii="Calibri" w:hAnsi="Calibri" w:cs="Calibri"/>
          <w:szCs w:val="24"/>
          <w:vertAlign w:val="superscript"/>
        </w:rPr>
        <w:t>46,47</w:t>
      </w:r>
      <w:r w:rsidRPr="00BF0D9C" w:rsidR="00B11336">
        <w:rPr>
          <w:rFonts w:ascii="Calibri" w:hAnsi="Calibri" w:eastAsia="Times New Roman" w:cs="Calibri"/>
        </w:rPr>
        <w:fldChar w:fldCharType="end"/>
      </w:r>
      <w:r w:rsidRPr="00BF0D9C" w:rsidR="00B11336">
        <w:rPr>
          <w:rFonts w:ascii="Calibri" w:hAnsi="Calibri" w:eastAsia="Times New Roman" w:cs="Calibri"/>
        </w:rPr>
        <w:t xml:space="preserve">. The countries participating in this study have very diverse geographic locations, spanning both hemispheres. Even though we attempted to include in this publication data up until the end of August 2020, </w:t>
      </w:r>
      <w:r w:rsidRPr="00BF0D9C" w:rsidR="45FB3AAF">
        <w:rPr>
          <w:rFonts w:ascii="Calibri" w:hAnsi="Calibri" w:eastAsia="Calibri" w:cs="Calibri"/>
          <w:color w:val="000000" w:themeColor="text1"/>
        </w:rPr>
        <w:t xml:space="preserve">we were not able </w:t>
      </w:r>
      <w:r w:rsidRPr="00BF0D9C" w:rsidR="00B11336">
        <w:rPr>
          <w:rFonts w:ascii="Calibri" w:hAnsi="Calibri" w:eastAsia="Times New Roman" w:cs="Calibri"/>
        </w:rPr>
        <w:t>to fully capture the first wave of the pandemic</w:t>
      </w:r>
      <w:r w:rsidRPr="00BF0D9C" w:rsidR="0FD861A8">
        <w:rPr>
          <w:rFonts w:ascii="Calibri" w:hAnsi="Calibri" w:eastAsia="Times New Roman" w:cs="Calibri"/>
        </w:rPr>
        <w:t>;</w:t>
      </w:r>
      <w:r w:rsidRPr="00BF0D9C" w:rsidR="00B11336">
        <w:rPr>
          <w:rFonts w:ascii="Calibri" w:hAnsi="Calibri" w:eastAsia="Times New Roman" w:cs="Calibri"/>
        </w:rPr>
        <w:t xml:space="preserve"> countries such as Cape Verde never experienced a peak in COVID-19 infections during this study’s observation period. Case numbers</w:t>
      </w:r>
      <w:r w:rsidRPr="00BF0D9C" w:rsidR="00CC6686">
        <w:rPr>
          <w:rFonts w:ascii="Calibri" w:hAnsi="Calibri" w:eastAsia="Times New Roman" w:cs="Calibri"/>
        </w:rPr>
        <w:t xml:space="preserve"> provide</w:t>
      </w:r>
      <w:r w:rsidRPr="00BF0D9C" w:rsidR="00B11336">
        <w:rPr>
          <w:rFonts w:ascii="Calibri" w:hAnsi="Calibri" w:eastAsia="Times New Roman" w:cs="Calibri"/>
        </w:rPr>
        <w:t xml:space="preserve"> evidence that the COVID-19 pandemic only started to noticeably influence Cape Verde after June 2020</w:t>
      </w:r>
      <w:r w:rsidRPr="00BF0D9C" w:rsidR="00B11336">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{"citationID":"20OGlrO4","properties":{"formattedCitation":"\\super 48\\nosupersub{}","plainCitation":"48","noteIndex":0},"citationItems":[{"id":6487,"uris":["http://zotero.org/users/384481/items/BFF87TAY"],"uri":["http://zotero.org/users/384481/items/BFF87TAY"],"itemData":{"id":6487,"type":"article-journal","abstract":"Cape Verde: What has been the impact of the Coronavirus Pandemic (COVID-19)?","container-title":"Our World in Data","journalAbbreviation":"Our World in Data","source":"ourworldindata.org","title":"Cape Verde: Coronavirus Pandemic Country Profile","URL":"https://ourworldindata.org/coronavirus/country/cape-verde","author":[{"family":"Roser","given":"Max"},{"family":"Ritchie","given":"Hannah"},{"family":"Ortiz-Ospina","given":"Esteban"},{"family":"Hasell","given":"Joe"}],"accessed":{"date-parts":[["2020",12,15]]},"issued":{"date-parts":[["2020",5,26]]}}}],"schema":"https://github.com/citation-style-language/schema/raw/master/csl-citation.json"} </w:instrText>
      </w:r>
      <w:r w:rsidRPr="00BF0D9C" w:rsidR="00B11336">
        <w:rPr>
          <w:rFonts w:ascii="Calibri" w:hAnsi="Calibri" w:eastAsia="Times New Roman" w:cs="Calibri"/>
        </w:rPr>
        <w:fldChar w:fldCharType="separate"/>
      </w:r>
      <w:r w:rsidRPr="00E96CAE" w:rsidR="00E96CAE">
        <w:rPr>
          <w:rFonts w:ascii="Calibri" w:hAnsi="Calibri" w:cs="Calibri"/>
          <w:szCs w:val="24"/>
          <w:vertAlign w:val="superscript"/>
        </w:rPr>
        <w:t>48</w:t>
      </w:r>
      <w:r w:rsidRPr="00BF0D9C" w:rsidR="00B11336">
        <w:rPr>
          <w:rFonts w:ascii="Calibri" w:hAnsi="Calibri" w:eastAsia="Times New Roman" w:cs="Calibri"/>
        </w:rPr>
        <w:fldChar w:fldCharType="end"/>
      </w:r>
      <w:r w:rsidRPr="00BF0D9C" w:rsidR="00B11336">
        <w:rPr>
          <w:rFonts w:ascii="Calibri" w:hAnsi="Calibri" w:eastAsia="Times New Roman" w:cs="Calibri"/>
        </w:rPr>
        <w:t xml:space="preserve">. Therefore, </w:t>
      </w:r>
      <w:r w:rsidRPr="00BF0D9C">
        <w:rPr>
          <w:rFonts w:ascii="Calibri" w:hAnsi="Calibri" w:eastAsia="Times New Roman" w:cs="Calibri"/>
        </w:rPr>
        <w:t>the timing of such investigations needs to be considered w</w:t>
      </w:r>
      <w:r w:rsidRPr="00BF0D9C" w:rsidR="003B3FEE">
        <w:rPr>
          <w:rFonts w:ascii="Calibri" w:hAnsi="Calibri" w:eastAsia="Times New Roman" w:cs="Calibri"/>
        </w:rPr>
        <w:t xml:space="preserve">hen interpreting </w:t>
      </w:r>
      <w:r w:rsidRPr="00BF0D9C" w:rsidR="00CC6686">
        <w:rPr>
          <w:rFonts w:ascii="Calibri" w:hAnsi="Calibri" w:eastAsia="Times New Roman" w:cs="Calibri"/>
        </w:rPr>
        <w:t>each country’s</w:t>
      </w:r>
      <w:r w:rsidRPr="00BF0D9C" w:rsidR="003B3FEE">
        <w:rPr>
          <w:rFonts w:ascii="Calibri" w:hAnsi="Calibri" w:eastAsia="Times New Roman" w:cs="Calibri"/>
        </w:rPr>
        <w:t xml:space="preserve"> results.</w:t>
      </w:r>
    </w:p>
    <w:p w:rsidRPr="00BF0D9C" w:rsidR="6DCEBC4C" w:rsidP="00BF0D9C" w:rsidRDefault="003936C8" w14:paraId="06F31876" w14:textId="04326352">
      <w:pPr>
        <w:spacing w:line="480" w:lineRule="auto"/>
        <w:rPr>
          <w:rFonts w:ascii="Calibri" w:hAnsi="Calibri" w:eastAsia="Times New Roman" w:cs="Calibri"/>
        </w:rPr>
      </w:pPr>
      <w:r w:rsidRPr="00BF0D9C">
        <w:rPr>
          <w:rFonts w:ascii="Calibri" w:hAnsi="Calibri" w:eastAsia="Times New Roman" w:cs="Calibri"/>
        </w:rPr>
        <w:t>E</w:t>
      </w:r>
      <w:r w:rsidRPr="00BF0D9C" w:rsidR="00B11336">
        <w:rPr>
          <w:rFonts w:ascii="Calibri" w:hAnsi="Calibri" w:eastAsia="Times New Roman" w:cs="Calibri"/>
        </w:rPr>
        <w:t xml:space="preserve">xcess </w:t>
      </w:r>
      <w:r w:rsidRPr="00BF0D9C">
        <w:rPr>
          <w:rFonts w:ascii="Calibri" w:hAnsi="Calibri" w:eastAsia="Times New Roman" w:cs="Calibri"/>
        </w:rPr>
        <w:t xml:space="preserve">all-cause </w:t>
      </w:r>
      <w:r w:rsidRPr="00BF0D9C" w:rsidR="00B11336">
        <w:rPr>
          <w:rFonts w:ascii="Calibri" w:hAnsi="Calibri" w:eastAsia="Times New Roman" w:cs="Calibri"/>
        </w:rPr>
        <w:t>mortality</w:t>
      </w:r>
      <w:r w:rsidRPr="00BF0D9C">
        <w:rPr>
          <w:rFonts w:ascii="Calibri" w:hAnsi="Calibri" w:eastAsia="Times New Roman" w:cs="Calibri"/>
        </w:rPr>
        <w:t xml:space="preserve"> investigations are made even more challenging by</w:t>
      </w:r>
      <w:r w:rsidRPr="00BF0D9C" w:rsidR="00B11336">
        <w:rPr>
          <w:rFonts w:ascii="Calibri" w:hAnsi="Calibri" w:eastAsia="Times New Roman" w:cs="Calibri"/>
        </w:rPr>
        <w:t xml:space="preserve"> the evidenced differences in baseline mortality in different countries</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{"citationID":"Xptq1ObR","properties":{"formattedCitation":"\\super 49\\nosupersub{}","plainCitation":"49","noteIndex":0},"citationItems":[{"id":2187,"uris":["http://zotero.org/users/384481/items/V5SQLCHP"],"uri":["http://zotero.org/users/384481/items/V5SQLCHP"],"itemData":{"id":2187,"type":"article-journal","abstract":"&lt;h2&gt;Summary&lt;/h2&gt;&lt;h3&gt;Background&lt;/h3&gt;&lt;p&gt;Comparable data on the global and country-specific burden of neurological disorders and their trends are crucial for health-care planning and resource allocation. The Global Burden of Diseases, Injuries, and Risk Factors (GBD) Study provides such information but does not routinely aggregate results that are of interest to clinicians specialising in neurological conditions. In this systematic analysis, we quantified the global disease burden due to neurological disorders in 2015 and its relationship with country development level.&lt;/p&gt;&lt;h3&gt;Methods&lt;/h3&gt;&lt;p&gt;We estimated global and country-specific prevalence, mortality, disability-adjusted life-years (DALYs), years of life lost (YLLs), and years lived with disability (YLDs) for various neurological disorders that in the GBD classification have been previously spread across multiple disease groupings. The more inclusive grouping of neurological disorders included stroke, meningitis, encephalitis, tetanus, Alzheimer's disease and other dementias, Parkinson's disease, epilepsy, multiple sclerosis, motor neuron disease, migraine, tension-type headache, medication overuse headache, brain and nervous system cancers, and a residual category of other neurological disorders. We also analysed results based on the Socio-demographic Index (SDI), a compound measure of income per capita, education, and fertility, to identify patterns associated with development and how countries fare against expected outcomes relative to their level of development.&lt;/p&gt;&lt;h3&gt;Findings&lt;/h3&gt;&lt;p&gt;Neurological disorders ranked as the leading cause group of DALYs in 2015 (250·7 [95% uncertainty interval (UI) 229·1 to 274·7] million, comprising 10·2% of global DALYs) and the second-leading cause group of deaths (9·4 [9·1 to 9·7] million], comprising 16·8% of global deaths). The most prevalent neurological disorders were tension-type headache (1505·9 [UI 1337·3 to 1681·6 million cases]), migraine (958·8 [872·1 to 1055·6] million), medication overuse headache (58·5 [50·8 to 67·4 million]), and Alzheimer's disease and other dementias (46·0 [40·2 to 52·7 million]). Between 1990 and 2015, the number of deaths from neurological disorders increased by 36·7%, and the number of DALYs by 7·4%. These increases occurred despite decreases in age-standardised rates of death and DALYs of 26·1% and 29·7%, respectively; stroke and communicable neurological disorders were responsible for most of these decreases. Communicable neurological disorders were the largest cause of DALYs in countries with low SDI. Stroke rates were highest at middle levels of SDI and lowest at the highest SDI. Most of the changes in DALY rates of neurological disorders with development were driven by changes in YLLs.&lt;/p&gt;&lt;h3&gt;Interpretation&lt;/h3&gt;&lt;p&gt;Neurological disorders are an important cause of disability and death worldwide. Globally, the burden of neurological disorders has increased substantially over the past 25 years because of expanding population numbers and ageing, despite substantial decreases in mortality rates from stroke and communicable neurological disorders. The number of patients who will need care by clinicians with expertise in neurological conditions will continue to grow in coming decades. Policy makers and health-care providers should be aware of these trends to provide adequate services.&lt;/p&gt;&lt;h3&gt;Funding&lt;/h3&gt;&lt;p&gt;Bill &amp; Melinda Gates Foundation.&lt;/p&gt;","container-title":"The Lancet Neurology","DOI":"10.1016/S1474-4422(17)30299-5","ISSN":"1474-4422, 1474-4465","issue":"11","journalAbbreviation":"The Lancet Neurology","language":"English","note":"PMID: 28931491, 28931491","page":"877-897","source":"www.thelancet.com","title":"Global, regional, and national burden of neurological disorders during 1990–2015: a systematic analysis for the Global Burden of Disease Study 2015","title-short":"Global, regional, and national burden of neurological disorders during 1990–2015","volume":"16","author":[{"family":"Feigin","given":"Valery L."},{"family":"Abajobir","given":"Amanuel Alemu"},{"family":"Abate","given":"Kalkidan Hassen"},{"family":"Abd-Allah","given":"Foad"},{"family":"Abdulle","given":"Abdishakur M."},{"family":"Abera","given":"Semaw Ferede"},{"family":"Abyu","given":"Gebre Yitayih"},{"family":"Ahmed","given":"Muktar Beshir"},{"family":"Aichour","given":"Amani Nidhal"},{"family":"Aichour","given":"Ibtihel"},{"family":"Aichour","given":"Miloud Taki Eddine"},{"family":"Akinyemi","given":"Rufus Olusola"},{"family":"Alabed","given":"Samer"},{"family":"Al-Raddadi","given":"Rajaa"},{"family":"Alvis-Guzman","given":"Nelson"},{"family":"Amare","given":"Azmeraw T."},{"family":"Ansari","given":"Hossein"},{"family":"Anwari","given":"Palwasha"},{"family":"Ärnlöv","given":"Johan"},{"family":"Asayesh","given":"Hamid"},{"family":"Asgedom","given":"Solomon Weldegebreal"},{"family":"Atey","given":"Tesfay Mehari"},{"family":"Avila-Burgos","given":"Leticia"},{"family":"Frinel","given":"Euripide"},{"family":"Avokpaho","given":"G. Arthur"},{"family":"Azarpazhooh","given":"Mahmood Reza"},{"family":"Barac","given":"Aleksandra"},{"family":"Barboza","given":"Miguel"},{"family":"Barker-Collo","given":"Suzanne L."},{"family":"Bärnighausen","given":"Till"},{"family":"Bedi","given":"Neeraj"},{"family":"Beghi","given":"Ettore"},{"family":"Bennett","given":"Derrick A."},{"family":"Bensenor","given":"Isabela M."},{"family":"Berhane","given":"Adugnaw"},{"family":"Betsu","given":"Balem Demtsu"},{"family":"Bhaumik","given":"Soumyadeep"},{"family":"Birlik","given":"Sait Mentes"},{"family":"Biryukov","given":"Stan"},{"family":"Boneya","given":"Dube Jara"},{"family":"Bulto","given":"Lemma Negesa Bulto"},{"family":"Carabin","given":"Hélène"},{"family":"Casey","given":"Daniel"},{"family":"Castañeda-Orjuela","given":"Carlos A."},{"family":"Catalá-López","given":"Ferrán"},{"family":"Chen","given":"Honglei"},{"family":"Chitheer","given":"Abdulaal A."},{"family":"Chowdhury","given":"Rajiv"},{"family":"Christensen","given":"Hanne"},{"family":"Dandona","given":"Lalit"},{"family":"Dandona","given":"Rakhi"},{"family":"Veber","given":"Gabrielle A.","dropping-particle":"de"},{"family":"Dharmaratne","given":"Samath D."},{"family":"Do","given":"Huyen Phuc"},{"family":"Dokova","given":"Klara"},{"family":"Dorsey","given":"E. Ray"},{"family":"Ellenbogen","given":"Richard G."},{"family":"Eskandarieh","given":"Sharareh"},{"family":"Farvid","given":"Maryam S."},{"family":"Fereshtehnejad","given":"Seyed-Mohammad"},{"family":"Fischer","given":"Florian"},{"family":"Foreman","given":"Kyle J."},{"family":"Geleijnse","given":"Johanna M."},{"family":"Gillum","given":"Richard F."},{"family":"Giussani","given":"Giorgia"},{"family":"Goldberg","given":"Ellen M."},{"family":"Gona","given":"Philimon N."},{"family":"Goulart","given":"Alessandra Carvalho"},{"family":"Gugnani","given":"Harish Chander"},{"family":"Gupta","given":"Rahul"},{"family":"Hachinski","given":"Vladimir"},{"family":"Gupta","given":"Rajeev"},{"family":"Hamadeh","given":"Randah Ribhi"},{"family":"Hambisa","given":"Mitiku"},{"family":"Hankey","given":"Graeme J."},{"family":"Hareri","given":"Habtamu Abera"},{"family":"Havmoeller","given":"Rasmus"},{"family":"Hay","given":"Simon I."},{"family":"Heydarpour","given":"Pouria"},{"family":"Hotez","given":"Peter J."},{"family":"Jakovljevic","given":"Mihajlo (Michael) B."},{"family":"Javanbakht","given":"Mehdi"},{"family":"Jeemon","given":"Panniyammakal"},{"family":"Jonas","given":"Jost B."},{"family":"Kalkonde","given":"Yogeshwar"},{"family":"Kandel","given":"Amit"},{"family":"Karch","given":"André"},{"family":"Kasaeian","given":"Amir"},{"family":"Kastor","given":"Anshul"},{"family":"Keiyoro","given":"Peter Njenga"},{"family":"Khader","given":"Yousef Saleh"},{"family":"Khalil","given":"Ibrahim A."},{"family":"Khan","given":"Ejaz Ahmad"},{"family":"Khang","given":"Young-Ho"},{"family":"Tawfih","given":"Abdullah"},{"family":"Khoja","given":"Abdullah"},{"family":"Khubchandani","given":"Jagdish"},{"family":"Kulkarni","given":"Chanda"},{"family":"Kim","given":"Daniel"},{"family":"Kim","given":"Yun Jin"},{"family":"Kivimaki","given":"Mika"},{"family":"Kokubo","given":"Yoshihiro"},{"family":"Kosen","given":"Soewarta"},{"family":"Kravchenko","given":"Michael"},{"family":"Krishnamurthi","given":"Rita Vanmala"},{"family":"Defo","given":"Barthelemy Kuate"},{"family":"Kumar","given":"G. Anil"},{"family":"Kumar","given":"Rashmi"},{"family":"Kyu","given":"Hmwe H."},{"family":"Larsson","given":"Anders"},{"family":"Lavados","given":"Pablo M."},{"family":"Li","given":"Yongmei"},{"family":"Liang","given":"Xiaofeng"},{"family":"Liben","given":"Misgan Legesse"},{"family":"Lo","given":"Warren D."},{"family":"Logroscino","given":"Giancarlo"},{"family":"Lotufo","given":"Paulo A."},{"family":"Loy","given":"Clement T."},{"family":"Mackay","given":"Mark T."},{"family":"Razek","given":"Hassan Magdy Abd El"},{"family":"Razek","given":"Mohammed Magdy Abd El"},{"family":"Majeed","given":"Azeem"},{"family":"Malekzadeh","given":"Reza"},{"family":"Manhertz","given":"Treh"},{"family":"Mantovani","given":"Lorenzo G."},{"family":"Massano","given":"João"},{"family":"Mazidi","given":"Mohsen"},{"family":"McAlinden","given":"Colm"},{"family":"Mehata","given":"Suresh"},{"family":"Mehndiratta","given":"Man Mohan"},{"family":"Memish","given":"Ziad A."},{"family":"Mendoza","given":"Walter"},{"family":"Mengistie","given":"Mubarek Abera"},{"family":"Mensah","given":"George A."},{"family":"Meretoja","given":"Atte"},{"family":"Mezgebe","given":"Haftay Berhane"},{"family":"Miller","given":"Ted R."},{"family":"Mishra","given":"Shiva Raj"},{"family":"Ibrahim","given":"Norlinah Mohamed"},{"family":"Mohammadi","given":"Alireza"},{"family":"Mohammed","given":"Kedir Endris"},{"family":"Mohammed","given":"Shafiu"},{"family":"Mokdad","given":"Ali H."},{"family":"Moradi-Lakeh","given":"Maziar"},{"family":"Velasquez","given":"Ilais Moreno"},{"family":"Musa","given":"Kamarul Imran"},{"family":"Naghavi","given":"Mohsen"},{"family":"Ngunjiri","given":"Josephine Wanjiku"},{"family":"Nguyen","given":"Cuong Tat"},{"family":"Nguyen","given":"Grant"},{"family":"Nguyen","given":"Quyen Le"},{"family":"Nguyen","given":"Trang Huyen"},{"family":"Nichols","given":"Emma"},{"family":"Ningrum","given":"Dina Nur Anggraini"},{"family":"Nong","given":"Vuong Minh"},{"family":"Norrving","given":"Bo"},{"family":"Noubiap","given":"Jean Jacques N."},{"family":"Ogbo","given":"Felix Akpojene"},{"family":"Owolabi","given":"Mayowa O."},{"family":"Pandian","given":"Jeyaraj D."},{"family":"Parmar","given":"Priyakumari Ganesh"},{"family":"Pereira","given":"David M."},{"family":"Petzold","given":"Max"},{"family":"Phillips","given":"Michael Robert"},{"family":"Piradov","given":"Michael A."},{"family":"Poulton","given":"Richie G."},{"family":"Pourmalek","given":"Farshad"},{"family":"Qorbani","given":"Mostafa"},{"family":"Rafay","given":"Anwar"},{"family":"Rahman","given":"Mahfuzar"},{"family":"Rahman","given":"Mohammad HifzUr"},{"family":"Rai","given":"Rajesh Kumar"},{"family":"Rajsic","given":"Sasa"},{"family":"Ranta","given":"Annemarei"},{"family":"Rawaf","given":"Salman"},{"family":"Renzaho","given":"Andre M. N."},{"family":"Rezai","given":"Mohammad Sadegh"},{"family":"Roth","given":"Gregory A."},{"family":"Roshandel","given":"Gholamreza"},{"family":"Rubagotti","given":"Enrico"},{"family":"Sachdev","given":"Perminder"},{"family":"Safiri","given":"Saeid"},{"family":"Sahathevan","given":"Ramesh"},{"family":"Sahraian","given":"Mohammad Ali"},{"family":"Samy","given":"Abdallah M."},{"family":"Santalucia","given":"Paula"},{"family":"Santos","given":"Itamar S."},{"family":"Sartorius","given":"Benn"},{"family":"Satpathy","given":"Maheswar"},{"family":"Sawhney","given":"Monika"},{"family":"Saylan","given":"Mete I."},{"family":"Sepanlou","given":"Sadaf G."},{"family":"Shaikh","given":"Masood Ali"},{"family":"Shakir","given":"Raad"},{"family":"Shamsizadeh","given":"Morteza"},{"family":"Sheth","given":"Kevin N."},{"family":"Shigematsu","given":"Mika"},{"family":"Shoman","given":"Haitham"},{"family":"Silva","given":"Diego Augusto Santos"},{"family":"Smith","given":"Mari"},{"family":"Sobngwi","given":"Eugene"},{"family":"Sposato","given":"Luciano A."},{"family":"Stanaway","given":"Jeffrey D."},{"family":"Stein","given":"Dan J."},{"family":"Steiner","given":"Timothy J."},{"family":"Stovner","given":"Lars Jacob"},{"family":"Abdulkader","given":"Rizwan Suliankatchi"},{"family":"Szoeke","given":"Cassandra EI"},{"family":"Tabarés-Seisdedos","given":"Rafael"},{"family":"Tanne","given":"David"},{"family":"Theadom","given":"Alice M."},{"family":"Thrift","given":"Amanda G."},{"family":"Tirschwell","given":"David L."},{"family":"Topor-Madry","given":"Roman"},{"family":"Tran","given":"Bach Xuan"},{"family":"Truelsen","given":"Thomas"},{"family":"Tuem","given":"Kald Beshir"},{"family":"Ukwaja","given":"Kingsley Nnanna"},{"family":"Uthman","given":"Olalekan A."},{"family":"Varakin","given":"Yuri Y."},{"family":"Vasankari","given":"Tommi"},{"family":"Venketasubramanian","given":"Narayanaswamy"},{"family":"Vlassov","given":"Vasiliy Victorovich"},{"family":"Wadilo","given":"Fiseha"},{"family":"Wakayo","given":"Tolassa"},{"family":"Wallin","given":"Mitchell T."},{"family":"Weiderpass","given":"Elisabete"},{"family":"Westerman","given":"Ronny"},{"family":"Wijeratne","given":"Tissa"},{"family":"Wiysonge","given":"Charles Shey"},{"family":"Woldu","given":"Minyahil Alebachew"},{"family":"Wolfe","given":"Charles D. A."},{"family":"Xavier","given":"Denis"},{"family":"Xu","given":"Gelin"},{"family":"Yano","given":"Yuichiro"},{"family":"Yimam","given":"Hassen Hamid"},{"family":"Yonemoto","given":"Naohiro"},{"family":"Yu","given":"Chuanhua"},{"family":"Zaidi","given":"Zoubida"},{"family":"Zaki","given":"Maysaa El Sayed"},{"family":"Zunt","given":"Joseph R."},{"family":"Murray","given":"Christopher J. L."},{"family":"Vos","given":"Theo"}],"issued":{"date-parts":[["2017",11,1]]}}}],"schema":"https://github.com/citation-style-language/schema/raw/master/csl-citation.json"}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49</w:t>
      </w:r>
      <w:r w:rsidRPr="00BF0D9C">
        <w:rPr>
          <w:rFonts w:ascii="Calibri" w:hAnsi="Calibri" w:eastAsia="Times New Roman" w:cs="Calibri"/>
        </w:rPr>
        <w:fldChar w:fldCharType="end"/>
      </w:r>
      <w:r w:rsidRPr="00BF0D9C" w:rsidR="00B11336">
        <w:rPr>
          <w:rFonts w:ascii="Calibri" w:hAnsi="Calibri" w:eastAsia="Times New Roman" w:cs="Calibri"/>
        </w:rPr>
        <w:t xml:space="preserve">. In this study, the crude YTD all-cause mortality rate for countries providing data </w:t>
      </w:r>
      <w:r w:rsidRPr="00BF0D9C" w:rsidR="00136736">
        <w:rPr>
          <w:rFonts w:ascii="Calibri" w:hAnsi="Calibri" w:eastAsia="Times New Roman" w:cs="Calibri"/>
        </w:rPr>
        <w:t>until August</w:t>
      </w:r>
      <w:r w:rsidRPr="00BF0D9C" w:rsidR="00B11336">
        <w:rPr>
          <w:rFonts w:ascii="Calibri" w:hAnsi="Calibri" w:eastAsia="Times New Roman" w:cs="Calibri"/>
        </w:rPr>
        <w:t xml:space="preserve"> ranged from 353.1 </w:t>
      </w:r>
      <w:r w:rsidRPr="00BF0D9C" w:rsidR="0067211C">
        <w:t xml:space="preserve">deaths per 100,000 </w:t>
      </w:r>
      <w:r w:rsidRPr="00BF0D9C" w:rsidR="7210A78F">
        <w:t>population</w:t>
      </w:r>
      <w:r w:rsidRPr="00BF0D9C" w:rsidR="00B11336">
        <w:rPr>
          <w:rFonts w:ascii="Calibri" w:hAnsi="Calibri" w:eastAsia="Times New Roman" w:cs="Calibri"/>
        </w:rPr>
        <w:t xml:space="preserve"> in Israel to 874.7 </w:t>
      </w:r>
      <w:r w:rsidRPr="00BF0D9C" w:rsidR="54E619F3">
        <w:t>deaths per 100,000 population</w:t>
      </w:r>
      <w:r w:rsidRPr="00BF0D9C" w:rsidR="00B11336">
        <w:rPr>
          <w:rFonts w:ascii="Calibri" w:hAnsi="Calibri" w:eastAsia="Times New Roman" w:cs="Calibri"/>
        </w:rPr>
        <w:t xml:space="preserve"> in Georgia. Differences in baseline mortality between countries can be attributed, among others, to the age-distribution of populations, the different burdens of disease and differential access to healthcare</w:t>
      </w:r>
      <w:r w:rsidRPr="00BF0D9C">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{"citationID":"nSt0wdMl","properties":{"formattedCitation":"\\super 49\\nosupersub{}","plainCitation":"49","noteIndex":0},"citationItems":[{"id":2187,"uris":["http://zotero.org/users/384481/items/V5SQLCHP"],"uri":["http://zotero.org/users/384481/items/V5SQLCHP"],"itemData":{"id":2187,"type":"article-journal","abstract":"&lt;h2&gt;Summary&lt;/h2&gt;&lt;h3&gt;Background&lt;/h3&gt;&lt;p&gt;Comparable data on the global and country-specific burden of neurological disorders and their trends are crucial for health-care planning and resource allocation. The Global Burden of Diseases, Injuries, and Risk Factors (GBD) Study provides such information but does not routinely aggregate results that are of interest to clinicians specialising in neurological conditions. In this systematic analysis, we quantified the global disease burden due to neurological disorders in 2015 and its relationship with country development level.&lt;/p&gt;&lt;h3&gt;Methods&lt;/h3&gt;&lt;p&gt;We estimated global and country-specific prevalence, mortality, disability-adjusted life-years (DALYs), years of life lost (YLLs), and years lived with disability (YLDs) for various neurological disorders that in the GBD classification have been previously spread across multiple disease groupings. The more inclusive grouping of neurological disorders included stroke, meningitis, encephalitis, tetanus, Alzheimer's disease and other dementias, Parkinson's disease, epilepsy, multiple sclerosis, motor neuron disease, migraine, tension-type headache, medication overuse headache, brain and nervous system cancers, and a residual category of other neurological disorders. We also analysed results based on the Socio-demographic Index (SDI), a compound measure of income per capita, education, and fertility, to identify patterns associated with development and how countries fare against expected outcomes relative to their level of development.&lt;/p&gt;&lt;h3&gt;Findings&lt;/h3&gt;&lt;p&gt;Neurological disorders ranked as the leading cause group of DALYs in 2015 (250·7 [95% uncertainty interval (UI) 229·1 to 274·7] million, comprising 10·2% of global DALYs) and the second-leading cause group of deaths (9·4 [9·1 to 9·7] million], comprising 16·8% of global deaths). The most prevalent neurological disorders were tension-type headache (1505·9 [UI 1337·3 to 1681·6 million cases]), migraine (958·8 [872·1 to 1055·6] million), medication overuse headache (58·5 [50·8 to 67·4 million]), and Alzheimer's disease and other dementias (46·0 [40·2 to 52·7 million]). Between 1990 and 2015, the number of deaths from neurological disorders increased by 36·7%, and the number of DALYs by 7·4%. These increases occurred despite decreases in age-standardised rates of death and DALYs of 26·1% and 29·7%, respectively; stroke and communicable neurological disorders were responsible for most of these decreases. Communicable neurological disorders were the largest cause of DALYs in countries with low SDI. Stroke rates were highest at middle levels of SDI and lowest at the highest SDI. Most of the changes in DALY rates of neurological disorders with development were driven by changes in YLLs.&lt;/p&gt;&lt;h3&gt;Interpretation&lt;/h3&gt;&lt;p&gt;Neurological disorders are an important cause of disability and death worldwide. Globally, the burden of neurological disorders has increased substantially over the past 25 years because of expanding population numbers and ageing, despite substantial decreases in mortality rates from stroke and communicable neurological disorders. The number of patients who will need care by clinicians with expertise in neurological conditions will continue to grow in coming decades. Policy makers and health-care providers should be aware of these trends to provide adequate services.&lt;/p&gt;&lt;h3&gt;Funding&lt;/h3&gt;&lt;p&gt;Bill &amp; Melinda Gates Foundation.&lt;/p&gt;","container-title":"The Lancet Neurology","DOI":"10.1016/S1474-4422(17)30299-5","ISSN":"1474-4422, 1474-4465","issue":"11","journalAbbreviation":"The Lancet Neurology","language":"English","note":"PMID: 28931491, 28931491","page":"877-897","source":"www.thelancet.com","title":"Global, regional, and national burden of neurological disorders during 1990–2015: a systematic analysis for the Global Burden of Disease Study 2015","title-short":"Global, regional, and national burden of neurological disorders during 1990–2015","volume":"16","author":[{"family":"Feigin","given":"Valery L."},{"family":"Abajobir","given":"Amanuel Alemu"},{"family":"Abate","given":"Kalkidan Hassen"},{"family":"Abd-Allah","given":"Foad"},{"family":"Abdulle","given":"Abdishakur M."},{"family":"Abera","given":"Semaw Ferede"},{"family":"Abyu","given":"Gebre Yitayih"},{"family":"Ahmed","given":"Muktar Beshir"},{"family":"Aichour","given":"Amani Nidhal"},{"family":"Aichour","given":"Ibtihel"},{"family":"Aichour","given":"Miloud Taki Eddine"},{"family":"Akinyemi","given":"Rufus Olusola"},{"family":"Alabed","given":"Samer"},{"family":"Al-Raddadi","given":"Rajaa"},{"family":"Alvis-Guzman","given":"Nelson"},{"family":"Amare","given":"Azmeraw T."},{"family":"Ansari","given":"Hossein"},{"family":"Anwari","given":"Palwasha"},{"family":"Ärnlöv","given":"Johan"},{"family":"Asayesh","given":"Hamid"},{"family":"Asgedom","given":"Solomon Weldegebreal"},{"family":"Atey","given":"Tesfay Mehari"},{"family":"Avila-Burgos","given":"Leticia"},{"family":"Frinel","given":"Euripide"},{"family":"Avokpaho","given":"G. Arthur"},{"family":"Azarpazhooh","given":"Mahmood Reza"},{"family":"Barac","given":"Aleksandra"},{"family":"Barboza","given":"Miguel"},{"family":"Barker-Collo","given":"Suzanne L."},{"family":"Bärnighausen","given":"Till"},{"family":"Bedi","given":"Neeraj"},{"family":"Beghi","given":"Ettore"},{"family":"Bennett","given":"Derrick A."},{"family":"Bensenor","given":"Isabela M."},{"family":"Berhane","given":"Adugnaw"},{"family":"Betsu","given":"Balem Demtsu"},{"family":"Bhaumik","given":"Soumyadeep"},{"family":"Birlik","given":"Sait Mentes"},{"family":"Biryukov","given":"Stan"},{"family":"Boneya","given":"Dube Jara"},{"family":"Bulto","given":"Lemma Negesa Bulto"},{"family":"Carabin","given":"Hélène"},{"family":"Casey","given":"Daniel"},{"family":"Castañeda-Orjuela","given":"Carlos A."},{"family":"Catalá-López","given":"Ferrán"},{"family":"Chen","given":"Honglei"},{"family":"Chitheer","given":"Abdulaal A."},{"family":"Chowdhury","given":"Rajiv"},{"family":"Christensen","given":"Hanne"},{"family":"Dandona","given":"Lalit"},{"family":"Dandona","given":"Rakhi"},{"family":"Veber","given":"Gabrielle A.","dropping-particle":"de"},{"family":"Dharmaratne","given":"Samath D."},{"family":"Do","given":"Huyen Phuc"},{"family":"Dokova","given":"Klara"},{"family":"Dorsey","given":"E. Ray"},{"family":"Ellenbogen","given":"Richard G."},{"family":"Eskandarieh","given":"Sharareh"},{"family":"Farvid","given":"Maryam S."},{"family":"Fereshtehnejad","given":"Seyed-Mohammad"},{"family":"Fischer","given":"Florian"},{"family":"Foreman","given":"Kyle J."},{"family":"Geleijnse","given":"Johanna M."},{"family":"Gillum","given":"Richard F."},{"family":"Giussani","given":"Giorgia"},{"family":"Goldberg","given":"Ellen M."},{"family":"Gona","given":"Philimon N."},{"family":"Goulart","given":"Alessandra Carvalho"},{"family":"Gugnani","given":"Harish Chander"},{"family":"Gupta","given":"Rahul"},{"family":"Hachinski","given":"Vladimir"},{"family":"Gupta","given":"Rajeev"},{"family":"Hamadeh","given":"Randah Ribhi"},{"family":"Hambisa","given":"Mitiku"},{"family":"Hankey","given":"Graeme J."},{"family":"Hareri","given":"Habtamu Abera"},{"family":"Havmoeller","given":"Rasmus"},{"family":"Hay","given":"Simon I."},{"family":"Heydarpour","given":"Pouria"},{"family":"Hotez","given":"Peter J."},{"family":"Jakovljevic","given":"Mihajlo (Michael) B."},{"family":"Javanbakht","given":"Mehdi"},{"family":"Jeemon","given":"Panniyammakal"},{"family":"Jonas","given":"Jost B."},{"family":"Kalkonde","given":"Yogeshwar"},{"family":"Kandel","given":"Amit"},{"family":"Karch","given":"André"},{"family":"Kasaeian","given":"Amir"},{"family":"Kastor","given":"Anshul"},{"family":"Keiyoro","given":"Peter Njenga"},{"family":"Khader","given":"Yousef Saleh"},{"family":"Khalil","given":"Ibrahim A."},{"family":"Khan","given":"Ejaz Ahmad"},{"family":"Khang","given":"Young-Ho"},{"family":"Tawfih","given":"Abdullah"},{"family":"Khoja","given":"Abdullah"},{"family":"Khubchandani","given":"Jagdish"},{"family":"Kulkarni","given":"Chanda"},{"family":"Kim","given":"Daniel"},{"family":"Kim","given":"Yun Jin"},{"family":"Kivimaki","given":"Mika"},{"family":"Kokubo","given":"Yoshihiro"},{"family":"Kosen","given":"Soewarta"},{"family":"Kravchenko","given":"Michael"},{"family":"Krishnamurthi","given":"Rita Vanmala"},{"family":"Defo","given":"Barthelemy Kuate"},{"family":"Kumar","given":"G. Anil"},{"family":"Kumar","given":"Rashmi"},{"family":"Kyu","given":"Hmwe H."},{"family":"Larsson","given":"Anders"},{"family":"Lavados","given":"Pablo M."},{"family":"Li","given":"Yongmei"},{"family":"Liang","given":"Xiaofeng"},{"family":"Liben","given":"Misgan Legesse"},{"family":"Lo","given":"Warren D."},{"family":"Logroscino","given":"Giancarlo"},{"family":"Lotufo","given":"Paulo A."},{"family":"Loy","given":"Clement T."},{"family":"Mackay","given":"Mark T."},{"family":"Razek","given":"Hassan Magdy Abd El"},{"family":"Razek","given":"Mohammed Magdy Abd El"},{"family":"Majeed","given":"Azeem"},{"family":"Malekzadeh","given":"Reza"},{"family":"Manhertz","given":"Treh"},{"family":"Mantovani","given":"Lorenzo G."},{"family":"Massano","given":"João"},{"family":"Mazidi","given":"Mohsen"},{"family":"McAlinden","given":"Colm"},{"family":"Mehata","given":"Suresh"},{"family":"Mehndiratta","given":"Man Mohan"},{"family":"Memish","given":"Ziad A."},{"family":"Mendoza","given":"Walter"},{"family":"Mengistie","given":"Mubarek Abera"},{"family":"Mensah","given":"George A."},{"family":"Meretoja","given":"Atte"},{"family":"Mezgebe","given":"Haftay Berhane"},{"family":"Miller","given":"Ted R."},{"family":"Mishra","given":"Shiva Raj"},{"family":"Ibrahim","given":"Norlinah Mohamed"},{"family":"Mohammadi","given":"Alireza"},{"family":"Mohammed","given":"Kedir Endris"},{"family":"Mohammed","given":"Shafiu"},{"family":"Mokdad","given":"Ali H."},{"family":"Moradi-Lakeh","given":"Maziar"},{"family":"Velasquez","given":"Ilais Moreno"},{"family":"Musa","given":"Kamarul Imran"},{"family":"Naghavi","given":"Mohsen"},{"family":"Ngunjiri","given":"Josephine Wanjiku"},{"family":"Nguyen","given":"Cuong Tat"},{"family":"Nguyen","given":"Grant"},{"family":"Nguyen","given":"Quyen Le"},{"family":"Nguyen","given":"Trang Huyen"},{"family":"Nichols","given":"Emma"},{"family":"Ningrum","given":"Dina Nur Anggraini"},{"family":"Nong","given":"Vuong Minh"},{"family":"Norrving","given":"Bo"},{"family":"Noubiap","given":"Jean Jacques N."},{"family":"Ogbo","given":"Felix Akpojene"},{"family":"Owolabi","given":"Mayowa O."},{"family":"Pandian","given":"Jeyaraj D."},{"family":"Parmar","given":"Priyakumari Ganesh"},{"family":"Pereira","given":"David M."},{"family":"Petzold","given":"Max"},{"family":"Phillips","given":"Michael Robert"},{"family":"Piradov","given":"Michael A."},{"family":"Poulton","given":"Richie G."},{"family":"Pourmalek","given":"Farshad"},{"family":"Qorbani","given":"Mostafa"},{"family":"Rafay","given":"Anwar"},{"family":"Rahman","given":"Mahfuzar"},{"family":"Rahman","given":"Mohammad HifzUr"},{"family":"Rai","given":"Rajesh Kumar"},{"family":"Rajsic","given":"Sasa"},{"family":"Ranta","given":"Annemarei"},{"family":"Rawaf","given":"Salman"},{"family":"Renzaho","given":"Andre M. N."},{"family":"Rezai","given":"Mohammad Sadegh"},{"family":"Roth","given":"Gregory A."},{"family":"Roshandel","given":"Gholamreza"},{"family":"Rubagotti","given":"Enrico"},{"family":"Sachdev","given":"Perminder"},{"family":"Safiri","given":"Saeid"},{"family":"Sahathevan","given":"Ramesh"},{"family":"Sahraian","given":"Mohammad Ali"},{"family":"Samy","given":"Abdallah M."},{"family":"Santalucia","given":"Paula"},{"family":"Santos","given":"Itamar S."},{"family":"Sartorius","given":"Benn"},{"family":"Satpathy","given":"Maheswar"},{"family":"Sawhney","given":"Monika"},{"family":"Saylan","given":"Mete I."},{"family":"Sepanlou","given":"Sadaf G."},{"family":"Shaikh","given":"Masood Ali"},{"family":"Shakir","given":"Raad"},{"family":"Shamsizadeh","given":"Morteza"},{"family":"Sheth","given":"Kevin N."},{"family":"Shigematsu","given":"Mika"},{"family":"Shoman","given":"Haitham"},{"family":"Silva","given":"Diego Augusto Santos"},{"family":"Smith","given":"Mari"},{"family":"Sobngwi","given":"Eugene"},{"family":"Sposato","given":"Luciano A."},{"family":"Stanaway","given":"Jeffrey D."},{"family":"Stein","given":"Dan J."},{"family":"Steiner","given":"Timothy J."},{"family":"Stovner","given":"Lars Jacob"},{"family":"Abdulkader","given":"Rizwan Suliankatchi"},{"family":"Szoeke","given":"Cassandra EI"},{"family":"Tabarés-Seisdedos","given":"Rafael"},{"family":"Tanne","given":"David"},{"family":"Theadom","given":"Alice M."},{"family":"Thrift","given":"Amanda G."},{"family":"Tirschwell","given":"David L."},{"family":"Topor-Madry","given":"Roman"},{"family":"Tran","given":"Bach Xuan"},{"family":"Truelsen","given":"Thomas"},{"family":"Tuem","given":"Kald Beshir"},{"family":"Ukwaja","given":"Kingsley Nnanna"},{"family":"Uthman","given":"Olalekan A."},{"family":"Varakin","given":"Yuri Y."},{"family":"Vasankari","given":"Tommi"},{"family":"Venketasubramanian","given":"Narayanaswamy"},{"family":"Vlassov","given":"Vasiliy Victorovich"},{"family":"Wadilo","given":"Fiseha"},{"family":"Wakayo","given":"Tolassa"},{"family":"Wallin","given":"Mitchell T."},{"family":"Weiderpass","given":"Elisabete"},{"family":"Westerman","given":"Ronny"},{"family":"Wijeratne","given":"Tissa"},{"family":"Wiysonge","given":"Charles Shey"},{"family":"Woldu","given":"Minyahil Alebachew"},{"family":"Wolfe","given":"Charles D. A."},{"family":"Xavier","given":"Denis"},{"family":"Xu","given":"Gelin"},{"family":"Yano","given":"Yuichiro"},{"family":"Yimam","given":"Hassen Hamid"},{"family":"Yonemoto","given":"Naohiro"},{"family":"Yu","given":"Chuanhua"},{"family":"Zaidi","given":"Zoubida"},{"family":"Zaki","given":"Maysaa El Sayed"},{"family":"Zunt","given":"Joseph R."},{"family":"Murray","given":"Christopher J. L."},{"family":"Vos","given":"Theo"}],"issued":{"date-parts":[["2017",11,1]]}}}],"schema":"https://github.com/citation-style-language/schema/raw/master/csl-citation.json"} </w:instrText>
      </w:r>
      <w:r w:rsidRPr="00BF0D9C">
        <w:rPr>
          <w:rFonts w:ascii="Calibri" w:hAnsi="Calibri" w:eastAsia="Times New Roman" w:cs="Calibri"/>
        </w:rPr>
        <w:fldChar w:fldCharType="separate"/>
      </w:r>
      <w:r w:rsidRPr="00E96CAE" w:rsidR="00E96CAE">
        <w:rPr>
          <w:rFonts w:ascii="Calibri" w:hAnsi="Calibri" w:cs="Calibri"/>
          <w:szCs w:val="24"/>
          <w:vertAlign w:val="superscript"/>
        </w:rPr>
        <w:t>49</w:t>
      </w:r>
      <w:r w:rsidRPr="00BF0D9C">
        <w:rPr>
          <w:rFonts w:ascii="Calibri" w:hAnsi="Calibri" w:eastAsia="Times New Roman" w:cs="Calibri"/>
        </w:rPr>
        <w:fldChar w:fldCharType="end"/>
      </w:r>
      <w:r w:rsidRPr="00BF0D9C" w:rsidR="00B11336">
        <w:rPr>
          <w:rFonts w:ascii="Calibri" w:hAnsi="Calibri" w:eastAsia="Times New Roman" w:cs="Calibri"/>
        </w:rPr>
        <w:t xml:space="preserve">. An appropriate measure to facilitate </w:t>
      </w:r>
      <w:r w:rsidRPr="00BF0D9C">
        <w:rPr>
          <w:rFonts w:ascii="Calibri" w:hAnsi="Calibri" w:eastAsia="Times New Roman" w:cs="Calibri"/>
        </w:rPr>
        <w:t>between-country</w:t>
      </w:r>
      <w:r w:rsidRPr="00BF0D9C" w:rsidR="00B11336">
        <w:rPr>
          <w:rFonts w:ascii="Calibri" w:hAnsi="Calibri" w:eastAsia="Times New Roman" w:cs="Calibri"/>
        </w:rPr>
        <w:t xml:space="preserve"> comparisons</w:t>
      </w:r>
      <w:r w:rsidRPr="00BF0D9C" w:rsidR="00DE30EC">
        <w:rPr>
          <w:rFonts w:ascii="Calibri" w:hAnsi="Calibri" w:eastAsia="Times New Roman" w:cs="Calibri"/>
        </w:rPr>
        <w:t xml:space="preserve"> </w:t>
      </w:r>
      <w:r w:rsidRPr="00BF0D9C" w:rsidR="00B11336">
        <w:rPr>
          <w:rFonts w:ascii="Calibri" w:hAnsi="Calibri" w:eastAsia="Times New Roman" w:cs="Calibri"/>
        </w:rPr>
        <w:t xml:space="preserve">is the </w:t>
      </w:r>
      <w:r w:rsidRPr="00BF0D9C" w:rsidR="00DE30EC">
        <w:rPr>
          <w:rFonts w:ascii="Calibri" w:hAnsi="Calibri" w:eastAsia="Times New Roman" w:cs="Calibri"/>
        </w:rPr>
        <w:t>P</w:t>
      </w:r>
      <w:r w:rsidRPr="00BF0D9C" w:rsidR="00B11336">
        <w:rPr>
          <w:rFonts w:ascii="Calibri" w:hAnsi="Calibri" w:eastAsia="Times New Roman" w:cs="Calibri"/>
        </w:rPr>
        <w:t>-</w:t>
      </w:r>
      <w:r w:rsidRPr="00BF0D9C" w:rsidR="00DE30EC">
        <w:rPr>
          <w:rFonts w:ascii="Calibri" w:hAnsi="Calibri" w:eastAsia="Times New Roman" w:cs="Calibri"/>
        </w:rPr>
        <w:t>Score</w:t>
      </w:r>
      <w:r w:rsidRPr="00BF0D9C" w:rsidR="00382137">
        <w:rPr>
          <w:rFonts w:ascii="Calibri" w:hAnsi="Calibri" w:eastAsia="Times New Roman" w:cs="Calibri"/>
        </w:rPr>
        <w:t>,</w:t>
      </w:r>
      <w:r w:rsidRPr="00BF0D9C" w:rsidR="00DE30EC">
        <w:rPr>
          <w:rFonts w:ascii="Calibri" w:hAnsi="Calibri" w:eastAsia="Times New Roman" w:cs="Calibri"/>
        </w:rPr>
        <w:t xml:space="preserve"> </w:t>
      </w:r>
      <w:r w:rsidRPr="00BF0D9C" w:rsidR="00B11336">
        <w:rPr>
          <w:rFonts w:ascii="Calibri" w:hAnsi="Calibri" w:eastAsia="Times New Roman" w:cs="Calibri"/>
        </w:rPr>
        <w:t xml:space="preserve">which takes the absolute difference in mortality as a percentage of the baseline mortality. However, even if excess mortality is presented </w:t>
      </w:r>
      <w:proofErr w:type="gramStart"/>
      <w:r w:rsidRPr="00BF0D9C" w:rsidR="00B11336">
        <w:rPr>
          <w:rFonts w:ascii="Calibri" w:hAnsi="Calibri" w:eastAsia="Times New Roman" w:cs="Calibri"/>
        </w:rPr>
        <w:t xml:space="preserve">in </w:t>
      </w:r>
      <w:r w:rsidRPr="00BF0D9C" w:rsidR="00B11336">
        <w:rPr>
          <w:rFonts w:ascii="Calibri" w:hAnsi="Calibri" w:eastAsia="Times New Roman" w:cs="Calibri"/>
        </w:rPr>
        <w:lastRenderedPageBreak/>
        <w:t>reference to</w:t>
      </w:r>
      <w:proofErr w:type="gramEnd"/>
      <w:r w:rsidRPr="00BF0D9C" w:rsidR="00B11336">
        <w:rPr>
          <w:rFonts w:ascii="Calibri" w:hAnsi="Calibri" w:eastAsia="Times New Roman" w:cs="Calibri"/>
        </w:rPr>
        <w:t xml:space="preserve"> baseline mortality, it is likely that baseline mortality and the reasons that contribute to a country’s baseline mortality can exaggerate or </w:t>
      </w:r>
      <w:r w:rsidRPr="00BF0D9C" w:rsidR="2786E121">
        <w:rPr>
          <w:rFonts w:ascii="Calibri" w:hAnsi="Calibri" w:eastAsia="Times New Roman" w:cs="Calibri"/>
        </w:rPr>
        <w:t>inflate</w:t>
      </w:r>
      <w:r w:rsidRPr="00BF0D9C" w:rsidR="00B11336">
        <w:rPr>
          <w:rFonts w:ascii="Calibri" w:hAnsi="Calibri" w:eastAsia="Times New Roman" w:cs="Calibri"/>
        </w:rPr>
        <w:t xml:space="preserve"> excess mortality during the pandemic. </w:t>
      </w:r>
    </w:p>
    <w:p w:rsidRPr="00BF0D9C" w:rsidR="00B11336" w:rsidP="00BF0D9C" w:rsidRDefault="2CD5E2CF" w14:paraId="7466EAB3" w14:textId="15FAE82A">
      <w:pPr>
        <w:spacing w:line="480" w:lineRule="auto"/>
        <w:rPr>
          <w:rFonts w:ascii="Calibri" w:hAnsi="Calibri" w:eastAsia="Calibri" w:cs="Calibri"/>
        </w:rPr>
      </w:pPr>
      <w:r w:rsidRPr="00BF0D9C">
        <w:rPr>
          <w:rFonts w:ascii="Calibri" w:hAnsi="Calibri" w:eastAsia="Calibri" w:cs="Calibri"/>
        </w:rPr>
        <w:t>F</w:t>
      </w:r>
      <w:r w:rsidRPr="00BF0D9C" w:rsidR="00840F0F">
        <w:rPr>
          <w:rFonts w:ascii="Calibri" w:hAnsi="Calibri" w:eastAsia="Calibri" w:cs="Calibri"/>
        </w:rPr>
        <w:t>inally,</w:t>
      </w:r>
      <w:r w:rsidRPr="00BF0D9C">
        <w:rPr>
          <w:rFonts w:ascii="Calibri" w:hAnsi="Calibri" w:eastAsia="Calibri" w:cs="Calibri"/>
        </w:rPr>
        <w:t xml:space="preserve"> strictness and timeliness of government measures,</w:t>
      </w:r>
      <w:r w:rsidRPr="00BF0D9C" w:rsidR="00840F0F">
        <w:rPr>
          <w:rFonts w:ascii="Calibri" w:hAnsi="Calibri" w:eastAsia="Calibri" w:cs="Calibri"/>
        </w:rPr>
        <w:t xml:space="preserve"> and geographical location as discussed i</w:t>
      </w:r>
      <w:r w:rsidRPr="00BF0D9C">
        <w:rPr>
          <w:rFonts w:ascii="Calibri" w:hAnsi="Calibri" w:eastAsia="Calibri" w:cs="Calibri"/>
        </w:rPr>
        <w:t xml:space="preserve">n this study, </w:t>
      </w:r>
      <w:r w:rsidRPr="00BF0D9C" w:rsidR="00840F0F">
        <w:rPr>
          <w:rFonts w:ascii="Calibri" w:hAnsi="Calibri" w:eastAsia="Calibri" w:cs="Calibri"/>
        </w:rPr>
        <w:t xml:space="preserve">are </w:t>
      </w:r>
      <w:r w:rsidRPr="00BF0D9C">
        <w:rPr>
          <w:rFonts w:ascii="Calibri" w:hAnsi="Calibri" w:eastAsia="Calibri" w:cs="Calibri"/>
        </w:rPr>
        <w:t xml:space="preserve">not the only </w:t>
      </w:r>
      <w:r w:rsidRPr="00BF0D9C" w:rsidR="003936C8">
        <w:rPr>
          <w:rFonts w:ascii="Calibri" w:hAnsi="Calibri" w:eastAsia="Calibri" w:cs="Calibri"/>
        </w:rPr>
        <w:t xml:space="preserve">potential </w:t>
      </w:r>
      <w:r w:rsidRPr="00BF0D9C">
        <w:rPr>
          <w:rFonts w:ascii="Calibri" w:hAnsi="Calibri" w:eastAsia="Calibri" w:cs="Calibri"/>
        </w:rPr>
        <w:t>contributors to excess mortality due to COVID-19. Baseline health care availability, access and quality in each country, and particularly a country's critical care capacity, and its ability to surge this capacity quickly under rising cases were likely other contributors to excess mortality</w:t>
      </w:r>
      <w:r w:rsidRPr="00BF0D9C" w:rsidR="00B93CFD">
        <w:rPr>
          <w:rFonts w:ascii="Calibri" w:hAnsi="Calibri" w:eastAsia="Calibri" w:cs="Calibri"/>
        </w:rPr>
        <w:fldChar w:fldCharType="begin"/>
      </w:r>
      <w:r w:rsidR="00E96CAE">
        <w:rPr>
          <w:rFonts w:ascii="Calibri" w:hAnsi="Calibri" w:eastAsia="Calibri" w:cs="Calibri"/>
        </w:rPr>
        <w:instrText xml:space="preserve"> ADDIN ZOTERO_ITEM CSL_CITATION {"citationID":"g2bBSk0X","properties":{"formattedCitation":"\\super 50\\nosupersub{}","plainCitation":"50","noteIndex":0},"citationItems":[{"id":6560,"uris":["http://zotero.org/users/384481/items/YI4D3GIJ"],"uri":["http://zotero.org/users/384481/items/YI4D3GIJ"],"itemData":{"id":6560,"type":"article-journal","abstract":"&lt;h3&gt;Summary&lt;/h3&gt; &lt;p&gt;The current spread of severe acute respiratory syndrome coronavirus 2 (SARS-CoV-2) in Europe threats Italian’s capacity and that of other national health systems to effectively respond to the needs of patients who require intensive care, mostly due to pneumonia and derived complications from concomitant disease and age. Predicting the surge in capacity has proved difficult due to the requirement of a subtle combination of diverse expertise and difficult choices to be made on selecting robust measures of critical care utilization, and parsimonious epidemic modelling which account for changing government measures. We modelled the required surge capacity of ICU beds in Italy exclusively for COVID-19 patients at epidemic peak. Because new measures were imposed by the Italian government, suspending nearly all non-essential sectors of the economy, we included the potential impacts of these new measures. The modelling considered those hospitalized and home isolated as quarantined, mimicking conditions on the ground. The percentage of patients in intensive care (out of the daily active confirmed cases) required for our calculations were chosen based on clinical relevance and robustness, and this number was consistently on average 9·9% from February 24 to March 6, 2020. Five different scenarios were produced (two positive and three negative). Under most positive scenarios, in which R&lt;sub&gt;0&lt;/sub&gt; is reduced below 1 (i.e., 0 ·71), the number of daily active confirmed cases will peak at nearly 89 000 by the early days of April and the total number of intensive care beds exclusively dedicated to COVID-19 patients required in Italy estimated at 8791. Worst scenarios produce unmanageable numbers. Our results suggest that the decisive moment for Italy has come. Jointly reinforcement by the government of the measures approved so far, including home confinement, but even more important the full commitment of the civil society in respecting home confinement, social distancing and hygiene will be key in the next days. Yet, even under the best circumstances, intensive care capacity will need to get closer to 9000 units in the country to avoid preventable mortality. So far, only strong measures were effective in Italy, as shown by our modelling, and this may offer an opportunity to European countries to accelerate their interventions.&lt;/p&gt;","container-title":"medRxiv","DOI":"10.1101/2020.04.01.20050237","language":"en","note":"publisher: Cold Spring Harbor Laboratory Press","page":"2020.04.01.20050237","source":"www.medrxiv.org","title":"Confronting COVID-19: Surging critical care capacity in Italy","title-short":"Confronting COVID-19","author":[{"family":"Rodriguez-Llanes","given":"Jose M."},{"family":"Delgado","given":"Rafael Castro"},{"family":"Pedersen","given":"Morten Gram"},{"family":"González","given":"Pedro Arcos"},{"family":"Meneghini","given":"Matteo"}],"issued":{"date-parts":[["2020",4,6]]}}}],"schema":"https://github.com/citation-style-language/schema/raw/master/csl-citation.json"} </w:instrText>
      </w:r>
      <w:r w:rsidRPr="00BF0D9C" w:rsidR="00B93CFD">
        <w:rPr>
          <w:rFonts w:ascii="Calibri" w:hAnsi="Calibri" w:eastAsia="Calibri" w:cs="Calibri"/>
        </w:rPr>
        <w:fldChar w:fldCharType="separate"/>
      </w:r>
      <w:r w:rsidRPr="00E96CAE" w:rsidR="00E96CAE">
        <w:rPr>
          <w:rFonts w:ascii="Calibri" w:hAnsi="Calibri" w:cs="Calibri"/>
          <w:szCs w:val="24"/>
          <w:vertAlign w:val="superscript"/>
        </w:rPr>
        <w:t>50</w:t>
      </w:r>
      <w:r w:rsidRPr="00BF0D9C" w:rsidR="00B93CFD">
        <w:rPr>
          <w:rFonts w:ascii="Calibri" w:hAnsi="Calibri" w:eastAsia="Calibri" w:cs="Calibri"/>
        </w:rPr>
        <w:fldChar w:fldCharType="end"/>
      </w:r>
      <w:r w:rsidRPr="00BF0D9C">
        <w:rPr>
          <w:rFonts w:ascii="Calibri" w:hAnsi="Calibri" w:eastAsia="Calibri" w:cs="Calibri"/>
        </w:rPr>
        <w:t xml:space="preserve">. </w:t>
      </w:r>
      <w:r w:rsidRPr="00BF0D9C" w:rsidR="00F97685">
        <w:rPr>
          <w:rFonts w:ascii="Calibri" w:hAnsi="Calibri" w:eastAsia="Calibri" w:cs="Calibri"/>
        </w:rPr>
        <w:t>On the other hand, country prosperity was shown to be associated with a higher COVID-19 spread and mortality for several reasons outlined elsewhere</w:t>
      </w:r>
      <w:r w:rsidRPr="00BF0D9C" w:rsidR="00F97685">
        <w:rPr>
          <w:rFonts w:ascii="Calibri" w:hAnsi="Calibri" w:eastAsia="Calibri" w:cs="Calibri"/>
        </w:rPr>
        <w:fldChar w:fldCharType="begin"/>
      </w:r>
      <w:r w:rsidR="00E96CAE">
        <w:rPr>
          <w:rFonts w:ascii="Calibri" w:hAnsi="Calibri" w:eastAsia="Calibri" w:cs="Calibri"/>
        </w:rPr>
        <w:instrText xml:space="preserve"> ADDIN ZOTERO_ITEM CSL_CITATION {"citationID":"0dk4R4Z0","properties":{"formattedCitation":"\\super 51\\nosupersub{}","plainCitation":"51","noteIndex":0},"citationItems":[{"id":6563,"uris":["http://zotero.org/users/384481/items/RXV94J7C"],"uri":["http://zotero.org/users/384481/items/RXV94J7C"],"itemData":{"id":6563,"type":"article-journal","abstract":"Objective:This study aims to clarify the association between prosperity and the coronavirus disease (COVID-19) outcomes and its impact on the future management of pandemics.Methods:This is an observational study using information from 2 online registries. The numbers of infected individuals and deaths and the prosperity rank of each country were obtained from worldometer.info and the Legatum Institute’s Prosperity Index, respectively.Results:There is a combination of countries with high and low prosperity on the list of COVID-19-infected countries. The risk of the virus pandemic seems to be more extensive in countries with high prosperity. A Spearman’s rho test confirmed a significant correlation between prosperity, the number of COVID-19 cases, and the number of deaths at the 99% level.Conclusion:New emerging pandemics affect all nations. In order to increase the likelihood of successfully managing future events, it is important to consider preexisting health security, valid population-based management approaches, medical decision-making, communication, continuous assessment, triage, treatment, early and complete physical distancing strategies, and logistics. These elements cannot be taught on-site and on occasion. There is a need for innovative and regular educational activities for all stakeholders committed to safeguarding our future defense systems concerning diagnostic, protection, treatment, and rehabilitation in pandemics, as well as other emergencies.","container-title":"Disaster Medicine and Public Health Preparedness","DOI":"10.1017/dmp.2020.304","ISSN":"1935-7893, 1938-744X","language":"en","note":"publisher: Cambridge University Press","page":"1-10","source":"Cambridge University Press","title":"Does the Prosperity of a Country Play a Role in COVID-19 Outcomes?","author":[{"family":"Khorram-Manesh","given":"Amir"},{"family":"Carlström","given":"Eric"},{"family":"Hertelendy","given":"Attila J."},{"family":"Goniewicz","given":"Krzysztof"},{"family":"Casady","given":"Carter B."},{"family":"Burkle","given":"Frederick M."}],"issued":{"literal":"undefined/ed"}}}],"schema":"https://github.com/citation-style-language/schema/raw/master/csl-citation.json"} </w:instrText>
      </w:r>
      <w:r w:rsidRPr="00BF0D9C" w:rsidR="00F97685">
        <w:rPr>
          <w:rFonts w:ascii="Calibri" w:hAnsi="Calibri" w:eastAsia="Calibri" w:cs="Calibri"/>
        </w:rPr>
        <w:fldChar w:fldCharType="separate"/>
      </w:r>
      <w:r w:rsidRPr="00E96CAE" w:rsidR="00E96CAE">
        <w:rPr>
          <w:rFonts w:ascii="Calibri" w:hAnsi="Calibri" w:cs="Calibri"/>
          <w:szCs w:val="24"/>
          <w:vertAlign w:val="superscript"/>
        </w:rPr>
        <w:t>51</w:t>
      </w:r>
      <w:r w:rsidRPr="00BF0D9C" w:rsidR="00F97685">
        <w:rPr>
          <w:rFonts w:ascii="Calibri" w:hAnsi="Calibri" w:eastAsia="Calibri" w:cs="Calibri"/>
        </w:rPr>
        <w:fldChar w:fldCharType="end"/>
      </w:r>
      <w:r w:rsidRPr="00BF0D9C" w:rsidR="00F97685">
        <w:rPr>
          <w:rFonts w:ascii="Calibri" w:hAnsi="Calibri" w:eastAsia="Calibri" w:cs="Calibri"/>
        </w:rPr>
        <w:t>.</w:t>
      </w:r>
      <w:r w:rsidRPr="00BF0D9C" w:rsidR="00BC4293">
        <w:rPr>
          <w:rFonts w:ascii="Calibri" w:hAnsi="Calibri" w:eastAsia="Calibri" w:cs="Calibri"/>
        </w:rPr>
        <w:t xml:space="preserve"> Moreover, </w:t>
      </w:r>
      <w:r w:rsidRPr="00BF0D9C" w:rsidR="00BC4293">
        <w:rPr>
          <w:rFonts w:ascii="Calibri" w:hAnsi="Calibri" w:eastAsia="Times New Roman" w:cs="Calibri"/>
        </w:rPr>
        <w:t>population density is associated both with COVID-19 infection and mortality</w:t>
      </w:r>
      <w:r w:rsidRPr="00BF0D9C" w:rsidR="00BC4293">
        <w:rPr>
          <w:rFonts w:ascii="Calibri" w:hAnsi="Calibri" w:eastAsia="Times New Roman" w:cs="Calibri"/>
        </w:rPr>
        <w:fldChar w:fldCharType="begin"/>
      </w:r>
      <w:r w:rsidR="00E96CAE">
        <w:rPr>
          <w:rFonts w:ascii="Calibri" w:hAnsi="Calibri" w:eastAsia="Times New Roman" w:cs="Calibri"/>
        </w:rPr>
        <w:instrText xml:space="preserve"> ADDIN ZOTERO_ITEM CSL_CITATION {"citationID":"3tlHeobD","properties":{"formattedCitation":"\\super 52\\uc0\\u8211{}54\\nosupersub{}","plainCitation":"52–54","noteIndex":0},"citationItems":[{"id":6511,"uris":["http://zotero.org/users/384481/items/54MWTTEA"],"uri":["http://zotero.org/users/384481/items/54MWTTEA"],"itemData":{"id":6511,"type":"article-journal","abstract":"The Covid-19 is a highly contagious disease which becomes a serious global health concern. The residents living in areas with high population density, such as big or metropolitan cities, have a higher probability to come into close contact with others and consequently any contagious disease is expected to spread rapidly in dense areas. However, recently, after analyzing Covid-19 cases in the USA researchers at the Johns Hopkins Bloomberg School of Public Health, London school of economics, and IZA—Institute of Labour Economics conclude that the spread of Covid-19 is not linked with population density. Here, we investigate the influence of population density on Covid-19 spread and related mortality in the context of India. After a detailed correlation and regression analysis of infection and mortality rates due to Covid-19 at the district level, we find moderate association between Covid-19 spread and population density.","container-title":"Modeling Earth Systems and Environment","DOI":"10.1007/s40808-020-00984-7","ISSN":"2363-6211","journalAbbreviation":"Model. Earth Syst. Environ.","language":"en","source":"Springer Link","title":"Impact of population density on Covid-19 infected and mortality rate in India","URL":"https://doi.org/10.1007/s40808-020-00984-7","author":[{"family":"Bhadra","given":"Arunava"},{"family":"Mukherjee","given":"Arindam"},{"family":"Sarkar","given":"Kabita"}],"accessed":{"date-parts":[["2020",12,15]]},"issued":{"date-parts":[["2020",10,14]]}}},{"id":6512,"uris":["http://zotero.org/users/384481/items/AVQX3VEJ"],"uri":["http://zotero.org/users/384481/items/AVQX3VEJ"],"itemData":{"id":6512,"type":"article-journal","abstract":"&lt;h2&gt;Summary&lt;/h2&gt;&lt;h3&gt;Background&lt;/h3&gt;&lt;p&gt;Housing characteristics and neighbourhood context are considered risk factors for COVID-19 mortality among older adults. The aim of this study was to investigate how individual-level housing and neighbourhood characteristics are associated with COVID-19 mortality in older adults.&lt;/p&gt;&lt;h3&gt;Methods&lt;/h3&gt;&lt;p&gt;For this population-based, observational study, we used data from the cause-of-death register held by the Swedish National Board of Health and Welfare to identify recorded COVID-19 mortality and mortality from other causes among individuals (aged ≥70 years) in Stockholm county, Sweden, between March 12 and May 8, 2020. This information was linked to population-register data from December, 2019, including socioeconomic, demographic, and residential characteristics. We ran Cox proportional hazards regressions for the risk of dying from COVID-19 and from all other causes. The independent variables were area (m&lt;sup&gt;2&lt;/sup&gt;) per individual in the household, the age structure of the household, type of housing, confirmed cases of COVID-19 in the borough, and neighbourhood population density. All models were adjusted for individual age, sex, country of birth, income, and education.&lt;/p&gt;&lt;h3&gt;Findings&lt;/h3&gt;&lt;p&gt;Of 279 961 individuals identified to be aged 70 years or older on March 12, 2020, and residing in Stockholm in December, 2019, 274 712 met the eligibility criteria and were included in the study population. Between March 12 and May 8, 2020, 3386 deaths occurred, of which 1301 were reported as COVID-19 deaths. In fully adjusted models, household and neighbourhood characteristics were independently associated with COVID-19 mortality among older adults. Compared with living in a household with individuals aged 66 years or older, living with someone of working age (&lt;66 years) was associated with increased COVID-19 mortality (hazard ratio 1·6; 95% CI 1·3–2·0). Living in a care home was associated with an increased risk of COVID-19 mortality (4·1; 3·5–4·9) compared with living in independent housing. Living in neighbourhoods with the highest population density (≥5000 individuals per km&lt;sup&gt;2&lt;/sup&gt;) was associated with higher COVID-19 mortality (1·7; 1·1–2·4) compared with living in the least densely populated neighbourhoods (0 to &lt;150 individuals per km&lt;sup&gt;2&lt;/sup&gt;).&lt;/p&gt;&lt;h3&gt;Interpretation&lt;/h3&gt;&lt;p&gt;Close exposure to working-age household members and neighbours is associated with increased COVID-19 mortality among older adults. Similarly, living in a care home is associated with increased mortality, potentially through exposure to visitors and care workers, but also due to poor underlying health among care-home residents. These factors should be considered when developing strategies to protect this group.&lt;/p&gt;&lt;h3&gt;Funding&lt;/h3&gt;&lt;p&gt;Swedish Research Council for Health, Working Life and Welfare (FORTE), Swedish Foundation for Humanities and Social Sciences.&lt;/p&gt;","container-title":"The Lancet Healthy Longevity","DOI":"10.1016/S2666-7568(20)30016-7","ISSN":"2666-7568","issue":"2","journalAbbreviation":"The Lancet Healthy Longevity","language":"English","note":"publisher: Elsevier","page":"e80-e88","source":"www.thelancet.com","title":"Residential context and COVID-19 mortality among adults aged 70 years and older in Stockholm: a population-based, observational study using individual-level data","title-short":"Residential context and COVID-19 mortality among adults aged 70 years and older in Stockholm","volume":"1","author":[{"family":"Brandén","given":"Maria"},{"family":"Aradhya","given":"Siddartha"},{"family":"Kolk","given":"Martin"},{"family":"Härkönen","given":"Juho"},{"family":"Drefahl","given":"Sven"},{"family":"Malmberg","given":"Bo"},{"family":"Rostila","given":"Mikael"},{"family":"Cederström","given":"Agneta"},{"family":"Andersson","given":"Gunnar"},{"family":"Mussino","given":"Eleonora"}],"issued":{"date-parts":[["2020",11,1]]}}},{"id":6516,"uris":["http://zotero.org/users/384481/items/PCTQV4VC"],"uri":["http://zotero.org/users/384481/items/PCTQV4VC"],"itemData":{"id":6516,"type":"webpage","abstract":"The death rate is the number of total confirmed deaths due to COVID-19 per million people.","container-title":"Our World in Data","title":"COVID-19 death rate vs. Population density","URL":"https://ourworldindata.org/grapher/covid-19-death-rate-vs-population-density","accessed":{"date-parts":[["2020",12,15]]}}}],"schema":"https://github.com/citation-style-language/schema/raw/master/csl-citation.json"} </w:instrText>
      </w:r>
      <w:r w:rsidRPr="00BF0D9C" w:rsidR="00BC4293">
        <w:rPr>
          <w:rFonts w:ascii="Calibri" w:hAnsi="Calibri" w:eastAsia="Times New Roman" w:cs="Calibri"/>
        </w:rPr>
        <w:fldChar w:fldCharType="separate"/>
      </w:r>
      <w:r w:rsidRPr="00E96CAE" w:rsidR="00E96CAE">
        <w:rPr>
          <w:rFonts w:ascii="Calibri" w:hAnsi="Calibri" w:cs="Calibri"/>
          <w:szCs w:val="24"/>
          <w:vertAlign w:val="superscript"/>
        </w:rPr>
        <w:t>52–54</w:t>
      </w:r>
      <w:r w:rsidRPr="00BF0D9C" w:rsidR="00BC4293">
        <w:rPr>
          <w:rFonts w:ascii="Calibri" w:hAnsi="Calibri" w:eastAsia="Times New Roman" w:cs="Calibri"/>
        </w:rPr>
        <w:fldChar w:fldCharType="end"/>
      </w:r>
      <w:r w:rsidRPr="00BF0D9C" w:rsidR="00BC4293">
        <w:rPr>
          <w:rFonts w:ascii="Calibri" w:hAnsi="Calibri" w:eastAsia="Times New Roman" w:cs="Calibri"/>
        </w:rPr>
        <w:t>. Therefore, variation in population densities between countries may also contribute to a variation in COVID-19</w:t>
      </w:r>
      <w:r w:rsidRPr="00BF0D9C" w:rsidR="003936C8">
        <w:rPr>
          <w:rFonts w:ascii="Calibri" w:hAnsi="Calibri" w:eastAsia="Times New Roman" w:cs="Calibri"/>
        </w:rPr>
        <w:t xml:space="preserve"> mortality and excess mortality</w:t>
      </w:r>
      <w:r w:rsidRPr="00BF0D9C" w:rsidR="00BC4293">
        <w:rPr>
          <w:rFonts w:ascii="Calibri" w:hAnsi="Calibri" w:eastAsia="Times New Roman" w:cs="Calibri"/>
        </w:rPr>
        <w:t xml:space="preserve">. </w:t>
      </w:r>
      <w:r w:rsidRPr="00BF0D9C" w:rsidR="00F97685">
        <w:rPr>
          <w:rFonts w:ascii="Calibri" w:hAnsi="Calibri" w:eastAsia="Calibri" w:cs="Calibri"/>
        </w:rPr>
        <w:t xml:space="preserve"> </w:t>
      </w:r>
      <w:r w:rsidRPr="00BF0D9C" w:rsidR="00066ACA">
        <w:rPr>
          <w:rFonts w:ascii="Calibri" w:hAnsi="Calibri" w:eastAsia="Calibri" w:cs="Calibri"/>
        </w:rPr>
        <w:t>Also, the demographic and immunological profile of populations, including their age structure, may also be impacting on their mortality experience during the COVID-19 pandemic</w:t>
      </w:r>
      <w:r w:rsidRPr="00BF0D9C" w:rsidR="00066ACA">
        <w:rPr>
          <w:rFonts w:ascii="Calibri" w:hAnsi="Calibri" w:eastAsia="Calibri" w:cs="Calibri"/>
        </w:rPr>
        <w:fldChar w:fldCharType="begin"/>
      </w:r>
      <w:r w:rsidR="00E96CAE">
        <w:rPr>
          <w:rFonts w:ascii="Calibri" w:hAnsi="Calibri" w:eastAsia="Calibri" w:cs="Calibri"/>
        </w:rPr>
        <w:instrText xml:space="preserve"> ADDIN ZOTERO_ITEM CSL_CITATION {"citationID":"FAcvhjSj","properties":{"formattedCitation":"\\super 55\\nosupersub{}","plainCitation":"55","noteIndex":0},"citationItems":[{"id":6572,"uris":["http://zotero.org/users/384481/items/QE8X5R5D"],"uri":["http://zotero.org/users/384481/items/QE8X5R5D"],"itemData":{"id":6572,"type":"article-journal","abstract":"Estimating the size of the coronavirus disease 2019 (COVID-19) pandemic and the infection severity of severe acute respiratory syndrome coronavirus 2 (SARS-CoV-2) is made challenging by inconsistencies in the available data. The number of deaths associated with COVID-19 is often used as a key indicator for the size of the epidemic, but the observed number of deaths represents only a minority of all infections1,2. In addition, the heterogeneous burdens in nursing homes and the variable reporting of deaths of older individuals can hinder direct comparisons of mortality rates and the underlying levels of transmission across countries3. Here we use age-specific COVID-19-associated death data from 45 countries and the results of 22 seroprevalence studies to investigate the consistency of infection and fatality patterns across multiple countries. We find that the age distribution of deaths in younger age groups (less than 65 years of age) is very consistent across different settings and demonstrate how these data can provide robust estimates of the share of the population that has been infected. We estimate that the infection fatality ratio is lowest among 5–9-year-old children, with a log-linear increase by age among individuals older than 30 years. Population age structures and heterogeneous burdens in nursing homes explain some but not all of the heterogeneity between countries in infection fatality ratios. Among the 45 countries included in our analysis, we estimate that approximately 5% of these populations had been infected by 1 September 2020, and that much higher transmission rates have probably occurred in a number of Latin American countries. This simple modelling framework can help countries to assess the progression of the pandemic and can be applied in any scenario for which reliable age-specific death data are available.","container-title":"Nature","DOI":"10.1038/s41586-020-2918-0","ISSN":"1476-4687","language":"en","note":"publisher: Nature Publishing Group","page":"1-6","source":"www.nature.com","title":"Age-specific mortality and immunity patterns of SARS-CoV-2","author":[{"family":"O’Driscoll","given":"Megan"},{"family":"Ribeiro Dos Santos","given":"Gabriel"},{"family":"Wang","given":"Lin"},{"family":"Cummings","given":"Derek A. T."},{"family":"Azman","given":"Andrew S."},{"family":"Paireau","given":"Juliette"},{"family":"Fontanet","given":"Arnaud"},{"family":"Cauchemez","given":"Simon"},{"family":"Salje","given":"Henrik"}],"issued":{"date-parts":[["2020",11,2]]}}}],"schema":"https://github.com/citation-style-language/schema/raw/master/csl-citation.json"} </w:instrText>
      </w:r>
      <w:r w:rsidRPr="00BF0D9C" w:rsidR="00066ACA">
        <w:rPr>
          <w:rFonts w:ascii="Calibri" w:hAnsi="Calibri" w:eastAsia="Calibri" w:cs="Calibri"/>
        </w:rPr>
        <w:fldChar w:fldCharType="separate"/>
      </w:r>
      <w:r w:rsidRPr="00E96CAE" w:rsidR="00E96CAE">
        <w:rPr>
          <w:rFonts w:ascii="Calibri" w:hAnsi="Calibri" w:cs="Calibri"/>
          <w:szCs w:val="24"/>
          <w:vertAlign w:val="superscript"/>
        </w:rPr>
        <w:t>55</w:t>
      </w:r>
      <w:r w:rsidRPr="00BF0D9C" w:rsidR="00066ACA">
        <w:rPr>
          <w:rFonts w:ascii="Calibri" w:hAnsi="Calibri" w:eastAsia="Calibri" w:cs="Calibri"/>
        </w:rPr>
        <w:fldChar w:fldCharType="end"/>
      </w:r>
      <w:r w:rsidRPr="00BF0D9C" w:rsidR="00066ACA">
        <w:rPr>
          <w:rFonts w:ascii="Calibri" w:hAnsi="Calibri" w:eastAsia="Calibri" w:cs="Calibri"/>
        </w:rPr>
        <w:t xml:space="preserve">. </w:t>
      </w:r>
      <w:r w:rsidRPr="00BF0D9C" w:rsidR="000F3536">
        <w:rPr>
          <w:rFonts w:ascii="Calibri" w:hAnsi="Calibri" w:eastAsia="Calibri" w:cs="Calibri"/>
        </w:rPr>
        <w:t>Undeniably, t</w:t>
      </w:r>
      <w:r w:rsidRPr="00BF0D9C">
        <w:rPr>
          <w:rFonts w:ascii="Calibri" w:hAnsi="Calibri" w:eastAsia="Calibri" w:cs="Calibri"/>
        </w:rPr>
        <w:t xml:space="preserve">he first wave of the pandemic unfolded diverse and complex responses of citizens, </w:t>
      </w:r>
      <w:proofErr w:type="gramStart"/>
      <w:r w:rsidRPr="00BF0D9C">
        <w:rPr>
          <w:rFonts w:ascii="Calibri" w:hAnsi="Calibri" w:eastAsia="Calibri" w:cs="Calibri"/>
        </w:rPr>
        <w:t>government</w:t>
      </w:r>
      <w:proofErr w:type="gramEnd"/>
      <w:r w:rsidRPr="00BF0D9C">
        <w:rPr>
          <w:rFonts w:ascii="Calibri" w:hAnsi="Calibri" w:eastAsia="Calibri" w:cs="Calibri"/>
        </w:rPr>
        <w:t xml:space="preserve"> and businesses. Civic behaviour in the respect of social distancing and use of masks, adequate contact tracing services coupled to sufficient testing capacity and smart use of mobile technologies, as well as community support and solidarity, along with good gover</w:t>
      </w:r>
      <w:r w:rsidRPr="00BF0D9C" w:rsidR="00840F0F">
        <w:rPr>
          <w:rFonts w:ascii="Calibri" w:hAnsi="Calibri" w:eastAsia="Calibri" w:cs="Calibri"/>
        </w:rPr>
        <w:t>nance and tempered and evidenced-</w:t>
      </w:r>
      <w:r w:rsidRPr="00BF0D9C">
        <w:rPr>
          <w:rFonts w:ascii="Calibri" w:hAnsi="Calibri" w:eastAsia="Calibri" w:cs="Calibri"/>
        </w:rPr>
        <w:t>base government communication are good examples of the complexity of effective response and resiliency to COVID-19</w:t>
      </w:r>
      <w:r w:rsidRPr="00BF0D9C" w:rsidR="00840F0F">
        <w:rPr>
          <w:rFonts w:ascii="Calibri" w:hAnsi="Calibri" w:eastAsia="Calibri" w:cs="Calibri"/>
        </w:rPr>
        <w:fldChar w:fldCharType="begin"/>
      </w:r>
      <w:r w:rsidR="00E96CAE">
        <w:rPr>
          <w:rFonts w:ascii="Calibri" w:hAnsi="Calibri" w:eastAsia="Calibri" w:cs="Calibri"/>
        </w:rPr>
        <w:instrText xml:space="preserve"> ADDIN ZOTERO_ITEM CSL_CITATION {"citationID":"5GGU1XXM","properties":{"formattedCitation":"\\super 56\\nosupersub{}","plainCitation":"56","noteIndex":0},"citationItems":[{"id":6557,"uris":["http://zotero.org/users/384481/items/8Q8CIE4G"],"uri":["http://zotero.org/users/384481/items/8Q8CIE4G"],"itemData":{"id":6557,"type":"article-journal","abstract":"The COVID-19 pandemic has shocked health systems worldwide, with visible impacts on intensive care units and emergency departments. The concept of “surge capacity” should be analyzed within this context as this crisis could be seen as an opportunity to improve the knowledge base of intensive care units and emergency departments. We reflected, based on our experience from work at the frontlines, on health service planning and with epidemiological data, about the importance of surging critical care capacity for COVID, now and as lessons for the future. We summarize and relate virus clinical characteristics, epidemiological patterns and critical care surge capacity as important factors to consider for effective health systems response. Some practical aspects are described, but also the role that mathematical models can play to improve intensive care units surge capacity by considering its importance as a predictor of needs according to epidemiological patterns. Also, in the transitional phase, we consider the importance of coexisting COVID-19 and non-covid-19 health care services, and the importance of a new surge capacity for postponed activities. In this new transitional phase, also emergency departments will have to adapt their surge capacity for a rebound effect due to delayed visits from non-COVID-19 health conditions during the pandemic. Health systems and society must remain vigilant for potential resurgence of cases as measures are relaxed to restart the economy and a new normal. Emergency departments and intensive care units have to develop surge strategies to deal together with COVID-19 and non-COVID-19 flow of patients.","container-title":"Progress in Disaster Science","DOI":"10.1016/j.pdisas.2020.100136","ISSN":"2590-0617","journalAbbreviation":"Progress in Disaster Science","language":"en","page":"100136","source":"ScienceDirect","title":"Surging critical care capacity for COVID-19: Key now and in the future","title-short":"Surging critical care capacity for COVID-19","volume":"8","author":[{"family":"Rodriguez-Llanes","given":"Jose M."},{"family":"Castro Delgado","given":"Rafael"},{"family":"Pedersen","given":"Morten Gram"},{"family":"Meneghini","given":"Matteo"},{"family":"Arcos González","given":"Pedro"}],"issued":{"date-parts":[["2020",12,1]]}}}],"schema":"https://github.com/citation-style-language/schema/raw/master/csl-citation.json"} </w:instrText>
      </w:r>
      <w:r w:rsidRPr="00BF0D9C" w:rsidR="00840F0F">
        <w:rPr>
          <w:rFonts w:ascii="Calibri" w:hAnsi="Calibri" w:eastAsia="Calibri" w:cs="Calibri"/>
        </w:rPr>
        <w:fldChar w:fldCharType="separate"/>
      </w:r>
      <w:r w:rsidRPr="00E96CAE" w:rsidR="00E96CAE">
        <w:rPr>
          <w:rFonts w:ascii="Calibri" w:hAnsi="Calibri" w:cs="Calibri"/>
          <w:szCs w:val="24"/>
          <w:vertAlign w:val="superscript"/>
        </w:rPr>
        <w:t>56</w:t>
      </w:r>
      <w:r w:rsidRPr="00BF0D9C" w:rsidR="00840F0F">
        <w:rPr>
          <w:rFonts w:ascii="Calibri" w:hAnsi="Calibri" w:eastAsia="Calibri" w:cs="Calibri"/>
        </w:rPr>
        <w:fldChar w:fldCharType="end"/>
      </w:r>
      <w:r w:rsidRPr="00BF0D9C" w:rsidR="2253E43B">
        <w:rPr>
          <w:rFonts w:ascii="Calibri" w:hAnsi="Calibri" w:eastAsia="Calibri" w:cs="Calibri"/>
        </w:rPr>
        <w:t xml:space="preserve">. </w:t>
      </w:r>
      <w:r w:rsidRPr="00BF0D9C" w:rsidR="000F3536">
        <w:rPr>
          <w:rFonts w:ascii="Calibri" w:hAnsi="Calibri" w:eastAsia="Calibri" w:cs="Calibri"/>
        </w:rPr>
        <w:t xml:space="preserve">All the </w:t>
      </w:r>
      <w:proofErr w:type="gramStart"/>
      <w:r w:rsidRPr="00BF0D9C" w:rsidR="000F3536">
        <w:rPr>
          <w:rFonts w:ascii="Calibri" w:hAnsi="Calibri" w:eastAsia="Calibri" w:cs="Calibri"/>
        </w:rPr>
        <w:t>aforementioned</w:t>
      </w:r>
      <w:r w:rsidRPr="00BF0D9C" w:rsidR="2253E43B">
        <w:rPr>
          <w:rFonts w:ascii="Calibri" w:hAnsi="Calibri" w:eastAsia="Calibri" w:cs="Calibri"/>
        </w:rPr>
        <w:t xml:space="preserve"> </w:t>
      </w:r>
      <w:r w:rsidRPr="00BF0D9C" w:rsidR="003936C8">
        <w:rPr>
          <w:rFonts w:ascii="Calibri" w:hAnsi="Calibri" w:eastAsia="Calibri" w:cs="Calibri"/>
        </w:rPr>
        <w:t>complex</w:t>
      </w:r>
      <w:proofErr w:type="gramEnd"/>
      <w:r w:rsidRPr="00BF0D9C" w:rsidR="003936C8">
        <w:rPr>
          <w:rFonts w:ascii="Calibri" w:hAnsi="Calibri" w:eastAsia="Calibri" w:cs="Calibri"/>
        </w:rPr>
        <w:t xml:space="preserve"> </w:t>
      </w:r>
      <w:r w:rsidRPr="00BF0D9C" w:rsidR="2253E43B">
        <w:rPr>
          <w:rFonts w:ascii="Calibri" w:hAnsi="Calibri" w:eastAsia="Calibri" w:cs="Calibri"/>
        </w:rPr>
        <w:t>factors</w:t>
      </w:r>
      <w:r w:rsidRPr="00BF0D9C">
        <w:rPr>
          <w:rFonts w:ascii="Calibri" w:hAnsi="Calibri" w:eastAsia="Calibri" w:cs="Calibri"/>
        </w:rPr>
        <w:t xml:space="preserve"> probably </w:t>
      </w:r>
      <w:r w:rsidRPr="00BF0D9C" w:rsidR="003936C8">
        <w:rPr>
          <w:rFonts w:ascii="Calibri" w:hAnsi="Calibri" w:eastAsia="Calibri" w:cs="Calibri"/>
        </w:rPr>
        <w:t xml:space="preserve">synergistically or additively </w:t>
      </w:r>
      <w:r w:rsidRPr="00BF0D9C">
        <w:rPr>
          <w:rFonts w:ascii="Calibri" w:hAnsi="Calibri" w:eastAsia="Calibri" w:cs="Calibri"/>
        </w:rPr>
        <w:t>moderated mortality</w:t>
      </w:r>
      <w:r w:rsidRPr="00BF0D9C" w:rsidR="741C8448">
        <w:rPr>
          <w:rFonts w:ascii="Calibri" w:hAnsi="Calibri" w:eastAsia="Calibri" w:cs="Calibri"/>
        </w:rPr>
        <w:t xml:space="preserve"> </w:t>
      </w:r>
      <w:r w:rsidRPr="00BF0D9C" w:rsidR="00840F0F">
        <w:rPr>
          <w:rFonts w:ascii="Calibri" w:hAnsi="Calibri" w:eastAsia="Calibri" w:cs="Calibri"/>
        </w:rPr>
        <w:t>and contributed to the variability in mortality changes between countries. Albeit</w:t>
      </w:r>
      <w:r w:rsidRPr="00BF0D9C" w:rsidR="741C8448">
        <w:rPr>
          <w:rFonts w:ascii="Calibri" w:hAnsi="Calibri" w:eastAsia="Calibri" w:cs="Calibri"/>
        </w:rPr>
        <w:t xml:space="preserve"> </w:t>
      </w:r>
      <w:r w:rsidRPr="00BF0D9C" w:rsidR="003936C8">
        <w:rPr>
          <w:rFonts w:ascii="Calibri" w:hAnsi="Calibri" w:eastAsia="Calibri" w:cs="Calibri"/>
        </w:rPr>
        <w:t xml:space="preserve">challenging and </w:t>
      </w:r>
      <w:r w:rsidRPr="00BF0D9C" w:rsidR="741C8448">
        <w:rPr>
          <w:rFonts w:ascii="Calibri" w:hAnsi="Calibri" w:eastAsia="Calibri" w:cs="Calibri"/>
        </w:rPr>
        <w:t>beyond the scope of the present study</w:t>
      </w:r>
      <w:r w:rsidRPr="00BF0D9C" w:rsidR="00840F0F">
        <w:rPr>
          <w:rFonts w:ascii="Calibri" w:hAnsi="Calibri" w:eastAsia="Calibri" w:cs="Calibri"/>
        </w:rPr>
        <w:t>, a comprehensive analysis of the relative impact of these factors on COVID-19 and all-cause excess mortality is warranted</w:t>
      </w:r>
      <w:r w:rsidRPr="00BF0D9C">
        <w:rPr>
          <w:rFonts w:ascii="Calibri" w:hAnsi="Calibri" w:eastAsia="Calibri" w:cs="Calibri"/>
        </w:rPr>
        <w:t>.</w:t>
      </w:r>
    </w:p>
    <w:p w:rsidRPr="00BF0D9C" w:rsidR="00B11336" w:rsidP="00BF0D9C" w:rsidRDefault="00B11336" w14:paraId="2B46B9E2" w14:textId="77777777">
      <w:pPr>
        <w:spacing w:line="480" w:lineRule="auto"/>
        <w:rPr>
          <w:rFonts w:ascii="Calibri" w:hAnsi="Calibri" w:eastAsia="Times New Roman" w:cs="Calibri"/>
          <w:i/>
          <w:iCs/>
        </w:rPr>
      </w:pPr>
      <w:r w:rsidRPr="00BF0D9C">
        <w:rPr>
          <w:rFonts w:ascii="Calibri" w:hAnsi="Calibri" w:eastAsia="Times New Roman" w:cs="Calibri"/>
          <w:i/>
          <w:iCs/>
        </w:rPr>
        <w:t>Strengths and Limitations</w:t>
      </w:r>
    </w:p>
    <w:p w:rsidRPr="000506F1" w:rsidR="00B11336" w:rsidP="5E0CCDD2" w:rsidRDefault="543DA81A" w14:paraId="5355D975" w14:textId="2D04FD36">
      <w:pPr>
        <w:spacing w:line="480" w:lineRule="auto"/>
        <w:rPr>
          <w:rFonts w:ascii="Calibri" w:hAnsi="Calibri" w:eastAsia="Calibri" w:cs="Calibri"/>
          <w:lang w:val="en-US"/>
        </w:rPr>
      </w:pPr>
      <w:r w:rsidRPr="7312A2DD">
        <w:rPr>
          <w:rFonts w:ascii="Calibri" w:hAnsi="Calibri" w:eastAsia="Times New Roman" w:cs="Calibri"/>
        </w:rPr>
        <w:t xml:space="preserve">Our study has some important strengths compared to other comparative mortality studies. First, it is one of the largest and most geographically diverse studies that relied on data from national and </w:t>
      </w:r>
      <w:r w:rsidRPr="7312A2DD">
        <w:rPr>
          <w:rFonts w:ascii="Calibri" w:hAnsi="Calibri" w:eastAsia="Times New Roman" w:cs="Calibri"/>
        </w:rPr>
        <w:lastRenderedPageBreak/>
        <w:t xml:space="preserve">primary sources, rather than on </w:t>
      </w:r>
      <w:r w:rsidRPr="7312A2DD" w:rsidR="00840F0F">
        <w:rPr>
          <w:rFonts w:ascii="Calibri" w:hAnsi="Calibri" w:eastAsia="Times New Roman" w:cs="Calibri"/>
        </w:rPr>
        <w:t>publicly</w:t>
      </w:r>
      <w:r w:rsidRPr="7312A2DD">
        <w:rPr>
          <w:rFonts w:ascii="Calibri" w:hAnsi="Calibri" w:eastAsia="Times New Roman" w:cs="Calibri"/>
        </w:rPr>
        <w:t xml:space="preserve"> available data.</w:t>
      </w:r>
      <w:r w:rsidRPr="7312A2DD" w:rsidR="000C72BE">
        <w:rPr>
          <w:rFonts w:ascii="Calibri" w:hAnsi="Calibri" w:eastAsia="Times New Roman" w:cs="Calibri"/>
        </w:rPr>
        <w:t xml:space="preserve"> Moreover, 19 out of the 22 countries (86.4%) included in the analysis were evaluated as having very high or high quality civil registration and vital statistics systems (only 2 and 1 countries were evaluated as low and medium quality, respectively) reinforcing the validity of our results</w:t>
      </w:r>
      <w:r w:rsidRPr="7312A2DD">
        <w:rPr>
          <w:rFonts w:ascii="Calibri" w:hAnsi="Calibri" w:eastAsia="Times New Roman" w:cs="Calibri"/>
        </w:rPr>
        <w:fldChar w:fldCharType="begin"/>
      </w:r>
      <w:r w:rsidRPr="7312A2DD">
        <w:rPr>
          <w:rFonts w:ascii="Calibri" w:hAnsi="Calibri" w:eastAsia="Times New Roman" w:cs="Calibri"/>
        </w:rPr>
        <w:instrText xml:space="preserve"> ADDIN ZOTERO_ITEM CSL_CITATION {"citationID":"Rw1c5H02","properties":{"formattedCitation":"\\super 57\\nosupersub{}","plainCitation":"57","noteIndex":0},"citationItems":[{"id":6576,"uris":["http://zotero.org/users/384481/items/8BI3AT49"],"uri":["http://zotero.org/users/384481/items/8BI3AT49"],"itemData":{"id":6576,"type":"article-journal","abstract":"&lt;h2&gt;Summary&lt;/h2&gt;&lt;p&gt;Increasing demand for better quality data and more investment to strengthen civil registration and vital statistics (CRVS) systems will require increased emphasis on objective, comparable, cost-effective monitoring and assessment methods to measure progress. We apply a composite index (the vital statistics performance index [VSPI]) to assess the performance of CRVS systems in 148 countries or territories during 1980–2012 and classify them into five distinct performance categories, ranging from rudimentary (with scores close to zero) to satisfactory (with scores close to one), with a mean VSPI score since 2005 of 0·61 (SD 0·31). As expected, the best performing systems were mostly in the European region, the Americas, and Australasia, with only two countries from east Asia and Latin America. Most low-scoring countries were in the African or Asian regions. Globally, only modest progress has been made since 2000, with the percentage of deaths registered increasing from 36% to 38%, and the percentage of children aged under 5 years whose birth has been registered increasing from 58% to 65%. However, several individual countries have made substantial improvements to their CRVS systems in the past 30 years by capturing more deaths and improving accuracy of cause-of-death information. Future monitoring of the effects of CRVS strengthening will greatly benefit from application of a metric like the VSPI, which is objective, costless to compute, and able to identify components of the system that make the largest contributions to good or poor performance.&lt;/p&gt;","container-title":"The Lancet","DOI":"10.1016/S0140-6736(15)60171-4","ISSN":"0140-6736, 1474-547X","issue":"10001","journalAbbreviation":"The Lancet","language":"English","note":"publisher: Elsevier\nPMID: 25971218","page":"1395-1406","source":"www.thelancet.com","title":"A global assessment of civil registration and vital statistics systems: monitoring data quality and progress","title-short":"A global assessment of civil registration and vital statistics systems","volume":"386","author":[{"family":"Mikkelsen","given":"Lene"},{"family":"Phillips","given":"David E."},{"family":"AbouZahr","given":"Carla"},{"family":"Setel","given":"Philip W."},{"family":"Savigny","given":"Don","dropping-particle":"de"},{"family":"Lozano","given":"Rafael"},{"family":"Lopez","given":"Alan D."}],"issued":{"date-parts":[["2015",10,3]]}}}],"schema":"https://github.com/citation-style-language/schema/raw/master/csl-citation.json"} </w:instrText>
      </w:r>
      <w:r w:rsidRPr="7312A2DD">
        <w:rPr>
          <w:rFonts w:ascii="Calibri" w:hAnsi="Calibri" w:eastAsia="Times New Roman" w:cs="Calibri"/>
        </w:rPr>
        <w:fldChar w:fldCharType="separate"/>
      </w:r>
      <w:r w:rsidRPr="7312A2DD" w:rsidR="00E96CAE">
        <w:rPr>
          <w:rFonts w:ascii="Calibri" w:hAnsi="Calibri" w:cs="Calibri"/>
          <w:vertAlign w:val="superscript"/>
        </w:rPr>
        <w:t>57</w:t>
      </w:r>
      <w:r w:rsidRPr="7312A2DD">
        <w:rPr>
          <w:rFonts w:ascii="Calibri" w:hAnsi="Calibri" w:eastAsia="Times New Roman" w:cs="Calibri"/>
        </w:rPr>
        <w:fldChar w:fldCharType="end"/>
      </w:r>
      <w:r w:rsidRPr="7312A2DD" w:rsidR="000C72BE">
        <w:rPr>
          <w:rFonts w:ascii="Calibri" w:hAnsi="Calibri" w:eastAsia="Times New Roman" w:cs="Calibri"/>
        </w:rPr>
        <w:t xml:space="preserve">.  </w:t>
      </w:r>
      <w:r w:rsidRPr="7312A2DD">
        <w:rPr>
          <w:rFonts w:ascii="Calibri" w:hAnsi="Calibri" w:eastAsia="Times New Roman" w:cs="Calibri"/>
        </w:rPr>
        <w:t xml:space="preserve">In addition, it is one of the few studies investigating excess </w:t>
      </w:r>
      <w:r w:rsidRPr="7312A2DD" w:rsidR="073141D4">
        <w:rPr>
          <w:rFonts w:ascii="Calibri" w:hAnsi="Calibri" w:eastAsia="Times New Roman" w:cs="Calibri"/>
        </w:rPr>
        <w:t>sex</w:t>
      </w:r>
      <w:r w:rsidRPr="7312A2DD">
        <w:rPr>
          <w:rFonts w:ascii="Calibri" w:hAnsi="Calibri" w:eastAsia="Times New Roman" w:cs="Calibri"/>
        </w:rPr>
        <w:t xml:space="preserve">-specific mortality </w:t>
      </w:r>
      <w:proofErr w:type="gramStart"/>
      <w:r w:rsidRPr="7312A2DD">
        <w:rPr>
          <w:rFonts w:ascii="Calibri" w:hAnsi="Calibri" w:eastAsia="Times New Roman" w:cs="Calibri"/>
        </w:rPr>
        <w:t>and also</w:t>
      </w:r>
      <w:proofErr w:type="gramEnd"/>
      <w:r w:rsidRPr="7312A2DD">
        <w:rPr>
          <w:rFonts w:ascii="Calibri" w:hAnsi="Calibri" w:eastAsia="Times New Roman" w:cs="Calibri"/>
        </w:rPr>
        <w:t xml:space="preserve"> one of the few examining excess mortality in light of COVID-19 control measures. Lastly, our results were based on two independent methodologies</w:t>
      </w:r>
      <w:r w:rsidRPr="7312A2DD" w:rsidR="349CCDF1">
        <w:rPr>
          <w:rFonts w:ascii="Calibri" w:hAnsi="Calibri" w:eastAsia="Times New Roman" w:cs="Calibri"/>
        </w:rPr>
        <w:t>,</w:t>
      </w:r>
      <w:r w:rsidRPr="7312A2DD">
        <w:rPr>
          <w:rFonts w:ascii="Calibri" w:hAnsi="Calibri" w:eastAsia="Times New Roman" w:cs="Calibri"/>
        </w:rPr>
        <w:t xml:space="preserve"> which demonstrated agreement in cases of increases or decreases in mortality. </w:t>
      </w:r>
      <w:r w:rsidRPr="7312A2DD" w:rsidR="55B6EDAB">
        <w:rPr>
          <w:rFonts w:ascii="Calibri" w:hAnsi="Calibri" w:eastAsia="Times New Roman" w:cs="Calibri"/>
        </w:rPr>
        <w:t>T</w:t>
      </w:r>
      <w:r w:rsidRPr="7312A2DD" w:rsidR="2EAFF38D">
        <w:rPr>
          <w:rFonts w:ascii="Calibri" w:hAnsi="Calibri" w:eastAsia="Times New Roman" w:cs="Calibri"/>
        </w:rPr>
        <w:t xml:space="preserve">he use of two </w:t>
      </w:r>
      <w:r w:rsidRPr="000506F1" w:rsidR="2EAFF38D">
        <w:rPr>
          <w:rFonts w:ascii="Calibri" w:hAnsi="Calibri" w:eastAsia="Times New Roman" w:cs="Calibri"/>
        </w:rPr>
        <w:t>methodo</w:t>
      </w:r>
      <w:r w:rsidRPr="000506F1" w:rsidR="4EBC5D05">
        <w:rPr>
          <w:rFonts w:ascii="Calibri" w:hAnsi="Calibri" w:eastAsia="Times New Roman" w:cs="Calibri"/>
        </w:rPr>
        <w:t>logies enabled us to</w:t>
      </w:r>
      <w:r w:rsidRPr="000506F1" w:rsidR="2EAFF38D">
        <w:rPr>
          <w:rFonts w:ascii="Calibri" w:hAnsi="Calibri" w:eastAsia="Times New Roman" w:cs="Calibri"/>
        </w:rPr>
        <w:t xml:space="preserve"> investigate countries</w:t>
      </w:r>
      <w:r w:rsidRPr="000506F1" w:rsidR="522F40FA">
        <w:rPr>
          <w:rFonts w:ascii="Calibri" w:hAnsi="Calibri" w:eastAsia="Times New Roman" w:cs="Calibri"/>
        </w:rPr>
        <w:t xml:space="preserve"> which lacked</w:t>
      </w:r>
      <w:r w:rsidRPr="000506F1" w:rsidR="2EAFF38D">
        <w:rPr>
          <w:rFonts w:ascii="Calibri" w:hAnsi="Calibri" w:eastAsia="Times New Roman" w:cs="Calibri"/>
        </w:rPr>
        <w:t xml:space="preserve"> weekly mortality data, and it also allowed us to </w:t>
      </w:r>
      <w:r w:rsidRPr="000506F1" w:rsidR="2EAFF38D">
        <w:rPr>
          <w:rFonts w:ascii="Calibri" w:hAnsi="Calibri" w:eastAsia="Calibri" w:cs="Calibri"/>
          <w:lang w:val="en-US"/>
        </w:rPr>
        <w:t>validate method 1, which can be considered a simpler approach and feasible even for countries with mortality data of limited granularity, against method 2, which is based on a more accurate statistical methodology.</w:t>
      </w:r>
    </w:p>
    <w:p w:rsidRPr="00BF0D9C" w:rsidR="00711A4E" w:rsidP="00BF0D9C" w:rsidRDefault="00B11336" w14:paraId="73148A81" w14:textId="240E38A1">
      <w:pPr>
        <w:spacing w:line="480" w:lineRule="auto"/>
        <w:rPr>
          <w:rFonts w:ascii="Calibri" w:hAnsi="Calibri" w:eastAsia="Times New Roman" w:cs="Calibri"/>
        </w:rPr>
      </w:pPr>
      <w:r w:rsidRPr="00BF0D9C">
        <w:rPr>
          <w:rFonts w:ascii="Calibri" w:hAnsi="Calibri" w:eastAsia="Times New Roman" w:cs="Calibri"/>
        </w:rPr>
        <w:t xml:space="preserve">At the same time, our study also </w:t>
      </w:r>
      <w:r w:rsidRPr="00BF0D9C" w:rsidR="00DE30EC">
        <w:rPr>
          <w:rFonts w:ascii="Calibri" w:hAnsi="Calibri" w:eastAsia="Times New Roman" w:cs="Calibri"/>
        </w:rPr>
        <w:t xml:space="preserve">has </w:t>
      </w:r>
      <w:r w:rsidRPr="00BF0D9C">
        <w:rPr>
          <w:rFonts w:ascii="Calibri" w:hAnsi="Calibri" w:eastAsia="Times New Roman" w:cs="Calibri"/>
        </w:rPr>
        <w:t>limitations. First, for all the reasons outlined in the discussion, our study did not attempt any between</w:t>
      </w:r>
      <w:r w:rsidRPr="00BF0D9C" w:rsidR="1329DE6A">
        <w:rPr>
          <w:rFonts w:ascii="Calibri" w:hAnsi="Calibri" w:eastAsia="Times New Roman" w:cs="Calibri"/>
        </w:rPr>
        <w:t>-</w:t>
      </w:r>
      <w:r w:rsidRPr="00BF0D9C">
        <w:rPr>
          <w:rFonts w:ascii="Calibri" w:hAnsi="Calibri" w:eastAsia="Times New Roman" w:cs="Calibri"/>
        </w:rPr>
        <w:t xml:space="preserve">country </w:t>
      </w:r>
      <w:r w:rsidRPr="00BF0D9C" w:rsidR="00840F0F">
        <w:rPr>
          <w:rFonts w:ascii="Calibri" w:hAnsi="Calibri" w:eastAsia="Times New Roman" w:cs="Calibri"/>
        </w:rPr>
        <w:t xml:space="preserve">statistical </w:t>
      </w:r>
      <w:r w:rsidRPr="00BF0D9C">
        <w:rPr>
          <w:rFonts w:ascii="Calibri" w:hAnsi="Calibri" w:eastAsia="Times New Roman" w:cs="Calibri"/>
        </w:rPr>
        <w:t xml:space="preserve">comparisons </w:t>
      </w:r>
      <w:r w:rsidRPr="00BF0D9C" w:rsidR="00840F0F">
        <w:rPr>
          <w:rFonts w:ascii="Calibri" w:hAnsi="Calibri" w:eastAsia="Times New Roman" w:cs="Calibri"/>
        </w:rPr>
        <w:t xml:space="preserve">or a pooled analysis </w:t>
      </w:r>
      <w:r w:rsidRPr="00BF0D9C">
        <w:rPr>
          <w:rFonts w:ascii="Calibri" w:hAnsi="Calibri" w:eastAsia="Times New Roman" w:cs="Calibri"/>
        </w:rPr>
        <w:t>but focused instead on the mortality picture of each of the participating countries independently. Second</w:t>
      </w:r>
      <w:r w:rsidRPr="00BF0D9C" w:rsidR="008B5C4C">
        <w:rPr>
          <w:rFonts w:ascii="Calibri" w:hAnsi="Calibri" w:eastAsia="Times New Roman" w:cs="Calibri"/>
        </w:rPr>
        <w:t>ly</w:t>
      </w:r>
      <w:r w:rsidRPr="00BF0D9C">
        <w:rPr>
          <w:rFonts w:ascii="Calibri" w:hAnsi="Calibri" w:eastAsia="Times New Roman" w:cs="Calibri"/>
        </w:rPr>
        <w:t>, due to the lack of age-group specific mortality data from many countries, investigation of excess mortality by age-group was not possible. Lastly, we cannot rule out that delays in death reporting may be affecting our results, even though we attempted to account for such delays</w:t>
      </w:r>
      <w:r w:rsidRPr="00BF0D9C" w:rsidR="008B5C4C">
        <w:rPr>
          <w:rFonts w:ascii="Calibri" w:hAnsi="Calibri" w:eastAsia="Times New Roman" w:cs="Calibri"/>
        </w:rPr>
        <w:t xml:space="preserve"> by</w:t>
      </w:r>
      <w:r w:rsidRPr="00BF0D9C">
        <w:rPr>
          <w:rFonts w:ascii="Calibri" w:hAnsi="Calibri" w:eastAsia="Times New Roman" w:cs="Calibri"/>
        </w:rPr>
        <w:t xml:space="preserve"> a) allowing at least four weeks between the end of the observation period and data acquisition, and b) performing a sensitivity analysis where the observation period was truncated at least three months before data acquisition.  </w:t>
      </w:r>
    </w:p>
    <w:p w:rsidRPr="00BF0D9C" w:rsidR="00711A4E" w:rsidP="00BF0D9C" w:rsidRDefault="00711A4E" w14:paraId="53DB9509" w14:textId="153A6F2C">
      <w:pPr>
        <w:spacing w:line="480" w:lineRule="auto"/>
        <w:rPr>
          <w:rFonts w:ascii="Calibri" w:hAnsi="Calibri" w:eastAsia="Times New Roman" w:cs="Calibri"/>
          <w:b/>
        </w:rPr>
      </w:pPr>
      <w:r w:rsidRPr="00BF0D9C">
        <w:rPr>
          <w:rFonts w:ascii="Calibri" w:hAnsi="Calibri" w:eastAsia="Times New Roman" w:cs="Calibri"/>
          <w:b/>
        </w:rPr>
        <w:t>Conclusion</w:t>
      </w:r>
    </w:p>
    <w:p w:rsidRPr="00BF0D9C" w:rsidR="00711A4E" w:rsidP="00BF0D9C" w:rsidRDefault="077DAA76" w14:paraId="7DC7B0BD" w14:textId="3CAB70CF">
      <w:pPr>
        <w:spacing w:line="480" w:lineRule="auto"/>
        <w:rPr>
          <w:rFonts w:ascii="Calibri" w:hAnsi="Calibri" w:eastAsia="Times New Roman" w:cs="Calibri"/>
        </w:rPr>
      </w:pPr>
      <w:r w:rsidRPr="4C10505A">
        <w:rPr>
          <w:rFonts w:ascii="Calibri" w:hAnsi="Calibri" w:eastAsia="Times New Roman" w:cs="Calibri"/>
        </w:rPr>
        <w:t>In this excess mortality investigation in</w:t>
      </w:r>
      <w:r w:rsidRPr="4C10505A" w:rsidR="6B57580F">
        <w:rPr>
          <w:rFonts w:ascii="Calibri" w:hAnsi="Calibri" w:eastAsia="Times New Roman" w:cs="Calibri"/>
        </w:rPr>
        <w:t>cluding</w:t>
      </w:r>
      <w:r w:rsidRPr="4C10505A">
        <w:rPr>
          <w:rFonts w:ascii="Calibri" w:hAnsi="Calibri" w:eastAsia="Times New Roman" w:cs="Calibri"/>
        </w:rPr>
        <w:t xml:space="preserve"> 22 countries across the globe, it became evident that up until the end of June or August 2020, several countries </w:t>
      </w:r>
      <w:r w:rsidRPr="4C10505A" w:rsidR="24A4AB75">
        <w:rPr>
          <w:rFonts w:ascii="Calibri" w:hAnsi="Calibri" w:eastAsia="Times New Roman" w:cs="Calibri"/>
        </w:rPr>
        <w:t>showed</w:t>
      </w:r>
      <w:r w:rsidRPr="4C10505A">
        <w:rPr>
          <w:rFonts w:ascii="Calibri" w:hAnsi="Calibri" w:eastAsia="Times New Roman" w:cs="Calibri"/>
        </w:rPr>
        <w:t xml:space="preserve"> excess all-cause mortality compared to what was observed in or expected based on the previous </w:t>
      </w:r>
      <w:r w:rsidRPr="4C10505A" w:rsidR="5631E1C1">
        <w:rPr>
          <w:rFonts w:ascii="Calibri" w:hAnsi="Calibri" w:eastAsia="Times New Roman" w:cs="Calibri"/>
        </w:rPr>
        <w:t>five</w:t>
      </w:r>
      <w:r w:rsidRPr="4C10505A">
        <w:rPr>
          <w:rFonts w:ascii="Calibri" w:hAnsi="Calibri" w:eastAsia="Times New Roman" w:cs="Calibri"/>
        </w:rPr>
        <w:t xml:space="preserve"> </w:t>
      </w:r>
      <w:proofErr w:type="gramStart"/>
      <w:r w:rsidRPr="4C10505A">
        <w:rPr>
          <w:rFonts w:ascii="Calibri" w:hAnsi="Calibri" w:eastAsia="Times New Roman" w:cs="Calibri"/>
        </w:rPr>
        <w:t>years.</w:t>
      </w:r>
      <w:r w:rsidRPr="4C10505A" w:rsidR="237EF1BC">
        <w:rPr>
          <w:rFonts w:ascii="Calibri" w:hAnsi="Calibri" w:eastAsia="Times New Roman" w:cs="Calibri"/>
        </w:rPr>
        <w:t>.</w:t>
      </w:r>
      <w:proofErr w:type="gramEnd"/>
      <w:r w:rsidRPr="4C10505A" w:rsidR="237EF1BC">
        <w:rPr>
          <w:rFonts w:ascii="Calibri" w:hAnsi="Calibri" w:eastAsia="Times New Roman" w:cs="Calibri"/>
        </w:rPr>
        <w:t xml:space="preserve"> </w:t>
      </w:r>
      <w:r w:rsidRPr="4C10505A">
        <w:rPr>
          <w:rFonts w:ascii="Calibri" w:hAnsi="Calibri" w:eastAsia="Times New Roman" w:cs="Calibri"/>
        </w:rPr>
        <w:t>Yet, other count</w:t>
      </w:r>
      <w:r w:rsidRPr="4C10505A" w:rsidR="745CDFD1">
        <w:rPr>
          <w:rFonts w:ascii="Calibri" w:hAnsi="Calibri" w:eastAsia="Times New Roman" w:cs="Calibri"/>
        </w:rPr>
        <w:t>r</w:t>
      </w:r>
      <w:r w:rsidRPr="4C10505A">
        <w:rPr>
          <w:rFonts w:ascii="Calibri" w:hAnsi="Calibri" w:eastAsia="Times New Roman" w:cs="Calibri"/>
        </w:rPr>
        <w:t xml:space="preserve">ies managed to </w:t>
      </w:r>
      <w:r w:rsidRPr="4C10505A" w:rsidR="237EF1BC">
        <w:rPr>
          <w:rFonts w:ascii="Calibri" w:hAnsi="Calibri" w:eastAsia="Times New Roman" w:cs="Calibri"/>
        </w:rPr>
        <w:t xml:space="preserve">avoid increases in all-cause mortality. The excess mortality picture in the 22 </w:t>
      </w:r>
      <w:r w:rsidRPr="4C10505A" w:rsidR="237EF1BC">
        <w:rPr>
          <w:rFonts w:ascii="Calibri" w:hAnsi="Calibri" w:eastAsia="Times New Roman" w:cs="Calibri"/>
        </w:rPr>
        <w:lastRenderedPageBreak/>
        <w:t xml:space="preserve">participating countries was shown to be heavily influenced by the geographical location and seasonality of each country, as well as the promptness of governments to apply control measures of high stringency. As the pandemic continues and even worsens in many Northern hemisphere countries and as it now heavily affects countries of the Southern hemisphere as well, the lessons learned from the first six or eight months of the pandemic can prove useful </w:t>
      </w:r>
      <w:proofErr w:type="gramStart"/>
      <w:r w:rsidRPr="4C10505A" w:rsidR="237EF1BC">
        <w:rPr>
          <w:rFonts w:ascii="Calibri" w:hAnsi="Calibri" w:eastAsia="Times New Roman" w:cs="Calibri"/>
        </w:rPr>
        <w:t>in order to</w:t>
      </w:r>
      <w:proofErr w:type="gramEnd"/>
      <w:r w:rsidRPr="4C10505A" w:rsidR="237EF1BC">
        <w:rPr>
          <w:rFonts w:ascii="Calibri" w:hAnsi="Calibri" w:eastAsia="Times New Roman" w:cs="Calibri"/>
        </w:rPr>
        <w:t xml:space="preserve"> minimize increases in all-cause mortality.</w:t>
      </w:r>
    </w:p>
    <w:p w:rsidRPr="00BF0D9C" w:rsidR="00B11336" w:rsidP="00BF0D9C" w:rsidRDefault="00B11336" w14:paraId="3184F786" w14:textId="4AEC918C">
      <w:pPr>
        <w:spacing w:line="480" w:lineRule="auto"/>
        <w:rPr>
          <w:rFonts w:ascii="Calibri" w:hAnsi="Calibri" w:eastAsia="Times New Roman" w:cs="Calibri"/>
          <w:b/>
        </w:rPr>
      </w:pPr>
    </w:p>
    <w:p w:rsidRPr="00BF0D9C" w:rsidR="005E6906" w:rsidP="00BF0D9C" w:rsidRDefault="005E6906" w14:paraId="7098818C" w14:textId="03201E23">
      <w:pPr>
        <w:spacing w:line="480" w:lineRule="auto"/>
        <w:rPr>
          <w:rFonts w:ascii="Calibri" w:hAnsi="Calibri" w:eastAsia="Times New Roman" w:cs="Calibri"/>
          <w:b/>
        </w:rPr>
      </w:pPr>
    </w:p>
    <w:p w:rsidRPr="00BF0D9C" w:rsidR="003B3FEE" w:rsidP="00BF0D9C" w:rsidRDefault="003B3FEE" w14:paraId="003609EA" w14:textId="77777777">
      <w:pPr>
        <w:spacing w:line="480" w:lineRule="auto"/>
        <w:rPr>
          <w:rFonts w:ascii="Calibri" w:hAnsi="Calibri" w:eastAsia="Times New Roman" w:cs="Calibri"/>
          <w:b/>
        </w:rPr>
      </w:pPr>
      <w:r w:rsidRPr="00BF0D9C">
        <w:rPr>
          <w:rFonts w:ascii="Calibri" w:hAnsi="Calibri" w:eastAsia="Times New Roman" w:cs="Calibri"/>
          <w:b/>
        </w:rPr>
        <w:br w:type="page"/>
      </w:r>
    </w:p>
    <w:p w:rsidRPr="00722108" w:rsidR="00501540" w:rsidP="00BF0D9C" w:rsidRDefault="00722108" w14:paraId="4005695C" w14:textId="2828C5FA">
      <w:pPr>
        <w:spacing w:line="480" w:lineRule="auto"/>
        <w:rPr>
          <w:rFonts w:cstheme="minorHAnsi"/>
        </w:rPr>
      </w:pPr>
      <w:r w:rsidRPr="00BF0D9C">
        <w:rPr>
          <w:rFonts w:cstheme="minorHAnsi"/>
          <w:b/>
          <w:shd w:val="clear" w:color="auto" w:fill="FFFFFF"/>
        </w:rPr>
        <w:lastRenderedPageBreak/>
        <w:t>Funding:</w:t>
      </w:r>
      <w:r w:rsidRPr="00BF0D9C">
        <w:rPr>
          <w:rFonts w:cstheme="minorHAnsi"/>
          <w:shd w:val="clear" w:color="auto" w:fill="FFFFFF"/>
        </w:rPr>
        <w:t xml:space="preserve"> This work was supported by the University of Nicosia Medical School</w:t>
      </w:r>
    </w:p>
    <w:p w:rsidRPr="00BF0D9C" w:rsidR="00501540" w:rsidP="00BF0D9C" w:rsidRDefault="00501540" w14:paraId="5B10D602" w14:textId="77777777">
      <w:pPr>
        <w:spacing w:line="480" w:lineRule="auto"/>
        <w:rPr>
          <w:rFonts w:ascii="Calibri" w:hAnsi="Calibri" w:eastAsia="Times New Roman" w:cs="Calibri"/>
          <w:b/>
        </w:rPr>
      </w:pPr>
      <w:r w:rsidRPr="00BF0D9C">
        <w:rPr>
          <w:rFonts w:ascii="Calibri" w:hAnsi="Calibri" w:eastAsia="Times New Roman" w:cs="Calibri"/>
          <w:b/>
        </w:rPr>
        <w:t>Acknowledgements</w:t>
      </w:r>
    </w:p>
    <w:p w:rsidR="005E6906" w:rsidP="00BF0D9C" w:rsidRDefault="00501540" w14:paraId="601578AB" w14:textId="186E9E4F">
      <w:pPr>
        <w:spacing w:line="480" w:lineRule="auto"/>
        <w:rPr>
          <w:rFonts w:ascii="Calibri" w:hAnsi="Calibri" w:eastAsia="Times New Roman" w:cs="Calibri"/>
        </w:rPr>
      </w:pPr>
      <w:r w:rsidRPr="00BF0D9C">
        <w:rPr>
          <w:rFonts w:ascii="Calibri" w:hAnsi="Calibri" w:eastAsia="Times New Roman" w:cs="Calibri"/>
        </w:rPr>
        <w:t xml:space="preserve">The authors would like to acknowledge </w:t>
      </w:r>
      <w:proofErr w:type="spellStart"/>
      <w:r w:rsidRPr="00BF0D9C">
        <w:rPr>
          <w:rFonts w:ascii="Calibri" w:hAnsi="Calibri" w:eastAsia="Times New Roman" w:cs="Calibri"/>
        </w:rPr>
        <w:t>Dr.</w:t>
      </w:r>
      <w:proofErr w:type="spellEnd"/>
      <w:r w:rsidRPr="00BF0D9C">
        <w:rPr>
          <w:rFonts w:ascii="Calibri" w:hAnsi="Calibri" w:eastAsia="Times New Roman" w:cs="Calibri"/>
        </w:rPr>
        <w:t xml:space="preserve"> </w:t>
      </w:r>
      <w:r w:rsidRPr="00BF0D9C" w:rsidR="00C569EE">
        <w:rPr>
          <w:rFonts w:ascii="Calibri" w:hAnsi="Calibri" w:eastAsia="Times New Roman" w:cs="Calibri"/>
        </w:rPr>
        <w:t xml:space="preserve">Jennifer Wenjing Tao </w:t>
      </w:r>
      <w:r w:rsidRPr="00BF0D9C">
        <w:rPr>
          <w:rFonts w:ascii="Calibri" w:hAnsi="Calibri" w:eastAsia="Times New Roman" w:cs="Calibri"/>
        </w:rPr>
        <w:t xml:space="preserve">for her contribution in obtaining, and analysing Swedish mortality data, as well as for her insightful contributions to the drafting and revising of this article. </w:t>
      </w:r>
    </w:p>
    <w:p w:rsidRPr="00BF0D9C" w:rsidR="00722108" w:rsidP="00BF0D9C" w:rsidRDefault="00722108" w14:paraId="325F1609" w14:textId="77777777">
      <w:pPr>
        <w:spacing w:line="480" w:lineRule="auto"/>
        <w:contextualSpacing/>
        <w:rPr>
          <w:rFonts w:ascii="Calibri" w:hAnsi="Calibri" w:eastAsia="Times New Roman" w:cs="Calibri"/>
        </w:rPr>
      </w:pPr>
    </w:p>
    <w:p w:rsidR="008A258B" w:rsidP="00BF0D9C" w:rsidRDefault="008A258B" w14:paraId="75269DB7" w14:textId="123C129D">
      <w:pPr>
        <w:spacing w:line="480" w:lineRule="auto"/>
      </w:pPr>
      <w:r w:rsidRPr="00BF0D9C">
        <w:rPr>
          <w:b/>
        </w:rPr>
        <w:t>Conflict of interest:</w:t>
      </w:r>
      <w:r w:rsidRPr="00BF0D9C">
        <w:t xml:space="preserve"> None declared</w:t>
      </w:r>
    </w:p>
    <w:p w:rsidRPr="00BF0D9C" w:rsidR="00722108" w:rsidP="00BF0D9C" w:rsidRDefault="00722108" w14:paraId="25A2B933" w14:textId="2A86B0CB">
      <w:pPr>
        <w:spacing w:line="480" w:lineRule="auto"/>
      </w:pPr>
      <w:r w:rsidRPr="00722108">
        <w:rPr>
          <w:b/>
        </w:rPr>
        <w:t>Data availability statement:</w:t>
      </w:r>
      <w:r>
        <w:t xml:space="preserve"> </w:t>
      </w:r>
      <w:r w:rsidRPr="00722108">
        <w:t>The data underlying this article are available in the article and in its online supplementary material.</w:t>
      </w:r>
    </w:p>
    <w:p w:rsidRPr="00BF0D9C" w:rsidR="00501540" w:rsidP="00BF0D9C" w:rsidRDefault="00501540" w14:paraId="6E35A91D" w14:textId="77777777">
      <w:pPr>
        <w:spacing w:line="480" w:lineRule="auto"/>
        <w:rPr>
          <w:rFonts w:ascii="Calibri" w:hAnsi="Calibri" w:eastAsia="Times New Roman" w:cs="Calibri"/>
          <w:b/>
        </w:rPr>
      </w:pPr>
      <w:r w:rsidRPr="00BF0D9C">
        <w:rPr>
          <w:rFonts w:ascii="Calibri" w:hAnsi="Calibri" w:eastAsia="Times New Roman" w:cs="Calibri"/>
          <w:b/>
        </w:rPr>
        <w:br w:type="page"/>
      </w:r>
    </w:p>
    <w:p w:rsidRPr="00E90099" w:rsidR="00B11336" w:rsidP="00BF0D9C" w:rsidRDefault="00F520A0" w14:paraId="5518AF96" w14:textId="7266D63C">
      <w:pPr>
        <w:spacing w:line="480" w:lineRule="auto"/>
        <w:rPr>
          <w:rFonts w:ascii="Calibri" w:hAnsi="Calibri" w:eastAsia="Times New Roman" w:cs="Calibri"/>
          <w:b/>
        </w:rPr>
      </w:pPr>
      <w:r w:rsidRPr="00E90099">
        <w:rPr>
          <w:rFonts w:ascii="Calibri" w:hAnsi="Calibri" w:eastAsia="Times New Roman" w:cs="Calibri"/>
          <w:b/>
        </w:rPr>
        <w:lastRenderedPageBreak/>
        <w:t>References:</w:t>
      </w:r>
    </w:p>
    <w:p w:rsidR="00E96CAE" w:rsidP="00E96CAE" w:rsidRDefault="00F520A0" w14:paraId="047B57EE" w14:textId="77777777">
      <w:pPr>
        <w:pStyle w:val="Bibliography"/>
      </w:pPr>
      <w:r w:rsidRPr="00E90099">
        <w:rPr>
          <w:rFonts w:ascii="Calibri" w:hAnsi="Calibri" w:eastAsia="Times New Roman" w:cs="Calibri"/>
          <w:b/>
        </w:rPr>
        <w:fldChar w:fldCharType="begin"/>
      </w:r>
      <w:r w:rsidR="002D5C01">
        <w:rPr>
          <w:rFonts w:ascii="Calibri" w:hAnsi="Calibri" w:eastAsia="Times New Roman" w:cs="Calibri"/>
          <w:b/>
        </w:rPr>
        <w:instrText xml:space="preserve"> ADDIN ZOTERO_BIBL {"uncited":[],"omitted":[],"custom":[]} CSL_BIBLIOGRAPHY </w:instrText>
      </w:r>
      <w:r w:rsidRPr="00E90099">
        <w:rPr>
          <w:rFonts w:ascii="Calibri" w:hAnsi="Calibri" w:eastAsia="Times New Roman" w:cs="Calibri"/>
          <w:b/>
        </w:rPr>
        <w:fldChar w:fldCharType="separate"/>
      </w:r>
      <w:r w:rsidR="00E96CAE">
        <w:t xml:space="preserve">1. </w:t>
      </w:r>
      <w:r w:rsidR="00E96CAE">
        <w:tab/>
      </w:r>
      <w:r w:rsidR="00E96CAE">
        <w:t xml:space="preserve">COVID-19 situation update worldwide, as of week 52 2020 [Internet]. </w:t>
      </w:r>
      <w:r w:rsidR="00E96CAE">
        <w:rPr>
          <w:i/>
          <w:iCs/>
        </w:rPr>
        <w:t>Eur. Cent. Dis. Prev. Control</w:t>
      </w:r>
      <w:r w:rsidR="00E96CAE">
        <w:t xml:space="preserve"> [cited 2021 Jan 3]. Available from: https://www.ecdc.europa.eu/en/geographical-distribution-2019-ncov-cases</w:t>
      </w:r>
    </w:p>
    <w:p w:rsidR="00E96CAE" w:rsidP="00E96CAE" w:rsidRDefault="00E96CAE" w14:paraId="0AE901EE" w14:textId="77777777">
      <w:pPr>
        <w:pStyle w:val="Bibliography"/>
      </w:pPr>
      <w:r>
        <w:t xml:space="preserve">2. </w:t>
      </w:r>
      <w:r>
        <w:tab/>
      </w:r>
      <w:r>
        <w:t xml:space="preserve">Kontis V, Bennett JE, Rashid T, et al. Magnitude, demographics and dynamics of the effect of the first wave of the COVID-19 pandemic on all-cause mortality in 21 industrialized countries. </w:t>
      </w:r>
      <w:r>
        <w:rPr>
          <w:i/>
          <w:iCs/>
        </w:rPr>
        <w:t>Nat Med</w:t>
      </w:r>
      <w:r>
        <w:t xml:space="preserve">. Nature Publishing Group; 2020 Oct 14;1–10. </w:t>
      </w:r>
    </w:p>
    <w:p w:rsidR="00E96CAE" w:rsidP="00E96CAE" w:rsidRDefault="00E96CAE" w14:paraId="27FBD158" w14:textId="77777777">
      <w:pPr>
        <w:pStyle w:val="Bibliography"/>
      </w:pPr>
      <w:r>
        <w:t xml:space="preserve">3. </w:t>
      </w:r>
      <w:r>
        <w:tab/>
      </w:r>
      <w:r>
        <w:t xml:space="preserve">Vestergaard LS, Nielsen J, Richter L, et al. Excess all-cause mortality during the COVID-19 pandemic in Europe – preliminary pooled estimates from the EuroMOMO network, March to April 2020. </w:t>
      </w:r>
      <w:r>
        <w:rPr>
          <w:i/>
          <w:iCs/>
        </w:rPr>
        <w:t>Eurosurveillance</w:t>
      </w:r>
      <w:r>
        <w:t xml:space="preserve"> [Internet]. 2020 Jul 2 [cited 2020 Nov 20];</w:t>
      </w:r>
      <w:r>
        <w:rPr>
          <w:b/>
          <w:bCs/>
        </w:rPr>
        <w:t>25</w:t>
      </w:r>
      <w:r>
        <w:t>(26). Available from: https://www.ncbi.nlm.nih.gov/pmc/articles/PMC7346364/</w:t>
      </w:r>
    </w:p>
    <w:p w:rsidR="00E96CAE" w:rsidP="00E96CAE" w:rsidRDefault="00E96CAE" w14:paraId="029AD432" w14:textId="77777777">
      <w:pPr>
        <w:pStyle w:val="Bibliography"/>
      </w:pPr>
      <w:r>
        <w:t xml:space="preserve">4. </w:t>
      </w:r>
      <w:r>
        <w:tab/>
      </w:r>
      <w:r>
        <w:t xml:space="preserve">Stang A, Standl F, Kowall B, et al. Excess mortality due to COVID-19 in Germany. </w:t>
      </w:r>
      <w:r>
        <w:rPr>
          <w:i/>
          <w:iCs/>
        </w:rPr>
        <w:t>J Infect</w:t>
      </w:r>
      <w:r>
        <w:t>. Elsevier; 2020 Nov 1;</w:t>
      </w:r>
      <w:r>
        <w:rPr>
          <w:b/>
          <w:bCs/>
        </w:rPr>
        <w:t>81</w:t>
      </w:r>
      <w:r>
        <w:t xml:space="preserve">(5):797–801. </w:t>
      </w:r>
    </w:p>
    <w:p w:rsidR="00E96CAE" w:rsidP="00E96CAE" w:rsidRDefault="00E96CAE" w14:paraId="08CB30A0" w14:textId="77777777">
      <w:pPr>
        <w:pStyle w:val="Bibliography"/>
      </w:pPr>
      <w:r>
        <w:t xml:space="preserve">5. </w:t>
      </w:r>
      <w:r>
        <w:tab/>
      </w:r>
      <w:r>
        <w:t xml:space="preserve">Michelozzi P, Donato F de’, Scortichini M, et al. Temporal dynamics in total excess mortality and COVID-19 deaths in Italian cities. </w:t>
      </w:r>
      <w:r>
        <w:rPr>
          <w:i/>
          <w:iCs/>
        </w:rPr>
        <w:t>BMC Public Health</w:t>
      </w:r>
      <w:r>
        <w:t>. 2020 Aug 27;</w:t>
      </w:r>
      <w:r>
        <w:rPr>
          <w:b/>
          <w:bCs/>
        </w:rPr>
        <w:t>20</w:t>
      </w:r>
      <w:r>
        <w:t xml:space="preserve">(1):1238. </w:t>
      </w:r>
    </w:p>
    <w:p w:rsidR="00E96CAE" w:rsidP="00E96CAE" w:rsidRDefault="00E96CAE" w14:paraId="76150EEA" w14:textId="77777777">
      <w:pPr>
        <w:pStyle w:val="Bibliography"/>
      </w:pPr>
      <w:r>
        <w:t xml:space="preserve">6. </w:t>
      </w:r>
      <w:r>
        <w:tab/>
      </w:r>
      <w:r>
        <w:t xml:space="preserve">Felix-Cardoso J, Vasconcelos H, Rodrigues P, Cruz-Correia R. Excess mortality during COVID-19 in five European countries and a critique of mortality analysis data. </w:t>
      </w:r>
      <w:r>
        <w:rPr>
          <w:i/>
          <w:iCs/>
        </w:rPr>
        <w:t>medRxiv</w:t>
      </w:r>
      <w:r>
        <w:t xml:space="preserve">. Cold Spring Harbor Laboratory Press; 2020 May 2;2020.04.28.20083147. </w:t>
      </w:r>
    </w:p>
    <w:p w:rsidR="00E96CAE" w:rsidP="00E96CAE" w:rsidRDefault="00E96CAE" w14:paraId="20EA1EF6" w14:textId="77777777">
      <w:pPr>
        <w:pStyle w:val="Bibliography"/>
      </w:pPr>
      <w:r>
        <w:t xml:space="preserve">7. </w:t>
      </w:r>
      <w:r>
        <w:tab/>
      </w:r>
      <w:r>
        <w:t xml:space="preserve">Modig K, Ahlbom A, Ebeling M. EXCESS MORTALITY FROM COVID-19. WEEKLY EXCESS DEATH RATES BY AGE AND SEX FOR SWEDEN AND ITS MOST AFFECTED REGION. </w:t>
      </w:r>
      <w:r>
        <w:rPr>
          <w:i/>
          <w:iCs/>
        </w:rPr>
        <w:t>Eur J Public Health</w:t>
      </w:r>
      <w:r>
        <w:t xml:space="preserve"> [Internet]. [cited 2020 Nov 20]; Available from: https://academic.oup.com/eurpub/advance-article/doi/10.1093/eurpub/ckaa218/5968985</w:t>
      </w:r>
    </w:p>
    <w:p w:rsidR="00E96CAE" w:rsidP="00E96CAE" w:rsidRDefault="00E96CAE" w14:paraId="50B28694" w14:textId="77777777">
      <w:pPr>
        <w:pStyle w:val="Bibliography"/>
      </w:pPr>
      <w:r>
        <w:t xml:space="preserve">8. </w:t>
      </w:r>
      <w:r>
        <w:tab/>
      </w:r>
      <w:r>
        <w:t>Campbell A, Morgan E. Comparisons of all-cause mortality between European countries and regions: January to June 2020 [Internet]. United Kingdom: Office for National Statistics; 2020 Jul. Available from: https://www.ons.gov.uk/peoplepopulationandcommunity/birthsdeathsandmarriages/deaths/articles/comparisonsofallcausemortalitybetweeneuropeancountriesandregions/januarytojune2020#toc</w:t>
      </w:r>
    </w:p>
    <w:p w:rsidR="00E96CAE" w:rsidP="00E96CAE" w:rsidRDefault="00E96CAE" w14:paraId="6BE1B2FB" w14:textId="77777777">
      <w:pPr>
        <w:pStyle w:val="Bibliography"/>
      </w:pPr>
      <w:r>
        <w:t xml:space="preserve">9. </w:t>
      </w:r>
      <w:r>
        <w:tab/>
      </w:r>
      <w:r>
        <w:t xml:space="preserve">Alicandro G, Remuzzi G, Vecchia CL. Italy’s first wave of the COVID-19 pandemic has ended: no excess mortality in May, 2020. </w:t>
      </w:r>
      <w:r>
        <w:rPr>
          <w:i/>
          <w:iCs/>
        </w:rPr>
        <w:t>The Lancet</w:t>
      </w:r>
      <w:r>
        <w:t>. Elsevier; 2020 Sep 12;</w:t>
      </w:r>
      <w:r>
        <w:rPr>
          <w:b/>
          <w:bCs/>
        </w:rPr>
        <w:t>396</w:t>
      </w:r>
      <w:r>
        <w:t xml:space="preserve">(10253):e27–e28. </w:t>
      </w:r>
    </w:p>
    <w:p w:rsidR="00E96CAE" w:rsidP="00E96CAE" w:rsidRDefault="00E96CAE" w14:paraId="4C9C3182" w14:textId="77777777">
      <w:pPr>
        <w:pStyle w:val="Bibliography"/>
      </w:pPr>
      <w:r>
        <w:t xml:space="preserve">10. </w:t>
      </w:r>
      <w:r>
        <w:tab/>
      </w:r>
      <w:r>
        <w:t xml:space="preserve">Blangiardo M, Cameletti M, Pirani M, Corsetti G, Battaglini M, Baio G. Estimating weekly excess mortality at sub-national level in Italy during the COVID-19 pandemic. </w:t>
      </w:r>
      <w:r>
        <w:rPr>
          <w:i/>
          <w:iCs/>
        </w:rPr>
        <w:t>PLOS ONE</w:t>
      </w:r>
      <w:r>
        <w:t>. Public Library of Science; 2020 Oct 9;</w:t>
      </w:r>
      <w:r>
        <w:rPr>
          <w:b/>
          <w:bCs/>
        </w:rPr>
        <w:t>15</w:t>
      </w:r>
      <w:r>
        <w:t xml:space="preserve">(10):e0240286. </w:t>
      </w:r>
    </w:p>
    <w:p w:rsidR="00E96CAE" w:rsidP="00E96CAE" w:rsidRDefault="00E96CAE" w14:paraId="1F24187A" w14:textId="77777777">
      <w:pPr>
        <w:pStyle w:val="Bibliography"/>
      </w:pPr>
      <w:r>
        <w:t xml:space="preserve">11. </w:t>
      </w:r>
      <w:r>
        <w:tab/>
      </w:r>
      <w:r>
        <w:t xml:space="preserve">Fouillet A, Pontais I, Caserio-Schönemann C. Excess all-cause mortality during the first wave of the COVID-19 epidemic in France, March to May 2020. </w:t>
      </w:r>
      <w:r>
        <w:rPr>
          <w:i/>
          <w:iCs/>
        </w:rPr>
        <w:t>Eurosurveillance</w:t>
      </w:r>
      <w:r>
        <w:t>. European Centre for Disease Prevention and Control; 2020 Aug 27;</w:t>
      </w:r>
      <w:r>
        <w:rPr>
          <w:b/>
          <w:bCs/>
        </w:rPr>
        <w:t>25</w:t>
      </w:r>
      <w:r>
        <w:t xml:space="preserve">(34):2001485. </w:t>
      </w:r>
    </w:p>
    <w:p w:rsidR="00E96CAE" w:rsidP="00E96CAE" w:rsidRDefault="00E96CAE" w14:paraId="46CBC867" w14:textId="77777777">
      <w:pPr>
        <w:pStyle w:val="Bibliography"/>
      </w:pPr>
      <w:r>
        <w:t xml:space="preserve">12. </w:t>
      </w:r>
      <w:r>
        <w:tab/>
      </w:r>
      <w:r>
        <w:t xml:space="preserve">Tanne JH. Covid-19: At least two thirds of 225 000 excess deaths in US were due to virus. </w:t>
      </w:r>
      <w:r>
        <w:rPr>
          <w:i/>
          <w:iCs/>
        </w:rPr>
        <w:t>BMJ</w:t>
      </w:r>
      <w:r>
        <w:t xml:space="preserve"> [Internet]. British Medical Journal Publishing Group; 2020 Oct 12 [cited 2020 Nov 20];</w:t>
      </w:r>
      <w:r>
        <w:rPr>
          <w:b/>
          <w:bCs/>
        </w:rPr>
        <w:t>371</w:t>
      </w:r>
      <w:r>
        <w:t>. Available from: https://www.bmj.com/content/371/bmj.m3948</w:t>
      </w:r>
    </w:p>
    <w:p w:rsidR="00E96CAE" w:rsidP="00E96CAE" w:rsidRDefault="00E96CAE" w14:paraId="12D3E738" w14:textId="77777777">
      <w:pPr>
        <w:pStyle w:val="Bibliography"/>
      </w:pPr>
      <w:r>
        <w:lastRenderedPageBreak/>
        <w:t xml:space="preserve">13. </w:t>
      </w:r>
      <w:r>
        <w:tab/>
      </w:r>
      <w:r>
        <w:t xml:space="preserve">Woolf SH, Chapman DA, Sabo RT, Weinberger DM, Hill L, Taylor DDH. Excess Deaths From COVID-19 and Other Causes, March-July 2020. </w:t>
      </w:r>
      <w:r>
        <w:rPr>
          <w:i/>
          <w:iCs/>
        </w:rPr>
        <w:t>JAMA</w:t>
      </w:r>
      <w:r>
        <w:t>. 2020 Oct 20;</w:t>
      </w:r>
      <w:r>
        <w:rPr>
          <w:b/>
          <w:bCs/>
        </w:rPr>
        <w:t>324</w:t>
      </w:r>
      <w:r>
        <w:t xml:space="preserve">(15):1562. </w:t>
      </w:r>
    </w:p>
    <w:p w:rsidR="00E96CAE" w:rsidP="00E96CAE" w:rsidRDefault="00E96CAE" w14:paraId="665A13FA" w14:textId="77777777">
      <w:pPr>
        <w:pStyle w:val="Bibliography"/>
      </w:pPr>
      <w:r>
        <w:t xml:space="preserve">14. </w:t>
      </w:r>
      <w:r>
        <w:tab/>
      </w:r>
      <w:r>
        <w:t xml:space="preserve">Freitas ARR, Medeiros NM de, Frutuoso LCV, et al. Tracking excess deaths associated with the COVID-19 epidemic as an epidemiological surveillance strategy-preliminary results of the evaluation of six Brazilian capitals. </w:t>
      </w:r>
      <w:r>
        <w:rPr>
          <w:i/>
          <w:iCs/>
        </w:rPr>
        <w:t>Rev Soc Bras Med Trop</w:t>
      </w:r>
      <w:r>
        <w:t xml:space="preserve"> [Internet]. SBMT; 2020 [cited 2020 Dec 18];</w:t>
      </w:r>
      <w:r>
        <w:rPr>
          <w:b/>
          <w:bCs/>
        </w:rPr>
        <w:t>53</w:t>
      </w:r>
      <w:r>
        <w:t>. Available from: http://www.scielo.br/scielo.php?script=sci_abstract&amp;pid=S0037-86822020000100377&amp;lng=en&amp;nrm=iso&amp;tlng=en</w:t>
      </w:r>
    </w:p>
    <w:p w:rsidR="00E96CAE" w:rsidP="00E96CAE" w:rsidRDefault="00E96CAE" w14:paraId="28BD4659" w14:textId="77777777">
      <w:pPr>
        <w:pStyle w:val="Bibliography"/>
      </w:pPr>
      <w:r>
        <w:t xml:space="preserve">15. </w:t>
      </w:r>
      <w:r>
        <w:tab/>
      </w:r>
      <w:r>
        <w:t xml:space="preserve">Carvalho TA, Boschiero MN, Marson FAL. COVID-19 in Brazil: 150,000 deaths and the Brazilian underreporting. </w:t>
      </w:r>
      <w:r>
        <w:rPr>
          <w:i/>
          <w:iCs/>
        </w:rPr>
        <w:t>Diagn Microbiol Infect Dis</w:t>
      </w:r>
      <w:r>
        <w:t>. 2021 Mar;</w:t>
      </w:r>
      <w:r>
        <w:rPr>
          <w:b/>
          <w:bCs/>
        </w:rPr>
        <w:t>99</w:t>
      </w:r>
      <w:r>
        <w:t xml:space="preserve">(3):115258. </w:t>
      </w:r>
    </w:p>
    <w:p w:rsidR="00E96CAE" w:rsidP="00E96CAE" w:rsidRDefault="00E96CAE" w14:paraId="004086B9" w14:textId="77777777">
      <w:pPr>
        <w:pStyle w:val="Bibliography"/>
      </w:pPr>
      <w:r>
        <w:t xml:space="preserve">16. </w:t>
      </w:r>
      <w:r>
        <w:tab/>
      </w:r>
      <w:r>
        <w:t xml:space="preserve">Arons MM, Hatfield KM, Reddy SC, et al. Presymptomatic SARS-CoV-2 Infections and Transmission in a Skilled Nursing Facility. </w:t>
      </w:r>
      <w:r>
        <w:rPr>
          <w:i/>
          <w:iCs/>
        </w:rPr>
        <w:t>N Engl J Med</w:t>
      </w:r>
      <w:r>
        <w:t>. Massachusetts Medical Society; 2020 May 28;</w:t>
      </w:r>
      <w:r>
        <w:rPr>
          <w:b/>
          <w:bCs/>
        </w:rPr>
        <w:t>382</w:t>
      </w:r>
      <w:r>
        <w:t xml:space="preserve">(22):2081–2090. </w:t>
      </w:r>
    </w:p>
    <w:p w:rsidR="00E96CAE" w:rsidP="00E96CAE" w:rsidRDefault="00E96CAE" w14:paraId="467D1823" w14:textId="77777777">
      <w:pPr>
        <w:pStyle w:val="Bibliography"/>
      </w:pPr>
      <w:r>
        <w:t xml:space="preserve">17. </w:t>
      </w:r>
      <w:r>
        <w:tab/>
      </w:r>
      <w:r>
        <w:t xml:space="preserve">Li R, Pei S, Chen B, et al. Substantial undocumented infection facilitates the rapid dissemination of novel coronavirus (SARS-CoV-2). </w:t>
      </w:r>
      <w:r>
        <w:rPr>
          <w:i/>
          <w:iCs/>
        </w:rPr>
        <w:t>Science</w:t>
      </w:r>
      <w:r>
        <w:t>. American Association for the Advancement of Science; 2020 May 1;</w:t>
      </w:r>
      <w:r>
        <w:rPr>
          <w:b/>
          <w:bCs/>
        </w:rPr>
        <w:t>368</w:t>
      </w:r>
      <w:r>
        <w:t xml:space="preserve">(6490):489–493. </w:t>
      </w:r>
    </w:p>
    <w:p w:rsidR="00E96CAE" w:rsidP="00E96CAE" w:rsidRDefault="00E96CAE" w14:paraId="4813C1A5" w14:textId="77777777">
      <w:pPr>
        <w:pStyle w:val="Bibliography"/>
      </w:pPr>
      <w:r>
        <w:t xml:space="preserve">18. </w:t>
      </w:r>
      <w:r>
        <w:tab/>
      </w:r>
      <w:r>
        <w:t>WHO. Revealing the toll of COVID-19: A technical package for rapid mortality surveillance and epidemic response [Internet]. WHO; 2020. Report No.: v04. Available from: https://www.who.int/publications/i/item/revealing-the-toll-of-covid-19</w:t>
      </w:r>
    </w:p>
    <w:p w:rsidR="00E96CAE" w:rsidP="00E96CAE" w:rsidRDefault="00E96CAE" w14:paraId="38F8B161" w14:textId="77777777">
      <w:pPr>
        <w:pStyle w:val="Bibliography"/>
      </w:pPr>
      <w:r>
        <w:t xml:space="preserve">19. </w:t>
      </w:r>
      <w:r>
        <w:tab/>
      </w:r>
      <w:r>
        <w:t xml:space="preserve">European Centre for Disease Prevention and Control. Rapid Risk Assessment: Coronavirus disease 2019 (COVID-19) in the EU/EEA and the UK– ninth update [Internet]. </w:t>
      </w:r>
      <w:r>
        <w:rPr>
          <w:i/>
          <w:iCs/>
        </w:rPr>
        <w:t>Eur. Cent. Dis. Prev. Control</w:t>
      </w:r>
      <w:r>
        <w:t xml:space="preserve"> 2020 [cited 2021 Jan 21]. Available from: https://www.ecdc.europa.eu/en/publications-data/rapid-risk-assessment-coronavirus-disease-2019-covid-19-pandemic-ninth-update</w:t>
      </w:r>
    </w:p>
    <w:p w:rsidR="00E96CAE" w:rsidP="00E96CAE" w:rsidRDefault="00E96CAE" w14:paraId="37B9B94B" w14:textId="77777777">
      <w:pPr>
        <w:pStyle w:val="Bibliography"/>
      </w:pPr>
      <w:r>
        <w:t xml:space="preserve">20. </w:t>
      </w:r>
      <w:r>
        <w:tab/>
      </w:r>
      <w:r>
        <w:t>WHO. International Guidelines for Certification and Classification (coding) of COVID-19 as Cause of Death; Based on ICD International Statistical Classification of Diseases [Internet]. WHO; 2020 Apr. Report No.: 1. Available from: https://www.who.int/classifications/icd/Guidelines_Cause_of_Death_COVID-19.pdf?ua=1</w:t>
      </w:r>
    </w:p>
    <w:p w:rsidR="00E96CAE" w:rsidP="00E96CAE" w:rsidRDefault="00E96CAE" w14:paraId="6B065107" w14:textId="77777777">
      <w:pPr>
        <w:pStyle w:val="Bibliography"/>
      </w:pPr>
      <w:r>
        <w:t xml:space="preserve">21. </w:t>
      </w:r>
      <w:r>
        <w:tab/>
      </w:r>
      <w:r>
        <w:t xml:space="preserve">Quast T, Andel R, Gregory S, Storch EA. Years of life lost associated with COVID-19 deaths in the United States. </w:t>
      </w:r>
      <w:r>
        <w:rPr>
          <w:i/>
          <w:iCs/>
        </w:rPr>
        <w:t>J Public Health</w:t>
      </w:r>
      <w:r>
        <w:t>. 2020 Nov 23;</w:t>
      </w:r>
      <w:r>
        <w:rPr>
          <w:b/>
          <w:bCs/>
        </w:rPr>
        <w:t>42</w:t>
      </w:r>
      <w:r>
        <w:t xml:space="preserve">(4):717–722. </w:t>
      </w:r>
    </w:p>
    <w:p w:rsidR="00E96CAE" w:rsidP="00E96CAE" w:rsidRDefault="00E96CAE" w14:paraId="6C5F7120" w14:textId="77777777">
      <w:pPr>
        <w:pStyle w:val="Bibliography"/>
      </w:pPr>
      <w:r>
        <w:t xml:space="preserve">22. </w:t>
      </w:r>
      <w:r>
        <w:tab/>
      </w:r>
      <w:r>
        <w:t xml:space="preserve">Eurostat: Weekly deaths – special data collection [Internet]. </w:t>
      </w:r>
      <w:r>
        <w:rPr>
          <w:i/>
          <w:iCs/>
        </w:rPr>
        <w:t>eurostat.eu</w:t>
      </w:r>
      <w:r>
        <w:t xml:space="preserve"> [cited 2020 Dec 15]. Available from: https://ec.europa.eu/eurostat/cache/metadata/en/demomwk_esms.htm</w:t>
      </w:r>
    </w:p>
    <w:p w:rsidR="00E96CAE" w:rsidP="00E96CAE" w:rsidRDefault="00E96CAE" w14:paraId="2483D4EF" w14:textId="77777777">
      <w:pPr>
        <w:pStyle w:val="Bibliography"/>
      </w:pPr>
      <w:r>
        <w:t xml:space="preserve">23. </w:t>
      </w:r>
      <w:r>
        <w:tab/>
      </w:r>
      <w:r>
        <w:t>Gergonne B, Mazick A, O’Donnell J, et al. A European algorithm for a common monitoring of mortality across Europe. [Internet]. Copenhagen, Denmark: EUROMOMO; Report No.: Work Package 7 Report. Available from: https://euromomo.eu/uploads/pdf/wp7_report.pdf</w:t>
      </w:r>
    </w:p>
    <w:p w:rsidR="00E96CAE" w:rsidP="00E96CAE" w:rsidRDefault="00E96CAE" w14:paraId="708C957C" w14:textId="77777777">
      <w:pPr>
        <w:pStyle w:val="Bibliography"/>
      </w:pPr>
      <w:r>
        <w:t xml:space="preserve">24. </w:t>
      </w:r>
      <w:r>
        <w:tab/>
      </w:r>
      <w:r>
        <w:t xml:space="preserve">Nielsen J, Krause TG, Mølbak K. Influenza-associated mortality determined from all-cause mortality, Denmark 2010/11-2016/17: The FluMOMO model. </w:t>
      </w:r>
      <w:r>
        <w:rPr>
          <w:i/>
          <w:iCs/>
        </w:rPr>
        <w:t>Influenza Other Respir Viruses</w:t>
      </w:r>
      <w:r>
        <w:t>. 2018;</w:t>
      </w:r>
      <w:r>
        <w:rPr>
          <w:b/>
          <w:bCs/>
        </w:rPr>
        <w:t>12</w:t>
      </w:r>
      <w:r>
        <w:t xml:space="preserve">(5):591–604. </w:t>
      </w:r>
    </w:p>
    <w:p w:rsidR="00E96CAE" w:rsidP="00E96CAE" w:rsidRDefault="00E96CAE" w14:paraId="5C4FACE2" w14:textId="77777777">
      <w:pPr>
        <w:pStyle w:val="Bibliography"/>
      </w:pPr>
      <w:r>
        <w:t xml:space="preserve">25. </w:t>
      </w:r>
      <w:r>
        <w:tab/>
      </w:r>
      <w:r>
        <w:t xml:space="preserve">Farrington CP, Andrews NJ, Beale AD, Catchpole MA. A Statistical Algorithm for the Early Detection of Outbreaks of Infectious Disease. </w:t>
      </w:r>
      <w:r>
        <w:rPr>
          <w:i/>
          <w:iCs/>
        </w:rPr>
        <w:t>J R Stat Soc Ser A Stat Soc</w:t>
      </w:r>
      <w:r>
        <w:t>. [Wiley, Royal Statistical Society]; 1996;</w:t>
      </w:r>
      <w:r>
        <w:rPr>
          <w:b/>
          <w:bCs/>
        </w:rPr>
        <w:t>159</w:t>
      </w:r>
      <w:r>
        <w:t xml:space="preserve">(3):547–563. </w:t>
      </w:r>
    </w:p>
    <w:p w:rsidR="00E96CAE" w:rsidP="00E96CAE" w:rsidRDefault="00E96CAE" w14:paraId="77A8373C" w14:textId="77777777">
      <w:pPr>
        <w:pStyle w:val="Bibliography"/>
      </w:pPr>
      <w:r>
        <w:lastRenderedPageBreak/>
        <w:t xml:space="preserve">26. </w:t>
      </w:r>
      <w:r>
        <w:tab/>
      </w:r>
      <w:r>
        <w:t xml:space="preserve">Serfling RE. Methods for current statistical analysis of excess pneumonia-influenza deaths. </w:t>
      </w:r>
      <w:r>
        <w:rPr>
          <w:i/>
          <w:iCs/>
        </w:rPr>
        <w:t>Public Health Rep</w:t>
      </w:r>
      <w:r>
        <w:t>. 1963 Jun;</w:t>
      </w:r>
      <w:r>
        <w:rPr>
          <w:b/>
          <w:bCs/>
        </w:rPr>
        <w:t>78</w:t>
      </w:r>
      <w:r>
        <w:t xml:space="preserve">(6):494–506. </w:t>
      </w:r>
    </w:p>
    <w:p w:rsidR="00E96CAE" w:rsidP="00E96CAE" w:rsidRDefault="00E96CAE" w14:paraId="0B5BF089" w14:textId="77777777">
      <w:pPr>
        <w:pStyle w:val="Bibliography"/>
      </w:pPr>
      <w:r>
        <w:t xml:space="preserve">27. </w:t>
      </w:r>
      <w:r>
        <w:tab/>
      </w:r>
      <w:r>
        <w:t>World Bank Open Data | Data [Internet]. [cited 2020 Nov 20]. Available from: https://data.worldbank.org/</w:t>
      </w:r>
    </w:p>
    <w:p w:rsidR="00E96CAE" w:rsidP="00E96CAE" w:rsidRDefault="00E96CAE" w14:paraId="6127756F" w14:textId="77777777">
      <w:pPr>
        <w:pStyle w:val="Bibliography"/>
      </w:pPr>
      <w:r>
        <w:t xml:space="preserve">28. </w:t>
      </w:r>
      <w:r>
        <w:tab/>
      </w:r>
      <w:r>
        <w:t>Estimates of the population for the UK, England and Wales, Scotland and Northern Ireland - Office for National Statistics [Internet]. [cited 2020 Nov 20]. Available from: https://www.ons.gov.uk/peoplepopulationandcommunity/populationandmigration/populationestimates/datasets/populationestimatesforukenglandandwalesscotlandandnorthernireland</w:t>
      </w:r>
    </w:p>
    <w:p w:rsidR="00E96CAE" w:rsidP="00E96CAE" w:rsidRDefault="00E96CAE" w14:paraId="41D10FF8" w14:textId="77777777">
      <w:pPr>
        <w:pStyle w:val="Bibliography"/>
      </w:pPr>
      <w:r>
        <w:t xml:space="preserve">29. </w:t>
      </w:r>
      <w:r>
        <w:tab/>
      </w:r>
      <w:r>
        <w:t xml:space="preserve">European Commission. Statistics | Eurostat [Internet]. </w:t>
      </w:r>
      <w:r>
        <w:rPr>
          <w:i/>
          <w:iCs/>
        </w:rPr>
        <w:t>Popul. 1 January Age Sex</w:t>
      </w:r>
      <w:r>
        <w:t xml:space="preserve"> [cited 2020 Nov 23]. Available from: https://ec.europa.eu/eurostat/databrowser/view/demo_pjan/default/table?lang=en</w:t>
      </w:r>
    </w:p>
    <w:p w:rsidR="00E96CAE" w:rsidP="00E96CAE" w:rsidRDefault="00E96CAE" w14:paraId="0C5E8579" w14:textId="77777777">
      <w:pPr>
        <w:pStyle w:val="Bibliography"/>
      </w:pPr>
      <w:r>
        <w:t xml:space="preserve">30. </w:t>
      </w:r>
      <w:r>
        <w:tab/>
      </w:r>
      <w:r>
        <w:t>Hale T, Atav T, Hallas L, et al. Oxford COVID-19 Government Response Tracker [Internet]. Blavatnik School of Government; 2020. Available from: https://qap.ecdc.europa.eu/public/extensions/COVID-19/COVID-19.html#global-overview-tab</w:t>
      </w:r>
    </w:p>
    <w:p w:rsidR="00E96CAE" w:rsidP="00E96CAE" w:rsidRDefault="00E96CAE" w14:paraId="21332769" w14:textId="77777777">
      <w:pPr>
        <w:pStyle w:val="Bibliography"/>
      </w:pPr>
      <w:r>
        <w:t xml:space="preserve">31. </w:t>
      </w:r>
      <w:r>
        <w:tab/>
      </w:r>
      <w:r>
        <w:t xml:space="preserve">Nielsen J, Vestergaard LS, Richter L, et al. European all-cause excess and influenza-attributable mortality in the 2017/18 season: should the burden of influenza B be reconsidered? </w:t>
      </w:r>
      <w:r>
        <w:rPr>
          <w:i/>
          <w:iCs/>
        </w:rPr>
        <w:t>Clin Microbiol Infect</w:t>
      </w:r>
      <w:r>
        <w:t>. Elsevier; 2019 Oct 1;</w:t>
      </w:r>
      <w:r>
        <w:rPr>
          <w:b/>
          <w:bCs/>
        </w:rPr>
        <w:t>25</w:t>
      </w:r>
      <w:r>
        <w:t xml:space="preserve">(10):1266–1276. </w:t>
      </w:r>
    </w:p>
    <w:p w:rsidR="00E96CAE" w:rsidP="00E96CAE" w:rsidRDefault="00E96CAE" w14:paraId="427BA051" w14:textId="77777777">
      <w:pPr>
        <w:pStyle w:val="Bibliography"/>
      </w:pPr>
      <w:r>
        <w:t xml:space="preserve">32. </w:t>
      </w:r>
      <w:r>
        <w:tab/>
      </w:r>
      <w:r>
        <w:t>Madsen W, Kao JS, Burn-Murdoch J, et al. Coronavirus tracker: the latest figures as countries fight Covid-19 resurgence | Free to read [Internet]. 2020 [cited 2020 Dec 17]. Available from: https://www.ft.com/content/a2901ce8-5eb7-4633-b89c-cbdf5b386938</w:t>
      </w:r>
    </w:p>
    <w:p w:rsidR="00E96CAE" w:rsidP="00E96CAE" w:rsidRDefault="00E96CAE" w14:paraId="1BC20D9B" w14:textId="77777777">
      <w:pPr>
        <w:pStyle w:val="Bibliography"/>
      </w:pPr>
      <w:r>
        <w:t xml:space="preserve">33. </w:t>
      </w:r>
      <w:r>
        <w:tab/>
      </w:r>
      <w:r>
        <w:t xml:space="preserve">Tracking covid-19 excess deaths across countries. </w:t>
      </w:r>
      <w:r>
        <w:rPr>
          <w:i/>
          <w:iCs/>
        </w:rPr>
        <w:t>The Economist</w:t>
      </w:r>
      <w:r>
        <w:t xml:space="preserve"> [Internet]. 2020 Jul 15 [cited 2020 Dec 17]; Available from: https://www.economist.com/graphic-detail/2020/07/15/tracking-covid-19-excess-deaths-across-countries</w:t>
      </w:r>
    </w:p>
    <w:p w:rsidR="00E96CAE" w:rsidP="00E96CAE" w:rsidRDefault="00E96CAE" w14:paraId="7E90C667" w14:textId="77777777">
      <w:pPr>
        <w:pStyle w:val="Bibliography"/>
      </w:pPr>
      <w:r>
        <w:t xml:space="preserve">34. </w:t>
      </w:r>
      <w:r>
        <w:tab/>
      </w:r>
      <w:r>
        <w:t xml:space="preserve">Last M. The first wave of COVID-19 in Israel—Initial analysis of publicly available data. </w:t>
      </w:r>
      <w:r>
        <w:rPr>
          <w:i/>
          <w:iCs/>
        </w:rPr>
        <w:t>PLOS ONE</w:t>
      </w:r>
      <w:r>
        <w:t>. Public Library of Science; 2020 Oct 29;</w:t>
      </w:r>
      <w:r>
        <w:rPr>
          <w:b/>
          <w:bCs/>
        </w:rPr>
        <w:t>15</w:t>
      </w:r>
      <w:r>
        <w:t xml:space="preserve">(10):e0240393. </w:t>
      </w:r>
    </w:p>
    <w:p w:rsidR="00E96CAE" w:rsidP="00E96CAE" w:rsidRDefault="00E96CAE" w14:paraId="1318481E" w14:textId="77777777">
      <w:pPr>
        <w:pStyle w:val="Bibliography"/>
      </w:pPr>
      <w:r>
        <w:t xml:space="preserve">35. </w:t>
      </w:r>
      <w:r>
        <w:tab/>
      </w:r>
      <w:r>
        <w:t xml:space="preserve">Brown PE, Greenwald ZR, Salinas LE, et al. Mortality from COVID in Colombia and Peru: Analyses of Mortality Data and Statistical Forecasts. </w:t>
      </w:r>
      <w:r>
        <w:rPr>
          <w:i/>
          <w:iCs/>
        </w:rPr>
        <w:t>medRxiv</w:t>
      </w:r>
      <w:r>
        <w:t xml:space="preserve">. Cold Spring Harbor Laboratory Press; 2020 Nov 16;2020.08.24.20181016. </w:t>
      </w:r>
    </w:p>
    <w:p w:rsidR="00E96CAE" w:rsidP="00E96CAE" w:rsidRDefault="00E96CAE" w14:paraId="2593738D" w14:textId="77777777">
      <w:pPr>
        <w:pStyle w:val="Bibliography"/>
      </w:pPr>
      <w:r>
        <w:t xml:space="preserve">36. </w:t>
      </w:r>
      <w:r>
        <w:tab/>
      </w:r>
      <w:r>
        <w:t xml:space="preserve">Download historical data (to 14 December 2020) on the daily number of new reported COVID-19 cases and deaths worldwide [Internet]. </w:t>
      </w:r>
      <w:r>
        <w:rPr>
          <w:i/>
          <w:iCs/>
        </w:rPr>
        <w:t>Eur. Cent. Dis. Prev. Control</w:t>
      </w:r>
      <w:r>
        <w:t xml:space="preserve"> 2020 [cited 2020 Dec 18]. Available from: https://www.ecdc.europa.eu/en/publications-data/download-todays-data-geographic-distribution-covid-19-cases-worldwide</w:t>
      </w:r>
    </w:p>
    <w:p w:rsidR="00E96CAE" w:rsidP="00E96CAE" w:rsidRDefault="00E96CAE" w14:paraId="24C4BB18" w14:textId="77777777">
      <w:pPr>
        <w:pStyle w:val="Bibliography"/>
      </w:pPr>
      <w:r>
        <w:t xml:space="preserve">37. </w:t>
      </w:r>
      <w:r>
        <w:tab/>
      </w:r>
      <w:r>
        <w:t xml:space="preserve">Data on testing for COVID-19 by week and country [Internet]. </w:t>
      </w:r>
      <w:r>
        <w:rPr>
          <w:i/>
          <w:iCs/>
        </w:rPr>
        <w:t>Eur. Cent. Dis. Prev. Control</w:t>
      </w:r>
      <w:r>
        <w:t xml:space="preserve"> 2020 [cited 2020 Dec 18]. Available from: https://www.ecdc.europa.eu/en/publications-data/covid-19-testing</w:t>
      </w:r>
    </w:p>
    <w:p w:rsidR="00E96CAE" w:rsidP="00E96CAE" w:rsidRDefault="00E96CAE" w14:paraId="2A4A5D83" w14:textId="77777777">
      <w:pPr>
        <w:pStyle w:val="Bibliography"/>
      </w:pPr>
      <w:r>
        <w:t xml:space="preserve">38. </w:t>
      </w:r>
      <w:r>
        <w:tab/>
      </w:r>
      <w:r>
        <w:t xml:space="preserve">Ranzani OT, Bastos LSL, Gelli JGM, et al. Characterisation of the first 250 000 hospital admissions for COVID-19 in Brazil: a retrospective analysis of nationwide data. </w:t>
      </w:r>
      <w:r>
        <w:rPr>
          <w:i/>
          <w:iCs/>
        </w:rPr>
        <w:t>Lancet Respir Med</w:t>
      </w:r>
      <w:r>
        <w:t xml:space="preserve"> [Internet]. Elsevier; 2021 Jan 15 [cited 2021 Jan 21];</w:t>
      </w:r>
      <w:r>
        <w:rPr>
          <w:b/>
          <w:bCs/>
        </w:rPr>
        <w:t>0</w:t>
      </w:r>
      <w:r>
        <w:t>(0). Available from: https://www.thelancet.com/journals/lanres/article/PIIS2213-2600(20)30560-9/abstract</w:t>
      </w:r>
    </w:p>
    <w:p w:rsidR="00E96CAE" w:rsidP="00E96CAE" w:rsidRDefault="00E96CAE" w14:paraId="01F2439C" w14:textId="77777777">
      <w:pPr>
        <w:pStyle w:val="Bibliography"/>
      </w:pPr>
      <w:r>
        <w:lastRenderedPageBreak/>
        <w:t xml:space="preserve">39. </w:t>
      </w:r>
      <w:r>
        <w:tab/>
      </w:r>
      <w:r>
        <w:t xml:space="preserve">Olagnier D, Mogensen TH. The Covid-19 pandemic in Denmark: Big lessons from a small country. </w:t>
      </w:r>
      <w:r>
        <w:rPr>
          <w:i/>
          <w:iCs/>
        </w:rPr>
        <w:t>Cytokine Growth Factor Rev</w:t>
      </w:r>
      <w:r>
        <w:t>. 2020 Jun;</w:t>
      </w:r>
      <w:r>
        <w:rPr>
          <w:b/>
          <w:bCs/>
        </w:rPr>
        <w:t>53</w:t>
      </w:r>
      <w:r>
        <w:t xml:space="preserve">:10–12. </w:t>
      </w:r>
    </w:p>
    <w:p w:rsidR="00E96CAE" w:rsidP="00E96CAE" w:rsidRDefault="00E96CAE" w14:paraId="4618630E" w14:textId="77777777">
      <w:pPr>
        <w:pStyle w:val="Bibliography"/>
      </w:pPr>
      <w:r>
        <w:t xml:space="preserve">40. </w:t>
      </w:r>
      <w:r>
        <w:tab/>
      </w:r>
      <w:r>
        <w:t xml:space="preserve">Jarvis CI, Van Zandvoort K, Gimma A, et al. Quantifying the impact of physical distance measures on the transmission of COVID-19 in the UK. </w:t>
      </w:r>
      <w:r>
        <w:rPr>
          <w:i/>
          <w:iCs/>
        </w:rPr>
        <w:t>BMC Med</w:t>
      </w:r>
      <w:r>
        <w:t>. 2020 May 7;</w:t>
      </w:r>
      <w:r>
        <w:rPr>
          <w:b/>
          <w:bCs/>
        </w:rPr>
        <w:t>18</w:t>
      </w:r>
      <w:r>
        <w:t xml:space="preserve">(1):124. </w:t>
      </w:r>
    </w:p>
    <w:p w:rsidR="00E96CAE" w:rsidP="00E96CAE" w:rsidRDefault="00E96CAE" w14:paraId="309CF073" w14:textId="77777777">
      <w:pPr>
        <w:pStyle w:val="Bibliography"/>
      </w:pPr>
      <w:r>
        <w:t xml:space="preserve">41. </w:t>
      </w:r>
      <w:r>
        <w:tab/>
      </w:r>
      <w:r>
        <w:t xml:space="preserve">Li Y, Campbell H, Kulkarni D, et al. The temporal association of introducing and lifting non-pharmaceutical interventions with the time-varying reproduction number (R) of SARS-CoV-2: a modelling study across 131 countries. </w:t>
      </w:r>
      <w:r>
        <w:rPr>
          <w:i/>
          <w:iCs/>
        </w:rPr>
        <w:t>Lancet Infect Dis</w:t>
      </w:r>
      <w:r>
        <w:t xml:space="preserve"> [Internet]. Elsevier; 2020 Oct 22 [cited 2021 Jan 22];</w:t>
      </w:r>
      <w:r>
        <w:rPr>
          <w:b/>
          <w:bCs/>
        </w:rPr>
        <w:t>0</w:t>
      </w:r>
      <w:r>
        <w:t>(0). Available from: https://www.thelancet.com/journals/laninf/article/PIIS1473-3099(20)30785-4/abstract</w:t>
      </w:r>
    </w:p>
    <w:p w:rsidR="00E96CAE" w:rsidP="00E96CAE" w:rsidRDefault="00E96CAE" w14:paraId="0FC12686" w14:textId="77777777">
      <w:pPr>
        <w:pStyle w:val="Bibliography"/>
      </w:pPr>
      <w:r>
        <w:t xml:space="preserve">42. </w:t>
      </w:r>
      <w:r>
        <w:tab/>
      </w:r>
      <w:r>
        <w:t xml:space="preserve">Pierce JR, Denison AV. Accuracy of Death Certifications and the Implications for Studying Disease Burdens. In: Preedy VR, Watson RR, editors. </w:t>
      </w:r>
      <w:r>
        <w:rPr>
          <w:i/>
          <w:iCs/>
        </w:rPr>
        <w:t>Handb Dis Burd Qual Life Meas</w:t>
      </w:r>
      <w:r>
        <w:t xml:space="preserve"> [Internet]. New York, NY: Springer; 2010 [cited 2021 Mar 24]. p. 329–344. Available from: https://doi.org/10.1007/978-0-387-78665-0_18</w:t>
      </w:r>
    </w:p>
    <w:p w:rsidR="00E96CAE" w:rsidP="00E96CAE" w:rsidRDefault="00E96CAE" w14:paraId="7FEFA5BD" w14:textId="77777777">
      <w:pPr>
        <w:pStyle w:val="Bibliography"/>
      </w:pPr>
      <w:r>
        <w:t xml:space="preserve">43. </w:t>
      </w:r>
      <w:r>
        <w:tab/>
      </w:r>
      <w:r>
        <w:t>West A, Czypionka T, Steffen M, Ettelt S, Ghislandi S, Mateus C. Reporting COVID-19 deaths in Austria, France, Germany, Italy, Portugal and the UK [Internet]. London: LSE Department of Social Policy; 2020. Report No.: Social Policy Working Paper 10-20. Available from: https://www.lse.ac.uk/social-policy/Assets/Documents/PDF/working-paper-series/10-20-Anne-West.pdf</w:t>
      </w:r>
    </w:p>
    <w:p w:rsidR="00E96CAE" w:rsidP="00E96CAE" w:rsidRDefault="00E96CAE" w14:paraId="27B6334E" w14:textId="77777777">
      <w:pPr>
        <w:pStyle w:val="Bibliography"/>
      </w:pPr>
      <w:r>
        <w:t xml:space="preserve">44. </w:t>
      </w:r>
      <w:r>
        <w:tab/>
      </w:r>
      <w:r>
        <w:t>Karanikolos M, McKee M. How comparable is COVID-19 mortality across countries? – Cross-Country Analysis [Internet]. [cited 2020 Dec 15]. Available from: https://analysis.covid19healthsystem.org/index.php/2020/06/04/how-comparable-is-covid-19-mortality-across-countries/</w:t>
      </w:r>
    </w:p>
    <w:p w:rsidR="00E96CAE" w:rsidP="00E96CAE" w:rsidRDefault="00E96CAE" w14:paraId="13DB03B1" w14:textId="77777777">
      <w:pPr>
        <w:pStyle w:val="Bibliography"/>
      </w:pPr>
      <w:r>
        <w:t xml:space="preserve">45. </w:t>
      </w:r>
      <w:r>
        <w:tab/>
      </w:r>
      <w:r>
        <w:t xml:space="preserve">Labib PL, Aroori S. Expanding the definition of covid-19 deaths will show the true effect of the pandemic. </w:t>
      </w:r>
      <w:r>
        <w:rPr>
          <w:i/>
          <w:iCs/>
        </w:rPr>
        <w:t>BMJ</w:t>
      </w:r>
      <w:r>
        <w:t>. British Medical Journal Publishing Group; 2020 May 29;</w:t>
      </w:r>
      <w:r>
        <w:rPr>
          <w:b/>
          <w:bCs/>
        </w:rPr>
        <w:t>369</w:t>
      </w:r>
      <w:r>
        <w:t xml:space="preserve">:m2153. </w:t>
      </w:r>
    </w:p>
    <w:p w:rsidR="00E96CAE" w:rsidP="00E96CAE" w:rsidRDefault="00E96CAE" w14:paraId="5429544C" w14:textId="77777777">
      <w:pPr>
        <w:pStyle w:val="Bibliography"/>
      </w:pPr>
      <w:r>
        <w:t xml:space="preserve">46. </w:t>
      </w:r>
      <w:r>
        <w:tab/>
      </w:r>
      <w:r>
        <w:t xml:space="preserve">Audi A, AlIbrahim M, Kaddoura M, Hijazi G, Yassine HM, Zaraket H. Seasonality of Respiratory Viral Infections: Will COVID-19 Follow Suit? </w:t>
      </w:r>
      <w:r>
        <w:rPr>
          <w:i/>
          <w:iCs/>
        </w:rPr>
        <w:t>Front Public Health</w:t>
      </w:r>
      <w:r>
        <w:t xml:space="preserve"> [Internet]. Frontiers; 2020 [cited 2020 Dec 15];</w:t>
      </w:r>
      <w:r>
        <w:rPr>
          <w:b/>
          <w:bCs/>
        </w:rPr>
        <w:t>8</w:t>
      </w:r>
      <w:r>
        <w:t>. Available from: https://www.frontiersin.org/articles/10.3389/fpubh.2020.567184/full</w:t>
      </w:r>
    </w:p>
    <w:p w:rsidR="00E96CAE" w:rsidP="00E96CAE" w:rsidRDefault="00E96CAE" w14:paraId="5093CDE3" w14:textId="77777777">
      <w:pPr>
        <w:pStyle w:val="Bibliography"/>
      </w:pPr>
      <w:r>
        <w:t xml:space="preserve">47. </w:t>
      </w:r>
      <w:r>
        <w:tab/>
      </w:r>
      <w:r>
        <w:t xml:space="preserve">Merow C, Urban MC. Seasonality and uncertainty in global COVID-19 growth rates. </w:t>
      </w:r>
      <w:r>
        <w:rPr>
          <w:i/>
          <w:iCs/>
        </w:rPr>
        <w:t>Proc Natl Acad Sci</w:t>
      </w:r>
      <w:r>
        <w:t>. National Academy of Sciences; 2020 Nov 3;</w:t>
      </w:r>
      <w:r>
        <w:rPr>
          <w:b/>
          <w:bCs/>
        </w:rPr>
        <w:t>117</w:t>
      </w:r>
      <w:r>
        <w:t xml:space="preserve">(44):27456–27464. </w:t>
      </w:r>
    </w:p>
    <w:p w:rsidR="00E96CAE" w:rsidP="00E96CAE" w:rsidRDefault="00E96CAE" w14:paraId="514E54FB" w14:textId="77777777">
      <w:pPr>
        <w:pStyle w:val="Bibliography"/>
      </w:pPr>
      <w:r>
        <w:t xml:space="preserve">48. </w:t>
      </w:r>
      <w:r>
        <w:tab/>
      </w:r>
      <w:r>
        <w:t xml:space="preserve">Roser M, Ritchie H, Ortiz-Ospina E, Hasell J. Cape Verde: Coronavirus Pandemic Country Profile. </w:t>
      </w:r>
      <w:r>
        <w:rPr>
          <w:i/>
          <w:iCs/>
        </w:rPr>
        <w:t>Our World Data</w:t>
      </w:r>
      <w:r>
        <w:t xml:space="preserve"> [Internet]. 2020 May 26 [cited 2020 Dec 15]; Available from: https://ourworldindata.org/coronavirus/country/cape-verde</w:t>
      </w:r>
    </w:p>
    <w:p w:rsidR="00E96CAE" w:rsidP="00E96CAE" w:rsidRDefault="00E96CAE" w14:paraId="451F0104" w14:textId="77777777">
      <w:pPr>
        <w:pStyle w:val="Bibliography"/>
      </w:pPr>
      <w:r>
        <w:t xml:space="preserve">49. </w:t>
      </w:r>
      <w:r>
        <w:tab/>
      </w:r>
      <w:r>
        <w:t xml:space="preserve">Feigin VL, Abajobir AA, Abate KH, et al. Global, regional, and national burden of neurological disorders during 1990–2015: a systematic analysis for the Global Burden of Disease Study 2015. </w:t>
      </w:r>
      <w:r>
        <w:rPr>
          <w:i/>
          <w:iCs/>
        </w:rPr>
        <w:t>Lancet Neurol</w:t>
      </w:r>
      <w:r>
        <w:t>. 2017 Nov 1;</w:t>
      </w:r>
      <w:r>
        <w:rPr>
          <w:b/>
          <w:bCs/>
        </w:rPr>
        <w:t>16</w:t>
      </w:r>
      <w:r>
        <w:t xml:space="preserve">(11):877–897. </w:t>
      </w:r>
    </w:p>
    <w:p w:rsidR="00E96CAE" w:rsidP="00E96CAE" w:rsidRDefault="00E96CAE" w14:paraId="5176DC81" w14:textId="77777777">
      <w:pPr>
        <w:pStyle w:val="Bibliography"/>
      </w:pPr>
      <w:r>
        <w:t xml:space="preserve">50. </w:t>
      </w:r>
      <w:r>
        <w:tab/>
      </w:r>
      <w:r>
        <w:t xml:space="preserve">Rodriguez-Llanes JM, Delgado RC, Pedersen MG, González PA, Meneghini M. Confronting COVID-19: Surging critical care capacity in Italy. </w:t>
      </w:r>
      <w:r>
        <w:rPr>
          <w:i/>
          <w:iCs/>
        </w:rPr>
        <w:t>medRxiv</w:t>
      </w:r>
      <w:r>
        <w:t xml:space="preserve">. Cold Spring Harbor Laboratory Press; 2020 Apr 6;2020.04.01.20050237. </w:t>
      </w:r>
    </w:p>
    <w:p w:rsidR="00E96CAE" w:rsidP="00E96CAE" w:rsidRDefault="00E96CAE" w14:paraId="57F629D6" w14:textId="77777777">
      <w:pPr>
        <w:pStyle w:val="Bibliography"/>
      </w:pPr>
      <w:r>
        <w:lastRenderedPageBreak/>
        <w:t xml:space="preserve">51. </w:t>
      </w:r>
      <w:r>
        <w:tab/>
      </w:r>
      <w:r>
        <w:t xml:space="preserve">Khorram-Manesh A, Carlström E, Hertelendy AJ, Goniewicz K, Casady CB, Burkle FM. Does the Prosperity of a Country Play a Role in COVID-19 Outcomes? </w:t>
      </w:r>
      <w:r>
        <w:rPr>
          <w:i/>
          <w:iCs/>
        </w:rPr>
        <w:t>Disaster Med Public Health Prep</w:t>
      </w:r>
      <w:r>
        <w:t xml:space="preserve">. Cambridge University Press; undefined/ed;1–10. </w:t>
      </w:r>
    </w:p>
    <w:p w:rsidR="00E96CAE" w:rsidP="00E96CAE" w:rsidRDefault="00E96CAE" w14:paraId="19AFE2F1" w14:textId="77777777">
      <w:pPr>
        <w:pStyle w:val="Bibliography"/>
      </w:pPr>
      <w:r>
        <w:t xml:space="preserve">52. </w:t>
      </w:r>
      <w:r>
        <w:tab/>
      </w:r>
      <w:r>
        <w:t xml:space="preserve">Bhadra A, Mukherjee A, Sarkar K. Impact of population density on Covid-19 infected and mortality rate in India. </w:t>
      </w:r>
      <w:r>
        <w:rPr>
          <w:i/>
          <w:iCs/>
        </w:rPr>
        <w:t>Model Earth Syst Environ</w:t>
      </w:r>
      <w:r>
        <w:t xml:space="preserve"> [Internet]. 2020 Oct 14 [cited 2020 Dec 15]; Available from: https://doi.org/10.1007/s40808-020-00984-7</w:t>
      </w:r>
    </w:p>
    <w:p w:rsidR="00E96CAE" w:rsidP="00E96CAE" w:rsidRDefault="00E96CAE" w14:paraId="0BA1F61F" w14:textId="77777777">
      <w:pPr>
        <w:pStyle w:val="Bibliography"/>
      </w:pPr>
      <w:r>
        <w:t xml:space="preserve">53. </w:t>
      </w:r>
      <w:r>
        <w:tab/>
      </w:r>
      <w:r>
        <w:t xml:space="preserve">Brandén M, Aradhya S, Kolk M, et al. Residential context and COVID-19 mortality among adults aged 70 years and older in Stockholm: a population-based, observational study using individual-level data. </w:t>
      </w:r>
      <w:r>
        <w:rPr>
          <w:i/>
          <w:iCs/>
        </w:rPr>
        <w:t>Lancet Healthy Longev</w:t>
      </w:r>
      <w:r>
        <w:t>. Elsevier; 2020 Nov 1;</w:t>
      </w:r>
      <w:r>
        <w:rPr>
          <w:b/>
          <w:bCs/>
        </w:rPr>
        <w:t>1</w:t>
      </w:r>
      <w:r>
        <w:t xml:space="preserve">(2):e80–e88. </w:t>
      </w:r>
    </w:p>
    <w:p w:rsidR="00E96CAE" w:rsidP="00E96CAE" w:rsidRDefault="00E96CAE" w14:paraId="5F6BAA13" w14:textId="77777777">
      <w:pPr>
        <w:pStyle w:val="Bibliography"/>
      </w:pPr>
      <w:r>
        <w:t xml:space="preserve">54. </w:t>
      </w:r>
      <w:r>
        <w:tab/>
      </w:r>
      <w:r>
        <w:t xml:space="preserve">COVID-19 death rate vs. Population density [Internet]. </w:t>
      </w:r>
      <w:r>
        <w:rPr>
          <w:i/>
          <w:iCs/>
        </w:rPr>
        <w:t>Our World Data</w:t>
      </w:r>
      <w:r>
        <w:t xml:space="preserve"> [cited 2020 Dec 15]. Available from: https://ourworldindata.org/grapher/covid-19-death-rate-vs-population-density</w:t>
      </w:r>
    </w:p>
    <w:p w:rsidR="00E96CAE" w:rsidP="00E96CAE" w:rsidRDefault="00E96CAE" w14:paraId="40687830" w14:textId="77777777">
      <w:pPr>
        <w:pStyle w:val="Bibliography"/>
      </w:pPr>
      <w:r>
        <w:t xml:space="preserve">55. </w:t>
      </w:r>
      <w:r>
        <w:tab/>
      </w:r>
      <w:r>
        <w:t xml:space="preserve">O’Driscoll M, Ribeiro Dos Santos G, Wang L, et al. Age-specific mortality and immunity patterns of SARS-CoV-2. </w:t>
      </w:r>
      <w:r>
        <w:rPr>
          <w:i/>
          <w:iCs/>
        </w:rPr>
        <w:t>Nature</w:t>
      </w:r>
      <w:r>
        <w:t xml:space="preserve">. Nature Publishing Group; 2020 Nov 2;1–6. </w:t>
      </w:r>
    </w:p>
    <w:p w:rsidR="00E96CAE" w:rsidP="00E96CAE" w:rsidRDefault="00E96CAE" w14:paraId="02D7A8C0" w14:textId="77777777">
      <w:pPr>
        <w:pStyle w:val="Bibliography"/>
      </w:pPr>
      <w:r>
        <w:t xml:space="preserve">56. </w:t>
      </w:r>
      <w:r>
        <w:tab/>
      </w:r>
      <w:r>
        <w:t xml:space="preserve">Rodriguez-Llanes JM, Castro Delgado R, Pedersen MG, Meneghini M, Arcos González P. Surging critical care capacity for COVID-19: Key now and in the future. </w:t>
      </w:r>
      <w:r>
        <w:rPr>
          <w:i/>
          <w:iCs/>
        </w:rPr>
        <w:t>Prog Disaster Sci</w:t>
      </w:r>
      <w:r>
        <w:t>. 2020 Dec 1;</w:t>
      </w:r>
      <w:r>
        <w:rPr>
          <w:b/>
          <w:bCs/>
        </w:rPr>
        <w:t>8</w:t>
      </w:r>
      <w:r>
        <w:t xml:space="preserve">:100136. </w:t>
      </w:r>
    </w:p>
    <w:p w:rsidR="00E96CAE" w:rsidP="00E96CAE" w:rsidRDefault="00E96CAE" w14:paraId="26718307" w14:textId="77777777">
      <w:pPr>
        <w:pStyle w:val="Bibliography"/>
      </w:pPr>
      <w:r>
        <w:t xml:space="preserve">57. </w:t>
      </w:r>
      <w:r>
        <w:tab/>
      </w:r>
      <w:r>
        <w:t xml:space="preserve">Mikkelsen L, Phillips DE, AbouZahr C, et al. A global assessment of civil registration and vital statistics systems: monitoring data quality and progress. </w:t>
      </w:r>
      <w:r>
        <w:rPr>
          <w:i/>
          <w:iCs/>
        </w:rPr>
        <w:t>The Lancet</w:t>
      </w:r>
      <w:r>
        <w:t>. Elsevier; 2015 Oct 3;</w:t>
      </w:r>
      <w:r>
        <w:rPr>
          <w:b/>
          <w:bCs/>
        </w:rPr>
        <w:t>386</w:t>
      </w:r>
      <w:r>
        <w:t xml:space="preserve">(10001):1395–1406. </w:t>
      </w:r>
    </w:p>
    <w:p w:rsidR="00FE002E" w:rsidP="00BF0D9C" w:rsidRDefault="00F520A0" w14:paraId="7D574883" w14:textId="7DDE10E5">
      <w:pPr>
        <w:spacing w:line="480" w:lineRule="auto"/>
        <w:rPr>
          <w:rFonts w:ascii="Calibri" w:hAnsi="Calibri" w:eastAsia="Times New Roman" w:cs="Calibri"/>
          <w:b/>
        </w:rPr>
      </w:pPr>
      <w:r w:rsidRPr="00E90099">
        <w:rPr>
          <w:rFonts w:ascii="Calibri" w:hAnsi="Calibri" w:eastAsia="Times New Roman" w:cs="Calibri"/>
          <w:b/>
        </w:rPr>
        <w:fldChar w:fldCharType="end"/>
      </w:r>
    </w:p>
    <w:p w:rsidR="00FE002E" w:rsidRDefault="00FE002E" w14:paraId="08DFEA28" w14:textId="77777777">
      <w:pPr>
        <w:rPr>
          <w:rFonts w:ascii="Calibri" w:hAnsi="Calibri" w:eastAsia="Times New Roman" w:cs="Calibri"/>
          <w:b/>
        </w:rPr>
      </w:pPr>
      <w:r>
        <w:rPr>
          <w:rFonts w:ascii="Calibri" w:hAnsi="Calibri" w:eastAsia="Times New Roman" w:cs="Calibri"/>
          <w:b/>
        </w:rPr>
        <w:br w:type="page"/>
      </w:r>
    </w:p>
    <w:p w:rsidR="00FE002E" w:rsidP="00B75C1A" w:rsidRDefault="00FE002E" w14:paraId="595CB4DA" w14:textId="77777777">
      <w:pPr>
        <w:rPr>
          <w:b/>
          <w:bCs/>
        </w:rPr>
        <w:sectPr w:rsidR="00FE002E" w:rsidSect="00FE002E">
          <w:headerReference w:type="default" r:id="rId10"/>
          <w:pgSz w:w="11906" w:h="16838" w:orient="portrait"/>
          <w:pgMar w:top="1440" w:right="1440" w:bottom="1440" w:left="1440" w:header="709" w:footer="709" w:gutter="0"/>
          <w:cols w:space="708"/>
          <w:docGrid w:linePitch="360"/>
        </w:sectPr>
      </w:pPr>
    </w:p>
    <w:p w:rsidRPr="00E90099" w:rsidR="00B75C1A" w:rsidP="00B75C1A" w:rsidRDefault="00B75C1A" w14:paraId="11CED29B" w14:textId="4D7D9C31">
      <w:pPr>
        <w:rPr>
          <w:b/>
          <w:bCs/>
        </w:rPr>
      </w:pPr>
      <w:r w:rsidRPr="00E90099">
        <w:rPr>
          <w:b/>
          <w:bCs/>
        </w:rPr>
        <w:lastRenderedPageBreak/>
        <w:t xml:space="preserve">Table 1 – Excess mortality: Observed 2020 mortality rate </w:t>
      </w:r>
      <w:r w:rsidRPr="00E90099">
        <w:rPr>
          <w:b/>
          <w:bCs/>
          <w:i/>
          <w:iCs/>
        </w:rPr>
        <w:t>versus</w:t>
      </w:r>
      <w:r w:rsidRPr="00E90099">
        <w:rPr>
          <w:b/>
          <w:bCs/>
        </w:rPr>
        <w:t xml:space="preserve"> 2015-2019 average mortality rate (</w:t>
      </w:r>
      <w:r w:rsidR="00CC6686">
        <w:rPr>
          <w:b/>
          <w:bCs/>
        </w:rPr>
        <w:t xml:space="preserve">deaths </w:t>
      </w:r>
      <w:r w:rsidRPr="00E90099">
        <w:rPr>
          <w:b/>
        </w:rPr>
        <w:t>per 100,000 population)</w:t>
      </w:r>
      <w:r w:rsidRPr="00E90099">
        <w:rPr>
          <w:b/>
          <w:bCs/>
        </w:rPr>
        <w:t xml:space="preserve"> and COVID-19 mortality</w:t>
      </w:r>
      <w:r w:rsidR="007E5D99">
        <w:rPr>
          <w:b/>
          <w:bCs/>
        </w:rPr>
        <w:t xml:space="preserve"> rate</w:t>
      </w:r>
      <w:r w:rsidRPr="00E90099">
        <w:rPr>
          <w:b/>
          <w:bCs/>
        </w:rPr>
        <w:t xml:space="preserve"> </w:t>
      </w:r>
    </w:p>
    <w:p w:rsidRPr="00E90099" w:rsidR="00B75C1A" w:rsidP="00B75C1A" w:rsidRDefault="00B75C1A" w14:paraId="63EC6E48" w14:textId="77777777">
      <w:pPr>
        <w:rPr>
          <w:rFonts w:ascii="Calibri" w:hAnsi="Calibri" w:eastAsia="Times New Roman" w:cs="Calibri"/>
          <w:lang w:val="en-US"/>
        </w:rPr>
      </w:pPr>
    </w:p>
    <w:p w:rsidRPr="00E90099" w:rsidR="00B75C1A" w:rsidP="00B75C1A" w:rsidRDefault="00B75C1A" w14:paraId="004FB546" w14:textId="77777777">
      <w:pPr>
        <w:rPr>
          <w:b/>
        </w:rPr>
      </w:pPr>
      <w:r w:rsidRPr="00E90099">
        <w:rPr>
          <w:b/>
        </w:rPr>
        <w:br w:type="page"/>
      </w:r>
    </w:p>
    <w:p w:rsidRPr="00E90099" w:rsidR="00B75C1A" w:rsidP="000506F1" w:rsidRDefault="00B75C1A" w14:paraId="6C72BB1D" w14:textId="56630F16">
      <w:pPr>
        <w:rPr>
          <w:sz w:val="20"/>
          <w:szCs w:val="20"/>
        </w:rPr>
      </w:pPr>
      <w:r w:rsidRPr="5E0CCDD2">
        <w:rPr>
          <w:b/>
          <w:bCs/>
        </w:rPr>
        <w:lastRenderedPageBreak/>
        <w:t xml:space="preserve">Table 2 – Excess mortality by </w:t>
      </w:r>
      <w:r w:rsidRPr="5E0CCDD2" w:rsidR="073141D4">
        <w:rPr>
          <w:b/>
          <w:bCs/>
        </w:rPr>
        <w:t>sex</w:t>
      </w:r>
      <w:r w:rsidRPr="5E0CCDD2">
        <w:rPr>
          <w:b/>
          <w:bCs/>
        </w:rPr>
        <w:t xml:space="preserve">:  Observed 2020 mortality rate </w:t>
      </w:r>
      <w:r w:rsidRPr="5E0CCDD2">
        <w:rPr>
          <w:b/>
          <w:bCs/>
          <w:i/>
          <w:iCs/>
        </w:rPr>
        <w:t>versus</w:t>
      </w:r>
      <w:r w:rsidRPr="5E0CCDD2">
        <w:rPr>
          <w:b/>
          <w:bCs/>
        </w:rPr>
        <w:t xml:space="preserve"> 2015-2019 average mortality rate (</w:t>
      </w:r>
      <w:r w:rsidRPr="5E0CCDD2" w:rsidR="00CC6686">
        <w:rPr>
          <w:b/>
          <w:bCs/>
        </w:rPr>
        <w:t xml:space="preserve">deaths </w:t>
      </w:r>
      <w:r w:rsidRPr="5E0CCDD2">
        <w:rPr>
          <w:b/>
          <w:bCs/>
        </w:rPr>
        <w:t xml:space="preserve">per 100,000 population) and COVID-19 mortality </w:t>
      </w:r>
      <w:r w:rsidRPr="5E0CCDD2" w:rsidR="007E5D99">
        <w:rPr>
          <w:b/>
          <w:bCs/>
        </w:rPr>
        <w:t>rate</w:t>
      </w:r>
      <w:r w:rsidRPr="5E0CCDD2">
        <w:rPr>
          <w:b/>
          <w:bCs/>
        </w:rPr>
        <w:t>*</w:t>
      </w:r>
      <w:r w:rsidRPr="5E0CCDD2">
        <w:rPr>
          <w:b/>
          <w:bCs/>
          <w:vertAlign w:val="superscript"/>
        </w:rPr>
        <w:t>§</w:t>
      </w:r>
    </w:p>
    <w:p w:rsidRPr="00E90099" w:rsidR="00B75C1A" w:rsidP="00B75C1A" w:rsidRDefault="00B75C1A" w14:paraId="088143EB" w14:textId="77777777">
      <w:pPr>
        <w:spacing w:after="0" w:line="240" w:lineRule="auto"/>
        <w:contextualSpacing/>
        <w:rPr>
          <w:sz w:val="20"/>
        </w:rPr>
      </w:pPr>
    </w:p>
    <w:p w:rsidRPr="00E90099" w:rsidR="00B75C1A" w:rsidP="00B75C1A" w:rsidRDefault="00B75C1A" w14:paraId="621755ED" w14:textId="77777777">
      <w:pPr>
        <w:rPr>
          <w:rFonts w:ascii="Calibri" w:hAnsi="Calibri" w:eastAsia="Times New Roman" w:cs="Calibri"/>
          <w:lang w:val="en-US"/>
        </w:rPr>
      </w:pPr>
      <w:r w:rsidRPr="00E90099">
        <w:rPr>
          <w:rFonts w:ascii="Calibri" w:hAnsi="Calibri" w:eastAsia="Times New Roman" w:cs="Calibri"/>
          <w:lang w:val="en-US"/>
        </w:rPr>
        <w:br w:type="page"/>
      </w:r>
    </w:p>
    <w:p w:rsidRPr="00E90099" w:rsidR="00B75C1A" w:rsidP="4FBC0E3E" w:rsidRDefault="00B75C1A" w14:paraId="344850D8" w14:textId="219F7A51">
      <w:pPr>
        <w:rPr>
          <w:b/>
          <w:bCs/>
        </w:rPr>
      </w:pPr>
      <w:r w:rsidRPr="4FBC0E3E">
        <w:rPr>
          <w:b/>
          <w:bCs/>
        </w:rPr>
        <w:lastRenderedPageBreak/>
        <w:t>Table 3 - Excess deaths:</w:t>
      </w:r>
      <w:r w:rsidRPr="00E90099">
        <w:t xml:space="preserve"> </w:t>
      </w:r>
      <w:r w:rsidRPr="4FBC0E3E">
        <w:rPr>
          <w:rStyle w:val="normaltextrun"/>
          <w:b/>
          <w:bCs/>
          <w:shd w:val="clear" w:color="auto" w:fill="FFFFFF"/>
        </w:rPr>
        <w:t>Observed</w:t>
      </w:r>
      <w:r w:rsidRPr="4FBC0E3E">
        <w:rPr>
          <w:rStyle w:val="normaltextrun"/>
          <w:b/>
          <w:bCs/>
          <w:i/>
          <w:iCs/>
          <w:shd w:val="clear" w:color="auto" w:fill="FFFFFF"/>
        </w:rPr>
        <w:t xml:space="preserve"> versus </w:t>
      </w:r>
      <w:r w:rsidRPr="4FBC0E3E">
        <w:rPr>
          <w:rStyle w:val="normaltextrun"/>
          <w:b/>
          <w:bCs/>
          <w:shd w:val="clear" w:color="auto" w:fill="FFFFFF"/>
        </w:rPr>
        <w:t>expected 2020 deaths</w:t>
      </w:r>
      <w:r w:rsidRPr="4FBC0E3E">
        <w:rPr>
          <w:rStyle w:val="normaltextrun"/>
          <w:b/>
          <w:bCs/>
          <w:i/>
          <w:iCs/>
          <w:shd w:val="clear" w:color="auto" w:fill="FFFFFF"/>
        </w:rPr>
        <w:t> </w:t>
      </w:r>
    </w:p>
    <w:p w:rsidRPr="00E90099" w:rsidR="00B75C1A" w:rsidP="00B75C1A" w:rsidRDefault="00B75C1A" w14:paraId="39E50738" w14:textId="77777777">
      <w:pPr>
        <w:spacing w:after="0" w:line="240" w:lineRule="auto"/>
        <w:contextualSpacing/>
        <w:rPr>
          <w:rFonts w:ascii="Calibri" w:hAnsi="Calibri" w:eastAsia="Times New Roman" w:cs="Calibri"/>
          <w:sz w:val="20"/>
          <w:lang w:val="en-US"/>
        </w:rPr>
      </w:pPr>
    </w:p>
    <w:p w:rsidRPr="00E90099" w:rsidR="00B75C1A" w:rsidP="00B75C1A" w:rsidRDefault="00B75C1A" w14:paraId="2252BACC" w14:textId="77777777">
      <w:pPr>
        <w:rPr>
          <w:b/>
        </w:rPr>
      </w:pPr>
    </w:p>
    <w:p w:rsidRPr="00E90099" w:rsidR="00B75C1A" w:rsidP="00B75C1A" w:rsidRDefault="00B75C1A" w14:paraId="5AD4FA93" w14:textId="77777777">
      <w:pPr>
        <w:rPr>
          <w:b/>
        </w:rPr>
      </w:pPr>
      <w:r w:rsidRPr="00E90099">
        <w:rPr>
          <w:b/>
        </w:rPr>
        <w:br w:type="page"/>
      </w:r>
    </w:p>
    <w:p w:rsidRPr="00E90099" w:rsidR="00B75C1A" w:rsidP="5E0CCDD2" w:rsidRDefault="00B75C1A" w14:paraId="379DCAC5" w14:textId="604E59D0">
      <w:pPr>
        <w:rPr>
          <w:b/>
          <w:bCs/>
        </w:rPr>
      </w:pPr>
      <w:r w:rsidRPr="5E0CCDD2">
        <w:rPr>
          <w:b/>
          <w:bCs/>
        </w:rPr>
        <w:lastRenderedPageBreak/>
        <w:t xml:space="preserve">Table 4 - Excess deaths by </w:t>
      </w:r>
      <w:r w:rsidRPr="4FBC0E3E" w:rsidR="073141D4">
        <w:rPr>
          <w:b/>
          <w:bCs/>
        </w:rPr>
        <w:t>sex</w:t>
      </w:r>
      <w:r w:rsidRPr="5E0CCDD2">
        <w:rPr>
          <w:b/>
          <w:bCs/>
        </w:rPr>
        <w:t xml:space="preserve">: </w:t>
      </w:r>
      <w:r w:rsidRPr="5E0CCDD2">
        <w:rPr>
          <w:rStyle w:val="normaltextrun"/>
          <w:rFonts w:ascii="Calibri" w:hAnsi="Calibri" w:cs="Calibri"/>
          <w:b/>
          <w:bCs/>
          <w:shd w:val="clear" w:color="auto" w:fill="FFFFFF"/>
        </w:rPr>
        <w:t>Observed</w:t>
      </w:r>
      <w:r w:rsidRPr="4FBC0E3E">
        <w:rPr>
          <w:rStyle w:val="normaltextrun"/>
          <w:rFonts w:ascii="Calibri" w:hAnsi="Calibri" w:cs="Calibri"/>
          <w:b/>
          <w:bCs/>
          <w:i/>
          <w:iCs/>
          <w:shd w:val="clear" w:color="auto" w:fill="FFFFFF"/>
        </w:rPr>
        <w:t xml:space="preserve"> versus </w:t>
      </w:r>
      <w:r w:rsidRPr="5E0CCDD2">
        <w:rPr>
          <w:rStyle w:val="normaltextrun"/>
          <w:rFonts w:ascii="Calibri" w:hAnsi="Calibri" w:cs="Calibri"/>
          <w:b/>
          <w:bCs/>
          <w:shd w:val="clear" w:color="auto" w:fill="FFFFFF"/>
        </w:rPr>
        <w:t>expected 2020 deaths</w:t>
      </w:r>
      <w:r w:rsidRPr="5E0CCDD2" w:rsidDel="00134936">
        <w:rPr>
          <w:b/>
          <w:bCs/>
        </w:rPr>
        <w:t xml:space="preserve"> </w:t>
      </w:r>
      <w:r w:rsidRPr="5E0CCDD2">
        <w:rPr>
          <w:b/>
          <w:bCs/>
        </w:rPr>
        <w:t>*</w:t>
      </w:r>
      <w:r w:rsidRPr="5E0CCDD2">
        <w:rPr>
          <w:b/>
          <w:bCs/>
          <w:vertAlign w:val="superscript"/>
        </w:rPr>
        <w:t>§</w:t>
      </w:r>
    </w:p>
    <w:p w:rsidRPr="00E90099" w:rsidR="00B75C1A" w:rsidP="00B75C1A" w:rsidRDefault="00B75C1A" w14:paraId="67FED575" w14:textId="5492F3F9">
      <w:pPr>
        <w:spacing w:after="0" w:line="240" w:lineRule="auto"/>
        <w:contextualSpacing/>
        <w:rPr>
          <w:rFonts w:ascii="Calibri" w:hAnsi="Calibri" w:eastAsia="Times New Roman" w:cs="Calibri"/>
          <w:sz w:val="20"/>
          <w:szCs w:val="20"/>
        </w:rPr>
      </w:pPr>
    </w:p>
    <w:p w:rsidR="000506F1" w:rsidRDefault="000506F1" w14:paraId="52DA4CB2" w14:textId="77777777">
      <w:pPr>
        <w:rPr>
          <w:rFonts w:ascii="Calibri" w:hAnsi="Calibri" w:eastAsia="Times New Roman" w:cs="Calibri"/>
          <w:b/>
        </w:rPr>
      </w:pPr>
      <w:r>
        <w:rPr>
          <w:rFonts w:ascii="Calibri" w:hAnsi="Calibri" w:eastAsia="Times New Roman" w:cs="Calibri"/>
          <w:b/>
        </w:rPr>
        <w:br w:type="page"/>
      </w:r>
    </w:p>
    <w:p w:rsidR="009B7233" w:rsidP="00B75C1A" w:rsidRDefault="009B7233" w14:paraId="6883C2CB" w14:textId="2A3BCAA8">
      <w:pPr>
        <w:rPr>
          <w:rFonts w:ascii="Calibri" w:hAnsi="Calibri" w:eastAsia="Times New Roman" w:cs="Calibri"/>
          <w:b/>
        </w:rPr>
      </w:pPr>
      <w:r>
        <w:rPr>
          <w:rFonts w:ascii="Calibri" w:hAnsi="Calibri" w:eastAsia="Times New Roman" w:cs="Calibri"/>
          <w:b/>
        </w:rPr>
        <w:lastRenderedPageBreak/>
        <w:t>Colour Figure</w:t>
      </w:r>
      <w:r w:rsidR="007419C3">
        <w:rPr>
          <w:rFonts w:ascii="Calibri" w:hAnsi="Calibri" w:eastAsia="Times New Roman" w:cs="Calibri"/>
          <w:b/>
        </w:rPr>
        <w:t xml:space="preserve"> online, B&amp;W Figure in print</w:t>
      </w:r>
      <w:r>
        <w:rPr>
          <w:rFonts w:ascii="Calibri" w:hAnsi="Calibri" w:eastAsia="Times New Roman" w:cs="Calibri"/>
          <w:b/>
        </w:rPr>
        <w:t>:</w:t>
      </w:r>
    </w:p>
    <w:p w:rsidRPr="00E90099" w:rsidR="00B75C1A" w:rsidP="00B75C1A" w:rsidRDefault="00FE002E" w14:paraId="7177DD5E" w14:textId="64D9A345">
      <w:pPr>
        <w:rPr>
          <w:rFonts w:ascii="Calibri" w:hAnsi="Calibri" w:eastAsia="Times New Roman" w:cs="Calibri"/>
          <w:b/>
        </w:rPr>
      </w:pPr>
      <w:r>
        <w:rPr>
          <w:rFonts w:ascii="Calibri" w:hAnsi="Calibri" w:eastAsia="Times New Roman" w:cs="Calibri"/>
          <w:b/>
        </w:rPr>
        <w:t>F</w:t>
      </w:r>
      <w:r w:rsidRPr="00E90099" w:rsidR="00B75C1A">
        <w:rPr>
          <w:rFonts w:ascii="Calibri" w:hAnsi="Calibri" w:eastAsia="Times New Roman" w:cs="Calibri"/>
          <w:b/>
        </w:rPr>
        <w:t xml:space="preserve">igure 1 – </w:t>
      </w:r>
      <w:r w:rsidRPr="00E90099" w:rsidR="00B75C1A">
        <w:rPr>
          <w:b/>
          <w:bCs/>
        </w:rPr>
        <w:t xml:space="preserve">Observed 2020 mortality rate </w:t>
      </w:r>
      <w:r w:rsidRPr="00E90099" w:rsidR="00B75C1A">
        <w:rPr>
          <w:b/>
          <w:bCs/>
          <w:i/>
          <w:iCs/>
        </w:rPr>
        <w:t>versus</w:t>
      </w:r>
      <w:r w:rsidRPr="00E90099" w:rsidR="00B75C1A">
        <w:rPr>
          <w:b/>
          <w:bCs/>
        </w:rPr>
        <w:t xml:space="preserve"> 2015-2019 average mortality rate (</w:t>
      </w:r>
      <w:r w:rsidRPr="00E90099" w:rsidR="00B75C1A">
        <w:rPr>
          <w:b/>
        </w:rPr>
        <w:t>per 100,000 population)</w:t>
      </w:r>
      <w:r w:rsidRPr="00E90099" w:rsidR="00B75C1A">
        <w:rPr>
          <w:b/>
          <w:bCs/>
        </w:rPr>
        <w:t xml:space="preserve"> and Stringency Index (</w:t>
      </w:r>
      <w:proofErr w:type="gramStart"/>
      <w:r w:rsidRPr="00E90099" w:rsidR="00B75C1A">
        <w:rPr>
          <w:b/>
          <w:bCs/>
        </w:rPr>
        <w:t>SI,%</w:t>
      </w:r>
      <w:proofErr w:type="gramEnd"/>
      <w:r w:rsidRPr="00E90099" w:rsidR="00B75C1A">
        <w:rPr>
          <w:b/>
          <w:bCs/>
        </w:rPr>
        <w:t xml:space="preserve">) </w:t>
      </w:r>
      <w:r w:rsidR="007419C3">
        <w:rPr>
          <w:rFonts w:ascii="Calibri" w:hAnsi="Calibri" w:eastAsia="Times New Roman" w:cs="Calibri"/>
          <w:b/>
        </w:rPr>
        <w:t xml:space="preserve">for </w:t>
      </w:r>
      <w:r w:rsidRPr="00E90099" w:rsidR="00B75C1A">
        <w:rPr>
          <w:rFonts w:ascii="Calibri" w:hAnsi="Calibri" w:eastAsia="Times New Roman" w:cs="Calibri"/>
          <w:b/>
        </w:rPr>
        <w:t>countries providing weekly data (Solid vertical line indicates the start of the reported COVID-19 deaths)</w:t>
      </w:r>
    </w:p>
    <w:tbl>
      <w:tblPr>
        <w:tblStyle w:val="TableGrid"/>
        <w:tblpPr w:leftFromText="180" w:rightFromText="180" w:vertAnchor="text" w:horzAnchor="margin" w:tblpY="114"/>
        <w:tblW w:w="0" w:type="auto"/>
        <w:tblLook w:val="04A0" w:firstRow="1" w:lastRow="0" w:firstColumn="1" w:lastColumn="0" w:noHBand="0" w:noVBand="1"/>
      </w:tblPr>
      <w:tblGrid>
        <w:gridCol w:w="2340"/>
        <w:gridCol w:w="2880"/>
        <w:gridCol w:w="2610"/>
      </w:tblGrid>
      <w:tr w:rsidRPr="00E90099" w:rsidR="00B75C1A" w:rsidTr="48EBC408" w14:paraId="574B4A05" w14:textId="77777777">
        <w:tc>
          <w:tcPr>
            <w:tcW w:w="2340" w:type="dxa"/>
            <w:tcMar/>
          </w:tcPr>
          <w:p w:rsidRPr="00E90099" w:rsidR="00B75C1A" w:rsidP="006379C6" w:rsidRDefault="00B75C1A" w14:paraId="1E7452B1" w14:textId="77777777">
            <w:pPr>
              <w:jc w:val="center"/>
              <w:rPr>
                <w:rFonts w:ascii="Calibri" w:hAnsi="Calibri" w:eastAsia="Times New Roman" w:cs="Calibri"/>
                <w:sz w:val="18"/>
                <w:szCs w:val="18"/>
              </w:rPr>
            </w:pPr>
            <w:r w:rsidRPr="00E90099">
              <w:rPr>
                <w:rFonts w:ascii="Calibri" w:hAnsi="Calibri" w:eastAsia="Times New Roman" w:cs="Calibri"/>
                <w:sz w:val="18"/>
                <w:szCs w:val="18"/>
              </w:rPr>
              <w:t>2020 Mortality rate</w:t>
            </w:r>
          </w:p>
        </w:tc>
        <w:tc>
          <w:tcPr>
            <w:tcW w:w="2880" w:type="dxa"/>
            <w:tcMar/>
          </w:tcPr>
          <w:p w:rsidRPr="00E90099" w:rsidR="00B75C1A" w:rsidP="006379C6" w:rsidRDefault="00B75C1A" w14:paraId="6F95075F" w14:textId="77777777">
            <w:pPr>
              <w:jc w:val="center"/>
              <w:rPr>
                <w:rFonts w:ascii="Calibri" w:hAnsi="Calibri" w:eastAsia="Times New Roman" w:cs="Calibri"/>
                <w:sz w:val="18"/>
                <w:szCs w:val="18"/>
              </w:rPr>
            </w:pPr>
            <w:r w:rsidRPr="00E90099">
              <w:rPr>
                <w:rFonts w:ascii="Calibri" w:hAnsi="Calibri" w:eastAsia="Times New Roman" w:cs="Calibri"/>
                <w:sz w:val="18"/>
                <w:szCs w:val="18"/>
              </w:rPr>
              <w:t>2015-2019 Mortality rate average</w:t>
            </w:r>
          </w:p>
        </w:tc>
        <w:tc>
          <w:tcPr>
            <w:tcW w:w="2610" w:type="dxa"/>
            <w:tcMar/>
          </w:tcPr>
          <w:p w:rsidRPr="00E90099" w:rsidR="00B75C1A" w:rsidP="006379C6" w:rsidRDefault="00B75C1A" w14:paraId="4348B4C2" w14:textId="77777777">
            <w:pPr>
              <w:jc w:val="center"/>
              <w:rPr>
                <w:rFonts w:ascii="Calibri" w:hAnsi="Calibri" w:eastAsia="Times New Roman" w:cs="Calibri"/>
                <w:sz w:val="18"/>
                <w:szCs w:val="18"/>
              </w:rPr>
            </w:pPr>
            <w:r w:rsidRPr="00E90099">
              <w:rPr>
                <w:rFonts w:ascii="Calibri" w:hAnsi="Calibri" w:eastAsia="Times New Roman" w:cs="Calibri"/>
                <w:sz w:val="18"/>
                <w:szCs w:val="18"/>
              </w:rPr>
              <w:t>2015-2019 Mortality rate range</w:t>
            </w:r>
          </w:p>
        </w:tc>
      </w:tr>
      <w:tr w:rsidRPr="00E90099" w:rsidR="00B75C1A" w:rsidTr="48EBC408" w14:paraId="51D741BE" w14:textId="77777777">
        <w:trPr>
          <w:trHeight w:val="89"/>
        </w:trPr>
        <w:tc>
          <w:tcPr>
            <w:tcW w:w="2340" w:type="dxa"/>
            <w:tcMar/>
          </w:tcPr>
          <w:p w:rsidRPr="00E90099" w:rsidR="00B75C1A" w:rsidP="006379C6" w:rsidRDefault="00B75C1A" w14:paraId="7E638FF5"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58240" behindDoc="0" locked="0" layoutInCell="1" allowOverlap="1" wp14:anchorId="70E5B86A" wp14:editId="37E0B94A">
                      <wp:simplePos x="0" y="0"/>
                      <wp:positionH relativeFrom="column">
                        <wp:posOffset>364546</wp:posOffset>
                      </wp:positionH>
                      <wp:positionV relativeFrom="paragraph">
                        <wp:posOffset>111258</wp:posOffset>
                      </wp:positionV>
                      <wp:extent cx="609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643343D">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8.7pt,8.75pt" to="76.7pt,8.75pt" w14:anchorId="3BA88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">
                      <v:stroke joinstyle="miter"/>
                    </v:line>
                  </w:pict>
                </mc:Fallback>
              </mc:AlternateContent>
            </w:r>
          </w:p>
        </w:tc>
        <w:tc>
          <w:tcPr>
            <w:tcW w:w="2880" w:type="dxa"/>
            <w:tcMar/>
          </w:tcPr>
          <w:p w:rsidRPr="00E90099" w:rsidR="00B75C1A" w:rsidP="006379C6" w:rsidRDefault="00B75C1A" w14:paraId="4C96AAA8"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58241" behindDoc="0" locked="0" layoutInCell="1" allowOverlap="1" wp14:anchorId="43310C3F" wp14:editId="4BAFA7D9">
                      <wp:simplePos x="0" y="0"/>
                      <wp:positionH relativeFrom="column">
                        <wp:posOffset>502488</wp:posOffset>
                      </wp:positionH>
                      <wp:positionV relativeFrom="paragraph">
                        <wp:posOffset>102312</wp:posOffset>
                      </wp:positionV>
                      <wp:extent cx="609600" cy="0"/>
                      <wp:effectExtent l="0" t="0" r="0" b="19050"/>
                      <wp:wrapNone/>
                      <wp:docPr id="8" name="Straight Connector 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50000"/>
                                    <a:lumOff val="50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5974E69">
                    <v:line id="Straight Connector 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5pt" from="39.55pt,8.05pt" to="87.55pt,8.05pt" w14:anchorId="3DD8C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">
                      <v:stroke joinstyle="miter" dashstyle="longDash"/>
                    </v:line>
                  </w:pict>
                </mc:Fallback>
              </mc:AlternateContent>
            </w:r>
          </w:p>
        </w:tc>
        <w:tc>
          <w:tcPr>
            <w:tcW w:w="2610" w:type="dxa"/>
            <w:tcMar/>
          </w:tcPr>
          <w:p w:rsidRPr="00E90099" w:rsidR="00B75C1A" w:rsidP="006379C6" w:rsidRDefault="00B75C1A" w14:paraId="4B1DC439" w14:textId="77777777">
            <w:pPr>
              <w:jc w:val="center"/>
              <w:rPr>
                <w:rFonts w:ascii="Calibri" w:hAnsi="Calibri" w:eastAsia="Times New Roman" w:cs="Calibri"/>
                <w:sz w:val="18"/>
                <w:szCs w:val="18"/>
              </w:rPr>
            </w:pPr>
            <w:r w:rsidRPr="000506F1">
              <w:rPr>
                <w:noProof/>
                <w:shd w:val="clear" w:color="auto" w:fill="BFBFBF" w:themeFill="background1" w:themeFillShade="BF"/>
                <w:lang w:val="en-US"/>
              </w:rPr>
              <w:drawing>
                <wp:inline distT="0" distB="0" distL="0" distR="0" wp14:anchorId="2CC71D4E" wp14:editId="51713045">
                  <wp:extent cx="551593" cy="8541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l="53135" t="38649" r="42614" b="59480"/>
                          <a:stretch/>
                        </pic:blipFill>
                        <pic:spPr bwMode="auto">
                          <a:xfrm>
                            <a:off x="0" y="0"/>
                            <a:ext cx="585380" cy="90643"/>
                          </a:xfrm>
                          <a:prstGeom prst="rect">
                            <a:avLst/>
                          </a:prstGeom>
                          <a:ln>
                            <a:noFill/>
                          </a:ln>
                          <a:extLst>
                            <a:ext uri="{53640926-AAD7-44D8-BBD7-CCE9431645EC}">
                              <a14:shadowObscured xmlns:a14="http://schemas.microsoft.com/office/drawing/2010/main"/>
                            </a:ext>
                          </a:extLst>
                        </pic:spPr>
                      </pic:pic>
                    </a:graphicData>
                  </a:graphic>
                </wp:inline>
              </w:drawing>
            </w:r>
          </w:p>
          <w:p w:rsidRPr="00E90099" w:rsidR="00B75C1A" w:rsidP="006379C6" w:rsidRDefault="00B75C1A" w14:paraId="4FFDACB3" w14:textId="77777777">
            <w:pPr>
              <w:jc w:val="center"/>
              <w:rPr>
                <w:rFonts w:ascii="Calibri" w:hAnsi="Calibri" w:eastAsia="Times New Roman" w:cs="Calibri"/>
                <w:sz w:val="18"/>
                <w:szCs w:val="18"/>
              </w:rPr>
            </w:pPr>
          </w:p>
        </w:tc>
      </w:tr>
    </w:tbl>
    <w:p w:rsidRPr="00E90099" w:rsidR="00B75C1A" w:rsidP="00B75C1A" w:rsidRDefault="00B75C1A" w14:paraId="10134384" w14:textId="77777777"/>
    <w:p w:rsidRPr="00E90099" w:rsidR="00B75C1A" w:rsidP="00B75C1A" w:rsidRDefault="00B75C1A" w14:paraId="4E11DB32" w14:textId="2877DBCE"/>
    <w:p w:rsidRPr="00E90099" w:rsidR="00B75C1A" w:rsidP="00B75C1A" w:rsidRDefault="00B75C1A" w14:paraId="566E6073" w14:textId="5A8A8B07">
      <w:pPr>
        <w:rPr>
          <w:rFonts w:ascii="Calibri" w:hAnsi="Calibri" w:eastAsia="Times New Roman" w:cs="Calibri"/>
          <w:b/>
          <w:bCs/>
        </w:rPr>
      </w:pPr>
    </w:p>
    <w:p w:rsidRPr="00E90099" w:rsidR="00B75C1A" w:rsidP="00B75C1A" w:rsidRDefault="00B75C1A" w14:paraId="6376EF78" w14:textId="086B7010">
      <w:pPr>
        <w:rPr>
          <w:rFonts w:ascii="Calibri" w:hAnsi="Calibri" w:eastAsia="Times New Roman" w:cs="Calibri"/>
          <w:b/>
          <w:bCs/>
        </w:rPr>
      </w:pPr>
    </w:p>
    <w:p w:rsidRPr="00E90099" w:rsidR="00B75C1A" w:rsidP="00B75C1A" w:rsidRDefault="00B75C1A" w14:paraId="64CDCAAC" w14:textId="77777777"/>
    <w:p w:rsidRPr="00E90099" w:rsidR="00B75C1A" w:rsidP="00B75C1A" w:rsidRDefault="00B75C1A" w14:paraId="45E520E5" w14:textId="77777777">
      <w:pPr>
        <w:rPr>
          <w:rFonts w:ascii="Calibri" w:hAnsi="Calibri" w:eastAsia="Times New Roman" w:cs="Calibri"/>
          <w:b/>
        </w:rPr>
      </w:pPr>
    </w:p>
    <w:p w:rsidRPr="00E90099" w:rsidR="00B75C1A" w:rsidP="00B75C1A" w:rsidRDefault="00B75C1A" w14:paraId="022BC710" w14:textId="77777777">
      <w:pPr>
        <w:rPr>
          <w:rFonts w:ascii="Calibri" w:hAnsi="Calibri" w:eastAsia="Times New Roman" w:cs="Calibri"/>
          <w:b/>
        </w:rPr>
      </w:pPr>
    </w:p>
    <w:p w:rsidR="00E73A1E" w:rsidP="00E73A1E" w:rsidRDefault="00B75C1A" w14:paraId="4D3891BC" w14:textId="77777777">
      <w:pPr>
        <w:rPr>
          <w:rFonts w:ascii="Calibri" w:hAnsi="Calibri" w:eastAsia="Times New Roman" w:cs="Calibri"/>
          <w:b/>
        </w:rPr>
      </w:pPr>
      <w:r w:rsidRPr="00E90099">
        <w:rPr>
          <w:rFonts w:ascii="Calibri" w:hAnsi="Calibri" w:eastAsia="Times New Roman" w:cs="Calibri"/>
          <w:b/>
        </w:rPr>
        <w:br w:type="page"/>
      </w:r>
    </w:p>
    <w:p w:rsidR="00E73A1E" w:rsidP="00E73A1E" w:rsidRDefault="00E73A1E" w14:paraId="1C6E4422" w14:textId="77777777">
      <w:pPr>
        <w:rPr>
          <w:rFonts w:ascii="Calibri" w:hAnsi="Calibri" w:eastAsia="Times New Roman" w:cs="Calibri"/>
          <w:b/>
        </w:rPr>
      </w:pPr>
      <w:r>
        <w:rPr>
          <w:rFonts w:ascii="Calibri" w:hAnsi="Calibri" w:eastAsia="Times New Roman" w:cs="Calibri"/>
          <w:b/>
        </w:rPr>
        <w:lastRenderedPageBreak/>
        <w:t>Colour Figure online, B&amp;W Figure in print:</w:t>
      </w:r>
    </w:p>
    <w:p w:rsidRPr="00E90099" w:rsidR="00B75C1A" w:rsidP="5E0CCDD2" w:rsidRDefault="00B75C1A" w14:paraId="64806A6E" w14:textId="6138EF89">
      <w:pPr>
        <w:rPr>
          <w:rFonts w:ascii="Calibri" w:hAnsi="Calibri" w:eastAsia="Times New Roman" w:cs="Calibri"/>
          <w:b/>
          <w:bCs/>
        </w:rPr>
      </w:pPr>
      <w:r w:rsidRPr="4FBC0E3E">
        <w:rPr>
          <w:rFonts w:ascii="Calibri" w:hAnsi="Calibri" w:eastAsia="Times New Roman" w:cs="Calibri"/>
          <w:b/>
          <w:bCs/>
        </w:rPr>
        <w:t>Figure 2 –</w:t>
      </w:r>
      <w:r w:rsidRPr="4FBC0E3E">
        <w:rPr>
          <w:b/>
          <w:bCs/>
        </w:rPr>
        <w:t xml:space="preserve"> Observed 2020 mortality rate </w:t>
      </w:r>
      <w:r w:rsidRPr="4FBC0E3E">
        <w:rPr>
          <w:b/>
          <w:bCs/>
          <w:i/>
          <w:iCs/>
        </w:rPr>
        <w:t>versus</w:t>
      </w:r>
      <w:r w:rsidRPr="4FBC0E3E">
        <w:rPr>
          <w:b/>
          <w:bCs/>
        </w:rPr>
        <w:t xml:space="preserve"> 2015-2019 average mortality rate (per 100,000 population) and Stringency Index (</w:t>
      </w:r>
      <w:proofErr w:type="gramStart"/>
      <w:r w:rsidRPr="4FBC0E3E">
        <w:rPr>
          <w:b/>
          <w:bCs/>
        </w:rPr>
        <w:t>SI,%</w:t>
      </w:r>
      <w:proofErr w:type="gramEnd"/>
      <w:r w:rsidRPr="4FBC0E3E">
        <w:rPr>
          <w:b/>
          <w:bCs/>
        </w:rPr>
        <w:t xml:space="preserve">), by </w:t>
      </w:r>
      <w:r w:rsidRPr="4FBC0E3E" w:rsidR="073141D4">
        <w:rPr>
          <w:b/>
          <w:bCs/>
        </w:rPr>
        <w:t>sex</w:t>
      </w:r>
      <w:r w:rsidRPr="4FBC0E3E">
        <w:rPr>
          <w:b/>
          <w:bCs/>
        </w:rPr>
        <w:t xml:space="preserve"> </w:t>
      </w:r>
      <w:r w:rsidRPr="4FBC0E3E" w:rsidR="00E73A1E">
        <w:rPr>
          <w:rFonts w:ascii="Calibri" w:hAnsi="Calibri" w:eastAsia="Times New Roman" w:cs="Calibri"/>
          <w:b/>
          <w:bCs/>
        </w:rPr>
        <w:t>for</w:t>
      </w:r>
      <w:r w:rsidRPr="4FBC0E3E">
        <w:rPr>
          <w:rFonts w:ascii="Calibri" w:hAnsi="Calibri" w:eastAsia="Times New Roman" w:cs="Calibri"/>
          <w:b/>
          <w:bCs/>
        </w:rPr>
        <w:t xml:space="preserve"> countries providing weekly data (Solid vertical line indicates the start of the reported COVID-19 deaths)</w:t>
      </w:r>
    </w:p>
    <w:p w:rsidRPr="00E73A1E" w:rsidR="00B75C1A" w:rsidP="4FBC0E3E" w:rsidRDefault="00B75C1A" w14:paraId="2DEAAB69" w14:textId="3B285019"/>
    <w:tbl>
      <w:tblPr>
        <w:tblStyle w:val="TableGrid"/>
        <w:tblW w:w="0" w:type="auto"/>
        <w:tblLook w:val="04A0" w:firstRow="1" w:lastRow="0" w:firstColumn="1" w:lastColumn="0" w:noHBand="0" w:noVBand="1"/>
      </w:tblPr>
      <w:tblGrid>
        <w:gridCol w:w="2340"/>
        <w:gridCol w:w="2880"/>
        <w:gridCol w:w="2610"/>
      </w:tblGrid>
      <w:tr w:rsidR="4FBC0E3E" w:rsidTr="48EBC408" w14:paraId="11BC08BD" w14:textId="77777777">
        <w:tc>
          <w:tcPr>
            <w:tcW w:w="2340" w:type="dxa"/>
            <w:tcMar/>
          </w:tcPr>
          <w:p w:rsidR="4FBC0E3E" w:rsidP="4FBC0E3E" w:rsidRDefault="4FBC0E3E" w14:paraId="1A48C538"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2020 Mortality rate</w:t>
            </w:r>
          </w:p>
        </w:tc>
        <w:tc>
          <w:tcPr>
            <w:tcW w:w="2880" w:type="dxa"/>
            <w:tcMar/>
          </w:tcPr>
          <w:p w:rsidR="4FBC0E3E" w:rsidP="4FBC0E3E" w:rsidRDefault="4FBC0E3E" w14:paraId="61D86A62"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2015-2019 Mortality rate average</w:t>
            </w:r>
          </w:p>
        </w:tc>
        <w:tc>
          <w:tcPr>
            <w:tcW w:w="2610" w:type="dxa"/>
            <w:tcMar/>
          </w:tcPr>
          <w:p w:rsidR="4FBC0E3E" w:rsidP="4FBC0E3E" w:rsidRDefault="4FBC0E3E" w14:paraId="43BB42EB"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2015-2019 Mortality rate range</w:t>
            </w:r>
          </w:p>
        </w:tc>
      </w:tr>
      <w:tr w:rsidR="4FBC0E3E" w:rsidTr="48EBC408" w14:paraId="5584CA79" w14:textId="77777777">
        <w:trPr>
          <w:trHeight w:val="89"/>
        </w:trPr>
        <w:tc>
          <w:tcPr>
            <w:tcW w:w="2340" w:type="dxa"/>
            <w:tcMar/>
          </w:tcPr>
          <w:p w:rsidR="4FBC0E3E" w:rsidP="4FBC0E3E" w:rsidRDefault="4FBC0E3E" w14:paraId="3512052F" w14:textId="1E3D8F71">
            <w:pPr>
              <w:jc w:val="center"/>
              <w:rPr>
                <w:rFonts w:ascii="Calibri" w:hAnsi="Calibri" w:eastAsia="Times New Roman" w:cs="Calibri"/>
                <w:sz w:val="18"/>
                <w:szCs w:val="18"/>
              </w:rPr>
            </w:pPr>
            <w:r>
              <w:rPr>
                <w:noProof/>
                <w:lang w:val="en-US"/>
              </w:rPr>
              <mc:AlternateContent>
                <mc:Choice Requires="wps">
                  <w:drawing>
                    <wp:inline distT="0" distB="0" distL="114300" distR="114300" wp14:anchorId="0E64271A" wp14:editId="53C6C06E">
                      <wp:extent cx="609600" cy="0"/>
                      <wp:effectExtent l="0" t="0" r="19050" b="19050"/>
                      <wp:docPr id="1322816495" name="Straight Connector 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0E1B4DB6">
                    <v:line id="Straight Connector 7"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5pt" from="0,0" to="48pt,0" w14:anchorId="0F5E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">
                      <v:stroke joinstyle="miter"/>
                      <w10:anchorlock/>
                    </v:line>
                  </w:pict>
                </mc:Fallback>
              </mc:AlternateContent>
            </w:r>
          </w:p>
        </w:tc>
        <w:tc>
          <w:tcPr>
            <w:tcW w:w="2880" w:type="dxa"/>
            <w:tcMar/>
          </w:tcPr>
          <w:p w:rsidR="4FBC0E3E" w:rsidP="4FBC0E3E" w:rsidRDefault="4FBC0E3E" w14:paraId="583C5440" w14:textId="12E51B4C">
            <w:pPr>
              <w:jc w:val="center"/>
              <w:rPr>
                <w:rFonts w:ascii="Calibri" w:hAnsi="Calibri" w:eastAsia="Times New Roman" w:cs="Calibri"/>
                <w:sz w:val="18"/>
                <w:szCs w:val="18"/>
              </w:rPr>
            </w:pPr>
            <w:r>
              <w:rPr>
                <w:noProof/>
                <w:lang w:val="en-US"/>
              </w:rPr>
              <mc:AlternateContent>
                <mc:Choice Requires="wps">
                  <w:drawing>
                    <wp:inline distT="0" distB="0" distL="114300" distR="114300" wp14:anchorId="14B7075F" wp14:editId="4406B587">
                      <wp:extent cx="609600" cy="0"/>
                      <wp:effectExtent l="0" t="0" r="0" b="19050"/>
                      <wp:docPr id="331216511" name="Straight Connector 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50000"/>
                                    <a:lumOff val="50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w14:anchorId="5E8BC5AD">
                    <v:line id="Straight Connector 8" style="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5pt" from="0,0" to="48pt,0" w14:anchorId="56A2B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">
                      <v:stroke joinstyle="miter" dashstyle="longDash"/>
                      <w10:anchorlock/>
                    </v:line>
                  </w:pict>
                </mc:Fallback>
              </mc:AlternateContent>
            </w:r>
          </w:p>
        </w:tc>
        <w:tc>
          <w:tcPr>
            <w:tcW w:w="2610" w:type="dxa"/>
            <w:tcMar/>
          </w:tcPr>
          <w:p w:rsidR="4FBC0E3E" w:rsidP="4FBC0E3E" w:rsidRDefault="4FBC0E3E" w14:paraId="1C6297B1" w14:textId="77777777">
            <w:pPr>
              <w:jc w:val="center"/>
              <w:rPr>
                <w:rFonts w:ascii="Calibri" w:hAnsi="Calibri" w:eastAsia="Times New Roman" w:cs="Calibri"/>
                <w:sz w:val="18"/>
                <w:szCs w:val="18"/>
              </w:rPr>
            </w:pPr>
            <w:r>
              <w:drawing>
                <wp:inline wp14:editId="1AFE7150" wp14:anchorId="79D175F5">
                  <wp:extent cx="551593" cy="85411"/>
                  <wp:effectExtent l="0" t="0" r="1270" b="0"/>
                  <wp:docPr id="222244642" name="Picture 1" title=""/>
                  <wp:cNvGraphicFramePr>
                    <a:graphicFrameLocks noChangeAspect="1"/>
                  </wp:cNvGraphicFramePr>
                  <a:graphic>
                    <a:graphicData uri="http://schemas.openxmlformats.org/drawingml/2006/picture">
                      <pic:pic>
                        <pic:nvPicPr>
                          <pic:cNvPr id="0" name="Picture 1"/>
                          <pic:cNvPicPr/>
                        </pic:nvPicPr>
                        <pic:blipFill>
                          <a:blip r:embed="R0fff2c9448a34a4a">
                            <a:extLst xmlns:a="http://schemas.openxmlformats.org/drawingml/2006/main">
                              <a:ext uri="{BEBA8EAE-BF5A-486C-A8C5-ECC9F3942E4B}">
                                <a14:imgProps xmlns:a14="http://schemas.microsoft.com/office/drawing/2010/main">
                                  <a14:imgLayer xmlns:r="http://schemas.openxmlformats.org/officeDocument/2006/relationships" r:embed="rId12">
                                    <a14:imgEffect>
                                      <a14:saturation sat="0"/>
                                    </a14:imgEffect>
                                  </a14:imgLayer>
                                </a14:imgProps>
                              </a:ext>
                            </a:extLst>
                          </a:blip>
                          <a:srcRect l="53135" t="38649" r="42614" b="59480"/>
                          <a:stretch>
                            <a:fillRect/>
                          </a:stretch>
                        </pic:blipFill>
                        <pic:spPr>
                          <a:xfrm rot="0" flipH="0" flipV="0">
                            <a:off x="0" y="0"/>
                            <a:ext cx="551593" cy="85411"/>
                          </a:xfrm>
                          <a:prstGeom prst="rect">
                            <a:avLst/>
                          </a:prstGeom>
                        </pic:spPr>
                      </pic:pic>
                    </a:graphicData>
                  </a:graphic>
                </wp:inline>
              </w:drawing>
            </w:r>
          </w:p>
          <w:p w:rsidR="4FBC0E3E" w:rsidP="4FBC0E3E" w:rsidRDefault="4FBC0E3E" w14:paraId="3F475CF3" w14:textId="77777777">
            <w:pPr>
              <w:jc w:val="center"/>
              <w:rPr>
                <w:rFonts w:ascii="Calibri" w:hAnsi="Calibri" w:eastAsia="Times New Roman" w:cs="Calibri"/>
                <w:sz w:val="18"/>
                <w:szCs w:val="18"/>
              </w:rPr>
            </w:pPr>
          </w:p>
        </w:tc>
      </w:tr>
    </w:tbl>
    <w:p w:rsidRPr="00E73A1E" w:rsidR="00B75C1A" w:rsidP="4FBC0E3E" w:rsidRDefault="00B75C1A" w14:paraId="1EBEB330" w14:textId="361A5F74">
      <w:pPr>
        <w:rPr>
          <w:noProof/>
          <w:lang w:val="en-US"/>
        </w:rPr>
      </w:pPr>
    </w:p>
    <w:p w:rsidRPr="00E73A1E" w:rsidR="00B75C1A" w:rsidP="00B75C1A" w:rsidRDefault="00B75C1A" w14:paraId="14ECFC53" w14:textId="77777777">
      <w:pPr>
        <w:rPr>
          <w:noProof/>
          <w:lang w:val="en-US"/>
        </w:rPr>
      </w:pPr>
    </w:p>
    <w:p w:rsidRPr="00E90099" w:rsidR="00B75C1A" w:rsidP="00B75C1A" w:rsidRDefault="00B75C1A" w14:paraId="6298C55B" w14:textId="50C88E8E"/>
    <w:p w:rsidR="00B75C1A" w:rsidP="00B75C1A" w:rsidRDefault="00B75C1A" w14:paraId="5395ABC3" w14:textId="3C9B6DDF">
      <w:pPr>
        <w:rPr>
          <w:rFonts w:ascii="Calibri" w:hAnsi="Calibri" w:eastAsia="Times New Roman" w:cs="Calibri"/>
          <w:b/>
        </w:rPr>
      </w:pPr>
    </w:p>
    <w:p w:rsidR="00E73A1E" w:rsidRDefault="00E73A1E" w14:paraId="10CD77D5" w14:textId="77777777">
      <w:pPr>
        <w:rPr>
          <w:rFonts w:ascii="Calibri" w:hAnsi="Calibri" w:eastAsia="Times New Roman" w:cs="Calibri"/>
          <w:b/>
        </w:rPr>
      </w:pPr>
      <w:r>
        <w:rPr>
          <w:rFonts w:ascii="Calibri" w:hAnsi="Calibri" w:eastAsia="Times New Roman" w:cs="Calibri"/>
          <w:b/>
        </w:rPr>
        <w:br w:type="page"/>
      </w:r>
    </w:p>
    <w:p w:rsidRPr="00E90099" w:rsidR="00E73A1E" w:rsidP="00B75C1A" w:rsidRDefault="00E73A1E" w14:paraId="31D2CE91" w14:textId="323C33B2">
      <w:pPr>
        <w:rPr>
          <w:rFonts w:ascii="Calibri" w:hAnsi="Calibri" w:eastAsia="Times New Roman" w:cs="Calibri"/>
          <w:b/>
        </w:rPr>
      </w:pPr>
      <w:r>
        <w:rPr>
          <w:rFonts w:ascii="Calibri" w:hAnsi="Calibri" w:eastAsia="Times New Roman" w:cs="Calibri"/>
          <w:b/>
        </w:rPr>
        <w:lastRenderedPageBreak/>
        <w:t>Colour Figure online, B&amp;W Figure in print:</w:t>
      </w:r>
    </w:p>
    <w:p w:rsidRPr="00E90099" w:rsidR="00040F5A" w:rsidP="00040F5A" w:rsidRDefault="00E73A1E" w14:paraId="51EF0B8F" w14:textId="2F2F7628">
      <w:pPr>
        <w:rPr>
          <w:rFonts w:ascii="Calibri" w:hAnsi="Calibri" w:eastAsia="Times New Roman" w:cs="Calibri"/>
          <w:b/>
          <w:bCs/>
        </w:rPr>
      </w:pPr>
      <w:r w:rsidRPr="4FBC0E3E">
        <w:rPr>
          <w:rFonts w:ascii="Calibri" w:hAnsi="Calibri" w:eastAsia="Times New Roman" w:cs="Calibri"/>
          <w:b/>
          <w:bCs/>
        </w:rPr>
        <w:t>Figure 3 –</w:t>
      </w:r>
      <w:r w:rsidRPr="4FBC0E3E">
        <w:rPr>
          <w:b/>
          <w:bCs/>
        </w:rPr>
        <w:t xml:space="preserve"> Observed 2020 mortality rate </w:t>
      </w:r>
      <w:r w:rsidRPr="4FBC0E3E">
        <w:rPr>
          <w:b/>
          <w:bCs/>
          <w:i/>
          <w:iCs/>
        </w:rPr>
        <w:t>versus</w:t>
      </w:r>
      <w:r w:rsidRPr="4FBC0E3E">
        <w:rPr>
          <w:b/>
          <w:bCs/>
        </w:rPr>
        <w:t xml:space="preserve"> 2015-2019 average mortality rate (per 100,000 population) and Stringency Index (</w:t>
      </w:r>
      <w:proofErr w:type="gramStart"/>
      <w:r w:rsidRPr="4FBC0E3E">
        <w:rPr>
          <w:b/>
          <w:bCs/>
        </w:rPr>
        <w:t>SI,%</w:t>
      </w:r>
      <w:proofErr w:type="gramEnd"/>
      <w:r w:rsidRPr="4FBC0E3E">
        <w:rPr>
          <w:b/>
          <w:bCs/>
        </w:rPr>
        <w:t xml:space="preserve">), </w:t>
      </w:r>
      <w:r w:rsidRPr="4FBC0E3E" w:rsidR="4FAF3C68">
        <w:rPr>
          <w:b/>
          <w:bCs/>
        </w:rPr>
        <w:t xml:space="preserve">for </w:t>
      </w:r>
      <w:r w:rsidR="00040F5A">
        <w:rPr>
          <w:b/>
          <w:bCs/>
        </w:rPr>
        <w:t xml:space="preserve">total population and by sex, for </w:t>
      </w:r>
      <w:r w:rsidRPr="4FBC0E3E" w:rsidR="00040F5A">
        <w:rPr>
          <w:rFonts w:ascii="Calibri" w:hAnsi="Calibri" w:eastAsia="Times New Roman" w:cs="Calibri"/>
          <w:b/>
          <w:bCs/>
        </w:rPr>
        <w:t xml:space="preserve">countries providing </w:t>
      </w:r>
      <w:r w:rsidR="00040F5A">
        <w:rPr>
          <w:rFonts w:ascii="Calibri" w:hAnsi="Calibri" w:eastAsia="Times New Roman" w:cs="Calibri"/>
          <w:b/>
          <w:bCs/>
        </w:rPr>
        <w:t>monthly</w:t>
      </w:r>
      <w:r w:rsidRPr="4FBC0E3E" w:rsidR="00040F5A">
        <w:rPr>
          <w:rFonts w:ascii="Calibri" w:hAnsi="Calibri" w:eastAsia="Times New Roman" w:cs="Calibri"/>
          <w:b/>
          <w:bCs/>
        </w:rPr>
        <w:t xml:space="preserve"> data (Solid vertical line indicates the start of the reported COVID-19 deaths)</w:t>
      </w:r>
    </w:p>
    <w:p w:rsidRPr="00E90099" w:rsidR="00E73A1E" w:rsidP="4FBC0E3E" w:rsidRDefault="00E73A1E" w14:paraId="6C4067C7" w14:textId="3797B96B">
      <w:pPr>
        <w:rPr>
          <w:rFonts w:ascii="Calibri" w:hAnsi="Calibri" w:eastAsia="Times New Roman" w:cs="Calibri"/>
          <w:b/>
          <w:bCs/>
        </w:rPr>
      </w:pPr>
    </w:p>
    <w:tbl>
      <w:tblPr>
        <w:tblStyle w:val="TableGrid"/>
        <w:tblW w:w="0" w:type="auto"/>
        <w:tblLook w:val="04A0" w:firstRow="1" w:lastRow="0" w:firstColumn="1" w:lastColumn="0" w:noHBand="0" w:noVBand="1"/>
      </w:tblPr>
      <w:tblGrid>
        <w:gridCol w:w="2340"/>
        <w:gridCol w:w="2880"/>
        <w:gridCol w:w="2610"/>
      </w:tblGrid>
      <w:tr w:rsidR="4FBC0E3E" w:rsidTr="48EBC408" w14:paraId="39983C46" w14:textId="77777777">
        <w:tc>
          <w:tcPr>
            <w:tcW w:w="2340" w:type="dxa"/>
            <w:tcMar/>
          </w:tcPr>
          <w:p w:rsidR="4FBC0E3E" w:rsidP="4FBC0E3E" w:rsidRDefault="4FBC0E3E" w14:paraId="13243FE0"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2020 Mortality rate</w:t>
            </w:r>
          </w:p>
        </w:tc>
        <w:tc>
          <w:tcPr>
            <w:tcW w:w="2880" w:type="dxa"/>
            <w:tcMar/>
          </w:tcPr>
          <w:p w:rsidR="4FBC0E3E" w:rsidP="4FBC0E3E" w:rsidRDefault="4FBC0E3E" w14:paraId="3AA974B8"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2015-2019 Mortality rate average</w:t>
            </w:r>
          </w:p>
        </w:tc>
        <w:tc>
          <w:tcPr>
            <w:tcW w:w="2610" w:type="dxa"/>
            <w:tcMar/>
          </w:tcPr>
          <w:p w:rsidR="4FBC0E3E" w:rsidP="4FBC0E3E" w:rsidRDefault="4FBC0E3E" w14:paraId="54B48B95" w14:textId="77777777">
            <w:pPr>
              <w:jc w:val="center"/>
              <w:rPr>
                <w:rFonts w:ascii="Calibri" w:hAnsi="Calibri" w:eastAsia="Times New Roman" w:cs="Calibri"/>
                <w:sz w:val="18"/>
                <w:szCs w:val="18"/>
              </w:rPr>
            </w:pPr>
            <w:r w:rsidRPr="4FBC0E3E">
              <w:rPr>
                <w:rFonts w:ascii="Calibri" w:hAnsi="Calibri" w:eastAsia="Times New Roman" w:cs="Calibri"/>
                <w:sz w:val="18"/>
                <w:szCs w:val="18"/>
              </w:rPr>
              <w:t>2015-2019 Mortality rate range</w:t>
            </w:r>
          </w:p>
        </w:tc>
      </w:tr>
      <w:tr w:rsidR="4FBC0E3E" w:rsidTr="48EBC408" w14:paraId="38AFCB42" w14:textId="77777777">
        <w:trPr>
          <w:trHeight w:val="89"/>
        </w:trPr>
        <w:tc>
          <w:tcPr>
            <w:tcW w:w="2340" w:type="dxa"/>
            <w:tcMar/>
          </w:tcPr>
          <w:p w:rsidR="4FBC0E3E" w:rsidP="4FBC0E3E" w:rsidRDefault="4FBC0E3E" w14:paraId="53EF608C" w14:textId="1E3D8F71">
            <w:pPr>
              <w:jc w:val="center"/>
              <w:rPr>
                <w:rFonts w:ascii="Calibri" w:hAnsi="Calibri" w:eastAsia="Times New Roman" w:cs="Calibri"/>
                <w:sz w:val="18"/>
                <w:szCs w:val="18"/>
              </w:rPr>
            </w:pPr>
            <w:r>
              <w:rPr>
                <w:noProof/>
                <w:lang w:val="en-US"/>
              </w:rPr>
              <mc:AlternateContent>
                <mc:Choice Requires="wps">
                  <w:drawing>
                    <wp:inline distT="0" distB="0" distL="114300" distR="114300" wp14:anchorId="00E884A1" wp14:editId="4D2EECF4">
                      <wp:extent cx="609600" cy="0"/>
                      <wp:effectExtent l="0" t="0" r="19050" b="19050"/>
                      <wp:docPr id="805173501" name="Straight Connector 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01A93224">
                    <v:line id="Straight Connector 7"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5pt" from="0,0" to="48pt,0" w14:anchorId="65B8C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">
                      <v:stroke joinstyle="miter"/>
                      <w10:anchorlock/>
                    </v:line>
                  </w:pict>
                </mc:Fallback>
              </mc:AlternateContent>
            </w:r>
          </w:p>
        </w:tc>
        <w:tc>
          <w:tcPr>
            <w:tcW w:w="2880" w:type="dxa"/>
            <w:tcMar/>
          </w:tcPr>
          <w:p w:rsidR="4FBC0E3E" w:rsidP="4FBC0E3E" w:rsidRDefault="4FBC0E3E" w14:paraId="435CB2FB" w14:textId="12E51B4C">
            <w:pPr>
              <w:jc w:val="center"/>
              <w:rPr>
                <w:rFonts w:ascii="Calibri" w:hAnsi="Calibri" w:eastAsia="Times New Roman" w:cs="Calibri"/>
                <w:sz w:val="18"/>
                <w:szCs w:val="18"/>
              </w:rPr>
            </w:pPr>
            <w:r>
              <w:rPr>
                <w:noProof/>
                <w:lang w:val="en-US"/>
              </w:rPr>
              <mc:AlternateContent>
                <mc:Choice Requires="wps">
                  <w:drawing>
                    <wp:inline distT="0" distB="0" distL="114300" distR="114300" wp14:anchorId="56B64971" wp14:editId="07ECFC8A">
                      <wp:extent cx="609600" cy="0"/>
                      <wp:effectExtent l="0" t="0" r="0" b="19050"/>
                      <wp:docPr id="1021782521" name="Straight Connector 8"/>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50000"/>
                                    <a:lumOff val="50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w14:anchorId="75DFCFC5">
                    <v:line id="Straight Connector 8" style="visibility:visible;mso-wrap-style:square;mso-left-percent:-10001;mso-top-percent:-10001;mso-position-horizontal:absolute;mso-position-horizontal-relative:char;mso-position-vertical:absolute;mso-position-vertical-relative:line;mso-left-percent:-10001;mso-top-percent:-10001" o:spid="_x0000_s1026" strokecolor="gray [1629]" strokeweight=".5pt" from="0,0" to="48pt,0" w14:anchorId="3CEF6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">
                      <v:stroke joinstyle="miter" dashstyle="longDash"/>
                      <w10:anchorlock/>
                    </v:line>
                  </w:pict>
                </mc:Fallback>
              </mc:AlternateContent>
            </w:r>
          </w:p>
        </w:tc>
        <w:tc>
          <w:tcPr>
            <w:tcW w:w="2610" w:type="dxa"/>
            <w:tcMar/>
          </w:tcPr>
          <w:p w:rsidR="4FBC0E3E" w:rsidP="4FBC0E3E" w:rsidRDefault="4FBC0E3E" w14:paraId="071D165D" w14:textId="77777777">
            <w:pPr>
              <w:jc w:val="center"/>
              <w:rPr>
                <w:rFonts w:ascii="Calibri" w:hAnsi="Calibri" w:eastAsia="Times New Roman" w:cs="Calibri"/>
                <w:sz w:val="18"/>
                <w:szCs w:val="18"/>
              </w:rPr>
            </w:pPr>
            <w:r>
              <w:drawing>
                <wp:inline wp14:editId="49136B97" wp14:anchorId="0F5E26EA">
                  <wp:extent cx="551593" cy="85411"/>
                  <wp:effectExtent l="0" t="0" r="1270" b="0"/>
                  <wp:docPr id="1774327670" name="Picture 1" title=""/>
                  <wp:cNvGraphicFramePr>
                    <a:graphicFrameLocks noChangeAspect="1"/>
                  </wp:cNvGraphicFramePr>
                  <a:graphic>
                    <a:graphicData uri="http://schemas.openxmlformats.org/drawingml/2006/picture">
                      <pic:pic>
                        <pic:nvPicPr>
                          <pic:cNvPr id="0" name="Picture 1"/>
                          <pic:cNvPicPr/>
                        </pic:nvPicPr>
                        <pic:blipFill>
                          <a:blip r:embed="Rb11d7d7fe23c4b4e">
                            <a:extLst xmlns:a="http://schemas.openxmlformats.org/drawingml/2006/main">
                              <a:ext uri="{BEBA8EAE-BF5A-486C-A8C5-ECC9F3942E4B}">
                                <a14:imgProps xmlns:a14="http://schemas.microsoft.com/office/drawing/2010/main">
                                  <a14:imgLayer xmlns:r="http://schemas.openxmlformats.org/officeDocument/2006/relationships" r:embed="rId12">
                                    <a14:imgEffect>
                                      <a14:saturation sat="0"/>
                                    </a14:imgEffect>
                                  </a14:imgLayer>
                                </a14:imgProps>
                              </a:ext>
                            </a:extLst>
                          </a:blip>
                          <a:srcRect l="53135" t="38649" r="42614" b="59480"/>
                          <a:stretch>
                            <a:fillRect/>
                          </a:stretch>
                        </pic:blipFill>
                        <pic:spPr>
                          <a:xfrm rot="0" flipH="0" flipV="0">
                            <a:off x="0" y="0"/>
                            <a:ext cx="551593" cy="85411"/>
                          </a:xfrm>
                          <a:prstGeom prst="rect">
                            <a:avLst/>
                          </a:prstGeom>
                        </pic:spPr>
                      </pic:pic>
                    </a:graphicData>
                  </a:graphic>
                </wp:inline>
              </w:drawing>
            </w:r>
          </w:p>
          <w:p w:rsidR="4FBC0E3E" w:rsidP="4FBC0E3E" w:rsidRDefault="4FBC0E3E" w14:paraId="1C8D6B89" w14:textId="77777777">
            <w:pPr>
              <w:jc w:val="center"/>
              <w:rPr>
                <w:rFonts w:ascii="Calibri" w:hAnsi="Calibri" w:eastAsia="Times New Roman" w:cs="Calibri"/>
                <w:sz w:val="18"/>
                <w:szCs w:val="18"/>
              </w:rPr>
            </w:pPr>
          </w:p>
        </w:tc>
      </w:tr>
    </w:tbl>
    <w:p w:rsidR="4FBC0E3E" w:rsidP="4FBC0E3E" w:rsidRDefault="4FBC0E3E" w14:paraId="442ED070" w14:textId="1EBFDFB2"/>
    <w:p w:rsidR="4FBC0E3E" w:rsidRDefault="4FBC0E3E" w14:paraId="123AF9ED" w14:textId="189B8E86"/>
    <w:p w:rsidRPr="00E90099" w:rsidR="00B75C1A" w:rsidP="00B75C1A" w:rsidRDefault="00B75C1A" w14:paraId="2FEB2850" w14:textId="77777777">
      <w:pPr>
        <w:rPr>
          <w:rFonts w:ascii="Calibri" w:hAnsi="Calibri" w:eastAsia="Times New Roman" w:cs="Calibri"/>
          <w:b/>
        </w:rPr>
      </w:pPr>
    </w:p>
    <w:p w:rsidR="00B75C1A" w:rsidRDefault="00B75C1A" w14:paraId="6129D21E" w14:textId="77777777">
      <w:pPr>
        <w:rPr>
          <w:rFonts w:ascii="Calibri" w:hAnsi="Calibri" w:eastAsia="Times New Roman" w:cs="Calibri"/>
          <w:b/>
        </w:rPr>
      </w:pPr>
      <w:r>
        <w:rPr>
          <w:rFonts w:ascii="Calibri" w:hAnsi="Calibri" w:eastAsia="Times New Roman" w:cs="Calibri"/>
          <w:b/>
        </w:rPr>
        <w:br w:type="page"/>
      </w:r>
    </w:p>
    <w:p w:rsidR="00E73A1E" w:rsidP="00E73A1E" w:rsidRDefault="00E73A1E" w14:paraId="095D0CC1" w14:textId="77777777">
      <w:pPr>
        <w:rPr>
          <w:rFonts w:ascii="Calibri" w:hAnsi="Calibri" w:eastAsia="Times New Roman" w:cs="Calibri"/>
          <w:b/>
        </w:rPr>
      </w:pPr>
      <w:r>
        <w:rPr>
          <w:rFonts w:ascii="Calibri" w:hAnsi="Calibri" w:eastAsia="Times New Roman" w:cs="Calibri"/>
          <w:b/>
        </w:rPr>
        <w:lastRenderedPageBreak/>
        <w:t>Colour Figure online, B&amp;W Figure in print:</w:t>
      </w:r>
    </w:p>
    <w:p w:rsidRPr="00E90099" w:rsidR="00B75C1A" w:rsidP="00B75C1A" w:rsidRDefault="00B75C1A" w14:paraId="6B76620C" w14:textId="752625D0">
      <w:pPr>
        <w:rPr>
          <w:rFonts w:ascii="Calibri" w:hAnsi="Calibri" w:eastAsia="Times New Roman" w:cs="Calibri"/>
          <w:b/>
        </w:rPr>
      </w:pPr>
      <w:r w:rsidRPr="00E90099">
        <w:rPr>
          <w:rFonts w:ascii="Calibri" w:hAnsi="Calibri" w:eastAsia="Times New Roman" w:cs="Calibri"/>
          <w:b/>
        </w:rPr>
        <w:t xml:space="preserve">Figure </w:t>
      </w:r>
      <w:r w:rsidR="00E73A1E">
        <w:rPr>
          <w:rFonts w:ascii="Calibri" w:hAnsi="Calibri" w:eastAsia="Times New Roman" w:cs="Calibri"/>
          <w:b/>
        </w:rPr>
        <w:t>4</w:t>
      </w:r>
      <w:r w:rsidRPr="00E90099" w:rsidR="00E73A1E">
        <w:rPr>
          <w:rFonts w:ascii="Calibri" w:hAnsi="Calibri" w:eastAsia="Times New Roman" w:cs="Calibri"/>
          <w:b/>
        </w:rPr>
        <w:t xml:space="preserve"> </w:t>
      </w:r>
      <w:r w:rsidRPr="00E90099">
        <w:rPr>
          <w:rFonts w:ascii="Calibri" w:hAnsi="Calibri" w:eastAsia="Times New Roman" w:cs="Calibri"/>
          <w:b/>
        </w:rPr>
        <w:t xml:space="preserve">– Observed (z-score) </w:t>
      </w:r>
      <w:r w:rsidRPr="00E90099">
        <w:rPr>
          <w:rFonts w:ascii="Calibri" w:hAnsi="Calibri" w:eastAsia="Times New Roman" w:cs="Calibri"/>
          <w:b/>
          <w:i/>
        </w:rPr>
        <w:t>versus</w:t>
      </w:r>
      <w:r w:rsidRPr="00E90099">
        <w:rPr>
          <w:rFonts w:ascii="Calibri" w:hAnsi="Calibri" w:eastAsia="Times New Roman" w:cs="Calibri"/>
          <w:b/>
        </w:rPr>
        <w:t xml:space="preserve"> Expected (baseline) deaths </w:t>
      </w:r>
    </w:p>
    <w:tbl>
      <w:tblPr>
        <w:tblStyle w:val="TableGrid"/>
        <w:tblpPr w:leftFromText="180" w:rightFromText="180" w:vertAnchor="text" w:horzAnchor="margin" w:tblpXSpec="center" w:tblpY="17"/>
        <w:tblW w:w="0" w:type="auto"/>
        <w:tblLook w:val="04A0" w:firstRow="1" w:lastRow="0" w:firstColumn="1" w:lastColumn="0" w:noHBand="0" w:noVBand="1"/>
      </w:tblPr>
      <w:tblGrid>
        <w:gridCol w:w="1359"/>
        <w:gridCol w:w="1715"/>
        <w:gridCol w:w="1745"/>
        <w:gridCol w:w="1254"/>
      </w:tblGrid>
      <w:tr w:rsidRPr="00E90099" w:rsidR="00B75C1A" w:rsidTr="48EBC408" w14:paraId="506C85ED" w14:textId="77777777">
        <w:tc>
          <w:tcPr>
            <w:tcW w:w="1359" w:type="dxa"/>
            <w:tcMar/>
          </w:tcPr>
          <w:p w:rsidRPr="00E90099" w:rsidR="00B75C1A" w:rsidP="006379C6" w:rsidRDefault="00B75C1A" w14:paraId="379C5029" w14:textId="77777777">
            <w:pPr>
              <w:jc w:val="center"/>
              <w:rPr>
                <w:rFonts w:ascii="Calibri" w:hAnsi="Calibri" w:eastAsia="Times New Roman" w:cs="Calibri"/>
                <w:sz w:val="18"/>
                <w:szCs w:val="18"/>
              </w:rPr>
            </w:pPr>
            <w:r w:rsidRPr="00E90099">
              <w:rPr>
                <w:rFonts w:ascii="Calibri" w:hAnsi="Calibri" w:eastAsia="Times New Roman" w:cs="Calibri"/>
                <w:sz w:val="18"/>
                <w:szCs w:val="18"/>
              </w:rPr>
              <w:t>Z-score</w:t>
            </w:r>
          </w:p>
        </w:tc>
        <w:tc>
          <w:tcPr>
            <w:tcW w:w="1715" w:type="dxa"/>
            <w:tcMar/>
          </w:tcPr>
          <w:p w:rsidRPr="00E90099" w:rsidR="00B75C1A" w:rsidP="006379C6" w:rsidRDefault="00B75C1A" w14:paraId="02BBFAA8" w14:textId="77777777">
            <w:pPr>
              <w:jc w:val="center"/>
              <w:rPr>
                <w:rFonts w:ascii="Calibri" w:hAnsi="Calibri" w:eastAsia="Times New Roman" w:cs="Calibri"/>
                <w:sz w:val="18"/>
                <w:szCs w:val="18"/>
              </w:rPr>
            </w:pPr>
            <w:r w:rsidRPr="00E90099">
              <w:rPr>
                <w:rFonts w:ascii="Calibri" w:hAnsi="Calibri" w:eastAsia="Times New Roman" w:cs="Calibri"/>
                <w:sz w:val="18"/>
                <w:szCs w:val="18"/>
              </w:rPr>
              <w:t>Baseline</w:t>
            </w:r>
          </w:p>
        </w:tc>
        <w:tc>
          <w:tcPr>
            <w:tcW w:w="1745" w:type="dxa"/>
            <w:tcMar/>
          </w:tcPr>
          <w:p w:rsidRPr="00E90099" w:rsidR="00B75C1A" w:rsidP="006379C6" w:rsidRDefault="00B75C1A" w14:paraId="008BB6A2" w14:textId="77777777">
            <w:pPr>
              <w:jc w:val="center"/>
              <w:rPr>
                <w:rFonts w:ascii="Calibri" w:hAnsi="Calibri" w:eastAsia="Times New Roman" w:cs="Calibri"/>
                <w:sz w:val="18"/>
                <w:szCs w:val="18"/>
              </w:rPr>
            </w:pPr>
            <w:r w:rsidRPr="00E90099">
              <w:rPr>
                <w:rFonts w:ascii="Calibri" w:hAnsi="Calibri" w:eastAsia="Times New Roman" w:cs="Calibri"/>
                <w:sz w:val="18"/>
                <w:szCs w:val="18"/>
              </w:rPr>
              <w:t>-2 &lt; Z-score &lt; 2</w:t>
            </w:r>
          </w:p>
        </w:tc>
        <w:tc>
          <w:tcPr>
            <w:tcW w:w="1254" w:type="dxa"/>
            <w:tcMar/>
          </w:tcPr>
          <w:p w:rsidRPr="00E90099" w:rsidR="00B75C1A" w:rsidP="006379C6" w:rsidRDefault="00B75C1A" w14:paraId="0AEA0FCB" w14:textId="77777777">
            <w:pPr>
              <w:jc w:val="center"/>
              <w:rPr>
                <w:rFonts w:ascii="Calibri" w:hAnsi="Calibri" w:eastAsia="Times New Roman" w:cs="Calibri"/>
                <w:sz w:val="18"/>
                <w:szCs w:val="18"/>
              </w:rPr>
            </w:pPr>
            <w:r w:rsidRPr="00E90099">
              <w:rPr>
                <w:rFonts w:ascii="Calibri" w:hAnsi="Calibri" w:eastAsia="Times New Roman" w:cs="Calibri"/>
                <w:sz w:val="18"/>
                <w:szCs w:val="18"/>
              </w:rPr>
              <w:t>Z-score &gt; 4</w:t>
            </w:r>
          </w:p>
        </w:tc>
      </w:tr>
      <w:tr w:rsidRPr="00E90099" w:rsidR="00B75C1A" w:rsidTr="48EBC408" w14:paraId="79085732" w14:textId="77777777">
        <w:trPr>
          <w:trHeight w:val="89"/>
        </w:trPr>
        <w:tc>
          <w:tcPr>
            <w:tcW w:w="1359" w:type="dxa"/>
            <w:tcMar/>
          </w:tcPr>
          <w:p w:rsidRPr="00E90099" w:rsidR="00B75C1A" w:rsidP="006379C6" w:rsidRDefault="00B75C1A" w14:paraId="6E5AC219"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58242" behindDoc="0" locked="0" layoutInCell="1" allowOverlap="1" wp14:anchorId="453006F8" wp14:editId="5E8825DE">
                      <wp:simplePos x="0" y="0"/>
                      <wp:positionH relativeFrom="column">
                        <wp:posOffset>68018</wp:posOffset>
                      </wp:positionH>
                      <wp:positionV relativeFrom="paragraph">
                        <wp:posOffset>89517</wp:posOffset>
                      </wp:positionV>
                      <wp:extent cx="609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22C8C8D">
                    <v:line id="Straight Connector 1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35pt,7.05pt" to="53.35pt,7.05pt" w14:anchorId="57F04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BhzQEAAAQ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">
                      <v:stroke joinstyle="miter"/>
                    </v:line>
                  </w:pict>
                </mc:Fallback>
              </mc:AlternateContent>
            </w:r>
          </w:p>
        </w:tc>
        <w:tc>
          <w:tcPr>
            <w:tcW w:w="1715" w:type="dxa"/>
            <w:tcMar/>
          </w:tcPr>
          <w:p w:rsidRPr="00E90099" w:rsidR="00B75C1A" w:rsidP="006379C6" w:rsidRDefault="00B75C1A" w14:paraId="2AD525CE"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58243" behindDoc="0" locked="0" layoutInCell="1" allowOverlap="1" wp14:anchorId="2821A452" wp14:editId="2DA99C21">
                      <wp:simplePos x="0" y="0"/>
                      <wp:positionH relativeFrom="column">
                        <wp:posOffset>158724</wp:posOffset>
                      </wp:positionH>
                      <wp:positionV relativeFrom="paragraph">
                        <wp:posOffset>75807</wp:posOffset>
                      </wp:positionV>
                      <wp:extent cx="609600"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50000"/>
                                    <a:lumOff val="50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62725F8">
                    <v:line id="Straight Connector 12"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5pt" from="12.5pt,5.95pt" to="60.5pt,5.95pt" w14:anchorId="0CEA1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">
                      <v:stroke joinstyle="miter" dashstyle="longDash"/>
                    </v:line>
                  </w:pict>
                </mc:Fallback>
              </mc:AlternateContent>
            </w:r>
          </w:p>
        </w:tc>
        <w:tc>
          <w:tcPr>
            <w:tcW w:w="1745" w:type="dxa"/>
            <w:tcMar/>
          </w:tcPr>
          <w:p w:rsidRPr="00E90099" w:rsidR="00B75C1A" w:rsidP="006379C6" w:rsidRDefault="00B75C1A" w14:paraId="4E1818E4" w14:textId="77777777">
            <w:pPr>
              <w:jc w:val="center"/>
              <w:rPr>
                <w:rFonts w:ascii="Calibri" w:hAnsi="Calibri" w:eastAsia="Times New Roman" w:cs="Calibri"/>
                <w:sz w:val="18"/>
                <w:szCs w:val="18"/>
              </w:rPr>
            </w:pPr>
            <w:r w:rsidRPr="00E90099">
              <w:rPr>
                <w:noProof/>
                <w:lang w:val="en-US"/>
              </w:rPr>
              <w:drawing>
                <wp:inline distT="0" distB="0" distL="0" distR="0" wp14:anchorId="5ED77C9F" wp14:editId="2384AF44">
                  <wp:extent cx="551593" cy="85411"/>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l="53135" t="38649" r="42614" b="59480"/>
                          <a:stretch/>
                        </pic:blipFill>
                        <pic:spPr bwMode="auto">
                          <a:xfrm>
                            <a:off x="0" y="0"/>
                            <a:ext cx="585380" cy="90643"/>
                          </a:xfrm>
                          <a:prstGeom prst="rect">
                            <a:avLst/>
                          </a:prstGeom>
                          <a:ln>
                            <a:noFill/>
                          </a:ln>
                          <a:extLst>
                            <a:ext uri="{53640926-AAD7-44D8-BBD7-CCE9431645EC}">
                              <a14:shadowObscured xmlns:a14="http://schemas.microsoft.com/office/drawing/2010/main"/>
                            </a:ext>
                          </a:extLst>
                        </pic:spPr>
                      </pic:pic>
                    </a:graphicData>
                  </a:graphic>
                </wp:inline>
              </w:drawing>
            </w:r>
          </w:p>
        </w:tc>
        <w:tc>
          <w:tcPr>
            <w:tcW w:w="1254" w:type="dxa"/>
            <w:tcMar/>
          </w:tcPr>
          <w:p w:rsidRPr="000506F1" w:rsidR="00B75C1A" w:rsidP="4FBC0E3E" w:rsidRDefault="00B75C1A" w14:paraId="0D7FC07E" w14:textId="77777777">
            <w:pPr>
              <w:jc w:val="center"/>
              <w:rPr>
                <w:noProof/>
                <w:color w:val="C00000"/>
                <w:lang w:val="en-US"/>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58244" behindDoc="0" locked="0" layoutInCell="1" allowOverlap="1" wp14:anchorId="7D3F9F53" wp14:editId="0631BFB2">
                      <wp:simplePos x="0" y="0"/>
                      <wp:positionH relativeFrom="column">
                        <wp:posOffset>13933</wp:posOffset>
                      </wp:positionH>
                      <wp:positionV relativeFrom="paragraph">
                        <wp:posOffset>89367</wp:posOffset>
                      </wp:positionV>
                      <wp:extent cx="609600"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7C93626">
                    <v:line id="Straight Connector 14"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1pt,7.05pt" to="49.1pt,7.05pt" w14:anchorId="160DC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">
                      <v:stroke joinstyle="miter" dashstyle="longDash"/>
                    </v:line>
                  </w:pict>
                </mc:Fallback>
              </mc:AlternateContent>
            </w:r>
          </w:p>
        </w:tc>
      </w:tr>
    </w:tbl>
    <w:p w:rsidRPr="00E90099" w:rsidR="00B75C1A" w:rsidP="00B75C1A" w:rsidRDefault="00B75C1A" w14:paraId="5006068F" w14:textId="77777777">
      <w:pPr>
        <w:rPr>
          <w:rFonts w:ascii="Calibri" w:hAnsi="Calibri" w:eastAsia="Times New Roman" w:cs="Calibri"/>
          <w:b/>
        </w:rPr>
      </w:pPr>
    </w:p>
    <w:p w:rsidRPr="00E90099" w:rsidR="00B75C1A" w:rsidP="00B75C1A" w:rsidRDefault="00B75C1A" w14:paraId="12367D49" w14:textId="77777777">
      <w:pPr>
        <w:rPr>
          <w:rFonts w:ascii="Calibri" w:hAnsi="Calibri" w:eastAsia="Times New Roman" w:cs="Calibri"/>
          <w:b/>
        </w:rPr>
      </w:pPr>
    </w:p>
    <w:p w:rsidRPr="00E90099" w:rsidR="00B75C1A" w:rsidP="00B75C1A" w:rsidRDefault="00B75C1A" w14:paraId="4F710B1F" w14:textId="5A6CAC41">
      <w:pPr>
        <w:rPr>
          <w:rFonts w:ascii="Calibri" w:hAnsi="Calibri" w:eastAsia="Times New Roman" w:cs="Calibri"/>
          <w:b/>
        </w:rPr>
      </w:pPr>
    </w:p>
    <w:p w:rsidR="00940721" w:rsidRDefault="00940721" w14:paraId="50F52C50" w14:textId="77777777">
      <w:pPr>
        <w:rPr>
          <w:rFonts w:ascii="Calibri" w:hAnsi="Calibri" w:eastAsia="Times New Roman" w:cs="Calibri"/>
          <w:b/>
        </w:rPr>
      </w:pPr>
      <w:r>
        <w:rPr>
          <w:rFonts w:ascii="Calibri" w:hAnsi="Calibri" w:eastAsia="Times New Roman" w:cs="Calibri"/>
          <w:b/>
        </w:rPr>
        <w:br w:type="page"/>
      </w:r>
    </w:p>
    <w:p w:rsidR="00E73A1E" w:rsidP="00E73A1E" w:rsidRDefault="00E73A1E" w14:paraId="136CE826" w14:textId="77777777">
      <w:pPr>
        <w:rPr>
          <w:rFonts w:ascii="Calibri" w:hAnsi="Calibri" w:eastAsia="Times New Roman" w:cs="Calibri"/>
          <w:b/>
        </w:rPr>
      </w:pPr>
      <w:r>
        <w:rPr>
          <w:rFonts w:ascii="Calibri" w:hAnsi="Calibri" w:eastAsia="Times New Roman" w:cs="Calibri"/>
          <w:b/>
        </w:rPr>
        <w:lastRenderedPageBreak/>
        <w:t>Colour Figure online, B&amp;W Figure in print:</w:t>
      </w:r>
    </w:p>
    <w:p w:rsidR="00B75C1A" w:rsidP="5E0CCDD2" w:rsidRDefault="00B75C1A" w14:paraId="3EC4878B" w14:textId="3E212A30">
      <w:pPr>
        <w:rPr>
          <w:rFonts w:ascii="Calibri" w:hAnsi="Calibri" w:eastAsia="Times New Roman" w:cs="Calibri"/>
          <w:b/>
          <w:bCs/>
        </w:rPr>
      </w:pPr>
      <w:r w:rsidRPr="4FBC0E3E">
        <w:rPr>
          <w:rFonts w:ascii="Calibri" w:hAnsi="Calibri" w:eastAsia="Times New Roman" w:cs="Calibri"/>
          <w:b/>
          <w:bCs/>
        </w:rPr>
        <w:t xml:space="preserve">Figure </w:t>
      </w:r>
      <w:r w:rsidRPr="4FBC0E3E" w:rsidR="00E73A1E">
        <w:rPr>
          <w:rFonts w:ascii="Calibri" w:hAnsi="Calibri" w:eastAsia="Times New Roman" w:cs="Calibri"/>
          <w:b/>
          <w:bCs/>
        </w:rPr>
        <w:t xml:space="preserve">5 </w:t>
      </w:r>
      <w:r w:rsidRPr="4FBC0E3E">
        <w:rPr>
          <w:rFonts w:ascii="Calibri" w:hAnsi="Calibri" w:eastAsia="Times New Roman" w:cs="Calibri"/>
          <w:b/>
          <w:bCs/>
        </w:rPr>
        <w:t xml:space="preserve">– Observed (z-score) </w:t>
      </w:r>
      <w:r w:rsidRPr="4FBC0E3E">
        <w:rPr>
          <w:rFonts w:ascii="Calibri" w:hAnsi="Calibri" w:eastAsia="Times New Roman" w:cs="Calibri"/>
          <w:b/>
          <w:bCs/>
          <w:i/>
          <w:iCs/>
        </w:rPr>
        <w:t>versus</w:t>
      </w:r>
      <w:r w:rsidRPr="4FBC0E3E">
        <w:rPr>
          <w:rFonts w:ascii="Calibri" w:hAnsi="Calibri" w:eastAsia="Times New Roman" w:cs="Calibri"/>
          <w:b/>
          <w:bCs/>
        </w:rPr>
        <w:t xml:space="preserve"> Expected (baseline) deaths by </w:t>
      </w:r>
      <w:r w:rsidRPr="4FBC0E3E" w:rsidR="073141D4">
        <w:rPr>
          <w:rFonts w:ascii="Calibri" w:hAnsi="Calibri" w:eastAsia="Times New Roman" w:cs="Calibri"/>
          <w:b/>
          <w:bCs/>
        </w:rPr>
        <w:t>sex</w:t>
      </w:r>
    </w:p>
    <w:p w:rsidR="00040F5A" w:rsidP="5E0CCDD2" w:rsidRDefault="00040F5A" w14:paraId="195C511A" w14:textId="60FAE04E">
      <w:pPr>
        <w:rPr>
          <w:rFonts w:ascii="Calibri" w:hAnsi="Calibri" w:eastAsia="Times New Roman" w:cs="Calibri"/>
          <w:b/>
          <w:bCs/>
        </w:rPr>
      </w:pPr>
    </w:p>
    <w:tbl>
      <w:tblPr>
        <w:tblStyle w:val="TableGrid"/>
        <w:tblpPr w:leftFromText="180" w:rightFromText="180" w:vertAnchor="text" w:horzAnchor="margin" w:tblpXSpec="center" w:tblpY="17"/>
        <w:tblW w:w="0" w:type="auto"/>
        <w:tblLook w:val="04A0" w:firstRow="1" w:lastRow="0" w:firstColumn="1" w:lastColumn="0" w:noHBand="0" w:noVBand="1"/>
      </w:tblPr>
      <w:tblGrid>
        <w:gridCol w:w="1359"/>
        <w:gridCol w:w="1715"/>
        <w:gridCol w:w="1745"/>
        <w:gridCol w:w="1254"/>
      </w:tblGrid>
      <w:tr w:rsidRPr="00E90099" w:rsidR="00040F5A" w:rsidTr="48EBC408" w14:paraId="5488D48E" w14:textId="77777777">
        <w:tc>
          <w:tcPr>
            <w:tcW w:w="1359" w:type="dxa"/>
            <w:tcMar/>
          </w:tcPr>
          <w:p w:rsidRPr="00E90099" w:rsidR="00040F5A" w:rsidP="00A667B4" w:rsidRDefault="00040F5A" w14:paraId="41F42092" w14:textId="77777777">
            <w:pPr>
              <w:jc w:val="center"/>
              <w:rPr>
                <w:rFonts w:ascii="Calibri" w:hAnsi="Calibri" w:eastAsia="Times New Roman" w:cs="Calibri"/>
                <w:sz w:val="18"/>
                <w:szCs w:val="18"/>
              </w:rPr>
            </w:pPr>
            <w:r w:rsidRPr="00E90099">
              <w:rPr>
                <w:rFonts w:ascii="Calibri" w:hAnsi="Calibri" w:eastAsia="Times New Roman" w:cs="Calibri"/>
                <w:sz w:val="18"/>
                <w:szCs w:val="18"/>
              </w:rPr>
              <w:t>Z-score</w:t>
            </w:r>
          </w:p>
        </w:tc>
        <w:tc>
          <w:tcPr>
            <w:tcW w:w="1715" w:type="dxa"/>
            <w:tcMar/>
          </w:tcPr>
          <w:p w:rsidRPr="00E90099" w:rsidR="00040F5A" w:rsidP="00A667B4" w:rsidRDefault="00040F5A" w14:paraId="4D9264B1" w14:textId="77777777">
            <w:pPr>
              <w:jc w:val="center"/>
              <w:rPr>
                <w:rFonts w:ascii="Calibri" w:hAnsi="Calibri" w:eastAsia="Times New Roman" w:cs="Calibri"/>
                <w:sz w:val="18"/>
                <w:szCs w:val="18"/>
              </w:rPr>
            </w:pPr>
            <w:r w:rsidRPr="00E90099">
              <w:rPr>
                <w:rFonts w:ascii="Calibri" w:hAnsi="Calibri" w:eastAsia="Times New Roman" w:cs="Calibri"/>
                <w:sz w:val="18"/>
                <w:szCs w:val="18"/>
              </w:rPr>
              <w:t>Baseline</w:t>
            </w:r>
          </w:p>
        </w:tc>
        <w:tc>
          <w:tcPr>
            <w:tcW w:w="1745" w:type="dxa"/>
            <w:tcMar/>
          </w:tcPr>
          <w:p w:rsidRPr="00E90099" w:rsidR="00040F5A" w:rsidP="00A667B4" w:rsidRDefault="00040F5A" w14:paraId="042DCA79" w14:textId="77777777">
            <w:pPr>
              <w:jc w:val="center"/>
              <w:rPr>
                <w:rFonts w:ascii="Calibri" w:hAnsi="Calibri" w:eastAsia="Times New Roman" w:cs="Calibri"/>
                <w:sz w:val="18"/>
                <w:szCs w:val="18"/>
              </w:rPr>
            </w:pPr>
            <w:r w:rsidRPr="00E90099">
              <w:rPr>
                <w:rFonts w:ascii="Calibri" w:hAnsi="Calibri" w:eastAsia="Times New Roman" w:cs="Calibri"/>
                <w:sz w:val="18"/>
                <w:szCs w:val="18"/>
              </w:rPr>
              <w:t>-2 &lt; Z-score &lt; 2</w:t>
            </w:r>
          </w:p>
        </w:tc>
        <w:tc>
          <w:tcPr>
            <w:tcW w:w="1254" w:type="dxa"/>
            <w:tcMar/>
          </w:tcPr>
          <w:p w:rsidRPr="00E90099" w:rsidR="00040F5A" w:rsidP="00A667B4" w:rsidRDefault="00040F5A" w14:paraId="6BBD3435" w14:textId="77777777">
            <w:pPr>
              <w:jc w:val="center"/>
              <w:rPr>
                <w:rFonts w:ascii="Calibri" w:hAnsi="Calibri" w:eastAsia="Times New Roman" w:cs="Calibri"/>
                <w:sz w:val="18"/>
                <w:szCs w:val="18"/>
              </w:rPr>
            </w:pPr>
            <w:r w:rsidRPr="00E90099">
              <w:rPr>
                <w:rFonts w:ascii="Calibri" w:hAnsi="Calibri" w:eastAsia="Times New Roman" w:cs="Calibri"/>
                <w:sz w:val="18"/>
                <w:szCs w:val="18"/>
              </w:rPr>
              <w:t>Z-score &gt; 4</w:t>
            </w:r>
          </w:p>
        </w:tc>
      </w:tr>
      <w:tr w:rsidRPr="00E90099" w:rsidR="00040F5A" w:rsidTr="48EBC408" w14:paraId="092732D1" w14:textId="77777777">
        <w:trPr>
          <w:trHeight w:val="89"/>
        </w:trPr>
        <w:tc>
          <w:tcPr>
            <w:tcW w:w="1359" w:type="dxa"/>
            <w:tcMar/>
          </w:tcPr>
          <w:p w:rsidRPr="00E90099" w:rsidR="00040F5A" w:rsidP="00A667B4" w:rsidRDefault="00040F5A" w14:paraId="204F3CCE"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60292" behindDoc="0" locked="0" layoutInCell="1" allowOverlap="1" wp14:anchorId="3FD531BA" wp14:editId="70E17014">
                      <wp:simplePos x="0" y="0"/>
                      <wp:positionH relativeFrom="column">
                        <wp:posOffset>68018</wp:posOffset>
                      </wp:positionH>
                      <wp:positionV relativeFrom="paragraph">
                        <wp:posOffset>89517</wp:posOffset>
                      </wp:positionV>
                      <wp:extent cx="609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329AD49">
                    <v:line id="Straight Connector 2" style="position:absolute;z-index:2516602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35pt,7.05pt" to="53.35pt,7.05pt" w14:anchorId="26CF1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">
                      <v:stroke joinstyle="miter"/>
                    </v:line>
                  </w:pict>
                </mc:Fallback>
              </mc:AlternateContent>
            </w:r>
          </w:p>
        </w:tc>
        <w:tc>
          <w:tcPr>
            <w:tcW w:w="1715" w:type="dxa"/>
            <w:tcMar/>
          </w:tcPr>
          <w:p w:rsidRPr="00E90099" w:rsidR="00040F5A" w:rsidP="00A667B4" w:rsidRDefault="00040F5A" w14:paraId="1ADC6FEC" w14:textId="77777777">
            <w:pPr>
              <w:jc w:val="center"/>
              <w:rPr>
                <w:rFonts w:ascii="Calibri" w:hAnsi="Calibri" w:eastAsia="Times New Roman" w:cs="Calibri"/>
                <w:sz w:val="18"/>
                <w:szCs w:val="18"/>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61316" behindDoc="0" locked="0" layoutInCell="1" allowOverlap="1" wp14:anchorId="1395A25C" wp14:editId="6E8256E5">
                      <wp:simplePos x="0" y="0"/>
                      <wp:positionH relativeFrom="column">
                        <wp:posOffset>158724</wp:posOffset>
                      </wp:positionH>
                      <wp:positionV relativeFrom="paragraph">
                        <wp:posOffset>75807</wp:posOffset>
                      </wp:positionV>
                      <wp:extent cx="6096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lumMod val="50000"/>
                                    <a:lumOff val="50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3974DED">
                    <v:line id="Straight Connector 3"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5pt" from="12.5pt,5.95pt" to="60.5pt,5.95pt" w14:anchorId="6512E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">
                      <v:stroke joinstyle="miter" dashstyle="longDash"/>
                    </v:line>
                  </w:pict>
                </mc:Fallback>
              </mc:AlternateContent>
            </w:r>
          </w:p>
        </w:tc>
        <w:tc>
          <w:tcPr>
            <w:tcW w:w="1745" w:type="dxa"/>
            <w:tcMar/>
          </w:tcPr>
          <w:p w:rsidRPr="00E90099" w:rsidR="00040F5A" w:rsidP="00A667B4" w:rsidRDefault="00040F5A" w14:paraId="15BE7658" w14:textId="77777777">
            <w:pPr>
              <w:jc w:val="center"/>
              <w:rPr>
                <w:rFonts w:ascii="Calibri" w:hAnsi="Calibri" w:eastAsia="Times New Roman" w:cs="Calibri"/>
                <w:sz w:val="18"/>
                <w:szCs w:val="18"/>
              </w:rPr>
            </w:pPr>
            <w:r w:rsidRPr="00E90099">
              <w:rPr>
                <w:noProof/>
                <w:lang w:val="en-US"/>
              </w:rPr>
              <w:drawing>
                <wp:inline distT="0" distB="0" distL="0" distR="0" wp14:anchorId="194C873B" wp14:editId="27EC959D">
                  <wp:extent cx="551593" cy="8541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l="53135" t="38649" r="42614" b="59480"/>
                          <a:stretch/>
                        </pic:blipFill>
                        <pic:spPr bwMode="auto">
                          <a:xfrm>
                            <a:off x="0" y="0"/>
                            <a:ext cx="585380" cy="90643"/>
                          </a:xfrm>
                          <a:prstGeom prst="rect">
                            <a:avLst/>
                          </a:prstGeom>
                          <a:ln>
                            <a:noFill/>
                          </a:ln>
                          <a:extLst>
                            <a:ext uri="{53640926-AAD7-44D8-BBD7-CCE9431645EC}">
                              <a14:shadowObscured xmlns:a14="http://schemas.microsoft.com/office/drawing/2010/main"/>
                            </a:ext>
                          </a:extLst>
                        </pic:spPr>
                      </pic:pic>
                    </a:graphicData>
                  </a:graphic>
                </wp:inline>
              </w:drawing>
            </w:r>
          </w:p>
        </w:tc>
        <w:tc>
          <w:tcPr>
            <w:tcW w:w="1254" w:type="dxa"/>
            <w:tcMar/>
          </w:tcPr>
          <w:p w:rsidRPr="000506F1" w:rsidR="00040F5A" w:rsidP="00A667B4" w:rsidRDefault="00040F5A" w14:paraId="46CEDDFE" w14:textId="77777777">
            <w:pPr>
              <w:jc w:val="center"/>
              <w:rPr>
                <w:noProof/>
                <w:color w:val="C00000"/>
                <w:lang w:val="en-US"/>
              </w:rPr>
            </w:pPr>
            <w:r w:rsidRPr="00E90099">
              <w:rPr>
                <w:rFonts w:ascii="Calibri" w:hAnsi="Calibri" w:eastAsia="Times New Roman" w:cs="Calibri"/>
                <w:noProof/>
                <w:sz w:val="18"/>
                <w:szCs w:val="18"/>
                <w:lang w:val="en-US"/>
              </w:rPr>
              <mc:AlternateContent>
                <mc:Choice Requires="wps">
                  <w:drawing>
                    <wp:anchor distT="0" distB="0" distL="114300" distR="114300" simplePos="0" relativeHeight="251662340" behindDoc="0" locked="0" layoutInCell="1" allowOverlap="1" wp14:anchorId="3A345DD6" wp14:editId="06009E42">
                      <wp:simplePos x="0" y="0"/>
                      <wp:positionH relativeFrom="column">
                        <wp:posOffset>13933</wp:posOffset>
                      </wp:positionH>
                      <wp:positionV relativeFrom="paragraph">
                        <wp:posOffset>89367</wp:posOffset>
                      </wp:positionV>
                      <wp:extent cx="609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9EBC76F">
                    <v:line id="Straight Connector 4" style="position:absolute;z-index:2516623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1pt,7.05pt" to="49.1pt,7.05pt" w14:anchorId="4DF6C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">
                      <v:stroke joinstyle="miter" dashstyle="longDash"/>
                    </v:line>
                  </w:pict>
                </mc:Fallback>
              </mc:AlternateContent>
            </w:r>
          </w:p>
        </w:tc>
      </w:tr>
    </w:tbl>
    <w:p w:rsidR="00040F5A" w:rsidP="5E0CCDD2" w:rsidRDefault="00040F5A" w14:paraId="137C0DC5" w14:textId="77777777">
      <w:pPr>
        <w:rPr>
          <w:rFonts w:ascii="Calibri" w:hAnsi="Calibri" w:eastAsia="Times New Roman" w:cs="Calibri"/>
          <w:b/>
          <w:bCs/>
        </w:rPr>
      </w:pPr>
    </w:p>
    <w:p w:rsidR="4FBC0E3E" w:rsidP="4FBC0E3E" w:rsidRDefault="4FBC0E3E" w14:paraId="352A4AA7" w14:textId="4FC5D2B1"/>
    <w:p w:rsidR="00B75C1A" w:rsidP="00B75C1A" w:rsidRDefault="00B75C1A" w14:paraId="1B99DE6A" w14:textId="38FC1C99">
      <w:pPr>
        <w:rPr>
          <w:rFonts w:ascii="Calibri" w:hAnsi="Calibri" w:eastAsia="Times New Roman" w:cs="Calibri"/>
          <w:b/>
        </w:rPr>
      </w:pPr>
    </w:p>
    <w:p w:rsidRPr="00E90099" w:rsidR="00B75C1A" w:rsidP="00B75C1A" w:rsidRDefault="00B75C1A" w14:paraId="3AE1FD76" w14:textId="77777777">
      <w:pPr>
        <w:rPr>
          <w:rFonts w:ascii="Calibri" w:hAnsi="Calibri" w:eastAsia="Times New Roman" w:cs="Calibri"/>
          <w:b/>
        </w:rPr>
      </w:pPr>
    </w:p>
    <w:p w:rsidRPr="00E90099" w:rsidR="00B75C1A" w:rsidP="00B75C1A" w:rsidRDefault="00B75C1A" w14:paraId="1490ACD3" w14:textId="36979688">
      <w:pPr>
        <w:rPr>
          <w:rFonts w:ascii="Calibri" w:hAnsi="Calibri" w:eastAsia="Times New Roman" w:cs="Calibri"/>
          <w:b/>
        </w:rPr>
      </w:pPr>
    </w:p>
    <w:p w:rsidRPr="00E90099" w:rsidR="00B75C1A" w:rsidP="00B75C1A" w:rsidRDefault="00B75C1A" w14:paraId="0D42DF84" w14:textId="77777777">
      <w:pPr>
        <w:rPr>
          <w:rFonts w:ascii="Calibri" w:hAnsi="Calibri" w:eastAsia="Times New Roman" w:cs="Calibri"/>
          <w:b/>
        </w:rPr>
      </w:pPr>
    </w:p>
    <w:p w:rsidRPr="00E90099" w:rsidR="00A66DD6" w:rsidP="00A66DD6" w:rsidRDefault="00A66DD6" w14:paraId="65D006DD" w14:textId="2DE8584B">
      <w:pPr>
        <w:rPr>
          <w:rFonts w:ascii="Calibri" w:hAnsi="Calibri" w:eastAsia="Times New Roman" w:cs="Calibri"/>
          <w:b/>
        </w:rPr>
      </w:pPr>
    </w:p>
    <w:sectPr w:rsidRPr="00E90099" w:rsidR="00A66DD6">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AFD" w:rsidRDefault="008E2AFD" w14:paraId="4788BE43" w14:textId="77777777">
      <w:pPr>
        <w:spacing w:after="0" w:line="240" w:lineRule="auto"/>
      </w:pPr>
      <w:r>
        <w:separator/>
      </w:r>
    </w:p>
  </w:endnote>
  <w:endnote w:type="continuationSeparator" w:id="0">
    <w:p w:rsidR="008E2AFD" w:rsidRDefault="008E2AFD" w14:paraId="3A66A6CC" w14:textId="77777777">
      <w:pPr>
        <w:spacing w:after="0" w:line="240" w:lineRule="auto"/>
      </w:pPr>
      <w:r>
        <w:continuationSeparator/>
      </w:r>
    </w:p>
  </w:endnote>
  <w:endnote w:type="continuationNotice" w:id="1">
    <w:p w:rsidR="008E2AFD" w:rsidRDefault="008E2AFD" w14:paraId="656D5A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97298"/>
      <w:docPartObj>
        <w:docPartGallery w:val="Page Numbers (Bottom of Page)"/>
        <w:docPartUnique/>
      </w:docPartObj>
    </w:sdtPr>
    <w:sdtEndPr>
      <w:rPr>
        <w:noProof/>
      </w:rPr>
    </w:sdtEndPr>
    <w:sdtContent>
      <w:p w:rsidR="00E54603" w:rsidRDefault="00E54603" w14:paraId="48D10125" w14:textId="51907E56">
        <w:pPr>
          <w:pStyle w:val="Footer"/>
          <w:jc w:val="center"/>
        </w:pPr>
        <w:r>
          <w:fldChar w:fldCharType="begin"/>
        </w:r>
        <w:r>
          <w:instrText xml:space="preserve"> PAGE   \* MERGEFORMAT </w:instrText>
        </w:r>
        <w:r>
          <w:fldChar w:fldCharType="separate"/>
        </w:r>
        <w:r w:rsidR="00D050D2">
          <w:rPr>
            <w:noProof/>
          </w:rPr>
          <w:t>4</w:t>
        </w:r>
        <w:r>
          <w:rPr>
            <w:noProof/>
          </w:rPr>
          <w:fldChar w:fldCharType="end"/>
        </w:r>
      </w:p>
    </w:sdtContent>
  </w:sdt>
  <w:p w:rsidR="00E54603" w:rsidRDefault="00E54603" w14:paraId="1525BF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AFD" w:rsidRDefault="008E2AFD" w14:paraId="66057D4E" w14:textId="77777777">
      <w:pPr>
        <w:spacing w:after="0" w:line="240" w:lineRule="auto"/>
      </w:pPr>
      <w:r>
        <w:separator/>
      </w:r>
    </w:p>
  </w:footnote>
  <w:footnote w:type="continuationSeparator" w:id="0">
    <w:p w:rsidR="008E2AFD" w:rsidRDefault="008E2AFD" w14:paraId="04287EF8" w14:textId="77777777">
      <w:pPr>
        <w:spacing w:after="0" w:line="240" w:lineRule="auto"/>
      </w:pPr>
      <w:r>
        <w:continuationSeparator/>
      </w:r>
    </w:p>
  </w:footnote>
  <w:footnote w:type="continuationNotice" w:id="1">
    <w:p w:rsidR="008E2AFD" w:rsidRDefault="008E2AFD" w14:paraId="0DEA693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54603" w:rsidTr="6DCEBC4C" w14:paraId="6AC47391" w14:textId="77777777">
      <w:tc>
        <w:tcPr>
          <w:tcW w:w="3005" w:type="dxa"/>
        </w:tcPr>
        <w:p w:rsidR="00E54603" w:rsidP="6DCEBC4C" w:rsidRDefault="00E54603" w14:paraId="47C6E74E" w14:textId="77777777">
          <w:pPr>
            <w:pStyle w:val="Header"/>
            <w:ind w:left="-115"/>
          </w:pPr>
        </w:p>
      </w:tc>
      <w:tc>
        <w:tcPr>
          <w:tcW w:w="3005" w:type="dxa"/>
        </w:tcPr>
        <w:p w:rsidR="00E54603" w:rsidP="6DCEBC4C" w:rsidRDefault="00E54603" w14:paraId="34A47B18" w14:textId="77777777">
          <w:pPr>
            <w:pStyle w:val="Header"/>
            <w:jc w:val="center"/>
          </w:pPr>
        </w:p>
      </w:tc>
      <w:tc>
        <w:tcPr>
          <w:tcW w:w="3005" w:type="dxa"/>
        </w:tcPr>
        <w:p w:rsidR="00E54603" w:rsidP="6DCEBC4C" w:rsidRDefault="00E54603" w14:paraId="251326CE" w14:textId="77777777">
          <w:pPr>
            <w:pStyle w:val="Header"/>
            <w:ind w:right="-115"/>
            <w:jc w:val="right"/>
          </w:pPr>
        </w:p>
      </w:tc>
    </w:tr>
  </w:tbl>
  <w:p w:rsidR="00E54603" w:rsidP="6DCEBC4C" w:rsidRDefault="00E54603" w14:paraId="0D926D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54603" w:rsidTr="6DCEBC4C" w14:paraId="033A1EF5" w14:textId="77777777">
      <w:tc>
        <w:tcPr>
          <w:tcW w:w="3005" w:type="dxa"/>
        </w:tcPr>
        <w:p w:rsidR="00E54603" w:rsidP="6DCEBC4C" w:rsidRDefault="00E54603" w14:paraId="76C4B0B9" w14:textId="103C75CC">
          <w:pPr>
            <w:pStyle w:val="Header"/>
            <w:ind w:left="-115"/>
          </w:pPr>
        </w:p>
      </w:tc>
      <w:tc>
        <w:tcPr>
          <w:tcW w:w="3005" w:type="dxa"/>
        </w:tcPr>
        <w:p w:rsidR="00E54603" w:rsidP="6DCEBC4C" w:rsidRDefault="00E54603" w14:paraId="637566AD" w14:textId="10DCF4AD">
          <w:pPr>
            <w:pStyle w:val="Header"/>
            <w:jc w:val="center"/>
          </w:pPr>
        </w:p>
      </w:tc>
      <w:tc>
        <w:tcPr>
          <w:tcW w:w="3005" w:type="dxa"/>
        </w:tcPr>
        <w:p w:rsidR="00E54603" w:rsidP="6DCEBC4C" w:rsidRDefault="00E54603" w14:paraId="2BE83F4F" w14:textId="2CBD8D36">
          <w:pPr>
            <w:pStyle w:val="Header"/>
            <w:ind w:right="-115"/>
            <w:jc w:val="right"/>
          </w:pPr>
        </w:p>
      </w:tc>
    </w:tr>
  </w:tbl>
  <w:p w:rsidR="00E54603" w:rsidP="6DCEBC4C" w:rsidRDefault="00E54603" w14:paraId="0E25A176" w14:textId="60BC3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54603" w:rsidTr="6DCEBC4C" w14:paraId="7E1F38A7" w14:textId="77777777">
      <w:tc>
        <w:tcPr>
          <w:tcW w:w="3005" w:type="dxa"/>
        </w:tcPr>
        <w:p w:rsidR="00E54603" w:rsidP="6DCEBC4C" w:rsidRDefault="00E54603" w14:paraId="08F608DB" w14:textId="0C03C1F6">
          <w:pPr>
            <w:pStyle w:val="Header"/>
            <w:ind w:left="-115"/>
          </w:pPr>
        </w:p>
      </w:tc>
      <w:tc>
        <w:tcPr>
          <w:tcW w:w="3005" w:type="dxa"/>
        </w:tcPr>
        <w:p w:rsidR="00E54603" w:rsidP="6DCEBC4C" w:rsidRDefault="00E54603" w14:paraId="51F43400" w14:textId="3DA1B863">
          <w:pPr>
            <w:pStyle w:val="Header"/>
            <w:jc w:val="center"/>
          </w:pPr>
        </w:p>
      </w:tc>
      <w:tc>
        <w:tcPr>
          <w:tcW w:w="3005" w:type="dxa"/>
        </w:tcPr>
        <w:p w:rsidR="00E54603" w:rsidP="6DCEBC4C" w:rsidRDefault="00E54603" w14:paraId="1F0DDF05" w14:textId="67A603B1">
          <w:pPr>
            <w:pStyle w:val="Header"/>
            <w:ind w:right="-115"/>
            <w:jc w:val="right"/>
          </w:pPr>
        </w:p>
      </w:tc>
    </w:tr>
  </w:tbl>
  <w:p w:rsidR="00E54603" w:rsidP="6DCEBC4C" w:rsidRDefault="00E54603" w14:paraId="0E268823" w14:textId="0F50E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C5"/>
    <w:multiLevelType w:val="hybridMultilevel"/>
    <w:tmpl w:val="9C5876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D3332B"/>
    <w:multiLevelType w:val="hybridMultilevel"/>
    <w:tmpl w:val="56902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3310E9"/>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5E1F"/>
    <w:multiLevelType w:val="hybridMultilevel"/>
    <w:tmpl w:val="2F8EBA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8D23611"/>
    <w:multiLevelType w:val="hybridMultilevel"/>
    <w:tmpl w:val="81143FB8"/>
    <w:lvl w:ilvl="0" w:tplc="EDF8F4A8">
      <w:start w:val="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E368A3"/>
    <w:multiLevelType w:val="hybridMultilevel"/>
    <w:tmpl w:val="0336A5C0"/>
    <w:lvl w:ilvl="0" w:tplc="0B121042">
      <w:start w:val="4"/>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AC5D1D"/>
    <w:multiLevelType w:val="hybridMultilevel"/>
    <w:tmpl w:val="F00CA4B8"/>
    <w:lvl w:ilvl="0" w:tplc="9DD68BB4">
      <w:start w:val="4"/>
      <w:numFmt w:val="bullet"/>
      <w:lvlText w:val="-"/>
      <w:lvlJc w:val="left"/>
      <w:pPr>
        <w:ind w:left="720" w:hanging="360"/>
      </w:pPr>
      <w:rPr>
        <w:rFonts w:hint="default" w:ascii="Calibri" w:hAnsi="Calibri" w:eastAsia="Times New Roman" w:cs="Calibr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F32534"/>
    <w:multiLevelType w:val="hybridMultilevel"/>
    <w:tmpl w:val="EB5CB80E"/>
    <w:lvl w:ilvl="0" w:tplc="E9CA7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E11D4"/>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17497"/>
    <w:multiLevelType w:val="hybridMultilevel"/>
    <w:tmpl w:val="2F6A685E"/>
    <w:lvl w:ilvl="0" w:tplc="3B00D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07BDB"/>
    <w:multiLevelType w:val="hybridMultilevel"/>
    <w:tmpl w:val="FAB0F874"/>
    <w:lvl w:ilvl="0" w:tplc="926EF984">
      <w:start w:val="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5"/>
  </w:num>
  <w:num w:numId="4">
    <w:abstractNumId w:val="6"/>
  </w:num>
  <w:num w:numId="5">
    <w:abstractNumId w:val="0"/>
  </w:num>
  <w:num w:numId="6">
    <w:abstractNumId w:val="3"/>
  </w:num>
  <w:num w:numId="7">
    <w:abstractNumId w:val="2"/>
  </w:num>
  <w:num w:numId="8">
    <w:abstractNumId w:val="8"/>
  </w:num>
  <w:num w:numId="9">
    <w:abstractNumId w:val="7"/>
  </w:num>
  <w:num w:numId="10">
    <w:abstractNumId w:val="9"/>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D6"/>
    <w:rsid w:val="000015A3"/>
    <w:rsid w:val="0001353F"/>
    <w:rsid w:val="000220EA"/>
    <w:rsid w:val="0002267E"/>
    <w:rsid w:val="00027F0E"/>
    <w:rsid w:val="00036FF8"/>
    <w:rsid w:val="00040F5A"/>
    <w:rsid w:val="000506F1"/>
    <w:rsid w:val="00066ACA"/>
    <w:rsid w:val="000709EF"/>
    <w:rsid w:val="0007367E"/>
    <w:rsid w:val="00074C04"/>
    <w:rsid w:val="0007551F"/>
    <w:rsid w:val="00085173"/>
    <w:rsid w:val="000A6B3A"/>
    <w:rsid w:val="000B3242"/>
    <w:rsid w:val="000B43FA"/>
    <w:rsid w:val="000C72BE"/>
    <w:rsid w:val="000F23EA"/>
    <w:rsid w:val="000F3536"/>
    <w:rsid w:val="00101043"/>
    <w:rsid w:val="00103F73"/>
    <w:rsid w:val="0011333E"/>
    <w:rsid w:val="00116AD0"/>
    <w:rsid w:val="001231E0"/>
    <w:rsid w:val="00123F41"/>
    <w:rsid w:val="00136736"/>
    <w:rsid w:val="00146A9E"/>
    <w:rsid w:val="0015057D"/>
    <w:rsid w:val="00153ACC"/>
    <w:rsid w:val="00160112"/>
    <w:rsid w:val="001629B4"/>
    <w:rsid w:val="00166924"/>
    <w:rsid w:val="0018244C"/>
    <w:rsid w:val="00184963"/>
    <w:rsid w:val="00196E14"/>
    <w:rsid w:val="001A100C"/>
    <w:rsid w:val="001A1390"/>
    <w:rsid w:val="001D0B7D"/>
    <w:rsid w:val="001D25D3"/>
    <w:rsid w:val="001D61E2"/>
    <w:rsid w:val="001F207C"/>
    <w:rsid w:val="001F285D"/>
    <w:rsid w:val="001F452D"/>
    <w:rsid w:val="001F48D0"/>
    <w:rsid w:val="001F530C"/>
    <w:rsid w:val="0020277C"/>
    <w:rsid w:val="00211102"/>
    <w:rsid w:val="00212CA5"/>
    <w:rsid w:val="00215BA5"/>
    <w:rsid w:val="00221CD2"/>
    <w:rsid w:val="00236F03"/>
    <w:rsid w:val="00241670"/>
    <w:rsid w:val="00244874"/>
    <w:rsid w:val="00261009"/>
    <w:rsid w:val="002667A5"/>
    <w:rsid w:val="00283B76"/>
    <w:rsid w:val="002864AD"/>
    <w:rsid w:val="002A1A80"/>
    <w:rsid w:val="002A63E5"/>
    <w:rsid w:val="002C6DB4"/>
    <w:rsid w:val="002D155E"/>
    <w:rsid w:val="002D1722"/>
    <w:rsid w:val="002D29B4"/>
    <w:rsid w:val="002D5C01"/>
    <w:rsid w:val="002D73E8"/>
    <w:rsid w:val="002E2233"/>
    <w:rsid w:val="002F0F6F"/>
    <w:rsid w:val="002F5A9B"/>
    <w:rsid w:val="003007BF"/>
    <w:rsid w:val="00320EF2"/>
    <w:rsid w:val="00331A6D"/>
    <w:rsid w:val="00331B4A"/>
    <w:rsid w:val="003327FC"/>
    <w:rsid w:val="00340823"/>
    <w:rsid w:val="003418EE"/>
    <w:rsid w:val="00345D0C"/>
    <w:rsid w:val="00355044"/>
    <w:rsid w:val="0036119C"/>
    <w:rsid w:val="00364C76"/>
    <w:rsid w:val="00382137"/>
    <w:rsid w:val="00392BCF"/>
    <w:rsid w:val="003936C8"/>
    <w:rsid w:val="00396A2D"/>
    <w:rsid w:val="003A1C49"/>
    <w:rsid w:val="003A650F"/>
    <w:rsid w:val="003B3FEE"/>
    <w:rsid w:val="003B4FFF"/>
    <w:rsid w:val="003B79A8"/>
    <w:rsid w:val="003C307B"/>
    <w:rsid w:val="003C7844"/>
    <w:rsid w:val="003E93C2"/>
    <w:rsid w:val="003F0354"/>
    <w:rsid w:val="003F2E7F"/>
    <w:rsid w:val="003F4494"/>
    <w:rsid w:val="003F6957"/>
    <w:rsid w:val="004129CF"/>
    <w:rsid w:val="0041438C"/>
    <w:rsid w:val="0041643D"/>
    <w:rsid w:val="00416D3A"/>
    <w:rsid w:val="00432ED2"/>
    <w:rsid w:val="00453561"/>
    <w:rsid w:val="00470BE5"/>
    <w:rsid w:val="00470C65"/>
    <w:rsid w:val="00483466"/>
    <w:rsid w:val="00486474"/>
    <w:rsid w:val="00486C14"/>
    <w:rsid w:val="0049119C"/>
    <w:rsid w:val="004943BC"/>
    <w:rsid w:val="00496A34"/>
    <w:rsid w:val="004D12A4"/>
    <w:rsid w:val="004D50B7"/>
    <w:rsid w:val="004E66EF"/>
    <w:rsid w:val="004F026B"/>
    <w:rsid w:val="00501540"/>
    <w:rsid w:val="0051213E"/>
    <w:rsid w:val="00525FFB"/>
    <w:rsid w:val="005422E3"/>
    <w:rsid w:val="00551917"/>
    <w:rsid w:val="0055750E"/>
    <w:rsid w:val="00564F72"/>
    <w:rsid w:val="00565A19"/>
    <w:rsid w:val="005661CC"/>
    <w:rsid w:val="0058128E"/>
    <w:rsid w:val="00590185"/>
    <w:rsid w:val="005A6703"/>
    <w:rsid w:val="005A76C4"/>
    <w:rsid w:val="005C1137"/>
    <w:rsid w:val="005E6906"/>
    <w:rsid w:val="005E6C63"/>
    <w:rsid w:val="00613AEA"/>
    <w:rsid w:val="00615689"/>
    <w:rsid w:val="00620A70"/>
    <w:rsid w:val="00626B8E"/>
    <w:rsid w:val="006334E8"/>
    <w:rsid w:val="00636BBA"/>
    <w:rsid w:val="006379C6"/>
    <w:rsid w:val="006547CB"/>
    <w:rsid w:val="00655DC0"/>
    <w:rsid w:val="0066289B"/>
    <w:rsid w:val="00662BCF"/>
    <w:rsid w:val="00663B3A"/>
    <w:rsid w:val="00664E4A"/>
    <w:rsid w:val="00670B1C"/>
    <w:rsid w:val="00671228"/>
    <w:rsid w:val="0067211C"/>
    <w:rsid w:val="00672BD9"/>
    <w:rsid w:val="00687AE4"/>
    <w:rsid w:val="00691A98"/>
    <w:rsid w:val="006B00D0"/>
    <w:rsid w:val="006B4449"/>
    <w:rsid w:val="006B7B23"/>
    <w:rsid w:val="006C3C83"/>
    <w:rsid w:val="006D3F80"/>
    <w:rsid w:val="006D5C0B"/>
    <w:rsid w:val="006D6163"/>
    <w:rsid w:val="006E49AE"/>
    <w:rsid w:val="00708463"/>
    <w:rsid w:val="007106CF"/>
    <w:rsid w:val="00711A4E"/>
    <w:rsid w:val="00712DC9"/>
    <w:rsid w:val="00714EB7"/>
    <w:rsid w:val="00722108"/>
    <w:rsid w:val="00723A80"/>
    <w:rsid w:val="0073001E"/>
    <w:rsid w:val="007365AB"/>
    <w:rsid w:val="00737B4D"/>
    <w:rsid w:val="007419C3"/>
    <w:rsid w:val="007462BC"/>
    <w:rsid w:val="00751F0E"/>
    <w:rsid w:val="00781762"/>
    <w:rsid w:val="00784619"/>
    <w:rsid w:val="007C23BC"/>
    <w:rsid w:val="007C68E4"/>
    <w:rsid w:val="007D5AAA"/>
    <w:rsid w:val="007E5357"/>
    <w:rsid w:val="007E5D99"/>
    <w:rsid w:val="00806EC2"/>
    <w:rsid w:val="00820E8F"/>
    <w:rsid w:val="00821E31"/>
    <w:rsid w:val="00826187"/>
    <w:rsid w:val="00832CB1"/>
    <w:rsid w:val="00833BB2"/>
    <w:rsid w:val="00840F0F"/>
    <w:rsid w:val="00846BA7"/>
    <w:rsid w:val="00853D28"/>
    <w:rsid w:val="0086326E"/>
    <w:rsid w:val="0086360A"/>
    <w:rsid w:val="008642B8"/>
    <w:rsid w:val="00873A5C"/>
    <w:rsid w:val="008830A0"/>
    <w:rsid w:val="008A258B"/>
    <w:rsid w:val="008A7F8C"/>
    <w:rsid w:val="008B5C4C"/>
    <w:rsid w:val="008B7218"/>
    <w:rsid w:val="008D3027"/>
    <w:rsid w:val="008E0E0D"/>
    <w:rsid w:val="008E0F46"/>
    <w:rsid w:val="008E2AFD"/>
    <w:rsid w:val="008F28D9"/>
    <w:rsid w:val="008F61D8"/>
    <w:rsid w:val="009051F5"/>
    <w:rsid w:val="00912589"/>
    <w:rsid w:val="00914A05"/>
    <w:rsid w:val="00940721"/>
    <w:rsid w:val="00952515"/>
    <w:rsid w:val="009628FF"/>
    <w:rsid w:val="00964996"/>
    <w:rsid w:val="0097515F"/>
    <w:rsid w:val="009B1A59"/>
    <w:rsid w:val="009B5411"/>
    <w:rsid w:val="009B7233"/>
    <w:rsid w:val="009C024B"/>
    <w:rsid w:val="009C172B"/>
    <w:rsid w:val="009D6589"/>
    <w:rsid w:val="009E243D"/>
    <w:rsid w:val="009F106A"/>
    <w:rsid w:val="009F5978"/>
    <w:rsid w:val="00A00DB1"/>
    <w:rsid w:val="00A048E8"/>
    <w:rsid w:val="00A063E0"/>
    <w:rsid w:val="00A24FAD"/>
    <w:rsid w:val="00A3316F"/>
    <w:rsid w:val="00A3574D"/>
    <w:rsid w:val="00A474B7"/>
    <w:rsid w:val="00A47E8D"/>
    <w:rsid w:val="00A66DD6"/>
    <w:rsid w:val="00A718B9"/>
    <w:rsid w:val="00A85EF3"/>
    <w:rsid w:val="00A87908"/>
    <w:rsid w:val="00A94D23"/>
    <w:rsid w:val="00AD6C46"/>
    <w:rsid w:val="00AE002A"/>
    <w:rsid w:val="00AE68BB"/>
    <w:rsid w:val="00AF3352"/>
    <w:rsid w:val="00AF4B24"/>
    <w:rsid w:val="00AF6C81"/>
    <w:rsid w:val="00B0343B"/>
    <w:rsid w:val="00B11336"/>
    <w:rsid w:val="00B125D6"/>
    <w:rsid w:val="00B14422"/>
    <w:rsid w:val="00B22AD2"/>
    <w:rsid w:val="00B25D4B"/>
    <w:rsid w:val="00B3672A"/>
    <w:rsid w:val="00B36AEB"/>
    <w:rsid w:val="00B604B8"/>
    <w:rsid w:val="00B75C1A"/>
    <w:rsid w:val="00B827C2"/>
    <w:rsid w:val="00B93CFD"/>
    <w:rsid w:val="00B949AD"/>
    <w:rsid w:val="00B94E95"/>
    <w:rsid w:val="00B957CF"/>
    <w:rsid w:val="00BA159E"/>
    <w:rsid w:val="00BA667C"/>
    <w:rsid w:val="00BB1D10"/>
    <w:rsid w:val="00BB3539"/>
    <w:rsid w:val="00BB3672"/>
    <w:rsid w:val="00BC2CD1"/>
    <w:rsid w:val="00BC4293"/>
    <w:rsid w:val="00BD0661"/>
    <w:rsid w:val="00BD236F"/>
    <w:rsid w:val="00BD3096"/>
    <w:rsid w:val="00BE34ED"/>
    <w:rsid w:val="00BE5BDE"/>
    <w:rsid w:val="00BF01BC"/>
    <w:rsid w:val="00BF0D9C"/>
    <w:rsid w:val="00BF2B1D"/>
    <w:rsid w:val="00BF390F"/>
    <w:rsid w:val="00C068B8"/>
    <w:rsid w:val="00C073D8"/>
    <w:rsid w:val="00C136EF"/>
    <w:rsid w:val="00C20229"/>
    <w:rsid w:val="00C22A4E"/>
    <w:rsid w:val="00C322AE"/>
    <w:rsid w:val="00C3337F"/>
    <w:rsid w:val="00C37361"/>
    <w:rsid w:val="00C5241A"/>
    <w:rsid w:val="00C569EE"/>
    <w:rsid w:val="00C57D13"/>
    <w:rsid w:val="00C726D4"/>
    <w:rsid w:val="00C72BEB"/>
    <w:rsid w:val="00C828B4"/>
    <w:rsid w:val="00C92728"/>
    <w:rsid w:val="00CA0D47"/>
    <w:rsid w:val="00CB2180"/>
    <w:rsid w:val="00CC43CB"/>
    <w:rsid w:val="00CC6686"/>
    <w:rsid w:val="00CE0D0B"/>
    <w:rsid w:val="00CF1B99"/>
    <w:rsid w:val="00CF6C29"/>
    <w:rsid w:val="00D00AF3"/>
    <w:rsid w:val="00D050D2"/>
    <w:rsid w:val="00D30945"/>
    <w:rsid w:val="00D328DD"/>
    <w:rsid w:val="00D33822"/>
    <w:rsid w:val="00D5283A"/>
    <w:rsid w:val="00D77C23"/>
    <w:rsid w:val="00D90BEC"/>
    <w:rsid w:val="00DB00B9"/>
    <w:rsid w:val="00DB6CAA"/>
    <w:rsid w:val="00DC2975"/>
    <w:rsid w:val="00DD0E29"/>
    <w:rsid w:val="00DE2555"/>
    <w:rsid w:val="00DE30EC"/>
    <w:rsid w:val="00DE42D9"/>
    <w:rsid w:val="00E114D3"/>
    <w:rsid w:val="00E12357"/>
    <w:rsid w:val="00E17710"/>
    <w:rsid w:val="00E34A0B"/>
    <w:rsid w:val="00E420B3"/>
    <w:rsid w:val="00E457BD"/>
    <w:rsid w:val="00E462DB"/>
    <w:rsid w:val="00E54603"/>
    <w:rsid w:val="00E631D6"/>
    <w:rsid w:val="00E66777"/>
    <w:rsid w:val="00E73A1E"/>
    <w:rsid w:val="00E827D3"/>
    <w:rsid w:val="00E90099"/>
    <w:rsid w:val="00E96CAE"/>
    <w:rsid w:val="00ED468D"/>
    <w:rsid w:val="00EE3C0B"/>
    <w:rsid w:val="00EE68D8"/>
    <w:rsid w:val="00F040A5"/>
    <w:rsid w:val="00F14073"/>
    <w:rsid w:val="00F15198"/>
    <w:rsid w:val="00F20687"/>
    <w:rsid w:val="00F20934"/>
    <w:rsid w:val="00F35CD2"/>
    <w:rsid w:val="00F51FF0"/>
    <w:rsid w:val="00F520A0"/>
    <w:rsid w:val="00F64400"/>
    <w:rsid w:val="00F66056"/>
    <w:rsid w:val="00F66A89"/>
    <w:rsid w:val="00F83531"/>
    <w:rsid w:val="00F90B39"/>
    <w:rsid w:val="00F93DFC"/>
    <w:rsid w:val="00F97685"/>
    <w:rsid w:val="00FB05BE"/>
    <w:rsid w:val="00FB14E8"/>
    <w:rsid w:val="00FB594B"/>
    <w:rsid w:val="00FC041D"/>
    <w:rsid w:val="00FD7039"/>
    <w:rsid w:val="00FE002E"/>
    <w:rsid w:val="00FE69D4"/>
    <w:rsid w:val="00FF2777"/>
    <w:rsid w:val="010C7549"/>
    <w:rsid w:val="0133467F"/>
    <w:rsid w:val="01359171"/>
    <w:rsid w:val="01603EC4"/>
    <w:rsid w:val="018E8E4E"/>
    <w:rsid w:val="01A5EB7C"/>
    <w:rsid w:val="01C6826E"/>
    <w:rsid w:val="02322E94"/>
    <w:rsid w:val="027879BD"/>
    <w:rsid w:val="02B18E57"/>
    <w:rsid w:val="02D8F0A7"/>
    <w:rsid w:val="02DD7BE7"/>
    <w:rsid w:val="02EB99B5"/>
    <w:rsid w:val="02EF0589"/>
    <w:rsid w:val="02F6D44A"/>
    <w:rsid w:val="0346D1FB"/>
    <w:rsid w:val="0365E982"/>
    <w:rsid w:val="03829E31"/>
    <w:rsid w:val="0386ED93"/>
    <w:rsid w:val="038AA0E7"/>
    <w:rsid w:val="03B8EB2A"/>
    <w:rsid w:val="0415F639"/>
    <w:rsid w:val="042D2D44"/>
    <w:rsid w:val="044D8385"/>
    <w:rsid w:val="0463F82E"/>
    <w:rsid w:val="0490D406"/>
    <w:rsid w:val="0499E896"/>
    <w:rsid w:val="049A8726"/>
    <w:rsid w:val="049B0F51"/>
    <w:rsid w:val="04C39C3E"/>
    <w:rsid w:val="04CF2BD0"/>
    <w:rsid w:val="04DFA367"/>
    <w:rsid w:val="05086F97"/>
    <w:rsid w:val="050E5D26"/>
    <w:rsid w:val="059126E8"/>
    <w:rsid w:val="0594E222"/>
    <w:rsid w:val="05AB20D6"/>
    <w:rsid w:val="05AFEED6"/>
    <w:rsid w:val="05C0EA70"/>
    <w:rsid w:val="05CF0C39"/>
    <w:rsid w:val="05D2C6BF"/>
    <w:rsid w:val="05E953E6"/>
    <w:rsid w:val="061246B5"/>
    <w:rsid w:val="0618088F"/>
    <w:rsid w:val="061D3025"/>
    <w:rsid w:val="0628365F"/>
    <w:rsid w:val="0638F1A8"/>
    <w:rsid w:val="06ABD125"/>
    <w:rsid w:val="06E68D6A"/>
    <w:rsid w:val="06E790EE"/>
    <w:rsid w:val="06E9DDFF"/>
    <w:rsid w:val="070D870B"/>
    <w:rsid w:val="07260D98"/>
    <w:rsid w:val="073141D4"/>
    <w:rsid w:val="073EA8FC"/>
    <w:rsid w:val="074E4CE7"/>
    <w:rsid w:val="07670D34"/>
    <w:rsid w:val="077DAA76"/>
    <w:rsid w:val="079CA663"/>
    <w:rsid w:val="07A72D0F"/>
    <w:rsid w:val="07D4484A"/>
    <w:rsid w:val="07DDDC3B"/>
    <w:rsid w:val="07F6B9F0"/>
    <w:rsid w:val="08006182"/>
    <w:rsid w:val="080BAC23"/>
    <w:rsid w:val="0872B2F8"/>
    <w:rsid w:val="087C3778"/>
    <w:rsid w:val="08E0723F"/>
    <w:rsid w:val="09358BA5"/>
    <w:rsid w:val="093DC7FE"/>
    <w:rsid w:val="0949DFD4"/>
    <w:rsid w:val="094E620B"/>
    <w:rsid w:val="098ED3B8"/>
    <w:rsid w:val="0992FE43"/>
    <w:rsid w:val="099CFE28"/>
    <w:rsid w:val="09AD2619"/>
    <w:rsid w:val="09CE18AC"/>
    <w:rsid w:val="0A16CD89"/>
    <w:rsid w:val="0A182C6B"/>
    <w:rsid w:val="0A458DCA"/>
    <w:rsid w:val="0A59587F"/>
    <w:rsid w:val="0A712513"/>
    <w:rsid w:val="0A77790A"/>
    <w:rsid w:val="0A787B95"/>
    <w:rsid w:val="0A92E676"/>
    <w:rsid w:val="0AAC2A8E"/>
    <w:rsid w:val="0AF2FF4B"/>
    <w:rsid w:val="0B07064F"/>
    <w:rsid w:val="0B101706"/>
    <w:rsid w:val="0B560287"/>
    <w:rsid w:val="0B6122B8"/>
    <w:rsid w:val="0B75B7E2"/>
    <w:rsid w:val="0B8CCC1A"/>
    <w:rsid w:val="0BEDDA61"/>
    <w:rsid w:val="0C121A1F"/>
    <w:rsid w:val="0C12BAAF"/>
    <w:rsid w:val="0C442990"/>
    <w:rsid w:val="0C5C61F6"/>
    <w:rsid w:val="0C67F82A"/>
    <w:rsid w:val="0C82DD25"/>
    <w:rsid w:val="0CA00B23"/>
    <w:rsid w:val="0CCB946F"/>
    <w:rsid w:val="0CCF57B5"/>
    <w:rsid w:val="0CFC2D8C"/>
    <w:rsid w:val="0D489C26"/>
    <w:rsid w:val="0D5E1039"/>
    <w:rsid w:val="0D754B2C"/>
    <w:rsid w:val="0D84F7C4"/>
    <w:rsid w:val="0DCAFA3D"/>
    <w:rsid w:val="0DF7ED83"/>
    <w:rsid w:val="0E547B84"/>
    <w:rsid w:val="0E5780C6"/>
    <w:rsid w:val="0E5A81A8"/>
    <w:rsid w:val="0EA8A24D"/>
    <w:rsid w:val="0ED827B1"/>
    <w:rsid w:val="0F0C3717"/>
    <w:rsid w:val="0F3F1762"/>
    <w:rsid w:val="0F4A74B9"/>
    <w:rsid w:val="0F590E39"/>
    <w:rsid w:val="0FD861A8"/>
    <w:rsid w:val="0FDA37F1"/>
    <w:rsid w:val="0FF7460B"/>
    <w:rsid w:val="0FFC8948"/>
    <w:rsid w:val="10033531"/>
    <w:rsid w:val="1006ED73"/>
    <w:rsid w:val="101828F3"/>
    <w:rsid w:val="102894BF"/>
    <w:rsid w:val="1083A43F"/>
    <w:rsid w:val="1093C391"/>
    <w:rsid w:val="10B46951"/>
    <w:rsid w:val="10E49FE2"/>
    <w:rsid w:val="111E2301"/>
    <w:rsid w:val="11372A85"/>
    <w:rsid w:val="113CBAB9"/>
    <w:rsid w:val="114300E1"/>
    <w:rsid w:val="119359D8"/>
    <w:rsid w:val="11A3B835"/>
    <w:rsid w:val="11C26CB4"/>
    <w:rsid w:val="11C816F8"/>
    <w:rsid w:val="11EE7A83"/>
    <w:rsid w:val="12243A30"/>
    <w:rsid w:val="12367E77"/>
    <w:rsid w:val="123F6E78"/>
    <w:rsid w:val="124E5287"/>
    <w:rsid w:val="125C152E"/>
    <w:rsid w:val="12C10055"/>
    <w:rsid w:val="1324E6A2"/>
    <w:rsid w:val="13286715"/>
    <w:rsid w:val="1329DE6A"/>
    <w:rsid w:val="13D2D498"/>
    <w:rsid w:val="13FE480E"/>
    <w:rsid w:val="1415C242"/>
    <w:rsid w:val="142BCFBF"/>
    <w:rsid w:val="143B69EC"/>
    <w:rsid w:val="1445D93F"/>
    <w:rsid w:val="144DD6BD"/>
    <w:rsid w:val="14571EFE"/>
    <w:rsid w:val="14A30659"/>
    <w:rsid w:val="14D8BAAF"/>
    <w:rsid w:val="14EDCAE8"/>
    <w:rsid w:val="1518B4A0"/>
    <w:rsid w:val="155821E6"/>
    <w:rsid w:val="15DAF66D"/>
    <w:rsid w:val="1619838A"/>
    <w:rsid w:val="164F1572"/>
    <w:rsid w:val="16528248"/>
    <w:rsid w:val="1665CEDC"/>
    <w:rsid w:val="168EB9CD"/>
    <w:rsid w:val="16D05119"/>
    <w:rsid w:val="16ED535D"/>
    <w:rsid w:val="1728044F"/>
    <w:rsid w:val="17379A6E"/>
    <w:rsid w:val="175F6D98"/>
    <w:rsid w:val="17731F83"/>
    <w:rsid w:val="17881C9A"/>
    <w:rsid w:val="178E8499"/>
    <w:rsid w:val="179C9264"/>
    <w:rsid w:val="17C305B8"/>
    <w:rsid w:val="17E5F9DF"/>
    <w:rsid w:val="1813056F"/>
    <w:rsid w:val="184D954E"/>
    <w:rsid w:val="18745E24"/>
    <w:rsid w:val="1888D168"/>
    <w:rsid w:val="188D7056"/>
    <w:rsid w:val="1896D2C0"/>
    <w:rsid w:val="18A2E8A6"/>
    <w:rsid w:val="18FBECE0"/>
    <w:rsid w:val="18FC1155"/>
    <w:rsid w:val="18FE7DAB"/>
    <w:rsid w:val="19152765"/>
    <w:rsid w:val="191AE4D5"/>
    <w:rsid w:val="193E5BD6"/>
    <w:rsid w:val="197221A2"/>
    <w:rsid w:val="19965689"/>
    <w:rsid w:val="19A12D5F"/>
    <w:rsid w:val="19AA3BD3"/>
    <w:rsid w:val="19B64EA8"/>
    <w:rsid w:val="1A184602"/>
    <w:rsid w:val="1A4240DB"/>
    <w:rsid w:val="1A6F3B30"/>
    <w:rsid w:val="1A81D774"/>
    <w:rsid w:val="1A95BBD4"/>
    <w:rsid w:val="1AC96072"/>
    <w:rsid w:val="1ACE60E4"/>
    <w:rsid w:val="1ACE7FDE"/>
    <w:rsid w:val="1ADD5B71"/>
    <w:rsid w:val="1B2EEC4B"/>
    <w:rsid w:val="1B4B8A4A"/>
    <w:rsid w:val="1B4ED243"/>
    <w:rsid w:val="1B4F1991"/>
    <w:rsid w:val="1B590534"/>
    <w:rsid w:val="1BA8DB06"/>
    <w:rsid w:val="1BBBE062"/>
    <w:rsid w:val="1BD5ADFC"/>
    <w:rsid w:val="1BFDEE33"/>
    <w:rsid w:val="1C0D7971"/>
    <w:rsid w:val="1C2548ED"/>
    <w:rsid w:val="1C29F897"/>
    <w:rsid w:val="1C41CF0D"/>
    <w:rsid w:val="1C41D436"/>
    <w:rsid w:val="1C51AB6E"/>
    <w:rsid w:val="1C5B57F1"/>
    <w:rsid w:val="1C669B27"/>
    <w:rsid w:val="1C6A43E8"/>
    <w:rsid w:val="1C7227F3"/>
    <w:rsid w:val="1C867E19"/>
    <w:rsid w:val="1CEDD1C9"/>
    <w:rsid w:val="1CFD4A5F"/>
    <w:rsid w:val="1D08B448"/>
    <w:rsid w:val="1D2648C6"/>
    <w:rsid w:val="1D40C7C0"/>
    <w:rsid w:val="1D80C1D9"/>
    <w:rsid w:val="1DAF2DDC"/>
    <w:rsid w:val="1DE47B44"/>
    <w:rsid w:val="1DED02F5"/>
    <w:rsid w:val="1E22418D"/>
    <w:rsid w:val="1E3211A0"/>
    <w:rsid w:val="1E3C1FA4"/>
    <w:rsid w:val="1E430FAD"/>
    <w:rsid w:val="1E8B6475"/>
    <w:rsid w:val="1EBC275B"/>
    <w:rsid w:val="1EDEFF53"/>
    <w:rsid w:val="1F28F4F3"/>
    <w:rsid w:val="1F3EFCF0"/>
    <w:rsid w:val="1F4CE557"/>
    <w:rsid w:val="1F86FB6A"/>
    <w:rsid w:val="1FE31D60"/>
    <w:rsid w:val="1FEA349D"/>
    <w:rsid w:val="20214681"/>
    <w:rsid w:val="2035D496"/>
    <w:rsid w:val="2052147A"/>
    <w:rsid w:val="20659B04"/>
    <w:rsid w:val="20755747"/>
    <w:rsid w:val="207D28F3"/>
    <w:rsid w:val="20A9EDAC"/>
    <w:rsid w:val="20DAECE4"/>
    <w:rsid w:val="211610F1"/>
    <w:rsid w:val="2122B691"/>
    <w:rsid w:val="21261CD8"/>
    <w:rsid w:val="21282602"/>
    <w:rsid w:val="2134A5E7"/>
    <w:rsid w:val="213F4535"/>
    <w:rsid w:val="21A9FBE4"/>
    <w:rsid w:val="21AE17FD"/>
    <w:rsid w:val="21AF1E5B"/>
    <w:rsid w:val="21F6D312"/>
    <w:rsid w:val="21F9E5D4"/>
    <w:rsid w:val="222182BD"/>
    <w:rsid w:val="2249880D"/>
    <w:rsid w:val="2253E43B"/>
    <w:rsid w:val="226E26F9"/>
    <w:rsid w:val="22802E64"/>
    <w:rsid w:val="22961AE6"/>
    <w:rsid w:val="229AE460"/>
    <w:rsid w:val="22CB335F"/>
    <w:rsid w:val="22D8F4DD"/>
    <w:rsid w:val="22F17A47"/>
    <w:rsid w:val="2359A2A1"/>
    <w:rsid w:val="237EF1BC"/>
    <w:rsid w:val="23EDF7A5"/>
    <w:rsid w:val="23FA2BFA"/>
    <w:rsid w:val="241722F6"/>
    <w:rsid w:val="2419AB21"/>
    <w:rsid w:val="242ADCB7"/>
    <w:rsid w:val="24584D11"/>
    <w:rsid w:val="2460E2FF"/>
    <w:rsid w:val="24918311"/>
    <w:rsid w:val="24A4AB75"/>
    <w:rsid w:val="24B5750B"/>
    <w:rsid w:val="24C396FC"/>
    <w:rsid w:val="24C6F9E8"/>
    <w:rsid w:val="24FCFC23"/>
    <w:rsid w:val="25145BEE"/>
    <w:rsid w:val="252B0D81"/>
    <w:rsid w:val="254DB091"/>
    <w:rsid w:val="255350ED"/>
    <w:rsid w:val="25576229"/>
    <w:rsid w:val="25747E78"/>
    <w:rsid w:val="25B8C0AD"/>
    <w:rsid w:val="25E95EA3"/>
    <w:rsid w:val="260EC392"/>
    <w:rsid w:val="2626FF75"/>
    <w:rsid w:val="2635D46A"/>
    <w:rsid w:val="26426F89"/>
    <w:rsid w:val="266BEBA8"/>
    <w:rsid w:val="266E71E6"/>
    <w:rsid w:val="26744BBB"/>
    <w:rsid w:val="2675290F"/>
    <w:rsid w:val="268CC986"/>
    <w:rsid w:val="26BA94A2"/>
    <w:rsid w:val="2712C53D"/>
    <w:rsid w:val="2743E4BA"/>
    <w:rsid w:val="277E825B"/>
    <w:rsid w:val="2786E121"/>
    <w:rsid w:val="27A5073C"/>
    <w:rsid w:val="27E04D32"/>
    <w:rsid w:val="27E931EE"/>
    <w:rsid w:val="27F67B4E"/>
    <w:rsid w:val="281CD808"/>
    <w:rsid w:val="283A433E"/>
    <w:rsid w:val="283AF99C"/>
    <w:rsid w:val="2865EB74"/>
    <w:rsid w:val="28816BF7"/>
    <w:rsid w:val="288E81BE"/>
    <w:rsid w:val="28B6606C"/>
    <w:rsid w:val="28BB61D3"/>
    <w:rsid w:val="28E06F72"/>
    <w:rsid w:val="28E5EE07"/>
    <w:rsid w:val="28E90975"/>
    <w:rsid w:val="290F9BC4"/>
    <w:rsid w:val="2910C4DD"/>
    <w:rsid w:val="291D83A9"/>
    <w:rsid w:val="29371E4E"/>
    <w:rsid w:val="293FD79B"/>
    <w:rsid w:val="2947D728"/>
    <w:rsid w:val="29570F41"/>
    <w:rsid w:val="2985B608"/>
    <w:rsid w:val="2995CEB7"/>
    <w:rsid w:val="29F3E4FD"/>
    <w:rsid w:val="2A1D67DC"/>
    <w:rsid w:val="2A371CEC"/>
    <w:rsid w:val="2A41D0F8"/>
    <w:rsid w:val="2A837A2D"/>
    <w:rsid w:val="2AA5B30C"/>
    <w:rsid w:val="2AAD3C5D"/>
    <w:rsid w:val="2ABEBD39"/>
    <w:rsid w:val="2AD97DE1"/>
    <w:rsid w:val="2ADD7B8B"/>
    <w:rsid w:val="2AED97E5"/>
    <w:rsid w:val="2B63A92D"/>
    <w:rsid w:val="2B7356E3"/>
    <w:rsid w:val="2BA3155A"/>
    <w:rsid w:val="2BA88199"/>
    <w:rsid w:val="2BAA506A"/>
    <w:rsid w:val="2BAF4715"/>
    <w:rsid w:val="2BD5C93C"/>
    <w:rsid w:val="2BDF1323"/>
    <w:rsid w:val="2BFBD648"/>
    <w:rsid w:val="2BFD5C3B"/>
    <w:rsid w:val="2C20AA37"/>
    <w:rsid w:val="2C2A266F"/>
    <w:rsid w:val="2C339D8A"/>
    <w:rsid w:val="2C4643F5"/>
    <w:rsid w:val="2C7595EB"/>
    <w:rsid w:val="2C94E5EB"/>
    <w:rsid w:val="2CAFB2C0"/>
    <w:rsid w:val="2CCAEE74"/>
    <w:rsid w:val="2CD5E2CF"/>
    <w:rsid w:val="2CFC5E83"/>
    <w:rsid w:val="2D0FEA4B"/>
    <w:rsid w:val="2D368779"/>
    <w:rsid w:val="2D38848A"/>
    <w:rsid w:val="2D3A38A9"/>
    <w:rsid w:val="2D9987B5"/>
    <w:rsid w:val="2DAC373A"/>
    <w:rsid w:val="2E0F4BBE"/>
    <w:rsid w:val="2E1E7DD7"/>
    <w:rsid w:val="2E5022D6"/>
    <w:rsid w:val="2E997F86"/>
    <w:rsid w:val="2EAC1E1D"/>
    <w:rsid w:val="2EAFF38D"/>
    <w:rsid w:val="2EBF9954"/>
    <w:rsid w:val="2EC63260"/>
    <w:rsid w:val="2EF737AC"/>
    <w:rsid w:val="2EFE2EF1"/>
    <w:rsid w:val="2F1988A7"/>
    <w:rsid w:val="2F1C5DD8"/>
    <w:rsid w:val="2F303B7A"/>
    <w:rsid w:val="2F385AD6"/>
    <w:rsid w:val="2F4549BA"/>
    <w:rsid w:val="2F567637"/>
    <w:rsid w:val="2F799CF3"/>
    <w:rsid w:val="2F7E84BA"/>
    <w:rsid w:val="2FB3770C"/>
    <w:rsid w:val="2FE0A540"/>
    <w:rsid w:val="2FE2F429"/>
    <w:rsid w:val="2FEE76DA"/>
    <w:rsid w:val="301FF6E7"/>
    <w:rsid w:val="305B8542"/>
    <w:rsid w:val="30B2281C"/>
    <w:rsid w:val="30DA9A16"/>
    <w:rsid w:val="30E902E5"/>
    <w:rsid w:val="30F41B5A"/>
    <w:rsid w:val="30F5E7D0"/>
    <w:rsid w:val="310EE4A2"/>
    <w:rsid w:val="3181E03A"/>
    <w:rsid w:val="3191BAF3"/>
    <w:rsid w:val="31BA5060"/>
    <w:rsid w:val="31ED19C5"/>
    <w:rsid w:val="31F6CB7B"/>
    <w:rsid w:val="32185202"/>
    <w:rsid w:val="324FB352"/>
    <w:rsid w:val="325F2ACB"/>
    <w:rsid w:val="32651B34"/>
    <w:rsid w:val="326D1DBD"/>
    <w:rsid w:val="328D1A0D"/>
    <w:rsid w:val="3296E764"/>
    <w:rsid w:val="329B4464"/>
    <w:rsid w:val="329D8176"/>
    <w:rsid w:val="329F3BD3"/>
    <w:rsid w:val="32E00FF8"/>
    <w:rsid w:val="32F18B46"/>
    <w:rsid w:val="32F3A877"/>
    <w:rsid w:val="330E7B0F"/>
    <w:rsid w:val="333BECFA"/>
    <w:rsid w:val="3342E5A4"/>
    <w:rsid w:val="336B682D"/>
    <w:rsid w:val="336F2DD2"/>
    <w:rsid w:val="3381C2B9"/>
    <w:rsid w:val="33C16FB8"/>
    <w:rsid w:val="33C2B72C"/>
    <w:rsid w:val="33EA5889"/>
    <w:rsid w:val="33F6C705"/>
    <w:rsid w:val="34121AD0"/>
    <w:rsid w:val="347EB3B3"/>
    <w:rsid w:val="349946F9"/>
    <w:rsid w:val="349CCDF1"/>
    <w:rsid w:val="34AE8C99"/>
    <w:rsid w:val="34D0CCC4"/>
    <w:rsid w:val="3512A032"/>
    <w:rsid w:val="35674262"/>
    <w:rsid w:val="3567A457"/>
    <w:rsid w:val="356D8E78"/>
    <w:rsid w:val="359C28C0"/>
    <w:rsid w:val="359CC7C1"/>
    <w:rsid w:val="35C60970"/>
    <w:rsid w:val="35C7034A"/>
    <w:rsid w:val="35D6C87D"/>
    <w:rsid w:val="3604B617"/>
    <w:rsid w:val="361A9715"/>
    <w:rsid w:val="3625EBF7"/>
    <w:rsid w:val="36338E8D"/>
    <w:rsid w:val="36608B95"/>
    <w:rsid w:val="3696AA24"/>
    <w:rsid w:val="36A43377"/>
    <w:rsid w:val="36C34382"/>
    <w:rsid w:val="36CE8F35"/>
    <w:rsid w:val="36F1A11A"/>
    <w:rsid w:val="370B5A2D"/>
    <w:rsid w:val="3731CE3B"/>
    <w:rsid w:val="373730D0"/>
    <w:rsid w:val="373D8875"/>
    <w:rsid w:val="373E3A0E"/>
    <w:rsid w:val="37517361"/>
    <w:rsid w:val="37A95FF0"/>
    <w:rsid w:val="37BD8833"/>
    <w:rsid w:val="37BFE2CE"/>
    <w:rsid w:val="38396D95"/>
    <w:rsid w:val="385F13E3"/>
    <w:rsid w:val="385FDC81"/>
    <w:rsid w:val="38639C76"/>
    <w:rsid w:val="38689355"/>
    <w:rsid w:val="38B48253"/>
    <w:rsid w:val="38BB6D0A"/>
    <w:rsid w:val="391E4FF2"/>
    <w:rsid w:val="3936289C"/>
    <w:rsid w:val="39375A06"/>
    <w:rsid w:val="39410688"/>
    <w:rsid w:val="394B67E8"/>
    <w:rsid w:val="398265D0"/>
    <w:rsid w:val="39FC886B"/>
    <w:rsid w:val="3A13777A"/>
    <w:rsid w:val="3A352686"/>
    <w:rsid w:val="3A3F6D2B"/>
    <w:rsid w:val="3A499E89"/>
    <w:rsid w:val="3A4D40B6"/>
    <w:rsid w:val="3A6E209B"/>
    <w:rsid w:val="3A73C72F"/>
    <w:rsid w:val="3A96F32A"/>
    <w:rsid w:val="3A9B12E6"/>
    <w:rsid w:val="3AA60CB3"/>
    <w:rsid w:val="3AB4C1E1"/>
    <w:rsid w:val="3AB8096C"/>
    <w:rsid w:val="3AF29194"/>
    <w:rsid w:val="3B0689F6"/>
    <w:rsid w:val="3B3CDCF8"/>
    <w:rsid w:val="3B4CA496"/>
    <w:rsid w:val="3B81EA49"/>
    <w:rsid w:val="3BB43023"/>
    <w:rsid w:val="3BBC235D"/>
    <w:rsid w:val="3BC67AA6"/>
    <w:rsid w:val="3BE6A872"/>
    <w:rsid w:val="3BFB90DC"/>
    <w:rsid w:val="3C322337"/>
    <w:rsid w:val="3C502F0B"/>
    <w:rsid w:val="3C55F0B4"/>
    <w:rsid w:val="3C77E0F8"/>
    <w:rsid w:val="3C855CFC"/>
    <w:rsid w:val="3C8A899B"/>
    <w:rsid w:val="3C8FC9D5"/>
    <w:rsid w:val="3C9AEB2F"/>
    <w:rsid w:val="3CADA84C"/>
    <w:rsid w:val="3CBB06D8"/>
    <w:rsid w:val="3CC3CC68"/>
    <w:rsid w:val="3CCBF088"/>
    <w:rsid w:val="3CD14457"/>
    <w:rsid w:val="3CD581D4"/>
    <w:rsid w:val="3CD5CD61"/>
    <w:rsid w:val="3CE7BACD"/>
    <w:rsid w:val="3CF1AFBE"/>
    <w:rsid w:val="3CFD667D"/>
    <w:rsid w:val="3D3703A5"/>
    <w:rsid w:val="3D7AAB06"/>
    <w:rsid w:val="3E05B8D7"/>
    <w:rsid w:val="3E151BD5"/>
    <w:rsid w:val="3E4F8B4E"/>
    <w:rsid w:val="3E62A10A"/>
    <w:rsid w:val="3E6789E1"/>
    <w:rsid w:val="3E766C0A"/>
    <w:rsid w:val="3E90EB62"/>
    <w:rsid w:val="3EA8BD5B"/>
    <w:rsid w:val="3EB29D4F"/>
    <w:rsid w:val="3EB6F1CC"/>
    <w:rsid w:val="3EBB39A0"/>
    <w:rsid w:val="3ED4F3EC"/>
    <w:rsid w:val="3EE35862"/>
    <w:rsid w:val="3EEE0553"/>
    <w:rsid w:val="3F019AF4"/>
    <w:rsid w:val="3F160AE1"/>
    <w:rsid w:val="3F196BED"/>
    <w:rsid w:val="3F35933F"/>
    <w:rsid w:val="3F54C77C"/>
    <w:rsid w:val="3F9320BA"/>
    <w:rsid w:val="3F957EFC"/>
    <w:rsid w:val="3FDD0624"/>
    <w:rsid w:val="3FDD334F"/>
    <w:rsid w:val="4012933C"/>
    <w:rsid w:val="40130B11"/>
    <w:rsid w:val="4041FB68"/>
    <w:rsid w:val="4060AEA9"/>
    <w:rsid w:val="407496EE"/>
    <w:rsid w:val="40815469"/>
    <w:rsid w:val="4084FCE4"/>
    <w:rsid w:val="40AA3B79"/>
    <w:rsid w:val="40C16FD0"/>
    <w:rsid w:val="40C4F418"/>
    <w:rsid w:val="40D163A0"/>
    <w:rsid w:val="41215C9B"/>
    <w:rsid w:val="412F08D8"/>
    <w:rsid w:val="41325C62"/>
    <w:rsid w:val="413BF0AA"/>
    <w:rsid w:val="4140A2D8"/>
    <w:rsid w:val="415D6595"/>
    <w:rsid w:val="41747D0C"/>
    <w:rsid w:val="419D216C"/>
    <w:rsid w:val="41C9510B"/>
    <w:rsid w:val="41D6EA4C"/>
    <w:rsid w:val="424D954E"/>
    <w:rsid w:val="425BB854"/>
    <w:rsid w:val="4268B1FF"/>
    <w:rsid w:val="4279AF57"/>
    <w:rsid w:val="42ED3F9E"/>
    <w:rsid w:val="433E09F3"/>
    <w:rsid w:val="43441D10"/>
    <w:rsid w:val="4364DD61"/>
    <w:rsid w:val="43960C2C"/>
    <w:rsid w:val="43B2AD1D"/>
    <w:rsid w:val="43CAF62E"/>
    <w:rsid w:val="43D28202"/>
    <w:rsid w:val="440BA95D"/>
    <w:rsid w:val="441A4287"/>
    <w:rsid w:val="4425D028"/>
    <w:rsid w:val="443E724E"/>
    <w:rsid w:val="444D0ED6"/>
    <w:rsid w:val="44606AF4"/>
    <w:rsid w:val="44878E76"/>
    <w:rsid w:val="4491FC02"/>
    <w:rsid w:val="44A02C62"/>
    <w:rsid w:val="44ACB81E"/>
    <w:rsid w:val="44C85838"/>
    <w:rsid w:val="44CD07CB"/>
    <w:rsid w:val="44E036F4"/>
    <w:rsid w:val="44F95563"/>
    <w:rsid w:val="4509802A"/>
    <w:rsid w:val="4513F49A"/>
    <w:rsid w:val="451CC4E0"/>
    <w:rsid w:val="4522E873"/>
    <w:rsid w:val="452A266D"/>
    <w:rsid w:val="45477740"/>
    <w:rsid w:val="4551E378"/>
    <w:rsid w:val="456F93CE"/>
    <w:rsid w:val="45B7F2A5"/>
    <w:rsid w:val="45E43BD3"/>
    <w:rsid w:val="45FB3AAF"/>
    <w:rsid w:val="4624D014"/>
    <w:rsid w:val="4631BF24"/>
    <w:rsid w:val="463AC120"/>
    <w:rsid w:val="464BED71"/>
    <w:rsid w:val="464E8A9A"/>
    <w:rsid w:val="46614F6A"/>
    <w:rsid w:val="466846DD"/>
    <w:rsid w:val="46CBFB7E"/>
    <w:rsid w:val="46D838FB"/>
    <w:rsid w:val="47019A02"/>
    <w:rsid w:val="4753F023"/>
    <w:rsid w:val="47629F25"/>
    <w:rsid w:val="47735BA2"/>
    <w:rsid w:val="477E7BBD"/>
    <w:rsid w:val="47957D4F"/>
    <w:rsid w:val="47B037F4"/>
    <w:rsid w:val="47B108E5"/>
    <w:rsid w:val="47B411ED"/>
    <w:rsid w:val="47F87165"/>
    <w:rsid w:val="480B5CEA"/>
    <w:rsid w:val="4810B340"/>
    <w:rsid w:val="4811CFB5"/>
    <w:rsid w:val="4853D27B"/>
    <w:rsid w:val="487BD240"/>
    <w:rsid w:val="4893568D"/>
    <w:rsid w:val="489ED372"/>
    <w:rsid w:val="48AC29C4"/>
    <w:rsid w:val="48B83F50"/>
    <w:rsid w:val="48CE8407"/>
    <w:rsid w:val="48D71165"/>
    <w:rsid w:val="48DBD849"/>
    <w:rsid w:val="48EBC408"/>
    <w:rsid w:val="48FFD085"/>
    <w:rsid w:val="490E0684"/>
    <w:rsid w:val="49113B3B"/>
    <w:rsid w:val="4914162C"/>
    <w:rsid w:val="492B2543"/>
    <w:rsid w:val="492D2F8F"/>
    <w:rsid w:val="492E0205"/>
    <w:rsid w:val="49354EEB"/>
    <w:rsid w:val="494B37C0"/>
    <w:rsid w:val="4956475A"/>
    <w:rsid w:val="4972A639"/>
    <w:rsid w:val="498ACA8E"/>
    <w:rsid w:val="49ADF877"/>
    <w:rsid w:val="4A070916"/>
    <w:rsid w:val="4A26FD83"/>
    <w:rsid w:val="4A77AB5D"/>
    <w:rsid w:val="4A7F3660"/>
    <w:rsid w:val="4A8E757E"/>
    <w:rsid w:val="4AB6112F"/>
    <w:rsid w:val="4AC087AD"/>
    <w:rsid w:val="4AC1388D"/>
    <w:rsid w:val="4AD4BCD7"/>
    <w:rsid w:val="4AEB63A6"/>
    <w:rsid w:val="4AF1C9C2"/>
    <w:rsid w:val="4B0EBC32"/>
    <w:rsid w:val="4B0EDB81"/>
    <w:rsid w:val="4B151D39"/>
    <w:rsid w:val="4B34EBF4"/>
    <w:rsid w:val="4B3E2639"/>
    <w:rsid w:val="4B425C97"/>
    <w:rsid w:val="4B534073"/>
    <w:rsid w:val="4BB4BDFC"/>
    <w:rsid w:val="4BBFEE63"/>
    <w:rsid w:val="4BC273FC"/>
    <w:rsid w:val="4BCB8EC7"/>
    <w:rsid w:val="4C10505A"/>
    <w:rsid w:val="4C2A45DF"/>
    <w:rsid w:val="4C2D1952"/>
    <w:rsid w:val="4C46E8CC"/>
    <w:rsid w:val="4C4A549B"/>
    <w:rsid w:val="4C4FDA82"/>
    <w:rsid w:val="4D4A8912"/>
    <w:rsid w:val="4DC6E15D"/>
    <w:rsid w:val="4DCC7A28"/>
    <w:rsid w:val="4DDBAF15"/>
    <w:rsid w:val="4E127801"/>
    <w:rsid w:val="4E83DEF8"/>
    <w:rsid w:val="4E87B735"/>
    <w:rsid w:val="4EBC5D05"/>
    <w:rsid w:val="4EE2F8C8"/>
    <w:rsid w:val="4F00E0BC"/>
    <w:rsid w:val="4F5089B8"/>
    <w:rsid w:val="4F8287A7"/>
    <w:rsid w:val="4F9607BC"/>
    <w:rsid w:val="4FAF3C68"/>
    <w:rsid w:val="4FBC0E3E"/>
    <w:rsid w:val="4FC39C5A"/>
    <w:rsid w:val="50041C41"/>
    <w:rsid w:val="502566D3"/>
    <w:rsid w:val="502C0F5A"/>
    <w:rsid w:val="50A122C1"/>
    <w:rsid w:val="50A35523"/>
    <w:rsid w:val="50D3E57E"/>
    <w:rsid w:val="50FBE4C9"/>
    <w:rsid w:val="510FC56B"/>
    <w:rsid w:val="511D6390"/>
    <w:rsid w:val="51382A13"/>
    <w:rsid w:val="5145E013"/>
    <w:rsid w:val="5155A25C"/>
    <w:rsid w:val="51672274"/>
    <w:rsid w:val="517D14C7"/>
    <w:rsid w:val="518F1B16"/>
    <w:rsid w:val="51B6D5A4"/>
    <w:rsid w:val="51DF2BB2"/>
    <w:rsid w:val="51ED666C"/>
    <w:rsid w:val="52076043"/>
    <w:rsid w:val="5228924B"/>
    <w:rsid w:val="522F40FA"/>
    <w:rsid w:val="5231F964"/>
    <w:rsid w:val="5241D915"/>
    <w:rsid w:val="5254399C"/>
    <w:rsid w:val="52679750"/>
    <w:rsid w:val="52A0197C"/>
    <w:rsid w:val="5325A999"/>
    <w:rsid w:val="53275A6F"/>
    <w:rsid w:val="532C83DF"/>
    <w:rsid w:val="53B4E445"/>
    <w:rsid w:val="53C6E36E"/>
    <w:rsid w:val="53FA1A1C"/>
    <w:rsid w:val="54114DE0"/>
    <w:rsid w:val="5423FADB"/>
    <w:rsid w:val="5424FA3A"/>
    <w:rsid w:val="542E7B9A"/>
    <w:rsid w:val="543DA81A"/>
    <w:rsid w:val="5441C610"/>
    <w:rsid w:val="5444F34A"/>
    <w:rsid w:val="544CBA15"/>
    <w:rsid w:val="5455002C"/>
    <w:rsid w:val="547E1E45"/>
    <w:rsid w:val="54869BA0"/>
    <w:rsid w:val="54DD88C8"/>
    <w:rsid w:val="54E619F3"/>
    <w:rsid w:val="54F9C2C2"/>
    <w:rsid w:val="55403FF1"/>
    <w:rsid w:val="5557DD12"/>
    <w:rsid w:val="55678FBA"/>
    <w:rsid w:val="5572AC62"/>
    <w:rsid w:val="55804636"/>
    <w:rsid w:val="558CF462"/>
    <w:rsid w:val="55B6EDAB"/>
    <w:rsid w:val="55D666E2"/>
    <w:rsid w:val="55DE1579"/>
    <w:rsid w:val="55E78352"/>
    <w:rsid w:val="55E9D2D9"/>
    <w:rsid w:val="55EACC2C"/>
    <w:rsid w:val="5631E1C1"/>
    <w:rsid w:val="563E167C"/>
    <w:rsid w:val="567A7EF2"/>
    <w:rsid w:val="56BBD4E6"/>
    <w:rsid w:val="56CC4FC5"/>
    <w:rsid w:val="56D11647"/>
    <w:rsid w:val="56E39E78"/>
    <w:rsid w:val="571EB2F3"/>
    <w:rsid w:val="572E4AF7"/>
    <w:rsid w:val="57352CAB"/>
    <w:rsid w:val="57367485"/>
    <w:rsid w:val="574F3CD0"/>
    <w:rsid w:val="5758B829"/>
    <w:rsid w:val="57E31A88"/>
    <w:rsid w:val="5816A401"/>
    <w:rsid w:val="5818DFF1"/>
    <w:rsid w:val="58327229"/>
    <w:rsid w:val="5837B8B7"/>
    <w:rsid w:val="585004BE"/>
    <w:rsid w:val="585F2B4F"/>
    <w:rsid w:val="587B0237"/>
    <w:rsid w:val="589D597D"/>
    <w:rsid w:val="58B5EC5D"/>
    <w:rsid w:val="58B7DCD3"/>
    <w:rsid w:val="58EDA0C9"/>
    <w:rsid w:val="58F52B1D"/>
    <w:rsid w:val="5944C69D"/>
    <w:rsid w:val="59A62743"/>
    <w:rsid w:val="59CAE9AC"/>
    <w:rsid w:val="59F3CBF3"/>
    <w:rsid w:val="59F47745"/>
    <w:rsid w:val="59FA16EE"/>
    <w:rsid w:val="59FAFBB0"/>
    <w:rsid w:val="5A16B99F"/>
    <w:rsid w:val="5A1F7073"/>
    <w:rsid w:val="5A29F170"/>
    <w:rsid w:val="5A3CCE48"/>
    <w:rsid w:val="5A46313E"/>
    <w:rsid w:val="5A6BC69D"/>
    <w:rsid w:val="5A7BF0C2"/>
    <w:rsid w:val="5A8BBF13"/>
    <w:rsid w:val="5A9CE200"/>
    <w:rsid w:val="5AADB13C"/>
    <w:rsid w:val="5AC2832F"/>
    <w:rsid w:val="5AD52D10"/>
    <w:rsid w:val="5ADD7F10"/>
    <w:rsid w:val="5ADDB0E6"/>
    <w:rsid w:val="5AED063D"/>
    <w:rsid w:val="5AF70AFC"/>
    <w:rsid w:val="5B20289C"/>
    <w:rsid w:val="5B5B276B"/>
    <w:rsid w:val="5B7B0517"/>
    <w:rsid w:val="5B96CC11"/>
    <w:rsid w:val="5BDADEF8"/>
    <w:rsid w:val="5C1FA7EE"/>
    <w:rsid w:val="5C236866"/>
    <w:rsid w:val="5C5FFED0"/>
    <w:rsid w:val="5CA61A22"/>
    <w:rsid w:val="5CB2E005"/>
    <w:rsid w:val="5CCFC7E6"/>
    <w:rsid w:val="5CFCD8F5"/>
    <w:rsid w:val="5D1C41CB"/>
    <w:rsid w:val="5D480416"/>
    <w:rsid w:val="5D525130"/>
    <w:rsid w:val="5D78F116"/>
    <w:rsid w:val="5D993C7E"/>
    <w:rsid w:val="5DA1760C"/>
    <w:rsid w:val="5DA768EF"/>
    <w:rsid w:val="5DEBA3BA"/>
    <w:rsid w:val="5E0CCDD2"/>
    <w:rsid w:val="5E252214"/>
    <w:rsid w:val="5E4F5CA5"/>
    <w:rsid w:val="5EA0A508"/>
    <w:rsid w:val="5EB680B8"/>
    <w:rsid w:val="5EF81509"/>
    <w:rsid w:val="5F21C253"/>
    <w:rsid w:val="5F29B117"/>
    <w:rsid w:val="5F2A6735"/>
    <w:rsid w:val="5F339F3A"/>
    <w:rsid w:val="5F5C4201"/>
    <w:rsid w:val="5F9A13D5"/>
    <w:rsid w:val="5FA76F16"/>
    <w:rsid w:val="5FCBF449"/>
    <w:rsid w:val="5FE502A2"/>
    <w:rsid w:val="5FECB27C"/>
    <w:rsid w:val="602B1E55"/>
    <w:rsid w:val="603C7569"/>
    <w:rsid w:val="6046A213"/>
    <w:rsid w:val="604D204F"/>
    <w:rsid w:val="6059DBE2"/>
    <w:rsid w:val="60AABD4A"/>
    <w:rsid w:val="60C176D9"/>
    <w:rsid w:val="60C9B913"/>
    <w:rsid w:val="60D08522"/>
    <w:rsid w:val="6125E545"/>
    <w:rsid w:val="61433F77"/>
    <w:rsid w:val="614BF64B"/>
    <w:rsid w:val="616A8066"/>
    <w:rsid w:val="61852146"/>
    <w:rsid w:val="619498E1"/>
    <w:rsid w:val="61A53BC9"/>
    <w:rsid w:val="61D15C62"/>
    <w:rsid w:val="61DB0E2D"/>
    <w:rsid w:val="61E79295"/>
    <w:rsid w:val="621EE3EC"/>
    <w:rsid w:val="623397C6"/>
    <w:rsid w:val="62486495"/>
    <w:rsid w:val="626203BE"/>
    <w:rsid w:val="6280CFB9"/>
    <w:rsid w:val="62962830"/>
    <w:rsid w:val="62E136F7"/>
    <w:rsid w:val="62E535E1"/>
    <w:rsid w:val="62F1829E"/>
    <w:rsid w:val="6314FA2D"/>
    <w:rsid w:val="634629DC"/>
    <w:rsid w:val="63713A04"/>
    <w:rsid w:val="638DE0C5"/>
    <w:rsid w:val="63ADE928"/>
    <w:rsid w:val="63C1C2A3"/>
    <w:rsid w:val="63F1BCA4"/>
    <w:rsid w:val="63F4EF92"/>
    <w:rsid w:val="63FEF101"/>
    <w:rsid w:val="640EFDE3"/>
    <w:rsid w:val="641FC589"/>
    <w:rsid w:val="642CDCDB"/>
    <w:rsid w:val="64435495"/>
    <w:rsid w:val="6457EF86"/>
    <w:rsid w:val="647A303D"/>
    <w:rsid w:val="64906EAF"/>
    <w:rsid w:val="64E8F669"/>
    <w:rsid w:val="64F2F7D8"/>
    <w:rsid w:val="6519F298"/>
    <w:rsid w:val="654EA4B0"/>
    <w:rsid w:val="65D96008"/>
    <w:rsid w:val="660DBB8D"/>
    <w:rsid w:val="669150C2"/>
    <w:rsid w:val="6697B938"/>
    <w:rsid w:val="669CE72E"/>
    <w:rsid w:val="66A3403C"/>
    <w:rsid w:val="66B151FC"/>
    <w:rsid w:val="66B6D16D"/>
    <w:rsid w:val="66E03ED6"/>
    <w:rsid w:val="66E4FDEF"/>
    <w:rsid w:val="66EF2797"/>
    <w:rsid w:val="66FF85C0"/>
    <w:rsid w:val="67303654"/>
    <w:rsid w:val="67621171"/>
    <w:rsid w:val="67929553"/>
    <w:rsid w:val="67C2742B"/>
    <w:rsid w:val="67C46A25"/>
    <w:rsid w:val="67C8B8E9"/>
    <w:rsid w:val="67CCD886"/>
    <w:rsid w:val="67EA3C99"/>
    <w:rsid w:val="680EF19A"/>
    <w:rsid w:val="68328AC0"/>
    <w:rsid w:val="683A1E48"/>
    <w:rsid w:val="6843054C"/>
    <w:rsid w:val="68638F8B"/>
    <w:rsid w:val="68791546"/>
    <w:rsid w:val="68D3FD91"/>
    <w:rsid w:val="69082D28"/>
    <w:rsid w:val="69190F73"/>
    <w:rsid w:val="692D725C"/>
    <w:rsid w:val="69401CF0"/>
    <w:rsid w:val="69576DFF"/>
    <w:rsid w:val="69D46B91"/>
    <w:rsid w:val="69D8194B"/>
    <w:rsid w:val="69DED5AD"/>
    <w:rsid w:val="6A0D2947"/>
    <w:rsid w:val="6A2AA0D0"/>
    <w:rsid w:val="6A37A462"/>
    <w:rsid w:val="6A41B312"/>
    <w:rsid w:val="6AC040FE"/>
    <w:rsid w:val="6AD8A01B"/>
    <w:rsid w:val="6AEB257F"/>
    <w:rsid w:val="6B0177C8"/>
    <w:rsid w:val="6B2FF408"/>
    <w:rsid w:val="6B33CEDE"/>
    <w:rsid w:val="6B3DDEC7"/>
    <w:rsid w:val="6B57580F"/>
    <w:rsid w:val="6B617DB1"/>
    <w:rsid w:val="6B698916"/>
    <w:rsid w:val="6BF557B8"/>
    <w:rsid w:val="6C0E8015"/>
    <w:rsid w:val="6C411368"/>
    <w:rsid w:val="6C4974B0"/>
    <w:rsid w:val="6C7EFCF3"/>
    <w:rsid w:val="6C876FCD"/>
    <w:rsid w:val="6C89CAEE"/>
    <w:rsid w:val="6C900EA7"/>
    <w:rsid w:val="6CD29D53"/>
    <w:rsid w:val="6D21750F"/>
    <w:rsid w:val="6D335BB1"/>
    <w:rsid w:val="6D4444CC"/>
    <w:rsid w:val="6D4C2D92"/>
    <w:rsid w:val="6D517EDA"/>
    <w:rsid w:val="6D86AF13"/>
    <w:rsid w:val="6D9DA24C"/>
    <w:rsid w:val="6DA5A171"/>
    <w:rsid w:val="6DCEBC4C"/>
    <w:rsid w:val="6DE9E1CF"/>
    <w:rsid w:val="6E2504C1"/>
    <w:rsid w:val="6E44397C"/>
    <w:rsid w:val="6E4584C5"/>
    <w:rsid w:val="6E5021C2"/>
    <w:rsid w:val="6E82F0C5"/>
    <w:rsid w:val="6E9EDA62"/>
    <w:rsid w:val="6EAAB218"/>
    <w:rsid w:val="6EB5D4BA"/>
    <w:rsid w:val="6EBFFB3E"/>
    <w:rsid w:val="6EC9224F"/>
    <w:rsid w:val="6F0B6B84"/>
    <w:rsid w:val="6F316C5F"/>
    <w:rsid w:val="6F35A414"/>
    <w:rsid w:val="6F597A5E"/>
    <w:rsid w:val="6F5EE8FE"/>
    <w:rsid w:val="6F94B2CF"/>
    <w:rsid w:val="701EEAC6"/>
    <w:rsid w:val="703D5494"/>
    <w:rsid w:val="70463354"/>
    <w:rsid w:val="70654DE2"/>
    <w:rsid w:val="70ACDEF2"/>
    <w:rsid w:val="711A6738"/>
    <w:rsid w:val="7146A0BA"/>
    <w:rsid w:val="71721397"/>
    <w:rsid w:val="717924DF"/>
    <w:rsid w:val="71C044A9"/>
    <w:rsid w:val="7203F3C8"/>
    <w:rsid w:val="7210A78F"/>
    <w:rsid w:val="72326CE5"/>
    <w:rsid w:val="723C1D33"/>
    <w:rsid w:val="7259D240"/>
    <w:rsid w:val="7265D0F2"/>
    <w:rsid w:val="726F6335"/>
    <w:rsid w:val="72837202"/>
    <w:rsid w:val="72CD7326"/>
    <w:rsid w:val="72D913BE"/>
    <w:rsid w:val="72E94C57"/>
    <w:rsid w:val="72FCBFEB"/>
    <w:rsid w:val="7312A2DD"/>
    <w:rsid w:val="7314CBCE"/>
    <w:rsid w:val="73242A5D"/>
    <w:rsid w:val="7329ED28"/>
    <w:rsid w:val="735ADB82"/>
    <w:rsid w:val="735B0D86"/>
    <w:rsid w:val="73641E90"/>
    <w:rsid w:val="73908190"/>
    <w:rsid w:val="73AD5E79"/>
    <w:rsid w:val="740ABD4E"/>
    <w:rsid w:val="741C8448"/>
    <w:rsid w:val="741DBFDF"/>
    <w:rsid w:val="741F4263"/>
    <w:rsid w:val="7425D02A"/>
    <w:rsid w:val="7432AD05"/>
    <w:rsid w:val="743E322C"/>
    <w:rsid w:val="7443C1DE"/>
    <w:rsid w:val="745CDFD1"/>
    <w:rsid w:val="746093A5"/>
    <w:rsid w:val="7464D48B"/>
    <w:rsid w:val="746FB922"/>
    <w:rsid w:val="74783303"/>
    <w:rsid w:val="74920C24"/>
    <w:rsid w:val="74B94EE0"/>
    <w:rsid w:val="74C68683"/>
    <w:rsid w:val="74D6D64E"/>
    <w:rsid w:val="74F36480"/>
    <w:rsid w:val="75289A55"/>
    <w:rsid w:val="753B4F11"/>
    <w:rsid w:val="754E2E34"/>
    <w:rsid w:val="75685A6E"/>
    <w:rsid w:val="757A1B5A"/>
    <w:rsid w:val="757ECEB9"/>
    <w:rsid w:val="75A1B903"/>
    <w:rsid w:val="75A4A617"/>
    <w:rsid w:val="75C6C9DC"/>
    <w:rsid w:val="75C85C24"/>
    <w:rsid w:val="75EF2023"/>
    <w:rsid w:val="75F13B34"/>
    <w:rsid w:val="7631FE6D"/>
    <w:rsid w:val="763B2CB7"/>
    <w:rsid w:val="7645813B"/>
    <w:rsid w:val="765161B2"/>
    <w:rsid w:val="766B31F6"/>
    <w:rsid w:val="766F69AF"/>
    <w:rsid w:val="767E6606"/>
    <w:rsid w:val="7694F410"/>
    <w:rsid w:val="76B4074F"/>
    <w:rsid w:val="76E43DD3"/>
    <w:rsid w:val="76E45BA1"/>
    <w:rsid w:val="773A0663"/>
    <w:rsid w:val="774EC1CE"/>
    <w:rsid w:val="7787E876"/>
    <w:rsid w:val="77A453AC"/>
    <w:rsid w:val="77B35D7B"/>
    <w:rsid w:val="77D43AC6"/>
    <w:rsid w:val="77DF14EE"/>
    <w:rsid w:val="77EBC6C4"/>
    <w:rsid w:val="7833BD64"/>
    <w:rsid w:val="78EA942A"/>
    <w:rsid w:val="7901654F"/>
    <w:rsid w:val="7917A2BF"/>
    <w:rsid w:val="7960FB8C"/>
    <w:rsid w:val="796624F3"/>
    <w:rsid w:val="7967EBCB"/>
    <w:rsid w:val="7995F409"/>
    <w:rsid w:val="79A4D2B8"/>
    <w:rsid w:val="79A5BABE"/>
    <w:rsid w:val="79AC621D"/>
    <w:rsid w:val="79AEE38B"/>
    <w:rsid w:val="79B47A3D"/>
    <w:rsid w:val="79CC1950"/>
    <w:rsid w:val="79D61B48"/>
    <w:rsid w:val="79F32861"/>
    <w:rsid w:val="7A2D2070"/>
    <w:rsid w:val="7A482C5F"/>
    <w:rsid w:val="7A4898F4"/>
    <w:rsid w:val="7ACF940D"/>
    <w:rsid w:val="7AFA04D6"/>
    <w:rsid w:val="7B0D7170"/>
    <w:rsid w:val="7B5FEC09"/>
    <w:rsid w:val="7B74EEE7"/>
    <w:rsid w:val="7BA627EB"/>
    <w:rsid w:val="7BC0F456"/>
    <w:rsid w:val="7BD156B2"/>
    <w:rsid w:val="7BD1965C"/>
    <w:rsid w:val="7BE3C5D2"/>
    <w:rsid w:val="7C0778C9"/>
    <w:rsid w:val="7C337697"/>
    <w:rsid w:val="7C4E396F"/>
    <w:rsid w:val="7C74B91F"/>
    <w:rsid w:val="7CA672F1"/>
    <w:rsid w:val="7CF2904E"/>
    <w:rsid w:val="7D163BF0"/>
    <w:rsid w:val="7D3C6F75"/>
    <w:rsid w:val="7D4DEC24"/>
    <w:rsid w:val="7D63A963"/>
    <w:rsid w:val="7D924A23"/>
    <w:rsid w:val="7D9FDCB5"/>
    <w:rsid w:val="7DFEDEC8"/>
    <w:rsid w:val="7E067DEF"/>
    <w:rsid w:val="7E2C4D53"/>
    <w:rsid w:val="7E3F3CE3"/>
    <w:rsid w:val="7EA709E6"/>
    <w:rsid w:val="7ECB85C8"/>
    <w:rsid w:val="7F05F662"/>
    <w:rsid w:val="7F0E26FD"/>
    <w:rsid w:val="7F1B9D82"/>
    <w:rsid w:val="7F3000A9"/>
    <w:rsid w:val="7F447E32"/>
    <w:rsid w:val="7F457E46"/>
    <w:rsid w:val="7F4AE5F4"/>
    <w:rsid w:val="7F8FFCF0"/>
    <w:rsid w:val="7FA44EBC"/>
    <w:rsid w:val="7FD135C0"/>
    <w:rsid w:val="7FEDB344"/>
    <w:rsid w:val="7FF079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384A"/>
  <w15:chartTrackingRefBased/>
  <w15:docId w15:val="{1047B7C2-C7ED-4648-BCBF-AF8F576A8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6D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66DD6"/>
    <w:rPr>
      <w:color w:val="0563C1" w:themeColor="hyperlink"/>
      <w:u w:val="single"/>
    </w:rPr>
  </w:style>
  <w:style w:type="character" w:styleId="CommentReference">
    <w:name w:val="annotation reference"/>
    <w:basedOn w:val="DefaultParagraphFont"/>
    <w:uiPriority w:val="99"/>
    <w:semiHidden/>
    <w:unhideWhenUsed/>
    <w:rsid w:val="00A66DD6"/>
    <w:rPr>
      <w:sz w:val="16"/>
      <w:szCs w:val="16"/>
    </w:rPr>
  </w:style>
  <w:style w:type="paragraph" w:styleId="CommentText">
    <w:name w:val="annotation text"/>
    <w:basedOn w:val="Normal"/>
    <w:link w:val="CommentTextChar"/>
    <w:uiPriority w:val="99"/>
    <w:unhideWhenUsed/>
    <w:rsid w:val="00A66DD6"/>
    <w:pPr>
      <w:spacing w:line="240" w:lineRule="auto"/>
    </w:pPr>
    <w:rPr>
      <w:sz w:val="20"/>
      <w:szCs w:val="20"/>
    </w:rPr>
  </w:style>
  <w:style w:type="character" w:styleId="CommentTextChar" w:customStyle="1">
    <w:name w:val="Comment Text Char"/>
    <w:basedOn w:val="DefaultParagraphFont"/>
    <w:link w:val="CommentText"/>
    <w:uiPriority w:val="99"/>
    <w:rsid w:val="00A66DD6"/>
    <w:rPr>
      <w:sz w:val="20"/>
      <w:szCs w:val="20"/>
    </w:rPr>
  </w:style>
  <w:style w:type="character" w:styleId="xxnormaltextrun" w:customStyle="1">
    <w:name w:val="x_xnormaltextrun"/>
    <w:basedOn w:val="DefaultParagraphFont"/>
    <w:rsid w:val="00A66DD6"/>
  </w:style>
  <w:style w:type="character" w:styleId="xxfindhit" w:customStyle="1">
    <w:name w:val="x_xfindhit"/>
    <w:basedOn w:val="DefaultParagraphFont"/>
    <w:rsid w:val="00A66DD6"/>
  </w:style>
  <w:style w:type="character" w:styleId="normaltextrun" w:customStyle="1">
    <w:name w:val="normaltextrun"/>
    <w:basedOn w:val="DefaultParagraphFont"/>
    <w:rsid w:val="00A66DD6"/>
  </w:style>
  <w:style w:type="paragraph" w:styleId="BalloonText">
    <w:name w:val="Balloon Text"/>
    <w:basedOn w:val="Normal"/>
    <w:link w:val="BalloonTextChar"/>
    <w:uiPriority w:val="99"/>
    <w:semiHidden/>
    <w:unhideWhenUsed/>
    <w:rsid w:val="00A66D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6D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6DD6"/>
    <w:rPr>
      <w:b/>
      <w:bCs/>
    </w:rPr>
  </w:style>
  <w:style w:type="character" w:styleId="CommentSubjectChar" w:customStyle="1">
    <w:name w:val="Comment Subject Char"/>
    <w:basedOn w:val="CommentTextChar"/>
    <w:link w:val="CommentSubject"/>
    <w:uiPriority w:val="99"/>
    <w:semiHidden/>
    <w:rsid w:val="00A66DD6"/>
    <w:rPr>
      <w:b/>
      <w:bCs/>
      <w:sz w:val="20"/>
      <w:szCs w:val="20"/>
    </w:rPr>
  </w:style>
  <w:style w:type="paragraph" w:styleId="Bibliography">
    <w:name w:val="Bibliography"/>
    <w:basedOn w:val="Normal"/>
    <w:next w:val="Normal"/>
    <w:uiPriority w:val="37"/>
    <w:unhideWhenUsed/>
    <w:rsid w:val="00A66DD6"/>
    <w:pPr>
      <w:tabs>
        <w:tab w:val="left" w:pos="504"/>
      </w:tabs>
      <w:spacing w:after="240" w:line="240" w:lineRule="auto"/>
      <w:ind w:left="504" w:hanging="504"/>
    </w:pPr>
  </w:style>
  <w:style w:type="paragraph" w:styleId="ListParagraph">
    <w:name w:val="List Paragraph"/>
    <w:basedOn w:val="Normal"/>
    <w:uiPriority w:val="34"/>
    <w:qFormat/>
    <w:rsid w:val="00A66DD6"/>
    <w:pPr>
      <w:ind w:left="720"/>
      <w:contextualSpacing/>
    </w:pPr>
  </w:style>
  <w:style w:type="table" w:styleId="TableGrid">
    <w:name w:val="Table Grid"/>
    <w:basedOn w:val="TableNormal"/>
    <w:uiPriority w:val="39"/>
    <w:rsid w:val="00A66D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66D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66DD6"/>
  </w:style>
  <w:style w:type="paragraph" w:styleId="Footer">
    <w:name w:val="footer"/>
    <w:basedOn w:val="Normal"/>
    <w:link w:val="FooterChar"/>
    <w:uiPriority w:val="99"/>
    <w:unhideWhenUsed/>
    <w:rsid w:val="00A66D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66DD6"/>
  </w:style>
  <w:style w:type="character" w:styleId="eop" w:customStyle="1">
    <w:name w:val="eop"/>
    <w:basedOn w:val="DefaultParagraphFont"/>
    <w:rsid w:val="00A66DD6"/>
  </w:style>
  <w:style w:type="paragraph" w:styleId="NormalWeb">
    <w:name w:val="Normal (Web)"/>
    <w:basedOn w:val="Normal"/>
    <w:uiPriority w:val="99"/>
    <w:semiHidden/>
    <w:unhideWhenUsed/>
    <w:rsid w:val="00A66DD6"/>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paragraph" w:customStyle="1">
    <w:name w:val="paragraph"/>
    <w:basedOn w:val="Normal"/>
    <w:rsid w:val="00A66DD6"/>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Revision">
    <w:name w:val="Revision"/>
    <w:hidden/>
    <w:uiPriority w:val="99"/>
    <w:semiHidden/>
    <w:rsid w:val="00236F03"/>
    <w:pPr>
      <w:spacing w:after="0" w:line="240" w:lineRule="auto"/>
    </w:pPr>
  </w:style>
  <w:style w:type="character" w:styleId="FollowedHyperlink">
    <w:name w:val="FollowedHyperlink"/>
    <w:basedOn w:val="DefaultParagraphFont"/>
    <w:uiPriority w:val="99"/>
    <w:semiHidden/>
    <w:unhideWhenUsed/>
    <w:rsid w:val="00B93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9675">
      <w:bodyDiv w:val="1"/>
      <w:marLeft w:val="0"/>
      <w:marRight w:val="0"/>
      <w:marTop w:val="0"/>
      <w:marBottom w:val="0"/>
      <w:divBdr>
        <w:top w:val="none" w:sz="0" w:space="0" w:color="auto"/>
        <w:left w:val="none" w:sz="0" w:space="0" w:color="auto"/>
        <w:bottom w:val="none" w:sz="0" w:space="0" w:color="auto"/>
        <w:right w:val="none" w:sz="0" w:space="0" w:color="auto"/>
      </w:divBdr>
    </w:div>
    <w:div w:id="441808185">
      <w:bodyDiv w:val="1"/>
      <w:marLeft w:val="0"/>
      <w:marRight w:val="0"/>
      <w:marTop w:val="0"/>
      <w:marBottom w:val="0"/>
      <w:divBdr>
        <w:top w:val="none" w:sz="0" w:space="0" w:color="auto"/>
        <w:left w:val="none" w:sz="0" w:space="0" w:color="auto"/>
        <w:bottom w:val="none" w:sz="0" w:space="0" w:color="auto"/>
        <w:right w:val="none" w:sz="0" w:space="0" w:color="auto"/>
      </w:divBdr>
    </w:div>
    <w:div w:id="531455288">
      <w:bodyDiv w:val="1"/>
      <w:marLeft w:val="0"/>
      <w:marRight w:val="0"/>
      <w:marTop w:val="0"/>
      <w:marBottom w:val="0"/>
      <w:divBdr>
        <w:top w:val="none" w:sz="0" w:space="0" w:color="auto"/>
        <w:left w:val="none" w:sz="0" w:space="0" w:color="auto"/>
        <w:bottom w:val="none" w:sz="0" w:space="0" w:color="auto"/>
        <w:right w:val="none" w:sz="0" w:space="0" w:color="auto"/>
      </w:divBdr>
    </w:div>
    <w:div w:id="12719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hdphoto" Target="media/hdphoto1.wdp"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word/glossary/document.xml" Id="R581448fee5a045ca" /><Relationship Type="http://schemas.openxmlformats.org/officeDocument/2006/relationships/image" Target="/media/image4.png" Id="R0fff2c9448a34a4a" /><Relationship Type="http://schemas.openxmlformats.org/officeDocument/2006/relationships/image" Target="/media/image5.png" Id="Rb11d7d7fe23c4b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f0acad-4f18-4522-b1df-fd59e486d2e3}"/>
      </w:docPartPr>
      <w:docPartBody>
        <w:p w14:paraId="0109E4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1983-E722-4F17-902A-876CF5E9C2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christiana demetriou</dc:creator>
  <keywords/>
  <dc:description/>
  <lastModifiedBy>Guest User</lastModifiedBy>
  <revision>4</revision>
  <dcterms:created xsi:type="dcterms:W3CDTF">2021-04-26T14:45:00.0000000Z</dcterms:created>
  <dcterms:modified xsi:type="dcterms:W3CDTF">2021-05-12T14:19:21.9669239Z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id="PsnPEN57"/&gt;&lt;style id="http://www.zotero.org/styles/international-journal-of-epidemiology" hasBibliography="1" bibliographyStyleHasBeenSet="1"/&gt;&lt;prefs&gt;&lt;pref name="fieldType" value="Field"/&gt;&lt;pref n</vt:lpwstr>
  </property>
  <property fmtid="{D5CDD505-2E9C-101B-9397-08002B2CF9AE}" pid="3" name="ZOTERO_PREF_2">
    <vt:lpwstr>ame="automaticJournalAbbreviations" value="true"/&gt;&lt;/prefs&gt;&lt;/data&gt;</vt:lpwstr>
  </property>
</Properties>
</file>