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DPITable"/>
        <w:tblpPr w:leftFromText="198" w:rightFromText="198" w:vertAnchor="page" w:horzAnchor="margin" w:tblpY="7681"/>
        <w:tblW w:w="2409" w:type="dxa"/>
        <w:tblLayout w:type="fixed"/>
        <w:tblLook w:val="04A0" w:firstRow="1" w:lastRow="0" w:firstColumn="1" w:lastColumn="0" w:noHBand="0" w:noVBand="1"/>
      </w:tblPr>
      <w:tblGrid>
        <w:gridCol w:w="2409"/>
      </w:tblGrid>
      <w:tr w:rsidR="00C55217" w14:paraId="528CF5D4" w14:textId="77777777" w:rsidTr="00C55217">
        <w:trPr>
          <w:cantSplit/>
        </w:trPr>
        <w:tc>
          <w:tcPr>
            <w:tcW w:w="2409" w:type="dxa"/>
          </w:tcPr>
          <w:p w14:paraId="174A63C9" w14:textId="77777777" w:rsidR="00C55217" w:rsidRPr="00C55217" w:rsidRDefault="00C55217" w:rsidP="00C55217">
            <w:pPr>
              <w:pStyle w:val="MDPI61Citation"/>
            </w:pPr>
            <w:r w:rsidRPr="008B6A15">
              <w:rPr>
                <w:b/>
                <w:lang w:val="en-US"/>
              </w:rPr>
              <w:t>Citation:</w:t>
            </w:r>
            <w:r w:rsidRPr="008B6A15">
              <w:rPr>
                <w:lang w:val="en-US"/>
              </w:rPr>
              <w:t xml:space="preserve"> </w:t>
            </w:r>
            <w:proofErr w:type="spellStart"/>
            <w:r w:rsidRPr="008B6A15">
              <w:rPr>
                <w:lang w:val="en-US"/>
              </w:rPr>
              <w:t>Bayonas</w:t>
            </w:r>
            <w:proofErr w:type="spellEnd"/>
            <w:r w:rsidRPr="008B6A15">
              <w:rPr>
                <w:lang w:val="en-US"/>
              </w:rPr>
              <w:t xml:space="preserve">-Ruiz, A.; </w:t>
            </w:r>
            <w:r>
              <w:rPr>
                <w:lang w:val="en-US"/>
              </w:rPr>
              <w:br/>
            </w:r>
            <w:r w:rsidRPr="00C25128">
              <w:rPr>
                <w:rStyle w:val="Strong"/>
                <w:b w:val="0"/>
              </w:rPr>
              <w:t>Muñoz</w:t>
            </w:r>
            <w:r>
              <w:rPr>
                <w:rStyle w:val="Strong"/>
                <w:b w:val="0"/>
              </w:rPr>
              <w:t>-Franco</w:t>
            </w:r>
            <w:r w:rsidRPr="008B6A15">
              <w:rPr>
                <w:lang w:val="en-US"/>
              </w:rPr>
              <w:t xml:space="preserve">, F.M.; Ferrer, V.; </w:t>
            </w:r>
            <w:r>
              <w:rPr>
                <w:lang w:val="en-US"/>
              </w:rPr>
              <w:br/>
            </w:r>
            <w:r w:rsidRPr="008B6A15">
              <w:rPr>
                <w:lang w:val="en-US"/>
              </w:rPr>
              <w:t xml:space="preserve">Pérez-Caballero, C.; </w:t>
            </w:r>
            <w:proofErr w:type="spellStart"/>
            <w:r w:rsidRPr="008B6A15">
              <w:rPr>
                <w:lang w:val="en-US"/>
              </w:rPr>
              <w:t>Sabater</w:t>
            </w:r>
            <w:proofErr w:type="spellEnd"/>
            <w:r w:rsidRPr="008B6A15">
              <w:rPr>
                <w:lang w:val="en-US"/>
              </w:rPr>
              <w:t>-Molina, M.; Tom</w:t>
            </w:r>
            <w:r>
              <w:rPr>
                <w:lang w:val="en-US"/>
              </w:rPr>
              <w:t>é-Esteban</w:t>
            </w:r>
            <w:r w:rsidRPr="008B6A15">
              <w:rPr>
                <w:lang w:val="en-US"/>
              </w:rPr>
              <w:t xml:space="preserve">, </w:t>
            </w:r>
            <w:r>
              <w:rPr>
                <w:lang w:val="en-US"/>
              </w:rPr>
              <w:t>M.</w:t>
            </w:r>
            <w:r w:rsidRPr="008B6A15">
              <w:rPr>
                <w:lang w:val="en-US"/>
              </w:rPr>
              <w:t xml:space="preserve">T.; </w:t>
            </w:r>
            <w:proofErr w:type="spellStart"/>
            <w:r w:rsidRPr="008B6A15">
              <w:rPr>
                <w:lang w:val="en-US"/>
              </w:rPr>
              <w:t>Bonacas</w:t>
            </w:r>
            <w:r>
              <w:rPr>
                <w:lang w:val="en-US"/>
              </w:rPr>
              <w:t>a</w:t>
            </w:r>
            <w:proofErr w:type="spellEnd"/>
            <w:r w:rsidRPr="008B6A15">
              <w:rPr>
                <w:lang w:val="en-US"/>
              </w:rPr>
              <w:t xml:space="preserve">, B. </w:t>
            </w:r>
            <w:r w:rsidRPr="004F446B">
              <w:t xml:space="preserve">Functional Assessment </w:t>
            </w:r>
            <w:r>
              <w:t>in</w:t>
            </w:r>
            <w:r w:rsidRPr="004F446B">
              <w:t xml:space="preserve"> Patients with Hypertrophic </w:t>
            </w:r>
            <w:r>
              <w:br/>
            </w:r>
            <w:r w:rsidRPr="004F446B">
              <w:t xml:space="preserve">Cardiomyopathy: A Systematic </w:t>
            </w:r>
            <w:r>
              <w:br/>
            </w:r>
            <w:r w:rsidRPr="004F446B">
              <w:t>Review and Meta-Analysis</w:t>
            </w:r>
            <w:r>
              <w:t xml:space="preserve">. </w:t>
            </w:r>
            <w:r>
              <w:br/>
            </w:r>
            <w:r>
              <w:rPr>
                <w:i/>
              </w:rPr>
              <w:t xml:space="preserve">J. Clin. Med. </w:t>
            </w:r>
            <w:r>
              <w:rPr>
                <w:b/>
              </w:rPr>
              <w:t>2021</w:t>
            </w:r>
            <w:r>
              <w:t xml:space="preserve">, </w:t>
            </w:r>
            <w:r>
              <w:rPr>
                <w:i/>
              </w:rPr>
              <w:t>10</w:t>
            </w:r>
            <w:r>
              <w:t>, 2312. https://doi.org/10.3390/jcm10112312</w:t>
            </w:r>
          </w:p>
          <w:p w14:paraId="1BE2DB08" w14:textId="77777777" w:rsidR="00C55217" w:rsidRPr="008B6A15" w:rsidRDefault="00C55217" w:rsidP="00C55217">
            <w:pPr>
              <w:pStyle w:val="MDPI14history"/>
              <w:spacing w:before="240"/>
              <w:rPr>
                <w:lang w:val="en-US"/>
              </w:rPr>
            </w:pPr>
            <w:r w:rsidRPr="008B6A15">
              <w:rPr>
                <w:lang w:val="en-US"/>
              </w:rPr>
              <w:t xml:space="preserve">Academic Editor: </w:t>
            </w:r>
            <w:r w:rsidRPr="006711A8">
              <w:rPr>
                <w:lang w:val="en-US"/>
              </w:rPr>
              <w:t>Giovanni La Canna</w:t>
            </w:r>
          </w:p>
          <w:p w14:paraId="68F9808B" w14:textId="77777777" w:rsidR="00C55217" w:rsidRPr="008B6A15" w:rsidRDefault="00C55217" w:rsidP="00C55217">
            <w:pPr>
              <w:pStyle w:val="MDPI14history"/>
              <w:spacing w:before="240"/>
              <w:rPr>
                <w:lang w:val="en-US"/>
              </w:rPr>
            </w:pPr>
            <w:r w:rsidRPr="008B6A15">
              <w:rPr>
                <w:lang w:val="en-US"/>
              </w:rPr>
              <w:t xml:space="preserve">Received: </w:t>
            </w:r>
            <w:r w:rsidRPr="00627C38">
              <w:rPr>
                <w:lang w:val="en-US"/>
              </w:rPr>
              <w:t>27 February 2021</w:t>
            </w:r>
          </w:p>
          <w:p w14:paraId="46C54F01" w14:textId="77777777" w:rsidR="00C55217" w:rsidRPr="008B6A15" w:rsidRDefault="00C55217" w:rsidP="00C55217">
            <w:pPr>
              <w:pStyle w:val="MDPI14history"/>
              <w:rPr>
                <w:lang w:val="en-US"/>
              </w:rPr>
            </w:pPr>
            <w:r w:rsidRPr="008B6A15">
              <w:rPr>
                <w:lang w:val="en-US"/>
              </w:rPr>
              <w:t xml:space="preserve">Accepted: </w:t>
            </w:r>
            <w:r w:rsidRPr="00627C38">
              <w:rPr>
                <w:lang w:val="en-US"/>
              </w:rPr>
              <w:t>23 May 2021</w:t>
            </w:r>
          </w:p>
          <w:p w14:paraId="1A74B288" w14:textId="77777777" w:rsidR="00C55217" w:rsidRPr="008B6A15" w:rsidRDefault="00C55217" w:rsidP="00C55217">
            <w:pPr>
              <w:pStyle w:val="MDPI14history"/>
              <w:spacing w:after="240"/>
              <w:rPr>
                <w:lang w:val="en-US"/>
              </w:rPr>
            </w:pPr>
            <w:r w:rsidRPr="008B6A15">
              <w:rPr>
                <w:lang w:val="en-US"/>
              </w:rPr>
              <w:t>Published:</w:t>
            </w:r>
            <w:r>
              <w:rPr>
                <w:lang w:val="en-US"/>
              </w:rPr>
              <w:t xml:space="preserve"> 25 May 2021</w:t>
            </w:r>
          </w:p>
          <w:p w14:paraId="09F1C4BB" w14:textId="77777777" w:rsidR="00C55217" w:rsidRDefault="00C55217" w:rsidP="00C55217">
            <w:pPr>
              <w:pStyle w:val="MDPI63Notes"/>
              <w:jc w:val="both"/>
              <w:rPr>
                <w:lang w:val="es-ES"/>
              </w:rPr>
            </w:pPr>
            <w:proofErr w:type="spellStart"/>
            <w:r w:rsidRPr="00C55217">
              <w:rPr>
                <w:b/>
                <w:lang w:val="es-ES"/>
              </w:rPr>
              <w:t>Publisher’s</w:t>
            </w:r>
            <w:proofErr w:type="spellEnd"/>
            <w:r w:rsidRPr="00C55217">
              <w:rPr>
                <w:b/>
                <w:lang w:val="es-ES"/>
              </w:rPr>
              <w:t xml:space="preserve"> Note:</w:t>
            </w:r>
            <w:r>
              <w:rPr>
                <w:lang w:val="es-ES"/>
              </w:rPr>
              <w:t xml:space="preserve"> MDPI </w:t>
            </w:r>
            <w:proofErr w:type="spellStart"/>
            <w:r>
              <w:rPr>
                <w:lang w:val="es-ES"/>
              </w:rPr>
              <w:t>stays</w:t>
            </w:r>
            <w:proofErr w:type="spellEnd"/>
            <w:r>
              <w:rPr>
                <w:lang w:val="es-ES"/>
              </w:rPr>
              <w:t xml:space="preserve"> neutral </w:t>
            </w:r>
            <w:proofErr w:type="spellStart"/>
            <w:r>
              <w:rPr>
                <w:lang w:val="es-ES"/>
              </w:rPr>
              <w:t>with</w:t>
            </w:r>
            <w:proofErr w:type="spellEnd"/>
            <w:r>
              <w:rPr>
                <w:lang w:val="es-ES"/>
              </w:rPr>
              <w:t xml:space="preserve"> </w:t>
            </w:r>
            <w:proofErr w:type="spellStart"/>
            <w:r>
              <w:rPr>
                <w:lang w:val="es-ES"/>
              </w:rPr>
              <w:t>regard</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jurisdictional</w:t>
            </w:r>
            <w:proofErr w:type="spellEnd"/>
            <w:r>
              <w:rPr>
                <w:lang w:val="es-ES"/>
              </w:rPr>
              <w:t xml:space="preserve"> </w:t>
            </w:r>
            <w:proofErr w:type="spellStart"/>
            <w:r>
              <w:rPr>
                <w:lang w:val="es-ES"/>
              </w:rPr>
              <w:t>claims</w:t>
            </w:r>
            <w:proofErr w:type="spellEnd"/>
            <w:r>
              <w:rPr>
                <w:lang w:val="es-ES"/>
              </w:rPr>
              <w:t xml:space="preserve"> in </w:t>
            </w:r>
            <w:proofErr w:type="spellStart"/>
            <w:r>
              <w:rPr>
                <w:lang w:val="es-ES"/>
              </w:rPr>
              <w:t>published</w:t>
            </w:r>
            <w:proofErr w:type="spellEnd"/>
            <w:r>
              <w:rPr>
                <w:lang w:val="es-ES"/>
              </w:rPr>
              <w:t xml:space="preserve"> </w:t>
            </w:r>
            <w:proofErr w:type="spellStart"/>
            <w:r>
              <w:rPr>
                <w:lang w:val="es-ES"/>
              </w:rPr>
              <w:t>maps</w:t>
            </w:r>
            <w:proofErr w:type="spellEnd"/>
            <w:r>
              <w:rPr>
                <w:lang w:val="es-ES"/>
              </w:rPr>
              <w:t xml:space="preserve"> and </w:t>
            </w:r>
            <w:proofErr w:type="spellStart"/>
            <w:r>
              <w:rPr>
                <w:lang w:val="es-ES"/>
              </w:rPr>
              <w:t>institutional</w:t>
            </w:r>
            <w:proofErr w:type="spellEnd"/>
            <w:r>
              <w:rPr>
                <w:lang w:val="es-ES"/>
              </w:rPr>
              <w:t xml:space="preserve"> </w:t>
            </w:r>
            <w:proofErr w:type="spellStart"/>
            <w:r>
              <w:rPr>
                <w:lang w:val="es-ES"/>
              </w:rPr>
              <w:t>affiliations</w:t>
            </w:r>
            <w:proofErr w:type="spellEnd"/>
            <w:r>
              <w:rPr>
                <w:lang w:val="es-ES"/>
              </w:rPr>
              <w:t>.</w:t>
            </w:r>
          </w:p>
          <w:p w14:paraId="1B14EBB0" w14:textId="77777777" w:rsidR="00C55217" w:rsidRDefault="00C55217" w:rsidP="00C55217">
            <w:pPr>
              <w:pStyle w:val="MDPI63Notes"/>
              <w:spacing w:before="240"/>
              <w:jc w:val="both"/>
              <w:rPr>
                <w:lang w:val="es-ES"/>
              </w:rPr>
            </w:pPr>
            <w:r>
              <w:rPr>
                <w:noProof/>
                <w:snapToGrid/>
                <w:lang w:eastAsia="zh-CN" w:bidi="ar-SA"/>
              </w:rPr>
              <w:drawing>
                <wp:inline distT="0" distB="0" distL="0" distR="0" wp14:anchorId="04BFB1FE" wp14:editId="491C06EF">
                  <wp:extent cx="694800" cy="248400"/>
                  <wp:effectExtent l="0" t="0" r="0" b="0"/>
                  <wp:docPr id="19" name="Picture 19"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A black and white logo&#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0CA289CB" w14:textId="77777777" w:rsidR="00C55217" w:rsidRPr="008B6A15" w:rsidRDefault="00C55217" w:rsidP="00C55217">
            <w:pPr>
              <w:pStyle w:val="MDPI63Notes"/>
              <w:spacing w:before="60" w:after="0"/>
              <w:rPr>
                <w:lang w:val="en-US"/>
              </w:rPr>
            </w:pPr>
            <w:r w:rsidRPr="008B6A15">
              <w:rPr>
                <w:b/>
                <w:lang w:val="en-US"/>
              </w:rPr>
              <w:t>Copyright:</w:t>
            </w:r>
            <w:r w:rsidRPr="008B6A15">
              <w:rPr>
                <w:lang w:val="en-US"/>
              </w:rPr>
              <w:t xml:space="preserve"> </w:t>
            </w:r>
            <w:r>
              <w:rPr>
                <w:lang w:val="en-US"/>
              </w:rPr>
              <w:t>© 2021 by the authors. Licensee MDPI, Basel, Switzerland. This article is an open access article distributed under the terms and conditions of the Creative Commons Attribution (CC BY) license (http://creativecommons.org/licenses/by/4.0/).</w:t>
            </w:r>
          </w:p>
        </w:tc>
      </w:tr>
    </w:tbl>
    <w:p w14:paraId="32EB19E9" w14:textId="77777777" w:rsidR="001B672C" w:rsidRPr="004F446B" w:rsidRDefault="001B672C" w:rsidP="00126CBE">
      <w:pPr>
        <w:pStyle w:val="MDPI11articletype"/>
      </w:pPr>
      <w:r w:rsidRPr="004F446B">
        <w:t>Review</w:t>
      </w:r>
    </w:p>
    <w:p w14:paraId="004DC302" w14:textId="1BEEFDF6" w:rsidR="001B672C" w:rsidRPr="004F446B" w:rsidRDefault="00835A8F" w:rsidP="00126CBE">
      <w:pPr>
        <w:pStyle w:val="MDPI12title"/>
      </w:pPr>
      <w:r w:rsidRPr="00835A8F">
        <w:t>Cardiopulmonary Exercise Test in Patients with Hypertrophic Cardiomyopathy</w:t>
      </w:r>
      <w:r w:rsidR="001B672C" w:rsidRPr="004F446B">
        <w:t xml:space="preserve">: </w:t>
      </w:r>
      <w:r w:rsidR="00B54E50" w:rsidRPr="004F446B">
        <w:t xml:space="preserve">A </w:t>
      </w:r>
      <w:r w:rsidR="001B672C" w:rsidRPr="004F446B">
        <w:t>Systematic Review and Meta-Analysis</w:t>
      </w:r>
    </w:p>
    <w:p w14:paraId="1983B4CC" w14:textId="5F570CFF" w:rsidR="001C44D6" w:rsidRPr="00835518" w:rsidRDefault="001B672C" w:rsidP="00B54E50">
      <w:pPr>
        <w:pStyle w:val="MDPI13authornames"/>
        <w:rPr>
          <w:lang w:val="es-ES"/>
        </w:rPr>
      </w:pPr>
      <w:r w:rsidRPr="00463640">
        <w:rPr>
          <w:lang w:val="es-ES"/>
        </w:rPr>
        <w:t xml:space="preserve">Adrián Bayonas-Ruiz </w:t>
      </w:r>
      <w:r w:rsidRPr="00463640">
        <w:rPr>
          <w:vertAlign w:val="superscript"/>
          <w:lang w:val="es-ES"/>
        </w:rPr>
        <w:t>1</w:t>
      </w:r>
      <w:r w:rsidRPr="00463640">
        <w:rPr>
          <w:lang w:val="es-ES"/>
        </w:rPr>
        <w:t>,</w:t>
      </w:r>
      <w:r w:rsidRPr="00835518">
        <w:rPr>
          <w:lang w:val="es-ES"/>
        </w:rPr>
        <w:t xml:space="preserve"> Francisca M. Muñoz</w:t>
      </w:r>
      <w:r w:rsidR="000109FB">
        <w:rPr>
          <w:lang w:val="es-ES"/>
        </w:rPr>
        <w:t>-Franco</w:t>
      </w:r>
      <w:r w:rsidRPr="00835518">
        <w:rPr>
          <w:lang w:val="es-ES"/>
        </w:rPr>
        <w:t xml:space="preserve"> </w:t>
      </w:r>
      <w:r w:rsidRPr="00835518">
        <w:rPr>
          <w:vertAlign w:val="superscript"/>
          <w:lang w:val="es-ES"/>
        </w:rPr>
        <w:t>2</w:t>
      </w:r>
      <w:r w:rsidRPr="00835518">
        <w:rPr>
          <w:lang w:val="es-ES"/>
        </w:rPr>
        <w:t xml:space="preserve">, Vicente Ferrer </w:t>
      </w:r>
      <w:r w:rsidRPr="00835518">
        <w:rPr>
          <w:vertAlign w:val="superscript"/>
          <w:lang w:val="es-ES"/>
        </w:rPr>
        <w:t>3</w:t>
      </w:r>
      <w:r w:rsidRPr="00835518">
        <w:rPr>
          <w:lang w:val="es-ES"/>
        </w:rPr>
        <w:t xml:space="preserve">, Carlos Pérez-Caballero </w:t>
      </w:r>
      <w:r w:rsidRPr="00835518">
        <w:rPr>
          <w:vertAlign w:val="superscript"/>
          <w:lang w:val="es-ES"/>
        </w:rPr>
        <w:t>4</w:t>
      </w:r>
      <w:r w:rsidRPr="00835518">
        <w:rPr>
          <w:lang w:val="es-ES"/>
        </w:rPr>
        <w:t xml:space="preserve">, </w:t>
      </w:r>
      <w:r w:rsidR="001E45C8">
        <w:rPr>
          <w:lang w:val="es-ES"/>
        </w:rPr>
        <w:br/>
      </w:r>
      <w:r w:rsidRPr="00835518">
        <w:rPr>
          <w:lang w:val="es-ES"/>
        </w:rPr>
        <w:t>María Sabater-Molina</w:t>
      </w:r>
      <w:r w:rsidR="00B54E50" w:rsidRPr="00835518">
        <w:rPr>
          <w:lang w:val="es-ES"/>
        </w:rPr>
        <w:t xml:space="preserve"> </w:t>
      </w:r>
      <w:r w:rsidRPr="00835518">
        <w:rPr>
          <w:vertAlign w:val="superscript"/>
          <w:lang w:val="es-ES"/>
        </w:rPr>
        <w:t>5</w:t>
      </w:r>
      <w:r w:rsidRPr="00835518">
        <w:rPr>
          <w:lang w:val="es-ES"/>
        </w:rPr>
        <w:t>, María Teresa Tomé-Esteban</w:t>
      </w:r>
      <w:r w:rsidR="00B54E50" w:rsidRPr="00835518">
        <w:rPr>
          <w:lang w:val="es-ES"/>
        </w:rPr>
        <w:t xml:space="preserve"> </w:t>
      </w:r>
      <w:r w:rsidRPr="00835518">
        <w:rPr>
          <w:vertAlign w:val="superscript"/>
          <w:lang w:val="es-ES"/>
        </w:rPr>
        <w:t>6</w:t>
      </w:r>
      <w:r w:rsidRPr="00835518">
        <w:rPr>
          <w:lang w:val="es-ES"/>
        </w:rPr>
        <w:t xml:space="preserve"> and Bárbara </w:t>
      </w:r>
      <w:proofErr w:type="spellStart"/>
      <w:r w:rsidRPr="00835518">
        <w:rPr>
          <w:lang w:val="es-ES"/>
        </w:rPr>
        <w:t>Bonacasa</w:t>
      </w:r>
      <w:proofErr w:type="spellEnd"/>
      <w:r w:rsidRPr="00835518">
        <w:rPr>
          <w:lang w:val="es-ES"/>
        </w:rPr>
        <w:t xml:space="preserve"> </w:t>
      </w:r>
      <w:proofErr w:type="gramStart"/>
      <w:r w:rsidRPr="00835518">
        <w:rPr>
          <w:vertAlign w:val="superscript"/>
          <w:lang w:val="es-ES"/>
        </w:rPr>
        <w:t>1,</w:t>
      </w:r>
      <w:r w:rsidRPr="00835518">
        <w:rPr>
          <w:lang w:val="es-ES"/>
        </w:rPr>
        <w:t>*</w:t>
      </w:r>
      <w:proofErr w:type="gramEnd"/>
    </w:p>
    <w:p w14:paraId="0184C40A" w14:textId="486F841E" w:rsidR="001B672C" w:rsidRPr="00F45B46" w:rsidRDefault="001B672C" w:rsidP="00B54E50">
      <w:pPr>
        <w:pStyle w:val="MDPI16affiliation"/>
        <w:rPr>
          <w:color w:val="auto"/>
          <w:szCs w:val="16"/>
        </w:rPr>
      </w:pPr>
      <w:r w:rsidRPr="00B54E50">
        <w:rPr>
          <w:vertAlign w:val="superscript"/>
        </w:rPr>
        <w:t>1</w:t>
      </w:r>
      <w:r w:rsidRPr="00B54E50">
        <w:tab/>
      </w:r>
      <w:r w:rsidR="001C44D6">
        <w:t xml:space="preserve">Human </w:t>
      </w:r>
      <w:r w:rsidR="001C44D6" w:rsidRPr="00773B76">
        <w:rPr>
          <w:color w:val="auto"/>
          <w:szCs w:val="16"/>
        </w:rPr>
        <w:t>Physiology Area,</w:t>
      </w:r>
      <w:r w:rsidRPr="00773B76">
        <w:rPr>
          <w:color w:val="auto"/>
          <w:szCs w:val="16"/>
        </w:rPr>
        <w:t xml:space="preserve"> Faculty of Sport Sciences</w:t>
      </w:r>
      <w:r w:rsidR="001C44D6" w:rsidRPr="00773B76">
        <w:rPr>
          <w:color w:val="auto"/>
          <w:szCs w:val="16"/>
        </w:rPr>
        <w:t>,</w:t>
      </w:r>
      <w:r w:rsidRPr="00773B76">
        <w:rPr>
          <w:color w:val="auto"/>
          <w:szCs w:val="16"/>
        </w:rPr>
        <w:t xml:space="preserve"> </w:t>
      </w:r>
      <w:r w:rsidRPr="008B6A15">
        <w:rPr>
          <w:color w:val="auto"/>
          <w:szCs w:val="16"/>
        </w:rPr>
        <w:t>University of Murcia</w:t>
      </w:r>
      <w:r w:rsidR="001C44D6" w:rsidRPr="008B6A15">
        <w:rPr>
          <w:color w:val="auto"/>
          <w:szCs w:val="16"/>
        </w:rPr>
        <w:t>,</w:t>
      </w:r>
      <w:r w:rsidRPr="008B6A15">
        <w:rPr>
          <w:color w:val="auto"/>
          <w:szCs w:val="16"/>
        </w:rPr>
        <w:t xml:space="preserve"> Santiago de la Ribera-San Javier</w:t>
      </w:r>
      <w:r w:rsidR="001C44D6" w:rsidRPr="008B6A15">
        <w:rPr>
          <w:color w:val="auto"/>
          <w:szCs w:val="16"/>
        </w:rPr>
        <w:t>,</w:t>
      </w:r>
      <w:r w:rsidRPr="008B6A15">
        <w:rPr>
          <w:color w:val="auto"/>
          <w:szCs w:val="16"/>
        </w:rPr>
        <w:t xml:space="preserve"> </w:t>
      </w:r>
      <w:r w:rsidR="00CC087C" w:rsidRPr="00F45B46">
        <w:rPr>
          <w:color w:val="auto"/>
          <w:szCs w:val="16"/>
        </w:rPr>
        <w:t xml:space="preserve">30720 </w:t>
      </w:r>
      <w:r w:rsidRPr="00F45B46">
        <w:rPr>
          <w:color w:val="auto"/>
          <w:szCs w:val="16"/>
        </w:rPr>
        <w:t>Murcia</w:t>
      </w:r>
      <w:r w:rsidR="001C44D6" w:rsidRPr="00F45B46">
        <w:rPr>
          <w:color w:val="auto"/>
          <w:szCs w:val="16"/>
        </w:rPr>
        <w:t>,</w:t>
      </w:r>
      <w:r w:rsidRPr="00F45B46">
        <w:rPr>
          <w:color w:val="auto"/>
          <w:szCs w:val="16"/>
        </w:rPr>
        <w:t xml:space="preserve"> Spain;</w:t>
      </w:r>
      <w:r w:rsidR="00EE6E33" w:rsidRPr="00F45B46">
        <w:rPr>
          <w:color w:val="auto"/>
          <w:szCs w:val="16"/>
        </w:rPr>
        <w:t xml:space="preserve"> </w:t>
      </w:r>
      <w:r w:rsidR="00773B76" w:rsidRPr="00F45B46">
        <w:rPr>
          <w:rFonts w:eastAsia="SimSun"/>
          <w:noProof/>
          <w:color w:val="auto"/>
          <w:szCs w:val="16"/>
          <w:lang w:eastAsia="zh-CN" w:bidi="ar-SA"/>
        </w:rPr>
        <w:t>adrian.bayonas@um.es</w:t>
      </w:r>
    </w:p>
    <w:p w14:paraId="5D616C94" w14:textId="4AF242E8" w:rsidR="001B672C" w:rsidRPr="00F45B46" w:rsidRDefault="001B672C" w:rsidP="00B54E50">
      <w:pPr>
        <w:pStyle w:val="MDPI16affiliation"/>
        <w:rPr>
          <w:color w:val="auto"/>
          <w:szCs w:val="16"/>
        </w:rPr>
      </w:pPr>
      <w:r w:rsidRPr="00F45B46">
        <w:rPr>
          <w:color w:val="auto"/>
          <w:szCs w:val="16"/>
          <w:vertAlign w:val="superscript"/>
        </w:rPr>
        <w:t>2</w:t>
      </w:r>
      <w:r w:rsidRPr="00F45B46">
        <w:rPr>
          <w:color w:val="auto"/>
          <w:szCs w:val="16"/>
        </w:rPr>
        <w:tab/>
        <w:t>Cardiology</w:t>
      </w:r>
      <w:r w:rsidR="005D460B">
        <w:rPr>
          <w:color w:val="auto"/>
          <w:szCs w:val="16"/>
        </w:rPr>
        <w:t xml:space="preserve"> Department</w:t>
      </w:r>
      <w:r w:rsidRPr="00F45B46">
        <w:rPr>
          <w:color w:val="auto"/>
          <w:szCs w:val="16"/>
        </w:rPr>
        <w:t xml:space="preserve">, Virgen de la </w:t>
      </w:r>
      <w:proofErr w:type="spellStart"/>
      <w:r w:rsidRPr="00F45B46">
        <w:rPr>
          <w:color w:val="auto"/>
          <w:szCs w:val="16"/>
        </w:rPr>
        <w:t>Arrixaca</w:t>
      </w:r>
      <w:proofErr w:type="spellEnd"/>
      <w:r w:rsidRPr="00F45B46">
        <w:rPr>
          <w:color w:val="auto"/>
          <w:szCs w:val="16"/>
        </w:rPr>
        <w:t xml:space="preserve"> </w:t>
      </w:r>
      <w:proofErr w:type="spellStart"/>
      <w:r w:rsidRPr="00F45B46">
        <w:rPr>
          <w:color w:val="auto"/>
          <w:szCs w:val="16"/>
        </w:rPr>
        <w:t>Universitary</w:t>
      </w:r>
      <w:proofErr w:type="spellEnd"/>
      <w:r w:rsidRPr="00F45B46">
        <w:rPr>
          <w:color w:val="auto"/>
          <w:szCs w:val="16"/>
        </w:rPr>
        <w:t xml:space="preserve"> Hospital, </w:t>
      </w:r>
      <w:r w:rsidR="000109FB" w:rsidRPr="00F45B46">
        <w:rPr>
          <w:color w:val="auto"/>
          <w:szCs w:val="16"/>
        </w:rPr>
        <w:t xml:space="preserve">30120 </w:t>
      </w:r>
      <w:r w:rsidRPr="00F45B46">
        <w:rPr>
          <w:color w:val="auto"/>
          <w:szCs w:val="16"/>
        </w:rPr>
        <w:t xml:space="preserve">Murcia, Spain; </w:t>
      </w:r>
      <w:r w:rsidR="00773B76" w:rsidRPr="00F45B46">
        <w:rPr>
          <w:rFonts w:eastAsia="SimSun"/>
          <w:noProof/>
          <w:color w:val="auto"/>
          <w:szCs w:val="16"/>
          <w:lang w:eastAsia="zh-CN" w:bidi="ar-SA"/>
        </w:rPr>
        <w:t>fca.mariamf@gmail.com</w:t>
      </w:r>
    </w:p>
    <w:p w14:paraId="7D8F4567" w14:textId="2FE4AD5C" w:rsidR="001B672C" w:rsidRPr="00F45B46" w:rsidRDefault="001B672C" w:rsidP="00B54E50">
      <w:pPr>
        <w:pStyle w:val="MDPI16affiliation"/>
        <w:rPr>
          <w:color w:val="auto"/>
          <w:szCs w:val="16"/>
        </w:rPr>
      </w:pPr>
      <w:r w:rsidRPr="00F45B46">
        <w:rPr>
          <w:color w:val="auto"/>
          <w:szCs w:val="16"/>
          <w:vertAlign w:val="superscript"/>
        </w:rPr>
        <w:t>3</w:t>
      </w:r>
      <w:r w:rsidRPr="00F45B46">
        <w:rPr>
          <w:color w:val="auto"/>
          <w:szCs w:val="16"/>
        </w:rPr>
        <w:tab/>
        <w:t>Physiotherapy Department</w:t>
      </w:r>
      <w:r w:rsidR="001C44D6" w:rsidRPr="00F45B46">
        <w:rPr>
          <w:color w:val="auto"/>
          <w:szCs w:val="16"/>
        </w:rPr>
        <w:t>,</w:t>
      </w:r>
      <w:r w:rsidRPr="00F45B46">
        <w:rPr>
          <w:color w:val="auto"/>
          <w:szCs w:val="16"/>
        </w:rPr>
        <w:t xml:space="preserve"> Faculty of Medicine</w:t>
      </w:r>
      <w:r w:rsidR="00EE6E33" w:rsidRPr="00F45B46">
        <w:rPr>
          <w:color w:val="auto"/>
          <w:szCs w:val="16"/>
        </w:rPr>
        <w:t>,</w:t>
      </w:r>
      <w:r w:rsidRPr="00F45B46">
        <w:rPr>
          <w:color w:val="auto"/>
          <w:szCs w:val="16"/>
        </w:rPr>
        <w:t xml:space="preserve"> University of Murcia</w:t>
      </w:r>
      <w:r w:rsidR="001C44D6" w:rsidRPr="00F45B46">
        <w:rPr>
          <w:color w:val="auto"/>
          <w:szCs w:val="16"/>
        </w:rPr>
        <w:t>,</w:t>
      </w:r>
      <w:r w:rsidRPr="00F45B46">
        <w:rPr>
          <w:color w:val="auto"/>
          <w:szCs w:val="16"/>
        </w:rPr>
        <w:t xml:space="preserve"> Campus of </w:t>
      </w:r>
      <w:proofErr w:type="spellStart"/>
      <w:r w:rsidRPr="00F45B46">
        <w:rPr>
          <w:color w:val="auto"/>
          <w:szCs w:val="16"/>
        </w:rPr>
        <w:t>Espinardo</w:t>
      </w:r>
      <w:proofErr w:type="spellEnd"/>
      <w:r w:rsidR="001C44D6" w:rsidRPr="00F45B46">
        <w:rPr>
          <w:color w:val="auto"/>
          <w:szCs w:val="16"/>
        </w:rPr>
        <w:t>,</w:t>
      </w:r>
      <w:r w:rsidRPr="00F45B46">
        <w:rPr>
          <w:color w:val="auto"/>
          <w:szCs w:val="16"/>
        </w:rPr>
        <w:t xml:space="preserve"> </w:t>
      </w:r>
      <w:r w:rsidR="00CC087C" w:rsidRPr="00F45B46">
        <w:rPr>
          <w:color w:val="auto"/>
          <w:szCs w:val="16"/>
        </w:rPr>
        <w:br/>
        <w:t xml:space="preserve">30100 </w:t>
      </w:r>
      <w:r w:rsidRPr="00F45B46">
        <w:rPr>
          <w:color w:val="auto"/>
          <w:szCs w:val="16"/>
        </w:rPr>
        <w:t>Murcia</w:t>
      </w:r>
      <w:r w:rsidR="001C44D6" w:rsidRPr="00F45B46">
        <w:rPr>
          <w:color w:val="auto"/>
          <w:szCs w:val="16"/>
        </w:rPr>
        <w:t>,</w:t>
      </w:r>
      <w:r w:rsidR="00773B76" w:rsidRPr="00F45B46">
        <w:rPr>
          <w:color w:val="auto"/>
          <w:szCs w:val="16"/>
        </w:rPr>
        <w:t xml:space="preserve"> Spain; </w:t>
      </w:r>
      <w:r w:rsidR="00773B76" w:rsidRPr="00F45B46">
        <w:rPr>
          <w:rFonts w:eastAsia="SimSun"/>
          <w:noProof/>
          <w:color w:val="auto"/>
          <w:szCs w:val="16"/>
          <w:lang w:eastAsia="zh-CN" w:bidi="ar-SA"/>
        </w:rPr>
        <w:t>vferrer@um.es</w:t>
      </w:r>
    </w:p>
    <w:p w14:paraId="7C666B56" w14:textId="5D37D99C" w:rsidR="001B672C" w:rsidRPr="00F45B46" w:rsidRDefault="001B672C" w:rsidP="00B54E50">
      <w:pPr>
        <w:pStyle w:val="MDPI16affiliation"/>
        <w:rPr>
          <w:color w:val="auto"/>
          <w:szCs w:val="16"/>
        </w:rPr>
      </w:pPr>
      <w:r w:rsidRPr="00F45B46">
        <w:rPr>
          <w:color w:val="auto"/>
          <w:szCs w:val="16"/>
          <w:vertAlign w:val="superscript"/>
        </w:rPr>
        <w:t>4</w:t>
      </w:r>
      <w:r w:rsidRPr="00F45B46">
        <w:rPr>
          <w:color w:val="auto"/>
          <w:szCs w:val="16"/>
        </w:rPr>
        <w:tab/>
        <w:t>Sports Activities Service</w:t>
      </w:r>
      <w:r w:rsidR="001C44D6" w:rsidRPr="00F45B46">
        <w:rPr>
          <w:color w:val="auto"/>
          <w:szCs w:val="16"/>
        </w:rPr>
        <w:t>,</w:t>
      </w:r>
      <w:r w:rsidRPr="00F45B46">
        <w:rPr>
          <w:color w:val="auto"/>
          <w:szCs w:val="16"/>
        </w:rPr>
        <w:t xml:space="preserve"> University of Murcia</w:t>
      </w:r>
      <w:r w:rsidR="001C44D6" w:rsidRPr="00F45B46">
        <w:rPr>
          <w:color w:val="auto"/>
          <w:szCs w:val="16"/>
        </w:rPr>
        <w:t>,</w:t>
      </w:r>
      <w:r w:rsidRPr="00F45B46">
        <w:rPr>
          <w:color w:val="auto"/>
          <w:szCs w:val="16"/>
        </w:rPr>
        <w:t xml:space="preserve"> Campus of </w:t>
      </w:r>
      <w:proofErr w:type="spellStart"/>
      <w:r w:rsidRPr="00F45B46">
        <w:rPr>
          <w:color w:val="auto"/>
          <w:szCs w:val="16"/>
        </w:rPr>
        <w:t>Espinardo</w:t>
      </w:r>
      <w:proofErr w:type="spellEnd"/>
      <w:r w:rsidR="001C44D6" w:rsidRPr="00F45B46">
        <w:rPr>
          <w:color w:val="auto"/>
          <w:szCs w:val="16"/>
        </w:rPr>
        <w:t>,</w:t>
      </w:r>
      <w:r w:rsidRPr="00F45B46">
        <w:rPr>
          <w:color w:val="auto"/>
          <w:szCs w:val="16"/>
        </w:rPr>
        <w:t xml:space="preserve"> </w:t>
      </w:r>
      <w:r w:rsidR="00CC087C" w:rsidRPr="00F45B46">
        <w:rPr>
          <w:color w:val="auto"/>
          <w:szCs w:val="16"/>
        </w:rPr>
        <w:t xml:space="preserve">30100 </w:t>
      </w:r>
      <w:r w:rsidRPr="00F45B46">
        <w:rPr>
          <w:color w:val="auto"/>
          <w:szCs w:val="16"/>
        </w:rPr>
        <w:t>Murcia</w:t>
      </w:r>
      <w:r w:rsidR="001C44D6" w:rsidRPr="00F45B46">
        <w:rPr>
          <w:color w:val="auto"/>
          <w:szCs w:val="16"/>
        </w:rPr>
        <w:t>,</w:t>
      </w:r>
      <w:r w:rsidR="00EE6E33" w:rsidRPr="00F45B46">
        <w:rPr>
          <w:color w:val="auto"/>
          <w:szCs w:val="16"/>
        </w:rPr>
        <w:t xml:space="preserve"> Spain; </w:t>
      </w:r>
      <w:r w:rsidR="00773B76" w:rsidRPr="00F45B46">
        <w:rPr>
          <w:rFonts w:eastAsia="SimSun"/>
          <w:noProof/>
          <w:color w:val="auto"/>
          <w:szCs w:val="16"/>
          <w:lang w:eastAsia="zh-CN" w:bidi="ar-SA"/>
        </w:rPr>
        <w:t>carlospc@um.es</w:t>
      </w:r>
    </w:p>
    <w:p w14:paraId="0030CA3E" w14:textId="34233343" w:rsidR="001B672C" w:rsidRPr="00F45B46" w:rsidRDefault="001B672C" w:rsidP="00B54E50">
      <w:pPr>
        <w:pStyle w:val="MDPI16affiliation"/>
        <w:rPr>
          <w:color w:val="auto"/>
          <w:szCs w:val="16"/>
          <w:lang w:val="en-GB"/>
        </w:rPr>
      </w:pPr>
      <w:r w:rsidRPr="00F45B46">
        <w:rPr>
          <w:color w:val="auto"/>
          <w:szCs w:val="16"/>
          <w:vertAlign w:val="superscript"/>
        </w:rPr>
        <w:t>5</w:t>
      </w:r>
      <w:r w:rsidRPr="00F45B46">
        <w:rPr>
          <w:color w:val="auto"/>
          <w:szCs w:val="16"/>
        </w:rPr>
        <w:tab/>
        <w:t xml:space="preserve">Inherited Cardiopathies Unit, Virgen de la </w:t>
      </w:r>
      <w:proofErr w:type="spellStart"/>
      <w:r w:rsidRPr="00F45B46">
        <w:rPr>
          <w:color w:val="auto"/>
          <w:szCs w:val="16"/>
        </w:rPr>
        <w:t>Arrixaca</w:t>
      </w:r>
      <w:proofErr w:type="spellEnd"/>
      <w:r w:rsidR="001C44D6" w:rsidRPr="00F45B46">
        <w:rPr>
          <w:color w:val="auto"/>
          <w:szCs w:val="16"/>
        </w:rPr>
        <w:t>,</w:t>
      </w:r>
      <w:r w:rsidRPr="00F45B46">
        <w:rPr>
          <w:color w:val="auto"/>
          <w:szCs w:val="16"/>
        </w:rPr>
        <w:t xml:space="preserve"> </w:t>
      </w:r>
      <w:proofErr w:type="spellStart"/>
      <w:r w:rsidRPr="00F45B46">
        <w:rPr>
          <w:color w:val="auto"/>
          <w:szCs w:val="16"/>
        </w:rPr>
        <w:t>Universitary</w:t>
      </w:r>
      <w:proofErr w:type="spellEnd"/>
      <w:r w:rsidRPr="00F45B46">
        <w:rPr>
          <w:color w:val="auto"/>
          <w:szCs w:val="16"/>
        </w:rPr>
        <w:t xml:space="preserve"> Hospital</w:t>
      </w:r>
      <w:r w:rsidR="0084314B" w:rsidRPr="00F45B46">
        <w:rPr>
          <w:color w:val="auto"/>
          <w:szCs w:val="16"/>
        </w:rPr>
        <w:t xml:space="preserve">, </w:t>
      </w:r>
      <w:r w:rsidR="00EE6E33" w:rsidRPr="00F45B46">
        <w:rPr>
          <w:color w:val="auto"/>
          <w:szCs w:val="16"/>
          <w:lang w:val="en-GB"/>
        </w:rPr>
        <w:t xml:space="preserve">El Palmar, </w:t>
      </w:r>
      <w:r w:rsidR="00C92788">
        <w:rPr>
          <w:color w:val="auto"/>
          <w:szCs w:val="16"/>
          <w:lang w:val="en-GB"/>
        </w:rPr>
        <w:br/>
      </w:r>
      <w:r w:rsidR="00CC087C" w:rsidRPr="00F45B46">
        <w:rPr>
          <w:color w:val="auto"/>
          <w:szCs w:val="16"/>
          <w:lang w:val="en-GB"/>
        </w:rPr>
        <w:t xml:space="preserve">30120 </w:t>
      </w:r>
      <w:r w:rsidR="00EE6E33" w:rsidRPr="00F45B46">
        <w:rPr>
          <w:color w:val="auto"/>
          <w:szCs w:val="16"/>
          <w:lang w:val="en-GB"/>
        </w:rPr>
        <w:t xml:space="preserve">Murcia, Spain; </w:t>
      </w:r>
      <w:r w:rsidR="00773B76" w:rsidRPr="00F45B46">
        <w:rPr>
          <w:rFonts w:eastAsia="SimSun"/>
          <w:noProof/>
          <w:color w:val="auto"/>
          <w:szCs w:val="16"/>
          <w:lang w:eastAsia="zh-CN" w:bidi="ar-SA"/>
        </w:rPr>
        <w:t>mariasm@um.es</w:t>
      </w:r>
    </w:p>
    <w:p w14:paraId="6ACB53B5" w14:textId="34C36664" w:rsidR="001B672C" w:rsidRPr="00F45B46" w:rsidRDefault="001B672C" w:rsidP="00B54E50">
      <w:pPr>
        <w:pStyle w:val="MDPI16affiliation"/>
        <w:rPr>
          <w:color w:val="auto"/>
          <w:szCs w:val="16"/>
        </w:rPr>
      </w:pPr>
      <w:r w:rsidRPr="00F45B46">
        <w:rPr>
          <w:color w:val="auto"/>
          <w:szCs w:val="16"/>
          <w:vertAlign w:val="superscript"/>
        </w:rPr>
        <w:t>6</w:t>
      </w:r>
      <w:r w:rsidRPr="00F45B46">
        <w:rPr>
          <w:color w:val="auto"/>
          <w:szCs w:val="16"/>
        </w:rPr>
        <w:tab/>
        <w:t xml:space="preserve">Cardiovascular </w:t>
      </w:r>
      <w:r w:rsidR="00A878CB" w:rsidRPr="00F45B46">
        <w:rPr>
          <w:color w:val="auto"/>
          <w:szCs w:val="16"/>
        </w:rPr>
        <w:t xml:space="preserve">Clinical </w:t>
      </w:r>
      <w:r w:rsidRPr="00F45B46">
        <w:rPr>
          <w:color w:val="auto"/>
          <w:szCs w:val="16"/>
        </w:rPr>
        <w:t xml:space="preserve">Academic </w:t>
      </w:r>
      <w:r w:rsidR="00A878CB" w:rsidRPr="00F45B46">
        <w:rPr>
          <w:color w:val="auto"/>
          <w:szCs w:val="16"/>
        </w:rPr>
        <w:t>Group</w:t>
      </w:r>
      <w:r w:rsidR="00EE6E33" w:rsidRPr="00F45B46">
        <w:rPr>
          <w:color w:val="auto"/>
          <w:szCs w:val="16"/>
        </w:rPr>
        <w:t>,</w:t>
      </w:r>
      <w:r w:rsidRPr="00F45B46">
        <w:rPr>
          <w:color w:val="auto"/>
          <w:szCs w:val="16"/>
        </w:rPr>
        <w:t xml:space="preserve"> Inherited Cardiovascular Disease Unit, St George’s Hospital NHS </w:t>
      </w:r>
      <w:r w:rsidR="00502F57" w:rsidRPr="00F45B46">
        <w:rPr>
          <w:color w:val="auto"/>
          <w:szCs w:val="16"/>
        </w:rPr>
        <w:t>Foundation Trust</w:t>
      </w:r>
      <w:r w:rsidRPr="00F45B46">
        <w:rPr>
          <w:color w:val="auto"/>
          <w:szCs w:val="16"/>
        </w:rPr>
        <w:t xml:space="preserve">, St George’s University of </w:t>
      </w:r>
      <w:r w:rsidR="00EE6E33" w:rsidRPr="00F45B46">
        <w:rPr>
          <w:color w:val="auto"/>
          <w:szCs w:val="16"/>
        </w:rPr>
        <w:t>London,</w:t>
      </w:r>
      <w:r w:rsidR="000109FB" w:rsidRPr="00F45B46">
        <w:rPr>
          <w:color w:val="auto"/>
          <w:szCs w:val="16"/>
        </w:rPr>
        <w:t xml:space="preserve"> </w:t>
      </w:r>
      <w:r w:rsidR="00EE6E33" w:rsidRPr="00F45B46">
        <w:rPr>
          <w:color w:val="auto"/>
          <w:szCs w:val="16"/>
        </w:rPr>
        <w:t>London</w:t>
      </w:r>
      <w:r w:rsidR="002B612E">
        <w:rPr>
          <w:color w:val="auto"/>
          <w:szCs w:val="16"/>
        </w:rPr>
        <w:t xml:space="preserve"> </w:t>
      </w:r>
      <w:r w:rsidR="002B612E" w:rsidRPr="00F45B46">
        <w:rPr>
          <w:color w:val="auto"/>
          <w:szCs w:val="16"/>
        </w:rPr>
        <w:t>SW17 0QT</w:t>
      </w:r>
      <w:r w:rsidR="00EE6E33" w:rsidRPr="00F45B46">
        <w:rPr>
          <w:color w:val="auto"/>
          <w:szCs w:val="16"/>
        </w:rPr>
        <w:t xml:space="preserve">, UK; </w:t>
      </w:r>
      <w:r w:rsidR="00773B76" w:rsidRPr="00F45B46">
        <w:rPr>
          <w:rFonts w:eastAsia="SimSun"/>
          <w:noProof/>
          <w:color w:val="auto"/>
          <w:szCs w:val="16"/>
          <w:lang w:eastAsia="zh-CN" w:bidi="ar-SA"/>
        </w:rPr>
        <w:t>mtome@sgul.ac.uk</w:t>
      </w:r>
    </w:p>
    <w:p w14:paraId="155746E3" w14:textId="246D3DC8" w:rsidR="001B672C" w:rsidRPr="00773B76" w:rsidRDefault="00B54E50" w:rsidP="00B54E50">
      <w:pPr>
        <w:pStyle w:val="MDPI16affiliation"/>
        <w:rPr>
          <w:color w:val="auto"/>
          <w:szCs w:val="16"/>
        </w:rPr>
      </w:pPr>
      <w:r w:rsidRPr="00F45B46">
        <w:rPr>
          <w:b/>
          <w:color w:val="auto"/>
          <w:szCs w:val="16"/>
        </w:rPr>
        <w:t>*</w:t>
      </w:r>
      <w:r w:rsidRPr="00F45B46">
        <w:rPr>
          <w:color w:val="auto"/>
          <w:szCs w:val="16"/>
        </w:rPr>
        <w:tab/>
        <w:t xml:space="preserve">Correspondence: </w:t>
      </w:r>
      <w:r w:rsidR="00773B76" w:rsidRPr="00F45B46">
        <w:rPr>
          <w:rFonts w:eastAsia="SimSun"/>
          <w:noProof/>
          <w:color w:val="auto"/>
          <w:szCs w:val="16"/>
          <w:lang w:eastAsia="zh-CN" w:bidi="ar-SA"/>
        </w:rPr>
        <w:t>bonacasa@um.es</w:t>
      </w:r>
    </w:p>
    <w:p w14:paraId="50472531" w14:textId="21535AA9" w:rsidR="001B672C" w:rsidRPr="004F446B" w:rsidRDefault="001B672C" w:rsidP="00B54E50">
      <w:pPr>
        <w:pStyle w:val="MDPI17abstract"/>
      </w:pPr>
      <w:r w:rsidRPr="008A47DE">
        <w:rPr>
          <w:b/>
        </w:rPr>
        <w:t xml:space="preserve">Abstract: </w:t>
      </w:r>
      <w:r w:rsidRPr="008A47DE">
        <w:t>Background</w:t>
      </w:r>
      <w:r w:rsidRPr="004F446B">
        <w:t>: Patients with chronic diseases frequently adapt their li</w:t>
      </w:r>
      <w:r w:rsidR="00B46290">
        <w:t>fe</w:t>
      </w:r>
      <w:r w:rsidRPr="004F446B">
        <w:t xml:space="preserve">styles to their functional limitations. Functional capacity in Hypertrophic Cardiomyopathy (HCM) can be assessed by stress testing. We aim to review and analyze </w:t>
      </w:r>
      <w:r w:rsidR="00B46290">
        <w:t xml:space="preserve">the </w:t>
      </w:r>
      <w:r w:rsidRPr="004F446B">
        <w:t xml:space="preserve">available data from </w:t>
      </w:r>
      <w:r w:rsidR="00B46290">
        <w:t xml:space="preserve">the </w:t>
      </w:r>
      <w:r w:rsidRPr="004F446B">
        <w:t xml:space="preserve">literature on the value of Cardiopulmonary Exercise Test (CPET) in HCM. Objective measurements from CPET are used for evaluation of patient response to traditional and new developing therapeutic measurements. Methods: A systematic review of the literature was conducted in PubMed, Web of Science and Cochrane in Mar-20. </w:t>
      </w:r>
      <w:r w:rsidR="00D440B0">
        <w:t xml:space="preserve">The </w:t>
      </w:r>
      <w:r w:rsidR="00D440B0" w:rsidRPr="004F446B">
        <w:t xml:space="preserve">original </w:t>
      </w:r>
      <w:r w:rsidRPr="004F446B">
        <w:t xml:space="preserve">search yielded </w:t>
      </w:r>
      <w:r w:rsidR="001C44D6" w:rsidRPr="004F446B">
        <w:t>2628</w:t>
      </w:r>
      <w:r w:rsidRPr="004F446B">
        <w:t xml:space="preserve"> results. </w:t>
      </w:r>
      <w:r w:rsidR="00B46290">
        <w:t xml:space="preserve">One hundred and two </w:t>
      </w:r>
      <w:r w:rsidRPr="004F446B">
        <w:t>full texts were read after the first screening, of which</w:t>
      </w:r>
      <w:r w:rsidR="00D440B0">
        <w:t>,</w:t>
      </w:r>
      <w:r w:rsidRPr="004F446B">
        <w:t xml:space="preserve"> 69 were included for qualitative synthesis. Relevant variables to be included in the review were set and 17 were selected, including comorbidities, </w:t>
      </w:r>
      <w:r w:rsidR="005052B6">
        <w:t>body mass index (</w:t>
      </w:r>
      <w:r w:rsidRPr="004F446B">
        <w:t>BMI</w:t>
      </w:r>
      <w:r w:rsidR="005052B6">
        <w:t>)</w:t>
      </w:r>
      <w:r w:rsidRPr="004F446B">
        <w:t>, cardiac</w:t>
      </w:r>
      <w:r w:rsidR="00B46290">
        <w:t>-related</w:t>
      </w:r>
      <w:r w:rsidRPr="004F446B">
        <w:t xml:space="preserve"> symptoms, echocardiographic variables, </w:t>
      </w:r>
      <w:proofErr w:type="gramStart"/>
      <w:r w:rsidRPr="004F446B">
        <w:t>medications</w:t>
      </w:r>
      <w:proofErr w:type="gramEnd"/>
      <w:r w:rsidRPr="004F446B">
        <w:t xml:space="preserve"> and outcomes. Results: Study sample consisted of 69 research articles, including 11,672 patients (48 ± 14 years old, 65.9%/34.1% men</w:t>
      </w:r>
      <w:r w:rsidR="00126CBE">
        <w:t>/</w:t>
      </w:r>
      <w:r w:rsidRPr="004F446B">
        <w:t>women). Treadmill was the most common instrument employed (</w:t>
      </w:r>
      <w:r w:rsidR="001C44D6" w:rsidRPr="001C44D6">
        <w:rPr>
          <w:i/>
        </w:rPr>
        <w:t>n</w:t>
      </w:r>
      <w:r w:rsidR="001C44D6">
        <w:t xml:space="preserve"> </w:t>
      </w:r>
      <w:r w:rsidR="001C44D6" w:rsidRPr="004F446B">
        <w:t>=</w:t>
      </w:r>
      <w:r w:rsidR="001C44D6">
        <w:t xml:space="preserve"> </w:t>
      </w:r>
      <w:r w:rsidR="001C44D6" w:rsidRPr="004F446B">
        <w:t>3</w:t>
      </w:r>
      <w:r w:rsidRPr="004F446B">
        <w:t>7 studies), followed by upright cycle-ergometer (</w:t>
      </w:r>
      <w:r w:rsidR="001C44D6" w:rsidRPr="001C44D6">
        <w:rPr>
          <w:i/>
        </w:rPr>
        <w:t>n</w:t>
      </w:r>
      <w:r w:rsidR="001C44D6">
        <w:t xml:space="preserve"> </w:t>
      </w:r>
      <w:r w:rsidR="001C44D6" w:rsidRPr="004F446B">
        <w:t>=</w:t>
      </w:r>
      <w:r w:rsidR="001C44D6">
        <w:t xml:space="preserve"> </w:t>
      </w:r>
      <w:r w:rsidR="001C44D6" w:rsidRPr="004F446B">
        <w:t>1</w:t>
      </w:r>
      <w:r w:rsidRPr="004F446B">
        <w:t xml:space="preserve">6 studies). Mean </w:t>
      </w:r>
      <w:r w:rsidR="00A341C0">
        <w:t>maximal oxygen consumption (</w:t>
      </w:r>
      <w:r w:rsidRPr="004F446B">
        <w:t>VO2max</w:t>
      </w:r>
      <w:r w:rsidR="00A341C0">
        <w:t>)</w:t>
      </w:r>
      <w:r w:rsidRPr="004F446B">
        <w:t xml:space="preserve"> was 22.3 ± 3.</w:t>
      </w:r>
      <w:r w:rsidR="00835518" w:rsidRPr="004F446B">
        <w:t xml:space="preserve">8 </w:t>
      </w:r>
      <w:r w:rsidR="00835518">
        <w:t>mL</w:t>
      </w:r>
      <w:r w:rsidR="00835518" w:rsidRPr="004F446B">
        <w:t>·</w:t>
      </w:r>
      <w:r w:rsidRPr="004F446B">
        <w:t>kg</w:t>
      </w:r>
      <w:r w:rsidR="001C44D6">
        <w:rPr>
          <w:vertAlign w:val="superscript"/>
        </w:rPr>
        <w:t>−</w:t>
      </w:r>
      <w:r w:rsidR="001C44D6" w:rsidRPr="004F446B">
        <w:rPr>
          <w:vertAlign w:val="superscript"/>
        </w:rPr>
        <w:t>1</w:t>
      </w:r>
      <w:r w:rsidRPr="004F446B">
        <w:t>·min</w:t>
      </w:r>
      <w:r w:rsidR="001C44D6">
        <w:rPr>
          <w:vertAlign w:val="superscript"/>
        </w:rPr>
        <w:t>−</w:t>
      </w:r>
      <w:r w:rsidR="001C44D6" w:rsidRPr="004F446B">
        <w:rPr>
          <w:vertAlign w:val="superscript"/>
        </w:rPr>
        <w:t>1</w:t>
      </w:r>
      <w:r w:rsidRPr="004F446B">
        <w:t>. The highest average values were observed in supine and upright cycle-ergometer (25.3 ± 6.5 and 24.</w:t>
      </w:r>
      <w:r w:rsidRPr="00126CBE">
        <w:t>8 ± 9.</w:t>
      </w:r>
      <w:r w:rsidR="00835518" w:rsidRPr="00126CBE">
        <w:t xml:space="preserve">1 </w:t>
      </w:r>
      <w:r w:rsidR="00835518">
        <w:t>mL</w:t>
      </w:r>
      <w:r w:rsidR="00835518" w:rsidRPr="00126CBE">
        <w:t>·</w:t>
      </w:r>
      <w:r w:rsidRPr="00126CBE">
        <w:t>kg</w:t>
      </w:r>
      <w:r w:rsidR="001C44D6" w:rsidRPr="00126CBE">
        <w:rPr>
          <w:vertAlign w:val="superscript"/>
        </w:rPr>
        <w:t>−1</w:t>
      </w:r>
      <w:r w:rsidRPr="00126CBE">
        <w:t>·min</w:t>
      </w:r>
      <w:r w:rsidR="001C44D6" w:rsidRPr="00126CBE">
        <w:rPr>
          <w:vertAlign w:val="superscript"/>
        </w:rPr>
        <w:t>−</w:t>
      </w:r>
      <w:proofErr w:type="gramStart"/>
      <w:r w:rsidR="001C44D6" w:rsidRPr="00126CBE">
        <w:rPr>
          <w:vertAlign w:val="superscript"/>
        </w:rPr>
        <w:t>1</w:t>
      </w:r>
      <w:r w:rsidRPr="00126CBE">
        <w:t>;</w:t>
      </w:r>
      <w:proofErr w:type="gramEnd"/>
      <w:r w:rsidRPr="00126CBE">
        <w:t xml:space="preserve"> respectively). Oxygen consumption in the anaerobic threshold (ATVO2) was reported in 18 publications. </w:t>
      </w:r>
      <w:r w:rsidR="001759E3">
        <w:t>Left ventricular outflow tract gradient (</w:t>
      </w:r>
      <w:r w:rsidRPr="00126CBE">
        <w:t>LVO</w:t>
      </w:r>
      <w:r w:rsidR="001C44D6" w:rsidRPr="00126CBE">
        <w:t>T</w:t>
      </w:r>
      <w:r w:rsidR="001759E3">
        <w:t>)</w:t>
      </w:r>
      <w:r w:rsidR="001C44D6" w:rsidRPr="00126CBE">
        <w:t xml:space="preserve"> &gt; 3</w:t>
      </w:r>
      <w:r w:rsidRPr="00126CBE">
        <w:t xml:space="preserve">0 mmHg was present at baseline in 31.4% of cases. It increased to 49% during exercise. Proportion of abnormal blood pressure response (ABPRE) was higher in severe </w:t>
      </w:r>
      <w:r w:rsidR="001C44D6" w:rsidRPr="00126CBE">
        <w:t>(&gt;2</w:t>
      </w:r>
      <w:r w:rsidRPr="00126CBE">
        <w:t>0 mm)</w:t>
      </w:r>
      <w:r w:rsidR="00126CBE" w:rsidRPr="00126CBE">
        <w:t xml:space="preserve"> vs. </w:t>
      </w:r>
      <w:r w:rsidRPr="00126CBE">
        <w:t>mild hypertrophy groups (17.9%</w:t>
      </w:r>
      <w:r w:rsidR="00126CBE" w:rsidRPr="00126CBE">
        <w:t xml:space="preserve"> vs. </w:t>
      </w:r>
      <w:r w:rsidRPr="00126CBE">
        <w:t xml:space="preserve">13.6%, </w:t>
      </w:r>
      <w:r w:rsidR="001C44D6" w:rsidRPr="00126CBE">
        <w:rPr>
          <w:i/>
        </w:rPr>
        <w:t>p</w:t>
      </w:r>
      <w:r w:rsidR="001C44D6" w:rsidRPr="00126CBE">
        <w:t xml:space="preserve"> &lt; 0</w:t>
      </w:r>
      <w:r w:rsidRPr="00126CBE">
        <w:t>.001). Mean VO2max was not significantly different between severe</w:t>
      </w:r>
      <w:r w:rsidR="00126CBE" w:rsidRPr="00126CBE">
        <w:t xml:space="preserve"> vs. </w:t>
      </w:r>
      <w:r w:rsidRPr="00126CBE">
        <w:t>milder hypertrophy, or for obstructive</w:t>
      </w:r>
      <w:r w:rsidR="00126CBE" w:rsidRPr="00126CBE">
        <w:t xml:space="preserve"> vs. </w:t>
      </w:r>
      <w:r w:rsidRPr="00126CBE">
        <w:t>non-obstructive groups. Occurrence of arrhythmias during functional assessment was higher among younger adults (5.42%</w:t>
      </w:r>
      <w:r w:rsidR="00126CBE" w:rsidRPr="00126CBE">
        <w:t xml:space="preserve"> vs. </w:t>
      </w:r>
      <w:r w:rsidRPr="00126CBE">
        <w:t xml:space="preserve">1.69% in older adults, </w:t>
      </w:r>
      <w:r w:rsidR="001C44D6" w:rsidRPr="00126CBE">
        <w:rPr>
          <w:i/>
        </w:rPr>
        <w:t>p</w:t>
      </w:r>
      <w:r w:rsidR="001C44D6" w:rsidRPr="00126CBE">
        <w:t xml:space="preserve"> &lt; 0</w:t>
      </w:r>
      <w:r w:rsidRPr="00126CBE">
        <w:t xml:space="preserve">.001). </w:t>
      </w:r>
      <w:r w:rsidR="00B46290">
        <w:t>Twenty-three</w:t>
      </w:r>
      <w:r w:rsidR="00B46290" w:rsidRPr="00126CBE">
        <w:t xml:space="preserve"> </w:t>
      </w:r>
      <w:r w:rsidRPr="00126CBE">
        <w:t>publications (</w:t>
      </w:r>
      <w:r w:rsidR="001C44D6" w:rsidRPr="00126CBE">
        <w:t>9145</w:t>
      </w:r>
      <w:r w:rsidRPr="00126CBE">
        <w:t xml:space="preserve"> patients) evaluated the prognostic value of exercise capacity. There were 8.5% total deaths, 6.7% cardiovascular deaths, 3.0% sudden cardiac deaths</w:t>
      </w:r>
      <w:r w:rsidR="00A341C0">
        <w:t xml:space="preserve"> (SCD)</w:t>
      </w:r>
      <w:r w:rsidRPr="00126CBE">
        <w:t xml:space="preserve">, 1.2% heart failure death, 0.6% resuscitated cardiac arrests, 1.1% transplants, 2.6% </w:t>
      </w:r>
      <w:r w:rsidR="00A341C0">
        <w:t>implantable cardioverter defibrillator (ICD)</w:t>
      </w:r>
      <w:r w:rsidRPr="00126CBE">
        <w:t xml:space="preserve"> therapies and 1.2 strokes (mean follow-up: 3.81 ± 2.77 years). VO2max, ATVO2, METs, % of age-gender predicted VO2max, % of</w:t>
      </w:r>
      <w:r w:rsidRPr="004F446B">
        <w:t xml:space="preserve"> age-gender predicted METs, ABPRE and ventricular arrhythmias were significantly associated with major outcomes individually. Mean VO2max was reduced in patients who reached the combined cardiovascular death outcome compared to those who survived (</w:t>
      </w:r>
      <w:r w:rsidR="001C44D6">
        <w:t>−</w:t>
      </w:r>
      <w:r w:rsidR="001C44D6" w:rsidRPr="004F446B">
        <w:t>6</w:t>
      </w:r>
      <w:r w:rsidRPr="004F446B">
        <w:t>.2</w:t>
      </w:r>
      <w:r w:rsidR="00835518" w:rsidRPr="004F446B">
        <w:t xml:space="preserve">0 </w:t>
      </w:r>
      <w:r w:rsidR="00835518">
        <w:t>mL</w:t>
      </w:r>
      <w:r w:rsidR="00835518" w:rsidRPr="004F446B">
        <w:t>·</w:t>
      </w:r>
      <w:r w:rsidRPr="004F446B">
        <w:t>kg</w:t>
      </w:r>
      <w:r w:rsidR="001C44D6">
        <w:rPr>
          <w:vertAlign w:val="superscript"/>
        </w:rPr>
        <w:t>−</w:t>
      </w:r>
      <w:r w:rsidR="001C44D6" w:rsidRPr="004F446B">
        <w:rPr>
          <w:vertAlign w:val="superscript"/>
        </w:rPr>
        <w:t>1</w:t>
      </w:r>
      <w:r w:rsidRPr="004F446B">
        <w:t>·min</w:t>
      </w:r>
      <w:r w:rsidR="001C44D6">
        <w:rPr>
          <w:vertAlign w:val="superscript"/>
        </w:rPr>
        <w:t>−</w:t>
      </w:r>
      <w:r w:rsidR="001C44D6" w:rsidRPr="004F446B">
        <w:rPr>
          <w:vertAlign w:val="superscript"/>
        </w:rPr>
        <w:t>1</w:t>
      </w:r>
      <w:r w:rsidRPr="004F446B">
        <w:t xml:space="preserve">; CI 95%: </w:t>
      </w:r>
      <w:r w:rsidR="001C44D6">
        <w:t>−</w:t>
      </w:r>
      <w:r w:rsidR="001C44D6" w:rsidRPr="004F446B">
        <w:t>7</w:t>
      </w:r>
      <w:r w:rsidRPr="004F446B">
        <w:t xml:space="preserve">.95, </w:t>
      </w:r>
      <w:r w:rsidR="001C44D6">
        <w:t>−</w:t>
      </w:r>
      <w:r w:rsidR="001C44D6" w:rsidRPr="004F446B">
        <w:t>4</w:t>
      </w:r>
      <w:r w:rsidRPr="004F446B">
        <w:t xml:space="preserve">.46; </w:t>
      </w:r>
      <w:r w:rsidR="001C44D6" w:rsidRPr="001C44D6">
        <w:rPr>
          <w:i/>
        </w:rPr>
        <w:t>p</w:t>
      </w:r>
      <w:r w:rsidR="001C44D6">
        <w:t xml:space="preserve"> </w:t>
      </w:r>
      <w:r w:rsidR="001C44D6" w:rsidRPr="004F446B">
        <w:t>&lt;</w:t>
      </w:r>
      <w:r w:rsidR="001C44D6">
        <w:t xml:space="preserve"> </w:t>
      </w:r>
      <w:r w:rsidR="001C44D6" w:rsidRPr="004F446B">
        <w:t>0</w:t>
      </w:r>
      <w:r w:rsidRPr="004F446B">
        <w:t xml:space="preserve">.01). Conclusions: CPET is a valuable tool and can safely perform for assessment of physical functional capacity in patients with HCM. VO2max is the most common performance measurement evaluated in functional studies, showing higher values in those based on cycle-ergometer compared to treadmill. Subgroup analysis shows that exercise intolerance seems to be more related to age, </w:t>
      </w:r>
      <w:r w:rsidRPr="004F446B">
        <w:lastRenderedPageBreak/>
        <w:t>medication and comorbidities than HCM phenotype itself. Lower VO2max is consistently seen in HCM patients at major cardiovascular risk.</w:t>
      </w:r>
    </w:p>
    <w:p w14:paraId="546AA184" w14:textId="48AC57AA" w:rsidR="001B672C" w:rsidRPr="004F446B" w:rsidRDefault="00B54E50" w:rsidP="00B54E50">
      <w:pPr>
        <w:pStyle w:val="MDPI18keywords"/>
      </w:pPr>
      <w:r w:rsidRPr="00B54E50">
        <w:rPr>
          <w:b/>
        </w:rPr>
        <w:t>Keywords:</w:t>
      </w:r>
      <w:r w:rsidR="001B672C" w:rsidRPr="00B54E50">
        <w:rPr>
          <w:b/>
        </w:rPr>
        <w:t xml:space="preserve"> </w:t>
      </w:r>
      <w:r w:rsidR="001B672C" w:rsidRPr="004F446B">
        <w:t xml:space="preserve">hypertrophic cardiomyopathy; physical activity; exercise test; pathophysiology; </w:t>
      </w:r>
      <w:r w:rsidR="0049099C">
        <w:br/>
      </w:r>
      <w:r w:rsidR="001B672C" w:rsidRPr="004F446B">
        <w:t>prognosis</w:t>
      </w:r>
    </w:p>
    <w:p w14:paraId="19C32131" w14:textId="77777777" w:rsidR="001B672C" w:rsidRPr="004F446B" w:rsidRDefault="001B672C" w:rsidP="00B54E50">
      <w:pPr>
        <w:pStyle w:val="MDPI19line"/>
        <w:pBdr>
          <w:bottom w:val="single" w:sz="4" w:space="1" w:color="000000"/>
        </w:pBdr>
      </w:pPr>
    </w:p>
    <w:p w14:paraId="6DDD1F47" w14:textId="33E04720" w:rsidR="001B672C" w:rsidRPr="004F446B" w:rsidRDefault="00126CBE" w:rsidP="00126CBE">
      <w:pPr>
        <w:pStyle w:val="MDPI21heading1"/>
      </w:pPr>
      <w:r>
        <w:t xml:space="preserve">1. </w:t>
      </w:r>
      <w:r w:rsidR="001B672C" w:rsidRPr="004F446B">
        <w:t>Introduction</w:t>
      </w:r>
    </w:p>
    <w:p w14:paraId="5705D5C3" w14:textId="15C9C337" w:rsidR="001B672C" w:rsidRPr="004F446B" w:rsidRDefault="001B672C" w:rsidP="00B54E50">
      <w:pPr>
        <w:pStyle w:val="MDPI31text"/>
      </w:pPr>
      <w:r w:rsidRPr="004F446B">
        <w:t>Hypertrophic cardiomyopathy is the most frequent and best characterized inheritable cardiac disease (1:500 general population). It is defined by the presence of left ventricular hypertrophy (LVH), measured as thickness of ≥</w:t>
      </w:r>
      <w:r w:rsidR="00C25128">
        <w:t xml:space="preserve"> </w:t>
      </w:r>
      <w:r w:rsidRPr="004F446B">
        <w:t>15 mm in adults, in the absence of other loading conditions [1,2]. HCM causes significant morbidity and mortality, and its natural history includes the development of atrial and ventricular arrhythmias such as atrial fibrillation or flutter, and heart failure, stroke, and sudden cardiac deat</w:t>
      </w:r>
      <w:r w:rsidR="00A341C0">
        <w:t>h</w:t>
      </w:r>
      <w:r w:rsidRPr="004F446B">
        <w:t>. SCD is the most frequent severe event with a 1% annual incidence [2,3]. In some developed countries, HCM is the most important cause of SCD among young people and athletes [3].</w:t>
      </w:r>
    </w:p>
    <w:p w14:paraId="15E67422" w14:textId="4F17EB48" w:rsidR="001B672C" w:rsidRPr="004F446B" w:rsidRDefault="001B672C" w:rsidP="00B54E50">
      <w:pPr>
        <w:pStyle w:val="MDPI31text"/>
      </w:pPr>
      <w:r w:rsidRPr="004F446B">
        <w:t xml:space="preserve">A series of clinical parameters associated with an increased risk of SCD during the follow-up of these patients have been identified. These include the magnitude of the LVH, severity of the left ventricular outflow tract gradient, left atrial diameter, familiar history of syncope or SCD, and the non-sustained ventricular tachycardia (NSVT) in the ambulatory ECG monitoring [4–7] but also ABPRE and the presence of ventricular arrhythmias. While every parameter has low predictive value when considered alone, risk scores derived from population size sample of patients have been developed [4,5]. HCM patients’ response to exercise has been largely studied. </w:t>
      </w:r>
      <w:r w:rsidR="00A341C0">
        <w:t>V</w:t>
      </w:r>
      <w:r w:rsidRPr="004F446B">
        <w:t xml:space="preserve">alues of VO2max and </w:t>
      </w:r>
      <w:r w:rsidR="00A341C0">
        <w:t>ATVO2</w:t>
      </w:r>
      <w:r w:rsidRPr="004F446B">
        <w:t xml:space="preserve"> have been found reduced in some series. When functional limitation is present, this can be explained related to a reduction in the stroke volume, the chronotropic reserve, an imbalanced ventilation</w:t>
      </w:r>
      <w:r w:rsidR="00144A1C">
        <w:t xml:space="preserve"> </w:t>
      </w:r>
      <w:r w:rsidRPr="004F446B">
        <w:t xml:space="preserve">perfusion, and an inadequate peripheral oxygen utilization. </w:t>
      </w:r>
    </w:p>
    <w:p w14:paraId="4501EB1B" w14:textId="2507E804" w:rsidR="001B672C" w:rsidRPr="004F446B" w:rsidRDefault="001B672C" w:rsidP="00B54E50">
      <w:pPr>
        <w:pStyle w:val="MDPI31text"/>
      </w:pPr>
      <w:r w:rsidRPr="004F446B">
        <w:t>Patients with chronic diseases frequently adapt their li</w:t>
      </w:r>
      <w:r w:rsidR="00B46290">
        <w:t>fe</w:t>
      </w:r>
      <w:r w:rsidRPr="004F446B">
        <w:t>styles to the functional limitations associated with their pathology. Exercise testing in HCM patients is a useful tool to reveal subclinical symptoms and provides valuable information for exercise prescription [8]. HCM patients’ response to exercise has been widely investigated and even proposed as one of the differential diagnostic variables between cases of physiological hypertrophy in athletes and HCM [9,10].</w:t>
      </w:r>
    </w:p>
    <w:p w14:paraId="75A551D5" w14:textId="77777777" w:rsidR="001B672C" w:rsidRPr="004F446B" w:rsidRDefault="001B672C" w:rsidP="00B54E50">
      <w:pPr>
        <w:pStyle w:val="MDPI31text"/>
      </w:pPr>
      <w:r w:rsidRPr="004F446B">
        <w:t xml:space="preserve">While a comprehensive assessment of functional capacity with ergometry, VO2max analysis with echocardiography allows a better understanding of the pathophysiology in HCM, the diversity of protocols prevents from comparisons between studies. Dyspnea, chest pain, and syncope on exertion are a consequence of the complex involvement of cardiac and extracardiac factors. LVOT together or not with mitral regurgitation, diastolic dysfunction, myocardial ischemia, rhythm disorders, or autonomic imbalance, are the main cardiac factors involved in symptoms development. </w:t>
      </w:r>
    </w:p>
    <w:p w14:paraId="62414F37" w14:textId="3B5C995A" w:rsidR="001B672C" w:rsidRPr="004F446B" w:rsidRDefault="001B672C" w:rsidP="00B54E50">
      <w:pPr>
        <w:pStyle w:val="MDPI31text"/>
      </w:pPr>
      <w:r w:rsidRPr="004F446B">
        <w:t xml:space="preserve">The main aim of the study was to present a systematic review and a meta-analysis of the of available data on cardiopulmonary exercise functional assessment of patients with HCM. The analysis included the evaluation of methodological protocols and the impact of relevant clinical characteristics </w:t>
      </w:r>
      <w:r w:rsidR="00B46290">
        <w:t>such as</w:t>
      </w:r>
      <w:r w:rsidR="00B46290" w:rsidRPr="004F446B">
        <w:t xml:space="preserve"> </w:t>
      </w:r>
      <w:r w:rsidRPr="004F446B">
        <w:t>age group, obstruction severity, degree of hyper-trophy and the prognostic implications of the results of the functional tests.</w:t>
      </w:r>
    </w:p>
    <w:p w14:paraId="7E88CE1D" w14:textId="20ACED2F" w:rsidR="001B672C" w:rsidRPr="004F446B" w:rsidRDefault="00126CBE" w:rsidP="00126CBE">
      <w:pPr>
        <w:pStyle w:val="MDPI21heading1"/>
      </w:pPr>
      <w:r>
        <w:t xml:space="preserve">2. </w:t>
      </w:r>
      <w:r w:rsidR="001B672C" w:rsidRPr="004F446B">
        <w:t>Experimental Section</w:t>
      </w:r>
    </w:p>
    <w:p w14:paraId="61582645" w14:textId="0E50EDEE" w:rsidR="001B672C" w:rsidRPr="004F446B" w:rsidRDefault="00126CBE" w:rsidP="00126CBE">
      <w:pPr>
        <w:pStyle w:val="MDPI22heading2"/>
      </w:pPr>
      <w:r>
        <w:t xml:space="preserve">2.1. </w:t>
      </w:r>
      <w:r w:rsidR="001B672C" w:rsidRPr="004F446B">
        <w:t>Eligibility Criteria</w:t>
      </w:r>
    </w:p>
    <w:p w14:paraId="0DC10919" w14:textId="6A73D880" w:rsidR="001B672C" w:rsidRPr="004F446B" w:rsidRDefault="001B672C" w:rsidP="00B54E50">
      <w:pPr>
        <w:pStyle w:val="MDPI31text"/>
      </w:pPr>
      <w:r w:rsidRPr="004F446B">
        <w:t xml:space="preserve">Publications indexed in the Journal Citation Report (JCR) with cross-sectional, </w:t>
      </w:r>
      <w:r w:rsidR="004360E1">
        <w:t>case–control</w:t>
      </w:r>
      <w:r w:rsidRPr="004F446B">
        <w:t>, cohorts, randomized controlled trial, clinical trial or case study designs were included. Manuscripts had to be written in English, without restrictions regarding publica</w:t>
      </w:r>
      <w:r w:rsidRPr="004F446B">
        <w:lastRenderedPageBreak/>
        <w:t xml:space="preserve">tion date. Systematic reviews, meta-analysis and narrative reviews were not included. According to PICOS strategy, investigations had to assess maximal functional capacity in hypertrophic cardiomyopathy patients in absence of other cardiac diseases. Exercise cessation criteria had to be at least one among event development, limiting symptoms or fatigue impeding continuation. Interventions based on pharmacological treatment, exercise training, surgery, alcohol septal ablation, lifestyle modifications or the combination of them were included. Comparation groups considered for inclusion were healthy controls, athletes, or patients with or without LVOT. Finally, studies without comparation group describing some aspect related to the pathology and accomplishing the </w:t>
      </w:r>
      <w:proofErr w:type="gramStart"/>
      <w:r w:rsidRPr="004F446B">
        <w:t>aforementioned criteria</w:t>
      </w:r>
      <w:proofErr w:type="gramEnd"/>
      <w:r w:rsidRPr="004F446B">
        <w:t xml:space="preserve"> were considered as well.</w:t>
      </w:r>
    </w:p>
    <w:p w14:paraId="4186CA5D" w14:textId="2ECBA2BE" w:rsidR="001B672C" w:rsidRPr="004F446B" w:rsidRDefault="00126CBE" w:rsidP="00126CBE">
      <w:pPr>
        <w:pStyle w:val="MDPI22heading2"/>
        <w:spacing w:before="240"/>
      </w:pPr>
      <w:r>
        <w:t xml:space="preserve">2.2. </w:t>
      </w:r>
      <w:r w:rsidR="001B672C" w:rsidRPr="004F446B">
        <w:t>Search Strategy</w:t>
      </w:r>
    </w:p>
    <w:p w14:paraId="6B0E3A28" w14:textId="77777777" w:rsidR="001B672C" w:rsidRPr="004F446B" w:rsidRDefault="001B672C" w:rsidP="00B54E50">
      <w:pPr>
        <w:pStyle w:val="MDPI31text"/>
      </w:pPr>
      <w:r w:rsidRPr="004F446B">
        <w:t xml:space="preserve">A systematic review of the literature was conducted on PubMed, Web of Science and Cochrane in March 2020. Topics for the search were set throughout a brainstorming session, including keywords according three main areas: HCM, physical exercise and functional capacity: hypertrophic cardiomyopathy, cardiac rehabilitation, physical exercise, exercise tolerance, exercise capacity, anaerobic threshold, maximal oxygen consumption, athlete, assessment, evaluation e intervention. Final search was (((((physical </w:t>
      </w:r>
      <w:proofErr w:type="gramStart"/>
      <w:r w:rsidRPr="004F446B">
        <w:t>activity[</w:t>
      </w:r>
      <w:proofErr w:type="gramEnd"/>
      <w:r w:rsidRPr="004F446B">
        <w:t>Title]) OR physical exercise[Title]) AND intervention[Title]) OR trial[Title]) OR random*[Title]) AND hypertrophic cardiomyopathy[Title]; and (hypertrophic cardiomyopathy[Title]) AND (physical activity OR physical exercise OR aerobic capacity OR athlete OR anaerobic threshold OR maximal oxygen consumption) AND (assessment OR evaluation OR test*).</w:t>
      </w:r>
    </w:p>
    <w:p w14:paraId="1BDA11B6" w14:textId="57C7D375" w:rsidR="001B672C" w:rsidRPr="004F446B" w:rsidRDefault="00126CBE" w:rsidP="00126CBE">
      <w:pPr>
        <w:pStyle w:val="MDPI22heading2"/>
        <w:spacing w:before="240"/>
      </w:pPr>
      <w:r>
        <w:t xml:space="preserve">2.3. </w:t>
      </w:r>
      <w:r w:rsidR="001B672C" w:rsidRPr="004F446B">
        <w:t>Data Extraction and Synthesis</w:t>
      </w:r>
    </w:p>
    <w:p w14:paraId="17E62C4A" w14:textId="71CDF8E2" w:rsidR="001B672C" w:rsidRPr="004F446B" w:rsidRDefault="001B672C" w:rsidP="00B54E50">
      <w:pPr>
        <w:pStyle w:val="MDPI31text"/>
      </w:pPr>
      <w:r w:rsidRPr="004F446B">
        <w:t xml:space="preserve">Relevant variables to be included in the review were set and 17 were selected: sample size, age, gender, inclusion of control group, assessment of extracardiac variables, management of pharmacological therapy, material used for the functional assessment, initial intensity and its augments, time lapse for each intensity stage, </w:t>
      </w:r>
      <w:r w:rsidR="00D85DAF">
        <w:t>VO2max</w:t>
      </w:r>
      <w:r w:rsidRPr="004F446B">
        <w:t xml:space="preserve">, </w:t>
      </w:r>
      <w:r w:rsidR="00D85DAF">
        <w:t>ATVO2</w:t>
      </w:r>
      <w:r w:rsidRPr="004F446B">
        <w:t xml:space="preserve">, presence of </w:t>
      </w:r>
      <w:r w:rsidR="00D85DAF">
        <w:t>LVOT</w:t>
      </w:r>
      <w:r w:rsidRPr="004F446B">
        <w:t xml:space="preserve"> &gt;</w:t>
      </w:r>
      <w:r w:rsidR="001C44D6">
        <w:t xml:space="preserve"> </w:t>
      </w:r>
      <w:r w:rsidRPr="004F446B">
        <w:t xml:space="preserve">30 mmHg, mitral regurgitation, pulmonary capillary wedge pressure (PCWP), </w:t>
      </w:r>
      <w:r w:rsidR="00D85DAF">
        <w:t>ABPRE</w:t>
      </w:r>
      <w:r w:rsidRPr="004F446B">
        <w:t xml:space="preserve"> and occurrence of cardiac events.</w:t>
      </w:r>
    </w:p>
    <w:p w14:paraId="743DDD0F" w14:textId="79459949" w:rsidR="001B672C" w:rsidRPr="004F446B" w:rsidRDefault="001B672C" w:rsidP="00B54E50">
      <w:pPr>
        <w:pStyle w:val="MDPI31text"/>
      </w:pPr>
      <w:r w:rsidRPr="004F446B">
        <w:t>When data were reported in different units, they were synthesized into equal magnitudes according to formulas mentioned for each case. When values were not explicitly indicated, they were calculated from other available data when possible. When BMI was not reported but so were height and weight, it was determined as follows: BMI = weight</w:t>
      </w:r>
      <w:r w:rsidR="00126CBE">
        <w:t>/</w:t>
      </w:r>
      <w:r w:rsidRPr="004F446B">
        <w:t>height</w:t>
      </w:r>
      <w:r w:rsidRPr="004F446B">
        <w:rPr>
          <w:vertAlign w:val="superscript"/>
        </w:rPr>
        <w:t>2</w:t>
      </w:r>
      <w:r w:rsidRPr="004F446B">
        <w:t xml:space="preserve"> [11]. When previous fasting was ≥12 </w:t>
      </w:r>
      <w:r w:rsidR="00835518">
        <w:t>h</w:t>
      </w:r>
      <w:r w:rsidRPr="004F446B">
        <w:t xml:space="preserve"> it was considered together with those reported as ‘overnight’. When speed (V) was reported in miles per hour (mph) it was transformed into kilometers per hour (km·h</w:t>
      </w:r>
      <w:r w:rsidR="001C44D6">
        <w:rPr>
          <w:vertAlign w:val="superscript"/>
        </w:rPr>
        <w:t>−</w:t>
      </w:r>
      <w:r w:rsidR="001C44D6" w:rsidRPr="004F446B">
        <w:rPr>
          <w:vertAlign w:val="superscript"/>
        </w:rPr>
        <w:t>1</w:t>
      </w:r>
      <w:r w:rsidRPr="004F446B">
        <w:t>) as follows: Vkm·h</w:t>
      </w:r>
      <w:r w:rsidR="001C44D6">
        <w:rPr>
          <w:vertAlign w:val="superscript"/>
        </w:rPr>
        <w:t>−</w:t>
      </w:r>
      <w:r w:rsidR="001C44D6" w:rsidRPr="004F446B">
        <w:rPr>
          <w:vertAlign w:val="superscript"/>
        </w:rPr>
        <w:t>1</w:t>
      </w:r>
      <w:r w:rsidRPr="004F446B">
        <w:t xml:space="preserve"> * 1.609. When maximal aerobic capacity was expressed in metabolic equivalents (METs), it was recalculated to ml·kg</w:t>
      </w:r>
      <w:r w:rsidR="001C44D6">
        <w:rPr>
          <w:vertAlign w:val="superscript"/>
        </w:rPr>
        <w:t>−</w:t>
      </w:r>
      <w:r w:rsidR="001C44D6" w:rsidRPr="004F446B">
        <w:rPr>
          <w:vertAlign w:val="superscript"/>
        </w:rPr>
        <w:t>1</w:t>
      </w:r>
      <w:r w:rsidRPr="004F446B">
        <w:t>·min</w:t>
      </w:r>
      <w:r w:rsidR="001C44D6">
        <w:rPr>
          <w:vertAlign w:val="superscript"/>
        </w:rPr>
        <w:t>−</w:t>
      </w:r>
      <w:r w:rsidR="001C44D6" w:rsidRPr="004F446B">
        <w:rPr>
          <w:vertAlign w:val="superscript"/>
        </w:rPr>
        <w:t>1</w:t>
      </w:r>
      <w:r w:rsidRPr="004F446B">
        <w:t xml:space="preserve"> of oxygen consumption as previously indicated [12], i.e</w:t>
      </w:r>
      <w:r w:rsidR="00144A1C">
        <w:t>.,</w:t>
      </w:r>
      <w:r w:rsidRPr="004F446B">
        <w:t xml:space="preserve"> a maximal work rate reached at 7 METs on a cycle-ergometer multiplied by 3.5 to be recalculated into 24.</w:t>
      </w:r>
      <w:r w:rsidR="00835518" w:rsidRPr="004F446B">
        <w:t xml:space="preserve">5 </w:t>
      </w:r>
      <w:r w:rsidR="00835518">
        <w:t>mL</w:t>
      </w:r>
      <w:r w:rsidR="00835518" w:rsidRPr="004F446B">
        <w:t>·</w:t>
      </w:r>
      <w:r w:rsidRPr="004F446B">
        <w:t>kg</w:t>
      </w:r>
      <w:r w:rsidR="001C44D6">
        <w:rPr>
          <w:vertAlign w:val="superscript"/>
        </w:rPr>
        <w:t>−</w:t>
      </w:r>
      <w:r w:rsidR="001C44D6" w:rsidRPr="004F446B">
        <w:rPr>
          <w:vertAlign w:val="superscript"/>
        </w:rPr>
        <w:t>1</w:t>
      </w:r>
      <w:r w:rsidRPr="004F446B">
        <w:t>·min</w:t>
      </w:r>
      <w:r w:rsidR="001C44D6">
        <w:rPr>
          <w:vertAlign w:val="superscript"/>
        </w:rPr>
        <w:t>−</w:t>
      </w:r>
      <w:r w:rsidR="001C44D6" w:rsidRPr="004F446B">
        <w:rPr>
          <w:vertAlign w:val="superscript"/>
        </w:rPr>
        <w:t>1</w:t>
      </w:r>
      <w:r w:rsidRPr="004F446B">
        <w:t>.</w:t>
      </w:r>
    </w:p>
    <w:p w14:paraId="045681E9" w14:textId="2892323C" w:rsidR="001B672C" w:rsidRPr="004F446B" w:rsidRDefault="00126CBE" w:rsidP="00126CBE">
      <w:pPr>
        <w:pStyle w:val="MDPI22heading2"/>
        <w:spacing w:before="240"/>
      </w:pPr>
      <w:r>
        <w:t xml:space="preserve">2.4. </w:t>
      </w:r>
      <w:r w:rsidR="001B672C" w:rsidRPr="004F446B">
        <w:t>Statistical Analyses</w:t>
      </w:r>
    </w:p>
    <w:p w14:paraId="05C28C0F" w14:textId="77777777" w:rsidR="001B672C" w:rsidRPr="004F446B" w:rsidRDefault="001B672C" w:rsidP="00B54E50">
      <w:pPr>
        <w:pStyle w:val="MDPI31text"/>
      </w:pPr>
      <w:r w:rsidRPr="004F446B">
        <w:t>Global mean values and standard errors were calculated as the summatory of the product of each class mark multiplied by its frequency and divided by the sample size. The prevalence of extracardiac variables and inclusion of the assessment of cardiac variables in the studies was evaluated as the summatory of cases divided by the sample size. Random effects meta-analyses and subgroup analyses were performed using Review Manager (</w:t>
      </w:r>
      <w:proofErr w:type="spellStart"/>
      <w:r w:rsidRPr="004F446B">
        <w:t>RevMan</w:t>
      </w:r>
      <w:proofErr w:type="spellEnd"/>
      <w:r w:rsidRPr="004F446B">
        <w:t>), V.5.3. Copenhagen: The Nordic Cochrane Centre, The Cochrane Collaboration, 2014). Differences in the prevalence of ABPRE and arrhythmia before and during exercise were analyzed using a Chi-Square test on SPSS v.23. Alpha was set on 0.05.</w:t>
      </w:r>
    </w:p>
    <w:p w14:paraId="1383C8B5" w14:textId="60EBA5E8" w:rsidR="001B672C" w:rsidRPr="004F446B" w:rsidRDefault="00126CBE" w:rsidP="00126CBE">
      <w:pPr>
        <w:pStyle w:val="MDPI21heading1"/>
      </w:pPr>
      <w:r>
        <w:lastRenderedPageBreak/>
        <w:t xml:space="preserve">3. </w:t>
      </w:r>
      <w:r w:rsidR="001B672C" w:rsidRPr="004F446B">
        <w:t>Results</w:t>
      </w:r>
    </w:p>
    <w:p w14:paraId="41B79681" w14:textId="1775C423" w:rsidR="001B672C" w:rsidRPr="004F446B" w:rsidRDefault="00126CBE" w:rsidP="00126CBE">
      <w:pPr>
        <w:pStyle w:val="MDPI22heading2"/>
      </w:pPr>
      <w:r>
        <w:t xml:space="preserve">3.1. </w:t>
      </w:r>
      <w:r w:rsidR="001B672C" w:rsidRPr="004F446B">
        <w:t>Study Sample</w:t>
      </w:r>
    </w:p>
    <w:p w14:paraId="3B15A908" w14:textId="26C8E8C5" w:rsidR="001B672C" w:rsidRPr="00104947" w:rsidRDefault="001B672C" w:rsidP="00835518">
      <w:pPr>
        <w:pStyle w:val="MDPI31text"/>
        <w:spacing w:after="240"/>
        <w:rPr>
          <w:spacing w:val="-4"/>
        </w:rPr>
      </w:pPr>
      <w:r w:rsidRPr="00104947">
        <w:rPr>
          <w:spacing w:val="-4"/>
        </w:rPr>
        <w:t xml:space="preserve">Original search yielded </w:t>
      </w:r>
      <w:r w:rsidR="001C44D6" w:rsidRPr="00104947">
        <w:rPr>
          <w:spacing w:val="-4"/>
        </w:rPr>
        <w:t>2616</w:t>
      </w:r>
      <w:r w:rsidRPr="00104947">
        <w:rPr>
          <w:spacing w:val="-4"/>
        </w:rPr>
        <w:t xml:space="preserve"> results and 12 more were added based on the exploration of the references of systematic reviews and meta-analyses related to hypertrophic cardiomyopathy. When full texts were not available online, authors were contacted after an initial screening for title and abstract. A flow diagram of the search process is available in </w:t>
      </w:r>
      <w:r w:rsidRPr="00104947">
        <w:rPr>
          <w:bCs/>
          <w:spacing w:val="-4"/>
        </w:rPr>
        <w:t>Figure 1</w:t>
      </w:r>
      <w:r w:rsidRPr="00104947">
        <w:rPr>
          <w:spacing w:val="-4"/>
        </w:rPr>
        <w:t xml:space="preserve">. </w:t>
      </w:r>
      <w:r w:rsidR="00B46290" w:rsidRPr="00104947">
        <w:rPr>
          <w:spacing w:val="-4"/>
        </w:rPr>
        <w:t xml:space="preserve">One hundred and two </w:t>
      </w:r>
      <w:r w:rsidRPr="00104947">
        <w:rPr>
          <w:spacing w:val="-4"/>
        </w:rPr>
        <w:t>full texts were read after the first screening, of which</w:t>
      </w:r>
      <w:r w:rsidR="00144A1C" w:rsidRPr="00104947">
        <w:rPr>
          <w:spacing w:val="-4"/>
        </w:rPr>
        <w:t>,</w:t>
      </w:r>
      <w:r w:rsidRPr="00104947">
        <w:rPr>
          <w:spacing w:val="-4"/>
        </w:rPr>
        <w:t xml:space="preserve"> 69 were included for qualitative synthesis. The protocol was designed </w:t>
      </w:r>
      <w:r w:rsidR="004360E1" w:rsidRPr="00104947">
        <w:rPr>
          <w:spacing w:val="-4"/>
        </w:rPr>
        <w:t>ad hoc</w:t>
      </w:r>
      <w:r w:rsidRPr="00104947">
        <w:rPr>
          <w:spacing w:val="-4"/>
        </w:rPr>
        <w:t xml:space="preserve"> and not published. All data concerning methodological designs are showed in </w:t>
      </w:r>
      <w:r w:rsidRPr="00104947">
        <w:rPr>
          <w:bCs/>
          <w:spacing w:val="-4"/>
        </w:rPr>
        <w:t>Table 1</w:t>
      </w:r>
      <w:r w:rsidRPr="00104947">
        <w:rPr>
          <w:spacing w:val="-4"/>
        </w:rPr>
        <w:t>. They included 11,672 patients which were 48 ± 14 years old and had an average body mass index of 26.9 ± 6.5 kg/m</w:t>
      </w:r>
      <w:r w:rsidRPr="00104947">
        <w:rPr>
          <w:spacing w:val="-4"/>
          <w:vertAlign w:val="superscript"/>
        </w:rPr>
        <w:t>2</w:t>
      </w:r>
      <w:r w:rsidRPr="00104947">
        <w:rPr>
          <w:spacing w:val="-4"/>
        </w:rPr>
        <w:t xml:space="preserve"> as evaluated with data from 21 studies and </w:t>
      </w:r>
      <w:r w:rsidR="001C44D6" w:rsidRPr="00104947">
        <w:rPr>
          <w:spacing w:val="-4"/>
        </w:rPr>
        <w:t>6558</w:t>
      </w:r>
      <w:r w:rsidRPr="00104947">
        <w:rPr>
          <w:spacing w:val="-4"/>
        </w:rPr>
        <w:t xml:space="preserve"> patients. </w:t>
      </w:r>
      <w:r w:rsidR="00B46290" w:rsidRPr="00104947">
        <w:rPr>
          <w:spacing w:val="-4"/>
        </w:rPr>
        <w:t xml:space="preserve">In total, </w:t>
      </w:r>
      <w:r w:rsidRPr="00104947">
        <w:rPr>
          <w:spacing w:val="-4"/>
        </w:rPr>
        <w:t>65.9% of them were men and 34.1% women. In 18 of the 69 articles</w:t>
      </w:r>
      <w:r w:rsidR="00B46290" w:rsidRPr="00104947">
        <w:rPr>
          <w:spacing w:val="-4"/>
        </w:rPr>
        <w:t>,</w:t>
      </w:r>
      <w:r w:rsidRPr="00104947">
        <w:rPr>
          <w:spacing w:val="-4"/>
        </w:rPr>
        <w:t xml:space="preserve"> at least one extracardiac variable was included, among which the presence of diabetes and pathologies involving the lipidic metabolism were the most common with 14 and 7 times reported, respectively. The presence of diabetes was calculated with data from </w:t>
      </w:r>
      <w:r w:rsidR="001C44D6" w:rsidRPr="00104947">
        <w:rPr>
          <w:spacing w:val="-4"/>
        </w:rPr>
        <w:t>3665</w:t>
      </w:r>
      <w:r w:rsidRPr="00104947">
        <w:rPr>
          <w:spacing w:val="-4"/>
        </w:rPr>
        <w:t xml:space="preserve"> patients with a prevalence of </w:t>
      </w:r>
      <w:proofErr w:type="gramStart"/>
      <w:r w:rsidRPr="00104947">
        <w:rPr>
          <w:spacing w:val="-4"/>
        </w:rPr>
        <w:t>7.6%;</w:t>
      </w:r>
      <w:proofErr w:type="gramEnd"/>
      <w:r w:rsidRPr="00104947">
        <w:rPr>
          <w:spacing w:val="-4"/>
        </w:rPr>
        <w:t xml:space="preserve"> and from </w:t>
      </w:r>
      <w:r w:rsidR="001C44D6" w:rsidRPr="00104947">
        <w:rPr>
          <w:spacing w:val="-4"/>
        </w:rPr>
        <w:t>1927</w:t>
      </w:r>
      <w:r w:rsidRPr="00104947">
        <w:rPr>
          <w:spacing w:val="-4"/>
        </w:rPr>
        <w:t xml:space="preserve"> patients for dyslipidemias with a prevalence of 45.1%. Other comorbidities such as hypertension and smoking habit were present in 32.8% and 30.6% of patients, respectively.</w:t>
      </w:r>
    </w:p>
    <w:p w14:paraId="49026D66" w14:textId="05D1E47A" w:rsidR="001B672C" w:rsidRPr="004F446B" w:rsidRDefault="00D85DAF" w:rsidP="00104947">
      <w:pPr>
        <w:pStyle w:val="MDPI52figure"/>
      </w:pPr>
      <w:r w:rsidRPr="00D85DAF">
        <w:t xml:space="preserve"> </w:t>
      </w:r>
      <w:r w:rsidRPr="00D85DAF">
        <w:rPr>
          <w:noProof/>
        </w:rPr>
        <w:drawing>
          <wp:inline distT="0" distB="0" distL="0" distR="0" wp14:anchorId="27F46CD0" wp14:editId="22E53921">
            <wp:extent cx="5000400" cy="3929705"/>
            <wp:effectExtent l="0" t="0" r="381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5000400" cy="3929705"/>
                    </a:xfrm>
                    <a:prstGeom prst="rect">
                      <a:avLst/>
                    </a:prstGeom>
                  </pic:spPr>
                </pic:pic>
              </a:graphicData>
            </a:graphic>
          </wp:inline>
        </w:drawing>
      </w:r>
    </w:p>
    <w:p w14:paraId="7D2BC58E" w14:textId="0496865E" w:rsidR="00B54E50" w:rsidRDefault="00B54E50" w:rsidP="00B54E50">
      <w:pPr>
        <w:pStyle w:val="MDPI51figurecaption"/>
        <w:ind w:left="425" w:right="425"/>
        <w:jc w:val="center"/>
      </w:pPr>
      <w:r w:rsidRPr="00B54E50">
        <w:rPr>
          <w:b/>
          <w:bCs/>
        </w:rPr>
        <w:t xml:space="preserve">Figure 1. </w:t>
      </w:r>
      <w:r w:rsidR="001B672C" w:rsidRPr="004F446B">
        <w:t>Flow diagram of the search process. Adapted from Moher</w:t>
      </w:r>
      <w:r w:rsidR="00B46290">
        <w:t xml:space="preserve"> and</w:t>
      </w:r>
      <w:r w:rsidR="001B672C" w:rsidRPr="004F446B">
        <w:t xml:space="preserve"> collaborators [13].</w:t>
      </w:r>
    </w:p>
    <w:p w14:paraId="213980A6" w14:textId="15D84972" w:rsidR="001B672C" w:rsidRPr="004F446B" w:rsidRDefault="00B54E50" w:rsidP="00B54E50">
      <w:pPr>
        <w:pStyle w:val="MDPI41tablecaption"/>
        <w:ind w:left="425" w:right="425"/>
        <w:jc w:val="center"/>
      </w:pPr>
      <w:r w:rsidRPr="00B54E50">
        <w:rPr>
          <w:b/>
          <w:bCs/>
        </w:rPr>
        <w:t xml:space="preserve">Table 1. </w:t>
      </w:r>
      <w:r w:rsidR="001B672C" w:rsidRPr="004F446B">
        <w:t>Methodological characteristics of publications.</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11"/>
        <w:gridCol w:w="433"/>
        <w:gridCol w:w="661"/>
        <w:gridCol w:w="409"/>
        <w:gridCol w:w="1197"/>
        <w:gridCol w:w="622"/>
        <w:gridCol w:w="673"/>
        <w:gridCol w:w="575"/>
        <w:gridCol w:w="635"/>
        <w:gridCol w:w="1055"/>
        <w:gridCol w:w="690"/>
        <w:gridCol w:w="690"/>
        <w:gridCol w:w="637"/>
        <w:gridCol w:w="418"/>
        <w:gridCol w:w="659"/>
      </w:tblGrid>
      <w:tr w:rsidR="00B54E50" w:rsidRPr="00104947" w14:paraId="3A20EF61" w14:textId="77777777" w:rsidTr="00867427">
        <w:trPr>
          <w:jc w:val="center"/>
        </w:trPr>
        <w:tc>
          <w:tcPr>
            <w:tcW w:w="1111" w:type="dxa"/>
            <w:vMerge w:val="restart"/>
            <w:tcBorders>
              <w:top w:val="single" w:sz="8" w:space="0" w:color="auto"/>
              <w:left w:val="nil"/>
              <w:right w:val="nil"/>
            </w:tcBorders>
            <w:shd w:val="clear" w:color="auto" w:fill="FFFFFF"/>
            <w:vAlign w:val="center"/>
          </w:tcPr>
          <w:p w14:paraId="3609191A"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 xml:space="preserve">Author, </w:t>
            </w:r>
            <w:r w:rsidR="00B54E50" w:rsidRPr="00104947">
              <w:rPr>
                <w:b/>
                <w:bCs/>
                <w:color w:val="auto"/>
                <w:sz w:val="16"/>
                <w:szCs w:val="16"/>
              </w:rPr>
              <w:t>Year</w:t>
            </w:r>
          </w:p>
        </w:tc>
        <w:tc>
          <w:tcPr>
            <w:tcW w:w="433" w:type="dxa"/>
            <w:vMerge w:val="restart"/>
            <w:tcBorders>
              <w:top w:val="single" w:sz="8" w:space="0" w:color="auto"/>
              <w:left w:val="nil"/>
              <w:right w:val="nil"/>
            </w:tcBorders>
            <w:shd w:val="clear" w:color="auto" w:fill="FFFFFF"/>
            <w:vAlign w:val="center"/>
          </w:tcPr>
          <w:p w14:paraId="1614C826" w14:textId="36665D1C" w:rsidR="001B672C" w:rsidRPr="00104947" w:rsidRDefault="007A367A" w:rsidP="00B54E50">
            <w:pPr>
              <w:pStyle w:val="MDPI42tablebody"/>
              <w:autoSpaceDE w:val="0"/>
              <w:autoSpaceDN w:val="0"/>
              <w:rPr>
                <w:b/>
                <w:bCs/>
                <w:i/>
                <w:iCs/>
                <w:color w:val="auto"/>
                <w:sz w:val="16"/>
                <w:szCs w:val="16"/>
              </w:rPr>
            </w:pPr>
            <w:r w:rsidRPr="00104947">
              <w:rPr>
                <w:b/>
                <w:bCs/>
                <w:i/>
                <w:iCs/>
                <w:color w:val="auto"/>
                <w:sz w:val="16"/>
                <w:szCs w:val="16"/>
              </w:rPr>
              <w:t>n</w:t>
            </w:r>
          </w:p>
        </w:tc>
        <w:tc>
          <w:tcPr>
            <w:tcW w:w="661" w:type="dxa"/>
            <w:vMerge w:val="restart"/>
            <w:tcBorders>
              <w:top w:val="single" w:sz="8" w:space="0" w:color="auto"/>
              <w:left w:val="nil"/>
              <w:right w:val="nil"/>
            </w:tcBorders>
            <w:shd w:val="clear" w:color="auto" w:fill="FFFFFF"/>
            <w:vAlign w:val="center"/>
          </w:tcPr>
          <w:p w14:paraId="364F1B25"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Age (years)</w:t>
            </w:r>
          </w:p>
        </w:tc>
        <w:tc>
          <w:tcPr>
            <w:tcW w:w="409" w:type="dxa"/>
            <w:vMerge w:val="restart"/>
            <w:tcBorders>
              <w:top w:val="single" w:sz="8" w:space="0" w:color="auto"/>
              <w:left w:val="nil"/>
              <w:right w:val="nil"/>
            </w:tcBorders>
            <w:shd w:val="clear" w:color="auto" w:fill="FFFFFF"/>
            <w:vAlign w:val="center"/>
          </w:tcPr>
          <w:p w14:paraId="13D11CE8"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%W</w:t>
            </w:r>
          </w:p>
        </w:tc>
        <w:tc>
          <w:tcPr>
            <w:tcW w:w="1197" w:type="dxa"/>
            <w:vMerge w:val="restart"/>
            <w:tcBorders>
              <w:top w:val="single" w:sz="8" w:space="0" w:color="auto"/>
              <w:left w:val="nil"/>
              <w:right w:val="nil"/>
            </w:tcBorders>
            <w:shd w:val="clear" w:color="auto" w:fill="FFFFFF"/>
            <w:vAlign w:val="center"/>
          </w:tcPr>
          <w:p w14:paraId="584EA82D"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CPET</w:t>
            </w:r>
          </w:p>
          <w:p w14:paraId="5C96B384" w14:textId="77777777" w:rsidR="001B672C" w:rsidRPr="00104947" w:rsidRDefault="00B54E50" w:rsidP="00B54E50">
            <w:pPr>
              <w:pStyle w:val="MDPI42tablebody"/>
              <w:autoSpaceDE w:val="0"/>
              <w:autoSpaceDN w:val="0"/>
              <w:rPr>
                <w:b/>
                <w:color w:val="auto"/>
                <w:sz w:val="16"/>
                <w:szCs w:val="16"/>
              </w:rPr>
            </w:pPr>
            <w:r w:rsidRPr="00104947">
              <w:rPr>
                <w:b/>
                <w:bCs/>
                <w:color w:val="auto"/>
                <w:sz w:val="16"/>
                <w:szCs w:val="16"/>
              </w:rPr>
              <w:t>Material</w:t>
            </w:r>
          </w:p>
        </w:tc>
        <w:tc>
          <w:tcPr>
            <w:tcW w:w="1870" w:type="dxa"/>
            <w:gridSpan w:val="3"/>
            <w:tcBorders>
              <w:top w:val="single" w:sz="8" w:space="0" w:color="auto"/>
              <w:left w:val="nil"/>
              <w:right w:val="nil"/>
            </w:tcBorders>
            <w:shd w:val="clear" w:color="auto" w:fill="FFFFFF"/>
            <w:vAlign w:val="center"/>
          </w:tcPr>
          <w:p w14:paraId="1C71C1BF" w14:textId="4F4488D5"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 xml:space="preserve">CPET </w:t>
            </w:r>
            <w:r w:rsidR="00AB42FB" w:rsidRPr="00104947">
              <w:rPr>
                <w:b/>
                <w:bCs/>
                <w:color w:val="auto"/>
                <w:sz w:val="16"/>
                <w:szCs w:val="16"/>
              </w:rPr>
              <w:t>Intensity</w:t>
            </w:r>
          </w:p>
        </w:tc>
        <w:tc>
          <w:tcPr>
            <w:tcW w:w="635" w:type="dxa"/>
            <w:vMerge w:val="restart"/>
            <w:tcBorders>
              <w:top w:val="single" w:sz="8" w:space="0" w:color="auto"/>
              <w:left w:val="nil"/>
              <w:right w:val="nil"/>
            </w:tcBorders>
            <w:shd w:val="clear" w:color="auto" w:fill="FFFFFF"/>
            <w:vAlign w:val="center"/>
          </w:tcPr>
          <w:p w14:paraId="53227A5A"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 xml:space="preserve">Drug </w:t>
            </w:r>
            <w:r w:rsidR="00B54E50" w:rsidRPr="00104947">
              <w:rPr>
                <w:b/>
                <w:bCs/>
                <w:color w:val="auto"/>
                <w:sz w:val="16"/>
                <w:szCs w:val="16"/>
              </w:rPr>
              <w:t>Therapy</w:t>
            </w:r>
          </w:p>
        </w:tc>
        <w:tc>
          <w:tcPr>
            <w:tcW w:w="1055" w:type="dxa"/>
            <w:tcBorders>
              <w:top w:val="single" w:sz="8" w:space="0" w:color="auto"/>
              <w:left w:val="nil"/>
              <w:bottom w:val="nil"/>
              <w:right w:val="nil"/>
            </w:tcBorders>
            <w:shd w:val="clear" w:color="auto" w:fill="FFFFFF"/>
            <w:vAlign w:val="center"/>
          </w:tcPr>
          <w:p w14:paraId="6CBCB0D9" w14:textId="77777777" w:rsidR="001B672C" w:rsidRPr="00104947" w:rsidRDefault="001B672C" w:rsidP="00B54E50">
            <w:pPr>
              <w:pStyle w:val="MDPI42tablebody"/>
              <w:autoSpaceDE w:val="0"/>
              <w:autoSpaceDN w:val="0"/>
              <w:rPr>
                <w:b/>
                <w:bCs/>
                <w:color w:val="auto"/>
                <w:sz w:val="16"/>
                <w:szCs w:val="16"/>
              </w:rPr>
            </w:pPr>
          </w:p>
        </w:tc>
        <w:tc>
          <w:tcPr>
            <w:tcW w:w="3094" w:type="dxa"/>
            <w:gridSpan w:val="5"/>
            <w:tcBorders>
              <w:top w:val="single" w:sz="8" w:space="0" w:color="auto"/>
              <w:left w:val="nil"/>
              <w:right w:val="nil"/>
            </w:tcBorders>
            <w:shd w:val="clear" w:color="auto" w:fill="FFFFFF"/>
            <w:vAlign w:val="center"/>
          </w:tcPr>
          <w:p w14:paraId="1DD97317"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 xml:space="preserve">Cardiac </w:t>
            </w:r>
            <w:r w:rsidR="00B54E50" w:rsidRPr="00104947">
              <w:rPr>
                <w:b/>
                <w:bCs/>
                <w:color w:val="auto"/>
                <w:sz w:val="16"/>
                <w:szCs w:val="16"/>
              </w:rPr>
              <w:t>Variables Measured</w:t>
            </w:r>
          </w:p>
        </w:tc>
      </w:tr>
      <w:tr w:rsidR="00B54E50" w:rsidRPr="00104947" w14:paraId="3651A9CF" w14:textId="77777777" w:rsidTr="00867427">
        <w:trPr>
          <w:jc w:val="center"/>
        </w:trPr>
        <w:tc>
          <w:tcPr>
            <w:tcW w:w="1111" w:type="dxa"/>
            <w:vMerge/>
            <w:tcBorders>
              <w:top w:val="single" w:sz="4" w:space="0" w:color="auto"/>
              <w:left w:val="nil"/>
              <w:bottom w:val="single" w:sz="4" w:space="0" w:color="auto"/>
              <w:right w:val="nil"/>
            </w:tcBorders>
            <w:shd w:val="clear" w:color="auto" w:fill="E7E6E6"/>
            <w:vAlign w:val="center"/>
          </w:tcPr>
          <w:p w14:paraId="1C8C34A8" w14:textId="77777777" w:rsidR="001B672C" w:rsidRPr="00104947" w:rsidRDefault="001B672C" w:rsidP="00B54E50">
            <w:pPr>
              <w:autoSpaceDE w:val="0"/>
              <w:autoSpaceDN w:val="0"/>
              <w:adjustRightInd w:val="0"/>
              <w:snapToGrid w:val="0"/>
              <w:spacing w:line="240" w:lineRule="auto"/>
              <w:jc w:val="center"/>
              <w:rPr>
                <w:b/>
                <w:color w:val="auto"/>
                <w:sz w:val="16"/>
                <w:szCs w:val="16"/>
              </w:rPr>
            </w:pPr>
          </w:p>
        </w:tc>
        <w:tc>
          <w:tcPr>
            <w:tcW w:w="433" w:type="dxa"/>
            <w:vMerge/>
            <w:tcBorders>
              <w:top w:val="single" w:sz="4" w:space="0" w:color="auto"/>
              <w:left w:val="nil"/>
              <w:bottom w:val="single" w:sz="4" w:space="0" w:color="auto"/>
              <w:right w:val="nil"/>
            </w:tcBorders>
            <w:shd w:val="clear" w:color="auto" w:fill="E7E6E6"/>
            <w:vAlign w:val="center"/>
          </w:tcPr>
          <w:p w14:paraId="49CCD165" w14:textId="77777777" w:rsidR="001B672C" w:rsidRPr="00104947" w:rsidRDefault="001B672C" w:rsidP="00B54E50">
            <w:pPr>
              <w:autoSpaceDE w:val="0"/>
              <w:autoSpaceDN w:val="0"/>
              <w:adjustRightInd w:val="0"/>
              <w:snapToGrid w:val="0"/>
              <w:spacing w:line="240" w:lineRule="auto"/>
              <w:jc w:val="center"/>
              <w:rPr>
                <w:b/>
                <w:color w:val="auto"/>
                <w:sz w:val="16"/>
                <w:szCs w:val="16"/>
              </w:rPr>
            </w:pPr>
          </w:p>
        </w:tc>
        <w:tc>
          <w:tcPr>
            <w:tcW w:w="661" w:type="dxa"/>
            <w:vMerge/>
            <w:tcBorders>
              <w:top w:val="single" w:sz="4" w:space="0" w:color="auto"/>
              <w:left w:val="nil"/>
              <w:bottom w:val="single" w:sz="4" w:space="0" w:color="auto"/>
              <w:right w:val="nil"/>
            </w:tcBorders>
            <w:shd w:val="clear" w:color="auto" w:fill="E7E6E6"/>
            <w:vAlign w:val="center"/>
          </w:tcPr>
          <w:p w14:paraId="5189EAA7" w14:textId="77777777" w:rsidR="001B672C" w:rsidRPr="00104947" w:rsidRDefault="001B672C" w:rsidP="00B54E50">
            <w:pPr>
              <w:autoSpaceDE w:val="0"/>
              <w:autoSpaceDN w:val="0"/>
              <w:adjustRightInd w:val="0"/>
              <w:snapToGrid w:val="0"/>
              <w:spacing w:line="240" w:lineRule="auto"/>
              <w:jc w:val="center"/>
              <w:rPr>
                <w:b/>
                <w:color w:val="auto"/>
                <w:sz w:val="16"/>
                <w:szCs w:val="16"/>
              </w:rPr>
            </w:pPr>
          </w:p>
        </w:tc>
        <w:tc>
          <w:tcPr>
            <w:tcW w:w="409" w:type="dxa"/>
            <w:vMerge/>
            <w:tcBorders>
              <w:top w:val="single" w:sz="4" w:space="0" w:color="auto"/>
              <w:left w:val="nil"/>
              <w:bottom w:val="single" w:sz="4" w:space="0" w:color="auto"/>
              <w:right w:val="nil"/>
            </w:tcBorders>
            <w:shd w:val="clear" w:color="auto" w:fill="E7E6E6"/>
            <w:vAlign w:val="center"/>
          </w:tcPr>
          <w:p w14:paraId="32FBF624" w14:textId="77777777" w:rsidR="001B672C" w:rsidRPr="00104947" w:rsidRDefault="001B672C" w:rsidP="00B54E50">
            <w:pPr>
              <w:autoSpaceDE w:val="0"/>
              <w:autoSpaceDN w:val="0"/>
              <w:adjustRightInd w:val="0"/>
              <w:snapToGrid w:val="0"/>
              <w:spacing w:line="240" w:lineRule="auto"/>
              <w:jc w:val="center"/>
              <w:rPr>
                <w:b/>
                <w:color w:val="auto"/>
                <w:sz w:val="16"/>
                <w:szCs w:val="16"/>
              </w:rPr>
            </w:pPr>
          </w:p>
        </w:tc>
        <w:tc>
          <w:tcPr>
            <w:tcW w:w="1197" w:type="dxa"/>
            <w:vMerge/>
            <w:tcBorders>
              <w:top w:val="single" w:sz="4" w:space="0" w:color="auto"/>
              <w:left w:val="nil"/>
              <w:bottom w:val="single" w:sz="4" w:space="0" w:color="auto"/>
              <w:right w:val="nil"/>
            </w:tcBorders>
            <w:shd w:val="clear" w:color="auto" w:fill="E7E6E6"/>
            <w:vAlign w:val="center"/>
          </w:tcPr>
          <w:p w14:paraId="071E8505" w14:textId="77777777" w:rsidR="001B672C" w:rsidRPr="00104947" w:rsidRDefault="001B672C" w:rsidP="00B54E50">
            <w:pPr>
              <w:autoSpaceDE w:val="0"/>
              <w:autoSpaceDN w:val="0"/>
              <w:adjustRightInd w:val="0"/>
              <w:snapToGrid w:val="0"/>
              <w:spacing w:line="240" w:lineRule="auto"/>
              <w:jc w:val="center"/>
              <w:rPr>
                <w:b/>
                <w:bCs/>
                <w:color w:val="auto"/>
                <w:sz w:val="16"/>
                <w:szCs w:val="16"/>
              </w:rPr>
            </w:pPr>
          </w:p>
        </w:tc>
        <w:tc>
          <w:tcPr>
            <w:tcW w:w="622" w:type="dxa"/>
            <w:tcBorders>
              <w:left w:val="nil"/>
              <w:right w:val="nil"/>
            </w:tcBorders>
            <w:shd w:val="clear" w:color="auto" w:fill="FFFFFF"/>
            <w:vAlign w:val="center"/>
          </w:tcPr>
          <w:p w14:paraId="38E1BE4C"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Initial</w:t>
            </w:r>
          </w:p>
        </w:tc>
        <w:tc>
          <w:tcPr>
            <w:tcW w:w="673" w:type="dxa"/>
            <w:tcBorders>
              <w:left w:val="nil"/>
              <w:right w:val="nil"/>
            </w:tcBorders>
            <w:shd w:val="clear" w:color="auto" w:fill="FFFFFF"/>
            <w:vAlign w:val="center"/>
          </w:tcPr>
          <w:p w14:paraId="474E4D44"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Added</w:t>
            </w:r>
          </w:p>
        </w:tc>
        <w:tc>
          <w:tcPr>
            <w:tcW w:w="575" w:type="dxa"/>
            <w:tcBorders>
              <w:left w:val="nil"/>
              <w:right w:val="nil"/>
            </w:tcBorders>
            <w:shd w:val="clear" w:color="auto" w:fill="FFFFFF"/>
            <w:vAlign w:val="center"/>
          </w:tcPr>
          <w:p w14:paraId="21F6F382"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Lapse</w:t>
            </w:r>
          </w:p>
        </w:tc>
        <w:tc>
          <w:tcPr>
            <w:tcW w:w="635" w:type="dxa"/>
            <w:vMerge/>
            <w:tcBorders>
              <w:left w:val="nil"/>
              <w:right w:val="nil"/>
            </w:tcBorders>
            <w:shd w:val="clear" w:color="auto" w:fill="E7E6E6"/>
            <w:vAlign w:val="center"/>
          </w:tcPr>
          <w:p w14:paraId="19E898D9" w14:textId="77777777" w:rsidR="001B672C" w:rsidRPr="00104947" w:rsidRDefault="001B672C" w:rsidP="00B54E50">
            <w:pPr>
              <w:autoSpaceDE w:val="0"/>
              <w:autoSpaceDN w:val="0"/>
              <w:adjustRightInd w:val="0"/>
              <w:snapToGrid w:val="0"/>
              <w:spacing w:line="240" w:lineRule="auto"/>
              <w:jc w:val="center"/>
              <w:rPr>
                <w:color w:val="auto"/>
                <w:sz w:val="16"/>
                <w:szCs w:val="16"/>
              </w:rPr>
            </w:pPr>
          </w:p>
        </w:tc>
        <w:tc>
          <w:tcPr>
            <w:tcW w:w="1055" w:type="dxa"/>
            <w:tcBorders>
              <w:top w:val="nil"/>
              <w:left w:val="nil"/>
              <w:right w:val="nil"/>
            </w:tcBorders>
            <w:shd w:val="clear" w:color="auto" w:fill="FFFFFF"/>
            <w:vAlign w:val="center"/>
          </w:tcPr>
          <w:p w14:paraId="0B3C6F6A"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 xml:space="preserve">Extracardiac </w:t>
            </w:r>
          </w:p>
          <w:p w14:paraId="288AD9ED" w14:textId="77777777" w:rsidR="001B672C" w:rsidRPr="00104947" w:rsidRDefault="00B54E50" w:rsidP="00B54E50">
            <w:pPr>
              <w:pStyle w:val="MDPI42tablebody"/>
              <w:autoSpaceDE w:val="0"/>
              <w:autoSpaceDN w:val="0"/>
              <w:rPr>
                <w:b/>
                <w:bCs/>
                <w:color w:val="auto"/>
                <w:sz w:val="16"/>
                <w:szCs w:val="16"/>
              </w:rPr>
            </w:pPr>
            <w:r w:rsidRPr="00104947">
              <w:rPr>
                <w:b/>
                <w:bCs/>
                <w:color w:val="auto"/>
                <w:sz w:val="16"/>
                <w:szCs w:val="16"/>
              </w:rPr>
              <w:t>Variables</w:t>
            </w:r>
          </w:p>
        </w:tc>
        <w:tc>
          <w:tcPr>
            <w:tcW w:w="690" w:type="dxa"/>
            <w:tcBorders>
              <w:left w:val="nil"/>
              <w:right w:val="nil"/>
            </w:tcBorders>
            <w:shd w:val="clear" w:color="auto" w:fill="FFFFFF"/>
            <w:vAlign w:val="center"/>
          </w:tcPr>
          <w:p w14:paraId="71D71736"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LVOT</w:t>
            </w:r>
          </w:p>
        </w:tc>
        <w:tc>
          <w:tcPr>
            <w:tcW w:w="690" w:type="dxa"/>
            <w:tcBorders>
              <w:left w:val="nil"/>
              <w:right w:val="nil"/>
            </w:tcBorders>
            <w:shd w:val="clear" w:color="auto" w:fill="FFFFFF"/>
            <w:vAlign w:val="center"/>
          </w:tcPr>
          <w:p w14:paraId="63A262B5"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MR</w:t>
            </w:r>
          </w:p>
        </w:tc>
        <w:tc>
          <w:tcPr>
            <w:tcW w:w="637" w:type="dxa"/>
            <w:tcBorders>
              <w:left w:val="nil"/>
              <w:right w:val="nil"/>
            </w:tcBorders>
            <w:shd w:val="clear" w:color="auto" w:fill="FFFFFF"/>
            <w:vAlign w:val="center"/>
          </w:tcPr>
          <w:p w14:paraId="67B1AFC4"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PCWP</w:t>
            </w:r>
          </w:p>
        </w:tc>
        <w:tc>
          <w:tcPr>
            <w:tcW w:w="418" w:type="dxa"/>
            <w:tcBorders>
              <w:left w:val="nil"/>
              <w:right w:val="nil"/>
            </w:tcBorders>
            <w:shd w:val="clear" w:color="auto" w:fill="FFFFFF"/>
            <w:vAlign w:val="center"/>
          </w:tcPr>
          <w:p w14:paraId="26B0CF44"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ABPRE</w:t>
            </w:r>
          </w:p>
        </w:tc>
        <w:tc>
          <w:tcPr>
            <w:tcW w:w="659" w:type="dxa"/>
            <w:tcBorders>
              <w:left w:val="nil"/>
              <w:right w:val="nil"/>
            </w:tcBorders>
            <w:shd w:val="clear" w:color="auto" w:fill="FFFFFF"/>
            <w:vAlign w:val="center"/>
          </w:tcPr>
          <w:p w14:paraId="680C2E1B" w14:textId="77777777" w:rsidR="001B672C" w:rsidRPr="00104947" w:rsidRDefault="001B672C" w:rsidP="00B54E50">
            <w:pPr>
              <w:pStyle w:val="MDPI42tablebody"/>
              <w:autoSpaceDE w:val="0"/>
              <w:autoSpaceDN w:val="0"/>
              <w:rPr>
                <w:b/>
                <w:bCs/>
                <w:color w:val="auto"/>
                <w:sz w:val="16"/>
                <w:szCs w:val="16"/>
              </w:rPr>
            </w:pPr>
            <w:r w:rsidRPr="00104947">
              <w:rPr>
                <w:b/>
                <w:bCs/>
                <w:color w:val="auto"/>
                <w:sz w:val="16"/>
                <w:szCs w:val="16"/>
              </w:rPr>
              <w:t>Events</w:t>
            </w:r>
          </w:p>
        </w:tc>
      </w:tr>
      <w:tr w:rsidR="00B54E50" w:rsidRPr="00104947" w14:paraId="7C3A4AB0" w14:textId="77777777" w:rsidTr="00867427">
        <w:trPr>
          <w:jc w:val="center"/>
        </w:trPr>
        <w:tc>
          <w:tcPr>
            <w:tcW w:w="1111" w:type="dxa"/>
            <w:tcBorders>
              <w:left w:val="nil"/>
              <w:bottom w:val="nil"/>
              <w:right w:val="nil"/>
            </w:tcBorders>
            <w:shd w:val="clear" w:color="auto" w:fill="FCFCFC"/>
            <w:vAlign w:val="center"/>
          </w:tcPr>
          <w:p w14:paraId="75EC4888" w14:textId="77777777" w:rsidR="001B672C" w:rsidRPr="00104947" w:rsidRDefault="001B672C" w:rsidP="00B54E50">
            <w:pPr>
              <w:pStyle w:val="MDPI42tablebody"/>
              <w:autoSpaceDE w:val="0"/>
              <w:autoSpaceDN w:val="0"/>
              <w:rPr>
                <w:bCs/>
                <w:color w:val="auto"/>
                <w:sz w:val="16"/>
                <w:szCs w:val="16"/>
              </w:rPr>
            </w:pPr>
            <w:proofErr w:type="spellStart"/>
            <w:r w:rsidRPr="00104947">
              <w:rPr>
                <w:bCs/>
                <w:color w:val="auto"/>
                <w:sz w:val="16"/>
                <w:szCs w:val="16"/>
              </w:rPr>
              <w:t>Abozguia</w:t>
            </w:r>
            <w:proofErr w:type="spellEnd"/>
            <w:r w:rsidRPr="00104947">
              <w:rPr>
                <w:bCs/>
                <w:color w:val="auto"/>
                <w:sz w:val="16"/>
                <w:szCs w:val="16"/>
              </w:rPr>
              <w:t>, 2010 [14]</w:t>
            </w:r>
          </w:p>
        </w:tc>
        <w:tc>
          <w:tcPr>
            <w:tcW w:w="433" w:type="dxa"/>
            <w:tcBorders>
              <w:left w:val="nil"/>
              <w:bottom w:val="nil"/>
              <w:right w:val="nil"/>
            </w:tcBorders>
            <w:shd w:val="clear" w:color="auto" w:fill="FCFCFC"/>
            <w:vAlign w:val="center"/>
          </w:tcPr>
          <w:p w14:paraId="04A77D8D" w14:textId="77777777" w:rsidR="001B672C" w:rsidRPr="00104947" w:rsidRDefault="001B672C" w:rsidP="00B54E50">
            <w:pPr>
              <w:pStyle w:val="MDPI42tablebody"/>
              <w:autoSpaceDE w:val="0"/>
              <w:autoSpaceDN w:val="0"/>
              <w:rPr>
                <w:bCs/>
                <w:color w:val="auto"/>
                <w:sz w:val="16"/>
                <w:szCs w:val="16"/>
              </w:rPr>
            </w:pPr>
            <w:r w:rsidRPr="00104947">
              <w:rPr>
                <w:bCs/>
                <w:color w:val="auto"/>
                <w:sz w:val="16"/>
                <w:szCs w:val="16"/>
              </w:rPr>
              <w:t>56</w:t>
            </w:r>
          </w:p>
        </w:tc>
        <w:tc>
          <w:tcPr>
            <w:tcW w:w="661" w:type="dxa"/>
            <w:tcBorders>
              <w:left w:val="nil"/>
              <w:bottom w:val="nil"/>
              <w:right w:val="nil"/>
            </w:tcBorders>
            <w:shd w:val="clear" w:color="auto" w:fill="FCFCFC"/>
            <w:vAlign w:val="center"/>
          </w:tcPr>
          <w:p w14:paraId="28882C51" w14:textId="77777777" w:rsidR="001B672C" w:rsidRPr="00104947" w:rsidRDefault="001B672C" w:rsidP="00B54E50">
            <w:pPr>
              <w:pStyle w:val="MDPI42tablebody"/>
              <w:autoSpaceDE w:val="0"/>
              <w:autoSpaceDN w:val="0"/>
              <w:rPr>
                <w:bCs/>
                <w:color w:val="auto"/>
                <w:sz w:val="16"/>
                <w:szCs w:val="16"/>
              </w:rPr>
            </w:pPr>
            <w:r w:rsidRPr="00104947">
              <w:rPr>
                <w:bCs/>
                <w:color w:val="auto"/>
                <w:sz w:val="16"/>
                <w:szCs w:val="16"/>
              </w:rPr>
              <w:t>52 ± 11</w:t>
            </w:r>
          </w:p>
        </w:tc>
        <w:tc>
          <w:tcPr>
            <w:tcW w:w="409" w:type="dxa"/>
            <w:tcBorders>
              <w:left w:val="nil"/>
              <w:bottom w:val="nil"/>
              <w:right w:val="nil"/>
            </w:tcBorders>
            <w:shd w:val="clear" w:color="auto" w:fill="FCFCFC"/>
            <w:vAlign w:val="center"/>
          </w:tcPr>
          <w:p w14:paraId="0B18EBB5" w14:textId="77777777" w:rsidR="001B672C" w:rsidRPr="00104947" w:rsidRDefault="001B672C" w:rsidP="00B54E50">
            <w:pPr>
              <w:pStyle w:val="MDPI42tablebody"/>
              <w:autoSpaceDE w:val="0"/>
              <w:autoSpaceDN w:val="0"/>
              <w:rPr>
                <w:bCs/>
                <w:color w:val="auto"/>
                <w:sz w:val="16"/>
                <w:szCs w:val="16"/>
              </w:rPr>
            </w:pPr>
            <w:r w:rsidRPr="00104947">
              <w:rPr>
                <w:bCs/>
                <w:color w:val="auto"/>
                <w:sz w:val="16"/>
                <w:szCs w:val="16"/>
              </w:rPr>
              <w:t>29</w:t>
            </w:r>
          </w:p>
        </w:tc>
        <w:tc>
          <w:tcPr>
            <w:tcW w:w="1197" w:type="dxa"/>
            <w:tcBorders>
              <w:left w:val="nil"/>
              <w:bottom w:val="nil"/>
              <w:right w:val="nil"/>
            </w:tcBorders>
            <w:shd w:val="clear" w:color="auto" w:fill="FCFCFC"/>
            <w:vAlign w:val="center"/>
          </w:tcPr>
          <w:p w14:paraId="56172EC8" w14:textId="77777777" w:rsidR="001B672C" w:rsidRPr="00104947" w:rsidRDefault="001B672C" w:rsidP="00B54E50">
            <w:pPr>
              <w:pStyle w:val="MDPI42tablebody"/>
              <w:autoSpaceDE w:val="0"/>
              <w:autoSpaceDN w:val="0"/>
              <w:rPr>
                <w:bCs/>
                <w:color w:val="auto"/>
                <w:sz w:val="16"/>
                <w:szCs w:val="16"/>
              </w:rPr>
            </w:pPr>
            <w:r w:rsidRPr="00104947">
              <w:rPr>
                <w:bCs/>
                <w:color w:val="auto"/>
                <w:sz w:val="16"/>
                <w:szCs w:val="16"/>
              </w:rPr>
              <w:t>Treadmill</w:t>
            </w:r>
          </w:p>
        </w:tc>
        <w:tc>
          <w:tcPr>
            <w:tcW w:w="622" w:type="dxa"/>
            <w:tcBorders>
              <w:left w:val="nil"/>
              <w:bottom w:val="nil"/>
              <w:right w:val="nil"/>
            </w:tcBorders>
            <w:shd w:val="clear" w:color="auto" w:fill="FCFCFC"/>
            <w:vAlign w:val="center"/>
          </w:tcPr>
          <w:p w14:paraId="526A99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left w:val="nil"/>
              <w:bottom w:val="nil"/>
              <w:right w:val="nil"/>
            </w:tcBorders>
            <w:shd w:val="clear" w:color="auto" w:fill="FCFCFC"/>
            <w:vAlign w:val="center"/>
          </w:tcPr>
          <w:p w14:paraId="5E7E853A"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left w:val="nil"/>
              <w:bottom w:val="nil"/>
              <w:right w:val="nil"/>
            </w:tcBorders>
            <w:shd w:val="clear" w:color="auto" w:fill="FCFCFC"/>
            <w:vAlign w:val="center"/>
          </w:tcPr>
          <w:p w14:paraId="36C9E56D" w14:textId="67CC3CF1"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left w:val="nil"/>
              <w:bottom w:val="nil"/>
              <w:right w:val="nil"/>
            </w:tcBorders>
            <w:shd w:val="clear" w:color="auto" w:fill="FCFCFC"/>
            <w:vAlign w:val="center"/>
          </w:tcPr>
          <w:p w14:paraId="7A735AE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controlled</w:t>
            </w:r>
          </w:p>
        </w:tc>
        <w:tc>
          <w:tcPr>
            <w:tcW w:w="1055" w:type="dxa"/>
            <w:tcBorders>
              <w:left w:val="nil"/>
              <w:bottom w:val="nil"/>
              <w:right w:val="nil"/>
            </w:tcBorders>
            <w:shd w:val="clear" w:color="auto" w:fill="FCFCFC"/>
            <w:vAlign w:val="center"/>
          </w:tcPr>
          <w:p w14:paraId="3672C3E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left w:val="nil"/>
              <w:bottom w:val="nil"/>
              <w:right w:val="nil"/>
            </w:tcBorders>
            <w:shd w:val="clear" w:color="auto" w:fill="FCFCFC"/>
            <w:vAlign w:val="center"/>
          </w:tcPr>
          <w:p w14:paraId="6BD358E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left w:val="nil"/>
              <w:bottom w:val="nil"/>
              <w:right w:val="nil"/>
            </w:tcBorders>
            <w:shd w:val="clear" w:color="auto" w:fill="FCFCFC"/>
            <w:vAlign w:val="center"/>
          </w:tcPr>
          <w:p w14:paraId="26066EC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left w:val="nil"/>
              <w:bottom w:val="nil"/>
              <w:right w:val="nil"/>
            </w:tcBorders>
            <w:shd w:val="clear" w:color="auto" w:fill="FCFCFC"/>
            <w:vAlign w:val="center"/>
          </w:tcPr>
          <w:p w14:paraId="5FD4D8F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left w:val="nil"/>
              <w:bottom w:val="nil"/>
              <w:right w:val="nil"/>
            </w:tcBorders>
            <w:shd w:val="clear" w:color="auto" w:fill="FCFCFC"/>
            <w:vAlign w:val="center"/>
          </w:tcPr>
          <w:p w14:paraId="0394E55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left w:val="nil"/>
              <w:bottom w:val="nil"/>
              <w:right w:val="nil"/>
            </w:tcBorders>
            <w:shd w:val="clear" w:color="auto" w:fill="FCFCFC"/>
            <w:vAlign w:val="center"/>
          </w:tcPr>
          <w:p w14:paraId="022FBB8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74DC7BED" w14:textId="77777777" w:rsidTr="00867427">
        <w:trPr>
          <w:jc w:val="center"/>
        </w:trPr>
        <w:tc>
          <w:tcPr>
            <w:tcW w:w="1111" w:type="dxa"/>
            <w:tcBorders>
              <w:top w:val="nil"/>
              <w:left w:val="nil"/>
              <w:bottom w:val="nil"/>
              <w:right w:val="nil"/>
            </w:tcBorders>
            <w:vAlign w:val="center"/>
          </w:tcPr>
          <w:p w14:paraId="63502C90"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Aljaroudi</w:t>
            </w:r>
            <w:proofErr w:type="spellEnd"/>
            <w:r w:rsidRPr="00104947">
              <w:rPr>
                <w:color w:val="auto"/>
                <w:sz w:val="16"/>
                <w:szCs w:val="16"/>
              </w:rPr>
              <w:t>, 2012 [15]</w:t>
            </w:r>
          </w:p>
        </w:tc>
        <w:tc>
          <w:tcPr>
            <w:tcW w:w="433" w:type="dxa"/>
            <w:tcBorders>
              <w:top w:val="nil"/>
              <w:left w:val="nil"/>
              <w:bottom w:val="nil"/>
              <w:right w:val="nil"/>
            </w:tcBorders>
            <w:vAlign w:val="center"/>
          </w:tcPr>
          <w:p w14:paraId="15CA6D0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495</w:t>
            </w:r>
          </w:p>
        </w:tc>
        <w:tc>
          <w:tcPr>
            <w:tcW w:w="661" w:type="dxa"/>
            <w:tcBorders>
              <w:top w:val="nil"/>
              <w:left w:val="nil"/>
              <w:bottom w:val="nil"/>
              <w:right w:val="nil"/>
            </w:tcBorders>
            <w:vAlign w:val="center"/>
          </w:tcPr>
          <w:p w14:paraId="11C466E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50 ± 15</w:t>
            </w:r>
          </w:p>
        </w:tc>
        <w:tc>
          <w:tcPr>
            <w:tcW w:w="409" w:type="dxa"/>
            <w:tcBorders>
              <w:top w:val="nil"/>
              <w:left w:val="nil"/>
              <w:bottom w:val="nil"/>
              <w:right w:val="nil"/>
            </w:tcBorders>
            <w:vAlign w:val="center"/>
          </w:tcPr>
          <w:p w14:paraId="36AD685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32</w:t>
            </w:r>
          </w:p>
        </w:tc>
        <w:tc>
          <w:tcPr>
            <w:tcW w:w="1197" w:type="dxa"/>
            <w:tcBorders>
              <w:top w:val="nil"/>
              <w:left w:val="nil"/>
              <w:bottom w:val="nil"/>
              <w:right w:val="nil"/>
            </w:tcBorders>
            <w:vAlign w:val="center"/>
          </w:tcPr>
          <w:p w14:paraId="3588AE1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578AA18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vAlign w:val="center"/>
          </w:tcPr>
          <w:p w14:paraId="7C64CD8D"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422E9BEC" w14:textId="5027979B"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112096C3" w14:textId="56AB99A0" w:rsidR="001B672C" w:rsidRPr="00104947" w:rsidRDefault="001B672C" w:rsidP="00B54E50">
            <w:pPr>
              <w:pStyle w:val="MDPI42tablebody"/>
              <w:autoSpaceDE w:val="0"/>
              <w:autoSpaceDN w:val="0"/>
              <w:rPr>
                <w:color w:val="auto"/>
                <w:sz w:val="16"/>
                <w:szCs w:val="16"/>
              </w:rPr>
            </w:pPr>
            <w:r w:rsidRPr="00104947">
              <w:rPr>
                <w:color w:val="auto"/>
                <w:sz w:val="16"/>
                <w:szCs w:val="16"/>
              </w:rPr>
              <w:t>Disc. (12</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vAlign w:val="center"/>
          </w:tcPr>
          <w:p w14:paraId="2A446B2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w:t>
            </w:r>
          </w:p>
        </w:tc>
        <w:tc>
          <w:tcPr>
            <w:tcW w:w="690" w:type="dxa"/>
            <w:tcBorders>
              <w:top w:val="nil"/>
              <w:left w:val="nil"/>
              <w:bottom w:val="nil"/>
              <w:right w:val="nil"/>
            </w:tcBorders>
            <w:vAlign w:val="center"/>
          </w:tcPr>
          <w:p w14:paraId="1DCF15A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2C7F604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2D9D096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7C7EF2E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2D38BDF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r>
      <w:tr w:rsidR="00B54E50" w:rsidRPr="00104947" w14:paraId="527FB1AA" w14:textId="77777777" w:rsidTr="00867427">
        <w:trPr>
          <w:jc w:val="center"/>
        </w:trPr>
        <w:tc>
          <w:tcPr>
            <w:tcW w:w="1111" w:type="dxa"/>
            <w:tcBorders>
              <w:top w:val="nil"/>
              <w:left w:val="nil"/>
              <w:bottom w:val="nil"/>
              <w:right w:val="nil"/>
            </w:tcBorders>
            <w:shd w:val="clear" w:color="auto" w:fill="FCFCFC"/>
            <w:vAlign w:val="center"/>
          </w:tcPr>
          <w:p w14:paraId="498B33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Arena, 2008 [16]</w:t>
            </w:r>
          </w:p>
        </w:tc>
        <w:tc>
          <w:tcPr>
            <w:tcW w:w="433" w:type="dxa"/>
            <w:tcBorders>
              <w:top w:val="nil"/>
              <w:left w:val="nil"/>
              <w:bottom w:val="nil"/>
              <w:right w:val="nil"/>
            </w:tcBorders>
            <w:shd w:val="clear" w:color="auto" w:fill="FCFCFC"/>
            <w:vAlign w:val="center"/>
          </w:tcPr>
          <w:p w14:paraId="7C33430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83</w:t>
            </w:r>
          </w:p>
        </w:tc>
        <w:tc>
          <w:tcPr>
            <w:tcW w:w="661" w:type="dxa"/>
            <w:tcBorders>
              <w:top w:val="nil"/>
              <w:left w:val="nil"/>
              <w:bottom w:val="nil"/>
              <w:right w:val="nil"/>
            </w:tcBorders>
            <w:shd w:val="clear" w:color="auto" w:fill="FCFCFC"/>
            <w:vAlign w:val="center"/>
          </w:tcPr>
          <w:p w14:paraId="559F6FA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 ± 10</w:t>
            </w:r>
          </w:p>
        </w:tc>
        <w:tc>
          <w:tcPr>
            <w:tcW w:w="409" w:type="dxa"/>
            <w:tcBorders>
              <w:top w:val="nil"/>
              <w:left w:val="nil"/>
              <w:bottom w:val="nil"/>
              <w:right w:val="nil"/>
            </w:tcBorders>
            <w:shd w:val="clear" w:color="auto" w:fill="FCFCFC"/>
            <w:vAlign w:val="center"/>
          </w:tcPr>
          <w:p w14:paraId="608B73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39</w:t>
            </w:r>
          </w:p>
        </w:tc>
        <w:tc>
          <w:tcPr>
            <w:tcW w:w="1197" w:type="dxa"/>
            <w:tcBorders>
              <w:top w:val="nil"/>
              <w:left w:val="nil"/>
              <w:bottom w:val="nil"/>
              <w:right w:val="nil"/>
            </w:tcBorders>
            <w:shd w:val="clear" w:color="auto" w:fill="FCFCFC"/>
            <w:vAlign w:val="center"/>
          </w:tcPr>
          <w:p w14:paraId="60E0653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1B970A5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15 W</w:t>
            </w:r>
          </w:p>
        </w:tc>
        <w:tc>
          <w:tcPr>
            <w:tcW w:w="673" w:type="dxa"/>
            <w:tcBorders>
              <w:top w:val="nil"/>
              <w:left w:val="nil"/>
              <w:bottom w:val="nil"/>
              <w:right w:val="nil"/>
            </w:tcBorders>
            <w:shd w:val="clear" w:color="auto" w:fill="FCFCFC"/>
            <w:vAlign w:val="center"/>
          </w:tcPr>
          <w:p w14:paraId="0C74FAB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15 W</w:t>
            </w:r>
          </w:p>
        </w:tc>
        <w:tc>
          <w:tcPr>
            <w:tcW w:w="575" w:type="dxa"/>
            <w:tcBorders>
              <w:top w:val="nil"/>
              <w:left w:val="nil"/>
              <w:bottom w:val="nil"/>
              <w:right w:val="nil"/>
            </w:tcBorders>
            <w:shd w:val="clear" w:color="auto" w:fill="FCFCFC"/>
            <w:vAlign w:val="center"/>
          </w:tcPr>
          <w:p w14:paraId="7EC2CDB0" w14:textId="265723BA"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1259D44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1B31344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9B07AF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top w:val="nil"/>
              <w:left w:val="nil"/>
              <w:bottom w:val="nil"/>
              <w:right w:val="nil"/>
            </w:tcBorders>
            <w:shd w:val="clear" w:color="auto" w:fill="FCFCFC"/>
            <w:vAlign w:val="center"/>
          </w:tcPr>
          <w:p w14:paraId="126B0FE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37" w:type="dxa"/>
            <w:tcBorders>
              <w:top w:val="nil"/>
              <w:left w:val="nil"/>
              <w:bottom w:val="nil"/>
              <w:right w:val="nil"/>
            </w:tcBorders>
            <w:shd w:val="clear" w:color="auto" w:fill="FCFCFC"/>
            <w:vAlign w:val="center"/>
          </w:tcPr>
          <w:p w14:paraId="304E02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shd w:val="clear" w:color="auto" w:fill="FCFCFC"/>
            <w:vAlign w:val="center"/>
          </w:tcPr>
          <w:p w14:paraId="3BC31D2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474238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75BEDE80" w14:textId="77777777" w:rsidTr="00867427">
        <w:trPr>
          <w:jc w:val="center"/>
        </w:trPr>
        <w:tc>
          <w:tcPr>
            <w:tcW w:w="1111" w:type="dxa"/>
            <w:tcBorders>
              <w:top w:val="nil"/>
              <w:left w:val="nil"/>
              <w:bottom w:val="nil"/>
              <w:right w:val="nil"/>
            </w:tcBorders>
            <w:vAlign w:val="center"/>
          </w:tcPr>
          <w:p w14:paraId="07CFB5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lastRenderedPageBreak/>
              <w:t>Austin, 2010 [17]</w:t>
            </w:r>
          </w:p>
        </w:tc>
        <w:tc>
          <w:tcPr>
            <w:tcW w:w="433" w:type="dxa"/>
            <w:tcBorders>
              <w:top w:val="nil"/>
              <w:left w:val="nil"/>
              <w:bottom w:val="nil"/>
              <w:right w:val="nil"/>
            </w:tcBorders>
            <w:vAlign w:val="center"/>
          </w:tcPr>
          <w:p w14:paraId="46619BF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50</w:t>
            </w:r>
          </w:p>
        </w:tc>
        <w:tc>
          <w:tcPr>
            <w:tcW w:w="661" w:type="dxa"/>
            <w:tcBorders>
              <w:top w:val="nil"/>
              <w:left w:val="nil"/>
              <w:bottom w:val="nil"/>
              <w:right w:val="nil"/>
            </w:tcBorders>
            <w:vAlign w:val="center"/>
          </w:tcPr>
          <w:p w14:paraId="29A8862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44 ± 13</w:t>
            </w:r>
          </w:p>
        </w:tc>
        <w:tc>
          <w:tcPr>
            <w:tcW w:w="409" w:type="dxa"/>
            <w:tcBorders>
              <w:top w:val="nil"/>
              <w:left w:val="nil"/>
              <w:bottom w:val="nil"/>
              <w:right w:val="nil"/>
            </w:tcBorders>
            <w:vAlign w:val="center"/>
          </w:tcPr>
          <w:p w14:paraId="412F6DF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w:t>
            </w:r>
          </w:p>
        </w:tc>
        <w:tc>
          <w:tcPr>
            <w:tcW w:w="1197" w:type="dxa"/>
            <w:tcBorders>
              <w:top w:val="nil"/>
              <w:left w:val="nil"/>
              <w:bottom w:val="nil"/>
              <w:right w:val="nil"/>
            </w:tcBorders>
            <w:vAlign w:val="center"/>
          </w:tcPr>
          <w:p w14:paraId="5399A65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488F581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3E33F15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69BEF8F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5E61EB7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6D92A52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2DD74F4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3808CC3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448FB5D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583F109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066BEF1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43970C5A" w14:textId="77777777" w:rsidTr="00867427">
        <w:trPr>
          <w:jc w:val="center"/>
        </w:trPr>
        <w:tc>
          <w:tcPr>
            <w:tcW w:w="1111" w:type="dxa"/>
            <w:tcBorders>
              <w:top w:val="nil"/>
              <w:left w:val="nil"/>
              <w:bottom w:val="nil"/>
              <w:right w:val="nil"/>
            </w:tcBorders>
            <w:shd w:val="clear" w:color="auto" w:fill="FCFCFC"/>
            <w:vAlign w:val="center"/>
          </w:tcPr>
          <w:p w14:paraId="366ABC5A"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Axelsson</w:t>
            </w:r>
            <w:proofErr w:type="spellEnd"/>
            <w:r w:rsidRPr="00104947">
              <w:rPr>
                <w:color w:val="auto"/>
                <w:sz w:val="16"/>
                <w:szCs w:val="16"/>
              </w:rPr>
              <w:t>, 2016 [18]</w:t>
            </w:r>
          </w:p>
        </w:tc>
        <w:tc>
          <w:tcPr>
            <w:tcW w:w="433" w:type="dxa"/>
            <w:tcBorders>
              <w:top w:val="nil"/>
              <w:left w:val="nil"/>
              <w:bottom w:val="nil"/>
              <w:right w:val="nil"/>
            </w:tcBorders>
            <w:shd w:val="clear" w:color="auto" w:fill="FCFCFC"/>
            <w:vAlign w:val="center"/>
          </w:tcPr>
          <w:p w14:paraId="37C8993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130</w:t>
            </w:r>
          </w:p>
        </w:tc>
        <w:tc>
          <w:tcPr>
            <w:tcW w:w="661" w:type="dxa"/>
            <w:tcBorders>
              <w:top w:val="nil"/>
              <w:left w:val="nil"/>
              <w:bottom w:val="nil"/>
              <w:right w:val="nil"/>
            </w:tcBorders>
            <w:shd w:val="clear" w:color="auto" w:fill="FCFCFC"/>
            <w:vAlign w:val="center"/>
          </w:tcPr>
          <w:p w14:paraId="25ABC37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13</w:t>
            </w:r>
          </w:p>
        </w:tc>
        <w:tc>
          <w:tcPr>
            <w:tcW w:w="409" w:type="dxa"/>
            <w:tcBorders>
              <w:top w:val="nil"/>
              <w:left w:val="nil"/>
              <w:bottom w:val="nil"/>
              <w:right w:val="nil"/>
            </w:tcBorders>
            <w:shd w:val="clear" w:color="auto" w:fill="FCFCFC"/>
            <w:vAlign w:val="center"/>
          </w:tcPr>
          <w:p w14:paraId="497704F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35</w:t>
            </w:r>
          </w:p>
        </w:tc>
        <w:tc>
          <w:tcPr>
            <w:tcW w:w="1197" w:type="dxa"/>
            <w:tcBorders>
              <w:top w:val="nil"/>
              <w:left w:val="nil"/>
              <w:bottom w:val="nil"/>
              <w:right w:val="nil"/>
            </w:tcBorders>
            <w:shd w:val="clear" w:color="auto" w:fill="FCFCFC"/>
            <w:vAlign w:val="center"/>
          </w:tcPr>
          <w:p w14:paraId="7607972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1C3DCDC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shd w:val="clear" w:color="auto" w:fill="FCFCFC"/>
            <w:vAlign w:val="center"/>
          </w:tcPr>
          <w:p w14:paraId="0A0CA18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shd w:val="clear" w:color="auto" w:fill="FCFCFC"/>
            <w:vAlign w:val="center"/>
          </w:tcPr>
          <w:p w14:paraId="219D0458" w14:textId="0D3E04BF"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shd w:val="clear" w:color="auto" w:fill="FCFCFC"/>
            <w:vAlign w:val="center"/>
          </w:tcPr>
          <w:p w14:paraId="1FBC711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1B4A95D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1763D5F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6C15262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026648F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90A03A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0039C71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428CC728" w14:textId="77777777" w:rsidTr="00867427">
        <w:trPr>
          <w:jc w:val="center"/>
        </w:trPr>
        <w:tc>
          <w:tcPr>
            <w:tcW w:w="1111" w:type="dxa"/>
            <w:tcBorders>
              <w:top w:val="nil"/>
              <w:left w:val="nil"/>
              <w:bottom w:val="nil"/>
              <w:right w:val="nil"/>
            </w:tcBorders>
            <w:vAlign w:val="center"/>
          </w:tcPr>
          <w:p w14:paraId="14C1BA7B"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Azarbal</w:t>
            </w:r>
            <w:proofErr w:type="spellEnd"/>
            <w:r w:rsidRPr="00104947">
              <w:rPr>
                <w:color w:val="auto"/>
                <w:sz w:val="16"/>
                <w:szCs w:val="16"/>
              </w:rPr>
              <w:t>, 2014 [19]</w:t>
            </w:r>
          </w:p>
        </w:tc>
        <w:tc>
          <w:tcPr>
            <w:tcW w:w="433" w:type="dxa"/>
            <w:tcBorders>
              <w:top w:val="nil"/>
              <w:left w:val="nil"/>
              <w:bottom w:val="nil"/>
              <w:right w:val="nil"/>
            </w:tcBorders>
            <w:vAlign w:val="center"/>
          </w:tcPr>
          <w:p w14:paraId="671BC41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265</w:t>
            </w:r>
          </w:p>
        </w:tc>
        <w:tc>
          <w:tcPr>
            <w:tcW w:w="661" w:type="dxa"/>
            <w:tcBorders>
              <w:top w:val="nil"/>
              <w:left w:val="nil"/>
              <w:bottom w:val="nil"/>
              <w:right w:val="nil"/>
            </w:tcBorders>
            <w:vAlign w:val="center"/>
          </w:tcPr>
          <w:p w14:paraId="2F3F9F0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15</w:t>
            </w:r>
          </w:p>
        </w:tc>
        <w:tc>
          <w:tcPr>
            <w:tcW w:w="409" w:type="dxa"/>
            <w:tcBorders>
              <w:top w:val="nil"/>
              <w:left w:val="nil"/>
              <w:bottom w:val="nil"/>
              <w:right w:val="nil"/>
            </w:tcBorders>
            <w:vAlign w:val="center"/>
          </w:tcPr>
          <w:p w14:paraId="36C460C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39</w:t>
            </w:r>
          </w:p>
        </w:tc>
        <w:tc>
          <w:tcPr>
            <w:tcW w:w="1197" w:type="dxa"/>
            <w:tcBorders>
              <w:top w:val="nil"/>
              <w:left w:val="nil"/>
              <w:bottom w:val="nil"/>
              <w:right w:val="nil"/>
            </w:tcBorders>
            <w:vAlign w:val="center"/>
          </w:tcPr>
          <w:p w14:paraId="26C1839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68E214C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mph</w:t>
            </w:r>
          </w:p>
        </w:tc>
        <w:tc>
          <w:tcPr>
            <w:tcW w:w="673" w:type="dxa"/>
            <w:tcBorders>
              <w:top w:val="nil"/>
              <w:left w:val="nil"/>
              <w:bottom w:val="nil"/>
              <w:right w:val="nil"/>
            </w:tcBorders>
            <w:vAlign w:val="center"/>
          </w:tcPr>
          <w:p w14:paraId="4443860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6D79D12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75597C6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0505DD3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w:t>
            </w:r>
          </w:p>
        </w:tc>
        <w:tc>
          <w:tcPr>
            <w:tcW w:w="690" w:type="dxa"/>
            <w:tcBorders>
              <w:top w:val="nil"/>
              <w:left w:val="nil"/>
              <w:bottom w:val="nil"/>
              <w:right w:val="nil"/>
            </w:tcBorders>
            <w:vAlign w:val="center"/>
          </w:tcPr>
          <w:p w14:paraId="4D04A5E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465D72B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0A06FA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48D60AA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5663825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480B821C" w14:textId="77777777" w:rsidTr="00867427">
        <w:trPr>
          <w:jc w:val="center"/>
        </w:trPr>
        <w:tc>
          <w:tcPr>
            <w:tcW w:w="1111" w:type="dxa"/>
            <w:tcBorders>
              <w:top w:val="nil"/>
              <w:left w:val="nil"/>
              <w:bottom w:val="nil"/>
              <w:right w:val="nil"/>
            </w:tcBorders>
            <w:shd w:val="clear" w:color="auto" w:fill="FCFCFC"/>
            <w:vAlign w:val="center"/>
          </w:tcPr>
          <w:p w14:paraId="2DC12B2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Binder, 2007 [20]</w:t>
            </w:r>
          </w:p>
        </w:tc>
        <w:tc>
          <w:tcPr>
            <w:tcW w:w="433" w:type="dxa"/>
            <w:tcBorders>
              <w:top w:val="nil"/>
              <w:left w:val="nil"/>
              <w:bottom w:val="nil"/>
              <w:right w:val="nil"/>
            </w:tcBorders>
            <w:shd w:val="clear" w:color="auto" w:fill="FCFCFC"/>
            <w:vAlign w:val="center"/>
          </w:tcPr>
          <w:p w14:paraId="66A1B7B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217</w:t>
            </w:r>
          </w:p>
        </w:tc>
        <w:tc>
          <w:tcPr>
            <w:tcW w:w="661" w:type="dxa"/>
            <w:tcBorders>
              <w:top w:val="nil"/>
              <w:left w:val="nil"/>
              <w:bottom w:val="nil"/>
              <w:right w:val="nil"/>
            </w:tcBorders>
            <w:shd w:val="clear" w:color="auto" w:fill="FCFCFC"/>
            <w:vAlign w:val="center"/>
          </w:tcPr>
          <w:p w14:paraId="65127A1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56 ± 16</w:t>
            </w:r>
          </w:p>
        </w:tc>
        <w:tc>
          <w:tcPr>
            <w:tcW w:w="409" w:type="dxa"/>
            <w:tcBorders>
              <w:top w:val="nil"/>
              <w:left w:val="nil"/>
              <w:bottom w:val="nil"/>
              <w:right w:val="nil"/>
            </w:tcBorders>
            <w:shd w:val="clear" w:color="auto" w:fill="FCFCFC"/>
            <w:vAlign w:val="center"/>
          </w:tcPr>
          <w:p w14:paraId="10E2B98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41</w:t>
            </w:r>
          </w:p>
        </w:tc>
        <w:tc>
          <w:tcPr>
            <w:tcW w:w="1197" w:type="dxa"/>
            <w:tcBorders>
              <w:top w:val="nil"/>
              <w:left w:val="nil"/>
              <w:bottom w:val="nil"/>
              <w:right w:val="nil"/>
            </w:tcBorders>
            <w:shd w:val="clear" w:color="auto" w:fill="FCFCFC"/>
            <w:vAlign w:val="center"/>
          </w:tcPr>
          <w:p w14:paraId="64F4E6A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22" w:type="dxa"/>
            <w:tcBorders>
              <w:top w:val="nil"/>
              <w:left w:val="nil"/>
              <w:bottom w:val="nil"/>
              <w:right w:val="nil"/>
            </w:tcBorders>
            <w:shd w:val="clear" w:color="auto" w:fill="FCFCFC"/>
            <w:vAlign w:val="center"/>
          </w:tcPr>
          <w:p w14:paraId="2240A63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shd w:val="clear" w:color="auto" w:fill="FCFCFC"/>
            <w:vAlign w:val="center"/>
          </w:tcPr>
          <w:p w14:paraId="2535BC9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shd w:val="clear" w:color="auto" w:fill="FCFCFC"/>
            <w:vAlign w:val="center"/>
          </w:tcPr>
          <w:p w14:paraId="1990A53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shd w:val="clear" w:color="auto" w:fill="FCFCFC"/>
            <w:vAlign w:val="center"/>
          </w:tcPr>
          <w:p w14:paraId="5D1E862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shd w:val="clear" w:color="auto" w:fill="FCFCFC"/>
            <w:vAlign w:val="center"/>
          </w:tcPr>
          <w:p w14:paraId="770D138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Creatinine</w:t>
            </w:r>
          </w:p>
        </w:tc>
        <w:tc>
          <w:tcPr>
            <w:tcW w:w="690" w:type="dxa"/>
            <w:tcBorders>
              <w:top w:val="nil"/>
              <w:left w:val="nil"/>
              <w:bottom w:val="nil"/>
              <w:right w:val="nil"/>
            </w:tcBorders>
            <w:shd w:val="clear" w:color="auto" w:fill="FCFCFC"/>
            <w:vAlign w:val="center"/>
          </w:tcPr>
          <w:p w14:paraId="4BB2227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0BE0162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2EBEAC7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3EBF47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6E0EC79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22F38814" w14:textId="77777777" w:rsidTr="00867427">
        <w:trPr>
          <w:jc w:val="center"/>
        </w:trPr>
        <w:tc>
          <w:tcPr>
            <w:tcW w:w="1111" w:type="dxa"/>
            <w:tcBorders>
              <w:top w:val="nil"/>
              <w:left w:val="nil"/>
              <w:bottom w:val="nil"/>
              <w:right w:val="nil"/>
            </w:tcBorders>
            <w:vAlign w:val="center"/>
          </w:tcPr>
          <w:p w14:paraId="7C8B440F"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Bonow</w:t>
            </w:r>
            <w:proofErr w:type="spellEnd"/>
            <w:r w:rsidRPr="00104947">
              <w:rPr>
                <w:color w:val="auto"/>
                <w:sz w:val="16"/>
                <w:szCs w:val="16"/>
              </w:rPr>
              <w:t>, 1985 [21]</w:t>
            </w:r>
          </w:p>
        </w:tc>
        <w:tc>
          <w:tcPr>
            <w:tcW w:w="433" w:type="dxa"/>
            <w:tcBorders>
              <w:top w:val="nil"/>
              <w:left w:val="nil"/>
              <w:bottom w:val="nil"/>
              <w:right w:val="nil"/>
            </w:tcBorders>
            <w:vAlign w:val="center"/>
          </w:tcPr>
          <w:p w14:paraId="05BEF62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70</w:t>
            </w:r>
          </w:p>
        </w:tc>
        <w:tc>
          <w:tcPr>
            <w:tcW w:w="661" w:type="dxa"/>
            <w:tcBorders>
              <w:top w:val="nil"/>
              <w:left w:val="nil"/>
              <w:bottom w:val="nil"/>
              <w:right w:val="nil"/>
            </w:tcBorders>
            <w:vAlign w:val="center"/>
          </w:tcPr>
          <w:p w14:paraId="09F4FB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w:t>
            </w:r>
          </w:p>
        </w:tc>
        <w:tc>
          <w:tcPr>
            <w:tcW w:w="409" w:type="dxa"/>
            <w:tcBorders>
              <w:top w:val="nil"/>
              <w:left w:val="nil"/>
              <w:bottom w:val="nil"/>
              <w:right w:val="nil"/>
            </w:tcBorders>
            <w:vAlign w:val="center"/>
          </w:tcPr>
          <w:p w14:paraId="1650CC6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w:t>
            </w:r>
          </w:p>
        </w:tc>
        <w:tc>
          <w:tcPr>
            <w:tcW w:w="1197" w:type="dxa"/>
            <w:tcBorders>
              <w:top w:val="nil"/>
              <w:left w:val="nil"/>
              <w:bottom w:val="nil"/>
              <w:right w:val="nil"/>
            </w:tcBorders>
            <w:vAlign w:val="center"/>
          </w:tcPr>
          <w:p w14:paraId="34BDCC8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705D2E3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mph</w:t>
            </w:r>
          </w:p>
        </w:tc>
        <w:tc>
          <w:tcPr>
            <w:tcW w:w="673" w:type="dxa"/>
            <w:tcBorders>
              <w:top w:val="nil"/>
              <w:left w:val="nil"/>
              <w:bottom w:val="nil"/>
              <w:right w:val="nil"/>
            </w:tcBorders>
            <w:vAlign w:val="center"/>
          </w:tcPr>
          <w:p w14:paraId="41C2CA8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w:t>
            </w:r>
          </w:p>
        </w:tc>
        <w:tc>
          <w:tcPr>
            <w:tcW w:w="575" w:type="dxa"/>
            <w:tcBorders>
              <w:top w:val="nil"/>
              <w:left w:val="nil"/>
              <w:bottom w:val="nil"/>
              <w:right w:val="nil"/>
            </w:tcBorders>
            <w:vAlign w:val="center"/>
          </w:tcPr>
          <w:p w14:paraId="68E048B9" w14:textId="47DF087D"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7F52DD6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Administered</w:t>
            </w:r>
          </w:p>
        </w:tc>
        <w:tc>
          <w:tcPr>
            <w:tcW w:w="1055" w:type="dxa"/>
            <w:tcBorders>
              <w:top w:val="nil"/>
              <w:left w:val="nil"/>
              <w:bottom w:val="nil"/>
              <w:right w:val="nil"/>
            </w:tcBorders>
            <w:vAlign w:val="center"/>
          </w:tcPr>
          <w:p w14:paraId="2905F1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6415212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19A6EFC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344967C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7F1E355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44F26A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713FBA73" w14:textId="77777777" w:rsidTr="00867427">
        <w:trPr>
          <w:jc w:val="center"/>
        </w:trPr>
        <w:tc>
          <w:tcPr>
            <w:tcW w:w="1111" w:type="dxa"/>
            <w:tcBorders>
              <w:top w:val="nil"/>
              <w:left w:val="nil"/>
              <w:bottom w:val="nil"/>
              <w:right w:val="nil"/>
            </w:tcBorders>
            <w:shd w:val="clear" w:color="auto" w:fill="FCFCFC"/>
            <w:vAlign w:val="center"/>
          </w:tcPr>
          <w:p w14:paraId="73B82C32"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Briguori</w:t>
            </w:r>
            <w:proofErr w:type="spellEnd"/>
            <w:r w:rsidRPr="00104947">
              <w:rPr>
                <w:color w:val="auto"/>
                <w:sz w:val="16"/>
                <w:szCs w:val="16"/>
              </w:rPr>
              <w:t>, 1999 [22]</w:t>
            </w:r>
          </w:p>
        </w:tc>
        <w:tc>
          <w:tcPr>
            <w:tcW w:w="433" w:type="dxa"/>
            <w:tcBorders>
              <w:top w:val="nil"/>
              <w:left w:val="nil"/>
              <w:bottom w:val="nil"/>
              <w:right w:val="nil"/>
            </w:tcBorders>
            <w:shd w:val="clear" w:color="auto" w:fill="FCFCFC"/>
            <w:vAlign w:val="center"/>
          </w:tcPr>
          <w:p w14:paraId="7B847E8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w:t>
            </w:r>
          </w:p>
        </w:tc>
        <w:tc>
          <w:tcPr>
            <w:tcW w:w="661" w:type="dxa"/>
            <w:tcBorders>
              <w:top w:val="nil"/>
              <w:left w:val="nil"/>
              <w:bottom w:val="nil"/>
              <w:right w:val="nil"/>
            </w:tcBorders>
            <w:shd w:val="clear" w:color="auto" w:fill="FCFCFC"/>
            <w:vAlign w:val="center"/>
          </w:tcPr>
          <w:p w14:paraId="24F832A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41</w:t>
            </w:r>
          </w:p>
        </w:tc>
        <w:tc>
          <w:tcPr>
            <w:tcW w:w="409" w:type="dxa"/>
            <w:tcBorders>
              <w:top w:val="nil"/>
              <w:left w:val="nil"/>
              <w:bottom w:val="nil"/>
              <w:right w:val="nil"/>
            </w:tcBorders>
            <w:shd w:val="clear" w:color="auto" w:fill="FCFCFC"/>
            <w:vAlign w:val="center"/>
          </w:tcPr>
          <w:p w14:paraId="60BC108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29</w:t>
            </w:r>
          </w:p>
        </w:tc>
        <w:tc>
          <w:tcPr>
            <w:tcW w:w="1197" w:type="dxa"/>
            <w:tcBorders>
              <w:top w:val="nil"/>
              <w:left w:val="nil"/>
              <w:bottom w:val="nil"/>
              <w:right w:val="nil"/>
            </w:tcBorders>
            <w:shd w:val="clear" w:color="auto" w:fill="FCFCFC"/>
            <w:vAlign w:val="center"/>
          </w:tcPr>
          <w:p w14:paraId="29D1E48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7439DE3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60rpm</w:t>
            </w:r>
          </w:p>
        </w:tc>
        <w:tc>
          <w:tcPr>
            <w:tcW w:w="673" w:type="dxa"/>
            <w:tcBorders>
              <w:top w:val="nil"/>
              <w:left w:val="nil"/>
              <w:bottom w:val="nil"/>
              <w:right w:val="nil"/>
            </w:tcBorders>
            <w:shd w:val="clear" w:color="auto" w:fill="FCFCFC"/>
            <w:vAlign w:val="center"/>
          </w:tcPr>
          <w:p w14:paraId="6B0E105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 W</w:t>
            </w:r>
          </w:p>
        </w:tc>
        <w:tc>
          <w:tcPr>
            <w:tcW w:w="575" w:type="dxa"/>
            <w:tcBorders>
              <w:top w:val="nil"/>
              <w:left w:val="nil"/>
              <w:bottom w:val="nil"/>
              <w:right w:val="nil"/>
            </w:tcBorders>
            <w:shd w:val="clear" w:color="auto" w:fill="FCFCFC"/>
            <w:vAlign w:val="center"/>
          </w:tcPr>
          <w:p w14:paraId="15967E5A" w14:textId="10258EEC" w:rsidR="001B672C" w:rsidRPr="00104947" w:rsidRDefault="001B672C" w:rsidP="00B54E50">
            <w:pPr>
              <w:pStyle w:val="MDPI42tablebody"/>
              <w:autoSpaceDE w:val="0"/>
              <w:autoSpaceDN w:val="0"/>
              <w:rPr>
                <w:color w:val="auto"/>
                <w:sz w:val="16"/>
                <w:szCs w:val="16"/>
              </w:rPr>
            </w:pPr>
            <w:r w:rsidRPr="00104947">
              <w:rPr>
                <w:color w:val="auto"/>
                <w:sz w:val="16"/>
                <w:szCs w:val="16"/>
              </w:rPr>
              <w:t>3</w:t>
            </w:r>
            <w:r w:rsidR="00502F57" w:rsidRPr="00104947">
              <w:rPr>
                <w:color w:val="auto"/>
                <w:sz w:val="16"/>
                <w:szCs w:val="16"/>
              </w:rPr>
              <w:t>′′</w:t>
            </w:r>
          </w:p>
        </w:tc>
        <w:tc>
          <w:tcPr>
            <w:tcW w:w="635" w:type="dxa"/>
            <w:tcBorders>
              <w:top w:val="nil"/>
              <w:left w:val="nil"/>
              <w:bottom w:val="nil"/>
              <w:right w:val="nil"/>
            </w:tcBorders>
            <w:shd w:val="clear" w:color="auto" w:fill="FCFCFC"/>
            <w:vAlign w:val="center"/>
          </w:tcPr>
          <w:p w14:paraId="497A0FF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(5H-L)</w:t>
            </w:r>
          </w:p>
        </w:tc>
        <w:tc>
          <w:tcPr>
            <w:tcW w:w="1055" w:type="dxa"/>
            <w:tcBorders>
              <w:top w:val="nil"/>
              <w:left w:val="nil"/>
              <w:bottom w:val="nil"/>
              <w:right w:val="nil"/>
            </w:tcBorders>
            <w:shd w:val="clear" w:color="auto" w:fill="FCFCFC"/>
            <w:vAlign w:val="center"/>
          </w:tcPr>
          <w:p w14:paraId="6AC29B2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6C79BC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72B1303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1293638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3B5F13A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4980E78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789B53BA" w14:textId="77777777" w:rsidTr="00867427">
        <w:trPr>
          <w:jc w:val="center"/>
        </w:trPr>
        <w:tc>
          <w:tcPr>
            <w:tcW w:w="1111" w:type="dxa"/>
            <w:tcBorders>
              <w:top w:val="nil"/>
              <w:left w:val="nil"/>
              <w:bottom w:val="nil"/>
              <w:right w:val="nil"/>
            </w:tcBorders>
            <w:vAlign w:val="center"/>
          </w:tcPr>
          <w:p w14:paraId="34E0D0C1"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Briguori</w:t>
            </w:r>
            <w:proofErr w:type="spellEnd"/>
            <w:r w:rsidRPr="00104947">
              <w:rPr>
                <w:color w:val="auto"/>
                <w:sz w:val="16"/>
                <w:szCs w:val="16"/>
              </w:rPr>
              <w:t>, 2001 [23]</w:t>
            </w:r>
          </w:p>
        </w:tc>
        <w:tc>
          <w:tcPr>
            <w:tcW w:w="433" w:type="dxa"/>
            <w:tcBorders>
              <w:top w:val="nil"/>
              <w:left w:val="nil"/>
              <w:bottom w:val="nil"/>
              <w:right w:val="nil"/>
            </w:tcBorders>
            <w:vAlign w:val="center"/>
          </w:tcPr>
          <w:p w14:paraId="2FB5431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44</w:t>
            </w:r>
          </w:p>
        </w:tc>
        <w:tc>
          <w:tcPr>
            <w:tcW w:w="661" w:type="dxa"/>
            <w:tcBorders>
              <w:top w:val="nil"/>
              <w:left w:val="nil"/>
              <w:bottom w:val="nil"/>
              <w:right w:val="nil"/>
            </w:tcBorders>
            <w:vAlign w:val="center"/>
          </w:tcPr>
          <w:p w14:paraId="57DAE3E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40 ± 15</w:t>
            </w:r>
          </w:p>
        </w:tc>
        <w:tc>
          <w:tcPr>
            <w:tcW w:w="409" w:type="dxa"/>
            <w:tcBorders>
              <w:top w:val="nil"/>
              <w:left w:val="nil"/>
              <w:bottom w:val="nil"/>
              <w:right w:val="nil"/>
            </w:tcBorders>
            <w:vAlign w:val="center"/>
          </w:tcPr>
          <w:p w14:paraId="0365F10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w:t>
            </w:r>
          </w:p>
        </w:tc>
        <w:tc>
          <w:tcPr>
            <w:tcW w:w="1197" w:type="dxa"/>
            <w:tcBorders>
              <w:top w:val="nil"/>
              <w:left w:val="nil"/>
              <w:bottom w:val="nil"/>
              <w:right w:val="nil"/>
            </w:tcBorders>
            <w:vAlign w:val="center"/>
          </w:tcPr>
          <w:p w14:paraId="78DB964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 CE</w:t>
            </w:r>
          </w:p>
        </w:tc>
        <w:tc>
          <w:tcPr>
            <w:tcW w:w="622" w:type="dxa"/>
            <w:tcBorders>
              <w:top w:val="nil"/>
              <w:left w:val="nil"/>
              <w:bottom w:val="nil"/>
              <w:right w:val="nil"/>
            </w:tcBorders>
            <w:vAlign w:val="center"/>
          </w:tcPr>
          <w:p w14:paraId="1B20A5E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60rpm</w:t>
            </w:r>
          </w:p>
        </w:tc>
        <w:tc>
          <w:tcPr>
            <w:tcW w:w="673" w:type="dxa"/>
            <w:tcBorders>
              <w:top w:val="nil"/>
              <w:left w:val="nil"/>
              <w:bottom w:val="nil"/>
              <w:right w:val="nil"/>
            </w:tcBorders>
            <w:vAlign w:val="center"/>
          </w:tcPr>
          <w:p w14:paraId="4E89DB8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 W</w:t>
            </w:r>
          </w:p>
        </w:tc>
        <w:tc>
          <w:tcPr>
            <w:tcW w:w="575" w:type="dxa"/>
            <w:tcBorders>
              <w:top w:val="nil"/>
              <w:left w:val="nil"/>
              <w:bottom w:val="nil"/>
              <w:right w:val="nil"/>
            </w:tcBorders>
            <w:vAlign w:val="center"/>
          </w:tcPr>
          <w:p w14:paraId="19B86606" w14:textId="5BB0F7BE" w:rsidR="001B672C" w:rsidRPr="00104947" w:rsidRDefault="001B672C" w:rsidP="00B54E50">
            <w:pPr>
              <w:pStyle w:val="MDPI42tablebody"/>
              <w:autoSpaceDE w:val="0"/>
              <w:autoSpaceDN w:val="0"/>
              <w:rPr>
                <w:color w:val="auto"/>
                <w:sz w:val="16"/>
                <w:szCs w:val="16"/>
              </w:rPr>
            </w:pPr>
            <w:r w:rsidRPr="00104947">
              <w:rPr>
                <w:color w:val="auto"/>
                <w:sz w:val="16"/>
                <w:szCs w:val="16"/>
              </w:rPr>
              <w:t>3</w:t>
            </w:r>
            <w:r w:rsidR="00502F57" w:rsidRPr="00104947">
              <w:rPr>
                <w:color w:val="auto"/>
                <w:sz w:val="16"/>
                <w:szCs w:val="16"/>
              </w:rPr>
              <w:t>′′</w:t>
            </w:r>
          </w:p>
        </w:tc>
        <w:tc>
          <w:tcPr>
            <w:tcW w:w="635" w:type="dxa"/>
            <w:tcBorders>
              <w:top w:val="nil"/>
              <w:left w:val="nil"/>
              <w:bottom w:val="nil"/>
              <w:right w:val="nil"/>
            </w:tcBorders>
            <w:vAlign w:val="center"/>
          </w:tcPr>
          <w:p w14:paraId="522EB7B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(5H-L)</w:t>
            </w:r>
          </w:p>
        </w:tc>
        <w:tc>
          <w:tcPr>
            <w:tcW w:w="1055" w:type="dxa"/>
            <w:tcBorders>
              <w:top w:val="nil"/>
              <w:left w:val="nil"/>
              <w:bottom w:val="nil"/>
              <w:right w:val="nil"/>
            </w:tcBorders>
            <w:vAlign w:val="center"/>
          </w:tcPr>
          <w:p w14:paraId="6549CE0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Blood analysis</w:t>
            </w:r>
          </w:p>
        </w:tc>
        <w:tc>
          <w:tcPr>
            <w:tcW w:w="690" w:type="dxa"/>
            <w:tcBorders>
              <w:top w:val="nil"/>
              <w:left w:val="nil"/>
              <w:bottom w:val="nil"/>
              <w:right w:val="nil"/>
            </w:tcBorders>
            <w:vAlign w:val="center"/>
          </w:tcPr>
          <w:p w14:paraId="5B71BC6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3554CD4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1153CFD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575879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783A88B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0C7D89E2" w14:textId="77777777" w:rsidTr="00867427">
        <w:trPr>
          <w:jc w:val="center"/>
        </w:trPr>
        <w:tc>
          <w:tcPr>
            <w:tcW w:w="1111" w:type="dxa"/>
            <w:tcBorders>
              <w:top w:val="nil"/>
              <w:left w:val="nil"/>
              <w:bottom w:val="nil"/>
              <w:right w:val="nil"/>
            </w:tcBorders>
            <w:shd w:val="clear" w:color="auto" w:fill="FCFCFC"/>
            <w:vAlign w:val="center"/>
          </w:tcPr>
          <w:p w14:paraId="79E80DF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Chan, 1990 [24]</w:t>
            </w:r>
          </w:p>
        </w:tc>
        <w:tc>
          <w:tcPr>
            <w:tcW w:w="433" w:type="dxa"/>
            <w:tcBorders>
              <w:top w:val="nil"/>
              <w:left w:val="nil"/>
              <w:bottom w:val="nil"/>
              <w:right w:val="nil"/>
            </w:tcBorders>
            <w:shd w:val="clear" w:color="auto" w:fill="FCFCFC"/>
            <w:vAlign w:val="center"/>
          </w:tcPr>
          <w:p w14:paraId="566C9F4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13</w:t>
            </w:r>
          </w:p>
        </w:tc>
        <w:tc>
          <w:tcPr>
            <w:tcW w:w="661" w:type="dxa"/>
            <w:tcBorders>
              <w:top w:val="nil"/>
              <w:left w:val="nil"/>
              <w:bottom w:val="nil"/>
              <w:right w:val="nil"/>
            </w:tcBorders>
            <w:shd w:val="clear" w:color="auto" w:fill="FCFCFC"/>
            <w:vAlign w:val="center"/>
          </w:tcPr>
          <w:p w14:paraId="2026A1C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42 ± 14</w:t>
            </w:r>
          </w:p>
        </w:tc>
        <w:tc>
          <w:tcPr>
            <w:tcW w:w="409" w:type="dxa"/>
            <w:tcBorders>
              <w:top w:val="nil"/>
              <w:left w:val="nil"/>
              <w:bottom w:val="nil"/>
              <w:right w:val="nil"/>
            </w:tcBorders>
            <w:shd w:val="clear" w:color="auto" w:fill="FCFCFC"/>
            <w:vAlign w:val="center"/>
          </w:tcPr>
          <w:p w14:paraId="05196AB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w:t>
            </w:r>
          </w:p>
        </w:tc>
        <w:tc>
          <w:tcPr>
            <w:tcW w:w="1197" w:type="dxa"/>
            <w:tcBorders>
              <w:top w:val="nil"/>
              <w:left w:val="nil"/>
              <w:bottom w:val="nil"/>
              <w:right w:val="nil"/>
            </w:tcBorders>
            <w:shd w:val="clear" w:color="auto" w:fill="FCFCFC"/>
            <w:vAlign w:val="center"/>
          </w:tcPr>
          <w:p w14:paraId="3B1EFDD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2EFDE0E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28 W</w:t>
            </w:r>
          </w:p>
        </w:tc>
        <w:tc>
          <w:tcPr>
            <w:tcW w:w="673" w:type="dxa"/>
            <w:tcBorders>
              <w:top w:val="nil"/>
              <w:left w:val="nil"/>
              <w:bottom w:val="nil"/>
              <w:right w:val="nil"/>
            </w:tcBorders>
            <w:shd w:val="clear" w:color="auto" w:fill="FCFCFC"/>
            <w:vAlign w:val="center"/>
          </w:tcPr>
          <w:p w14:paraId="5CA9BA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22 W</w:t>
            </w:r>
          </w:p>
        </w:tc>
        <w:tc>
          <w:tcPr>
            <w:tcW w:w="575" w:type="dxa"/>
            <w:tcBorders>
              <w:top w:val="nil"/>
              <w:left w:val="nil"/>
              <w:bottom w:val="nil"/>
              <w:right w:val="nil"/>
            </w:tcBorders>
            <w:shd w:val="clear" w:color="auto" w:fill="FCFCFC"/>
            <w:vAlign w:val="center"/>
          </w:tcPr>
          <w:p w14:paraId="766BB153" w14:textId="3598C794"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1C7EB09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Administered</w:t>
            </w:r>
          </w:p>
        </w:tc>
        <w:tc>
          <w:tcPr>
            <w:tcW w:w="1055" w:type="dxa"/>
            <w:tcBorders>
              <w:top w:val="nil"/>
              <w:left w:val="nil"/>
              <w:bottom w:val="nil"/>
              <w:right w:val="nil"/>
            </w:tcBorders>
            <w:shd w:val="clear" w:color="auto" w:fill="FCFCFC"/>
            <w:vAlign w:val="center"/>
          </w:tcPr>
          <w:p w14:paraId="434A73C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1A48F6C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7C302DC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5F59CE7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418" w:type="dxa"/>
            <w:tcBorders>
              <w:top w:val="nil"/>
              <w:left w:val="nil"/>
              <w:bottom w:val="nil"/>
              <w:right w:val="nil"/>
            </w:tcBorders>
            <w:shd w:val="clear" w:color="auto" w:fill="FCFCFC"/>
            <w:vAlign w:val="center"/>
          </w:tcPr>
          <w:p w14:paraId="13527FA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5EF8DE8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r>
      <w:tr w:rsidR="00B54E50" w:rsidRPr="00104947" w14:paraId="43AD0F2A" w14:textId="77777777" w:rsidTr="00867427">
        <w:trPr>
          <w:jc w:val="center"/>
        </w:trPr>
        <w:tc>
          <w:tcPr>
            <w:tcW w:w="1111" w:type="dxa"/>
            <w:tcBorders>
              <w:top w:val="nil"/>
              <w:left w:val="nil"/>
              <w:bottom w:val="nil"/>
              <w:right w:val="nil"/>
            </w:tcBorders>
            <w:vAlign w:val="center"/>
          </w:tcPr>
          <w:p w14:paraId="471F565A"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Chikamori</w:t>
            </w:r>
            <w:proofErr w:type="spellEnd"/>
            <w:r w:rsidRPr="00104947">
              <w:rPr>
                <w:color w:val="auto"/>
                <w:sz w:val="16"/>
                <w:szCs w:val="16"/>
              </w:rPr>
              <w:t>, 1992 [25]</w:t>
            </w:r>
          </w:p>
        </w:tc>
        <w:tc>
          <w:tcPr>
            <w:tcW w:w="433" w:type="dxa"/>
            <w:tcBorders>
              <w:top w:val="nil"/>
              <w:left w:val="nil"/>
              <w:bottom w:val="nil"/>
              <w:right w:val="nil"/>
            </w:tcBorders>
            <w:vAlign w:val="center"/>
          </w:tcPr>
          <w:p w14:paraId="18409D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81</w:t>
            </w:r>
          </w:p>
        </w:tc>
        <w:tc>
          <w:tcPr>
            <w:tcW w:w="661" w:type="dxa"/>
            <w:tcBorders>
              <w:top w:val="nil"/>
              <w:left w:val="nil"/>
              <w:bottom w:val="nil"/>
              <w:right w:val="nil"/>
            </w:tcBorders>
            <w:vAlign w:val="center"/>
          </w:tcPr>
          <w:p w14:paraId="01F38D6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41</w:t>
            </w:r>
          </w:p>
        </w:tc>
        <w:tc>
          <w:tcPr>
            <w:tcW w:w="409" w:type="dxa"/>
            <w:tcBorders>
              <w:top w:val="nil"/>
              <w:left w:val="nil"/>
              <w:bottom w:val="nil"/>
              <w:right w:val="nil"/>
            </w:tcBorders>
            <w:vAlign w:val="center"/>
          </w:tcPr>
          <w:p w14:paraId="77849BE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46</w:t>
            </w:r>
          </w:p>
        </w:tc>
        <w:tc>
          <w:tcPr>
            <w:tcW w:w="1197" w:type="dxa"/>
            <w:tcBorders>
              <w:top w:val="nil"/>
              <w:left w:val="nil"/>
              <w:bottom w:val="nil"/>
              <w:right w:val="nil"/>
            </w:tcBorders>
            <w:vAlign w:val="center"/>
          </w:tcPr>
          <w:p w14:paraId="355D036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4C591A6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vAlign w:val="center"/>
          </w:tcPr>
          <w:p w14:paraId="1155D468"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24C2531A" w14:textId="7F4BBE11"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4DFAE48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w:t>
            </w:r>
          </w:p>
        </w:tc>
        <w:tc>
          <w:tcPr>
            <w:tcW w:w="1055" w:type="dxa"/>
            <w:tcBorders>
              <w:top w:val="nil"/>
              <w:left w:val="nil"/>
              <w:bottom w:val="nil"/>
              <w:right w:val="nil"/>
            </w:tcBorders>
            <w:vAlign w:val="center"/>
          </w:tcPr>
          <w:p w14:paraId="2D1F332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20FABDB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4E4C8E5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37" w:type="dxa"/>
            <w:tcBorders>
              <w:top w:val="nil"/>
              <w:left w:val="nil"/>
              <w:bottom w:val="nil"/>
              <w:right w:val="nil"/>
            </w:tcBorders>
            <w:vAlign w:val="center"/>
          </w:tcPr>
          <w:p w14:paraId="69FE55C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5D2EBFB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59" w:type="dxa"/>
            <w:tcBorders>
              <w:top w:val="nil"/>
              <w:left w:val="nil"/>
              <w:bottom w:val="nil"/>
              <w:right w:val="nil"/>
            </w:tcBorders>
            <w:vAlign w:val="center"/>
          </w:tcPr>
          <w:p w14:paraId="657E91D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r>
      <w:tr w:rsidR="00B54E50" w:rsidRPr="00104947" w14:paraId="115FEAF2" w14:textId="77777777" w:rsidTr="00867427">
        <w:trPr>
          <w:jc w:val="center"/>
        </w:trPr>
        <w:tc>
          <w:tcPr>
            <w:tcW w:w="1111" w:type="dxa"/>
            <w:tcBorders>
              <w:top w:val="nil"/>
              <w:left w:val="nil"/>
              <w:bottom w:val="nil"/>
              <w:right w:val="nil"/>
            </w:tcBorders>
            <w:shd w:val="clear" w:color="auto" w:fill="FCFCFC"/>
            <w:vAlign w:val="center"/>
          </w:tcPr>
          <w:p w14:paraId="612B8A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Choi, 2008 [26]</w:t>
            </w:r>
          </w:p>
        </w:tc>
        <w:tc>
          <w:tcPr>
            <w:tcW w:w="433" w:type="dxa"/>
            <w:tcBorders>
              <w:top w:val="nil"/>
              <w:left w:val="nil"/>
              <w:bottom w:val="nil"/>
              <w:right w:val="nil"/>
            </w:tcBorders>
            <w:shd w:val="clear" w:color="auto" w:fill="FCFCFC"/>
            <w:vAlign w:val="center"/>
          </w:tcPr>
          <w:p w14:paraId="5E7FBF6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32</w:t>
            </w:r>
          </w:p>
        </w:tc>
        <w:tc>
          <w:tcPr>
            <w:tcW w:w="661" w:type="dxa"/>
            <w:tcBorders>
              <w:top w:val="nil"/>
              <w:left w:val="nil"/>
              <w:bottom w:val="nil"/>
              <w:right w:val="nil"/>
            </w:tcBorders>
            <w:shd w:val="clear" w:color="auto" w:fill="FCFCFC"/>
            <w:vAlign w:val="center"/>
          </w:tcPr>
          <w:p w14:paraId="65DE0AA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55 ± 11</w:t>
            </w:r>
          </w:p>
        </w:tc>
        <w:tc>
          <w:tcPr>
            <w:tcW w:w="409" w:type="dxa"/>
            <w:tcBorders>
              <w:top w:val="nil"/>
              <w:left w:val="nil"/>
              <w:bottom w:val="nil"/>
              <w:right w:val="nil"/>
            </w:tcBorders>
            <w:shd w:val="clear" w:color="auto" w:fill="FCFCFC"/>
            <w:vAlign w:val="center"/>
          </w:tcPr>
          <w:p w14:paraId="124AE89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19</w:t>
            </w:r>
          </w:p>
        </w:tc>
        <w:tc>
          <w:tcPr>
            <w:tcW w:w="1197" w:type="dxa"/>
            <w:tcBorders>
              <w:top w:val="nil"/>
              <w:left w:val="nil"/>
              <w:bottom w:val="nil"/>
              <w:right w:val="nil"/>
            </w:tcBorders>
            <w:shd w:val="clear" w:color="auto" w:fill="FCFCFC"/>
            <w:vAlign w:val="center"/>
          </w:tcPr>
          <w:p w14:paraId="5ECA508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Supine CE</w:t>
            </w:r>
          </w:p>
        </w:tc>
        <w:tc>
          <w:tcPr>
            <w:tcW w:w="622" w:type="dxa"/>
            <w:tcBorders>
              <w:top w:val="nil"/>
              <w:left w:val="nil"/>
              <w:bottom w:val="nil"/>
              <w:right w:val="nil"/>
            </w:tcBorders>
            <w:shd w:val="clear" w:color="auto" w:fill="FCFCFC"/>
            <w:vAlign w:val="center"/>
          </w:tcPr>
          <w:p w14:paraId="1280638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shd w:val="clear" w:color="auto" w:fill="FCFCFC"/>
            <w:vAlign w:val="center"/>
          </w:tcPr>
          <w:p w14:paraId="6276D7A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shd w:val="clear" w:color="auto" w:fill="FCFCFC"/>
            <w:vAlign w:val="center"/>
          </w:tcPr>
          <w:p w14:paraId="043C28EB" w14:textId="5FF0D1D8"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12FA6D8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w:t>
            </w:r>
          </w:p>
        </w:tc>
        <w:tc>
          <w:tcPr>
            <w:tcW w:w="1055" w:type="dxa"/>
            <w:tcBorders>
              <w:top w:val="nil"/>
              <w:left w:val="nil"/>
              <w:bottom w:val="nil"/>
              <w:right w:val="nil"/>
            </w:tcBorders>
            <w:shd w:val="clear" w:color="auto" w:fill="FCFCFC"/>
            <w:vAlign w:val="center"/>
          </w:tcPr>
          <w:p w14:paraId="2C48A9B0" w14:textId="77777777" w:rsidR="001B672C" w:rsidRPr="00104947" w:rsidRDefault="001B672C" w:rsidP="00B54E50">
            <w:pPr>
              <w:pStyle w:val="MDPI42tablebody"/>
              <w:autoSpaceDE w:val="0"/>
              <w:autoSpaceDN w:val="0"/>
              <w:rPr>
                <w:color w:val="auto"/>
                <w:sz w:val="16"/>
                <w:szCs w:val="16"/>
              </w:rPr>
            </w:pPr>
            <w:proofErr w:type="spellStart"/>
            <w:proofErr w:type="gramStart"/>
            <w:r w:rsidRPr="00104947">
              <w:rPr>
                <w:color w:val="auto"/>
                <w:sz w:val="16"/>
                <w:szCs w:val="16"/>
              </w:rPr>
              <w:t>Creatinine,HL</w:t>
            </w:r>
            <w:proofErr w:type="spellEnd"/>
            <w:proofErr w:type="gramEnd"/>
          </w:p>
        </w:tc>
        <w:tc>
          <w:tcPr>
            <w:tcW w:w="690" w:type="dxa"/>
            <w:tcBorders>
              <w:top w:val="nil"/>
              <w:left w:val="nil"/>
              <w:bottom w:val="nil"/>
              <w:right w:val="nil"/>
            </w:tcBorders>
            <w:shd w:val="clear" w:color="auto" w:fill="FCFCFC"/>
            <w:vAlign w:val="center"/>
          </w:tcPr>
          <w:p w14:paraId="7AA2900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497BC37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37" w:type="dxa"/>
            <w:tcBorders>
              <w:top w:val="nil"/>
              <w:left w:val="nil"/>
              <w:bottom w:val="nil"/>
              <w:right w:val="nil"/>
            </w:tcBorders>
            <w:shd w:val="clear" w:color="auto" w:fill="FCFCFC"/>
            <w:vAlign w:val="center"/>
          </w:tcPr>
          <w:p w14:paraId="2C05A5B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FB3F56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65DAAE5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33B45DBA" w14:textId="77777777" w:rsidTr="00867427">
        <w:trPr>
          <w:jc w:val="center"/>
        </w:trPr>
        <w:tc>
          <w:tcPr>
            <w:tcW w:w="1111" w:type="dxa"/>
            <w:tcBorders>
              <w:top w:val="nil"/>
              <w:left w:val="nil"/>
              <w:bottom w:val="nil"/>
              <w:right w:val="nil"/>
            </w:tcBorders>
            <w:vAlign w:val="center"/>
          </w:tcPr>
          <w:p w14:paraId="27C5127E"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Ciampi</w:t>
            </w:r>
            <w:proofErr w:type="spellEnd"/>
            <w:r w:rsidRPr="00104947">
              <w:rPr>
                <w:color w:val="auto"/>
                <w:sz w:val="16"/>
                <w:szCs w:val="16"/>
              </w:rPr>
              <w:t>, 2007 [27]</w:t>
            </w:r>
          </w:p>
        </w:tc>
        <w:tc>
          <w:tcPr>
            <w:tcW w:w="433" w:type="dxa"/>
            <w:tcBorders>
              <w:top w:val="nil"/>
              <w:left w:val="nil"/>
              <w:bottom w:val="nil"/>
              <w:right w:val="nil"/>
            </w:tcBorders>
            <w:vAlign w:val="center"/>
          </w:tcPr>
          <w:p w14:paraId="4E6337A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22</w:t>
            </w:r>
          </w:p>
        </w:tc>
        <w:tc>
          <w:tcPr>
            <w:tcW w:w="661" w:type="dxa"/>
            <w:tcBorders>
              <w:top w:val="nil"/>
              <w:left w:val="nil"/>
              <w:bottom w:val="nil"/>
              <w:right w:val="nil"/>
            </w:tcBorders>
            <w:vAlign w:val="center"/>
          </w:tcPr>
          <w:p w14:paraId="4F5BC1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36 ± 13</w:t>
            </w:r>
          </w:p>
        </w:tc>
        <w:tc>
          <w:tcPr>
            <w:tcW w:w="409" w:type="dxa"/>
            <w:tcBorders>
              <w:top w:val="nil"/>
              <w:left w:val="nil"/>
              <w:bottom w:val="nil"/>
              <w:right w:val="nil"/>
            </w:tcBorders>
            <w:vAlign w:val="center"/>
          </w:tcPr>
          <w:p w14:paraId="0E252E7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23</w:t>
            </w:r>
          </w:p>
        </w:tc>
        <w:tc>
          <w:tcPr>
            <w:tcW w:w="1197" w:type="dxa"/>
            <w:tcBorders>
              <w:top w:val="nil"/>
              <w:left w:val="nil"/>
              <w:bottom w:val="nil"/>
              <w:right w:val="nil"/>
            </w:tcBorders>
            <w:vAlign w:val="center"/>
          </w:tcPr>
          <w:p w14:paraId="4374F9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79A5D43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vAlign w:val="center"/>
          </w:tcPr>
          <w:p w14:paraId="69CC16C1"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5591C7D9" w14:textId="3FC6A765"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54ACB29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(5H-L)</w:t>
            </w:r>
          </w:p>
        </w:tc>
        <w:tc>
          <w:tcPr>
            <w:tcW w:w="1055" w:type="dxa"/>
            <w:tcBorders>
              <w:top w:val="nil"/>
              <w:left w:val="nil"/>
              <w:bottom w:val="nil"/>
              <w:right w:val="nil"/>
            </w:tcBorders>
            <w:vAlign w:val="center"/>
          </w:tcPr>
          <w:p w14:paraId="004C0DC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00B8F9E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5358341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79D3336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3667DBC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4967F1C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7155FE7D" w14:textId="77777777" w:rsidTr="00867427">
        <w:trPr>
          <w:jc w:val="center"/>
        </w:trPr>
        <w:tc>
          <w:tcPr>
            <w:tcW w:w="1111" w:type="dxa"/>
            <w:tcBorders>
              <w:top w:val="nil"/>
              <w:left w:val="nil"/>
              <w:bottom w:val="nil"/>
              <w:right w:val="nil"/>
            </w:tcBorders>
            <w:shd w:val="clear" w:color="auto" w:fill="FCFCFC"/>
            <w:vAlign w:val="center"/>
          </w:tcPr>
          <w:p w14:paraId="297C860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Coats, 2014 [28]</w:t>
            </w:r>
          </w:p>
        </w:tc>
        <w:tc>
          <w:tcPr>
            <w:tcW w:w="433" w:type="dxa"/>
            <w:tcBorders>
              <w:top w:val="nil"/>
              <w:left w:val="nil"/>
              <w:bottom w:val="nil"/>
              <w:right w:val="nil"/>
            </w:tcBorders>
            <w:shd w:val="clear" w:color="auto" w:fill="FCFCFC"/>
            <w:vAlign w:val="center"/>
          </w:tcPr>
          <w:p w14:paraId="292DC19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1898</w:t>
            </w:r>
          </w:p>
        </w:tc>
        <w:tc>
          <w:tcPr>
            <w:tcW w:w="661" w:type="dxa"/>
            <w:tcBorders>
              <w:top w:val="nil"/>
              <w:left w:val="nil"/>
              <w:bottom w:val="nil"/>
              <w:right w:val="nil"/>
            </w:tcBorders>
            <w:shd w:val="clear" w:color="auto" w:fill="FCFCFC"/>
            <w:vAlign w:val="center"/>
          </w:tcPr>
          <w:p w14:paraId="5B69511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 15</w:t>
            </w:r>
          </w:p>
        </w:tc>
        <w:tc>
          <w:tcPr>
            <w:tcW w:w="409" w:type="dxa"/>
            <w:tcBorders>
              <w:top w:val="nil"/>
              <w:left w:val="nil"/>
              <w:bottom w:val="nil"/>
              <w:right w:val="nil"/>
            </w:tcBorders>
            <w:shd w:val="clear" w:color="auto" w:fill="FCFCFC"/>
            <w:vAlign w:val="center"/>
          </w:tcPr>
          <w:p w14:paraId="7257D96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33</w:t>
            </w:r>
          </w:p>
        </w:tc>
        <w:tc>
          <w:tcPr>
            <w:tcW w:w="1197" w:type="dxa"/>
            <w:tcBorders>
              <w:top w:val="nil"/>
              <w:left w:val="nil"/>
              <w:bottom w:val="nil"/>
              <w:right w:val="nil"/>
            </w:tcBorders>
            <w:shd w:val="clear" w:color="auto" w:fill="FCFCFC"/>
            <w:vAlign w:val="center"/>
          </w:tcPr>
          <w:p w14:paraId="2F3B672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14F057C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shd w:val="clear" w:color="auto" w:fill="FCFCFC"/>
            <w:vAlign w:val="center"/>
          </w:tcPr>
          <w:p w14:paraId="6364FBC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w:t>
            </w:r>
            <w:r w:rsidR="006630E3" w:rsidRPr="00104947">
              <w:rPr>
                <w:color w:val="auto"/>
                <w:sz w:val="16"/>
                <w:szCs w:val="16"/>
              </w:rPr>
              <w:t>0–30</w:t>
            </w:r>
            <w:r w:rsidRPr="00104947">
              <w:rPr>
                <w:color w:val="auto"/>
                <w:sz w:val="16"/>
                <w:szCs w:val="16"/>
              </w:rPr>
              <w:t>W</w:t>
            </w:r>
          </w:p>
        </w:tc>
        <w:tc>
          <w:tcPr>
            <w:tcW w:w="575" w:type="dxa"/>
            <w:tcBorders>
              <w:top w:val="nil"/>
              <w:left w:val="nil"/>
              <w:bottom w:val="nil"/>
              <w:right w:val="nil"/>
            </w:tcBorders>
            <w:shd w:val="clear" w:color="auto" w:fill="FCFCFC"/>
            <w:vAlign w:val="center"/>
          </w:tcPr>
          <w:p w14:paraId="341C1D38" w14:textId="714B3A53"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3599C6F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6772882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2FDD661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5BA2E6E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13814EF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2BF16C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57DA6B5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50A128BC" w14:textId="77777777" w:rsidTr="00867427">
        <w:trPr>
          <w:jc w:val="center"/>
        </w:trPr>
        <w:tc>
          <w:tcPr>
            <w:tcW w:w="1111" w:type="dxa"/>
            <w:tcBorders>
              <w:top w:val="nil"/>
              <w:left w:val="nil"/>
              <w:bottom w:val="nil"/>
              <w:right w:val="nil"/>
            </w:tcBorders>
            <w:vAlign w:val="center"/>
          </w:tcPr>
          <w:p w14:paraId="0B10FF98"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D’Andrea</w:t>
            </w:r>
            <w:proofErr w:type="spellEnd"/>
            <w:r w:rsidRPr="00104947">
              <w:rPr>
                <w:color w:val="auto"/>
                <w:sz w:val="16"/>
                <w:szCs w:val="16"/>
              </w:rPr>
              <w:t>, 2017 [29]</w:t>
            </w:r>
          </w:p>
        </w:tc>
        <w:tc>
          <w:tcPr>
            <w:tcW w:w="433" w:type="dxa"/>
            <w:tcBorders>
              <w:top w:val="nil"/>
              <w:left w:val="nil"/>
              <w:bottom w:val="nil"/>
              <w:right w:val="nil"/>
            </w:tcBorders>
            <w:vAlign w:val="center"/>
          </w:tcPr>
          <w:p w14:paraId="262A193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45</w:t>
            </w:r>
          </w:p>
        </w:tc>
        <w:tc>
          <w:tcPr>
            <w:tcW w:w="661" w:type="dxa"/>
            <w:tcBorders>
              <w:top w:val="nil"/>
              <w:left w:val="nil"/>
              <w:bottom w:val="nil"/>
              <w:right w:val="nil"/>
            </w:tcBorders>
            <w:vAlign w:val="center"/>
          </w:tcPr>
          <w:p w14:paraId="38158F1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 ± 15</w:t>
            </w:r>
          </w:p>
        </w:tc>
        <w:tc>
          <w:tcPr>
            <w:tcW w:w="409" w:type="dxa"/>
            <w:tcBorders>
              <w:top w:val="nil"/>
              <w:left w:val="nil"/>
              <w:bottom w:val="nil"/>
              <w:right w:val="nil"/>
            </w:tcBorders>
            <w:vAlign w:val="center"/>
          </w:tcPr>
          <w:p w14:paraId="2E1F763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22</w:t>
            </w:r>
          </w:p>
        </w:tc>
        <w:tc>
          <w:tcPr>
            <w:tcW w:w="1197" w:type="dxa"/>
            <w:tcBorders>
              <w:top w:val="nil"/>
              <w:left w:val="nil"/>
              <w:bottom w:val="nil"/>
              <w:right w:val="nil"/>
            </w:tcBorders>
            <w:vAlign w:val="center"/>
          </w:tcPr>
          <w:p w14:paraId="080613E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Supine CE</w:t>
            </w:r>
          </w:p>
        </w:tc>
        <w:tc>
          <w:tcPr>
            <w:tcW w:w="622" w:type="dxa"/>
            <w:tcBorders>
              <w:top w:val="nil"/>
              <w:left w:val="nil"/>
              <w:bottom w:val="nil"/>
              <w:right w:val="nil"/>
            </w:tcBorders>
            <w:vAlign w:val="center"/>
          </w:tcPr>
          <w:p w14:paraId="6C36B0E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092C7C6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vAlign w:val="center"/>
          </w:tcPr>
          <w:p w14:paraId="0AAD8584" w14:textId="7D1FD748"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3DE7C35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 drugs used</w:t>
            </w:r>
          </w:p>
        </w:tc>
        <w:tc>
          <w:tcPr>
            <w:tcW w:w="1055" w:type="dxa"/>
            <w:tcBorders>
              <w:top w:val="nil"/>
              <w:left w:val="nil"/>
              <w:bottom w:val="nil"/>
              <w:right w:val="nil"/>
            </w:tcBorders>
            <w:vAlign w:val="center"/>
          </w:tcPr>
          <w:p w14:paraId="7F3E994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1F8B387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3B02413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608CAAD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vAlign w:val="center"/>
          </w:tcPr>
          <w:p w14:paraId="0F835F2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3DE68C4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5A4DA4E0" w14:textId="77777777" w:rsidTr="00867427">
        <w:trPr>
          <w:jc w:val="center"/>
        </w:trPr>
        <w:tc>
          <w:tcPr>
            <w:tcW w:w="1111" w:type="dxa"/>
            <w:tcBorders>
              <w:top w:val="nil"/>
              <w:left w:val="nil"/>
              <w:bottom w:val="nil"/>
              <w:right w:val="nil"/>
            </w:tcBorders>
            <w:shd w:val="clear" w:color="auto" w:fill="FCFCFC"/>
            <w:vAlign w:val="center"/>
          </w:tcPr>
          <w:p w14:paraId="51A4881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de la Morena, 2003 [30]</w:t>
            </w:r>
          </w:p>
        </w:tc>
        <w:tc>
          <w:tcPr>
            <w:tcW w:w="433" w:type="dxa"/>
            <w:tcBorders>
              <w:top w:val="nil"/>
              <w:left w:val="nil"/>
              <w:bottom w:val="nil"/>
              <w:right w:val="nil"/>
            </w:tcBorders>
            <w:shd w:val="clear" w:color="auto" w:fill="FCFCFC"/>
            <w:vAlign w:val="center"/>
          </w:tcPr>
          <w:p w14:paraId="3004D0D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98</w:t>
            </w:r>
          </w:p>
        </w:tc>
        <w:tc>
          <w:tcPr>
            <w:tcW w:w="661" w:type="dxa"/>
            <w:tcBorders>
              <w:top w:val="nil"/>
              <w:left w:val="nil"/>
              <w:bottom w:val="nil"/>
              <w:right w:val="nil"/>
            </w:tcBorders>
            <w:shd w:val="clear" w:color="auto" w:fill="FCFCFC"/>
            <w:vAlign w:val="center"/>
          </w:tcPr>
          <w:p w14:paraId="43CD7C3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44 ± 15</w:t>
            </w:r>
          </w:p>
        </w:tc>
        <w:tc>
          <w:tcPr>
            <w:tcW w:w="409" w:type="dxa"/>
            <w:tcBorders>
              <w:top w:val="nil"/>
              <w:left w:val="nil"/>
              <w:bottom w:val="nil"/>
              <w:right w:val="nil"/>
            </w:tcBorders>
            <w:shd w:val="clear" w:color="auto" w:fill="FCFCFC"/>
            <w:vAlign w:val="center"/>
          </w:tcPr>
          <w:p w14:paraId="3D22F9D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28</w:t>
            </w:r>
          </w:p>
        </w:tc>
        <w:tc>
          <w:tcPr>
            <w:tcW w:w="1197" w:type="dxa"/>
            <w:tcBorders>
              <w:top w:val="nil"/>
              <w:left w:val="nil"/>
              <w:bottom w:val="nil"/>
              <w:right w:val="nil"/>
            </w:tcBorders>
            <w:shd w:val="clear" w:color="auto" w:fill="FCFCFC"/>
            <w:vAlign w:val="center"/>
          </w:tcPr>
          <w:p w14:paraId="01D8496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618413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shd w:val="clear" w:color="auto" w:fill="FCFCFC"/>
            <w:vAlign w:val="center"/>
          </w:tcPr>
          <w:p w14:paraId="22FF8D28"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40D70382" w14:textId="256435ED"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13AE731D" w14:textId="10317BED" w:rsidR="001B672C" w:rsidRPr="00104947" w:rsidRDefault="001B672C" w:rsidP="00B54E50">
            <w:pPr>
              <w:pStyle w:val="MDPI42tablebody"/>
              <w:autoSpaceDE w:val="0"/>
              <w:autoSpaceDN w:val="0"/>
              <w:rPr>
                <w:color w:val="auto"/>
                <w:sz w:val="16"/>
                <w:szCs w:val="16"/>
              </w:rPr>
            </w:pPr>
            <w:r w:rsidRPr="00104947">
              <w:rPr>
                <w:color w:val="auto"/>
                <w:sz w:val="16"/>
                <w:szCs w:val="16"/>
              </w:rPr>
              <w:t>Disc. (48</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shd w:val="clear" w:color="auto" w:fill="FCFCFC"/>
            <w:vAlign w:val="center"/>
          </w:tcPr>
          <w:p w14:paraId="2682CDB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0319D4F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110B12F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70E4744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074D24F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358F6CC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5B4DAA59" w14:textId="77777777" w:rsidTr="00867427">
        <w:trPr>
          <w:jc w:val="center"/>
        </w:trPr>
        <w:tc>
          <w:tcPr>
            <w:tcW w:w="1111" w:type="dxa"/>
            <w:tcBorders>
              <w:top w:val="nil"/>
              <w:left w:val="nil"/>
              <w:bottom w:val="nil"/>
              <w:right w:val="nil"/>
            </w:tcBorders>
            <w:vAlign w:val="center"/>
          </w:tcPr>
          <w:p w14:paraId="6FBB0C40" w14:textId="32C340F7" w:rsidR="001B672C" w:rsidRPr="00104947" w:rsidRDefault="001B672C" w:rsidP="00B54E50">
            <w:pPr>
              <w:pStyle w:val="MDPI42tablebody"/>
              <w:autoSpaceDE w:val="0"/>
              <w:autoSpaceDN w:val="0"/>
              <w:rPr>
                <w:color w:val="auto"/>
                <w:sz w:val="16"/>
                <w:szCs w:val="16"/>
              </w:rPr>
            </w:pPr>
            <w:r w:rsidRPr="00104947">
              <w:rPr>
                <w:color w:val="auto"/>
                <w:sz w:val="16"/>
                <w:szCs w:val="16"/>
              </w:rPr>
              <w:t>de la Morena, 2013 [31]</w:t>
            </w:r>
          </w:p>
        </w:tc>
        <w:tc>
          <w:tcPr>
            <w:tcW w:w="433" w:type="dxa"/>
            <w:tcBorders>
              <w:top w:val="nil"/>
              <w:left w:val="nil"/>
              <w:bottom w:val="nil"/>
              <w:right w:val="nil"/>
            </w:tcBorders>
            <w:vAlign w:val="center"/>
          </w:tcPr>
          <w:p w14:paraId="75D1DC2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87</w:t>
            </w:r>
          </w:p>
        </w:tc>
        <w:tc>
          <w:tcPr>
            <w:tcW w:w="661" w:type="dxa"/>
            <w:tcBorders>
              <w:top w:val="nil"/>
              <w:left w:val="nil"/>
              <w:bottom w:val="nil"/>
              <w:right w:val="nil"/>
            </w:tcBorders>
            <w:vAlign w:val="center"/>
          </w:tcPr>
          <w:p w14:paraId="0EF7830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54 ± 13</w:t>
            </w:r>
          </w:p>
        </w:tc>
        <w:tc>
          <w:tcPr>
            <w:tcW w:w="409" w:type="dxa"/>
            <w:tcBorders>
              <w:top w:val="nil"/>
              <w:left w:val="nil"/>
              <w:bottom w:val="nil"/>
              <w:right w:val="nil"/>
            </w:tcBorders>
            <w:vAlign w:val="center"/>
          </w:tcPr>
          <w:p w14:paraId="486AB3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33</w:t>
            </w:r>
          </w:p>
        </w:tc>
        <w:tc>
          <w:tcPr>
            <w:tcW w:w="1197" w:type="dxa"/>
            <w:tcBorders>
              <w:top w:val="nil"/>
              <w:left w:val="nil"/>
              <w:bottom w:val="nil"/>
              <w:right w:val="nil"/>
            </w:tcBorders>
            <w:vAlign w:val="center"/>
          </w:tcPr>
          <w:p w14:paraId="40630DA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331082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vAlign w:val="center"/>
          </w:tcPr>
          <w:p w14:paraId="1B6C8FB3"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2ED175E8" w14:textId="099BE32B"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34A521B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controlled</w:t>
            </w:r>
          </w:p>
        </w:tc>
        <w:tc>
          <w:tcPr>
            <w:tcW w:w="1055" w:type="dxa"/>
            <w:tcBorders>
              <w:top w:val="nil"/>
              <w:left w:val="nil"/>
              <w:bottom w:val="nil"/>
              <w:right w:val="nil"/>
            </w:tcBorders>
            <w:vAlign w:val="center"/>
          </w:tcPr>
          <w:p w14:paraId="3E0C556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7A35596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6BB3064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37" w:type="dxa"/>
            <w:tcBorders>
              <w:top w:val="nil"/>
              <w:left w:val="nil"/>
              <w:bottom w:val="nil"/>
              <w:right w:val="nil"/>
            </w:tcBorders>
            <w:vAlign w:val="center"/>
          </w:tcPr>
          <w:p w14:paraId="4E05A1F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49248E6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1A76D17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615ED7B4" w14:textId="77777777" w:rsidTr="00867427">
        <w:trPr>
          <w:jc w:val="center"/>
        </w:trPr>
        <w:tc>
          <w:tcPr>
            <w:tcW w:w="1111" w:type="dxa"/>
            <w:tcBorders>
              <w:top w:val="nil"/>
              <w:left w:val="nil"/>
              <w:bottom w:val="nil"/>
              <w:right w:val="nil"/>
            </w:tcBorders>
            <w:shd w:val="clear" w:color="auto" w:fill="FCFCFC"/>
            <w:vAlign w:val="center"/>
          </w:tcPr>
          <w:p w14:paraId="4D8D116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Desai, 2014 [32]</w:t>
            </w:r>
          </w:p>
        </w:tc>
        <w:tc>
          <w:tcPr>
            <w:tcW w:w="433" w:type="dxa"/>
            <w:tcBorders>
              <w:top w:val="nil"/>
              <w:left w:val="nil"/>
              <w:bottom w:val="nil"/>
              <w:right w:val="nil"/>
            </w:tcBorders>
            <w:shd w:val="clear" w:color="auto" w:fill="FCFCFC"/>
            <w:vAlign w:val="center"/>
          </w:tcPr>
          <w:p w14:paraId="37E1FDB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426</w:t>
            </w:r>
          </w:p>
        </w:tc>
        <w:tc>
          <w:tcPr>
            <w:tcW w:w="661" w:type="dxa"/>
            <w:tcBorders>
              <w:top w:val="nil"/>
              <w:left w:val="nil"/>
              <w:bottom w:val="nil"/>
              <w:right w:val="nil"/>
            </w:tcBorders>
            <w:shd w:val="clear" w:color="auto" w:fill="FCFCFC"/>
            <w:vAlign w:val="center"/>
          </w:tcPr>
          <w:p w14:paraId="73CFA9D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44 ± 14</w:t>
            </w:r>
          </w:p>
        </w:tc>
        <w:tc>
          <w:tcPr>
            <w:tcW w:w="409" w:type="dxa"/>
            <w:tcBorders>
              <w:top w:val="nil"/>
              <w:left w:val="nil"/>
              <w:bottom w:val="nil"/>
              <w:right w:val="nil"/>
            </w:tcBorders>
            <w:shd w:val="clear" w:color="auto" w:fill="FCFCFC"/>
            <w:vAlign w:val="center"/>
          </w:tcPr>
          <w:p w14:paraId="00B2FB0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22</w:t>
            </w:r>
          </w:p>
        </w:tc>
        <w:tc>
          <w:tcPr>
            <w:tcW w:w="1197" w:type="dxa"/>
            <w:tcBorders>
              <w:top w:val="nil"/>
              <w:left w:val="nil"/>
              <w:bottom w:val="nil"/>
              <w:right w:val="nil"/>
            </w:tcBorders>
            <w:shd w:val="clear" w:color="auto" w:fill="FCFCFC"/>
            <w:vAlign w:val="center"/>
          </w:tcPr>
          <w:p w14:paraId="6D54899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5F2E539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shd w:val="clear" w:color="auto" w:fill="FCFCFC"/>
            <w:vAlign w:val="center"/>
          </w:tcPr>
          <w:p w14:paraId="0F49E462"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20CB483D" w14:textId="46A7A674"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319F0E5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3DF5488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shd w:val="clear" w:color="auto" w:fill="FCFCFC"/>
            <w:vAlign w:val="center"/>
          </w:tcPr>
          <w:p w14:paraId="05ECAD6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shd w:val="clear" w:color="auto" w:fill="FCFCFC"/>
            <w:vAlign w:val="center"/>
          </w:tcPr>
          <w:p w14:paraId="63C5F98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37" w:type="dxa"/>
            <w:tcBorders>
              <w:top w:val="nil"/>
              <w:left w:val="nil"/>
              <w:bottom w:val="nil"/>
              <w:right w:val="nil"/>
            </w:tcBorders>
            <w:shd w:val="clear" w:color="auto" w:fill="FCFCFC"/>
            <w:vAlign w:val="center"/>
          </w:tcPr>
          <w:p w14:paraId="3D027C1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35F8C9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23A08D7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71838518" w14:textId="77777777" w:rsidTr="00867427">
        <w:trPr>
          <w:jc w:val="center"/>
        </w:trPr>
        <w:tc>
          <w:tcPr>
            <w:tcW w:w="1111" w:type="dxa"/>
            <w:tcBorders>
              <w:top w:val="nil"/>
              <w:left w:val="nil"/>
              <w:bottom w:val="nil"/>
              <w:right w:val="nil"/>
            </w:tcBorders>
            <w:vAlign w:val="center"/>
          </w:tcPr>
          <w:p w14:paraId="0E860250"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Dimitrow</w:t>
            </w:r>
            <w:proofErr w:type="spellEnd"/>
            <w:r w:rsidRPr="00104947">
              <w:rPr>
                <w:color w:val="auto"/>
                <w:sz w:val="16"/>
                <w:szCs w:val="16"/>
              </w:rPr>
              <w:t>, 1996 [33]</w:t>
            </w:r>
          </w:p>
        </w:tc>
        <w:tc>
          <w:tcPr>
            <w:tcW w:w="433" w:type="dxa"/>
            <w:tcBorders>
              <w:top w:val="nil"/>
              <w:left w:val="nil"/>
              <w:bottom w:val="nil"/>
              <w:right w:val="nil"/>
            </w:tcBorders>
            <w:vAlign w:val="center"/>
          </w:tcPr>
          <w:p w14:paraId="46137C7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10</w:t>
            </w:r>
          </w:p>
        </w:tc>
        <w:tc>
          <w:tcPr>
            <w:tcW w:w="661" w:type="dxa"/>
            <w:tcBorders>
              <w:top w:val="nil"/>
              <w:left w:val="nil"/>
              <w:bottom w:val="nil"/>
              <w:right w:val="nil"/>
            </w:tcBorders>
            <w:vAlign w:val="center"/>
          </w:tcPr>
          <w:p w14:paraId="749A02E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37 ± 7</w:t>
            </w:r>
          </w:p>
        </w:tc>
        <w:tc>
          <w:tcPr>
            <w:tcW w:w="409" w:type="dxa"/>
            <w:tcBorders>
              <w:top w:val="nil"/>
              <w:left w:val="nil"/>
              <w:bottom w:val="nil"/>
              <w:right w:val="nil"/>
            </w:tcBorders>
            <w:vAlign w:val="center"/>
          </w:tcPr>
          <w:p w14:paraId="536DF11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1197" w:type="dxa"/>
            <w:tcBorders>
              <w:top w:val="nil"/>
              <w:left w:val="nil"/>
              <w:bottom w:val="nil"/>
              <w:right w:val="nil"/>
            </w:tcBorders>
            <w:vAlign w:val="center"/>
          </w:tcPr>
          <w:p w14:paraId="3BC700C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5C74E08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vAlign w:val="center"/>
          </w:tcPr>
          <w:p w14:paraId="0AD76568"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0459F4A4" w14:textId="0B6150E2"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0A0AF15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Administered</w:t>
            </w:r>
          </w:p>
        </w:tc>
        <w:tc>
          <w:tcPr>
            <w:tcW w:w="1055" w:type="dxa"/>
            <w:tcBorders>
              <w:top w:val="nil"/>
              <w:left w:val="nil"/>
              <w:bottom w:val="nil"/>
              <w:right w:val="nil"/>
            </w:tcBorders>
            <w:vAlign w:val="center"/>
          </w:tcPr>
          <w:p w14:paraId="60D9BEE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w:t>
            </w:r>
          </w:p>
        </w:tc>
        <w:tc>
          <w:tcPr>
            <w:tcW w:w="690" w:type="dxa"/>
            <w:tcBorders>
              <w:top w:val="nil"/>
              <w:left w:val="nil"/>
              <w:bottom w:val="nil"/>
              <w:right w:val="nil"/>
            </w:tcBorders>
            <w:vAlign w:val="center"/>
          </w:tcPr>
          <w:p w14:paraId="1C7D2F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099B13E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1D57822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4127CD1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2EF4699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46BCF38A" w14:textId="77777777" w:rsidTr="00867427">
        <w:trPr>
          <w:jc w:val="center"/>
        </w:trPr>
        <w:tc>
          <w:tcPr>
            <w:tcW w:w="1111" w:type="dxa"/>
            <w:tcBorders>
              <w:top w:val="nil"/>
              <w:left w:val="nil"/>
              <w:bottom w:val="nil"/>
              <w:right w:val="nil"/>
            </w:tcBorders>
            <w:shd w:val="clear" w:color="auto" w:fill="FCFCFC"/>
            <w:vAlign w:val="center"/>
          </w:tcPr>
          <w:p w14:paraId="5D95CF3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Dumont, 2007 [34]</w:t>
            </w:r>
          </w:p>
        </w:tc>
        <w:tc>
          <w:tcPr>
            <w:tcW w:w="433" w:type="dxa"/>
            <w:tcBorders>
              <w:top w:val="nil"/>
              <w:left w:val="nil"/>
              <w:bottom w:val="nil"/>
              <w:right w:val="nil"/>
            </w:tcBorders>
            <w:shd w:val="clear" w:color="auto" w:fill="FCFCFC"/>
            <w:vAlign w:val="center"/>
          </w:tcPr>
          <w:p w14:paraId="573C828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64</w:t>
            </w:r>
          </w:p>
        </w:tc>
        <w:tc>
          <w:tcPr>
            <w:tcW w:w="661" w:type="dxa"/>
            <w:tcBorders>
              <w:top w:val="nil"/>
              <w:left w:val="nil"/>
              <w:bottom w:val="nil"/>
              <w:right w:val="nil"/>
            </w:tcBorders>
            <w:shd w:val="clear" w:color="auto" w:fill="FCFCFC"/>
            <w:vAlign w:val="center"/>
          </w:tcPr>
          <w:p w14:paraId="476811F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51 ± 14</w:t>
            </w:r>
          </w:p>
        </w:tc>
        <w:tc>
          <w:tcPr>
            <w:tcW w:w="409" w:type="dxa"/>
            <w:tcBorders>
              <w:top w:val="nil"/>
              <w:left w:val="nil"/>
              <w:bottom w:val="nil"/>
              <w:right w:val="nil"/>
            </w:tcBorders>
            <w:shd w:val="clear" w:color="auto" w:fill="FCFCFC"/>
            <w:vAlign w:val="center"/>
          </w:tcPr>
          <w:p w14:paraId="7E860EE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33</w:t>
            </w:r>
          </w:p>
        </w:tc>
        <w:tc>
          <w:tcPr>
            <w:tcW w:w="1197" w:type="dxa"/>
            <w:tcBorders>
              <w:top w:val="nil"/>
              <w:left w:val="nil"/>
              <w:bottom w:val="nil"/>
              <w:right w:val="nil"/>
            </w:tcBorders>
            <w:shd w:val="clear" w:color="auto" w:fill="FCFCFC"/>
            <w:vAlign w:val="center"/>
          </w:tcPr>
          <w:p w14:paraId="77F70D3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5BC2A12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shd w:val="clear" w:color="auto" w:fill="FCFCFC"/>
            <w:vAlign w:val="center"/>
          </w:tcPr>
          <w:p w14:paraId="54ADAC49"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25B7592B" w14:textId="5F053A2A"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05E488A3" w14:textId="556BDCAF" w:rsidR="001B672C" w:rsidRPr="00104947" w:rsidRDefault="001B672C" w:rsidP="00B54E50">
            <w:pPr>
              <w:pStyle w:val="MDPI42tablebody"/>
              <w:autoSpaceDE w:val="0"/>
              <w:autoSpaceDN w:val="0"/>
              <w:rPr>
                <w:color w:val="auto"/>
                <w:sz w:val="16"/>
                <w:szCs w:val="16"/>
              </w:rPr>
            </w:pPr>
            <w:r w:rsidRPr="00104947">
              <w:rPr>
                <w:color w:val="auto"/>
                <w:sz w:val="16"/>
                <w:szCs w:val="16"/>
              </w:rPr>
              <w:t>Disc. (72</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shd w:val="clear" w:color="auto" w:fill="FCFCFC"/>
            <w:vAlign w:val="center"/>
          </w:tcPr>
          <w:p w14:paraId="2B5A89A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B601E4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4176ED6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0A7F41B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4F080E0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030DE2A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2D9229CC" w14:textId="77777777" w:rsidTr="008B6A15">
        <w:trPr>
          <w:jc w:val="center"/>
        </w:trPr>
        <w:tc>
          <w:tcPr>
            <w:tcW w:w="1111" w:type="dxa"/>
            <w:tcBorders>
              <w:top w:val="nil"/>
              <w:left w:val="nil"/>
              <w:bottom w:val="nil"/>
              <w:right w:val="nil"/>
            </w:tcBorders>
            <w:vAlign w:val="center"/>
          </w:tcPr>
          <w:p w14:paraId="59D7CAED"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Efthimiadis</w:t>
            </w:r>
            <w:proofErr w:type="spellEnd"/>
            <w:r w:rsidRPr="00104947">
              <w:rPr>
                <w:color w:val="auto"/>
                <w:sz w:val="16"/>
                <w:szCs w:val="16"/>
              </w:rPr>
              <w:t>, 2011 [35]</w:t>
            </w:r>
          </w:p>
        </w:tc>
        <w:tc>
          <w:tcPr>
            <w:tcW w:w="433" w:type="dxa"/>
            <w:tcBorders>
              <w:top w:val="nil"/>
              <w:left w:val="nil"/>
              <w:bottom w:val="nil"/>
              <w:right w:val="nil"/>
            </w:tcBorders>
            <w:vAlign w:val="center"/>
          </w:tcPr>
          <w:p w14:paraId="4690D61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68</w:t>
            </w:r>
          </w:p>
        </w:tc>
        <w:tc>
          <w:tcPr>
            <w:tcW w:w="661" w:type="dxa"/>
            <w:tcBorders>
              <w:top w:val="nil"/>
              <w:left w:val="nil"/>
              <w:bottom w:val="nil"/>
              <w:right w:val="nil"/>
            </w:tcBorders>
            <w:vAlign w:val="center"/>
          </w:tcPr>
          <w:p w14:paraId="3D73059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45 ± 15</w:t>
            </w:r>
          </w:p>
        </w:tc>
        <w:tc>
          <w:tcPr>
            <w:tcW w:w="409" w:type="dxa"/>
            <w:tcBorders>
              <w:top w:val="nil"/>
              <w:left w:val="nil"/>
              <w:bottom w:val="nil"/>
              <w:right w:val="nil"/>
            </w:tcBorders>
            <w:vAlign w:val="center"/>
          </w:tcPr>
          <w:p w14:paraId="00A9DF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34</w:t>
            </w:r>
          </w:p>
        </w:tc>
        <w:tc>
          <w:tcPr>
            <w:tcW w:w="1197" w:type="dxa"/>
            <w:tcBorders>
              <w:top w:val="nil"/>
              <w:left w:val="nil"/>
              <w:bottom w:val="nil"/>
              <w:right w:val="nil"/>
            </w:tcBorders>
            <w:vAlign w:val="center"/>
          </w:tcPr>
          <w:p w14:paraId="1001374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19B396D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vAlign w:val="center"/>
          </w:tcPr>
          <w:p w14:paraId="19AF4E01"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7550308C" w14:textId="086F093A"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20636B8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controlled</w:t>
            </w:r>
          </w:p>
        </w:tc>
        <w:tc>
          <w:tcPr>
            <w:tcW w:w="1055" w:type="dxa"/>
            <w:tcBorders>
              <w:top w:val="nil"/>
              <w:left w:val="nil"/>
              <w:bottom w:val="nil"/>
              <w:right w:val="nil"/>
            </w:tcBorders>
            <w:vAlign w:val="center"/>
          </w:tcPr>
          <w:p w14:paraId="2121C5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27A98CA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2E86112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684DC6C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0ACEF16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400F7F4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239954BB" w14:textId="77777777" w:rsidTr="008B6A15">
        <w:trPr>
          <w:jc w:val="center"/>
        </w:trPr>
        <w:tc>
          <w:tcPr>
            <w:tcW w:w="1111" w:type="dxa"/>
            <w:tcBorders>
              <w:top w:val="nil"/>
              <w:left w:val="nil"/>
              <w:bottom w:val="nil"/>
              <w:right w:val="nil"/>
            </w:tcBorders>
            <w:shd w:val="clear" w:color="auto" w:fill="FCFCFC"/>
            <w:vAlign w:val="center"/>
          </w:tcPr>
          <w:p w14:paraId="5B5A45A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Ferguson, 2016 [36]</w:t>
            </w:r>
          </w:p>
        </w:tc>
        <w:tc>
          <w:tcPr>
            <w:tcW w:w="433" w:type="dxa"/>
            <w:tcBorders>
              <w:top w:val="nil"/>
              <w:left w:val="nil"/>
              <w:bottom w:val="nil"/>
              <w:right w:val="nil"/>
            </w:tcBorders>
            <w:shd w:val="clear" w:color="auto" w:fill="FCFCFC"/>
            <w:vAlign w:val="center"/>
          </w:tcPr>
          <w:p w14:paraId="312E3F7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22</w:t>
            </w:r>
          </w:p>
        </w:tc>
        <w:tc>
          <w:tcPr>
            <w:tcW w:w="661" w:type="dxa"/>
            <w:tcBorders>
              <w:top w:val="nil"/>
              <w:left w:val="nil"/>
              <w:bottom w:val="nil"/>
              <w:right w:val="nil"/>
            </w:tcBorders>
            <w:shd w:val="clear" w:color="auto" w:fill="FCFCFC"/>
            <w:vAlign w:val="center"/>
          </w:tcPr>
          <w:p w14:paraId="56460D2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14 ± 3</w:t>
            </w:r>
          </w:p>
        </w:tc>
        <w:tc>
          <w:tcPr>
            <w:tcW w:w="409" w:type="dxa"/>
            <w:tcBorders>
              <w:top w:val="nil"/>
              <w:left w:val="nil"/>
              <w:bottom w:val="nil"/>
              <w:right w:val="nil"/>
            </w:tcBorders>
            <w:shd w:val="clear" w:color="auto" w:fill="FCFCFC"/>
            <w:vAlign w:val="center"/>
          </w:tcPr>
          <w:p w14:paraId="587459B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44</w:t>
            </w:r>
          </w:p>
        </w:tc>
        <w:tc>
          <w:tcPr>
            <w:tcW w:w="1197" w:type="dxa"/>
            <w:tcBorders>
              <w:top w:val="nil"/>
              <w:left w:val="nil"/>
              <w:bottom w:val="nil"/>
              <w:right w:val="nil"/>
            </w:tcBorders>
            <w:shd w:val="clear" w:color="auto" w:fill="FCFCFC"/>
            <w:vAlign w:val="center"/>
          </w:tcPr>
          <w:p w14:paraId="02A3215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4743E31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shd w:val="clear" w:color="auto" w:fill="FCFCFC"/>
            <w:vAlign w:val="center"/>
          </w:tcPr>
          <w:p w14:paraId="126C08A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shd w:val="clear" w:color="auto" w:fill="FCFCFC"/>
            <w:vAlign w:val="center"/>
          </w:tcPr>
          <w:p w14:paraId="5594E5F4" w14:textId="70557D39"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4C46A2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4CC483F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2A07D5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shd w:val="clear" w:color="auto" w:fill="FCFCFC"/>
            <w:vAlign w:val="center"/>
          </w:tcPr>
          <w:p w14:paraId="09A2EED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4AB1C39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0A939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171534D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0A4BDC44" w14:textId="77777777" w:rsidTr="008B6A15">
        <w:trPr>
          <w:jc w:val="center"/>
        </w:trPr>
        <w:tc>
          <w:tcPr>
            <w:tcW w:w="1111" w:type="dxa"/>
            <w:tcBorders>
              <w:top w:val="nil"/>
              <w:left w:val="nil"/>
              <w:bottom w:val="nil"/>
              <w:right w:val="nil"/>
            </w:tcBorders>
            <w:vAlign w:val="center"/>
          </w:tcPr>
          <w:p w14:paraId="4C5452FD"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Finocchiaro</w:t>
            </w:r>
            <w:proofErr w:type="spellEnd"/>
            <w:r w:rsidRPr="00104947">
              <w:rPr>
                <w:color w:val="auto"/>
                <w:sz w:val="16"/>
                <w:szCs w:val="16"/>
              </w:rPr>
              <w:t>, 2015 [37]</w:t>
            </w:r>
          </w:p>
        </w:tc>
        <w:tc>
          <w:tcPr>
            <w:tcW w:w="433" w:type="dxa"/>
            <w:tcBorders>
              <w:top w:val="nil"/>
              <w:left w:val="nil"/>
              <w:bottom w:val="nil"/>
              <w:right w:val="nil"/>
            </w:tcBorders>
            <w:vAlign w:val="center"/>
          </w:tcPr>
          <w:p w14:paraId="5A00919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156</w:t>
            </w:r>
          </w:p>
        </w:tc>
        <w:tc>
          <w:tcPr>
            <w:tcW w:w="661" w:type="dxa"/>
            <w:tcBorders>
              <w:top w:val="nil"/>
              <w:left w:val="nil"/>
              <w:bottom w:val="nil"/>
              <w:right w:val="nil"/>
            </w:tcBorders>
            <w:vAlign w:val="center"/>
          </w:tcPr>
          <w:p w14:paraId="62DD69D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51 ± 14</w:t>
            </w:r>
          </w:p>
        </w:tc>
        <w:tc>
          <w:tcPr>
            <w:tcW w:w="409" w:type="dxa"/>
            <w:tcBorders>
              <w:top w:val="nil"/>
              <w:left w:val="nil"/>
              <w:bottom w:val="nil"/>
              <w:right w:val="nil"/>
            </w:tcBorders>
            <w:vAlign w:val="center"/>
          </w:tcPr>
          <w:p w14:paraId="6331B10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w:t>
            </w:r>
          </w:p>
        </w:tc>
        <w:tc>
          <w:tcPr>
            <w:tcW w:w="1197" w:type="dxa"/>
            <w:tcBorders>
              <w:top w:val="nil"/>
              <w:left w:val="nil"/>
              <w:bottom w:val="nil"/>
              <w:right w:val="nil"/>
            </w:tcBorders>
            <w:vAlign w:val="center"/>
          </w:tcPr>
          <w:p w14:paraId="0461FAB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3DDB304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1CD783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12EF27E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7BD9813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623FB1D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409747D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06AB29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6F69570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373DDC8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5B41E71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19BC84C2" w14:textId="77777777" w:rsidTr="00867427">
        <w:trPr>
          <w:jc w:val="center"/>
        </w:trPr>
        <w:tc>
          <w:tcPr>
            <w:tcW w:w="1111" w:type="dxa"/>
            <w:tcBorders>
              <w:top w:val="nil"/>
              <w:left w:val="nil"/>
              <w:bottom w:val="nil"/>
              <w:right w:val="nil"/>
            </w:tcBorders>
            <w:shd w:val="clear" w:color="auto" w:fill="FCFCFC"/>
            <w:vAlign w:val="center"/>
          </w:tcPr>
          <w:p w14:paraId="1B4DCDEF"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Frenneaux</w:t>
            </w:r>
            <w:proofErr w:type="spellEnd"/>
            <w:r w:rsidRPr="00104947">
              <w:rPr>
                <w:color w:val="auto"/>
                <w:sz w:val="16"/>
                <w:szCs w:val="16"/>
              </w:rPr>
              <w:t>, 1989 [38]</w:t>
            </w:r>
          </w:p>
        </w:tc>
        <w:tc>
          <w:tcPr>
            <w:tcW w:w="433" w:type="dxa"/>
            <w:tcBorders>
              <w:top w:val="nil"/>
              <w:left w:val="nil"/>
              <w:bottom w:val="nil"/>
              <w:right w:val="nil"/>
            </w:tcBorders>
            <w:shd w:val="clear" w:color="auto" w:fill="FCFCFC"/>
            <w:vAlign w:val="center"/>
          </w:tcPr>
          <w:p w14:paraId="12E20A4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23</w:t>
            </w:r>
          </w:p>
        </w:tc>
        <w:tc>
          <w:tcPr>
            <w:tcW w:w="661" w:type="dxa"/>
            <w:tcBorders>
              <w:top w:val="nil"/>
              <w:left w:val="nil"/>
              <w:bottom w:val="nil"/>
              <w:right w:val="nil"/>
            </w:tcBorders>
            <w:shd w:val="clear" w:color="auto" w:fill="FCFCFC"/>
            <w:vAlign w:val="center"/>
          </w:tcPr>
          <w:p w14:paraId="04B08E4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30</w:t>
            </w:r>
          </w:p>
        </w:tc>
        <w:tc>
          <w:tcPr>
            <w:tcW w:w="409" w:type="dxa"/>
            <w:tcBorders>
              <w:top w:val="nil"/>
              <w:left w:val="nil"/>
              <w:bottom w:val="nil"/>
              <w:right w:val="nil"/>
            </w:tcBorders>
            <w:shd w:val="clear" w:color="auto" w:fill="FCFCFC"/>
            <w:vAlign w:val="center"/>
          </w:tcPr>
          <w:p w14:paraId="044ED66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39</w:t>
            </w:r>
          </w:p>
        </w:tc>
        <w:tc>
          <w:tcPr>
            <w:tcW w:w="1197" w:type="dxa"/>
            <w:tcBorders>
              <w:top w:val="nil"/>
              <w:left w:val="nil"/>
              <w:bottom w:val="nil"/>
              <w:right w:val="nil"/>
            </w:tcBorders>
            <w:shd w:val="clear" w:color="auto" w:fill="FCFCFC"/>
            <w:vAlign w:val="center"/>
          </w:tcPr>
          <w:p w14:paraId="5F84892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7A8FA06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shd w:val="clear" w:color="auto" w:fill="FCFCFC"/>
            <w:vAlign w:val="center"/>
          </w:tcPr>
          <w:p w14:paraId="7309381A"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43BA2F90" w14:textId="389C1B52"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58BF735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43B99EA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307A39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171C94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37" w:type="dxa"/>
            <w:tcBorders>
              <w:top w:val="nil"/>
              <w:left w:val="nil"/>
              <w:bottom w:val="nil"/>
              <w:right w:val="nil"/>
            </w:tcBorders>
            <w:shd w:val="clear" w:color="auto" w:fill="FCFCFC"/>
            <w:vAlign w:val="center"/>
          </w:tcPr>
          <w:p w14:paraId="3E68A4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shd w:val="clear" w:color="auto" w:fill="FCFCFC"/>
            <w:vAlign w:val="center"/>
          </w:tcPr>
          <w:p w14:paraId="4F81135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25CF38A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6E09CC90" w14:textId="77777777" w:rsidTr="00867427">
        <w:trPr>
          <w:jc w:val="center"/>
        </w:trPr>
        <w:tc>
          <w:tcPr>
            <w:tcW w:w="1111" w:type="dxa"/>
            <w:tcBorders>
              <w:top w:val="nil"/>
              <w:left w:val="nil"/>
              <w:bottom w:val="nil"/>
              <w:right w:val="nil"/>
            </w:tcBorders>
            <w:vAlign w:val="center"/>
          </w:tcPr>
          <w:p w14:paraId="703DBB2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Ghiselli, 2019 [39]</w:t>
            </w:r>
          </w:p>
        </w:tc>
        <w:tc>
          <w:tcPr>
            <w:tcW w:w="433" w:type="dxa"/>
            <w:tcBorders>
              <w:top w:val="nil"/>
              <w:left w:val="nil"/>
              <w:bottom w:val="nil"/>
              <w:right w:val="nil"/>
            </w:tcBorders>
            <w:vAlign w:val="center"/>
          </w:tcPr>
          <w:p w14:paraId="0B41953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292</w:t>
            </w:r>
          </w:p>
        </w:tc>
        <w:tc>
          <w:tcPr>
            <w:tcW w:w="661" w:type="dxa"/>
            <w:tcBorders>
              <w:top w:val="nil"/>
              <w:left w:val="nil"/>
              <w:bottom w:val="nil"/>
              <w:right w:val="nil"/>
            </w:tcBorders>
            <w:vAlign w:val="center"/>
          </w:tcPr>
          <w:p w14:paraId="6E074FD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46 ± 16</w:t>
            </w:r>
          </w:p>
        </w:tc>
        <w:tc>
          <w:tcPr>
            <w:tcW w:w="409" w:type="dxa"/>
            <w:tcBorders>
              <w:top w:val="nil"/>
              <w:left w:val="nil"/>
              <w:bottom w:val="nil"/>
              <w:right w:val="nil"/>
            </w:tcBorders>
            <w:vAlign w:val="center"/>
          </w:tcPr>
          <w:p w14:paraId="298F405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28</w:t>
            </w:r>
          </w:p>
        </w:tc>
        <w:tc>
          <w:tcPr>
            <w:tcW w:w="1197" w:type="dxa"/>
            <w:tcBorders>
              <w:top w:val="nil"/>
              <w:left w:val="nil"/>
              <w:bottom w:val="nil"/>
              <w:right w:val="nil"/>
            </w:tcBorders>
            <w:vAlign w:val="center"/>
          </w:tcPr>
          <w:p w14:paraId="77A494BC"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Semisup</w:t>
            </w:r>
            <w:proofErr w:type="spellEnd"/>
            <w:r w:rsidRPr="00104947">
              <w:rPr>
                <w:color w:val="auto"/>
                <w:sz w:val="16"/>
                <w:szCs w:val="16"/>
              </w:rPr>
              <w:t xml:space="preserve"> CE</w:t>
            </w:r>
          </w:p>
        </w:tc>
        <w:tc>
          <w:tcPr>
            <w:tcW w:w="622" w:type="dxa"/>
            <w:tcBorders>
              <w:top w:val="nil"/>
              <w:left w:val="nil"/>
              <w:bottom w:val="nil"/>
              <w:right w:val="nil"/>
            </w:tcBorders>
            <w:vAlign w:val="center"/>
          </w:tcPr>
          <w:p w14:paraId="7FEADA8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6FCEF63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vAlign w:val="center"/>
          </w:tcPr>
          <w:p w14:paraId="71C86F39" w14:textId="039497B6"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315FD66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44B1925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vAlign w:val="center"/>
          </w:tcPr>
          <w:p w14:paraId="6B47509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29ECAEC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37" w:type="dxa"/>
            <w:tcBorders>
              <w:top w:val="nil"/>
              <w:left w:val="nil"/>
              <w:bottom w:val="nil"/>
              <w:right w:val="nil"/>
            </w:tcBorders>
            <w:vAlign w:val="center"/>
          </w:tcPr>
          <w:p w14:paraId="77F9684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3623164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7B1BA15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r>
      <w:tr w:rsidR="00B54E50" w:rsidRPr="00104947" w14:paraId="015480CB" w14:textId="77777777" w:rsidTr="00867427">
        <w:trPr>
          <w:jc w:val="center"/>
        </w:trPr>
        <w:tc>
          <w:tcPr>
            <w:tcW w:w="1111" w:type="dxa"/>
            <w:tcBorders>
              <w:top w:val="nil"/>
              <w:left w:val="nil"/>
              <w:bottom w:val="nil"/>
              <w:right w:val="nil"/>
            </w:tcBorders>
            <w:shd w:val="clear" w:color="auto" w:fill="FCFCFC"/>
            <w:vAlign w:val="center"/>
          </w:tcPr>
          <w:p w14:paraId="08F9AC9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Ha, 2005 [40]</w:t>
            </w:r>
          </w:p>
        </w:tc>
        <w:tc>
          <w:tcPr>
            <w:tcW w:w="433" w:type="dxa"/>
            <w:tcBorders>
              <w:top w:val="nil"/>
              <w:left w:val="nil"/>
              <w:bottom w:val="nil"/>
              <w:right w:val="nil"/>
            </w:tcBorders>
            <w:shd w:val="clear" w:color="auto" w:fill="FCFCFC"/>
            <w:vAlign w:val="center"/>
          </w:tcPr>
          <w:p w14:paraId="6D60106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29</w:t>
            </w:r>
          </w:p>
        </w:tc>
        <w:tc>
          <w:tcPr>
            <w:tcW w:w="661" w:type="dxa"/>
            <w:tcBorders>
              <w:top w:val="nil"/>
              <w:left w:val="nil"/>
              <w:bottom w:val="nil"/>
              <w:right w:val="nil"/>
            </w:tcBorders>
            <w:shd w:val="clear" w:color="auto" w:fill="FCFCFC"/>
            <w:vAlign w:val="center"/>
          </w:tcPr>
          <w:p w14:paraId="1962F6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57 ± 10</w:t>
            </w:r>
          </w:p>
        </w:tc>
        <w:tc>
          <w:tcPr>
            <w:tcW w:w="409" w:type="dxa"/>
            <w:tcBorders>
              <w:top w:val="nil"/>
              <w:left w:val="nil"/>
              <w:bottom w:val="nil"/>
              <w:right w:val="nil"/>
            </w:tcBorders>
            <w:shd w:val="clear" w:color="auto" w:fill="FCFCFC"/>
            <w:vAlign w:val="center"/>
          </w:tcPr>
          <w:p w14:paraId="0486EDA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16</w:t>
            </w:r>
          </w:p>
        </w:tc>
        <w:tc>
          <w:tcPr>
            <w:tcW w:w="1197" w:type="dxa"/>
            <w:tcBorders>
              <w:top w:val="nil"/>
              <w:left w:val="nil"/>
              <w:bottom w:val="nil"/>
              <w:right w:val="nil"/>
            </w:tcBorders>
            <w:shd w:val="clear" w:color="auto" w:fill="FCFCFC"/>
            <w:vAlign w:val="center"/>
          </w:tcPr>
          <w:p w14:paraId="4758D73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Supine CE</w:t>
            </w:r>
          </w:p>
        </w:tc>
        <w:tc>
          <w:tcPr>
            <w:tcW w:w="622" w:type="dxa"/>
            <w:tcBorders>
              <w:top w:val="nil"/>
              <w:left w:val="nil"/>
              <w:bottom w:val="nil"/>
              <w:right w:val="nil"/>
            </w:tcBorders>
            <w:shd w:val="clear" w:color="auto" w:fill="FCFCFC"/>
            <w:vAlign w:val="center"/>
          </w:tcPr>
          <w:p w14:paraId="3645633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shd w:val="clear" w:color="auto" w:fill="FCFCFC"/>
            <w:vAlign w:val="center"/>
          </w:tcPr>
          <w:p w14:paraId="1EFC606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shd w:val="clear" w:color="auto" w:fill="FCFCFC"/>
            <w:vAlign w:val="center"/>
          </w:tcPr>
          <w:p w14:paraId="530BB320" w14:textId="1304058F"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02E3ACB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w:t>
            </w:r>
          </w:p>
        </w:tc>
        <w:tc>
          <w:tcPr>
            <w:tcW w:w="1055" w:type="dxa"/>
            <w:tcBorders>
              <w:top w:val="nil"/>
              <w:left w:val="nil"/>
              <w:bottom w:val="nil"/>
              <w:right w:val="nil"/>
            </w:tcBorders>
            <w:shd w:val="clear" w:color="auto" w:fill="FCFCFC"/>
            <w:vAlign w:val="center"/>
          </w:tcPr>
          <w:p w14:paraId="7364C2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shd w:val="clear" w:color="auto" w:fill="FCFCFC"/>
            <w:vAlign w:val="center"/>
          </w:tcPr>
          <w:p w14:paraId="7B870EF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0756999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204FDB3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3299121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3557B8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00223568" w14:textId="77777777" w:rsidTr="00867427">
        <w:trPr>
          <w:jc w:val="center"/>
        </w:trPr>
        <w:tc>
          <w:tcPr>
            <w:tcW w:w="1111" w:type="dxa"/>
            <w:tcBorders>
              <w:top w:val="nil"/>
              <w:left w:val="nil"/>
              <w:bottom w:val="nil"/>
              <w:right w:val="nil"/>
            </w:tcBorders>
            <w:vAlign w:val="center"/>
          </w:tcPr>
          <w:p w14:paraId="21DDAB3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Hernández, 2015 [41]</w:t>
            </w:r>
          </w:p>
        </w:tc>
        <w:tc>
          <w:tcPr>
            <w:tcW w:w="433" w:type="dxa"/>
            <w:tcBorders>
              <w:top w:val="nil"/>
              <w:left w:val="nil"/>
              <w:bottom w:val="nil"/>
              <w:right w:val="nil"/>
            </w:tcBorders>
            <w:vAlign w:val="center"/>
          </w:tcPr>
          <w:p w14:paraId="4FFE0AB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40</w:t>
            </w:r>
          </w:p>
        </w:tc>
        <w:tc>
          <w:tcPr>
            <w:tcW w:w="661" w:type="dxa"/>
            <w:tcBorders>
              <w:top w:val="nil"/>
              <w:left w:val="nil"/>
              <w:bottom w:val="nil"/>
              <w:right w:val="nil"/>
            </w:tcBorders>
            <w:vAlign w:val="center"/>
          </w:tcPr>
          <w:p w14:paraId="5FECDFA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55 ± 12</w:t>
            </w:r>
          </w:p>
        </w:tc>
        <w:tc>
          <w:tcPr>
            <w:tcW w:w="409" w:type="dxa"/>
            <w:tcBorders>
              <w:top w:val="nil"/>
              <w:left w:val="nil"/>
              <w:bottom w:val="nil"/>
              <w:right w:val="nil"/>
            </w:tcBorders>
            <w:vAlign w:val="center"/>
          </w:tcPr>
          <w:p w14:paraId="1D4C3C5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36</w:t>
            </w:r>
          </w:p>
        </w:tc>
        <w:tc>
          <w:tcPr>
            <w:tcW w:w="1197" w:type="dxa"/>
            <w:tcBorders>
              <w:top w:val="nil"/>
              <w:left w:val="nil"/>
              <w:bottom w:val="nil"/>
              <w:right w:val="nil"/>
            </w:tcBorders>
            <w:vAlign w:val="center"/>
          </w:tcPr>
          <w:p w14:paraId="10B3C46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5B8355E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vAlign w:val="center"/>
          </w:tcPr>
          <w:p w14:paraId="588248C4"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192E719B" w14:textId="295604DB"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25C8F81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vAlign w:val="center"/>
          </w:tcPr>
          <w:p w14:paraId="29E2475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vAlign w:val="center"/>
          </w:tcPr>
          <w:p w14:paraId="68D7F5A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3FF6E23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7D51A28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3FD4547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4FB8D07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248A7BB8" w14:textId="77777777" w:rsidTr="00867427">
        <w:trPr>
          <w:jc w:val="center"/>
        </w:trPr>
        <w:tc>
          <w:tcPr>
            <w:tcW w:w="1111" w:type="dxa"/>
            <w:tcBorders>
              <w:top w:val="nil"/>
              <w:left w:val="nil"/>
              <w:bottom w:val="nil"/>
              <w:right w:val="nil"/>
            </w:tcBorders>
            <w:shd w:val="clear" w:color="auto" w:fill="FCFCFC"/>
            <w:vAlign w:val="center"/>
          </w:tcPr>
          <w:p w14:paraId="3B6797E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Jones, 1998 [42]</w:t>
            </w:r>
          </w:p>
        </w:tc>
        <w:tc>
          <w:tcPr>
            <w:tcW w:w="433" w:type="dxa"/>
            <w:tcBorders>
              <w:top w:val="nil"/>
              <w:left w:val="nil"/>
              <w:bottom w:val="nil"/>
              <w:right w:val="nil"/>
            </w:tcBorders>
            <w:shd w:val="clear" w:color="auto" w:fill="FCFCFC"/>
            <w:vAlign w:val="center"/>
          </w:tcPr>
          <w:p w14:paraId="103B001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50</w:t>
            </w:r>
          </w:p>
        </w:tc>
        <w:tc>
          <w:tcPr>
            <w:tcW w:w="661" w:type="dxa"/>
            <w:tcBorders>
              <w:top w:val="nil"/>
              <w:left w:val="nil"/>
              <w:bottom w:val="nil"/>
              <w:right w:val="nil"/>
            </w:tcBorders>
            <w:shd w:val="clear" w:color="auto" w:fill="FCFCFC"/>
            <w:vAlign w:val="center"/>
          </w:tcPr>
          <w:p w14:paraId="42802B2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35 ± 14</w:t>
            </w:r>
          </w:p>
        </w:tc>
        <w:tc>
          <w:tcPr>
            <w:tcW w:w="409" w:type="dxa"/>
            <w:tcBorders>
              <w:top w:val="nil"/>
              <w:left w:val="nil"/>
              <w:bottom w:val="nil"/>
              <w:right w:val="nil"/>
            </w:tcBorders>
            <w:shd w:val="clear" w:color="auto" w:fill="FCFCFC"/>
            <w:vAlign w:val="center"/>
          </w:tcPr>
          <w:p w14:paraId="4A056AF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30</w:t>
            </w:r>
          </w:p>
        </w:tc>
        <w:tc>
          <w:tcPr>
            <w:tcW w:w="1197" w:type="dxa"/>
            <w:tcBorders>
              <w:top w:val="nil"/>
              <w:left w:val="nil"/>
              <w:bottom w:val="nil"/>
              <w:right w:val="nil"/>
            </w:tcBorders>
            <w:shd w:val="clear" w:color="auto" w:fill="FCFCFC"/>
            <w:vAlign w:val="center"/>
          </w:tcPr>
          <w:p w14:paraId="4CE544B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128B240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shd w:val="clear" w:color="auto" w:fill="FCFCFC"/>
            <w:vAlign w:val="center"/>
          </w:tcPr>
          <w:p w14:paraId="7EF14BA5"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5–15</w:t>
            </w:r>
            <w:r w:rsidR="001B672C" w:rsidRPr="00104947">
              <w:rPr>
                <w:color w:val="auto"/>
                <w:sz w:val="16"/>
                <w:szCs w:val="16"/>
              </w:rPr>
              <w:t xml:space="preserve"> W</w:t>
            </w:r>
          </w:p>
        </w:tc>
        <w:tc>
          <w:tcPr>
            <w:tcW w:w="575" w:type="dxa"/>
            <w:tcBorders>
              <w:top w:val="nil"/>
              <w:left w:val="nil"/>
              <w:bottom w:val="nil"/>
              <w:right w:val="nil"/>
            </w:tcBorders>
            <w:shd w:val="clear" w:color="auto" w:fill="FCFCFC"/>
            <w:vAlign w:val="center"/>
          </w:tcPr>
          <w:p w14:paraId="09F000DD" w14:textId="31B53332"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575DE4F1" w14:textId="25FDF826" w:rsidR="001B672C" w:rsidRPr="00104947" w:rsidRDefault="001B672C" w:rsidP="00B54E50">
            <w:pPr>
              <w:pStyle w:val="MDPI42tablebody"/>
              <w:autoSpaceDE w:val="0"/>
              <w:autoSpaceDN w:val="0"/>
              <w:rPr>
                <w:color w:val="auto"/>
                <w:sz w:val="16"/>
                <w:szCs w:val="16"/>
              </w:rPr>
            </w:pPr>
            <w:r w:rsidRPr="00104947">
              <w:rPr>
                <w:color w:val="auto"/>
                <w:sz w:val="16"/>
                <w:szCs w:val="16"/>
              </w:rPr>
              <w:t>Disc. (48</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shd w:val="clear" w:color="auto" w:fill="FCFCFC"/>
            <w:vAlign w:val="center"/>
          </w:tcPr>
          <w:p w14:paraId="4824D66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84219F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2AEBE05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3609625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10F429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59" w:type="dxa"/>
            <w:tcBorders>
              <w:top w:val="nil"/>
              <w:left w:val="nil"/>
              <w:bottom w:val="nil"/>
              <w:right w:val="nil"/>
            </w:tcBorders>
            <w:shd w:val="clear" w:color="auto" w:fill="FCFCFC"/>
            <w:vAlign w:val="center"/>
          </w:tcPr>
          <w:p w14:paraId="617A1B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2107E75F" w14:textId="77777777" w:rsidTr="00867427">
        <w:trPr>
          <w:jc w:val="center"/>
        </w:trPr>
        <w:tc>
          <w:tcPr>
            <w:tcW w:w="1111" w:type="dxa"/>
            <w:tcBorders>
              <w:top w:val="nil"/>
              <w:left w:val="nil"/>
              <w:bottom w:val="nil"/>
              <w:right w:val="nil"/>
            </w:tcBorders>
            <w:vAlign w:val="center"/>
          </w:tcPr>
          <w:p w14:paraId="6FB9044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Kim, 2004 [43]</w:t>
            </w:r>
          </w:p>
        </w:tc>
        <w:tc>
          <w:tcPr>
            <w:tcW w:w="433" w:type="dxa"/>
            <w:tcBorders>
              <w:top w:val="nil"/>
              <w:left w:val="nil"/>
              <w:bottom w:val="nil"/>
              <w:right w:val="nil"/>
            </w:tcBorders>
            <w:vAlign w:val="center"/>
          </w:tcPr>
          <w:p w14:paraId="27E7029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21</w:t>
            </w:r>
          </w:p>
        </w:tc>
        <w:tc>
          <w:tcPr>
            <w:tcW w:w="661" w:type="dxa"/>
            <w:tcBorders>
              <w:top w:val="nil"/>
              <w:left w:val="nil"/>
              <w:bottom w:val="nil"/>
              <w:right w:val="nil"/>
            </w:tcBorders>
            <w:vAlign w:val="center"/>
          </w:tcPr>
          <w:p w14:paraId="645B6E8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49 ± 15</w:t>
            </w:r>
          </w:p>
        </w:tc>
        <w:tc>
          <w:tcPr>
            <w:tcW w:w="409" w:type="dxa"/>
            <w:tcBorders>
              <w:top w:val="nil"/>
              <w:left w:val="nil"/>
              <w:bottom w:val="nil"/>
              <w:right w:val="nil"/>
            </w:tcBorders>
            <w:vAlign w:val="center"/>
          </w:tcPr>
          <w:p w14:paraId="22AC7E8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43</w:t>
            </w:r>
          </w:p>
        </w:tc>
        <w:tc>
          <w:tcPr>
            <w:tcW w:w="1197" w:type="dxa"/>
            <w:tcBorders>
              <w:top w:val="nil"/>
              <w:left w:val="nil"/>
              <w:bottom w:val="nil"/>
              <w:right w:val="nil"/>
            </w:tcBorders>
            <w:vAlign w:val="center"/>
          </w:tcPr>
          <w:p w14:paraId="4E7DAA3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45F82F9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vAlign w:val="center"/>
          </w:tcPr>
          <w:p w14:paraId="5D476AE2"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17DC3992" w14:textId="506486EF"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769944D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Administered</w:t>
            </w:r>
          </w:p>
        </w:tc>
        <w:tc>
          <w:tcPr>
            <w:tcW w:w="1055" w:type="dxa"/>
            <w:tcBorders>
              <w:top w:val="nil"/>
              <w:left w:val="nil"/>
              <w:bottom w:val="nil"/>
              <w:right w:val="nil"/>
            </w:tcBorders>
            <w:vAlign w:val="center"/>
          </w:tcPr>
          <w:p w14:paraId="70F3E6A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57E4144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63EB5EA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579C267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1C7C29E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62603C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2E89E33B" w14:textId="77777777" w:rsidTr="008B6A15">
        <w:trPr>
          <w:jc w:val="center"/>
        </w:trPr>
        <w:tc>
          <w:tcPr>
            <w:tcW w:w="1111" w:type="dxa"/>
            <w:tcBorders>
              <w:top w:val="nil"/>
              <w:left w:val="nil"/>
              <w:bottom w:val="nil"/>
              <w:right w:val="nil"/>
            </w:tcBorders>
            <w:shd w:val="clear" w:color="auto" w:fill="FCFCFC"/>
            <w:vAlign w:val="center"/>
          </w:tcPr>
          <w:p w14:paraId="4743FBE1"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Kitaoka</w:t>
            </w:r>
            <w:proofErr w:type="spellEnd"/>
            <w:r w:rsidRPr="00104947">
              <w:rPr>
                <w:color w:val="auto"/>
                <w:sz w:val="16"/>
                <w:szCs w:val="16"/>
              </w:rPr>
              <w:t>, 2009 [44]</w:t>
            </w:r>
          </w:p>
        </w:tc>
        <w:tc>
          <w:tcPr>
            <w:tcW w:w="433" w:type="dxa"/>
            <w:tcBorders>
              <w:top w:val="nil"/>
              <w:left w:val="nil"/>
              <w:bottom w:val="nil"/>
              <w:right w:val="nil"/>
            </w:tcBorders>
            <w:shd w:val="clear" w:color="auto" w:fill="FCFCFC"/>
            <w:vAlign w:val="center"/>
          </w:tcPr>
          <w:p w14:paraId="1622D4D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31</w:t>
            </w:r>
          </w:p>
        </w:tc>
        <w:tc>
          <w:tcPr>
            <w:tcW w:w="661" w:type="dxa"/>
            <w:tcBorders>
              <w:top w:val="nil"/>
              <w:left w:val="nil"/>
              <w:bottom w:val="nil"/>
              <w:right w:val="nil"/>
            </w:tcBorders>
            <w:shd w:val="clear" w:color="auto" w:fill="FCFCFC"/>
            <w:vAlign w:val="center"/>
          </w:tcPr>
          <w:p w14:paraId="514ADC8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17</w:t>
            </w:r>
          </w:p>
        </w:tc>
        <w:tc>
          <w:tcPr>
            <w:tcW w:w="409" w:type="dxa"/>
            <w:tcBorders>
              <w:top w:val="nil"/>
              <w:left w:val="nil"/>
              <w:bottom w:val="nil"/>
              <w:right w:val="nil"/>
            </w:tcBorders>
            <w:shd w:val="clear" w:color="auto" w:fill="FCFCFC"/>
            <w:vAlign w:val="center"/>
          </w:tcPr>
          <w:p w14:paraId="3FFAB38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35</w:t>
            </w:r>
          </w:p>
        </w:tc>
        <w:tc>
          <w:tcPr>
            <w:tcW w:w="1197" w:type="dxa"/>
            <w:tcBorders>
              <w:top w:val="nil"/>
              <w:left w:val="nil"/>
              <w:bottom w:val="nil"/>
              <w:right w:val="nil"/>
            </w:tcBorders>
            <w:shd w:val="clear" w:color="auto" w:fill="FCFCFC"/>
            <w:vAlign w:val="center"/>
          </w:tcPr>
          <w:p w14:paraId="0FC7353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6852392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shd w:val="clear" w:color="auto" w:fill="FCFCFC"/>
            <w:vAlign w:val="center"/>
          </w:tcPr>
          <w:p w14:paraId="35677E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15 W</w:t>
            </w:r>
          </w:p>
        </w:tc>
        <w:tc>
          <w:tcPr>
            <w:tcW w:w="575" w:type="dxa"/>
            <w:tcBorders>
              <w:top w:val="nil"/>
              <w:left w:val="nil"/>
              <w:bottom w:val="nil"/>
              <w:right w:val="nil"/>
            </w:tcBorders>
            <w:shd w:val="clear" w:color="auto" w:fill="FCFCFC"/>
            <w:vAlign w:val="center"/>
          </w:tcPr>
          <w:p w14:paraId="5E76C067" w14:textId="042D8BF8"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0CC006C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3DD11EE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1A9BE54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69B8A33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6B59A86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99E5F3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7BB6CAA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246D77AF" w14:textId="77777777" w:rsidTr="008B6A15">
        <w:trPr>
          <w:jc w:val="center"/>
        </w:trPr>
        <w:tc>
          <w:tcPr>
            <w:tcW w:w="1111" w:type="dxa"/>
            <w:tcBorders>
              <w:top w:val="nil"/>
              <w:left w:val="nil"/>
              <w:bottom w:val="nil"/>
              <w:right w:val="nil"/>
            </w:tcBorders>
            <w:vAlign w:val="center"/>
          </w:tcPr>
          <w:p w14:paraId="7ADF117E"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Kjaergaard</w:t>
            </w:r>
            <w:proofErr w:type="spellEnd"/>
            <w:r w:rsidRPr="00104947">
              <w:rPr>
                <w:color w:val="auto"/>
                <w:sz w:val="16"/>
                <w:szCs w:val="16"/>
              </w:rPr>
              <w:t>, 2005 [45]</w:t>
            </w:r>
          </w:p>
        </w:tc>
        <w:tc>
          <w:tcPr>
            <w:tcW w:w="433" w:type="dxa"/>
            <w:tcBorders>
              <w:top w:val="nil"/>
              <w:left w:val="nil"/>
              <w:bottom w:val="nil"/>
              <w:right w:val="nil"/>
            </w:tcBorders>
            <w:vAlign w:val="center"/>
          </w:tcPr>
          <w:p w14:paraId="5AAEFE6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99</w:t>
            </w:r>
          </w:p>
        </w:tc>
        <w:tc>
          <w:tcPr>
            <w:tcW w:w="661" w:type="dxa"/>
            <w:tcBorders>
              <w:top w:val="nil"/>
              <w:left w:val="nil"/>
              <w:bottom w:val="nil"/>
              <w:right w:val="nil"/>
            </w:tcBorders>
            <w:vAlign w:val="center"/>
          </w:tcPr>
          <w:p w14:paraId="06631B3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49 ± 15</w:t>
            </w:r>
          </w:p>
        </w:tc>
        <w:tc>
          <w:tcPr>
            <w:tcW w:w="409" w:type="dxa"/>
            <w:tcBorders>
              <w:top w:val="nil"/>
              <w:left w:val="nil"/>
              <w:bottom w:val="nil"/>
              <w:right w:val="nil"/>
            </w:tcBorders>
            <w:vAlign w:val="center"/>
          </w:tcPr>
          <w:p w14:paraId="2318371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34</w:t>
            </w:r>
          </w:p>
        </w:tc>
        <w:tc>
          <w:tcPr>
            <w:tcW w:w="1197" w:type="dxa"/>
            <w:tcBorders>
              <w:top w:val="nil"/>
              <w:left w:val="nil"/>
              <w:bottom w:val="nil"/>
              <w:right w:val="nil"/>
            </w:tcBorders>
            <w:vAlign w:val="center"/>
          </w:tcPr>
          <w:p w14:paraId="73056D7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3244D2A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mph</w:t>
            </w:r>
          </w:p>
        </w:tc>
        <w:tc>
          <w:tcPr>
            <w:tcW w:w="673" w:type="dxa"/>
            <w:tcBorders>
              <w:top w:val="nil"/>
              <w:left w:val="nil"/>
              <w:bottom w:val="nil"/>
              <w:right w:val="nil"/>
            </w:tcBorders>
            <w:vAlign w:val="center"/>
          </w:tcPr>
          <w:p w14:paraId="155256D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w:t>
            </w:r>
          </w:p>
        </w:tc>
        <w:tc>
          <w:tcPr>
            <w:tcW w:w="575" w:type="dxa"/>
            <w:tcBorders>
              <w:top w:val="nil"/>
              <w:left w:val="nil"/>
              <w:bottom w:val="nil"/>
              <w:right w:val="nil"/>
            </w:tcBorders>
            <w:vAlign w:val="center"/>
          </w:tcPr>
          <w:p w14:paraId="12DB4257" w14:textId="7FE21989"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008CC63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339D182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2CB55B4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447B8B7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52A2668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418" w:type="dxa"/>
            <w:tcBorders>
              <w:top w:val="nil"/>
              <w:left w:val="nil"/>
              <w:bottom w:val="nil"/>
              <w:right w:val="nil"/>
            </w:tcBorders>
            <w:vAlign w:val="center"/>
          </w:tcPr>
          <w:p w14:paraId="3B4428C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40DE1F8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2D33E14E" w14:textId="77777777" w:rsidTr="008B6A15">
        <w:trPr>
          <w:jc w:val="center"/>
        </w:trPr>
        <w:tc>
          <w:tcPr>
            <w:tcW w:w="1111" w:type="dxa"/>
            <w:tcBorders>
              <w:top w:val="nil"/>
              <w:left w:val="nil"/>
              <w:bottom w:val="nil"/>
              <w:right w:val="nil"/>
            </w:tcBorders>
            <w:shd w:val="clear" w:color="auto" w:fill="FCFCFC"/>
            <w:vAlign w:val="center"/>
          </w:tcPr>
          <w:p w14:paraId="16953A09"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Konecny</w:t>
            </w:r>
            <w:proofErr w:type="spellEnd"/>
            <w:r w:rsidRPr="00104947">
              <w:rPr>
                <w:color w:val="auto"/>
                <w:sz w:val="16"/>
                <w:szCs w:val="16"/>
              </w:rPr>
              <w:t>, 2015 [46]</w:t>
            </w:r>
          </w:p>
        </w:tc>
        <w:tc>
          <w:tcPr>
            <w:tcW w:w="433" w:type="dxa"/>
            <w:tcBorders>
              <w:top w:val="nil"/>
              <w:left w:val="nil"/>
              <w:bottom w:val="nil"/>
              <w:right w:val="nil"/>
            </w:tcBorders>
            <w:shd w:val="clear" w:color="auto" w:fill="FCFCFC"/>
            <w:vAlign w:val="center"/>
          </w:tcPr>
          <w:p w14:paraId="75E02D5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198</w:t>
            </w:r>
          </w:p>
        </w:tc>
        <w:tc>
          <w:tcPr>
            <w:tcW w:w="661" w:type="dxa"/>
            <w:tcBorders>
              <w:top w:val="nil"/>
              <w:left w:val="nil"/>
              <w:bottom w:val="nil"/>
              <w:right w:val="nil"/>
            </w:tcBorders>
            <w:shd w:val="clear" w:color="auto" w:fill="FCFCFC"/>
            <w:vAlign w:val="center"/>
          </w:tcPr>
          <w:p w14:paraId="3438DDD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53 ± 16</w:t>
            </w:r>
          </w:p>
        </w:tc>
        <w:tc>
          <w:tcPr>
            <w:tcW w:w="409" w:type="dxa"/>
            <w:tcBorders>
              <w:top w:val="nil"/>
              <w:left w:val="nil"/>
              <w:bottom w:val="nil"/>
              <w:right w:val="nil"/>
            </w:tcBorders>
            <w:shd w:val="clear" w:color="auto" w:fill="FCFCFC"/>
            <w:vAlign w:val="center"/>
          </w:tcPr>
          <w:p w14:paraId="04A35C9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w:t>
            </w:r>
          </w:p>
        </w:tc>
        <w:tc>
          <w:tcPr>
            <w:tcW w:w="1197" w:type="dxa"/>
            <w:tcBorders>
              <w:top w:val="nil"/>
              <w:left w:val="nil"/>
              <w:bottom w:val="nil"/>
              <w:right w:val="nil"/>
            </w:tcBorders>
            <w:shd w:val="clear" w:color="auto" w:fill="FCFCFC"/>
            <w:vAlign w:val="center"/>
          </w:tcPr>
          <w:p w14:paraId="0A2404B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22D6B87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M</w:t>
            </w:r>
          </w:p>
        </w:tc>
        <w:tc>
          <w:tcPr>
            <w:tcW w:w="673" w:type="dxa"/>
            <w:tcBorders>
              <w:top w:val="nil"/>
              <w:left w:val="nil"/>
              <w:bottom w:val="nil"/>
              <w:right w:val="nil"/>
            </w:tcBorders>
            <w:shd w:val="clear" w:color="auto" w:fill="FCFCFC"/>
            <w:vAlign w:val="center"/>
          </w:tcPr>
          <w:p w14:paraId="226FF6C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M</w:t>
            </w:r>
          </w:p>
        </w:tc>
        <w:tc>
          <w:tcPr>
            <w:tcW w:w="575" w:type="dxa"/>
            <w:tcBorders>
              <w:top w:val="nil"/>
              <w:left w:val="nil"/>
              <w:bottom w:val="nil"/>
              <w:right w:val="nil"/>
            </w:tcBorders>
            <w:shd w:val="clear" w:color="auto" w:fill="FCFCFC"/>
            <w:vAlign w:val="center"/>
          </w:tcPr>
          <w:p w14:paraId="3C5B6E63" w14:textId="6A9EA2A3"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shd w:val="clear" w:color="auto" w:fill="FCFCFC"/>
            <w:vAlign w:val="center"/>
          </w:tcPr>
          <w:p w14:paraId="1AA69EF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052E0D48" w14:textId="77777777" w:rsidR="001B672C" w:rsidRPr="00104947" w:rsidRDefault="001B672C" w:rsidP="00B54E50">
            <w:pPr>
              <w:pStyle w:val="MDPI42tablebody"/>
              <w:autoSpaceDE w:val="0"/>
              <w:autoSpaceDN w:val="0"/>
              <w:rPr>
                <w:color w:val="auto"/>
                <w:sz w:val="16"/>
                <w:szCs w:val="16"/>
              </w:rPr>
            </w:pPr>
            <w:proofErr w:type="spellStart"/>
            <w:proofErr w:type="gramStart"/>
            <w:r w:rsidRPr="00104947">
              <w:rPr>
                <w:color w:val="auto"/>
                <w:sz w:val="16"/>
                <w:szCs w:val="16"/>
              </w:rPr>
              <w:t>DM,∑</w:t>
            </w:r>
            <w:proofErr w:type="gramEnd"/>
            <w:r w:rsidRPr="00104947">
              <w:rPr>
                <w:color w:val="auto"/>
                <w:sz w:val="16"/>
                <w:szCs w:val="16"/>
              </w:rPr>
              <w:t>skinfold</w:t>
            </w:r>
            <w:proofErr w:type="spellEnd"/>
          </w:p>
        </w:tc>
        <w:tc>
          <w:tcPr>
            <w:tcW w:w="690" w:type="dxa"/>
            <w:tcBorders>
              <w:top w:val="nil"/>
              <w:left w:val="nil"/>
              <w:bottom w:val="nil"/>
              <w:right w:val="nil"/>
            </w:tcBorders>
            <w:shd w:val="clear" w:color="auto" w:fill="FCFCFC"/>
            <w:vAlign w:val="center"/>
          </w:tcPr>
          <w:p w14:paraId="52C02D9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31A0E62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04AAFF4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F10F43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38764B4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1DB02177" w14:textId="77777777" w:rsidTr="00867427">
        <w:trPr>
          <w:jc w:val="center"/>
        </w:trPr>
        <w:tc>
          <w:tcPr>
            <w:tcW w:w="1111" w:type="dxa"/>
            <w:tcBorders>
              <w:top w:val="nil"/>
              <w:left w:val="nil"/>
              <w:bottom w:val="nil"/>
              <w:right w:val="nil"/>
            </w:tcBorders>
            <w:vAlign w:val="center"/>
          </w:tcPr>
          <w:p w14:paraId="3A572B6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Lafitte, 2013 [47]</w:t>
            </w:r>
          </w:p>
        </w:tc>
        <w:tc>
          <w:tcPr>
            <w:tcW w:w="433" w:type="dxa"/>
            <w:tcBorders>
              <w:top w:val="nil"/>
              <w:left w:val="nil"/>
              <w:bottom w:val="nil"/>
              <w:right w:val="nil"/>
            </w:tcBorders>
            <w:vAlign w:val="center"/>
          </w:tcPr>
          <w:p w14:paraId="3D27EB0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107</w:t>
            </w:r>
          </w:p>
        </w:tc>
        <w:tc>
          <w:tcPr>
            <w:tcW w:w="661" w:type="dxa"/>
            <w:tcBorders>
              <w:top w:val="nil"/>
              <w:left w:val="nil"/>
              <w:bottom w:val="nil"/>
              <w:right w:val="nil"/>
            </w:tcBorders>
            <w:vAlign w:val="center"/>
          </w:tcPr>
          <w:p w14:paraId="3F6F32C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15</w:t>
            </w:r>
          </w:p>
        </w:tc>
        <w:tc>
          <w:tcPr>
            <w:tcW w:w="409" w:type="dxa"/>
            <w:tcBorders>
              <w:top w:val="nil"/>
              <w:left w:val="nil"/>
              <w:bottom w:val="nil"/>
              <w:right w:val="nil"/>
            </w:tcBorders>
            <w:vAlign w:val="center"/>
          </w:tcPr>
          <w:p w14:paraId="27FB8C4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33</w:t>
            </w:r>
          </w:p>
        </w:tc>
        <w:tc>
          <w:tcPr>
            <w:tcW w:w="1197" w:type="dxa"/>
            <w:tcBorders>
              <w:top w:val="nil"/>
              <w:left w:val="nil"/>
              <w:bottom w:val="nil"/>
              <w:right w:val="nil"/>
            </w:tcBorders>
            <w:vAlign w:val="center"/>
          </w:tcPr>
          <w:p w14:paraId="78406789"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Semisup</w:t>
            </w:r>
            <w:proofErr w:type="spellEnd"/>
            <w:r w:rsidRPr="00104947">
              <w:rPr>
                <w:color w:val="auto"/>
                <w:sz w:val="16"/>
                <w:szCs w:val="16"/>
              </w:rPr>
              <w:t xml:space="preserve"> CE</w:t>
            </w:r>
          </w:p>
        </w:tc>
        <w:tc>
          <w:tcPr>
            <w:tcW w:w="622" w:type="dxa"/>
            <w:tcBorders>
              <w:top w:val="nil"/>
              <w:left w:val="nil"/>
              <w:bottom w:val="nil"/>
              <w:right w:val="nil"/>
            </w:tcBorders>
            <w:vAlign w:val="center"/>
          </w:tcPr>
          <w:p w14:paraId="59D0EF6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3F7C126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15DB2C8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1446E2A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7E70C97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47EE0D6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12844E2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78B6268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7EF1AB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184EAF8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190ED236" w14:textId="77777777" w:rsidTr="00867427">
        <w:trPr>
          <w:jc w:val="center"/>
        </w:trPr>
        <w:tc>
          <w:tcPr>
            <w:tcW w:w="1111" w:type="dxa"/>
            <w:tcBorders>
              <w:top w:val="nil"/>
              <w:left w:val="nil"/>
              <w:bottom w:val="nil"/>
              <w:right w:val="nil"/>
            </w:tcBorders>
            <w:shd w:val="clear" w:color="auto" w:fill="FCFCFC"/>
            <w:vAlign w:val="center"/>
          </w:tcPr>
          <w:p w14:paraId="090082C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Larsen, 2018 [48]</w:t>
            </w:r>
          </w:p>
        </w:tc>
        <w:tc>
          <w:tcPr>
            <w:tcW w:w="433" w:type="dxa"/>
            <w:tcBorders>
              <w:top w:val="nil"/>
              <w:left w:val="nil"/>
              <w:bottom w:val="nil"/>
              <w:right w:val="nil"/>
            </w:tcBorders>
            <w:shd w:val="clear" w:color="auto" w:fill="FCFCFC"/>
            <w:vAlign w:val="center"/>
          </w:tcPr>
          <w:p w14:paraId="73A6277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510</w:t>
            </w:r>
          </w:p>
        </w:tc>
        <w:tc>
          <w:tcPr>
            <w:tcW w:w="661" w:type="dxa"/>
            <w:tcBorders>
              <w:top w:val="nil"/>
              <w:left w:val="nil"/>
              <w:bottom w:val="nil"/>
              <w:right w:val="nil"/>
            </w:tcBorders>
            <w:shd w:val="clear" w:color="auto" w:fill="FCFCFC"/>
            <w:vAlign w:val="center"/>
          </w:tcPr>
          <w:p w14:paraId="4845074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51 ± 15</w:t>
            </w:r>
          </w:p>
        </w:tc>
        <w:tc>
          <w:tcPr>
            <w:tcW w:w="409" w:type="dxa"/>
            <w:tcBorders>
              <w:top w:val="nil"/>
              <w:left w:val="nil"/>
              <w:bottom w:val="nil"/>
              <w:right w:val="nil"/>
            </w:tcBorders>
            <w:shd w:val="clear" w:color="auto" w:fill="FCFCFC"/>
            <w:vAlign w:val="center"/>
          </w:tcPr>
          <w:p w14:paraId="1B34086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36</w:t>
            </w:r>
          </w:p>
        </w:tc>
        <w:tc>
          <w:tcPr>
            <w:tcW w:w="1197" w:type="dxa"/>
            <w:tcBorders>
              <w:top w:val="nil"/>
              <w:left w:val="nil"/>
              <w:bottom w:val="nil"/>
              <w:right w:val="nil"/>
            </w:tcBorders>
            <w:shd w:val="clear" w:color="auto" w:fill="FCFCFC"/>
            <w:vAlign w:val="center"/>
          </w:tcPr>
          <w:p w14:paraId="36323AD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40074C0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shd w:val="clear" w:color="auto" w:fill="FCFCFC"/>
            <w:vAlign w:val="center"/>
          </w:tcPr>
          <w:p w14:paraId="72FB814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w:t>
            </w:r>
          </w:p>
        </w:tc>
        <w:tc>
          <w:tcPr>
            <w:tcW w:w="575" w:type="dxa"/>
            <w:tcBorders>
              <w:top w:val="nil"/>
              <w:left w:val="nil"/>
              <w:bottom w:val="nil"/>
              <w:right w:val="nil"/>
            </w:tcBorders>
            <w:shd w:val="clear" w:color="auto" w:fill="FCFCFC"/>
            <w:vAlign w:val="center"/>
          </w:tcPr>
          <w:p w14:paraId="359C56FE" w14:textId="331CBE51"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shd w:val="clear" w:color="auto" w:fill="FCFCFC"/>
            <w:vAlign w:val="center"/>
          </w:tcPr>
          <w:p w14:paraId="49C2170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w:t>
            </w:r>
          </w:p>
        </w:tc>
        <w:tc>
          <w:tcPr>
            <w:tcW w:w="1055" w:type="dxa"/>
            <w:tcBorders>
              <w:top w:val="nil"/>
              <w:left w:val="nil"/>
              <w:bottom w:val="nil"/>
              <w:right w:val="nil"/>
            </w:tcBorders>
            <w:shd w:val="clear" w:color="auto" w:fill="FCFCFC"/>
            <w:vAlign w:val="center"/>
          </w:tcPr>
          <w:p w14:paraId="35FA4FB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5ED0259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723E3DE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58DAE93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132CD4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74F93FB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4F26260B" w14:textId="77777777" w:rsidTr="00867427">
        <w:trPr>
          <w:jc w:val="center"/>
        </w:trPr>
        <w:tc>
          <w:tcPr>
            <w:tcW w:w="1111" w:type="dxa"/>
            <w:tcBorders>
              <w:top w:val="nil"/>
              <w:left w:val="nil"/>
              <w:bottom w:val="nil"/>
              <w:right w:val="nil"/>
            </w:tcBorders>
            <w:vAlign w:val="center"/>
          </w:tcPr>
          <w:p w14:paraId="68A31D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lastRenderedPageBreak/>
              <w:t>Le, 2009 [49]</w:t>
            </w:r>
          </w:p>
        </w:tc>
        <w:tc>
          <w:tcPr>
            <w:tcW w:w="433" w:type="dxa"/>
            <w:tcBorders>
              <w:top w:val="nil"/>
              <w:left w:val="nil"/>
              <w:bottom w:val="nil"/>
              <w:right w:val="nil"/>
            </w:tcBorders>
            <w:vAlign w:val="center"/>
          </w:tcPr>
          <w:p w14:paraId="549DBDA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63</w:t>
            </w:r>
          </w:p>
        </w:tc>
        <w:tc>
          <w:tcPr>
            <w:tcW w:w="661" w:type="dxa"/>
            <w:tcBorders>
              <w:top w:val="nil"/>
              <w:left w:val="nil"/>
              <w:bottom w:val="nil"/>
              <w:right w:val="nil"/>
            </w:tcBorders>
            <w:vAlign w:val="center"/>
          </w:tcPr>
          <w:p w14:paraId="4282AD2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48 ± 15</w:t>
            </w:r>
          </w:p>
        </w:tc>
        <w:tc>
          <w:tcPr>
            <w:tcW w:w="409" w:type="dxa"/>
            <w:tcBorders>
              <w:top w:val="nil"/>
              <w:left w:val="nil"/>
              <w:bottom w:val="nil"/>
              <w:right w:val="nil"/>
            </w:tcBorders>
            <w:vAlign w:val="center"/>
          </w:tcPr>
          <w:p w14:paraId="2A389A9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28</w:t>
            </w:r>
          </w:p>
        </w:tc>
        <w:tc>
          <w:tcPr>
            <w:tcW w:w="1197" w:type="dxa"/>
            <w:tcBorders>
              <w:top w:val="nil"/>
              <w:left w:val="nil"/>
              <w:bottom w:val="nil"/>
              <w:right w:val="nil"/>
            </w:tcBorders>
            <w:vAlign w:val="center"/>
          </w:tcPr>
          <w:p w14:paraId="588E5C6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687BD04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70F327F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3B50EA3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2A366F3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05564B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w:t>
            </w:r>
          </w:p>
        </w:tc>
        <w:tc>
          <w:tcPr>
            <w:tcW w:w="690" w:type="dxa"/>
            <w:tcBorders>
              <w:top w:val="nil"/>
              <w:left w:val="nil"/>
              <w:bottom w:val="nil"/>
              <w:right w:val="nil"/>
            </w:tcBorders>
            <w:vAlign w:val="center"/>
          </w:tcPr>
          <w:p w14:paraId="5A9C681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3D52F3D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37" w:type="dxa"/>
            <w:tcBorders>
              <w:top w:val="nil"/>
              <w:left w:val="nil"/>
              <w:bottom w:val="nil"/>
              <w:right w:val="nil"/>
            </w:tcBorders>
            <w:vAlign w:val="center"/>
          </w:tcPr>
          <w:p w14:paraId="3261F1C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728605C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1A97DDD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1CF01565" w14:textId="77777777" w:rsidTr="00867427">
        <w:trPr>
          <w:jc w:val="center"/>
        </w:trPr>
        <w:tc>
          <w:tcPr>
            <w:tcW w:w="1111" w:type="dxa"/>
            <w:tcBorders>
              <w:top w:val="nil"/>
              <w:left w:val="nil"/>
              <w:bottom w:val="nil"/>
              <w:right w:val="nil"/>
            </w:tcBorders>
            <w:shd w:val="clear" w:color="auto" w:fill="FCFCFC"/>
            <w:vAlign w:val="center"/>
          </w:tcPr>
          <w:p w14:paraId="058E62E5"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Lele</w:t>
            </w:r>
            <w:proofErr w:type="spellEnd"/>
            <w:r w:rsidRPr="00104947">
              <w:rPr>
                <w:color w:val="auto"/>
                <w:sz w:val="16"/>
                <w:szCs w:val="16"/>
              </w:rPr>
              <w:t>, 1995 [50]</w:t>
            </w:r>
          </w:p>
        </w:tc>
        <w:tc>
          <w:tcPr>
            <w:tcW w:w="433" w:type="dxa"/>
            <w:tcBorders>
              <w:top w:val="nil"/>
              <w:left w:val="nil"/>
              <w:bottom w:val="nil"/>
              <w:right w:val="nil"/>
            </w:tcBorders>
            <w:shd w:val="clear" w:color="auto" w:fill="FCFCFC"/>
            <w:vAlign w:val="center"/>
          </w:tcPr>
          <w:p w14:paraId="427498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23</w:t>
            </w:r>
          </w:p>
        </w:tc>
        <w:tc>
          <w:tcPr>
            <w:tcW w:w="661" w:type="dxa"/>
            <w:tcBorders>
              <w:top w:val="nil"/>
              <w:left w:val="nil"/>
              <w:bottom w:val="nil"/>
              <w:right w:val="nil"/>
            </w:tcBorders>
            <w:shd w:val="clear" w:color="auto" w:fill="FCFCFC"/>
            <w:vAlign w:val="center"/>
          </w:tcPr>
          <w:p w14:paraId="0DFAE32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30</w:t>
            </w:r>
          </w:p>
        </w:tc>
        <w:tc>
          <w:tcPr>
            <w:tcW w:w="409" w:type="dxa"/>
            <w:tcBorders>
              <w:top w:val="nil"/>
              <w:left w:val="nil"/>
              <w:bottom w:val="nil"/>
              <w:right w:val="nil"/>
            </w:tcBorders>
            <w:shd w:val="clear" w:color="auto" w:fill="FCFCFC"/>
            <w:vAlign w:val="center"/>
          </w:tcPr>
          <w:p w14:paraId="6CE9F9C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39</w:t>
            </w:r>
          </w:p>
        </w:tc>
        <w:tc>
          <w:tcPr>
            <w:tcW w:w="1197" w:type="dxa"/>
            <w:tcBorders>
              <w:top w:val="nil"/>
              <w:left w:val="nil"/>
              <w:bottom w:val="nil"/>
              <w:right w:val="nil"/>
            </w:tcBorders>
            <w:shd w:val="clear" w:color="auto" w:fill="FCFCFC"/>
            <w:vAlign w:val="center"/>
          </w:tcPr>
          <w:p w14:paraId="671F5B18"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SupC+Tread</w:t>
            </w:r>
            <w:proofErr w:type="spellEnd"/>
          </w:p>
        </w:tc>
        <w:tc>
          <w:tcPr>
            <w:tcW w:w="622" w:type="dxa"/>
            <w:tcBorders>
              <w:top w:val="nil"/>
              <w:left w:val="nil"/>
              <w:bottom w:val="nil"/>
              <w:right w:val="nil"/>
            </w:tcBorders>
            <w:shd w:val="clear" w:color="auto" w:fill="FCFCFC"/>
            <w:vAlign w:val="center"/>
          </w:tcPr>
          <w:p w14:paraId="38F69CD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shd w:val="clear" w:color="auto" w:fill="FCFCFC"/>
            <w:vAlign w:val="center"/>
          </w:tcPr>
          <w:p w14:paraId="67EB6D8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12.5 W</w:t>
            </w:r>
          </w:p>
        </w:tc>
        <w:tc>
          <w:tcPr>
            <w:tcW w:w="575" w:type="dxa"/>
            <w:tcBorders>
              <w:top w:val="nil"/>
              <w:left w:val="nil"/>
              <w:bottom w:val="nil"/>
              <w:right w:val="nil"/>
            </w:tcBorders>
            <w:shd w:val="clear" w:color="auto" w:fill="FCFCFC"/>
            <w:vAlign w:val="center"/>
          </w:tcPr>
          <w:p w14:paraId="4DD6695A" w14:textId="4567AFAD"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35948533" w14:textId="1B2583BA"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Discont</w:t>
            </w:r>
            <w:proofErr w:type="spellEnd"/>
            <w:r w:rsidRPr="00104947">
              <w:rPr>
                <w:color w:val="auto"/>
                <w:sz w:val="16"/>
                <w:szCs w:val="16"/>
              </w:rPr>
              <w:t>. (120</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shd w:val="clear" w:color="auto" w:fill="FCFCFC"/>
            <w:vAlign w:val="center"/>
          </w:tcPr>
          <w:p w14:paraId="1DC6D7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70500C5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49F6176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00EDCF3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shd w:val="clear" w:color="auto" w:fill="FCFCFC"/>
            <w:vAlign w:val="center"/>
          </w:tcPr>
          <w:p w14:paraId="3E3385A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599AA67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r>
      <w:tr w:rsidR="00B54E50" w:rsidRPr="00104947" w14:paraId="4A8766BC" w14:textId="77777777" w:rsidTr="00867427">
        <w:trPr>
          <w:jc w:val="center"/>
        </w:trPr>
        <w:tc>
          <w:tcPr>
            <w:tcW w:w="1111" w:type="dxa"/>
            <w:tcBorders>
              <w:top w:val="nil"/>
              <w:left w:val="nil"/>
              <w:bottom w:val="nil"/>
              <w:right w:val="nil"/>
            </w:tcBorders>
            <w:vAlign w:val="center"/>
          </w:tcPr>
          <w:p w14:paraId="41717D16"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Lösse</w:t>
            </w:r>
            <w:proofErr w:type="spellEnd"/>
            <w:r w:rsidRPr="00104947">
              <w:rPr>
                <w:color w:val="auto"/>
                <w:sz w:val="16"/>
                <w:szCs w:val="16"/>
              </w:rPr>
              <w:t>, 1983 [51]</w:t>
            </w:r>
          </w:p>
        </w:tc>
        <w:tc>
          <w:tcPr>
            <w:tcW w:w="433" w:type="dxa"/>
            <w:tcBorders>
              <w:top w:val="nil"/>
              <w:left w:val="nil"/>
              <w:bottom w:val="nil"/>
              <w:right w:val="nil"/>
            </w:tcBorders>
            <w:vAlign w:val="center"/>
          </w:tcPr>
          <w:p w14:paraId="39D8941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122</w:t>
            </w:r>
          </w:p>
        </w:tc>
        <w:tc>
          <w:tcPr>
            <w:tcW w:w="661" w:type="dxa"/>
            <w:tcBorders>
              <w:top w:val="nil"/>
              <w:left w:val="nil"/>
              <w:bottom w:val="nil"/>
              <w:right w:val="nil"/>
            </w:tcBorders>
            <w:vAlign w:val="center"/>
          </w:tcPr>
          <w:p w14:paraId="44B589F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42 ± 3</w:t>
            </w:r>
          </w:p>
        </w:tc>
        <w:tc>
          <w:tcPr>
            <w:tcW w:w="409" w:type="dxa"/>
            <w:tcBorders>
              <w:top w:val="nil"/>
              <w:left w:val="nil"/>
              <w:bottom w:val="nil"/>
              <w:right w:val="nil"/>
            </w:tcBorders>
            <w:vAlign w:val="center"/>
          </w:tcPr>
          <w:p w14:paraId="037BE77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1197" w:type="dxa"/>
            <w:tcBorders>
              <w:top w:val="nil"/>
              <w:left w:val="nil"/>
              <w:bottom w:val="nil"/>
              <w:right w:val="nil"/>
            </w:tcBorders>
            <w:vAlign w:val="center"/>
          </w:tcPr>
          <w:p w14:paraId="436B5B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Supine CE</w:t>
            </w:r>
          </w:p>
        </w:tc>
        <w:tc>
          <w:tcPr>
            <w:tcW w:w="622" w:type="dxa"/>
            <w:tcBorders>
              <w:top w:val="nil"/>
              <w:left w:val="nil"/>
              <w:bottom w:val="nil"/>
              <w:right w:val="nil"/>
            </w:tcBorders>
            <w:vAlign w:val="center"/>
          </w:tcPr>
          <w:p w14:paraId="08B3816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6978E7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5E5B95D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7A90E87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Administered</w:t>
            </w:r>
          </w:p>
        </w:tc>
        <w:tc>
          <w:tcPr>
            <w:tcW w:w="1055" w:type="dxa"/>
            <w:tcBorders>
              <w:top w:val="nil"/>
              <w:left w:val="nil"/>
              <w:bottom w:val="nil"/>
              <w:right w:val="nil"/>
            </w:tcBorders>
            <w:vAlign w:val="center"/>
          </w:tcPr>
          <w:p w14:paraId="2434263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7FAB74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6F8F457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666A1D3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vAlign w:val="center"/>
          </w:tcPr>
          <w:p w14:paraId="0FF069A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15110F5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204DE79E" w14:textId="77777777" w:rsidTr="00867427">
        <w:trPr>
          <w:jc w:val="center"/>
        </w:trPr>
        <w:tc>
          <w:tcPr>
            <w:tcW w:w="1111" w:type="dxa"/>
            <w:tcBorders>
              <w:top w:val="nil"/>
              <w:left w:val="nil"/>
              <w:bottom w:val="nil"/>
              <w:right w:val="nil"/>
            </w:tcBorders>
            <w:shd w:val="clear" w:color="auto" w:fill="FCFCFC"/>
            <w:vAlign w:val="center"/>
          </w:tcPr>
          <w:p w14:paraId="477D0F1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Luo, 2015 [52]</w:t>
            </w:r>
          </w:p>
        </w:tc>
        <w:tc>
          <w:tcPr>
            <w:tcW w:w="433" w:type="dxa"/>
            <w:tcBorders>
              <w:top w:val="nil"/>
              <w:left w:val="nil"/>
              <w:bottom w:val="nil"/>
              <w:right w:val="nil"/>
            </w:tcBorders>
            <w:shd w:val="clear" w:color="auto" w:fill="FCFCFC"/>
            <w:vAlign w:val="center"/>
          </w:tcPr>
          <w:p w14:paraId="23B9BD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273</w:t>
            </w:r>
          </w:p>
        </w:tc>
        <w:tc>
          <w:tcPr>
            <w:tcW w:w="661" w:type="dxa"/>
            <w:tcBorders>
              <w:top w:val="nil"/>
              <w:left w:val="nil"/>
              <w:bottom w:val="nil"/>
              <w:right w:val="nil"/>
            </w:tcBorders>
            <w:shd w:val="clear" w:color="auto" w:fill="FCFCFC"/>
            <w:vAlign w:val="center"/>
          </w:tcPr>
          <w:p w14:paraId="27967C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50 ± 15</w:t>
            </w:r>
          </w:p>
        </w:tc>
        <w:tc>
          <w:tcPr>
            <w:tcW w:w="409" w:type="dxa"/>
            <w:tcBorders>
              <w:top w:val="nil"/>
              <w:left w:val="nil"/>
              <w:bottom w:val="nil"/>
              <w:right w:val="nil"/>
            </w:tcBorders>
            <w:shd w:val="clear" w:color="auto" w:fill="FCFCFC"/>
            <w:vAlign w:val="center"/>
          </w:tcPr>
          <w:p w14:paraId="5339FAB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30</w:t>
            </w:r>
          </w:p>
        </w:tc>
        <w:tc>
          <w:tcPr>
            <w:tcW w:w="1197" w:type="dxa"/>
            <w:tcBorders>
              <w:top w:val="nil"/>
              <w:left w:val="nil"/>
              <w:bottom w:val="nil"/>
              <w:right w:val="nil"/>
            </w:tcBorders>
            <w:shd w:val="clear" w:color="auto" w:fill="FCFCFC"/>
            <w:vAlign w:val="center"/>
          </w:tcPr>
          <w:p w14:paraId="7253768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06F7CAA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shd w:val="clear" w:color="auto" w:fill="FCFCFC"/>
            <w:vAlign w:val="center"/>
          </w:tcPr>
          <w:p w14:paraId="6B272563"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57D23F4C" w14:textId="54DACB01"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37D33C0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shd w:val="clear" w:color="auto" w:fill="FCFCFC"/>
            <w:vAlign w:val="center"/>
          </w:tcPr>
          <w:p w14:paraId="3DB27DD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039325E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shd w:val="clear" w:color="auto" w:fill="FCFCFC"/>
            <w:vAlign w:val="center"/>
          </w:tcPr>
          <w:p w14:paraId="3F23007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3CD5A96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BCFA10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1761DC5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7016B617" w14:textId="77777777" w:rsidTr="00867427">
        <w:trPr>
          <w:jc w:val="center"/>
        </w:trPr>
        <w:tc>
          <w:tcPr>
            <w:tcW w:w="1111" w:type="dxa"/>
            <w:tcBorders>
              <w:top w:val="nil"/>
              <w:left w:val="nil"/>
              <w:bottom w:val="nil"/>
              <w:right w:val="nil"/>
            </w:tcBorders>
            <w:vAlign w:val="center"/>
          </w:tcPr>
          <w:p w14:paraId="67BB6A3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Ma, 2014 [53]</w:t>
            </w:r>
          </w:p>
        </w:tc>
        <w:tc>
          <w:tcPr>
            <w:tcW w:w="433" w:type="dxa"/>
            <w:tcBorders>
              <w:top w:val="nil"/>
              <w:left w:val="nil"/>
              <w:bottom w:val="nil"/>
              <w:right w:val="nil"/>
            </w:tcBorders>
            <w:vAlign w:val="center"/>
          </w:tcPr>
          <w:p w14:paraId="1BE6CD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w:t>
            </w:r>
          </w:p>
        </w:tc>
        <w:tc>
          <w:tcPr>
            <w:tcW w:w="661" w:type="dxa"/>
            <w:tcBorders>
              <w:top w:val="nil"/>
              <w:left w:val="nil"/>
              <w:bottom w:val="nil"/>
              <w:right w:val="nil"/>
            </w:tcBorders>
            <w:vAlign w:val="center"/>
          </w:tcPr>
          <w:p w14:paraId="006D057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54 ± 12</w:t>
            </w:r>
          </w:p>
        </w:tc>
        <w:tc>
          <w:tcPr>
            <w:tcW w:w="409" w:type="dxa"/>
            <w:tcBorders>
              <w:top w:val="nil"/>
              <w:left w:val="nil"/>
              <w:bottom w:val="nil"/>
              <w:right w:val="nil"/>
            </w:tcBorders>
            <w:vAlign w:val="center"/>
          </w:tcPr>
          <w:p w14:paraId="7177991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42</w:t>
            </w:r>
          </w:p>
        </w:tc>
        <w:tc>
          <w:tcPr>
            <w:tcW w:w="1197" w:type="dxa"/>
            <w:tcBorders>
              <w:top w:val="nil"/>
              <w:left w:val="nil"/>
              <w:bottom w:val="nil"/>
              <w:right w:val="nil"/>
            </w:tcBorders>
            <w:vAlign w:val="center"/>
          </w:tcPr>
          <w:p w14:paraId="1439190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6D81980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vAlign w:val="center"/>
          </w:tcPr>
          <w:p w14:paraId="1FB21BC3"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0EDFCBCE" w14:textId="7D24D524"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3A9A47A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vAlign w:val="center"/>
          </w:tcPr>
          <w:p w14:paraId="4BBB6C6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vAlign w:val="center"/>
          </w:tcPr>
          <w:p w14:paraId="703B18CA" w14:textId="77777777" w:rsidR="001B672C" w:rsidRPr="00104947" w:rsidRDefault="001B672C" w:rsidP="00B54E50">
            <w:pPr>
              <w:pStyle w:val="MDPI42tablebody"/>
              <w:autoSpaceDE w:val="0"/>
              <w:autoSpaceDN w:val="0"/>
              <w:rPr>
                <w:color w:val="auto"/>
                <w:sz w:val="16"/>
                <w:szCs w:val="16"/>
              </w:rPr>
            </w:pPr>
            <w:proofErr w:type="spellStart"/>
            <w:proofErr w:type="gramStart"/>
            <w:r w:rsidRPr="00104947">
              <w:rPr>
                <w:color w:val="auto"/>
                <w:sz w:val="16"/>
                <w:szCs w:val="16"/>
              </w:rPr>
              <w:t>BL,Out</w:t>
            </w:r>
            <w:proofErr w:type="spellEnd"/>
            <w:proofErr w:type="gramEnd"/>
          </w:p>
        </w:tc>
        <w:tc>
          <w:tcPr>
            <w:tcW w:w="690" w:type="dxa"/>
            <w:tcBorders>
              <w:top w:val="nil"/>
              <w:left w:val="nil"/>
              <w:bottom w:val="nil"/>
              <w:right w:val="nil"/>
            </w:tcBorders>
            <w:vAlign w:val="center"/>
          </w:tcPr>
          <w:p w14:paraId="2632E802" w14:textId="77777777" w:rsidR="001B672C" w:rsidRPr="00104947" w:rsidRDefault="001B672C" w:rsidP="00B54E50">
            <w:pPr>
              <w:pStyle w:val="MDPI42tablebody"/>
              <w:autoSpaceDE w:val="0"/>
              <w:autoSpaceDN w:val="0"/>
              <w:rPr>
                <w:color w:val="auto"/>
                <w:sz w:val="16"/>
                <w:szCs w:val="16"/>
              </w:rPr>
            </w:pPr>
            <w:proofErr w:type="spellStart"/>
            <w:proofErr w:type="gramStart"/>
            <w:r w:rsidRPr="00104947">
              <w:rPr>
                <w:color w:val="auto"/>
                <w:sz w:val="16"/>
                <w:szCs w:val="16"/>
              </w:rPr>
              <w:t>BL,Out</w:t>
            </w:r>
            <w:proofErr w:type="spellEnd"/>
            <w:proofErr w:type="gramEnd"/>
          </w:p>
        </w:tc>
        <w:tc>
          <w:tcPr>
            <w:tcW w:w="637" w:type="dxa"/>
            <w:tcBorders>
              <w:top w:val="nil"/>
              <w:left w:val="nil"/>
              <w:bottom w:val="nil"/>
              <w:right w:val="nil"/>
            </w:tcBorders>
            <w:vAlign w:val="center"/>
          </w:tcPr>
          <w:p w14:paraId="09FB5A7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0ACB250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2E578F0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5A248F19" w14:textId="77777777" w:rsidTr="00867427">
        <w:trPr>
          <w:jc w:val="center"/>
        </w:trPr>
        <w:tc>
          <w:tcPr>
            <w:tcW w:w="1111" w:type="dxa"/>
            <w:tcBorders>
              <w:top w:val="nil"/>
              <w:left w:val="nil"/>
              <w:bottom w:val="nil"/>
              <w:right w:val="nil"/>
            </w:tcBorders>
            <w:shd w:val="clear" w:color="auto" w:fill="FCFCFC"/>
            <w:vAlign w:val="center"/>
          </w:tcPr>
          <w:p w14:paraId="32547330"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Magri</w:t>
            </w:r>
            <w:proofErr w:type="spellEnd"/>
            <w:r w:rsidRPr="00104947">
              <w:rPr>
                <w:color w:val="auto"/>
                <w:sz w:val="16"/>
                <w:szCs w:val="16"/>
              </w:rPr>
              <w:t>, 2014 [54]</w:t>
            </w:r>
          </w:p>
        </w:tc>
        <w:tc>
          <w:tcPr>
            <w:tcW w:w="433" w:type="dxa"/>
            <w:tcBorders>
              <w:top w:val="nil"/>
              <w:left w:val="nil"/>
              <w:bottom w:val="nil"/>
              <w:right w:val="nil"/>
            </w:tcBorders>
            <w:shd w:val="clear" w:color="auto" w:fill="FCFCFC"/>
            <w:vAlign w:val="center"/>
          </w:tcPr>
          <w:p w14:paraId="6CD3C26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180</w:t>
            </w:r>
          </w:p>
        </w:tc>
        <w:tc>
          <w:tcPr>
            <w:tcW w:w="661" w:type="dxa"/>
            <w:tcBorders>
              <w:top w:val="nil"/>
              <w:left w:val="nil"/>
              <w:bottom w:val="nil"/>
              <w:right w:val="nil"/>
            </w:tcBorders>
            <w:shd w:val="clear" w:color="auto" w:fill="FCFCFC"/>
            <w:vAlign w:val="center"/>
          </w:tcPr>
          <w:p w14:paraId="12D55AE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 16</w:t>
            </w:r>
          </w:p>
        </w:tc>
        <w:tc>
          <w:tcPr>
            <w:tcW w:w="409" w:type="dxa"/>
            <w:tcBorders>
              <w:top w:val="nil"/>
              <w:left w:val="nil"/>
              <w:bottom w:val="nil"/>
              <w:right w:val="nil"/>
            </w:tcBorders>
            <w:shd w:val="clear" w:color="auto" w:fill="FCFCFC"/>
            <w:vAlign w:val="center"/>
          </w:tcPr>
          <w:p w14:paraId="1E0C60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w:t>
            </w:r>
          </w:p>
        </w:tc>
        <w:tc>
          <w:tcPr>
            <w:tcW w:w="1197" w:type="dxa"/>
            <w:tcBorders>
              <w:top w:val="nil"/>
              <w:left w:val="nil"/>
              <w:bottom w:val="nil"/>
              <w:right w:val="nil"/>
            </w:tcBorders>
            <w:shd w:val="clear" w:color="auto" w:fill="FCFCFC"/>
            <w:vAlign w:val="center"/>
          </w:tcPr>
          <w:p w14:paraId="5BF023B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2698053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shd w:val="clear" w:color="auto" w:fill="FCFCFC"/>
            <w:vAlign w:val="center"/>
          </w:tcPr>
          <w:p w14:paraId="310CFCF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shd w:val="clear" w:color="auto" w:fill="FCFCFC"/>
            <w:vAlign w:val="center"/>
          </w:tcPr>
          <w:p w14:paraId="5A51CF2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shd w:val="clear" w:color="auto" w:fill="FCFCFC"/>
            <w:vAlign w:val="center"/>
          </w:tcPr>
          <w:p w14:paraId="0F85A85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15981E4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07CD2E6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657A054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15284E4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4650C8F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2439D81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69026E5C" w14:textId="77777777" w:rsidTr="00867427">
        <w:trPr>
          <w:jc w:val="center"/>
        </w:trPr>
        <w:tc>
          <w:tcPr>
            <w:tcW w:w="1111" w:type="dxa"/>
            <w:tcBorders>
              <w:top w:val="nil"/>
              <w:left w:val="nil"/>
              <w:bottom w:val="nil"/>
              <w:right w:val="nil"/>
            </w:tcBorders>
            <w:vAlign w:val="center"/>
          </w:tcPr>
          <w:p w14:paraId="4792A59F"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Magri</w:t>
            </w:r>
            <w:proofErr w:type="spellEnd"/>
            <w:r w:rsidRPr="00104947">
              <w:rPr>
                <w:color w:val="auto"/>
                <w:sz w:val="16"/>
                <w:szCs w:val="16"/>
              </w:rPr>
              <w:t>, 2016 [55]</w:t>
            </w:r>
          </w:p>
        </w:tc>
        <w:tc>
          <w:tcPr>
            <w:tcW w:w="433" w:type="dxa"/>
            <w:tcBorders>
              <w:top w:val="nil"/>
              <w:left w:val="nil"/>
              <w:bottom w:val="nil"/>
              <w:right w:val="nil"/>
            </w:tcBorders>
            <w:vAlign w:val="center"/>
          </w:tcPr>
          <w:p w14:paraId="5FE8A20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683</w:t>
            </w:r>
          </w:p>
        </w:tc>
        <w:tc>
          <w:tcPr>
            <w:tcW w:w="661" w:type="dxa"/>
            <w:tcBorders>
              <w:top w:val="nil"/>
              <w:left w:val="nil"/>
              <w:bottom w:val="nil"/>
              <w:right w:val="nil"/>
            </w:tcBorders>
            <w:vAlign w:val="center"/>
          </w:tcPr>
          <w:p w14:paraId="7A9D85A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49 ± 16</w:t>
            </w:r>
          </w:p>
        </w:tc>
        <w:tc>
          <w:tcPr>
            <w:tcW w:w="409" w:type="dxa"/>
            <w:tcBorders>
              <w:top w:val="nil"/>
              <w:left w:val="nil"/>
              <w:bottom w:val="nil"/>
              <w:right w:val="nil"/>
            </w:tcBorders>
            <w:vAlign w:val="center"/>
          </w:tcPr>
          <w:p w14:paraId="081DCC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31</w:t>
            </w:r>
          </w:p>
        </w:tc>
        <w:tc>
          <w:tcPr>
            <w:tcW w:w="1197" w:type="dxa"/>
            <w:tcBorders>
              <w:top w:val="nil"/>
              <w:left w:val="nil"/>
              <w:bottom w:val="nil"/>
              <w:right w:val="nil"/>
            </w:tcBorders>
            <w:vAlign w:val="center"/>
          </w:tcPr>
          <w:p w14:paraId="7A450E0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Supine CE</w:t>
            </w:r>
          </w:p>
        </w:tc>
        <w:tc>
          <w:tcPr>
            <w:tcW w:w="622" w:type="dxa"/>
            <w:tcBorders>
              <w:top w:val="nil"/>
              <w:left w:val="nil"/>
              <w:bottom w:val="nil"/>
              <w:right w:val="nil"/>
            </w:tcBorders>
            <w:vAlign w:val="center"/>
          </w:tcPr>
          <w:p w14:paraId="4637534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5382515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49763C5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57F573A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7E62A14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vAlign w:val="center"/>
          </w:tcPr>
          <w:p w14:paraId="28D262A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2A1EB71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7762F02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29A4F41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38351F6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47CF8CF9" w14:textId="77777777" w:rsidTr="00867427">
        <w:trPr>
          <w:jc w:val="center"/>
        </w:trPr>
        <w:tc>
          <w:tcPr>
            <w:tcW w:w="1111" w:type="dxa"/>
            <w:tcBorders>
              <w:top w:val="nil"/>
              <w:left w:val="nil"/>
              <w:bottom w:val="nil"/>
              <w:right w:val="nil"/>
            </w:tcBorders>
            <w:shd w:val="clear" w:color="auto" w:fill="FCFCFC"/>
            <w:vAlign w:val="center"/>
          </w:tcPr>
          <w:p w14:paraId="1D50A540"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Magri</w:t>
            </w:r>
            <w:proofErr w:type="spellEnd"/>
            <w:r w:rsidRPr="00104947">
              <w:rPr>
                <w:color w:val="auto"/>
                <w:sz w:val="16"/>
                <w:szCs w:val="16"/>
              </w:rPr>
              <w:t>, 2018 [56]</w:t>
            </w:r>
          </w:p>
        </w:tc>
        <w:tc>
          <w:tcPr>
            <w:tcW w:w="433" w:type="dxa"/>
            <w:tcBorders>
              <w:top w:val="nil"/>
              <w:left w:val="nil"/>
              <w:bottom w:val="nil"/>
              <w:right w:val="nil"/>
            </w:tcBorders>
            <w:shd w:val="clear" w:color="auto" w:fill="FCFCFC"/>
            <w:vAlign w:val="center"/>
          </w:tcPr>
          <w:p w14:paraId="39E05C5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767</w:t>
            </w:r>
          </w:p>
        </w:tc>
        <w:tc>
          <w:tcPr>
            <w:tcW w:w="661" w:type="dxa"/>
            <w:tcBorders>
              <w:top w:val="nil"/>
              <w:left w:val="nil"/>
              <w:bottom w:val="nil"/>
              <w:right w:val="nil"/>
            </w:tcBorders>
            <w:shd w:val="clear" w:color="auto" w:fill="FCFCFC"/>
            <w:vAlign w:val="center"/>
          </w:tcPr>
          <w:p w14:paraId="6F4287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48 ± 16</w:t>
            </w:r>
          </w:p>
        </w:tc>
        <w:tc>
          <w:tcPr>
            <w:tcW w:w="409" w:type="dxa"/>
            <w:tcBorders>
              <w:top w:val="nil"/>
              <w:left w:val="nil"/>
              <w:bottom w:val="nil"/>
              <w:right w:val="nil"/>
            </w:tcBorders>
            <w:shd w:val="clear" w:color="auto" w:fill="FCFCFC"/>
            <w:vAlign w:val="center"/>
          </w:tcPr>
          <w:p w14:paraId="6667B25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32</w:t>
            </w:r>
          </w:p>
        </w:tc>
        <w:tc>
          <w:tcPr>
            <w:tcW w:w="1197" w:type="dxa"/>
            <w:tcBorders>
              <w:top w:val="nil"/>
              <w:left w:val="nil"/>
              <w:bottom w:val="nil"/>
              <w:right w:val="nil"/>
            </w:tcBorders>
            <w:shd w:val="clear" w:color="auto" w:fill="FCFCFC"/>
            <w:vAlign w:val="center"/>
          </w:tcPr>
          <w:p w14:paraId="3331FE7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 CE</w:t>
            </w:r>
          </w:p>
        </w:tc>
        <w:tc>
          <w:tcPr>
            <w:tcW w:w="622" w:type="dxa"/>
            <w:tcBorders>
              <w:top w:val="nil"/>
              <w:left w:val="nil"/>
              <w:bottom w:val="nil"/>
              <w:right w:val="nil"/>
            </w:tcBorders>
            <w:shd w:val="clear" w:color="auto" w:fill="FCFCFC"/>
            <w:vAlign w:val="center"/>
          </w:tcPr>
          <w:p w14:paraId="1FFADD1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shd w:val="clear" w:color="auto" w:fill="FCFCFC"/>
            <w:vAlign w:val="center"/>
          </w:tcPr>
          <w:p w14:paraId="75FF8880"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5–15</w:t>
            </w:r>
            <w:r w:rsidR="001B672C" w:rsidRPr="00104947">
              <w:rPr>
                <w:color w:val="auto"/>
                <w:sz w:val="16"/>
                <w:szCs w:val="16"/>
              </w:rPr>
              <w:t xml:space="preserve"> W</w:t>
            </w:r>
          </w:p>
        </w:tc>
        <w:tc>
          <w:tcPr>
            <w:tcW w:w="575" w:type="dxa"/>
            <w:tcBorders>
              <w:top w:val="nil"/>
              <w:left w:val="nil"/>
              <w:bottom w:val="nil"/>
              <w:right w:val="nil"/>
            </w:tcBorders>
            <w:shd w:val="clear" w:color="auto" w:fill="FCFCFC"/>
            <w:vAlign w:val="center"/>
          </w:tcPr>
          <w:p w14:paraId="6724809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shd w:val="clear" w:color="auto" w:fill="FCFCFC"/>
            <w:vAlign w:val="center"/>
          </w:tcPr>
          <w:p w14:paraId="7E664F3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controlled</w:t>
            </w:r>
          </w:p>
        </w:tc>
        <w:tc>
          <w:tcPr>
            <w:tcW w:w="1055" w:type="dxa"/>
            <w:tcBorders>
              <w:top w:val="nil"/>
              <w:left w:val="nil"/>
              <w:bottom w:val="nil"/>
              <w:right w:val="nil"/>
            </w:tcBorders>
            <w:shd w:val="clear" w:color="auto" w:fill="FCFCFC"/>
            <w:vAlign w:val="center"/>
          </w:tcPr>
          <w:p w14:paraId="35F9BE7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90C617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7B0355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49F5640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60B32B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56A6607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r>
      <w:tr w:rsidR="00B54E50" w:rsidRPr="00104947" w14:paraId="4836769C" w14:textId="77777777" w:rsidTr="00867427">
        <w:trPr>
          <w:jc w:val="center"/>
        </w:trPr>
        <w:tc>
          <w:tcPr>
            <w:tcW w:w="1111" w:type="dxa"/>
            <w:tcBorders>
              <w:top w:val="nil"/>
              <w:left w:val="nil"/>
              <w:bottom w:val="nil"/>
              <w:right w:val="nil"/>
            </w:tcBorders>
            <w:vAlign w:val="center"/>
          </w:tcPr>
          <w:p w14:paraId="005FFAD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Malek, 2009 [57]</w:t>
            </w:r>
          </w:p>
        </w:tc>
        <w:tc>
          <w:tcPr>
            <w:tcW w:w="433" w:type="dxa"/>
            <w:tcBorders>
              <w:top w:val="nil"/>
              <w:left w:val="nil"/>
              <w:bottom w:val="nil"/>
              <w:right w:val="nil"/>
            </w:tcBorders>
            <w:vAlign w:val="center"/>
          </w:tcPr>
          <w:p w14:paraId="7D26971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13</w:t>
            </w:r>
          </w:p>
        </w:tc>
        <w:tc>
          <w:tcPr>
            <w:tcW w:w="661" w:type="dxa"/>
            <w:tcBorders>
              <w:top w:val="nil"/>
              <w:left w:val="nil"/>
              <w:bottom w:val="nil"/>
              <w:right w:val="nil"/>
            </w:tcBorders>
            <w:vAlign w:val="center"/>
          </w:tcPr>
          <w:p w14:paraId="4C7E514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09" w:type="dxa"/>
            <w:tcBorders>
              <w:top w:val="nil"/>
              <w:left w:val="nil"/>
              <w:bottom w:val="nil"/>
              <w:right w:val="nil"/>
            </w:tcBorders>
            <w:vAlign w:val="center"/>
          </w:tcPr>
          <w:p w14:paraId="2500DA7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1197" w:type="dxa"/>
            <w:tcBorders>
              <w:top w:val="nil"/>
              <w:left w:val="nil"/>
              <w:bottom w:val="nil"/>
              <w:right w:val="nil"/>
            </w:tcBorders>
            <w:vAlign w:val="center"/>
          </w:tcPr>
          <w:p w14:paraId="2CC9367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3E3B07B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79A2B4F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7205534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5157B14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vAlign w:val="center"/>
          </w:tcPr>
          <w:p w14:paraId="2C3850A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077ACD1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0D19DA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33CFB6A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429F4E3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7489094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69034914" w14:textId="77777777" w:rsidTr="00867427">
        <w:trPr>
          <w:jc w:val="center"/>
        </w:trPr>
        <w:tc>
          <w:tcPr>
            <w:tcW w:w="1111" w:type="dxa"/>
            <w:tcBorders>
              <w:top w:val="nil"/>
              <w:left w:val="nil"/>
              <w:bottom w:val="nil"/>
              <w:right w:val="nil"/>
            </w:tcBorders>
            <w:shd w:val="clear" w:color="auto" w:fill="FCFCFC"/>
            <w:vAlign w:val="center"/>
          </w:tcPr>
          <w:p w14:paraId="6C711BF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Matsumoto, 2005 [58]</w:t>
            </w:r>
          </w:p>
        </w:tc>
        <w:tc>
          <w:tcPr>
            <w:tcW w:w="433" w:type="dxa"/>
            <w:tcBorders>
              <w:top w:val="nil"/>
              <w:left w:val="nil"/>
              <w:bottom w:val="nil"/>
              <w:right w:val="nil"/>
            </w:tcBorders>
            <w:shd w:val="clear" w:color="auto" w:fill="FCFCFC"/>
            <w:vAlign w:val="center"/>
          </w:tcPr>
          <w:p w14:paraId="4A4A655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w:t>
            </w:r>
          </w:p>
        </w:tc>
        <w:tc>
          <w:tcPr>
            <w:tcW w:w="661" w:type="dxa"/>
            <w:tcBorders>
              <w:top w:val="nil"/>
              <w:left w:val="nil"/>
              <w:bottom w:val="nil"/>
              <w:right w:val="nil"/>
            </w:tcBorders>
            <w:shd w:val="clear" w:color="auto" w:fill="FCFCFC"/>
            <w:vAlign w:val="center"/>
          </w:tcPr>
          <w:p w14:paraId="231D89B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35</w:t>
            </w:r>
          </w:p>
        </w:tc>
        <w:tc>
          <w:tcPr>
            <w:tcW w:w="409" w:type="dxa"/>
            <w:tcBorders>
              <w:top w:val="nil"/>
              <w:left w:val="nil"/>
              <w:bottom w:val="nil"/>
              <w:right w:val="nil"/>
            </w:tcBorders>
            <w:shd w:val="clear" w:color="auto" w:fill="FCFCFC"/>
            <w:vAlign w:val="center"/>
          </w:tcPr>
          <w:p w14:paraId="3F38777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33</w:t>
            </w:r>
          </w:p>
        </w:tc>
        <w:tc>
          <w:tcPr>
            <w:tcW w:w="1197" w:type="dxa"/>
            <w:tcBorders>
              <w:top w:val="nil"/>
              <w:left w:val="nil"/>
              <w:bottom w:val="nil"/>
              <w:right w:val="nil"/>
            </w:tcBorders>
            <w:shd w:val="clear" w:color="auto" w:fill="FCFCFC"/>
            <w:vAlign w:val="center"/>
          </w:tcPr>
          <w:p w14:paraId="744CB99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3E79DFF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shd w:val="clear" w:color="auto" w:fill="FCFCFC"/>
            <w:vAlign w:val="center"/>
          </w:tcPr>
          <w:p w14:paraId="6492642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0.5%</w:t>
            </w:r>
          </w:p>
        </w:tc>
        <w:tc>
          <w:tcPr>
            <w:tcW w:w="575" w:type="dxa"/>
            <w:tcBorders>
              <w:top w:val="nil"/>
              <w:left w:val="nil"/>
              <w:bottom w:val="nil"/>
              <w:right w:val="nil"/>
            </w:tcBorders>
            <w:shd w:val="clear" w:color="auto" w:fill="FCFCFC"/>
            <w:vAlign w:val="center"/>
          </w:tcPr>
          <w:p w14:paraId="5F18AF9D" w14:textId="08865A34"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511601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5444D28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6F4CAFD9" w14:textId="77777777" w:rsidR="001B672C" w:rsidRPr="00104947" w:rsidRDefault="001B672C" w:rsidP="00B54E50">
            <w:pPr>
              <w:pStyle w:val="MDPI42tablebody"/>
              <w:autoSpaceDE w:val="0"/>
              <w:autoSpaceDN w:val="0"/>
              <w:rPr>
                <w:color w:val="auto"/>
                <w:sz w:val="16"/>
                <w:szCs w:val="16"/>
              </w:rPr>
            </w:pPr>
            <w:proofErr w:type="spellStart"/>
            <w:proofErr w:type="gramStart"/>
            <w:r w:rsidRPr="00104947">
              <w:rPr>
                <w:color w:val="auto"/>
                <w:sz w:val="16"/>
                <w:szCs w:val="16"/>
              </w:rPr>
              <w:t>BL,Out</w:t>
            </w:r>
            <w:proofErr w:type="spellEnd"/>
            <w:proofErr w:type="gramEnd"/>
          </w:p>
        </w:tc>
        <w:tc>
          <w:tcPr>
            <w:tcW w:w="690" w:type="dxa"/>
            <w:tcBorders>
              <w:top w:val="nil"/>
              <w:left w:val="nil"/>
              <w:bottom w:val="nil"/>
              <w:right w:val="nil"/>
            </w:tcBorders>
            <w:shd w:val="clear" w:color="auto" w:fill="FCFCFC"/>
            <w:vAlign w:val="center"/>
          </w:tcPr>
          <w:p w14:paraId="6C0303E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4AB8A5E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8C08C2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7DCE28E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3825F9F8" w14:textId="77777777" w:rsidTr="00867427">
        <w:trPr>
          <w:jc w:val="center"/>
        </w:trPr>
        <w:tc>
          <w:tcPr>
            <w:tcW w:w="1111" w:type="dxa"/>
            <w:tcBorders>
              <w:top w:val="nil"/>
              <w:left w:val="nil"/>
              <w:bottom w:val="nil"/>
              <w:right w:val="nil"/>
            </w:tcBorders>
            <w:vAlign w:val="center"/>
          </w:tcPr>
          <w:p w14:paraId="3E17828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Matsumura, 2002 [59]</w:t>
            </w:r>
          </w:p>
        </w:tc>
        <w:tc>
          <w:tcPr>
            <w:tcW w:w="433" w:type="dxa"/>
            <w:tcBorders>
              <w:top w:val="nil"/>
              <w:left w:val="nil"/>
              <w:bottom w:val="nil"/>
              <w:right w:val="nil"/>
            </w:tcBorders>
            <w:vAlign w:val="center"/>
          </w:tcPr>
          <w:p w14:paraId="26F704A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85</w:t>
            </w:r>
          </w:p>
        </w:tc>
        <w:tc>
          <w:tcPr>
            <w:tcW w:w="661" w:type="dxa"/>
            <w:tcBorders>
              <w:top w:val="nil"/>
              <w:left w:val="nil"/>
              <w:bottom w:val="nil"/>
              <w:right w:val="nil"/>
            </w:tcBorders>
            <w:vAlign w:val="center"/>
          </w:tcPr>
          <w:p w14:paraId="6D7965E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38 ± 14</w:t>
            </w:r>
          </w:p>
        </w:tc>
        <w:tc>
          <w:tcPr>
            <w:tcW w:w="409" w:type="dxa"/>
            <w:tcBorders>
              <w:top w:val="nil"/>
              <w:left w:val="nil"/>
              <w:bottom w:val="nil"/>
              <w:right w:val="nil"/>
            </w:tcBorders>
            <w:vAlign w:val="center"/>
          </w:tcPr>
          <w:p w14:paraId="65486C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34</w:t>
            </w:r>
          </w:p>
        </w:tc>
        <w:tc>
          <w:tcPr>
            <w:tcW w:w="1197" w:type="dxa"/>
            <w:tcBorders>
              <w:top w:val="nil"/>
              <w:left w:val="nil"/>
              <w:bottom w:val="nil"/>
              <w:right w:val="nil"/>
            </w:tcBorders>
            <w:vAlign w:val="center"/>
          </w:tcPr>
          <w:p w14:paraId="267DDD3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vAlign w:val="center"/>
          </w:tcPr>
          <w:p w14:paraId="459CAC4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vAlign w:val="center"/>
          </w:tcPr>
          <w:p w14:paraId="2689C7BB"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5–15</w:t>
            </w:r>
            <w:r w:rsidR="001B672C" w:rsidRPr="00104947">
              <w:rPr>
                <w:color w:val="auto"/>
                <w:sz w:val="16"/>
                <w:szCs w:val="16"/>
              </w:rPr>
              <w:t xml:space="preserve"> W</w:t>
            </w:r>
          </w:p>
        </w:tc>
        <w:tc>
          <w:tcPr>
            <w:tcW w:w="575" w:type="dxa"/>
            <w:tcBorders>
              <w:top w:val="nil"/>
              <w:left w:val="nil"/>
              <w:bottom w:val="nil"/>
              <w:right w:val="nil"/>
            </w:tcBorders>
            <w:vAlign w:val="center"/>
          </w:tcPr>
          <w:p w14:paraId="0EC023A8" w14:textId="027D4B5A"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vAlign w:val="center"/>
          </w:tcPr>
          <w:p w14:paraId="7C24ABE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(5H-L)</w:t>
            </w:r>
          </w:p>
        </w:tc>
        <w:tc>
          <w:tcPr>
            <w:tcW w:w="1055" w:type="dxa"/>
            <w:tcBorders>
              <w:top w:val="nil"/>
              <w:left w:val="nil"/>
              <w:bottom w:val="nil"/>
              <w:right w:val="nil"/>
            </w:tcBorders>
            <w:vAlign w:val="center"/>
          </w:tcPr>
          <w:p w14:paraId="25E304B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1138FE5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5282B8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37" w:type="dxa"/>
            <w:tcBorders>
              <w:top w:val="nil"/>
              <w:left w:val="nil"/>
              <w:bottom w:val="nil"/>
              <w:right w:val="nil"/>
            </w:tcBorders>
            <w:vAlign w:val="center"/>
          </w:tcPr>
          <w:p w14:paraId="7BDAF5F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1A1B675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28574CB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784A4DCD" w14:textId="77777777" w:rsidTr="008B6A15">
        <w:trPr>
          <w:jc w:val="center"/>
        </w:trPr>
        <w:tc>
          <w:tcPr>
            <w:tcW w:w="1111" w:type="dxa"/>
            <w:tcBorders>
              <w:top w:val="nil"/>
              <w:left w:val="nil"/>
              <w:bottom w:val="nil"/>
              <w:right w:val="nil"/>
            </w:tcBorders>
            <w:shd w:val="clear" w:color="auto" w:fill="FCFCFC"/>
            <w:vAlign w:val="center"/>
          </w:tcPr>
          <w:p w14:paraId="23F3668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Menon, 2008 [60]</w:t>
            </w:r>
          </w:p>
        </w:tc>
        <w:tc>
          <w:tcPr>
            <w:tcW w:w="433" w:type="dxa"/>
            <w:tcBorders>
              <w:top w:val="nil"/>
              <w:left w:val="nil"/>
              <w:bottom w:val="nil"/>
              <w:right w:val="nil"/>
            </w:tcBorders>
            <w:shd w:val="clear" w:color="auto" w:fill="FCFCFC"/>
            <w:vAlign w:val="center"/>
          </w:tcPr>
          <w:p w14:paraId="4BB01A4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88</w:t>
            </w:r>
          </w:p>
        </w:tc>
        <w:tc>
          <w:tcPr>
            <w:tcW w:w="661" w:type="dxa"/>
            <w:tcBorders>
              <w:top w:val="nil"/>
              <w:left w:val="nil"/>
              <w:bottom w:val="nil"/>
              <w:right w:val="nil"/>
            </w:tcBorders>
            <w:shd w:val="clear" w:color="auto" w:fill="FCFCFC"/>
            <w:vAlign w:val="center"/>
          </w:tcPr>
          <w:p w14:paraId="3DEE326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14</w:t>
            </w:r>
          </w:p>
        </w:tc>
        <w:tc>
          <w:tcPr>
            <w:tcW w:w="409" w:type="dxa"/>
            <w:tcBorders>
              <w:top w:val="nil"/>
              <w:left w:val="nil"/>
              <w:bottom w:val="nil"/>
              <w:right w:val="nil"/>
            </w:tcBorders>
            <w:shd w:val="clear" w:color="auto" w:fill="FCFCFC"/>
            <w:vAlign w:val="center"/>
          </w:tcPr>
          <w:p w14:paraId="76113E6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w:t>
            </w:r>
          </w:p>
        </w:tc>
        <w:tc>
          <w:tcPr>
            <w:tcW w:w="1197" w:type="dxa"/>
            <w:tcBorders>
              <w:top w:val="nil"/>
              <w:left w:val="nil"/>
              <w:bottom w:val="nil"/>
              <w:right w:val="nil"/>
            </w:tcBorders>
            <w:shd w:val="clear" w:color="auto" w:fill="FCFCFC"/>
            <w:vAlign w:val="center"/>
          </w:tcPr>
          <w:p w14:paraId="0E933E0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41C0235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shd w:val="clear" w:color="auto" w:fill="FCFCFC"/>
            <w:vAlign w:val="center"/>
          </w:tcPr>
          <w:p w14:paraId="03194177"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7AF118D1" w14:textId="41A94ED2"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0E51F8A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shd w:val="clear" w:color="auto" w:fill="FCFCFC"/>
            <w:vAlign w:val="center"/>
          </w:tcPr>
          <w:p w14:paraId="79BDBAD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7EB6D56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47269D5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2F6E543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36A0A9E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4CA1DA8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7AF8728E" w14:textId="77777777" w:rsidTr="008B6A15">
        <w:trPr>
          <w:jc w:val="center"/>
        </w:trPr>
        <w:tc>
          <w:tcPr>
            <w:tcW w:w="1111" w:type="dxa"/>
            <w:tcBorders>
              <w:top w:val="nil"/>
              <w:left w:val="nil"/>
              <w:bottom w:val="nil"/>
              <w:right w:val="nil"/>
            </w:tcBorders>
            <w:vAlign w:val="center"/>
          </w:tcPr>
          <w:p w14:paraId="5597B7F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Miki, 1990 [61]</w:t>
            </w:r>
          </w:p>
        </w:tc>
        <w:tc>
          <w:tcPr>
            <w:tcW w:w="433" w:type="dxa"/>
            <w:tcBorders>
              <w:top w:val="nil"/>
              <w:left w:val="nil"/>
              <w:bottom w:val="nil"/>
              <w:right w:val="nil"/>
            </w:tcBorders>
            <w:vAlign w:val="center"/>
          </w:tcPr>
          <w:p w14:paraId="387980B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22</w:t>
            </w:r>
          </w:p>
        </w:tc>
        <w:tc>
          <w:tcPr>
            <w:tcW w:w="661" w:type="dxa"/>
            <w:tcBorders>
              <w:top w:val="nil"/>
              <w:left w:val="nil"/>
              <w:bottom w:val="nil"/>
              <w:right w:val="nil"/>
            </w:tcBorders>
            <w:vAlign w:val="center"/>
          </w:tcPr>
          <w:p w14:paraId="284C656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 15</w:t>
            </w:r>
          </w:p>
        </w:tc>
        <w:tc>
          <w:tcPr>
            <w:tcW w:w="409" w:type="dxa"/>
            <w:tcBorders>
              <w:top w:val="nil"/>
              <w:left w:val="nil"/>
              <w:bottom w:val="nil"/>
              <w:right w:val="nil"/>
            </w:tcBorders>
            <w:vAlign w:val="center"/>
          </w:tcPr>
          <w:p w14:paraId="15DA96E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18</w:t>
            </w:r>
          </w:p>
        </w:tc>
        <w:tc>
          <w:tcPr>
            <w:tcW w:w="1197" w:type="dxa"/>
            <w:tcBorders>
              <w:top w:val="nil"/>
              <w:left w:val="nil"/>
              <w:bottom w:val="nil"/>
              <w:right w:val="nil"/>
            </w:tcBorders>
            <w:vAlign w:val="center"/>
          </w:tcPr>
          <w:p w14:paraId="7DDBF32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7A0B49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vAlign w:val="center"/>
          </w:tcPr>
          <w:p w14:paraId="1E164219"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56F2813D" w14:textId="4D65C574"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3054D7EE" w14:textId="093B39B6" w:rsidR="001B672C" w:rsidRPr="00104947" w:rsidRDefault="001B672C" w:rsidP="00B54E50">
            <w:pPr>
              <w:pStyle w:val="MDPI42tablebody"/>
              <w:autoSpaceDE w:val="0"/>
              <w:autoSpaceDN w:val="0"/>
              <w:rPr>
                <w:color w:val="auto"/>
                <w:sz w:val="16"/>
                <w:szCs w:val="16"/>
              </w:rPr>
            </w:pPr>
            <w:r w:rsidRPr="00104947">
              <w:rPr>
                <w:color w:val="auto"/>
                <w:sz w:val="16"/>
                <w:szCs w:val="16"/>
              </w:rPr>
              <w:t>Disc. (120</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vAlign w:val="center"/>
          </w:tcPr>
          <w:p w14:paraId="41EC85F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29DC8A5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0CB4AA4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09F59B9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vAlign w:val="center"/>
          </w:tcPr>
          <w:p w14:paraId="2E5DFCD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66B9A4E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5F46B6AC" w14:textId="77777777" w:rsidTr="008B6A15">
        <w:trPr>
          <w:jc w:val="center"/>
        </w:trPr>
        <w:tc>
          <w:tcPr>
            <w:tcW w:w="1111" w:type="dxa"/>
            <w:tcBorders>
              <w:top w:val="nil"/>
              <w:left w:val="nil"/>
              <w:bottom w:val="nil"/>
              <w:right w:val="nil"/>
            </w:tcBorders>
            <w:shd w:val="clear" w:color="auto" w:fill="FCFCFC"/>
            <w:vAlign w:val="center"/>
          </w:tcPr>
          <w:p w14:paraId="284FB1B7"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Mizukoshi</w:t>
            </w:r>
            <w:proofErr w:type="spellEnd"/>
            <w:r w:rsidRPr="00104947">
              <w:rPr>
                <w:color w:val="auto"/>
                <w:sz w:val="16"/>
                <w:szCs w:val="16"/>
              </w:rPr>
              <w:t>, 2013 [62]</w:t>
            </w:r>
          </w:p>
        </w:tc>
        <w:tc>
          <w:tcPr>
            <w:tcW w:w="433" w:type="dxa"/>
            <w:tcBorders>
              <w:top w:val="nil"/>
              <w:left w:val="nil"/>
              <w:bottom w:val="nil"/>
              <w:right w:val="nil"/>
            </w:tcBorders>
            <w:shd w:val="clear" w:color="auto" w:fill="FCFCFC"/>
            <w:vAlign w:val="center"/>
          </w:tcPr>
          <w:p w14:paraId="1461845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33</w:t>
            </w:r>
          </w:p>
        </w:tc>
        <w:tc>
          <w:tcPr>
            <w:tcW w:w="661" w:type="dxa"/>
            <w:tcBorders>
              <w:top w:val="nil"/>
              <w:left w:val="nil"/>
              <w:bottom w:val="nil"/>
              <w:right w:val="nil"/>
            </w:tcBorders>
            <w:shd w:val="clear" w:color="auto" w:fill="FCFCFC"/>
            <w:vAlign w:val="center"/>
          </w:tcPr>
          <w:p w14:paraId="7C1E9C5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59 ± 16</w:t>
            </w:r>
          </w:p>
        </w:tc>
        <w:tc>
          <w:tcPr>
            <w:tcW w:w="409" w:type="dxa"/>
            <w:tcBorders>
              <w:top w:val="nil"/>
              <w:left w:val="nil"/>
              <w:bottom w:val="nil"/>
              <w:right w:val="nil"/>
            </w:tcBorders>
            <w:shd w:val="clear" w:color="auto" w:fill="FCFCFC"/>
            <w:vAlign w:val="center"/>
          </w:tcPr>
          <w:p w14:paraId="3D60082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w:t>
            </w:r>
          </w:p>
        </w:tc>
        <w:tc>
          <w:tcPr>
            <w:tcW w:w="1197" w:type="dxa"/>
            <w:tcBorders>
              <w:top w:val="nil"/>
              <w:left w:val="nil"/>
              <w:bottom w:val="nil"/>
              <w:right w:val="nil"/>
            </w:tcBorders>
            <w:shd w:val="clear" w:color="auto" w:fill="FCFCFC"/>
            <w:vAlign w:val="center"/>
          </w:tcPr>
          <w:p w14:paraId="282483BA"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Semisup</w:t>
            </w:r>
            <w:proofErr w:type="spellEnd"/>
            <w:r w:rsidRPr="00104947">
              <w:rPr>
                <w:color w:val="auto"/>
                <w:sz w:val="16"/>
                <w:szCs w:val="16"/>
              </w:rPr>
              <w:t xml:space="preserve"> CE</w:t>
            </w:r>
          </w:p>
        </w:tc>
        <w:tc>
          <w:tcPr>
            <w:tcW w:w="622" w:type="dxa"/>
            <w:tcBorders>
              <w:top w:val="nil"/>
              <w:left w:val="nil"/>
              <w:bottom w:val="nil"/>
              <w:right w:val="nil"/>
            </w:tcBorders>
            <w:shd w:val="clear" w:color="auto" w:fill="FCFCFC"/>
            <w:vAlign w:val="center"/>
          </w:tcPr>
          <w:p w14:paraId="1BDE30B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20 W</w:t>
            </w:r>
          </w:p>
        </w:tc>
        <w:tc>
          <w:tcPr>
            <w:tcW w:w="673" w:type="dxa"/>
            <w:tcBorders>
              <w:top w:val="nil"/>
              <w:left w:val="nil"/>
              <w:bottom w:val="nil"/>
              <w:right w:val="nil"/>
            </w:tcBorders>
            <w:shd w:val="clear" w:color="auto" w:fill="FCFCFC"/>
            <w:vAlign w:val="center"/>
          </w:tcPr>
          <w:p w14:paraId="35FFB486"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1–2</w:t>
            </w:r>
            <w:r w:rsidR="001B672C" w:rsidRPr="00104947">
              <w:rPr>
                <w:color w:val="auto"/>
                <w:sz w:val="16"/>
                <w:szCs w:val="16"/>
              </w:rPr>
              <w:t xml:space="preserve"> W</w:t>
            </w:r>
          </w:p>
        </w:tc>
        <w:tc>
          <w:tcPr>
            <w:tcW w:w="575" w:type="dxa"/>
            <w:tcBorders>
              <w:top w:val="nil"/>
              <w:left w:val="nil"/>
              <w:bottom w:val="nil"/>
              <w:right w:val="nil"/>
            </w:tcBorders>
            <w:shd w:val="clear" w:color="auto" w:fill="FCFCFC"/>
            <w:vAlign w:val="center"/>
          </w:tcPr>
          <w:p w14:paraId="2DBD3C91" w14:textId="18AD3698" w:rsidR="001B672C" w:rsidRPr="00104947" w:rsidRDefault="001B672C" w:rsidP="00B54E50">
            <w:pPr>
              <w:pStyle w:val="MDPI42tablebody"/>
              <w:autoSpaceDE w:val="0"/>
              <w:autoSpaceDN w:val="0"/>
              <w:rPr>
                <w:color w:val="auto"/>
                <w:sz w:val="16"/>
                <w:szCs w:val="16"/>
              </w:rPr>
            </w:pPr>
            <w:r w:rsidRPr="00104947">
              <w:rPr>
                <w:color w:val="auto"/>
                <w:sz w:val="16"/>
                <w:szCs w:val="16"/>
              </w:rPr>
              <w:t>6</w:t>
            </w:r>
            <w:r w:rsidR="00502F57" w:rsidRPr="00104947">
              <w:rPr>
                <w:color w:val="auto"/>
                <w:sz w:val="16"/>
                <w:szCs w:val="16"/>
              </w:rPr>
              <w:t>′′</w:t>
            </w:r>
          </w:p>
        </w:tc>
        <w:tc>
          <w:tcPr>
            <w:tcW w:w="635" w:type="dxa"/>
            <w:tcBorders>
              <w:top w:val="nil"/>
              <w:left w:val="nil"/>
              <w:bottom w:val="nil"/>
              <w:right w:val="nil"/>
            </w:tcBorders>
            <w:shd w:val="clear" w:color="auto" w:fill="FCFCFC"/>
            <w:vAlign w:val="center"/>
          </w:tcPr>
          <w:p w14:paraId="4FC94FE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790A565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1C9EF4C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top w:val="nil"/>
              <w:left w:val="nil"/>
              <w:bottom w:val="nil"/>
              <w:right w:val="nil"/>
            </w:tcBorders>
            <w:shd w:val="clear" w:color="auto" w:fill="FCFCFC"/>
            <w:vAlign w:val="center"/>
          </w:tcPr>
          <w:p w14:paraId="1921B13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3C99526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0FBA3D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30CA630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70F26585" w14:textId="77777777" w:rsidTr="00867427">
        <w:trPr>
          <w:jc w:val="center"/>
        </w:trPr>
        <w:tc>
          <w:tcPr>
            <w:tcW w:w="1111" w:type="dxa"/>
            <w:tcBorders>
              <w:top w:val="nil"/>
              <w:left w:val="nil"/>
              <w:bottom w:val="nil"/>
              <w:right w:val="nil"/>
            </w:tcBorders>
            <w:vAlign w:val="center"/>
          </w:tcPr>
          <w:p w14:paraId="36DAD33B"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Moneghetti</w:t>
            </w:r>
            <w:proofErr w:type="spellEnd"/>
            <w:r w:rsidRPr="00104947">
              <w:rPr>
                <w:color w:val="auto"/>
                <w:sz w:val="16"/>
                <w:szCs w:val="16"/>
              </w:rPr>
              <w:t>, 2017 [63]</w:t>
            </w:r>
          </w:p>
        </w:tc>
        <w:tc>
          <w:tcPr>
            <w:tcW w:w="433" w:type="dxa"/>
            <w:tcBorders>
              <w:top w:val="nil"/>
              <w:left w:val="nil"/>
              <w:bottom w:val="nil"/>
              <w:right w:val="nil"/>
            </w:tcBorders>
            <w:vAlign w:val="center"/>
          </w:tcPr>
          <w:p w14:paraId="03E643B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131</w:t>
            </w:r>
          </w:p>
        </w:tc>
        <w:tc>
          <w:tcPr>
            <w:tcW w:w="661" w:type="dxa"/>
            <w:tcBorders>
              <w:top w:val="nil"/>
              <w:left w:val="nil"/>
              <w:bottom w:val="nil"/>
              <w:right w:val="nil"/>
            </w:tcBorders>
            <w:vAlign w:val="center"/>
          </w:tcPr>
          <w:p w14:paraId="33C1AA8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13</w:t>
            </w:r>
          </w:p>
        </w:tc>
        <w:tc>
          <w:tcPr>
            <w:tcW w:w="409" w:type="dxa"/>
            <w:tcBorders>
              <w:top w:val="nil"/>
              <w:left w:val="nil"/>
              <w:bottom w:val="nil"/>
              <w:right w:val="nil"/>
            </w:tcBorders>
            <w:vAlign w:val="center"/>
          </w:tcPr>
          <w:p w14:paraId="27B833C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37</w:t>
            </w:r>
          </w:p>
        </w:tc>
        <w:tc>
          <w:tcPr>
            <w:tcW w:w="1197" w:type="dxa"/>
            <w:tcBorders>
              <w:top w:val="nil"/>
              <w:left w:val="nil"/>
              <w:bottom w:val="nil"/>
              <w:right w:val="nil"/>
            </w:tcBorders>
            <w:vAlign w:val="center"/>
          </w:tcPr>
          <w:p w14:paraId="60A7CD6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208006B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6A8F797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vAlign w:val="center"/>
          </w:tcPr>
          <w:p w14:paraId="1D32DC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434BF03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controlled</w:t>
            </w:r>
          </w:p>
        </w:tc>
        <w:tc>
          <w:tcPr>
            <w:tcW w:w="1055" w:type="dxa"/>
            <w:tcBorders>
              <w:top w:val="nil"/>
              <w:left w:val="nil"/>
              <w:bottom w:val="nil"/>
              <w:right w:val="nil"/>
            </w:tcBorders>
            <w:vAlign w:val="center"/>
          </w:tcPr>
          <w:p w14:paraId="534B63D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0E42249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1A82ADD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2254DE8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2CEA132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2AED696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772969F9" w14:textId="77777777" w:rsidTr="00867427">
        <w:trPr>
          <w:jc w:val="center"/>
        </w:trPr>
        <w:tc>
          <w:tcPr>
            <w:tcW w:w="1111" w:type="dxa"/>
            <w:tcBorders>
              <w:top w:val="nil"/>
              <w:left w:val="nil"/>
              <w:bottom w:val="nil"/>
              <w:right w:val="nil"/>
            </w:tcBorders>
            <w:shd w:val="clear" w:color="auto" w:fill="FCFCFC"/>
            <w:vAlign w:val="center"/>
          </w:tcPr>
          <w:p w14:paraId="1E2D80E0"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Nihoyannopoulos</w:t>
            </w:r>
            <w:proofErr w:type="spellEnd"/>
            <w:r w:rsidRPr="00104947">
              <w:rPr>
                <w:color w:val="auto"/>
                <w:sz w:val="16"/>
                <w:szCs w:val="16"/>
              </w:rPr>
              <w:t>, 1992 [64]</w:t>
            </w:r>
          </w:p>
        </w:tc>
        <w:tc>
          <w:tcPr>
            <w:tcW w:w="433" w:type="dxa"/>
            <w:tcBorders>
              <w:top w:val="nil"/>
              <w:left w:val="nil"/>
              <w:bottom w:val="nil"/>
              <w:right w:val="nil"/>
            </w:tcBorders>
            <w:shd w:val="clear" w:color="auto" w:fill="FCFCFC"/>
            <w:vAlign w:val="center"/>
          </w:tcPr>
          <w:p w14:paraId="52B5D8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40</w:t>
            </w:r>
          </w:p>
        </w:tc>
        <w:tc>
          <w:tcPr>
            <w:tcW w:w="661" w:type="dxa"/>
            <w:tcBorders>
              <w:top w:val="nil"/>
              <w:left w:val="nil"/>
              <w:bottom w:val="nil"/>
              <w:right w:val="nil"/>
            </w:tcBorders>
            <w:shd w:val="clear" w:color="auto" w:fill="FCFCFC"/>
            <w:vAlign w:val="center"/>
          </w:tcPr>
          <w:p w14:paraId="252D8FC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41</w:t>
            </w:r>
          </w:p>
        </w:tc>
        <w:tc>
          <w:tcPr>
            <w:tcW w:w="409" w:type="dxa"/>
            <w:tcBorders>
              <w:top w:val="nil"/>
              <w:left w:val="nil"/>
              <w:bottom w:val="nil"/>
              <w:right w:val="nil"/>
            </w:tcBorders>
            <w:shd w:val="clear" w:color="auto" w:fill="FCFCFC"/>
            <w:vAlign w:val="center"/>
          </w:tcPr>
          <w:p w14:paraId="5FF0F20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45</w:t>
            </w:r>
          </w:p>
        </w:tc>
        <w:tc>
          <w:tcPr>
            <w:tcW w:w="1197" w:type="dxa"/>
            <w:tcBorders>
              <w:top w:val="nil"/>
              <w:left w:val="nil"/>
              <w:bottom w:val="nil"/>
              <w:right w:val="nil"/>
            </w:tcBorders>
            <w:shd w:val="clear" w:color="auto" w:fill="FCFCFC"/>
            <w:vAlign w:val="center"/>
          </w:tcPr>
          <w:p w14:paraId="398297C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6205192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shd w:val="clear" w:color="auto" w:fill="FCFCFC"/>
            <w:vAlign w:val="center"/>
          </w:tcPr>
          <w:p w14:paraId="78A232DF"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01868914" w14:textId="535155FA"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214585A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03262D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6AB1D23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42DA842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540D92A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7BF13F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686EA12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6368B2B2" w14:textId="77777777" w:rsidTr="00867427">
        <w:trPr>
          <w:jc w:val="center"/>
        </w:trPr>
        <w:tc>
          <w:tcPr>
            <w:tcW w:w="1111" w:type="dxa"/>
            <w:tcBorders>
              <w:top w:val="nil"/>
              <w:left w:val="nil"/>
              <w:bottom w:val="nil"/>
              <w:right w:val="nil"/>
            </w:tcBorders>
            <w:vAlign w:val="center"/>
          </w:tcPr>
          <w:p w14:paraId="0AD36B9F"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Nistri</w:t>
            </w:r>
            <w:proofErr w:type="spellEnd"/>
            <w:r w:rsidRPr="00104947">
              <w:rPr>
                <w:color w:val="auto"/>
                <w:sz w:val="16"/>
                <w:szCs w:val="16"/>
              </w:rPr>
              <w:t>, 2010 [65]</w:t>
            </w:r>
          </w:p>
        </w:tc>
        <w:tc>
          <w:tcPr>
            <w:tcW w:w="433" w:type="dxa"/>
            <w:tcBorders>
              <w:top w:val="nil"/>
              <w:left w:val="nil"/>
              <w:bottom w:val="nil"/>
              <w:right w:val="nil"/>
            </w:tcBorders>
            <w:vAlign w:val="center"/>
          </w:tcPr>
          <w:p w14:paraId="6BD4777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74</w:t>
            </w:r>
          </w:p>
        </w:tc>
        <w:tc>
          <w:tcPr>
            <w:tcW w:w="661" w:type="dxa"/>
            <w:tcBorders>
              <w:top w:val="nil"/>
              <w:left w:val="nil"/>
              <w:bottom w:val="nil"/>
              <w:right w:val="nil"/>
            </w:tcBorders>
            <w:vAlign w:val="center"/>
          </w:tcPr>
          <w:p w14:paraId="50F8261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45 ± 16</w:t>
            </w:r>
          </w:p>
        </w:tc>
        <w:tc>
          <w:tcPr>
            <w:tcW w:w="409" w:type="dxa"/>
            <w:tcBorders>
              <w:top w:val="nil"/>
              <w:left w:val="nil"/>
              <w:bottom w:val="nil"/>
              <w:right w:val="nil"/>
            </w:tcBorders>
            <w:vAlign w:val="center"/>
          </w:tcPr>
          <w:p w14:paraId="5AD9FE9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28</w:t>
            </w:r>
          </w:p>
        </w:tc>
        <w:tc>
          <w:tcPr>
            <w:tcW w:w="1197" w:type="dxa"/>
            <w:tcBorders>
              <w:top w:val="nil"/>
              <w:left w:val="nil"/>
              <w:bottom w:val="nil"/>
              <w:right w:val="nil"/>
            </w:tcBorders>
            <w:vAlign w:val="center"/>
          </w:tcPr>
          <w:p w14:paraId="7809F16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vAlign w:val="center"/>
          </w:tcPr>
          <w:p w14:paraId="307FD05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3269840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vAlign w:val="center"/>
          </w:tcPr>
          <w:p w14:paraId="14FB179A" w14:textId="57376310"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7FC5299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Disc. (5H-L)</w:t>
            </w:r>
          </w:p>
        </w:tc>
        <w:tc>
          <w:tcPr>
            <w:tcW w:w="1055" w:type="dxa"/>
            <w:tcBorders>
              <w:top w:val="nil"/>
              <w:left w:val="nil"/>
              <w:bottom w:val="nil"/>
              <w:right w:val="nil"/>
            </w:tcBorders>
            <w:vAlign w:val="center"/>
          </w:tcPr>
          <w:p w14:paraId="49DA4E7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5702055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03931AE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3D7C741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6A7DDA6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7930E25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5879C5E9" w14:textId="77777777" w:rsidTr="00867427">
        <w:trPr>
          <w:jc w:val="center"/>
        </w:trPr>
        <w:tc>
          <w:tcPr>
            <w:tcW w:w="1111" w:type="dxa"/>
            <w:tcBorders>
              <w:top w:val="nil"/>
              <w:left w:val="nil"/>
              <w:bottom w:val="nil"/>
              <w:right w:val="nil"/>
            </w:tcBorders>
            <w:shd w:val="clear" w:color="auto" w:fill="FCFCFC"/>
            <w:vAlign w:val="center"/>
          </w:tcPr>
          <w:p w14:paraId="429C3766"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Payá</w:t>
            </w:r>
            <w:proofErr w:type="spellEnd"/>
            <w:r w:rsidRPr="00104947">
              <w:rPr>
                <w:color w:val="auto"/>
                <w:sz w:val="16"/>
                <w:szCs w:val="16"/>
              </w:rPr>
              <w:t>, 2008 [66]</w:t>
            </w:r>
          </w:p>
        </w:tc>
        <w:tc>
          <w:tcPr>
            <w:tcW w:w="433" w:type="dxa"/>
            <w:tcBorders>
              <w:top w:val="nil"/>
              <w:left w:val="nil"/>
              <w:bottom w:val="nil"/>
              <w:right w:val="nil"/>
            </w:tcBorders>
            <w:shd w:val="clear" w:color="auto" w:fill="FCFCFC"/>
            <w:vAlign w:val="center"/>
          </w:tcPr>
          <w:p w14:paraId="7E060AA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120</w:t>
            </w:r>
          </w:p>
        </w:tc>
        <w:tc>
          <w:tcPr>
            <w:tcW w:w="661" w:type="dxa"/>
            <w:tcBorders>
              <w:top w:val="nil"/>
              <w:left w:val="nil"/>
              <w:bottom w:val="nil"/>
              <w:right w:val="nil"/>
            </w:tcBorders>
            <w:shd w:val="clear" w:color="auto" w:fill="FCFCFC"/>
            <w:vAlign w:val="center"/>
          </w:tcPr>
          <w:p w14:paraId="48D2ED1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 16</w:t>
            </w:r>
          </w:p>
        </w:tc>
        <w:tc>
          <w:tcPr>
            <w:tcW w:w="409" w:type="dxa"/>
            <w:tcBorders>
              <w:top w:val="nil"/>
              <w:left w:val="nil"/>
              <w:bottom w:val="nil"/>
              <w:right w:val="nil"/>
            </w:tcBorders>
            <w:shd w:val="clear" w:color="auto" w:fill="FCFCFC"/>
            <w:vAlign w:val="center"/>
          </w:tcPr>
          <w:p w14:paraId="5EDEC8D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30</w:t>
            </w:r>
          </w:p>
        </w:tc>
        <w:tc>
          <w:tcPr>
            <w:tcW w:w="1197" w:type="dxa"/>
            <w:tcBorders>
              <w:top w:val="nil"/>
              <w:left w:val="nil"/>
              <w:bottom w:val="nil"/>
              <w:right w:val="nil"/>
            </w:tcBorders>
            <w:shd w:val="clear" w:color="auto" w:fill="FCFCFC"/>
            <w:vAlign w:val="center"/>
          </w:tcPr>
          <w:p w14:paraId="23CC14D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67480DB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shd w:val="clear" w:color="auto" w:fill="FCFCFC"/>
            <w:vAlign w:val="center"/>
          </w:tcPr>
          <w:p w14:paraId="5242F341"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6D7AF348" w14:textId="71AB5329"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20D3F5D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shd w:val="clear" w:color="auto" w:fill="FCFCFC"/>
            <w:vAlign w:val="center"/>
          </w:tcPr>
          <w:p w14:paraId="7E8BD78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55D94C3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0C4E782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39637E2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38EA804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1748A1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1CF6C118" w14:textId="77777777" w:rsidTr="00867427">
        <w:trPr>
          <w:jc w:val="center"/>
        </w:trPr>
        <w:tc>
          <w:tcPr>
            <w:tcW w:w="1111" w:type="dxa"/>
            <w:tcBorders>
              <w:top w:val="nil"/>
              <w:left w:val="nil"/>
              <w:bottom w:val="nil"/>
              <w:right w:val="nil"/>
            </w:tcBorders>
            <w:vAlign w:val="center"/>
          </w:tcPr>
          <w:p w14:paraId="52AA654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Peteiro, 2012 [67]</w:t>
            </w:r>
          </w:p>
        </w:tc>
        <w:tc>
          <w:tcPr>
            <w:tcW w:w="433" w:type="dxa"/>
            <w:tcBorders>
              <w:top w:val="nil"/>
              <w:left w:val="nil"/>
              <w:bottom w:val="nil"/>
              <w:right w:val="nil"/>
            </w:tcBorders>
            <w:vAlign w:val="center"/>
          </w:tcPr>
          <w:p w14:paraId="6DFCCC6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239</w:t>
            </w:r>
          </w:p>
        </w:tc>
        <w:tc>
          <w:tcPr>
            <w:tcW w:w="661" w:type="dxa"/>
            <w:tcBorders>
              <w:top w:val="nil"/>
              <w:left w:val="nil"/>
              <w:bottom w:val="nil"/>
              <w:right w:val="nil"/>
            </w:tcBorders>
            <w:vAlign w:val="center"/>
          </w:tcPr>
          <w:p w14:paraId="163B7E2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15</w:t>
            </w:r>
          </w:p>
        </w:tc>
        <w:tc>
          <w:tcPr>
            <w:tcW w:w="409" w:type="dxa"/>
            <w:tcBorders>
              <w:top w:val="nil"/>
              <w:left w:val="nil"/>
              <w:bottom w:val="nil"/>
              <w:right w:val="nil"/>
            </w:tcBorders>
            <w:vAlign w:val="center"/>
          </w:tcPr>
          <w:p w14:paraId="0363E1C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39</w:t>
            </w:r>
          </w:p>
        </w:tc>
        <w:tc>
          <w:tcPr>
            <w:tcW w:w="1197" w:type="dxa"/>
            <w:tcBorders>
              <w:top w:val="nil"/>
              <w:left w:val="nil"/>
              <w:bottom w:val="nil"/>
              <w:right w:val="nil"/>
            </w:tcBorders>
            <w:vAlign w:val="center"/>
          </w:tcPr>
          <w:p w14:paraId="29DA7FC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3E654E1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vAlign w:val="center"/>
          </w:tcPr>
          <w:p w14:paraId="4F7081F2"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2A35FB5B" w14:textId="6FFB1304"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73F88EB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21893A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w:t>
            </w:r>
          </w:p>
        </w:tc>
        <w:tc>
          <w:tcPr>
            <w:tcW w:w="690" w:type="dxa"/>
            <w:tcBorders>
              <w:top w:val="nil"/>
              <w:left w:val="nil"/>
              <w:bottom w:val="nil"/>
              <w:right w:val="nil"/>
            </w:tcBorders>
            <w:vAlign w:val="center"/>
          </w:tcPr>
          <w:p w14:paraId="28976B1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53F3481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37" w:type="dxa"/>
            <w:tcBorders>
              <w:top w:val="nil"/>
              <w:left w:val="nil"/>
              <w:bottom w:val="nil"/>
              <w:right w:val="nil"/>
            </w:tcBorders>
            <w:vAlign w:val="center"/>
          </w:tcPr>
          <w:p w14:paraId="372156D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150CA6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215D8CF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r>
      <w:tr w:rsidR="00B54E50" w:rsidRPr="00104947" w14:paraId="01960B06" w14:textId="77777777" w:rsidTr="00867427">
        <w:trPr>
          <w:jc w:val="center"/>
        </w:trPr>
        <w:tc>
          <w:tcPr>
            <w:tcW w:w="1111" w:type="dxa"/>
            <w:tcBorders>
              <w:top w:val="nil"/>
              <w:left w:val="nil"/>
              <w:bottom w:val="nil"/>
              <w:right w:val="nil"/>
            </w:tcBorders>
            <w:shd w:val="clear" w:color="auto" w:fill="FCFCFC"/>
            <w:vAlign w:val="center"/>
          </w:tcPr>
          <w:p w14:paraId="415A80DF"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Pozios</w:t>
            </w:r>
            <w:proofErr w:type="spellEnd"/>
            <w:r w:rsidRPr="00104947">
              <w:rPr>
                <w:color w:val="auto"/>
                <w:sz w:val="16"/>
                <w:szCs w:val="16"/>
              </w:rPr>
              <w:t>, 2018 [68]</w:t>
            </w:r>
          </w:p>
        </w:tc>
        <w:tc>
          <w:tcPr>
            <w:tcW w:w="433" w:type="dxa"/>
            <w:tcBorders>
              <w:top w:val="nil"/>
              <w:left w:val="nil"/>
              <w:bottom w:val="nil"/>
              <w:right w:val="nil"/>
            </w:tcBorders>
            <w:shd w:val="clear" w:color="auto" w:fill="FCFCFC"/>
            <w:vAlign w:val="center"/>
          </w:tcPr>
          <w:p w14:paraId="480ECBF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95</w:t>
            </w:r>
          </w:p>
        </w:tc>
        <w:tc>
          <w:tcPr>
            <w:tcW w:w="661" w:type="dxa"/>
            <w:tcBorders>
              <w:top w:val="nil"/>
              <w:left w:val="nil"/>
              <w:bottom w:val="nil"/>
              <w:right w:val="nil"/>
            </w:tcBorders>
            <w:shd w:val="clear" w:color="auto" w:fill="FCFCFC"/>
            <w:vAlign w:val="center"/>
          </w:tcPr>
          <w:p w14:paraId="7AB3C49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49 ± 16</w:t>
            </w:r>
          </w:p>
        </w:tc>
        <w:tc>
          <w:tcPr>
            <w:tcW w:w="409" w:type="dxa"/>
            <w:tcBorders>
              <w:top w:val="nil"/>
              <w:left w:val="nil"/>
              <w:bottom w:val="nil"/>
              <w:right w:val="nil"/>
            </w:tcBorders>
            <w:shd w:val="clear" w:color="auto" w:fill="FCFCFC"/>
            <w:vAlign w:val="center"/>
          </w:tcPr>
          <w:p w14:paraId="5D8959A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31</w:t>
            </w:r>
          </w:p>
        </w:tc>
        <w:tc>
          <w:tcPr>
            <w:tcW w:w="1197" w:type="dxa"/>
            <w:tcBorders>
              <w:top w:val="nil"/>
              <w:left w:val="nil"/>
              <w:bottom w:val="nil"/>
              <w:right w:val="nil"/>
            </w:tcBorders>
            <w:shd w:val="clear" w:color="auto" w:fill="FCFCFC"/>
            <w:vAlign w:val="center"/>
          </w:tcPr>
          <w:p w14:paraId="7941271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5386A6B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shd w:val="clear" w:color="auto" w:fill="FCFCFC"/>
            <w:vAlign w:val="center"/>
          </w:tcPr>
          <w:p w14:paraId="6FB71F16"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5F306FF3" w14:textId="66AB44BE"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604398E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1C4E287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w:t>
            </w:r>
          </w:p>
        </w:tc>
        <w:tc>
          <w:tcPr>
            <w:tcW w:w="690" w:type="dxa"/>
            <w:tcBorders>
              <w:top w:val="nil"/>
              <w:left w:val="nil"/>
              <w:bottom w:val="nil"/>
              <w:right w:val="nil"/>
            </w:tcBorders>
            <w:shd w:val="clear" w:color="auto" w:fill="FCFCFC"/>
            <w:vAlign w:val="center"/>
          </w:tcPr>
          <w:p w14:paraId="7D7346C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shd w:val="clear" w:color="auto" w:fill="FCFCFC"/>
            <w:vAlign w:val="center"/>
          </w:tcPr>
          <w:p w14:paraId="4A70240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4B23F10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3CE3298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71BD2DE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2D1AF05A" w14:textId="77777777" w:rsidTr="00867427">
        <w:trPr>
          <w:jc w:val="center"/>
        </w:trPr>
        <w:tc>
          <w:tcPr>
            <w:tcW w:w="1111" w:type="dxa"/>
            <w:tcBorders>
              <w:top w:val="nil"/>
              <w:left w:val="nil"/>
              <w:bottom w:val="nil"/>
              <w:right w:val="nil"/>
            </w:tcBorders>
            <w:vAlign w:val="center"/>
          </w:tcPr>
          <w:p w14:paraId="7431A97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Re, 2017 [69]</w:t>
            </w:r>
          </w:p>
        </w:tc>
        <w:tc>
          <w:tcPr>
            <w:tcW w:w="433" w:type="dxa"/>
            <w:tcBorders>
              <w:top w:val="nil"/>
              <w:left w:val="nil"/>
              <w:bottom w:val="nil"/>
              <w:right w:val="nil"/>
            </w:tcBorders>
            <w:vAlign w:val="center"/>
          </w:tcPr>
          <w:p w14:paraId="303E19B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197</w:t>
            </w:r>
          </w:p>
        </w:tc>
        <w:tc>
          <w:tcPr>
            <w:tcW w:w="661" w:type="dxa"/>
            <w:tcBorders>
              <w:top w:val="nil"/>
              <w:left w:val="nil"/>
              <w:bottom w:val="nil"/>
              <w:right w:val="nil"/>
            </w:tcBorders>
            <w:vAlign w:val="center"/>
          </w:tcPr>
          <w:p w14:paraId="596E23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45 ± 15</w:t>
            </w:r>
          </w:p>
        </w:tc>
        <w:tc>
          <w:tcPr>
            <w:tcW w:w="409" w:type="dxa"/>
            <w:tcBorders>
              <w:top w:val="nil"/>
              <w:left w:val="nil"/>
              <w:bottom w:val="nil"/>
              <w:right w:val="nil"/>
            </w:tcBorders>
            <w:vAlign w:val="center"/>
          </w:tcPr>
          <w:p w14:paraId="7161506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35</w:t>
            </w:r>
          </w:p>
        </w:tc>
        <w:tc>
          <w:tcPr>
            <w:tcW w:w="1197" w:type="dxa"/>
            <w:tcBorders>
              <w:top w:val="nil"/>
              <w:left w:val="nil"/>
              <w:bottom w:val="nil"/>
              <w:right w:val="nil"/>
            </w:tcBorders>
            <w:vAlign w:val="center"/>
          </w:tcPr>
          <w:p w14:paraId="3D55AD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vAlign w:val="center"/>
          </w:tcPr>
          <w:p w14:paraId="1AF472E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2EE801F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10W</w:t>
            </w:r>
          </w:p>
        </w:tc>
        <w:tc>
          <w:tcPr>
            <w:tcW w:w="575" w:type="dxa"/>
            <w:tcBorders>
              <w:top w:val="nil"/>
              <w:left w:val="nil"/>
              <w:bottom w:val="nil"/>
              <w:right w:val="nil"/>
            </w:tcBorders>
            <w:vAlign w:val="center"/>
          </w:tcPr>
          <w:p w14:paraId="159F8373" w14:textId="69C90740"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vAlign w:val="center"/>
          </w:tcPr>
          <w:p w14:paraId="238280C9" w14:textId="4021A501" w:rsidR="001B672C" w:rsidRPr="00104947" w:rsidRDefault="001B672C" w:rsidP="00B54E50">
            <w:pPr>
              <w:pStyle w:val="MDPI42tablebody"/>
              <w:autoSpaceDE w:val="0"/>
              <w:autoSpaceDN w:val="0"/>
              <w:rPr>
                <w:color w:val="auto"/>
                <w:sz w:val="16"/>
                <w:szCs w:val="16"/>
              </w:rPr>
            </w:pPr>
            <w:r w:rsidRPr="00104947">
              <w:rPr>
                <w:color w:val="auto"/>
                <w:sz w:val="16"/>
                <w:szCs w:val="16"/>
              </w:rPr>
              <w:t>Disc. (72</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vAlign w:val="center"/>
          </w:tcPr>
          <w:p w14:paraId="609366B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11D8C0E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436CC41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vAlign w:val="center"/>
          </w:tcPr>
          <w:p w14:paraId="3EAAA6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33CEE70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2381295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r>
      <w:tr w:rsidR="00B54E50" w:rsidRPr="00104947" w14:paraId="6A6D9E41" w14:textId="77777777" w:rsidTr="00867427">
        <w:trPr>
          <w:jc w:val="center"/>
        </w:trPr>
        <w:tc>
          <w:tcPr>
            <w:tcW w:w="1111" w:type="dxa"/>
            <w:tcBorders>
              <w:top w:val="nil"/>
              <w:left w:val="nil"/>
              <w:bottom w:val="nil"/>
              <w:right w:val="nil"/>
            </w:tcBorders>
            <w:shd w:val="clear" w:color="auto" w:fill="FCFCFC"/>
            <w:vAlign w:val="center"/>
          </w:tcPr>
          <w:p w14:paraId="7D83840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Romero, 2008 [70]</w:t>
            </w:r>
          </w:p>
        </w:tc>
        <w:tc>
          <w:tcPr>
            <w:tcW w:w="433" w:type="dxa"/>
            <w:tcBorders>
              <w:top w:val="nil"/>
              <w:left w:val="nil"/>
              <w:bottom w:val="nil"/>
              <w:right w:val="nil"/>
            </w:tcBorders>
            <w:shd w:val="clear" w:color="auto" w:fill="FCFCFC"/>
            <w:vAlign w:val="center"/>
          </w:tcPr>
          <w:p w14:paraId="396E2BB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98</w:t>
            </w:r>
          </w:p>
        </w:tc>
        <w:tc>
          <w:tcPr>
            <w:tcW w:w="661" w:type="dxa"/>
            <w:tcBorders>
              <w:top w:val="nil"/>
              <w:left w:val="nil"/>
              <w:bottom w:val="nil"/>
              <w:right w:val="nil"/>
            </w:tcBorders>
            <w:shd w:val="clear" w:color="auto" w:fill="FCFCFC"/>
            <w:vAlign w:val="center"/>
          </w:tcPr>
          <w:p w14:paraId="528FAD1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46 ± 15</w:t>
            </w:r>
          </w:p>
        </w:tc>
        <w:tc>
          <w:tcPr>
            <w:tcW w:w="409" w:type="dxa"/>
            <w:tcBorders>
              <w:top w:val="nil"/>
              <w:left w:val="nil"/>
              <w:bottom w:val="nil"/>
              <w:right w:val="nil"/>
            </w:tcBorders>
            <w:shd w:val="clear" w:color="auto" w:fill="FCFCFC"/>
            <w:vAlign w:val="center"/>
          </w:tcPr>
          <w:p w14:paraId="6CF16D7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29</w:t>
            </w:r>
          </w:p>
        </w:tc>
        <w:tc>
          <w:tcPr>
            <w:tcW w:w="1197" w:type="dxa"/>
            <w:tcBorders>
              <w:top w:val="nil"/>
              <w:left w:val="nil"/>
              <w:bottom w:val="nil"/>
              <w:right w:val="nil"/>
            </w:tcBorders>
            <w:shd w:val="clear" w:color="auto" w:fill="FCFCFC"/>
            <w:vAlign w:val="center"/>
          </w:tcPr>
          <w:p w14:paraId="0500EA4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0F27CE3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 M</w:t>
            </w:r>
          </w:p>
        </w:tc>
        <w:tc>
          <w:tcPr>
            <w:tcW w:w="673" w:type="dxa"/>
            <w:tcBorders>
              <w:top w:val="nil"/>
              <w:left w:val="nil"/>
              <w:bottom w:val="nil"/>
              <w:right w:val="nil"/>
            </w:tcBorders>
            <w:shd w:val="clear" w:color="auto" w:fill="FCFCFC"/>
            <w:vAlign w:val="center"/>
          </w:tcPr>
          <w:p w14:paraId="051E6DC5"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shd w:val="clear" w:color="auto" w:fill="FCFCFC"/>
            <w:vAlign w:val="center"/>
          </w:tcPr>
          <w:p w14:paraId="7B65DFFA" w14:textId="7C268BAF"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shd w:val="clear" w:color="auto" w:fill="FCFCFC"/>
            <w:vAlign w:val="center"/>
          </w:tcPr>
          <w:p w14:paraId="0E4E699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shd w:val="clear" w:color="auto" w:fill="FCFCFC"/>
            <w:vAlign w:val="center"/>
          </w:tcPr>
          <w:p w14:paraId="7136862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53C6338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75B3B17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09ABD98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0C4EBF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shd w:val="clear" w:color="auto" w:fill="FCFCFC"/>
            <w:vAlign w:val="center"/>
          </w:tcPr>
          <w:p w14:paraId="3D9DD12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17898E68" w14:textId="77777777" w:rsidTr="00867427">
        <w:trPr>
          <w:jc w:val="center"/>
        </w:trPr>
        <w:tc>
          <w:tcPr>
            <w:tcW w:w="1111" w:type="dxa"/>
            <w:tcBorders>
              <w:top w:val="nil"/>
              <w:left w:val="nil"/>
              <w:bottom w:val="nil"/>
              <w:right w:val="nil"/>
            </w:tcBorders>
            <w:vAlign w:val="center"/>
          </w:tcPr>
          <w:p w14:paraId="0A5D22B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Rosing, 1979 [71]</w:t>
            </w:r>
          </w:p>
        </w:tc>
        <w:tc>
          <w:tcPr>
            <w:tcW w:w="433" w:type="dxa"/>
            <w:tcBorders>
              <w:top w:val="nil"/>
              <w:left w:val="nil"/>
              <w:bottom w:val="nil"/>
              <w:right w:val="nil"/>
            </w:tcBorders>
            <w:vAlign w:val="center"/>
          </w:tcPr>
          <w:p w14:paraId="3208BC8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27</w:t>
            </w:r>
          </w:p>
        </w:tc>
        <w:tc>
          <w:tcPr>
            <w:tcW w:w="661" w:type="dxa"/>
            <w:tcBorders>
              <w:top w:val="nil"/>
              <w:left w:val="nil"/>
              <w:bottom w:val="nil"/>
              <w:right w:val="nil"/>
            </w:tcBorders>
            <w:vAlign w:val="center"/>
          </w:tcPr>
          <w:p w14:paraId="1435C49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44 ± 3</w:t>
            </w:r>
          </w:p>
        </w:tc>
        <w:tc>
          <w:tcPr>
            <w:tcW w:w="409" w:type="dxa"/>
            <w:tcBorders>
              <w:top w:val="nil"/>
              <w:left w:val="nil"/>
              <w:bottom w:val="nil"/>
              <w:right w:val="nil"/>
            </w:tcBorders>
            <w:vAlign w:val="center"/>
          </w:tcPr>
          <w:p w14:paraId="6DC483A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41</w:t>
            </w:r>
          </w:p>
        </w:tc>
        <w:tc>
          <w:tcPr>
            <w:tcW w:w="1197" w:type="dxa"/>
            <w:tcBorders>
              <w:top w:val="nil"/>
              <w:left w:val="nil"/>
              <w:bottom w:val="nil"/>
              <w:right w:val="nil"/>
            </w:tcBorders>
            <w:vAlign w:val="center"/>
          </w:tcPr>
          <w:p w14:paraId="26FB04C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06F3ADE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mph</w:t>
            </w:r>
          </w:p>
        </w:tc>
        <w:tc>
          <w:tcPr>
            <w:tcW w:w="673" w:type="dxa"/>
            <w:tcBorders>
              <w:top w:val="nil"/>
              <w:left w:val="nil"/>
              <w:bottom w:val="nil"/>
              <w:right w:val="nil"/>
            </w:tcBorders>
            <w:vAlign w:val="center"/>
          </w:tcPr>
          <w:p w14:paraId="4D63155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w:t>
            </w:r>
          </w:p>
        </w:tc>
        <w:tc>
          <w:tcPr>
            <w:tcW w:w="575" w:type="dxa"/>
            <w:tcBorders>
              <w:top w:val="nil"/>
              <w:left w:val="nil"/>
              <w:bottom w:val="nil"/>
              <w:right w:val="nil"/>
            </w:tcBorders>
            <w:vAlign w:val="center"/>
          </w:tcPr>
          <w:p w14:paraId="6D367AB4" w14:textId="6DA0292D"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5E0E2BE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Administered</w:t>
            </w:r>
          </w:p>
        </w:tc>
        <w:tc>
          <w:tcPr>
            <w:tcW w:w="1055" w:type="dxa"/>
            <w:tcBorders>
              <w:top w:val="nil"/>
              <w:left w:val="nil"/>
              <w:bottom w:val="nil"/>
              <w:right w:val="nil"/>
            </w:tcBorders>
            <w:vAlign w:val="center"/>
          </w:tcPr>
          <w:p w14:paraId="60B6EE9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64EC277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52B2EFC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35A650B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418" w:type="dxa"/>
            <w:tcBorders>
              <w:top w:val="nil"/>
              <w:left w:val="nil"/>
              <w:bottom w:val="nil"/>
              <w:right w:val="nil"/>
            </w:tcBorders>
            <w:vAlign w:val="center"/>
          </w:tcPr>
          <w:p w14:paraId="4873034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7F5268C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6BE7D928" w14:textId="77777777" w:rsidTr="00867427">
        <w:trPr>
          <w:jc w:val="center"/>
        </w:trPr>
        <w:tc>
          <w:tcPr>
            <w:tcW w:w="1111" w:type="dxa"/>
            <w:tcBorders>
              <w:top w:val="nil"/>
              <w:left w:val="nil"/>
              <w:bottom w:val="nil"/>
              <w:right w:val="nil"/>
            </w:tcBorders>
            <w:shd w:val="clear" w:color="auto" w:fill="FCFCFC"/>
            <w:vAlign w:val="center"/>
          </w:tcPr>
          <w:p w14:paraId="1328DA9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Sachdev, 2005 [72]</w:t>
            </w:r>
          </w:p>
        </w:tc>
        <w:tc>
          <w:tcPr>
            <w:tcW w:w="433" w:type="dxa"/>
            <w:tcBorders>
              <w:top w:val="nil"/>
              <w:left w:val="nil"/>
              <w:bottom w:val="nil"/>
              <w:right w:val="nil"/>
            </w:tcBorders>
            <w:shd w:val="clear" w:color="auto" w:fill="FCFCFC"/>
            <w:vAlign w:val="center"/>
          </w:tcPr>
          <w:p w14:paraId="215780A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43</w:t>
            </w:r>
          </w:p>
        </w:tc>
        <w:tc>
          <w:tcPr>
            <w:tcW w:w="661" w:type="dxa"/>
            <w:tcBorders>
              <w:top w:val="nil"/>
              <w:left w:val="nil"/>
              <w:bottom w:val="nil"/>
              <w:right w:val="nil"/>
            </w:tcBorders>
            <w:shd w:val="clear" w:color="auto" w:fill="FCFCFC"/>
            <w:vAlign w:val="center"/>
          </w:tcPr>
          <w:p w14:paraId="34EFEC7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36 ± 10</w:t>
            </w:r>
          </w:p>
        </w:tc>
        <w:tc>
          <w:tcPr>
            <w:tcW w:w="409" w:type="dxa"/>
            <w:tcBorders>
              <w:top w:val="nil"/>
              <w:left w:val="nil"/>
              <w:bottom w:val="nil"/>
              <w:right w:val="nil"/>
            </w:tcBorders>
            <w:shd w:val="clear" w:color="auto" w:fill="FCFCFC"/>
            <w:vAlign w:val="center"/>
          </w:tcPr>
          <w:p w14:paraId="734FBB5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40</w:t>
            </w:r>
          </w:p>
        </w:tc>
        <w:tc>
          <w:tcPr>
            <w:tcW w:w="1197" w:type="dxa"/>
            <w:tcBorders>
              <w:top w:val="nil"/>
              <w:left w:val="nil"/>
              <w:bottom w:val="nil"/>
              <w:right w:val="nil"/>
            </w:tcBorders>
            <w:shd w:val="clear" w:color="auto" w:fill="FCFCFC"/>
            <w:vAlign w:val="center"/>
          </w:tcPr>
          <w:p w14:paraId="54D1F8B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163EE8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shd w:val="clear" w:color="auto" w:fill="FCFCFC"/>
            <w:vAlign w:val="center"/>
          </w:tcPr>
          <w:p w14:paraId="067CCBF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15 W</w:t>
            </w:r>
          </w:p>
        </w:tc>
        <w:tc>
          <w:tcPr>
            <w:tcW w:w="575" w:type="dxa"/>
            <w:tcBorders>
              <w:top w:val="nil"/>
              <w:left w:val="nil"/>
              <w:bottom w:val="nil"/>
              <w:right w:val="nil"/>
            </w:tcBorders>
            <w:shd w:val="clear" w:color="auto" w:fill="FCFCFC"/>
            <w:vAlign w:val="center"/>
          </w:tcPr>
          <w:p w14:paraId="7CAA647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shd w:val="clear" w:color="auto" w:fill="FCFCFC"/>
            <w:vAlign w:val="center"/>
          </w:tcPr>
          <w:p w14:paraId="2FDD85A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shd w:val="clear" w:color="auto" w:fill="FCFCFC"/>
            <w:vAlign w:val="center"/>
          </w:tcPr>
          <w:p w14:paraId="605DD9F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0B7EF72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top w:val="nil"/>
              <w:left w:val="nil"/>
              <w:bottom w:val="nil"/>
              <w:right w:val="nil"/>
            </w:tcBorders>
            <w:shd w:val="clear" w:color="auto" w:fill="FCFCFC"/>
            <w:vAlign w:val="center"/>
          </w:tcPr>
          <w:p w14:paraId="20DD402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nil"/>
              <w:right w:val="nil"/>
            </w:tcBorders>
            <w:shd w:val="clear" w:color="auto" w:fill="FCFCFC"/>
            <w:vAlign w:val="center"/>
          </w:tcPr>
          <w:p w14:paraId="62F30AF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shd w:val="clear" w:color="auto" w:fill="FCFCFC"/>
            <w:vAlign w:val="center"/>
          </w:tcPr>
          <w:p w14:paraId="20F83D5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6E55C8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3A6691FB" w14:textId="77777777" w:rsidTr="00867427">
        <w:trPr>
          <w:jc w:val="center"/>
        </w:trPr>
        <w:tc>
          <w:tcPr>
            <w:tcW w:w="1111" w:type="dxa"/>
            <w:tcBorders>
              <w:top w:val="nil"/>
              <w:left w:val="nil"/>
              <w:bottom w:val="nil"/>
              <w:right w:val="nil"/>
            </w:tcBorders>
            <w:vAlign w:val="center"/>
          </w:tcPr>
          <w:p w14:paraId="3882D648"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Saura</w:t>
            </w:r>
            <w:proofErr w:type="spellEnd"/>
            <w:r w:rsidRPr="00104947">
              <w:rPr>
                <w:color w:val="auto"/>
                <w:sz w:val="16"/>
                <w:szCs w:val="16"/>
              </w:rPr>
              <w:t>, 2009 [73]</w:t>
            </w:r>
          </w:p>
        </w:tc>
        <w:tc>
          <w:tcPr>
            <w:tcW w:w="433" w:type="dxa"/>
            <w:tcBorders>
              <w:top w:val="nil"/>
              <w:left w:val="nil"/>
              <w:bottom w:val="nil"/>
              <w:right w:val="nil"/>
            </w:tcBorders>
            <w:vAlign w:val="center"/>
          </w:tcPr>
          <w:p w14:paraId="0E6360A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75</w:t>
            </w:r>
          </w:p>
        </w:tc>
        <w:tc>
          <w:tcPr>
            <w:tcW w:w="661" w:type="dxa"/>
            <w:tcBorders>
              <w:top w:val="nil"/>
              <w:left w:val="nil"/>
              <w:bottom w:val="nil"/>
              <w:right w:val="nil"/>
            </w:tcBorders>
            <w:vAlign w:val="center"/>
          </w:tcPr>
          <w:p w14:paraId="157F87A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46 ± 14</w:t>
            </w:r>
          </w:p>
        </w:tc>
        <w:tc>
          <w:tcPr>
            <w:tcW w:w="409" w:type="dxa"/>
            <w:tcBorders>
              <w:top w:val="nil"/>
              <w:left w:val="nil"/>
              <w:bottom w:val="nil"/>
              <w:right w:val="nil"/>
            </w:tcBorders>
            <w:vAlign w:val="center"/>
          </w:tcPr>
          <w:p w14:paraId="58834F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w:t>
            </w:r>
          </w:p>
        </w:tc>
        <w:tc>
          <w:tcPr>
            <w:tcW w:w="1197" w:type="dxa"/>
            <w:tcBorders>
              <w:top w:val="nil"/>
              <w:left w:val="nil"/>
              <w:bottom w:val="nil"/>
              <w:right w:val="nil"/>
            </w:tcBorders>
            <w:vAlign w:val="center"/>
          </w:tcPr>
          <w:p w14:paraId="407CB9E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0BF5C43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nil"/>
              <w:right w:val="nil"/>
            </w:tcBorders>
            <w:vAlign w:val="center"/>
          </w:tcPr>
          <w:p w14:paraId="6E763DC3"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nil"/>
              <w:right w:val="nil"/>
            </w:tcBorders>
            <w:vAlign w:val="center"/>
          </w:tcPr>
          <w:p w14:paraId="492C475E" w14:textId="42F25EBC"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nil"/>
              <w:right w:val="nil"/>
            </w:tcBorders>
            <w:vAlign w:val="center"/>
          </w:tcPr>
          <w:p w14:paraId="42BABFC8" w14:textId="65C3DF71" w:rsidR="001B672C" w:rsidRPr="00104947" w:rsidRDefault="001B672C" w:rsidP="00B54E50">
            <w:pPr>
              <w:pStyle w:val="MDPI42tablebody"/>
              <w:autoSpaceDE w:val="0"/>
              <w:autoSpaceDN w:val="0"/>
              <w:rPr>
                <w:color w:val="auto"/>
                <w:sz w:val="16"/>
                <w:szCs w:val="16"/>
              </w:rPr>
            </w:pPr>
            <w:r w:rsidRPr="00104947">
              <w:rPr>
                <w:color w:val="auto"/>
                <w:sz w:val="16"/>
                <w:szCs w:val="16"/>
              </w:rPr>
              <w:t>Disc. (48</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vAlign w:val="center"/>
          </w:tcPr>
          <w:p w14:paraId="115C454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w:t>
            </w:r>
          </w:p>
        </w:tc>
        <w:tc>
          <w:tcPr>
            <w:tcW w:w="690" w:type="dxa"/>
            <w:tcBorders>
              <w:top w:val="nil"/>
              <w:left w:val="nil"/>
              <w:bottom w:val="nil"/>
              <w:right w:val="nil"/>
            </w:tcBorders>
            <w:vAlign w:val="center"/>
          </w:tcPr>
          <w:p w14:paraId="1BDB9F8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5383978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7A5899D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3413973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6E9DE4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68EC0A7B" w14:textId="77777777" w:rsidTr="00867427">
        <w:trPr>
          <w:jc w:val="center"/>
        </w:trPr>
        <w:tc>
          <w:tcPr>
            <w:tcW w:w="1111" w:type="dxa"/>
            <w:tcBorders>
              <w:top w:val="nil"/>
              <w:left w:val="nil"/>
              <w:bottom w:val="nil"/>
              <w:right w:val="nil"/>
            </w:tcBorders>
            <w:shd w:val="clear" w:color="auto" w:fill="FCFCFC"/>
            <w:vAlign w:val="center"/>
          </w:tcPr>
          <w:p w14:paraId="0BFB1C8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Shah, 2019 [74]</w:t>
            </w:r>
          </w:p>
        </w:tc>
        <w:tc>
          <w:tcPr>
            <w:tcW w:w="433" w:type="dxa"/>
            <w:tcBorders>
              <w:top w:val="nil"/>
              <w:left w:val="nil"/>
              <w:bottom w:val="nil"/>
              <w:right w:val="nil"/>
            </w:tcBorders>
            <w:shd w:val="clear" w:color="auto" w:fill="FCFCFC"/>
            <w:vAlign w:val="center"/>
          </w:tcPr>
          <w:p w14:paraId="3B8258C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9</w:t>
            </w:r>
          </w:p>
        </w:tc>
        <w:tc>
          <w:tcPr>
            <w:tcW w:w="661" w:type="dxa"/>
            <w:tcBorders>
              <w:top w:val="nil"/>
              <w:left w:val="nil"/>
              <w:bottom w:val="nil"/>
              <w:right w:val="nil"/>
            </w:tcBorders>
            <w:shd w:val="clear" w:color="auto" w:fill="FCFCFC"/>
            <w:vAlign w:val="center"/>
          </w:tcPr>
          <w:p w14:paraId="1294E68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29 ± 8</w:t>
            </w:r>
          </w:p>
        </w:tc>
        <w:tc>
          <w:tcPr>
            <w:tcW w:w="409" w:type="dxa"/>
            <w:tcBorders>
              <w:top w:val="nil"/>
              <w:left w:val="nil"/>
              <w:bottom w:val="nil"/>
              <w:right w:val="nil"/>
            </w:tcBorders>
            <w:shd w:val="clear" w:color="auto" w:fill="FCFCFC"/>
            <w:vAlign w:val="center"/>
          </w:tcPr>
          <w:p w14:paraId="755C4B7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w:t>
            </w:r>
          </w:p>
        </w:tc>
        <w:tc>
          <w:tcPr>
            <w:tcW w:w="1197" w:type="dxa"/>
            <w:tcBorders>
              <w:top w:val="nil"/>
              <w:left w:val="nil"/>
              <w:bottom w:val="nil"/>
              <w:right w:val="nil"/>
            </w:tcBorders>
            <w:shd w:val="clear" w:color="auto" w:fill="FCFCFC"/>
            <w:vAlign w:val="center"/>
          </w:tcPr>
          <w:p w14:paraId="70C700B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1D7293F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0 W</w:t>
            </w:r>
          </w:p>
        </w:tc>
        <w:tc>
          <w:tcPr>
            <w:tcW w:w="673" w:type="dxa"/>
            <w:tcBorders>
              <w:top w:val="nil"/>
              <w:left w:val="nil"/>
              <w:bottom w:val="nil"/>
              <w:right w:val="nil"/>
            </w:tcBorders>
            <w:shd w:val="clear" w:color="auto" w:fill="FCFCFC"/>
            <w:vAlign w:val="center"/>
          </w:tcPr>
          <w:p w14:paraId="4FA43D5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20 W</w:t>
            </w:r>
          </w:p>
        </w:tc>
        <w:tc>
          <w:tcPr>
            <w:tcW w:w="575" w:type="dxa"/>
            <w:tcBorders>
              <w:top w:val="nil"/>
              <w:left w:val="nil"/>
              <w:bottom w:val="nil"/>
              <w:right w:val="nil"/>
            </w:tcBorders>
            <w:shd w:val="clear" w:color="auto" w:fill="FCFCFC"/>
            <w:vAlign w:val="center"/>
          </w:tcPr>
          <w:p w14:paraId="6AD1B959" w14:textId="318C2C84"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0AC072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13F5C3B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Blood analysis</w:t>
            </w:r>
          </w:p>
        </w:tc>
        <w:tc>
          <w:tcPr>
            <w:tcW w:w="690" w:type="dxa"/>
            <w:tcBorders>
              <w:top w:val="nil"/>
              <w:left w:val="nil"/>
              <w:bottom w:val="nil"/>
              <w:right w:val="nil"/>
            </w:tcBorders>
            <w:shd w:val="clear" w:color="auto" w:fill="FCFCFC"/>
            <w:vAlign w:val="center"/>
          </w:tcPr>
          <w:p w14:paraId="5661F8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top w:val="nil"/>
              <w:left w:val="nil"/>
              <w:bottom w:val="nil"/>
              <w:right w:val="nil"/>
            </w:tcBorders>
            <w:shd w:val="clear" w:color="auto" w:fill="FCFCFC"/>
            <w:vAlign w:val="center"/>
          </w:tcPr>
          <w:p w14:paraId="0793C37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4ABDAB8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9694B7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078087F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r>
      <w:tr w:rsidR="00B54E50" w:rsidRPr="00104947" w14:paraId="32303CF6" w14:textId="77777777" w:rsidTr="00867427">
        <w:trPr>
          <w:jc w:val="center"/>
        </w:trPr>
        <w:tc>
          <w:tcPr>
            <w:tcW w:w="1111" w:type="dxa"/>
            <w:tcBorders>
              <w:top w:val="nil"/>
              <w:left w:val="nil"/>
              <w:bottom w:val="nil"/>
              <w:right w:val="nil"/>
            </w:tcBorders>
            <w:vAlign w:val="center"/>
          </w:tcPr>
          <w:p w14:paraId="425AFA08"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Shizukuda</w:t>
            </w:r>
            <w:proofErr w:type="spellEnd"/>
            <w:r w:rsidRPr="00104947">
              <w:rPr>
                <w:color w:val="auto"/>
                <w:sz w:val="16"/>
                <w:szCs w:val="16"/>
              </w:rPr>
              <w:t>, 2005 [75]</w:t>
            </w:r>
          </w:p>
        </w:tc>
        <w:tc>
          <w:tcPr>
            <w:tcW w:w="433" w:type="dxa"/>
            <w:tcBorders>
              <w:top w:val="nil"/>
              <w:left w:val="nil"/>
              <w:bottom w:val="nil"/>
              <w:right w:val="nil"/>
            </w:tcBorders>
            <w:vAlign w:val="center"/>
          </w:tcPr>
          <w:p w14:paraId="3736ED9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49</w:t>
            </w:r>
          </w:p>
        </w:tc>
        <w:tc>
          <w:tcPr>
            <w:tcW w:w="661" w:type="dxa"/>
            <w:tcBorders>
              <w:top w:val="nil"/>
              <w:left w:val="nil"/>
              <w:bottom w:val="nil"/>
              <w:right w:val="nil"/>
            </w:tcBorders>
            <w:vAlign w:val="center"/>
          </w:tcPr>
          <w:p w14:paraId="51453D7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36 ± 10</w:t>
            </w:r>
          </w:p>
        </w:tc>
        <w:tc>
          <w:tcPr>
            <w:tcW w:w="409" w:type="dxa"/>
            <w:tcBorders>
              <w:top w:val="nil"/>
              <w:left w:val="nil"/>
              <w:bottom w:val="nil"/>
              <w:right w:val="nil"/>
            </w:tcBorders>
            <w:vAlign w:val="center"/>
          </w:tcPr>
          <w:p w14:paraId="68535A3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41</w:t>
            </w:r>
          </w:p>
        </w:tc>
        <w:tc>
          <w:tcPr>
            <w:tcW w:w="1197" w:type="dxa"/>
            <w:tcBorders>
              <w:top w:val="nil"/>
              <w:left w:val="nil"/>
              <w:bottom w:val="nil"/>
              <w:right w:val="nil"/>
            </w:tcBorders>
            <w:vAlign w:val="center"/>
          </w:tcPr>
          <w:p w14:paraId="60B7D57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vAlign w:val="center"/>
          </w:tcPr>
          <w:p w14:paraId="078594B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2AA62F4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 W</w:t>
            </w:r>
          </w:p>
        </w:tc>
        <w:tc>
          <w:tcPr>
            <w:tcW w:w="575" w:type="dxa"/>
            <w:tcBorders>
              <w:top w:val="nil"/>
              <w:left w:val="nil"/>
              <w:bottom w:val="nil"/>
              <w:right w:val="nil"/>
            </w:tcBorders>
            <w:vAlign w:val="center"/>
          </w:tcPr>
          <w:p w14:paraId="4471977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vAlign w:val="center"/>
          </w:tcPr>
          <w:p w14:paraId="54CD22D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registered</w:t>
            </w:r>
          </w:p>
        </w:tc>
        <w:tc>
          <w:tcPr>
            <w:tcW w:w="1055" w:type="dxa"/>
            <w:tcBorders>
              <w:top w:val="nil"/>
              <w:left w:val="nil"/>
              <w:bottom w:val="nil"/>
              <w:right w:val="nil"/>
            </w:tcBorders>
            <w:vAlign w:val="center"/>
          </w:tcPr>
          <w:p w14:paraId="5CBEBE8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1C9FA61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top w:val="nil"/>
              <w:left w:val="nil"/>
              <w:bottom w:val="nil"/>
              <w:right w:val="nil"/>
            </w:tcBorders>
            <w:vAlign w:val="center"/>
          </w:tcPr>
          <w:p w14:paraId="33B2CB6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6D31A6C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418" w:type="dxa"/>
            <w:tcBorders>
              <w:top w:val="nil"/>
              <w:left w:val="nil"/>
              <w:bottom w:val="nil"/>
              <w:right w:val="nil"/>
            </w:tcBorders>
            <w:vAlign w:val="center"/>
          </w:tcPr>
          <w:p w14:paraId="24D7E5E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099B9F0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78E1031A" w14:textId="77777777" w:rsidTr="00867427">
        <w:trPr>
          <w:jc w:val="center"/>
        </w:trPr>
        <w:tc>
          <w:tcPr>
            <w:tcW w:w="1111" w:type="dxa"/>
            <w:tcBorders>
              <w:top w:val="nil"/>
              <w:left w:val="nil"/>
              <w:bottom w:val="nil"/>
              <w:right w:val="nil"/>
            </w:tcBorders>
            <w:shd w:val="clear" w:color="auto" w:fill="FCFCFC"/>
            <w:vAlign w:val="center"/>
          </w:tcPr>
          <w:p w14:paraId="7F9F816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Smith, 2018 [76]</w:t>
            </w:r>
          </w:p>
        </w:tc>
        <w:tc>
          <w:tcPr>
            <w:tcW w:w="433" w:type="dxa"/>
            <w:tcBorders>
              <w:top w:val="nil"/>
              <w:left w:val="nil"/>
              <w:bottom w:val="nil"/>
              <w:right w:val="nil"/>
            </w:tcBorders>
            <w:shd w:val="clear" w:color="auto" w:fill="FCFCFC"/>
            <w:vAlign w:val="center"/>
          </w:tcPr>
          <w:p w14:paraId="25345D0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589</w:t>
            </w:r>
          </w:p>
        </w:tc>
        <w:tc>
          <w:tcPr>
            <w:tcW w:w="661" w:type="dxa"/>
            <w:tcBorders>
              <w:top w:val="nil"/>
              <w:left w:val="nil"/>
              <w:bottom w:val="nil"/>
              <w:right w:val="nil"/>
            </w:tcBorders>
            <w:shd w:val="clear" w:color="auto" w:fill="FCFCFC"/>
            <w:vAlign w:val="center"/>
          </w:tcPr>
          <w:p w14:paraId="64E1C54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51 ± 14</w:t>
            </w:r>
          </w:p>
        </w:tc>
        <w:tc>
          <w:tcPr>
            <w:tcW w:w="409" w:type="dxa"/>
            <w:tcBorders>
              <w:top w:val="nil"/>
              <w:left w:val="nil"/>
              <w:bottom w:val="nil"/>
              <w:right w:val="nil"/>
            </w:tcBorders>
            <w:shd w:val="clear" w:color="auto" w:fill="FCFCFC"/>
            <w:vAlign w:val="center"/>
          </w:tcPr>
          <w:p w14:paraId="44596E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39</w:t>
            </w:r>
          </w:p>
        </w:tc>
        <w:tc>
          <w:tcPr>
            <w:tcW w:w="1197" w:type="dxa"/>
            <w:tcBorders>
              <w:top w:val="nil"/>
              <w:left w:val="nil"/>
              <w:bottom w:val="nil"/>
              <w:right w:val="nil"/>
            </w:tcBorders>
            <w:shd w:val="clear" w:color="auto" w:fill="FCFCFC"/>
            <w:vAlign w:val="center"/>
          </w:tcPr>
          <w:p w14:paraId="35F162E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shd w:val="clear" w:color="auto" w:fill="FCFCFC"/>
            <w:vAlign w:val="center"/>
          </w:tcPr>
          <w:p w14:paraId="086BB3B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shd w:val="clear" w:color="auto" w:fill="FCFCFC"/>
            <w:vAlign w:val="center"/>
          </w:tcPr>
          <w:p w14:paraId="26DA937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575" w:type="dxa"/>
            <w:tcBorders>
              <w:top w:val="nil"/>
              <w:left w:val="nil"/>
              <w:bottom w:val="nil"/>
              <w:right w:val="nil"/>
            </w:tcBorders>
            <w:shd w:val="clear" w:color="auto" w:fill="FCFCFC"/>
            <w:vAlign w:val="center"/>
          </w:tcPr>
          <w:p w14:paraId="2A579B6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5" w:type="dxa"/>
            <w:tcBorders>
              <w:top w:val="nil"/>
              <w:left w:val="nil"/>
              <w:bottom w:val="nil"/>
              <w:right w:val="nil"/>
            </w:tcBorders>
            <w:shd w:val="clear" w:color="auto" w:fill="FCFCFC"/>
            <w:vAlign w:val="center"/>
          </w:tcPr>
          <w:p w14:paraId="7DF1F5E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46740BF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6CFCDE0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3BDE625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5D6FC5F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240AD2E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4E499B8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30441491" w14:textId="77777777" w:rsidTr="00867427">
        <w:trPr>
          <w:jc w:val="center"/>
        </w:trPr>
        <w:tc>
          <w:tcPr>
            <w:tcW w:w="1111" w:type="dxa"/>
            <w:tcBorders>
              <w:top w:val="nil"/>
              <w:left w:val="nil"/>
              <w:bottom w:val="nil"/>
              <w:right w:val="nil"/>
            </w:tcBorders>
            <w:vAlign w:val="center"/>
          </w:tcPr>
          <w:p w14:paraId="6B40F3F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Smith, 2018 [77]</w:t>
            </w:r>
          </w:p>
        </w:tc>
        <w:tc>
          <w:tcPr>
            <w:tcW w:w="433" w:type="dxa"/>
            <w:tcBorders>
              <w:top w:val="nil"/>
              <w:left w:val="nil"/>
              <w:bottom w:val="nil"/>
              <w:right w:val="nil"/>
            </w:tcBorders>
            <w:vAlign w:val="center"/>
          </w:tcPr>
          <w:p w14:paraId="35DBCD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1177</w:t>
            </w:r>
          </w:p>
        </w:tc>
        <w:tc>
          <w:tcPr>
            <w:tcW w:w="661" w:type="dxa"/>
            <w:tcBorders>
              <w:top w:val="nil"/>
              <w:left w:val="nil"/>
              <w:bottom w:val="nil"/>
              <w:right w:val="nil"/>
            </w:tcBorders>
            <w:vAlign w:val="center"/>
          </w:tcPr>
          <w:p w14:paraId="4C565DD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53 ± 14</w:t>
            </w:r>
          </w:p>
        </w:tc>
        <w:tc>
          <w:tcPr>
            <w:tcW w:w="409" w:type="dxa"/>
            <w:tcBorders>
              <w:top w:val="nil"/>
              <w:left w:val="nil"/>
              <w:bottom w:val="nil"/>
              <w:right w:val="nil"/>
            </w:tcBorders>
            <w:vAlign w:val="center"/>
          </w:tcPr>
          <w:p w14:paraId="285ACD1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43</w:t>
            </w:r>
          </w:p>
        </w:tc>
        <w:tc>
          <w:tcPr>
            <w:tcW w:w="1197" w:type="dxa"/>
            <w:tcBorders>
              <w:top w:val="nil"/>
              <w:left w:val="nil"/>
              <w:bottom w:val="nil"/>
              <w:right w:val="nil"/>
            </w:tcBorders>
            <w:vAlign w:val="center"/>
          </w:tcPr>
          <w:p w14:paraId="3E7A7F8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nil"/>
              <w:right w:val="nil"/>
            </w:tcBorders>
            <w:vAlign w:val="center"/>
          </w:tcPr>
          <w:p w14:paraId="7C7A991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vAlign w:val="center"/>
          </w:tcPr>
          <w:p w14:paraId="06509CD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 M</w:t>
            </w:r>
          </w:p>
        </w:tc>
        <w:tc>
          <w:tcPr>
            <w:tcW w:w="575" w:type="dxa"/>
            <w:tcBorders>
              <w:top w:val="nil"/>
              <w:left w:val="nil"/>
              <w:bottom w:val="nil"/>
              <w:right w:val="nil"/>
            </w:tcBorders>
            <w:vAlign w:val="center"/>
          </w:tcPr>
          <w:p w14:paraId="5D9CC914" w14:textId="06032016"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62DAE53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vAlign w:val="center"/>
          </w:tcPr>
          <w:p w14:paraId="0298973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DM, HL, Hb</w:t>
            </w:r>
          </w:p>
        </w:tc>
        <w:tc>
          <w:tcPr>
            <w:tcW w:w="690" w:type="dxa"/>
            <w:tcBorders>
              <w:top w:val="nil"/>
              <w:left w:val="nil"/>
              <w:bottom w:val="nil"/>
              <w:right w:val="nil"/>
            </w:tcBorders>
            <w:vAlign w:val="center"/>
          </w:tcPr>
          <w:p w14:paraId="32ED2AB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vAlign w:val="center"/>
          </w:tcPr>
          <w:p w14:paraId="4F8B6D6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32F082C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4FD6B46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7AD3F3F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4A8EAC18" w14:textId="77777777" w:rsidTr="008B6A15">
        <w:trPr>
          <w:jc w:val="center"/>
        </w:trPr>
        <w:tc>
          <w:tcPr>
            <w:tcW w:w="1111" w:type="dxa"/>
            <w:tcBorders>
              <w:top w:val="nil"/>
              <w:left w:val="nil"/>
              <w:bottom w:val="nil"/>
              <w:right w:val="nil"/>
            </w:tcBorders>
            <w:shd w:val="clear" w:color="auto" w:fill="FCFCFC"/>
            <w:vAlign w:val="center"/>
          </w:tcPr>
          <w:p w14:paraId="3ED5C8A1"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Thaman</w:t>
            </w:r>
            <w:proofErr w:type="spellEnd"/>
            <w:r w:rsidRPr="00104947">
              <w:rPr>
                <w:color w:val="auto"/>
                <w:sz w:val="16"/>
                <w:szCs w:val="16"/>
              </w:rPr>
              <w:t>, 2006 [78]</w:t>
            </w:r>
          </w:p>
        </w:tc>
        <w:tc>
          <w:tcPr>
            <w:tcW w:w="433" w:type="dxa"/>
            <w:tcBorders>
              <w:top w:val="nil"/>
              <w:left w:val="nil"/>
              <w:bottom w:val="nil"/>
              <w:right w:val="nil"/>
            </w:tcBorders>
            <w:shd w:val="clear" w:color="auto" w:fill="FCFCFC"/>
            <w:vAlign w:val="center"/>
          </w:tcPr>
          <w:p w14:paraId="2A7EAD0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171</w:t>
            </w:r>
          </w:p>
        </w:tc>
        <w:tc>
          <w:tcPr>
            <w:tcW w:w="661" w:type="dxa"/>
            <w:tcBorders>
              <w:top w:val="nil"/>
              <w:left w:val="nil"/>
              <w:bottom w:val="nil"/>
              <w:right w:val="nil"/>
            </w:tcBorders>
            <w:shd w:val="clear" w:color="auto" w:fill="FCFCFC"/>
            <w:vAlign w:val="center"/>
          </w:tcPr>
          <w:p w14:paraId="58C14FB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46 ± 18</w:t>
            </w:r>
          </w:p>
        </w:tc>
        <w:tc>
          <w:tcPr>
            <w:tcW w:w="409" w:type="dxa"/>
            <w:tcBorders>
              <w:top w:val="nil"/>
              <w:left w:val="nil"/>
              <w:bottom w:val="nil"/>
              <w:right w:val="nil"/>
            </w:tcBorders>
            <w:shd w:val="clear" w:color="auto" w:fill="FCFCFC"/>
            <w:vAlign w:val="center"/>
          </w:tcPr>
          <w:p w14:paraId="0B1B2B3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63</w:t>
            </w:r>
          </w:p>
        </w:tc>
        <w:tc>
          <w:tcPr>
            <w:tcW w:w="1197" w:type="dxa"/>
            <w:tcBorders>
              <w:top w:val="nil"/>
              <w:left w:val="nil"/>
              <w:bottom w:val="nil"/>
              <w:right w:val="nil"/>
            </w:tcBorders>
            <w:shd w:val="clear" w:color="auto" w:fill="FCFCFC"/>
            <w:vAlign w:val="center"/>
          </w:tcPr>
          <w:p w14:paraId="2C54D43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Upright CE</w:t>
            </w:r>
          </w:p>
        </w:tc>
        <w:tc>
          <w:tcPr>
            <w:tcW w:w="622" w:type="dxa"/>
            <w:tcBorders>
              <w:top w:val="nil"/>
              <w:left w:val="nil"/>
              <w:bottom w:val="nil"/>
              <w:right w:val="nil"/>
            </w:tcBorders>
            <w:shd w:val="clear" w:color="auto" w:fill="FCFCFC"/>
            <w:vAlign w:val="center"/>
          </w:tcPr>
          <w:p w14:paraId="4D5EEF0B"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73" w:type="dxa"/>
            <w:tcBorders>
              <w:top w:val="nil"/>
              <w:left w:val="nil"/>
              <w:bottom w:val="nil"/>
              <w:right w:val="nil"/>
            </w:tcBorders>
            <w:shd w:val="clear" w:color="auto" w:fill="FCFCFC"/>
            <w:vAlign w:val="center"/>
          </w:tcPr>
          <w:p w14:paraId="4E054C6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w:t>
            </w:r>
            <w:r w:rsidR="006630E3" w:rsidRPr="00104947">
              <w:rPr>
                <w:color w:val="auto"/>
                <w:sz w:val="16"/>
                <w:szCs w:val="16"/>
              </w:rPr>
              <w:t>0–25</w:t>
            </w:r>
            <w:r w:rsidRPr="00104947">
              <w:rPr>
                <w:color w:val="auto"/>
                <w:sz w:val="16"/>
                <w:szCs w:val="16"/>
              </w:rPr>
              <w:t>W</w:t>
            </w:r>
          </w:p>
        </w:tc>
        <w:tc>
          <w:tcPr>
            <w:tcW w:w="575" w:type="dxa"/>
            <w:tcBorders>
              <w:top w:val="nil"/>
              <w:left w:val="nil"/>
              <w:bottom w:val="nil"/>
              <w:right w:val="nil"/>
            </w:tcBorders>
            <w:shd w:val="clear" w:color="auto" w:fill="FCFCFC"/>
            <w:vAlign w:val="center"/>
          </w:tcPr>
          <w:p w14:paraId="3C507889" w14:textId="35474280" w:rsidR="001B672C" w:rsidRPr="00104947" w:rsidRDefault="00835518" w:rsidP="00B54E50">
            <w:pPr>
              <w:pStyle w:val="MDPI42tablebody"/>
              <w:autoSpaceDE w:val="0"/>
              <w:autoSpaceDN w:val="0"/>
              <w:rPr>
                <w:color w:val="auto"/>
                <w:sz w:val="16"/>
                <w:szCs w:val="16"/>
              </w:rPr>
            </w:pPr>
            <w:r w:rsidRPr="00104947">
              <w:rPr>
                <w:color w:val="auto"/>
                <w:sz w:val="16"/>
                <w:szCs w:val="16"/>
              </w:rPr>
              <w:t>1′</w:t>
            </w:r>
          </w:p>
        </w:tc>
        <w:tc>
          <w:tcPr>
            <w:tcW w:w="635" w:type="dxa"/>
            <w:tcBorders>
              <w:top w:val="nil"/>
              <w:left w:val="nil"/>
              <w:bottom w:val="nil"/>
              <w:right w:val="nil"/>
            </w:tcBorders>
            <w:shd w:val="clear" w:color="auto" w:fill="FCFCFC"/>
            <w:vAlign w:val="center"/>
          </w:tcPr>
          <w:p w14:paraId="762D024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Continued</w:t>
            </w:r>
          </w:p>
        </w:tc>
        <w:tc>
          <w:tcPr>
            <w:tcW w:w="1055" w:type="dxa"/>
            <w:tcBorders>
              <w:top w:val="nil"/>
              <w:left w:val="nil"/>
              <w:bottom w:val="nil"/>
              <w:right w:val="nil"/>
            </w:tcBorders>
            <w:shd w:val="clear" w:color="auto" w:fill="FCFCFC"/>
            <w:vAlign w:val="center"/>
          </w:tcPr>
          <w:p w14:paraId="37BE185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12B8AFD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523E12E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326845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65448BF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11BAE92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r>
      <w:tr w:rsidR="00B54E50" w:rsidRPr="00104947" w14:paraId="7EDDC73D" w14:textId="77777777" w:rsidTr="008B6A15">
        <w:trPr>
          <w:jc w:val="center"/>
        </w:trPr>
        <w:tc>
          <w:tcPr>
            <w:tcW w:w="1111" w:type="dxa"/>
            <w:tcBorders>
              <w:top w:val="nil"/>
              <w:left w:val="nil"/>
              <w:bottom w:val="nil"/>
              <w:right w:val="nil"/>
            </w:tcBorders>
            <w:vAlign w:val="center"/>
          </w:tcPr>
          <w:p w14:paraId="5E6D006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Wu, 2019 [79]</w:t>
            </w:r>
          </w:p>
        </w:tc>
        <w:tc>
          <w:tcPr>
            <w:tcW w:w="433" w:type="dxa"/>
            <w:tcBorders>
              <w:top w:val="nil"/>
              <w:left w:val="nil"/>
              <w:bottom w:val="nil"/>
              <w:right w:val="nil"/>
            </w:tcBorders>
            <w:vAlign w:val="center"/>
          </w:tcPr>
          <w:p w14:paraId="16B4D6D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67</w:t>
            </w:r>
          </w:p>
        </w:tc>
        <w:tc>
          <w:tcPr>
            <w:tcW w:w="661" w:type="dxa"/>
            <w:tcBorders>
              <w:top w:val="nil"/>
              <w:left w:val="nil"/>
              <w:bottom w:val="nil"/>
              <w:right w:val="nil"/>
            </w:tcBorders>
            <w:vAlign w:val="center"/>
          </w:tcPr>
          <w:p w14:paraId="32A2E02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53 ± 11</w:t>
            </w:r>
          </w:p>
        </w:tc>
        <w:tc>
          <w:tcPr>
            <w:tcW w:w="409" w:type="dxa"/>
            <w:tcBorders>
              <w:top w:val="nil"/>
              <w:left w:val="nil"/>
              <w:bottom w:val="nil"/>
              <w:right w:val="nil"/>
            </w:tcBorders>
            <w:vAlign w:val="center"/>
          </w:tcPr>
          <w:p w14:paraId="2D7D2CA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12</w:t>
            </w:r>
          </w:p>
        </w:tc>
        <w:tc>
          <w:tcPr>
            <w:tcW w:w="1197" w:type="dxa"/>
            <w:tcBorders>
              <w:top w:val="nil"/>
              <w:left w:val="nil"/>
              <w:bottom w:val="nil"/>
              <w:right w:val="nil"/>
            </w:tcBorders>
            <w:vAlign w:val="center"/>
          </w:tcPr>
          <w:p w14:paraId="3626D444"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Semisup</w:t>
            </w:r>
            <w:proofErr w:type="spellEnd"/>
            <w:r w:rsidRPr="00104947">
              <w:rPr>
                <w:color w:val="auto"/>
                <w:sz w:val="16"/>
                <w:szCs w:val="16"/>
              </w:rPr>
              <w:t xml:space="preserve"> CE</w:t>
            </w:r>
          </w:p>
        </w:tc>
        <w:tc>
          <w:tcPr>
            <w:tcW w:w="622" w:type="dxa"/>
            <w:tcBorders>
              <w:top w:val="nil"/>
              <w:left w:val="nil"/>
              <w:bottom w:val="nil"/>
              <w:right w:val="nil"/>
            </w:tcBorders>
            <w:vAlign w:val="center"/>
          </w:tcPr>
          <w:p w14:paraId="0AAA072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vAlign w:val="center"/>
          </w:tcPr>
          <w:p w14:paraId="37E028F9"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vAlign w:val="center"/>
          </w:tcPr>
          <w:p w14:paraId="2D90A3D6" w14:textId="665FEC5A"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20EA183E" w14:textId="265FE837" w:rsidR="001B672C" w:rsidRPr="00104947" w:rsidRDefault="001B672C" w:rsidP="00B54E50">
            <w:pPr>
              <w:pStyle w:val="MDPI42tablebody"/>
              <w:autoSpaceDE w:val="0"/>
              <w:autoSpaceDN w:val="0"/>
              <w:rPr>
                <w:color w:val="auto"/>
                <w:sz w:val="16"/>
                <w:szCs w:val="16"/>
              </w:rPr>
            </w:pPr>
            <w:r w:rsidRPr="00104947">
              <w:rPr>
                <w:color w:val="auto"/>
                <w:sz w:val="16"/>
                <w:szCs w:val="16"/>
              </w:rPr>
              <w:t>Disc. (24</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vAlign w:val="center"/>
          </w:tcPr>
          <w:p w14:paraId="4FB0D1A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4D679FF3"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Out</w:t>
            </w:r>
          </w:p>
        </w:tc>
        <w:tc>
          <w:tcPr>
            <w:tcW w:w="690" w:type="dxa"/>
            <w:tcBorders>
              <w:top w:val="nil"/>
              <w:left w:val="nil"/>
              <w:bottom w:val="nil"/>
              <w:right w:val="nil"/>
            </w:tcBorders>
            <w:vAlign w:val="center"/>
          </w:tcPr>
          <w:p w14:paraId="1B701488"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35D0646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vAlign w:val="center"/>
          </w:tcPr>
          <w:p w14:paraId="16A953D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vAlign w:val="center"/>
          </w:tcPr>
          <w:p w14:paraId="7902E37A"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3B69E39C" w14:textId="77777777" w:rsidTr="008B6A15">
        <w:trPr>
          <w:jc w:val="center"/>
        </w:trPr>
        <w:tc>
          <w:tcPr>
            <w:tcW w:w="1111" w:type="dxa"/>
            <w:tcBorders>
              <w:top w:val="nil"/>
              <w:left w:val="nil"/>
              <w:bottom w:val="nil"/>
              <w:right w:val="nil"/>
            </w:tcBorders>
            <w:shd w:val="clear" w:color="auto" w:fill="FCFCFC"/>
            <w:vAlign w:val="center"/>
          </w:tcPr>
          <w:p w14:paraId="1D315C2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lastRenderedPageBreak/>
              <w:t>Wu, 2019 [80]</w:t>
            </w:r>
          </w:p>
        </w:tc>
        <w:tc>
          <w:tcPr>
            <w:tcW w:w="433" w:type="dxa"/>
            <w:tcBorders>
              <w:top w:val="nil"/>
              <w:left w:val="nil"/>
              <w:bottom w:val="nil"/>
              <w:right w:val="nil"/>
            </w:tcBorders>
            <w:shd w:val="clear" w:color="auto" w:fill="FCFCFC"/>
            <w:vAlign w:val="center"/>
          </w:tcPr>
          <w:p w14:paraId="09AA35A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88</w:t>
            </w:r>
          </w:p>
        </w:tc>
        <w:tc>
          <w:tcPr>
            <w:tcW w:w="661" w:type="dxa"/>
            <w:tcBorders>
              <w:top w:val="nil"/>
              <w:left w:val="nil"/>
              <w:bottom w:val="nil"/>
              <w:right w:val="nil"/>
            </w:tcBorders>
            <w:shd w:val="clear" w:color="auto" w:fill="FCFCFC"/>
            <w:vAlign w:val="center"/>
          </w:tcPr>
          <w:p w14:paraId="61D8A1C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52 ± 12</w:t>
            </w:r>
          </w:p>
        </w:tc>
        <w:tc>
          <w:tcPr>
            <w:tcW w:w="409" w:type="dxa"/>
            <w:tcBorders>
              <w:top w:val="nil"/>
              <w:left w:val="nil"/>
              <w:bottom w:val="nil"/>
              <w:right w:val="nil"/>
            </w:tcBorders>
            <w:shd w:val="clear" w:color="auto" w:fill="FCFCFC"/>
            <w:vAlign w:val="center"/>
          </w:tcPr>
          <w:p w14:paraId="4EC2466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14</w:t>
            </w:r>
          </w:p>
        </w:tc>
        <w:tc>
          <w:tcPr>
            <w:tcW w:w="1197" w:type="dxa"/>
            <w:tcBorders>
              <w:top w:val="nil"/>
              <w:left w:val="nil"/>
              <w:bottom w:val="nil"/>
              <w:right w:val="nil"/>
            </w:tcBorders>
            <w:shd w:val="clear" w:color="auto" w:fill="FCFCFC"/>
            <w:vAlign w:val="center"/>
          </w:tcPr>
          <w:p w14:paraId="0E13965E"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Semisup</w:t>
            </w:r>
            <w:proofErr w:type="spellEnd"/>
            <w:r w:rsidRPr="00104947">
              <w:rPr>
                <w:color w:val="auto"/>
                <w:sz w:val="16"/>
                <w:szCs w:val="16"/>
              </w:rPr>
              <w:t xml:space="preserve"> CE</w:t>
            </w:r>
          </w:p>
        </w:tc>
        <w:tc>
          <w:tcPr>
            <w:tcW w:w="622" w:type="dxa"/>
            <w:tcBorders>
              <w:top w:val="nil"/>
              <w:left w:val="nil"/>
              <w:bottom w:val="nil"/>
              <w:right w:val="nil"/>
            </w:tcBorders>
            <w:shd w:val="clear" w:color="auto" w:fill="FCFCFC"/>
            <w:vAlign w:val="center"/>
          </w:tcPr>
          <w:p w14:paraId="207C496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shd w:val="clear" w:color="auto" w:fill="FCFCFC"/>
            <w:vAlign w:val="center"/>
          </w:tcPr>
          <w:p w14:paraId="5B1993B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shd w:val="clear" w:color="auto" w:fill="FCFCFC"/>
            <w:vAlign w:val="center"/>
          </w:tcPr>
          <w:p w14:paraId="7F43D6DF" w14:textId="2652DD4B"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shd w:val="clear" w:color="auto" w:fill="FCFCFC"/>
            <w:vAlign w:val="center"/>
          </w:tcPr>
          <w:p w14:paraId="68972697" w14:textId="485C4A9D" w:rsidR="001B672C" w:rsidRPr="00104947" w:rsidRDefault="001B672C" w:rsidP="00B54E50">
            <w:pPr>
              <w:pStyle w:val="MDPI42tablebody"/>
              <w:autoSpaceDE w:val="0"/>
              <w:autoSpaceDN w:val="0"/>
              <w:rPr>
                <w:color w:val="auto"/>
                <w:sz w:val="16"/>
                <w:szCs w:val="16"/>
              </w:rPr>
            </w:pPr>
            <w:r w:rsidRPr="00104947">
              <w:rPr>
                <w:color w:val="auto"/>
                <w:sz w:val="16"/>
                <w:szCs w:val="16"/>
              </w:rPr>
              <w:t>Disc. (24</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shd w:val="clear" w:color="auto" w:fill="FCFCFC"/>
            <w:vAlign w:val="center"/>
          </w:tcPr>
          <w:p w14:paraId="09B0592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shd w:val="clear" w:color="auto" w:fill="FCFCFC"/>
            <w:vAlign w:val="center"/>
          </w:tcPr>
          <w:p w14:paraId="4D5A09E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90" w:type="dxa"/>
            <w:tcBorders>
              <w:top w:val="nil"/>
              <w:left w:val="nil"/>
              <w:bottom w:val="nil"/>
              <w:right w:val="nil"/>
            </w:tcBorders>
            <w:shd w:val="clear" w:color="auto" w:fill="FCFCFC"/>
            <w:vAlign w:val="center"/>
          </w:tcPr>
          <w:p w14:paraId="123A0A9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shd w:val="clear" w:color="auto" w:fill="FCFCFC"/>
            <w:vAlign w:val="center"/>
          </w:tcPr>
          <w:p w14:paraId="57B4A3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nil"/>
              <w:right w:val="nil"/>
            </w:tcBorders>
            <w:shd w:val="clear" w:color="auto" w:fill="FCFCFC"/>
            <w:vAlign w:val="center"/>
          </w:tcPr>
          <w:p w14:paraId="47F85B3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nil"/>
              <w:right w:val="nil"/>
            </w:tcBorders>
            <w:shd w:val="clear" w:color="auto" w:fill="FCFCFC"/>
            <w:vAlign w:val="center"/>
          </w:tcPr>
          <w:p w14:paraId="1DCF793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6327DE93" w14:textId="77777777" w:rsidTr="00867427">
        <w:trPr>
          <w:jc w:val="center"/>
        </w:trPr>
        <w:tc>
          <w:tcPr>
            <w:tcW w:w="1111" w:type="dxa"/>
            <w:tcBorders>
              <w:top w:val="nil"/>
              <w:left w:val="nil"/>
              <w:bottom w:val="nil"/>
              <w:right w:val="nil"/>
            </w:tcBorders>
            <w:vAlign w:val="center"/>
          </w:tcPr>
          <w:p w14:paraId="684DAD1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Wu, 2019 [81]</w:t>
            </w:r>
          </w:p>
        </w:tc>
        <w:tc>
          <w:tcPr>
            <w:tcW w:w="433" w:type="dxa"/>
            <w:tcBorders>
              <w:top w:val="nil"/>
              <w:left w:val="nil"/>
              <w:bottom w:val="nil"/>
              <w:right w:val="nil"/>
            </w:tcBorders>
            <w:vAlign w:val="center"/>
          </w:tcPr>
          <w:p w14:paraId="06F627E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76</w:t>
            </w:r>
          </w:p>
        </w:tc>
        <w:tc>
          <w:tcPr>
            <w:tcW w:w="661" w:type="dxa"/>
            <w:tcBorders>
              <w:top w:val="nil"/>
              <w:left w:val="nil"/>
              <w:bottom w:val="nil"/>
              <w:right w:val="nil"/>
            </w:tcBorders>
            <w:vAlign w:val="center"/>
          </w:tcPr>
          <w:p w14:paraId="2C653C2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48 ± 12</w:t>
            </w:r>
          </w:p>
        </w:tc>
        <w:tc>
          <w:tcPr>
            <w:tcW w:w="409" w:type="dxa"/>
            <w:tcBorders>
              <w:top w:val="nil"/>
              <w:left w:val="nil"/>
              <w:bottom w:val="nil"/>
              <w:right w:val="nil"/>
            </w:tcBorders>
            <w:vAlign w:val="center"/>
          </w:tcPr>
          <w:p w14:paraId="42C28F32"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20</w:t>
            </w:r>
          </w:p>
        </w:tc>
        <w:tc>
          <w:tcPr>
            <w:tcW w:w="1197" w:type="dxa"/>
            <w:tcBorders>
              <w:top w:val="nil"/>
              <w:left w:val="nil"/>
              <w:bottom w:val="nil"/>
              <w:right w:val="nil"/>
            </w:tcBorders>
            <w:vAlign w:val="center"/>
          </w:tcPr>
          <w:p w14:paraId="3CFC4CE0"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Semisup</w:t>
            </w:r>
            <w:proofErr w:type="spellEnd"/>
            <w:r w:rsidRPr="00104947">
              <w:rPr>
                <w:color w:val="auto"/>
                <w:sz w:val="16"/>
                <w:szCs w:val="16"/>
              </w:rPr>
              <w:t xml:space="preserve"> CE</w:t>
            </w:r>
          </w:p>
        </w:tc>
        <w:tc>
          <w:tcPr>
            <w:tcW w:w="622" w:type="dxa"/>
            <w:tcBorders>
              <w:top w:val="nil"/>
              <w:left w:val="nil"/>
              <w:bottom w:val="nil"/>
              <w:right w:val="nil"/>
            </w:tcBorders>
            <w:vAlign w:val="center"/>
          </w:tcPr>
          <w:p w14:paraId="361E13C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673" w:type="dxa"/>
            <w:tcBorders>
              <w:top w:val="nil"/>
              <w:left w:val="nil"/>
              <w:bottom w:val="nil"/>
              <w:right w:val="nil"/>
            </w:tcBorders>
            <w:vAlign w:val="center"/>
          </w:tcPr>
          <w:p w14:paraId="3AEA84E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25 W</w:t>
            </w:r>
          </w:p>
        </w:tc>
        <w:tc>
          <w:tcPr>
            <w:tcW w:w="575" w:type="dxa"/>
            <w:tcBorders>
              <w:top w:val="nil"/>
              <w:left w:val="nil"/>
              <w:bottom w:val="nil"/>
              <w:right w:val="nil"/>
            </w:tcBorders>
            <w:vAlign w:val="center"/>
          </w:tcPr>
          <w:p w14:paraId="51FA4FB0" w14:textId="296B0C18" w:rsidR="001B672C" w:rsidRPr="00104947" w:rsidRDefault="00835518" w:rsidP="00B54E50">
            <w:pPr>
              <w:pStyle w:val="MDPI42tablebody"/>
              <w:autoSpaceDE w:val="0"/>
              <w:autoSpaceDN w:val="0"/>
              <w:rPr>
                <w:color w:val="auto"/>
                <w:sz w:val="16"/>
                <w:szCs w:val="16"/>
              </w:rPr>
            </w:pPr>
            <w:r w:rsidRPr="00104947">
              <w:rPr>
                <w:color w:val="auto"/>
                <w:sz w:val="16"/>
                <w:szCs w:val="16"/>
              </w:rPr>
              <w:t>2′</w:t>
            </w:r>
          </w:p>
        </w:tc>
        <w:tc>
          <w:tcPr>
            <w:tcW w:w="635" w:type="dxa"/>
            <w:tcBorders>
              <w:top w:val="nil"/>
              <w:left w:val="nil"/>
              <w:bottom w:val="nil"/>
              <w:right w:val="nil"/>
            </w:tcBorders>
            <w:vAlign w:val="center"/>
          </w:tcPr>
          <w:p w14:paraId="0ACFF9BE" w14:textId="17A75190" w:rsidR="001B672C" w:rsidRPr="00104947" w:rsidRDefault="001B672C" w:rsidP="00B54E50">
            <w:pPr>
              <w:pStyle w:val="MDPI42tablebody"/>
              <w:autoSpaceDE w:val="0"/>
              <w:autoSpaceDN w:val="0"/>
              <w:rPr>
                <w:color w:val="auto"/>
                <w:sz w:val="16"/>
                <w:szCs w:val="16"/>
              </w:rPr>
            </w:pPr>
            <w:r w:rsidRPr="00104947">
              <w:rPr>
                <w:color w:val="auto"/>
                <w:sz w:val="16"/>
                <w:szCs w:val="16"/>
              </w:rPr>
              <w:t>Disc. (24</w:t>
            </w:r>
            <w:r w:rsidR="00773B76" w:rsidRPr="00104947">
              <w:rPr>
                <w:color w:val="auto"/>
                <w:sz w:val="16"/>
                <w:szCs w:val="16"/>
              </w:rPr>
              <w:t xml:space="preserve"> </w:t>
            </w:r>
            <w:r w:rsidRPr="00104947">
              <w:rPr>
                <w:color w:val="auto"/>
                <w:sz w:val="16"/>
                <w:szCs w:val="16"/>
              </w:rPr>
              <w:t>h)</w:t>
            </w:r>
          </w:p>
        </w:tc>
        <w:tc>
          <w:tcPr>
            <w:tcW w:w="1055" w:type="dxa"/>
            <w:tcBorders>
              <w:top w:val="nil"/>
              <w:left w:val="nil"/>
              <w:bottom w:val="nil"/>
              <w:right w:val="nil"/>
            </w:tcBorders>
            <w:vAlign w:val="center"/>
          </w:tcPr>
          <w:p w14:paraId="67ACA99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nil"/>
              <w:right w:val="nil"/>
            </w:tcBorders>
            <w:vAlign w:val="center"/>
          </w:tcPr>
          <w:p w14:paraId="65F2EF3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nil"/>
              <w:right w:val="nil"/>
            </w:tcBorders>
            <w:vAlign w:val="center"/>
          </w:tcPr>
          <w:p w14:paraId="33CF869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37" w:type="dxa"/>
            <w:tcBorders>
              <w:top w:val="nil"/>
              <w:left w:val="nil"/>
              <w:bottom w:val="nil"/>
              <w:right w:val="nil"/>
            </w:tcBorders>
            <w:vAlign w:val="center"/>
          </w:tcPr>
          <w:p w14:paraId="3B6A390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418" w:type="dxa"/>
            <w:tcBorders>
              <w:top w:val="nil"/>
              <w:left w:val="nil"/>
              <w:bottom w:val="nil"/>
              <w:right w:val="nil"/>
            </w:tcBorders>
            <w:vAlign w:val="center"/>
          </w:tcPr>
          <w:p w14:paraId="7519840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Ex</w:t>
            </w:r>
          </w:p>
        </w:tc>
        <w:tc>
          <w:tcPr>
            <w:tcW w:w="659" w:type="dxa"/>
            <w:tcBorders>
              <w:top w:val="nil"/>
              <w:left w:val="nil"/>
              <w:bottom w:val="nil"/>
              <w:right w:val="nil"/>
            </w:tcBorders>
            <w:vAlign w:val="center"/>
          </w:tcPr>
          <w:p w14:paraId="6EEBB266"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r w:rsidR="00B54E50" w:rsidRPr="00104947" w14:paraId="7F02A534" w14:textId="77777777" w:rsidTr="00867427">
        <w:trPr>
          <w:jc w:val="center"/>
        </w:trPr>
        <w:tc>
          <w:tcPr>
            <w:tcW w:w="1111" w:type="dxa"/>
            <w:tcBorders>
              <w:top w:val="nil"/>
              <w:left w:val="nil"/>
              <w:bottom w:val="single" w:sz="8" w:space="0" w:color="auto"/>
              <w:right w:val="nil"/>
            </w:tcBorders>
            <w:shd w:val="clear" w:color="auto" w:fill="FCFCFC"/>
            <w:vAlign w:val="center"/>
          </w:tcPr>
          <w:p w14:paraId="0B92A06C" w14:textId="77777777" w:rsidR="001B672C" w:rsidRPr="00104947" w:rsidRDefault="001B672C" w:rsidP="00B54E50">
            <w:pPr>
              <w:pStyle w:val="MDPI42tablebody"/>
              <w:autoSpaceDE w:val="0"/>
              <w:autoSpaceDN w:val="0"/>
              <w:rPr>
                <w:color w:val="auto"/>
                <w:sz w:val="16"/>
                <w:szCs w:val="16"/>
              </w:rPr>
            </w:pPr>
            <w:proofErr w:type="spellStart"/>
            <w:r w:rsidRPr="00104947">
              <w:rPr>
                <w:color w:val="auto"/>
                <w:sz w:val="16"/>
                <w:szCs w:val="16"/>
              </w:rPr>
              <w:t>Yetman</w:t>
            </w:r>
            <w:proofErr w:type="spellEnd"/>
            <w:r w:rsidRPr="00104947">
              <w:rPr>
                <w:color w:val="auto"/>
                <w:sz w:val="16"/>
                <w:szCs w:val="16"/>
              </w:rPr>
              <w:t>, 2001 [82]</w:t>
            </w:r>
          </w:p>
        </w:tc>
        <w:tc>
          <w:tcPr>
            <w:tcW w:w="433" w:type="dxa"/>
            <w:tcBorders>
              <w:top w:val="nil"/>
              <w:left w:val="nil"/>
              <w:bottom w:val="single" w:sz="8" w:space="0" w:color="auto"/>
              <w:right w:val="nil"/>
            </w:tcBorders>
            <w:shd w:val="clear" w:color="auto" w:fill="FCFCFC"/>
            <w:vAlign w:val="center"/>
          </w:tcPr>
          <w:p w14:paraId="1320FBB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17</w:t>
            </w:r>
          </w:p>
        </w:tc>
        <w:tc>
          <w:tcPr>
            <w:tcW w:w="661" w:type="dxa"/>
            <w:tcBorders>
              <w:top w:val="nil"/>
              <w:left w:val="nil"/>
              <w:bottom w:val="single" w:sz="8" w:space="0" w:color="auto"/>
              <w:right w:val="nil"/>
            </w:tcBorders>
            <w:shd w:val="clear" w:color="auto" w:fill="FCFCFC"/>
            <w:vAlign w:val="center"/>
          </w:tcPr>
          <w:p w14:paraId="73667DD0"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12 ± 3</w:t>
            </w:r>
          </w:p>
        </w:tc>
        <w:tc>
          <w:tcPr>
            <w:tcW w:w="409" w:type="dxa"/>
            <w:tcBorders>
              <w:top w:val="nil"/>
              <w:left w:val="nil"/>
              <w:bottom w:val="single" w:sz="8" w:space="0" w:color="auto"/>
              <w:right w:val="nil"/>
            </w:tcBorders>
            <w:shd w:val="clear" w:color="auto" w:fill="FCFCFC"/>
            <w:vAlign w:val="center"/>
          </w:tcPr>
          <w:p w14:paraId="3DF593F1"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30</w:t>
            </w:r>
          </w:p>
        </w:tc>
        <w:tc>
          <w:tcPr>
            <w:tcW w:w="1197" w:type="dxa"/>
            <w:tcBorders>
              <w:top w:val="nil"/>
              <w:left w:val="nil"/>
              <w:bottom w:val="single" w:sz="8" w:space="0" w:color="auto"/>
              <w:right w:val="nil"/>
            </w:tcBorders>
            <w:shd w:val="clear" w:color="auto" w:fill="FCFCFC"/>
            <w:vAlign w:val="center"/>
          </w:tcPr>
          <w:p w14:paraId="1139564D"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Treadmill</w:t>
            </w:r>
          </w:p>
        </w:tc>
        <w:tc>
          <w:tcPr>
            <w:tcW w:w="622" w:type="dxa"/>
            <w:tcBorders>
              <w:top w:val="nil"/>
              <w:left w:val="nil"/>
              <w:bottom w:val="single" w:sz="8" w:space="0" w:color="auto"/>
              <w:right w:val="nil"/>
            </w:tcBorders>
            <w:shd w:val="clear" w:color="auto" w:fill="FCFCFC"/>
            <w:vAlign w:val="center"/>
          </w:tcPr>
          <w:p w14:paraId="5FB081F7"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4.7 M</w:t>
            </w:r>
          </w:p>
        </w:tc>
        <w:tc>
          <w:tcPr>
            <w:tcW w:w="673" w:type="dxa"/>
            <w:tcBorders>
              <w:top w:val="nil"/>
              <w:left w:val="nil"/>
              <w:bottom w:val="single" w:sz="8" w:space="0" w:color="auto"/>
              <w:right w:val="nil"/>
            </w:tcBorders>
            <w:shd w:val="clear" w:color="auto" w:fill="FCFCFC"/>
            <w:vAlign w:val="center"/>
          </w:tcPr>
          <w:p w14:paraId="1176D133" w14:textId="77777777" w:rsidR="001B672C" w:rsidRPr="00104947" w:rsidRDefault="006630E3" w:rsidP="00B54E50">
            <w:pPr>
              <w:pStyle w:val="MDPI42tablebody"/>
              <w:autoSpaceDE w:val="0"/>
              <w:autoSpaceDN w:val="0"/>
              <w:rPr>
                <w:color w:val="auto"/>
                <w:sz w:val="16"/>
                <w:szCs w:val="16"/>
              </w:rPr>
            </w:pPr>
            <w:r w:rsidRPr="00104947">
              <w:rPr>
                <w:color w:val="auto"/>
                <w:sz w:val="16"/>
                <w:szCs w:val="16"/>
              </w:rPr>
              <w:t>2–3</w:t>
            </w:r>
            <w:r w:rsidR="001B672C" w:rsidRPr="00104947">
              <w:rPr>
                <w:color w:val="auto"/>
                <w:sz w:val="16"/>
                <w:szCs w:val="16"/>
              </w:rPr>
              <w:t xml:space="preserve"> M</w:t>
            </w:r>
          </w:p>
        </w:tc>
        <w:tc>
          <w:tcPr>
            <w:tcW w:w="575" w:type="dxa"/>
            <w:tcBorders>
              <w:top w:val="nil"/>
              <w:left w:val="nil"/>
              <w:bottom w:val="single" w:sz="8" w:space="0" w:color="auto"/>
              <w:right w:val="nil"/>
            </w:tcBorders>
            <w:shd w:val="clear" w:color="auto" w:fill="FCFCFC"/>
            <w:vAlign w:val="center"/>
          </w:tcPr>
          <w:p w14:paraId="16445DA8" w14:textId="5F5DD33C" w:rsidR="001B672C" w:rsidRPr="00104947" w:rsidRDefault="00835518" w:rsidP="00B54E50">
            <w:pPr>
              <w:pStyle w:val="MDPI42tablebody"/>
              <w:autoSpaceDE w:val="0"/>
              <w:autoSpaceDN w:val="0"/>
              <w:rPr>
                <w:color w:val="auto"/>
                <w:sz w:val="16"/>
                <w:szCs w:val="16"/>
              </w:rPr>
            </w:pPr>
            <w:r w:rsidRPr="00104947">
              <w:rPr>
                <w:color w:val="auto"/>
                <w:sz w:val="16"/>
                <w:szCs w:val="16"/>
              </w:rPr>
              <w:t>3′</w:t>
            </w:r>
          </w:p>
        </w:tc>
        <w:tc>
          <w:tcPr>
            <w:tcW w:w="635" w:type="dxa"/>
            <w:tcBorders>
              <w:top w:val="nil"/>
              <w:left w:val="nil"/>
              <w:bottom w:val="single" w:sz="8" w:space="0" w:color="auto"/>
              <w:right w:val="nil"/>
            </w:tcBorders>
            <w:shd w:val="clear" w:color="auto" w:fill="FCFCFC"/>
            <w:vAlign w:val="center"/>
          </w:tcPr>
          <w:p w14:paraId="57C9BE7C"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Not controlled</w:t>
            </w:r>
          </w:p>
        </w:tc>
        <w:tc>
          <w:tcPr>
            <w:tcW w:w="1055" w:type="dxa"/>
            <w:tcBorders>
              <w:top w:val="nil"/>
              <w:left w:val="nil"/>
              <w:bottom w:val="single" w:sz="8" w:space="0" w:color="auto"/>
              <w:right w:val="nil"/>
            </w:tcBorders>
            <w:shd w:val="clear" w:color="auto" w:fill="FCFCFC"/>
            <w:vAlign w:val="center"/>
          </w:tcPr>
          <w:p w14:paraId="719D8DAF"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90" w:type="dxa"/>
            <w:tcBorders>
              <w:top w:val="nil"/>
              <w:left w:val="nil"/>
              <w:bottom w:val="single" w:sz="8" w:space="0" w:color="auto"/>
              <w:right w:val="nil"/>
            </w:tcBorders>
            <w:shd w:val="clear" w:color="auto" w:fill="FCFCFC"/>
            <w:vAlign w:val="center"/>
          </w:tcPr>
          <w:p w14:paraId="44516F54"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 Ex</w:t>
            </w:r>
          </w:p>
        </w:tc>
        <w:tc>
          <w:tcPr>
            <w:tcW w:w="690" w:type="dxa"/>
            <w:tcBorders>
              <w:top w:val="nil"/>
              <w:left w:val="nil"/>
              <w:bottom w:val="single" w:sz="8" w:space="0" w:color="auto"/>
              <w:right w:val="nil"/>
            </w:tcBorders>
            <w:shd w:val="clear" w:color="auto" w:fill="FCFCFC"/>
            <w:vAlign w:val="center"/>
          </w:tcPr>
          <w:p w14:paraId="0328D3F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BL</w:t>
            </w:r>
          </w:p>
        </w:tc>
        <w:tc>
          <w:tcPr>
            <w:tcW w:w="637" w:type="dxa"/>
            <w:tcBorders>
              <w:top w:val="nil"/>
              <w:left w:val="nil"/>
              <w:bottom w:val="single" w:sz="8" w:space="0" w:color="auto"/>
              <w:right w:val="nil"/>
            </w:tcBorders>
            <w:shd w:val="clear" w:color="auto" w:fill="FCFCFC"/>
            <w:vAlign w:val="center"/>
          </w:tcPr>
          <w:p w14:paraId="50596F0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418" w:type="dxa"/>
            <w:tcBorders>
              <w:top w:val="nil"/>
              <w:left w:val="nil"/>
              <w:bottom w:val="single" w:sz="8" w:space="0" w:color="auto"/>
              <w:right w:val="nil"/>
            </w:tcBorders>
            <w:shd w:val="clear" w:color="auto" w:fill="FCFCFC"/>
            <w:vAlign w:val="center"/>
          </w:tcPr>
          <w:p w14:paraId="1204F20E"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c>
          <w:tcPr>
            <w:tcW w:w="659" w:type="dxa"/>
            <w:tcBorders>
              <w:top w:val="nil"/>
              <w:left w:val="nil"/>
              <w:bottom w:val="single" w:sz="8" w:space="0" w:color="auto"/>
              <w:right w:val="nil"/>
            </w:tcBorders>
            <w:shd w:val="clear" w:color="auto" w:fill="FCFCFC"/>
            <w:vAlign w:val="center"/>
          </w:tcPr>
          <w:p w14:paraId="62C6C865" w14:textId="77777777" w:rsidR="001B672C" w:rsidRPr="00104947" w:rsidRDefault="001B672C" w:rsidP="00B54E50">
            <w:pPr>
              <w:pStyle w:val="MDPI42tablebody"/>
              <w:autoSpaceDE w:val="0"/>
              <w:autoSpaceDN w:val="0"/>
              <w:rPr>
                <w:color w:val="auto"/>
                <w:sz w:val="16"/>
                <w:szCs w:val="16"/>
              </w:rPr>
            </w:pPr>
            <w:r w:rsidRPr="00104947">
              <w:rPr>
                <w:color w:val="auto"/>
                <w:sz w:val="16"/>
                <w:szCs w:val="16"/>
              </w:rPr>
              <w:t>-</w:t>
            </w:r>
          </w:p>
        </w:tc>
      </w:tr>
    </w:tbl>
    <w:p w14:paraId="2388A5EB" w14:textId="35113C4A" w:rsidR="001B672C" w:rsidRPr="004F446B" w:rsidRDefault="001B672C" w:rsidP="00B54E50">
      <w:pPr>
        <w:pStyle w:val="MDPI43tablefooter"/>
        <w:ind w:left="425" w:right="425"/>
        <w:jc w:val="both"/>
      </w:pPr>
      <w:r w:rsidRPr="00CF2FC5">
        <w:t xml:space="preserve">%W: percentage of women in the sample; CPET: cardiopulmonary exercise test; BL: baseline measure; EX: exercise measure; Out: exclusion criteria; CE: cycle-ergometer; Sup CE: supine cycle-ergometer; </w:t>
      </w:r>
      <w:proofErr w:type="spellStart"/>
      <w:r w:rsidRPr="00CF2FC5">
        <w:t>Semisup</w:t>
      </w:r>
      <w:proofErr w:type="spellEnd"/>
      <w:r w:rsidRPr="00CF2FC5">
        <w:t xml:space="preserve"> CE: semi-supine CE; Tread: treadmill; (?) CE: cycle-ergometer with unknown position of the patient; 5H-L: 5 half-</w:t>
      </w:r>
      <w:r w:rsidR="00144A1C" w:rsidRPr="00CF2FC5">
        <w:t>lives</w:t>
      </w:r>
      <w:r w:rsidRPr="00CF2FC5">
        <w:t xml:space="preserve">; Disc.: drug therapy withdrawn a certain time before the test; </w:t>
      </w:r>
      <w:proofErr w:type="spellStart"/>
      <w:r w:rsidRPr="00CF2FC5">
        <w:t>Discont</w:t>
      </w:r>
      <w:proofErr w:type="spellEnd"/>
      <w:r w:rsidRPr="00CF2FC5">
        <w:t>. (?): drug therapy withdrawn before the test but no further information about time available; ‘M’: METs; DM: diabetes mellitus; HL: hyperlipidemia; ∑skinfolds: summatory of three skinfolds; Hb: hemoglobin content. ‘Not controlled’: drug use reported without information about its management. When added intensity is reported with ‘%’, it means that slope of the treadmill was augmented in that certain percentage</w:t>
      </w:r>
      <w:r w:rsidR="00B54E50" w:rsidRPr="00CF2FC5">
        <w:t>.</w:t>
      </w:r>
    </w:p>
    <w:p w14:paraId="4C51DCBF" w14:textId="22327AFA" w:rsidR="001B672C" w:rsidRPr="004F446B" w:rsidRDefault="001B672C" w:rsidP="00B54E50">
      <w:pPr>
        <w:pStyle w:val="MDPI31text"/>
      </w:pPr>
      <w:r w:rsidRPr="004F446B">
        <w:t xml:space="preserve">Management of the pharmacological therapy showed 12 different options and was evaluated in 60 of the 69 studies. In </w:t>
      </w:r>
      <w:r w:rsidR="00144A1C">
        <w:t>seven</w:t>
      </w:r>
      <w:r w:rsidRPr="004F446B">
        <w:t xml:space="preserve"> of them</w:t>
      </w:r>
      <w:r w:rsidR="00144A1C">
        <w:t>,</w:t>
      </w:r>
      <w:r w:rsidRPr="004F446B">
        <w:t xml:space="preserve"> the use of drugs was recorded but no further information about its management was provided. In 26 of the 53 remaining, drugs were not discontinued before the study</w:t>
      </w:r>
      <w:r w:rsidR="00144A1C">
        <w:t>;</w:t>
      </w:r>
      <w:r w:rsidRPr="004F446B">
        <w:t xml:space="preserve"> in 6</w:t>
      </w:r>
      <w:r w:rsidR="00144A1C">
        <w:t>,</w:t>
      </w:r>
      <w:r w:rsidRPr="004F446B">
        <w:t xml:space="preserve"> the researchers provided it</w:t>
      </w:r>
      <w:r w:rsidR="00144A1C">
        <w:t>;</w:t>
      </w:r>
      <w:r w:rsidRPr="004F446B">
        <w:t xml:space="preserve"> and in 1</w:t>
      </w:r>
      <w:r w:rsidR="00144A1C">
        <w:t>,</w:t>
      </w:r>
      <w:r w:rsidRPr="004F446B">
        <w:t xml:space="preserve"> none of the subjects </w:t>
      </w:r>
      <w:r w:rsidR="00144A1C">
        <w:t>were</w:t>
      </w:r>
      <w:r w:rsidR="00144A1C" w:rsidRPr="004F446B">
        <w:t xml:space="preserve"> </w:t>
      </w:r>
      <w:r w:rsidRPr="004F446B">
        <w:t>on medication. Finally, in the 20 remaining studies, drugs were discontinued with variable time from 5 days to 12</w:t>
      </w:r>
      <w:r w:rsidR="001C44D6">
        <w:t xml:space="preserve"> </w:t>
      </w:r>
      <w:r w:rsidRPr="004F446B">
        <w:t>h prior to the exercise test.</w:t>
      </w:r>
    </w:p>
    <w:p w14:paraId="7B8E63F3" w14:textId="71F3D870" w:rsidR="001B672C" w:rsidRPr="004F446B" w:rsidRDefault="001B672C" w:rsidP="00B54E50">
      <w:pPr>
        <w:pStyle w:val="MDPI31text"/>
      </w:pPr>
      <w:r w:rsidRPr="004F446B">
        <w:t>Treadmill was the most common ergometer employed (</w:t>
      </w:r>
      <w:r w:rsidR="001C44D6" w:rsidRPr="001C44D6">
        <w:rPr>
          <w:i/>
        </w:rPr>
        <w:t>n</w:t>
      </w:r>
      <w:r w:rsidR="001C44D6">
        <w:t xml:space="preserve"> </w:t>
      </w:r>
      <w:r w:rsidRPr="004F446B">
        <w:t>= 37 studies), followed by upright cycle-ergometer (</w:t>
      </w:r>
      <w:r w:rsidR="001C44D6" w:rsidRPr="001C44D6">
        <w:rPr>
          <w:i/>
        </w:rPr>
        <w:t>n</w:t>
      </w:r>
      <w:r w:rsidR="001C44D6">
        <w:t xml:space="preserve"> </w:t>
      </w:r>
      <w:r w:rsidRPr="004F446B">
        <w:t>= 16 studies), supine and semi-supine cycle-ergometers (</w:t>
      </w:r>
      <w:r w:rsidR="001C44D6" w:rsidRPr="001C44D6">
        <w:rPr>
          <w:i/>
        </w:rPr>
        <w:t>n</w:t>
      </w:r>
      <w:r w:rsidR="001C44D6">
        <w:t xml:space="preserve"> </w:t>
      </w:r>
      <w:r w:rsidRPr="004F446B">
        <w:t>= 6 studies each). Bruce’s protocol [8</w:t>
      </w:r>
      <w:r>
        <w:t>3</w:t>
      </w:r>
      <w:r w:rsidRPr="004F446B">
        <w:t>] and its modified version [8</w:t>
      </w:r>
      <w:r>
        <w:t>4</w:t>
      </w:r>
      <w:r w:rsidRPr="004F446B">
        <w:t xml:space="preserve">] were the most frequently used, while there was a marked heterogeneity in the protocols employed in the cycle-ergometers. The initial intensity was set between 0W and 28W with increments ranging from 5W to 30W and lapses lasting 1 to 3 min. There were 2 publications where the intensity was increased in a ramp-like fashion adding </w:t>
      </w:r>
      <w:r w:rsidR="006630E3" w:rsidRPr="004F446B">
        <w:t>1</w:t>
      </w:r>
      <w:r w:rsidR="006630E3">
        <w:t>–</w:t>
      </w:r>
      <w:r w:rsidR="006630E3" w:rsidRPr="004F446B">
        <w:t>2</w:t>
      </w:r>
      <w:r w:rsidRPr="004F446B">
        <w:t xml:space="preserve"> W each </w:t>
      </w:r>
      <w:r w:rsidR="006630E3" w:rsidRPr="004F446B">
        <w:t>1</w:t>
      </w:r>
      <w:r w:rsidR="006630E3">
        <w:t>–</w:t>
      </w:r>
      <w:r w:rsidR="006630E3" w:rsidRPr="004F446B">
        <w:t>6</w:t>
      </w:r>
      <w:r w:rsidRPr="004F446B">
        <w:t xml:space="preserve"> </w:t>
      </w:r>
      <w:r w:rsidR="00835518">
        <w:t>s</w:t>
      </w:r>
      <w:r w:rsidRPr="004F446B">
        <w:t>.</w:t>
      </w:r>
    </w:p>
    <w:p w14:paraId="209D55F1" w14:textId="75EDF206" w:rsidR="001B672C" w:rsidRPr="004F446B" w:rsidRDefault="00126CBE" w:rsidP="00126CBE">
      <w:pPr>
        <w:pStyle w:val="MDPI22heading2"/>
        <w:spacing w:before="240"/>
      </w:pPr>
      <w:r>
        <w:t>3.</w:t>
      </w:r>
      <w:r w:rsidR="00165ECF">
        <w:t>2</w:t>
      </w:r>
      <w:r>
        <w:t xml:space="preserve">. </w:t>
      </w:r>
      <w:r w:rsidR="001B672C" w:rsidRPr="004F446B">
        <w:t>Maximal Oxygen Consumption</w:t>
      </w:r>
    </w:p>
    <w:p w14:paraId="4EF6D159" w14:textId="26291DA0" w:rsidR="001B672C" w:rsidRPr="004F446B" w:rsidRDefault="001B672C" w:rsidP="00EE6E33">
      <w:pPr>
        <w:pStyle w:val="MDPI31text"/>
      </w:pPr>
      <w:r w:rsidRPr="004F446B">
        <w:t xml:space="preserve">Maximal oxygen consumption was reported in 54 of the 69 texts and 51 of them were included in a semi-meta-analysis to calculate the average values achieved in the literature and to elucidate on which ergometer showed higher values. Data from 2 studies were not included because of lack of information about patients’ position on the cycle-ergometer and from 1 study because of lack in standard deviation information. Moreover, ATVO2 was indicated in 18 publications and 15 of </w:t>
      </w:r>
      <w:r w:rsidRPr="00835518">
        <w:t>them were included in semi-meta-analysis. Data from 3 studies were not included as values of standard deviation were unavailable. Data of each individual study are shown together with the mean values recorded in each ergometer and the average VO2max in</w:t>
      </w:r>
      <w:r w:rsidRPr="00835518">
        <w:rPr>
          <w:bCs/>
        </w:rPr>
        <w:t xml:space="preserve"> Figure 2</w:t>
      </w:r>
      <w:r w:rsidRPr="00835518">
        <w:t>. Mean VO2max was 22.3 ± 3.</w:t>
      </w:r>
      <w:r w:rsidR="00835518" w:rsidRPr="00835518">
        <w:t>8 mL·</w:t>
      </w:r>
      <w:r w:rsidRPr="00835518">
        <w:t>kg</w:t>
      </w:r>
      <w:r w:rsidR="001C44D6" w:rsidRPr="00835518">
        <w:rPr>
          <w:vertAlign w:val="superscript"/>
        </w:rPr>
        <w:t>−1</w:t>
      </w:r>
      <w:r w:rsidRPr="00835518">
        <w:t>·min</w:t>
      </w:r>
      <w:r w:rsidR="001C44D6" w:rsidRPr="00835518">
        <w:rPr>
          <w:vertAlign w:val="superscript"/>
        </w:rPr>
        <w:t>−1</w:t>
      </w:r>
      <w:r w:rsidRPr="00835518">
        <w:t>, while the highest average values were observed in supine and upright cycle-ergometer: (25.3 ± 6.5 and 24.8 ± 9.</w:t>
      </w:r>
      <w:r w:rsidR="00835518" w:rsidRPr="00835518">
        <w:t>1 mL·</w:t>
      </w:r>
      <w:r w:rsidRPr="00835518">
        <w:t>kg</w:t>
      </w:r>
      <w:r w:rsidR="001C44D6" w:rsidRPr="00835518">
        <w:rPr>
          <w:vertAlign w:val="superscript"/>
        </w:rPr>
        <w:t>−1</w:t>
      </w:r>
      <w:r w:rsidRPr="00835518">
        <w:t>·min</w:t>
      </w:r>
      <w:r w:rsidR="001C44D6" w:rsidRPr="00835518">
        <w:rPr>
          <w:vertAlign w:val="superscript"/>
        </w:rPr>
        <w:t>−1</w:t>
      </w:r>
      <w:r w:rsidRPr="00835518">
        <w:t>; respectively). Semi-supine cycle-ergometer and treadmill showed lower mean VO2max (22.0 ± 5.3 and 21.9 ± 3.</w:t>
      </w:r>
      <w:r w:rsidR="00835518" w:rsidRPr="00835518">
        <w:t>1 mL·</w:t>
      </w:r>
      <w:r w:rsidRPr="00835518">
        <w:t>kg</w:t>
      </w:r>
      <w:r w:rsidR="001C44D6" w:rsidRPr="00835518">
        <w:rPr>
          <w:vertAlign w:val="superscript"/>
        </w:rPr>
        <w:t>−1</w:t>
      </w:r>
      <w:r w:rsidRPr="00835518">
        <w:t>·min</w:t>
      </w:r>
      <w:r w:rsidR="001C44D6" w:rsidRPr="00835518">
        <w:rPr>
          <w:vertAlign w:val="superscript"/>
        </w:rPr>
        <w:t>−1</w:t>
      </w:r>
      <w:r w:rsidRPr="00835518">
        <w:t xml:space="preserve">; respectively; although differences did not reach significance: </w:t>
      </w:r>
      <w:r w:rsidR="001C44D6" w:rsidRPr="00835518">
        <w:rPr>
          <w:i/>
        </w:rPr>
        <w:t xml:space="preserve">p </w:t>
      </w:r>
      <w:r w:rsidRPr="00835518">
        <w:t xml:space="preserve">= 0.87 for all groups; </w:t>
      </w:r>
      <w:r w:rsidR="001C44D6" w:rsidRPr="00835518">
        <w:rPr>
          <w:i/>
        </w:rPr>
        <w:t xml:space="preserve">p </w:t>
      </w:r>
      <w:r w:rsidRPr="00835518">
        <w:t>= 0.57 for comparison between upright cycle-ergometer</w:t>
      </w:r>
      <w:r w:rsidR="00126CBE" w:rsidRPr="00835518">
        <w:t xml:space="preserve"> vs. </w:t>
      </w:r>
      <w:r w:rsidRPr="00835518">
        <w:t>treadmill). Mean ATVO2 was 14.6 ± 4.</w:t>
      </w:r>
      <w:r w:rsidR="00835518" w:rsidRPr="00835518">
        <w:t>5 mL·</w:t>
      </w:r>
      <w:r w:rsidRPr="00835518">
        <w:t>kg</w:t>
      </w:r>
      <w:r w:rsidR="001C44D6" w:rsidRPr="00835518">
        <w:rPr>
          <w:vertAlign w:val="superscript"/>
        </w:rPr>
        <w:t>−1</w:t>
      </w:r>
      <w:r w:rsidRPr="00835518">
        <w:t>·min</w:t>
      </w:r>
      <w:r w:rsidR="001C44D6" w:rsidRPr="00835518">
        <w:rPr>
          <w:vertAlign w:val="superscript"/>
        </w:rPr>
        <w:t>−1</w:t>
      </w:r>
      <w:r w:rsidRPr="00835518">
        <w:t xml:space="preserve"> and data of each study are shown in </w:t>
      </w:r>
      <w:r w:rsidRPr="00835518">
        <w:rPr>
          <w:bCs/>
        </w:rPr>
        <w:t>Figure 3</w:t>
      </w:r>
      <w:r w:rsidRPr="00835518">
        <w:t>. According to this, ATVO2 represented a 65.5% of VO2max.</w:t>
      </w:r>
    </w:p>
    <w:p w14:paraId="6DCA1227" w14:textId="7142B5C0" w:rsidR="001B672C" w:rsidRPr="004F446B" w:rsidRDefault="00B06911" w:rsidP="00B54E50">
      <w:pPr>
        <w:pStyle w:val="MDPI52figure"/>
        <w:ind w:left="2608"/>
        <w:jc w:val="left"/>
      </w:pPr>
      <w:r w:rsidRPr="00B06911">
        <w:rPr>
          <w:noProof/>
        </w:rPr>
        <w:lastRenderedPageBreak/>
        <w:drawing>
          <wp:inline distT="0" distB="0" distL="0" distR="0" wp14:anchorId="4F0C6447" wp14:editId="072013F6">
            <wp:extent cx="4865886" cy="5548393"/>
            <wp:effectExtent l="0" t="0" r="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9"/>
                    <a:stretch>
                      <a:fillRect/>
                    </a:stretch>
                  </pic:blipFill>
                  <pic:spPr>
                    <a:xfrm>
                      <a:off x="0" y="0"/>
                      <a:ext cx="4868134" cy="5550957"/>
                    </a:xfrm>
                    <a:prstGeom prst="rect">
                      <a:avLst/>
                    </a:prstGeom>
                  </pic:spPr>
                </pic:pic>
              </a:graphicData>
            </a:graphic>
          </wp:inline>
        </w:drawing>
      </w:r>
    </w:p>
    <w:p w14:paraId="7C2765AA" w14:textId="77777777" w:rsidR="001B672C" w:rsidRPr="004F446B" w:rsidRDefault="00B54E50" w:rsidP="00B54E50">
      <w:pPr>
        <w:pStyle w:val="MDPI51figurecaption"/>
      </w:pPr>
      <w:r w:rsidRPr="00085F35">
        <w:rPr>
          <w:b/>
          <w:bCs/>
        </w:rPr>
        <w:t xml:space="preserve">Figure 2. </w:t>
      </w:r>
      <w:r w:rsidR="001B672C" w:rsidRPr="004F446B">
        <w:t>Meta-analysis of the VO2max reported on each study and average values for each ergometer used on the assessment of functional capacity. Grey points represent the average value of each individual study. Darker horizontal lines intersecting them represent the upper and lower value of the mean ± SD, and lighter horizontal lines show 95% CI. White rhombi intersected by a black line represent the mean VO2max and 95% CI of each ergometer as extracted from the meta-analysis. The black rhombus represents the mean value and 95% CI of all studies as extracted from the meta-analysis. Numerical values of each subgroup and the whole group are presented.</w:t>
      </w:r>
    </w:p>
    <w:p w14:paraId="0E742292" w14:textId="51B3DDF1" w:rsidR="001B672C" w:rsidRPr="004F446B" w:rsidRDefault="00DE72E9" w:rsidP="00B54E50">
      <w:pPr>
        <w:pStyle w:val="MDPI52figure"/>
      </w:pPr>
      <w:r w:rsidRPr="00DE72E9">
        <w:rPr>
          <w:noProof/>
        </w:rPr>
        <w:lastRenderedPageBreak/>
        <w:drawing>
          <wp:inline distT="0" distB="0" distL="0" distR="0" wp14:anchorId="3DDEACCF" wp14:editId="13B0770A">
            <wp:extent cx="5612400" cy="2081189"/>
            <wp:effectExtent l="0" t="0" r="1270" b="1905"/>
            <wp:docPr id="5"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dispersión&#10;&#10;Descripción generada automáticamente"/>
                    <pic:cNvPicPr/>
                  </pic:nvPicPr>
                  <pic:blipFill>
                    <a:blip r:embed="rId10"/>
                    <a:stretch>
                      <a:fillRect/>
                    </a:stretch>
                  </pic:blipFill>
                  <pic:spPr>
                    <a:xfrm>
                      <a:off x="0" y="0"/>
                      <a:ext cx="5612400" cy="2081189"/>
                    </a:xfrm>
                    <a:prstGeom prst="rect">
                      <a:avLst/>
                    </a:prstGeom>
                  </pic:spPr>
                </pic:pic>
              </a:graphicData>
            </a:graphic>
          </wp:inline>
        </w:drawing>
      </w:r>
    </w:p>
    <w:p w14:paraId="185EFF9A" w14:textId="77777777" w:rsidR="001B672C" w:rsidRPr="00835518" w:rsidRDefault="00B54E50" w:rsidP="00B54E50">
      <w:pPr>
        <w:pStyle w:val="MDPI51figurecaption"/>
        <w:ind w:left="425" w:right="425"/>
        <w:jc w:val="both"/>
      </w:pPr>
      <w:r w:rsidRPr="00795E21">
        <w:rPr>
          <w:b/>
          <w:bCs/>
        </w:rPr>
        <w:t xml:space="preserve">Figure 3. </w:t>
      </w:r>
      <w:r w:rsidR="001B672C" w:rsidRPr="00795E21">
        <w:t>Meta</w:t>
      </w:r>
      <w:r w:rsidR="001B672C" w:rsidRPr="004F446B">
        <w:t xml:space="preserve">-analysis of the ATVO2 reported on each study. Grey points </w:t>
      </w:r>
      <w:r w:rsidR="001B672C" w:rsidRPr="00835518">
        <w:t>represent Table 2. of each individual study. Darker horizontal lines intersecting them represent the upper and lower value of the mean ± SD, and lighter horizontal lines show 95% CI. The black rhombus represents the mean value and 95% CI of all studies as extracted from the meta-analysis. Numerical values for the whole group are presented.</w:t>
      </w:r>
    </w:p>
    <w:p w14:paraId="0F807224" w14:textId="179DBE79" w:rsidR="001B672C" w:rsidRPr="00835518" w:rsidRDefault="00165ECF" w:rsidP="00126CBE">
      <w:pPr>
        <w:pStyle w:val="MDPI22heading2"/>
        <w:spacing w:before="240"/>
      </w:pPr>
      <w:r>
        <w:t>3.3</w:t>
      </w:r>
      <w:r w:rsidR="00126CBE" w:rsidRPr="00835518">
        <w:t xml:space="preserve">. </w:t>
      </w:r>
      <w:r w:rsidR="001B672C" w:rsidRPr="00835518">
        <w:t>Cardiac Variables</w:t>
      </w:r>
    </w:p>
    <w:p w14:paraId="4DA79596" w14:textId="53F88EC5" w:rsidR="001B672C" w:rsidRPr="004F446B" w:rsidRDefault="001B672C" w:rsidP="00B54E50">
      <w:pPr>
        <w:pStyle w:val="MDPI31text"/>
      </w:pPr>
      <w:r w:rsidRPr="00835518">
        <w:t>Data regarding cardiac variables were registered as included or non-included together with the moment when measuring was done. Numerical data (not shown) were analyzed separately and will be mentioned hereafter. Average prevalence of resting LVOT</w:t>
      </w:r>
      <w:r w:rsidR="001C44D6" w:rsidRPr="00835518">
        <w:t xml:space="preserve"> </w:t>
      </w:r>
      <w:r w:rsidRPr="00835518">
        <w:t>&gt;</w:t>
      </w:r>
      <w:r w:rsidR="001C44D6" w:rsidRPr="00835518">
        <w:t xml:space="preserve"> </w:t>
      </w:r>
      <w:r w:rsidRPr="00835518">
        <w:t xml:space="preserve">30 mmHg was 31.4% in </w:t>
      </w:r>
      <w:r w:rsidR="001C44D6" w:rsidRPr="00835518">
        <w:t>7933</w:t>
      </w:r>
      <w:r w:rsidRPr="00835518">
        <w:t xml:space="preserve"> patients and increased to 49% in exercise conditions (data from </w:t>
      </w:r>
      <w:r w:rsidR="001C44D6" w:rsidRPr="00835518">
        <w:t>1095</w:t>
      </w:r>
      <w:r w:rsidRPr="00835518">
        <w:t xml:space="preserve"> patients), meaning 1 out of 3 patients without resting</w:t>
      </w:r>
      <w:r w:rsidRPr="004F446B">
        <w:t xml:space="preserve"> LVO</w:t>
      </w:r>
      <w:r w:rsidR="001C44D6" w:rsidRPr="004F446B">
        <w:t>T</w:t>
      </w:r>
      <w:r w:rsidR="001C44D6">
        <w:t xml:space="preserve"> </w:t>
      </w:r>
      <w:r w:rsidR="001C44D6" w:rsidRPr="004F446B">
        <w:t>&gt;</w:t>
      </w:r>
      <w:r w:rsidR="001C44D6">
        <w:t xml:space="preserve"> </w:t>
      </w:r>
      <w:r w:rsidR="001C44D6" w:rsidRPr="004F446B">
        <w:t>3</w:t>
      </w:r>
      <w:r w:rsidRPr="004F446B">
        <w:t>0 mmHg developed obstruction with exercise (287 out of 847).</w:t>
      </w:r>
    </w:p>
    <w:p w14:paraId="31227269" w14:textId="00751B41" w:rsidR="001B672C" w:rsidRPr="004F446B" w:rsidRDefault="001B672C" w:rsidP="00B54E50">
      <w:pPr>
        <w:pStyle w:val="MDPI31text"/>
      </w:pPr>
      <w:r w:rsidRPr="004F446B">
        <w:t>Mitral regurgitation (MR) was evaluated in 27 publications: 22 at rest and 5 at rest and during exercise. Prevalence of resting MR data was 33.9% (</w:t>
      </w:r>
      <w:r w:rsidR="001C44D6" w:rsidRPr="001C44D6">
        <w:rPr>
          <w:i/>
        </w:rPr>
        <w:t>n</w:t>
      </w:r>
      <w:r w:rsidR="001C44D6">
        <w:t xml:space="preserve"> </w:t>
      </w:r>
      <w:r w:rsidRPr="004F446B">
        <w:t xml:space="preserve">= </w:t>
      </w:r>
      <w:r w:rsidR="001C44D6" w:rsidRPr="004F446B">
        <w:t>5587</w:t>
      </w:r>
      <w:r w:rsidRPr="004F446B">
        <w:t>) with no distinction of the MR grade and augmented up to 62.0% during exercise.</w:t>
      </w:r>
    </w:p>
    <w:p w14:paraId="118BF499" w14:textId="77777777" w:rsidR="001B672C" w:rsidRPr="004F446B" w:rsidRDefault="001B672C" w:rsidP="00B54E50">
      <w:pPr>
        <w:pStyle w:val="MDPI31text"/>
      </w:pPr>
      <w:r w:rsidRPr="004F446B">
        <w:t>Mean PCWP and pulmonary artery diastolic pressure during exercise was obtained with data from 175 patients (11.9 ± 5.6 and 12.0 ± 5.8 mmHg, respectively), while average values for pulmonary artery systolic pressure and mean pulmonary artery pressure were 28.5 ± 7.7 and 15.8 ± 5.0 mmHg, respectively.</w:t>
      </w:r>
    </w:p>
    <w:p w14:paraId="41334BE0" w14:textId="53ED7449" w:rsidR="001B672C" w:rsidRPr="004F446B" w:rsidRDefault="001B672C" w:rsidP="00B54E50">
      <w:pPr>
        <w:pStyle w:val="MDPI31text"/>
      </w:pPr>
      <w:r w:rsidRPr="004F446B">
        <w:t>Mean prevalence of ABPRE was 20.3%, but the available data prevented distinctions between ABPRE type (e.g.</w:t>
      </w:r>
      <w:r w:rsidR="001C44D6">
        <w:t>,</w:t>
      </w:r>
      <w:r w:rsidRPr="004F446B">
        <w:t xml:space="preserve"> blood pressure drop, failure in increasing blood pressure). </w:t>
      </w:r>
    </w:p>
    <w:p w14:paraId="67F2B65A" w14:textId="5792FC4B" w:rsidR="001B672C" w:rsidRPr="004F446B" w:rsidRDefault="001B672C" w:rsidP="00B54E50">
      <w:pPr>
        <w:pStyle w:val="MDPI31text"/>
      </w:pPr>
      <w:r w:rsidRPr="004F446B">
        <w:t xml:space="preserve">Regarding arrhythmias, </w:t>
      </w:r>
      <w:r w:rsidR="001C44D6" w:rsidRPr="004F446B">
        <w:t>1496</w:t>
      </w:r>
      <w:r w:rsidRPr="004F446B">
        <w:t xml:space="preserve"> (32.7%) patients experienced this event during 24</w:t>
      </w:r>
      <w:r w:rsidR="001C44D6">
        <w:t xml:space="preserve"> </w:t>
      </w:r>
      <w:r w:rsidRPr="004F446B">
        <w:t>h Holter monitoring prior to the CPET and 2.67% of them developed it during the test.</w:t>
      </w:r>
    </w:p>
    <w:p w14:paraId="654A7CB3" w14:textId="27BF7AE7" w:rsidR="001B672C" w:rsidRPr="004F446B" w:rsidRDefault="00165ECF" w:rsidP="00126CBE">
      <w:pPr>
        <w:pStyle w:val="MDPI22heading2"/>
        <w:spacing w:before="240"/>
      </w:pPr>
      <w:r>
        <w:t>3.4</w:t>
      </w:r>
      <w:r w:rsidR="00126CBE">
        <w:t xml:space="preserve">. </w:t>
      </w:r>
      <w:r w:rsidR="001B672C" w:rsidRPr="004F446B">
        <w:t>Analysis of Subgroups</w:t>
      </w:r>
    </w:p>
    <w:p w14:paraId="759ECF58" w14:textId="77777777" w:rsidR="001B672C" w:rsidRPr="00835518" w:rsidRDefault="001B672C" w:rsidP="00B54E50">
      <w:pPr>
        <w:pStyle w:val="MDPI31text"/>
      </w:pPr>
      <w:r w:rsidRPr="004F446B">
        <w:t xml:space="preserve">Information from publications </w:t>
      </w:r>
      <w:r w:rsidRPr="00835518">
        <w:t xml:space="preserve">was extracted and sorted regarding age, presence of baseline LVOT, and severity of hypertrophy. </w:t>
      </w:r>
    </w:p>
    <w:p w14:paraId="68854785" w14:textId="52502DE5" w:rsidR="001B672C" w:rsidRPr="004F446B" w:rsidRDefault="001B672C" w:rsidP="00835518">
      <w:pPr>
        <w:pStyle w:val="MDPI31text"/>
        <w:spacing w:after="240"/>
      </w:pPr>
      <w:r w:rsidRPr="00835518">
        <w:t xml:space="preserve">Age cut-offs were arbitrarily set. </w:t>
      </w:r>
      <w:r w:rsidRPr="00835518">
        <w:rPr>
          <w:bCs/>
        </w:rPr>
        <w:t>Figure 4</w:t>
      </w:r>
      <w:r w:rsidRPr="00835518">
        <w:t xml:space="preserve"> represents VO2max for </w:t>
      </w:r>
      <w:r w:rsidR="00144A1C">
        <w:t>three</w:t>
      </w:r>
      <w:r w:rsidRPr="00835518">
        <w:t xml:space="preserve"> </w:t>
      </w:r>
      <w:r w:rsidR="00144A1C" w:rsidRPr="00835518">
        <w:t>pediatric</w:t>
      </w:r>
      <w:r w:rsidRPr="00835518">
        <w:t xml:space="preserve"> (</w:t>
      </w:r>
      <w:r w:rsidR="001C44D6" w:rsidRPr="00835518">
        <w:rPr>
          <w:i/>
        </w:rPr>
        <w:t>n</w:t>
      </w:r>
      <w:r w:rsidR="001C44D6" w:rsidRPr="00835518">
        <w:t xml:space="preserve"> </w:t>
      </w:r>
      <w:r w:rsidRPr="00835518">
        <w:t>= 127), 19 ≤</w:t>
      </w:r>
      <w:r w:rsidR="001C44D6" w:rsidRPr="00835518">
        <w:t xml:space="preserve"> </w:t>
      </w:r>
      <w:r w:rsidRPr="00835518">
        <w:t>45 years old (</w:t>
      </w:r>
      <w:r w:rsidR="001C44D6" w:rsidRPr="00835518">
        <w:rPr>
          <w:i/>
        </w:rPr>
        <w:t>n</w:t>
      </w:r>
      <w:r w:rsidR="001C44D6" w:rsidRPr="00835518">
        <w:t xml:space="preserve"> </w:t>
      </w:r>
      <w:r w:rsidRPr="00835518">
        <w:t xml:space="preserve">= </w:t>
      </w:r>
      <w:r w:rsidR="001C44D6" w:rsidRPr="00835518">
        <w:t>1496</w:t>
      </w:r>
      <w:r w:rsidRPr="00835518">
        <w:t>) and 30 &gt;</w:t>
      </w:r>
      <w:r w:rsidR="00C25128" w:rsidRPr="00835518">
        <w:t xml:space="preserve"> </w:t>
      </w:r>
      <w:r w:rsidRPr="00835518">
        <w:t>45 years old (</w:t>
      </w:r>
      <w:r w:rsidR="001C44D6" w:rsidRPr="00835518">
        <w:rPr>
          <w:i/>
        </w:rPr>
        <w:t>n</w:t>
      </w:r>
      <w:r w:rsidR="001C44D6" w:rsidRPr="00835518">
        <w:t xml:space="preserve"> </w:t>
      </w:r>
      <w:r w:rsidRPr="00835518">
        <w:t xml:space="preserve">= </w:t>
      </w:r>
      <w:r w:rsidR="001C44D6" w:rsidRPr="00835518">
        <w:t>5088</w:t>
      </w:r>
      <w:r w:rsidRPr="00835518">
        <w:t>) cohorts extracted information from related publications. Mean VO2max was higher for adults ≤</w:t>
      </w:r>
      <w:r w:rsidR="001C44D6" w:rsidRPr="00835518">
        <w:t xml:space="preserve"> </w:t>
      </w:r>
      <w:r w:rsidRPr="00835518">
        <w:t xml:space="preserve">45 years old, then </w:t>
      </w:r>
      <w:r w:rsidR="00144A1C" w:rsidRPr="00835518">
        <w:t>pediatric</w:t>
      </w:r>
      <w:r w:rsidRPr="00835518">
        <w:t xml:space="preserve"> HCM patients and older adults, although differences did not reach significance (25.6 ± 3.</w:t>
      </w:r>
      <w:r w:rsidR="00835518" w:rsidRPr="00835518">
        <w:t>6 mL·</w:t>
      </w:r>
      <w:r w:rsidRPr="00835518">
        <w:t>kg</w:t>
      </w:r>
      <w:r w:rsidR="001C44D6" w:rsidRPr="00835518">
        <w:rPr>
          <w:vertAlign w:val="superscript"/>
        </w:rPr>
        <w:t>−1</w:t>
      </w:r>
      <w:r w:rsidRPr="00835518">
        <w:t>·min</w:t>
      </w:r>
      <w:r w:rsidR="001C44D6" w:rsidRPr="00835518">
        <w:rPr>
          <w:vertAlign w:val="superscript"/>
        </w:rPr>
        <w:t>−1</w:t>
      </w:r>
      <w:r w:rsidR="00126CBE" w:rsidRPr="00835518">
        <w:t xml:space="preserve"> vs. </w:t>
      </w:r>
      <w:r w:rsidRPr="00835518">
        <w:t>23.7 ± 6.</w:t>
      </w:r>
      <w:r w:rsidR="00835518" w:rsidRPr="00835518">
        <w:t>6 mL·</w:t>
      </w:r>
      <w:r w:rsidRPr="00835518">
        <w:t>kg</w:t>
      </w:r>
      <w:r w:rsidR="001C44D6" w:rsidRPr="00835518">
        <w:rPr>
          <w:vertAlign w:val="superscript"/>
        </w:rPr>
        <w:t>−1</w:t>
      </w:r>
      <w:r w:rsidRPr="00835518">
        <w:t>·min</w:t>
      </w:r>
      <w:r w:rsidR="001C44D6" w:rsidRPr="00835518">
        <w:rPr>
          <w:vertAlign w:val="superscript"/>
        </w:rPr>
        <w:t>−1</w:t>
      </w:r>
      <w:r w:rsidRPr="00835518">
        <w:t xml:space="preserve"> and 22.5 ± 2.</w:t>
      </w:r>
      <w:r w:rsidR="00835518" w:rsidRPr="00835518">
        <w:t>5 mL·</w:t>
      </w:r>
      <w:r w:rsidRPr="00835518">
        <w:t>kg</w:t>
      </w:r>
      <w:r w:rsidR="001C44D6" w:rsidRPr="00835518">
        <w:rPr>
          <w:vertAlign w:val="superscript"/>
        </w:rPr>
        <w:t>−1</w:t>
      </w:r>
      <w:r w:rsidRPr="00835518">
        <w:t>·min</w:t>
      </w:r>
      <w:r w:rsidR="001C44D6" w:rsidRPr="00835518">
        <w:rPr>
          <w:vertAlign w:val="superscript"/>
        </w:rPr>
        <w:t>−</w:t>
      </w:r>
      <w:r w:rsidR="004360E1" w:rsidRPr="00835518">
        <w:rPr>
          <w:vertAlign w:val="superscript"/>
        </w:rPr>
        <w:t>1</w:t>
      </w:r>
      <w:r w:rsidR="004360E1" w:rsidRPr="004360E1">
        <w:t>, respectively</w:t>
      </w:r>
      <w:r w:rsidRPr="00835518">
        <w:t xml:space="preserve">, </w:t>
      </w:r>
      <w:r w:rsidR="001C44D6" w:rsidRPr="00835518">
        <w:rPr>
          <w:i/>
        </w:rPr>
        <w:t xml:space="preserve">p </w:t>
      </w:r>
      <w:r w:rsidRPr="00835518">
        <w:t>= 0.61 for young adults</w:t>
      </w:r>
      <w:r w:rsidR="00126CBE" w:rsidRPr="00835518">
        <w:t xml:space="preserve"> vs. </w:t>
      </w:r>
      <w:r w:rsidR="00144A1C" w:rsidRPr="00835518">
        <w:t>pediatric</w:t>
      </w:r>
      <w:r w:rsidRPr="00835518">
        <w:t xml:space="preserve">, </w:t>
      </w:r>
      <w:r w:rsidR="001C44D6" w:rsidRPr="00835518">
        <w:rPr>
          <w:i/>
        </w:rPr>
        <w:t xml:space="preserve">p </w:t>
      </w:r>
      <w:r w:rsidRPr="00835518">
        <w:t>= 0.15 for young</w:t>
      </w:r>
      <w:r w:rsidR="00126CBE" w:rsidRPr="00835518">
        <w:t xml:space="preserve"> vs. </w:t>
      </w:r>
      <w:r w:rsidRPr="00835518">
        <w:t>older adults). Proportion of ABPRE was higher in young adult and</w:t>
      </w:r>
      <w:r w:rsidRPr="00126CBE">
        <w:t xml:space="preserve"> older adult groups compared to </w:t>
      </w:r>
      <w:r w:rsidR="00144A1C" w:rsidRPr="00126CBE">
        <w:t>pediatric</w:t>
      </w:r>
      <w:r w:rsidRPr="00126CBE">
        <w:t xml:space="preserve"> (20.4%</w:t>
      </w:r>
      <w:r w:rsidR="00126CBE" w:rsidRPr="00126CBE">
        <w:t xml:space="preserve"> vs. </w:t>
      </w:r>
      <w:r w:rsidRPr="00126CBE">
        <w:t>14.2% and 2.75</w:t>
      </w:r>
      <w:r w:rsidR="004360E1" w:rsidRPr="00126CBE">
        <w:t>%</w:t>
      </w:r>
      <w:r w:rsidR="004360E1" w:rsidRPr="004360E1">
        <w:t>, respectively</w:t>
      </w:r>
      <w:r w:rsidRPr="00126CBE">
        <w:t xml:space="preserve">, </w:t>
      </w:r>
      <w:r w:rsidR="001C44D6" w:rsidRPr="00126CBE">
        <w:rPr>
          <w:i/>
        </w:rPr>
        <w:t>p</w:t>
      </w:r>
      <w:r w:rsidR="001C44D6" w:rsidRPr="00126CBE">
        <w:t xml:space="preserve"> &lt; 0</w:t>
      </w:r>
      <w:r w:rsidRPr="00126CBE">
        <w:t>.001 for all groups and for paired comparisons). Prevalence of previous arrhythmias was higher for older adults than for younger adults (26.4%</w:t>
      </w:r>
      <w:r w:rsidR="00126CBE" w:rsidRPr="00126CBE">
        <w:t xml:space="preserve"> vs. </w:t>
      </w:r>
      <w:r w:rsidRPr="00126CBE">
        <w:t xml:space="preserve">21.5%, </w:t>
      </w:r>
      <w:r w:rsidR="001C44D6" w:rsidRPr="00126CBE">
        <w:rPr>
          <w:i/>
        </w:rPr>
        <w:t>p</w:t>
      </w:r>
      <w:r w:rsidR="001C44D6" w:rsidRPr="00126CBE">
        <w:t xml:space="preserve"> &lt; 0</w:t>
      </w:r>
      <w:r w:rsidRPr="00126CBE">
        <w:t>.01), while the occurrence during functional assessment was higher among younger adults (5.42%</w:t>
      </w:r>
      <w:r w:rsidR="00126CBE" w:rsidRPr="00126CBE">
        <w:t xml:space="preserve"> vs. </w:t>
      </w:r>
      <w:r w:rsidRPr="00126CBE">
        <w:t xml:space="preserve">1.69% in older adults, </w:t>
      </w:r>
      <w:r w:rsidR="001C44D6" w:rsidRPr="00126CBE">
        <w:rPr>
          <w:i/>
        </w:rPr>
        <w:t>p</w:t>
      </w:r>
      <w:r w:rsidR="001C44D6" w:rsidRPr="00126CBE">
        <w:t xml:space="preserve"> &lt; 0</w:t>
      </w:r>
      <w:r w:rsidRPr="00126CBE">
        <w:t xml:space="preserve">.001). There </w:t>
      </w:r>
      <w:r w:rsidR="00144A1C">
        <w:t>were</w:t>
      </w:r>
      <w:r w:rsidR="00144A1C" w:rsidRPr="00126CBE">
        <w:t xml:space="preserve"> </w:t>
      </w:r>
      <w:r w:rsidRPr="00126CBE">
        <w:t>no data regarding the presence or occurrence of arrhythmias</w:t>
      </w:r>
      <w:r w:rsidRPr="004F446B">
        <w:t xml:space="preserve"> in </w:t>
      </w:r>
      <w:r w:rsidR="00144A1C" w:rsidRPr="004F446B">
        <w:t>pediatric</w:t>
      </w:r>
      <w:r w:rsidRPr="004F446B">
        <w:t xml:space="preserve"> patients.</w:t>
      </w:r>
    </w:p>
    <w:p w14:paraId="5C15B087" w14:textId="41096E8D" w:rsidR="001B672C" w:rsidRPr="004F446B" w:rsidRDefault="00F63967" w:rsidP="00B54E50">
      <w:pPr>
        <w:pStyle w:val="MDPI52figure"/>
      </w:pPr>
      <w:r w:rsidRPr="00F63967">
        <w:rPr>
          <w:noProof/>
        </w:rPr>
        <w:lastRenderedPageBreak/>
        <w:drawing>
          <wp:inline distT="0" distB="0" distL="0" distR="0" wp14:anchorId="72ACE3D4" wp14:editId="0C5A9F74">
            <wp:extent cx="0" cy="0"/>
            <wp:effectExtent l="0" t="0" r="0"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1"/>
                    <a:stretch>
                      <a:fillRect/>
                    </a:stretch>
                  </pic:blipFill>
                  <pic:spPr>
                    <a:xfrm>
                      <a:off x="0" y="0"/>
                      <a:ext cx="0" cy="0"/>
                    </a:xfrm>
                    <a:prstGeom prst="rect">
                      <a:avLst/>
                    </a:prstGeom>
                  </pic:spPr>
                </pic:pic>
              </a:graphicData>
            </a:graphic>
          </wp:inline>
        </w:drawing>
      </w:r>
      <w:r w:rsidRPr="00F63967">
        <w:rPr>
          <w:noProof/>
        </w:rPr>
        <w:drawing>
          <wp:inline distT="0" distB="0" distL="0" distR="0" wp14:anchorId="08875BD7" wp14:editId="3F293B2A">
            <wp:extent cx="5422071" cy="60624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2071" cy="6062400"/>
                    </a:xfrm>
                    <a:prstGeom prst="rect">
                      <a:avLst/>
                    </a:prstGeom>
                  </pic:spPr>
                </pic:pic>
              </a:graphicData>
            </a:graphic>
          </wp:inline>
        </w:drawing>
      </w:r>
    </w:p>
    <w:p w14:paraId="47220482" w14:textId="77777777" w:rsidR="001B672C" w:rsidRPr="004F446B" w:rsidRDefault="00B54E50" w:rsidP="00B54E50">
      <w:pPr>
        <w:pStyle w:val="MDPI51figurecaption"/>
        <w:ind w:left="425" w:right="425"/>
        <w:jc w:val="both"/>
      </w:pPr>
      <w:r w:rsidRPr="00795E21">
        <w:rPr>
          <w:b/>
          <w:bCs/>
        </w:rPr>
        <w:t xml:space="preserve">Figure 4. </w:t>
      </w:r>
      <w:r w:rsidR="001B672C" w:rsidRPr="004F446B">
        <w:t>Meta-analysis of the VO2max reported on each study and average values for each age group. Grey points represent the average value of each individual study. Darker horizontal lines intersecting them represent the upper and lower value of the mean ± SD, and lighter horizontal lines show 95% CI. White rhombi intersected by a black line represent the mean VO2max and 95% CI of each age group as extracted from the meta-analysis. Numerical values of each subgroup are presented.</w:t>
      </w:r>
    </w:p>
    <w:p w14:paraId="7F13C46B" w14:textId="17A996E9" w:rsidR="001B672C" w:rsidRPr="004F446B" w:rsidRDefault="001B672C" w:rsidP="00835518">
      <w:pPr>
        <w:pStyle w:val="MDPI31text"/>
        <w:spacing w:after="240"/>
      </w:pPr>
      <w:r w:rsidRPr="004F446B">
        <w:t xml:space="preserve">A 20 mm cut-off, which is close to the mean maximal left </w:t>
      </w:r>
      <w:r w:rsidRPr="00835518">
        <w:t xml:space="preserve">ventricular wall thickness for most publications, was arbitrarily set for mean VO2max comparison. </w:t>
      </w:r>
      <w:r w:rsidRPr="00835518">
        <w:rPr>
          <w:bCs/>
        </w:rPr>
        <w:t>Figure 5</w:t>
      </w:r>
      <w:r w:rsidRPr="00835518">
        <w:t xml:space="preserve"> represents VO2max results of 22 and 26 publications with available information for under and above 20 mm analysis. A total of </w:t>
      </w:r>
      <w:r w:rsidR="001C44D6" w:rsidRPr="00835518">
        <w:t>2600</w:t>
      </w:r>
      <w:r w:rsidRPr="00835518">
        <w:t xml:space="preserve"> patients were included in the milder and </w:t>
      </w:r>
      <w:r w:rsidR="001C44D6" w:rsidRPr="00835518">
        <w:t>3798</w:t>
      </w:r>
      <w:r w:rsidRPr="00835518">
        <w:t xml:space="preserve"> patients in the group with more severe hypertrophy. The group with more severe hypertrophy had a higher mean VO2max, although differences did not reach significance (24.4 ± 2.</w:t>
      </w:r>
      <w:r w:rsidR="00835518" w:rsidRPr="00835518">
        <w:t>9 mL·</w:t>
      </w:r>
      <w:r w:rsidRPr="00835518">
        <w:t>kg</w:t>
      </w:r>
      <w:r w:rsidR="001C44D6" w:rsidRPr="00835518">
        <w:rPr>
          <w:vertAlign w:val="superscript"/>
        </w:rPr>
        <w:t>−1</w:t>
      </w:r>
      <w:r w:rsidRPr="00835518">
        <w:t>·min</w:t>
      </w:r>
      <w:r w:rsidR="001C44D6" w:rsidRPr="00835518">
        <w:rPr>
          <w:vertAlign w:val="superscript"/>
        </w:rPr>
        <w:t>−1</w:t>
      </w:r>
      <w:r w:rsidR="00126CBE" w:rsidRPr="00835518">
        <w:t xml:space="preserve"> vs. </w:t>
      </w:r>
      <w:r w:rsidRPr="00835518">
        <w:t>22.4 ± 2.</w:t>
      </w:r>
      <w:r w:rsidR="00835518" w:rsidRPr="00835518">
        <w:t>6 mL·</w:t>
      </w:r>
      <w:r w:rsidRPr="00835518">
        <w:t>kg</w:t>
      </w:r>
      <w:r w:rsidR="001C44D6" w:rsidRPr="00835518">
        <w:rPr>
          <w:vertAlign w:val="superscript"/>
        </w:rPr>
        <w:t>−1</w:t>
      </w:r>
      <w:r w:rsidRPr="00835518">
        <w:t>·min</w:t>
      </w:r>
      <w:r w:rsidR="001C44D6" w:rsidRPr="00835518">
        <w:rPr>
          <w:vertAlign w:val="superscript"/>
        </w:rPr>
        <w:t>−1</w:t>
      </w:r>
      <w:r w:rsidRPr="00835518">
        <w:t xml:space="preserve">, </w:t>
      </w:r>
      <w:r w:rsidR="001C44D6" w:rsidRPr="00835518">
        <w:rPr>
          <w:i/>
        </w:rPr>
        <w:t xml:space="preserve">p </w:t>
      </w:r>
      <w:r w:rsidRPr="00835518">
        <w:t>= 0.34). Proportion of ABPRE was higher in severe</w:t>
      </w:r>
      <w:r w:rsidR="00126CBE" w:rsidRPr="00835518">
        <w:t xml:space="preserve"> vs. </w:t>
      </w:r>
      <w:r w:rsidRPr="00835518">
        <w:t>mild hypertrophy groups (17.9%</w:t>
      </w:r>
      <w:r w:rsidR="00126CBE" w:rsidRPr="00835518">
        <w:t xml:space="preserve"> vs. </w:t>
      </w:r>
      <w:r w:rsidRPr="00835518">
        <w:t xml:space="preserve">13.6%, </w:t>
      </w:r>
      <w:r w:rsidR="001C44D6" w:rsidRPr="00835518">
        <w:rPr>
          <w:i/>
        </w:rPr>
        <w:t>p</w:t>
      </w:r>
      <w:r w:rsidR="001C44D6" w:rsidRPr="00835518">
        <w:t xml:space="preserve"> &lt; 0</w:t>
      </w:r>
      <w:r w:rsidRPr="00835518">
        <w:t xml:space="preserve">.001). </w:t>
      </w:r>
      <w:r w:rsidR="00144A1C">
        <w:t xml:space="preserve">The </w:t>
      </w:r>
      <w:r w:rsidR="00144A1C" w:rsidRPr="00835518">
        <w:t>prevalence</w:t>
      </w:r>
      <w:r w:rsidR="00144A1C" w:rsidRPr="00126CBE">
        <w:t xml:space="preserve"> </w:t>
      </w:r>
      <w:r w:rsidRPr="00126CBE">
        <w:t>of previous arrhythmias and occurrence during functional assessment was similar in mild versus severe hypertrophy groups (26.5%</w:t>
      </w:r>
      <w:r w:rsidR="00126CBE" w:rsidRPr="00126CBE">
        <w:t xml:space="preserve"> vs. </w:t>
      </w:r>
      <w:r w:rsidRPr="00126CBE">
        <w:t xml:space="preserve">24.5%, </w:t>
      </w:r>
      <w:r w:rsidR="001C44D6" w:rsidRPr="00126CBE">
        <w:rPr>
          <w:i/>
        </w:rPr>
        <w:t xml:space="preserve">p </w:t>
      </w:r>
      <w:r w:rsidRPr="00126CBE">
        <w:t>= 0.44 and 2.79%</w:t>
      </w:r>
      <w:r w:rsidR="00126CBE" w:rsidRPr="00126CBE">
        <w:t xml:space="preserve"> vs. </w:t>
      </w:r>
      <w:r w:rsidRPr="00126CBE">
        <w:t xml:space="preserve">2.11%, </w:t>
      </w:r>
      <w:r w:rsidR="001C44D6" w:rsidRPr="00126CBE">
        <w:rPr>
          <w:i/>
        </w:rPr>
        <w:t xml:space="preserve">p </w:t>
      </w:r>
      <w:r w:rsidRPr="00126CBE">
        <w:t>= 0.26, respectively).</w:t>
      </w:r>
    </w:p>
    <w:p w14:paraId="34632ADE" w14:textId="2BD5AA1D" w:rsidR="001B672C" w:rsidRPr="004F446B" w:rsidRDefault="007A4FCC" w:rsidP="00B54E50">
      <w:pPr>
        <w:pStyle w:val="MDPI52figure"/>
        <w:ind w:left="2608"/>
        <w:jc w:val="left"/>
      </w:pPr>
      <w:r w:rsidRPr="007A4FCC">
        <w:rPr>
          <w:noProof/>
        </w:rPr>
        <w:lastRenderedPageBreak/>
        <w:drawing>
          <wp:inline distT="0" distB="0" distL="0" distR="0" wp14:anchorId="414B96D9" wp14:editId="0B80A489">
            <wp:extent cx="4967206" cy="5148865"/>
            <wp:effectExtent l="0" t="0" r="5080" b="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rotWithShape="1">
                    <a:blip r:embed="rId12"/>
                    <a:srcRect b="2061"/>
                    <a:stretch/>
                  </pic:blipFill>
                  <pic:spPr bwMode="auto">
                    <a:xfrm>
                      <a:off x="0" y="0"/>
                      <a:ext cx="4971764" cy="5153589"/>
                    </a:xfrm>
                    <a:prstGeom prst="rect">
                      <a:avLst/>
                    </a:prstGeom>
                    <a:ln>
                      <a:noFill/>
                    </a:ln>
                    <a:extLst>
                      <a:ext uri="{53640926-AAD7-44D8-BBD7-CCE9431645EC}">
                        <a14:shadowObscured xmlns:a14="http://schemas.microsoft.com/office/drawing/2010/main"/>
                      </a:ext>
                    </a:extLst>
                  </pic:spPr>
                </pic:pic>
              </a:graphicData>
            </a:graphic>
          </wp:inline>
        </w:drawing>
      </w:r>
    </w:p>
    <w:p w14:paraId="5B705300" w14:textId="6A090C8A" w:rsidR="001B672C" w:rsidRPr="004F446B" w:rsidRDefault="00B54E50" w:rsidP="00B54E50">
      <w:pPr>
        <w:pStyle w:val="MDPI51figurecaption"/>
      </w:pPr>
      <w:r w:rsidRPr="00795E21">
        <w:rPr>
          <w:b/>
          <w:bCs/>
        </w:rPr>
        <w:t xml:space="preserve">Figure 5. </w:t>
      </w:r>
      <w:r w:rsidR="001B672C" w:rsidRPr="00795E21">
        <w:t>Meta-analysis of the VO2max reported on each study and average values for MWT groups. Grey points</w:t>
      </w:r>
      <w:r w:rsidR="001B672C" w:rsidRPr="004F446B">
        <w:t xml:space="preserve"> represent the average value of each individual study. Darker horizontal lines intersecting them represent the upper and lower value of the mean ± SD, and lighter horizontal lines show 95% CI. White rhombi intersected by a black line represent the mean VO2max and 95% CI of each MWT group as extracted from the meta-analysis. </w:t>
      </w:r>
      <w:r w:rsidR="00144A1C">
        <w:t xml:space="preserve">The </w:t>
      </w:r>
      <w:r w:rsidR="00144A1C" w:rsidRPr="004F446B">
        <w:t xml:space="preserve">numerical </w:t>
      </w:r>
      <w:r w:rsidR="001B672C" w:rsidRPr="004F446B">
        <w:t>values of each subgroup are presented.</w:t>
      </w:r>
    </w:p>
    <w:p w14:paraId="7F2D045B" w14:textId="6E01855C" w:rsidR="001B672C" w:rsidRPr="004F446B" w:rsidRDefault="001B672C" w:rsidP="00835518">
      <w:pPr>
        <w:pStyle w:val="MDPI31text"/>
        <w:spacing w:after="240"/>
      </w:pPr>
      <w:r w:rsidRPr="004F446B">
        <w:t xml:space="preserve">Information on exercise mean VO2max was available for comparison </w:t>
      </w:r>
      <w:r w:rsidRPr="00835518">
        <w:t>between baseline LVOT ≥ 30 mmHg (</w:t>
      </w:r>
      <w:r w:rsidR="001C44D6" w:rsidRPr="00835518">
        <w:rPr>
          <w:i/>
        </w:rPr>
        <w:t>n</w:t>
      </w:r>
      <w:r w:rsidR="006630E3" w:rsidRPr="00835518">
        <w:t xml:space="preserve"> </w:t>
      </w:r>
      <w:r w:rsidRPr="00835518">
        <w:t>= 1529) and LVOT &lt; 30 mmHg (</w:t>
      </w:r>
      <w:r w:rsidR="001C44D6" w:rsidRPr="00835518">
        <w:rPr>
          <w:i/>
        </w:rPr>
        <w:t>n</w:t>
      </w:r>
      <w:r w:rsidR="006630E3" w:rsidRPr="00835518">
        <w:t xml:space="preserve"> = 3</w:t>
      </w:r>
      <w:r w:rsidRPr="00835518">
        <w:t xml:space="preserve">346) and is shown in </w:t>
      </w:r>
      <w:r w:rsidRPr="00835518">
        <w:rPr>
          <w:bCs/>
        </w:rPr>
        <w:t>Figure 6.</w:t>
      </w:r>
      <w:r w:rsidRPr="00835518">
        <w:t xml:space="preserve"> Mean VO2max was slightly higher for obstructive</w:t>
      </w:r>
      <w:r w:rsidR="00126CBE" w:rsidRPr="00835518">
        <w:t xml:space="preserve"> vs. </w:t>
      </w:r>
      <w:r w:rsidRPr="00835518">
        <w:t>non-obstructive series, although differences did not reach significance (25.2 ± 4.9</w:t>
      </w:r>
      <w:r w:rsidR="00126CBE" w:rsidRPr="00835518">
        <w:t xml:space="preserve"> vs. </w:t>
      </w:r>
      <w:r w:rsidRPr="00835518">
        <w:t>22.8 ± 3.</w:t>
      </w:r>
      <w:r w:rsidR="00835518" w:rsidRPr="00835518">
        <w:t>1 mL·</w:t>
      </w:r>
      <w:r w:rsidRPr="00835518">
        <w:t>kg</w:t>
      </w:r>
      <w:r w:rsidR="001C44D6" w:rsidRPr="00835518">
        <w:rPr>
          <w:vertAlign w:val="superscript"/>
        </w:rPr>
        <w:t>−1</w:t>
      </w:r>
      <w:r w:rsidRPr="00835518">
        <w:t>·min</w:t>
      </w:r>
      <w:r w:rsidR="001C44D6" w:rsidRPr="00835518">
        <w:rPr>
          <w:vertAlign w:val="superscript"/>
        </w:rPr>
        <w:t>−1</w:t>
      </w:r>
      <w:r w:rsidRPr="00835518">
        <w:t xml:space="preserve">, </w:t>
      </w:r>
      <w:r w:rsidR="001C44D6" w:rsidRPr="00835518">
        <w:rPr>
          <w:i/>
        </w:rPr>
        <w:t>p</w:t>
      </w:r>
      <w:r w:rsidR="006630E3" w:rsidRPr="00835518">
        <w:t xml:space="preserve"> </w:t>
      </w:r>
      <w:r w:rsidRPr="00835518">
        <w:t>= 0.41). Proportion of ABPRE was higher in non-obstructive versus obstructive groups (12.8%</w:t>
      </w:r>
      <w:r w:rsidR="00126CBE" w:rsidRPr="00835518">
        <w:t xml:space="preserve"> vs. </w:t>
      </w:r>
      <w:r w:rsidRPr="00835518">
        <w:t xml:space="preserve">7.1%, </w:t>
      </w:r>
      <w:r w:rsidR="001C44D6" w:rsidRPr="00835518">
        <w:rPr>
          <w:i/>
        </w:rPr>
        <w:t>p</w:t>
      </w:r>
      <w:r w:rsidR="006630E3" w:rsidRPr="00835518">
        <w:t xml:space="preserve"> </w:t>
      </w:r>
      <w:r w:rsidRPr="00835518">
        <w:t>&lt;</w:t>
      </w:r>
      <w:r w:rsidR="006630E3" w:rsidRPr="00835518">
        <w:t xml:space="preserve"> </w:t>
      </w:r>
      <w:r w:rsidRPr="00835518">
        <w:t>0.001). Prevalence of previous arrhythmias was 30.7% in non-obstructive</w:t>
      </w:r>
      <w:r w:rsidRPr="00126CBE">
        <w:t xml:space="preserve"> patients, while no data was available for obstructive groups. Occurrence of arrhythmia during functional assessment was similar in obstructive and non-obstructive groups (5.55%</w:t>
      </w:r>
      <w:r w:rsidR="00126CBE" w:rsidRPr="00126CBE">
        <w:t xml:space="preserve"> vs. </w:t>
      </w:r>
      <w:r w:rsidRPr="00126CBE">
        <w:t xml:space="preserve">4.08%, </w:t>
      </w:r>
      <w:r w:rsidR="001C44D6" w:rsidRPr="00126CBE">
        <w:rPr>
          <w:i/>
        </w:rPr>
        <w:t>p</w:t>
      </w:r>
      <w:r w:rsidR="006630E3" w:rsidRPr="00126CBE">
        <w:t xml:space="preserve"> </w:t>
      </w:r>
      <w:r w:rsidRPr="00126CBE">
        <w:t>= 0.29).</w:t>
      </w:r>
    </w:p>
    <w:p w14:paraId="7D0D23B2" w14:textId="66B451CD" w:rsidR="001B672C" w:rsidRPr="004F446B" w:rsidRDefault="00604E33" w:rsidP="007E31C9">
      <w:pPr>
        <w:pStyle w:val="MDPI52figure"/>
      </w:pPr>
      <w:r w:rsidRPr="00604E33">
        <w:rPr>
          <w:noProof/>
        </w:rPr>
        <w:lastRenderedPageBreak/>
        <w:drawing>
          <wp:inline distT="0" distB="0" distL="0" distR="0" wp14:anchorId="434A8090" wp14:editId="519C70DB">
            <wp:extent cx="5269509" cy="3117600"/>
            <wp:effectExtent l="0" t="0" r="1270" b="0"/>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pic:nvPicPr>
                  <pic:blipFill>
                    <a:blip r:embed="rId13"/>
                    <a:stretch>
                      <a:fillRect/>
                    </a:stretch>
                  </pic:blipFill>
                  <pic:spPr>
                    <a:xfrm>
                      <a:off x="0" y="0"/>
                      <a:ext cx="5269509" cy="3117600"/>
                    </a:xfrm>
                    <a:prstGeom prst="rect">
                      <a:avLst/>
                    </a:prstGeom>
                  </pic:spPr>
                </pic:pic>
              </a:graphicData>
            </a:graphic>
          </wp:inline>
        </w:drawing>
      </w:r>
    </w:p>
    <w:p w14:paraId="7C1F619D" w14:textId="25EEBEE0" w:rsidR="001B672C" w:rsidRPr="004F446B" w:rsidRDefault="00B54E50" w:rsidP="00B54E50">
      <w:pPr>
        <w:pStyle w:val="MDPI51figurecaption"/>
        <w:ind w:left="425" w:right="425"/>
        <w:jc w:val="both"/>
      </w:pPr>
      <w:r w:rsidRPr="00795E21">
        <w:rPr>
          <w:b/>
          <w:bCs/>
        </w:rPr>
        <w:t xml:space="preserve">Figure 6. </w:t>
      </w:r>
      <w:r w:rsidR="001B672C" w:rsidRPr="00795E21">
        <w:t>Meta-analysis</w:t>
      </w:r>
      <w:r w:rsidR="001B672C" w:rsidRPr="004F446B">
        <w:t xml:space="preserve"> of the VO2max reported on each study and average values for each LVOT group. Grey points represent the average value of each individual study. Darker horizontal lines intersecting them represent the upper and lower value of the mean ± SD, and lighter horizontal lines show 95% CI. White rhombi intersected by a black line represent the mean VO2max and 95% CI of each LVOT group as extracted from the meta-analysis. </w:t>
      </w:r>
      <w:r w:rsidR="00144A1C">
        <w:t xml:space="preserve">The </w:t>
      </w:r>
      <w:r w:rsidR="00144A1C" w:rsidRPr="004F446B">
        <w:t xml:space="preserve">numerical </w:t>
      </w:r>
      <w:r w:rsidR="001B672C" w:rsidRPr="004F446B">
        <w:t>values of each subgroup are presented.</w:t>
      </w:r>
    </w:p>
    <w:p w14:paraId="5AF0D146" w14:textId="49AC8797" w:rsidR="001B672C" w:rsidRPr="004F446B" w:rsidRDefault="00165ECF" w:rsidP="00126CBE">
      <w:pPr>
        <w:pStyle w:val="MDPI22heading2"/>
        <w:spacing w:before="240"/>
      </w:pPr>
      <w:r>
        <w:t>3.5</w:t>
      </w:r>
      <w:r w:rsidR="00126CBE">
        <w:t xml:space="preserve">. </w:t>
      </w:r>
      <w:r w:rsidR="001B672C" w:rsidRPr="004F446B">
        <w:t>Prognostic Studies</w:t>
      </w:r>
    </w:p>
    <w:p w14:paraId="63995367" w14:textId="46EA2766" w:rsidR="00B54E50" w:rsidRDefault="001B672C" w:rsidP="00B54E50">
      <w:pPr>
        <w:pStyle w:val="MDPI31text"/>
      </w:pPr>
      <w:r w:rsidRPr="004F446B">
        <w:rPr>
          <w:lang w:val="en-GB"/>
        </w:rPr>
        <w:t>23 publications evaluating the prognostic value of exercise capacity for prediction of major cardiac complication</w:t>
      </w:r>
      <w:r w:rsidR="006630E3">
        <w:rPr>
          <w:lang w:val="en-GB"/>
        </w:rPr>
        <w:t>s were identified. A total of 9</w:t>
      </w:r>
      <w:r w:rsidRPr="004F446B">
        <w:rPr>
          <w:lang w:val="en-GB"/>
        </w:rPr>
        <w:t xml:space="preserve">145 patients were included in this analysis. </w:t>
      </w:r>
      <w:r w:rsidRPr="006630E3">
        <w:rPr>
          <w:bCs/>
          <w:lang w:val="en-GB"/>
        </w:rPr>
        <w:t>Table 2</w:t>
      </w:r>
      <w:r w:rsidRPr="004F446B">
        <w:rPr>
          <w:lang w:val="en-GB"/>
        </w:rPr>
        <w:t xml:space="preserve"> summarizes main characteristics and results of the selected studies. </w:t>
      </w:r>
      <w:r w:rsidR="00B46290">
        <w:rPr>
          <w:lang w:val="en-GB"/>
        </w:rPr>
        <w:t>Sixteen</w:t>
      </w:r>
      <w:r w:rsidR="00B46290" w:rsidRPr="004F446B">
        <w:rPr>
          <w:lang w:val="en-GB"/>
        </w:rPr>
        <w:t xml:space="preserve"> </w:t>
      </w:r>
      <w:r w:rsidRPr="004F446B">
        <w:rPr>
          <w:lang w:val="en-GB"/>
        </w:rPr>
        <w:t>studies reported on SCD or equivalent (resuscitated cardiac arrest and ICD therapies), 13 on heart failure death, 7 on stroke</w:t>
      </w:r>
      <w:r w:rsidR="00B46290">
        <w:rPr>
          <w:lang w:val="en-GB"/>
        </w:rPr>
        <w:t>-related</w:t>
      </w:r>
      <w:r w:rsidRPr="004F446B">
        <w:rPr>
          <w:lang w:val="en-GB"/>
        </w:rPr>
        <w:t xml:space="preserve"> death, 8 on heart transplantation, 19 on global cardiovascular mortality and 14 on all-cause mortality. There were 8.47% total deaths, 6.72% cardiovascular deaths, 3.06% SCD cases, 1.20% heart failure death, 0.65% resuscitated cardiac arrests, 1.01% transplants, 2.58% ICD therapies and 1.22 strokes. Mean follow-up of the cohorts was 3.81 ± 2.77 years for a total of</w:t>
      </w:r>
      <w:r w:rsidRPr="004F446B">
        <w:t xml:space="preserve"> 43,794 patient</w:t>
      </w:r>
      <w:r w:rsidR="00460E72">
        <w:t xml:space="preserve"> </w:t>
      </w:r>
      <w:r w:rsidRPr="004F446B">
        <w:t>years followed. SCD was assessed in 5519 patients and occurred in 232 of them with an incidence of 7.1 cases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Appropriate implantable cardioverter defibrillator discharge was present in 110 cases among 4258 patients, with an incidence rate (IR) of 5.4 cases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Heart failure</w:t>
      </w:r>
      <w:r w:rsidR="00B46290">
        <w:t>-related</w:t>
      </w:r>
      <w:r w:rsidRPr="004F446B">
        <w:t xml:space="preserve"> death was considered in 4594 patients and occurred in 55 of them with an (IR) of 2.4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xml:space="preserve">. Resuscitation from sudden death was successfully achieved in 27 out of </w:t>
      </w:r>
      <w:r w:rsidR="001C44D6" w:rsidRPr="004F446B">
        <w:t>4173</w:t>
      </w:r>
      <w:r w:rsidRPr="004F446B">
        <w:t xml:space="preserve"> patients (IR: 1.3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xml:space="preserve">). Stroke occurred in 41 cases among </w:t>
      </w:r>
      <w:r w:rsidR="001C44D6" w:rsidRPr="004F446B">
        <w:t>3361</w:t>
      </w:r>
      <w:r w:rsidRPr="004F446B">
        <w:t xml:space="preserve"> patients (IR: 2.4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xml:space="preserve">). </w:t>
      </w:r>
      <w:r w:rsidR="00460E72">
        <w:t>Forty</w:t>
      </w:r>
      <w:r w:rsidR="00460E72" w:rsidRPr="004F446B">
        <w:t xml:space="preserve"> </w:t>
      </w:r>
      <w:r w:rsidRPr="004F446B">
        <w:t>patients had heart transplantation (IR: 2.1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xml:space="preserve">). Finally, </w:t>
      </w:r>
      <w:proofErr w:type="gramStart"/>
      <w:r w:rsidRPr="004F446B">
        <w:t>cardiovascular</w:t>
      </w:r>
      <w:proofErr w:type="gramEnd"/>
      <w:r w:rsidRPr="004F446B">
        <w:t xml:space="preserve"> and all-cau</w:t>
      </w:r>
      <w:r w:rsidR="006630E3">
        <w:t>se mortality were assessed in 6797 and 5</w:t>
      </w:r>
      <w:r w:rsidRPr="004F446B">
        <w:t>594 patients, with an IR of 13.9 and 16.3 per 1000 patient</w:t>
      </w:r>
      <w:r w:rsidR="001C44D6">
        <w:rPr>
          <w:vertAlign w:val="superscript"/>
        </w:rPr>
        <w:t>−</w:t>
      </w:r>
      <w:r w:rsidR="001C44D6" w:rsidRPr="004F446B">
        <w:rPr>
          <w:vertAlign w:val="superscript"/>
        </w:rPr>
        <w:t>1</w:t>
      </w:r>
      <w:r w:rsidR="00460E72">
        <w:t xml:space="preserve"> </w:t>
      </w:r>
      <w:r w:rsidRPr="004F446B">
        <w:t>years</w:t>
      </w:r>
      <w:r w:rsidR="001C44D6">
        <w:rPr>
          <w:vertAlign w:val="superscript"/>
        </w:rPr>
        <w:t>−</w:t>
      </w:r>
      <w:r w:rsidR="001C44D6" w:rsidRPr="004F446B">
        <w:rPr>
          <w:vertAlign w:val="superscript"/>
        </w:rPr>
        <w:t>1</w:t>
      </w:r>
      <w:r w:rsidRPr="004F446B">
        <w:t>, respectively.</w:t>
      </w:r>
    </w:p>
    <w:p w14:paraId="0C21829E" w14:textId="77777777" w:rsidR="00B54E50" w:rsidRDefault="00B54E50" w:rsidP="00B54E50">
      <w:pPr>
        <w:rPr>
          <w:rFonts w:eastAsia="Times New Roman"/>
          <w:noProof w:val="0"/>
          <w:snapToGrid w:val="0"/>
          <w:szCs w:val="22"/>
          <w:lang w:eastAsia="de-DE" w:bidi="en-US"/>
        </w:rPr>
      </w:pPr>
      <w:r>
        <w:br w:type="page"/>
      </w:r>
    </w:p>
    <w:p w14:paraId="7C9CA5F6" w14:textId="77777777" w:rsidR="001B672C" w:rsidRPr="004F446B" w:rsidRDefault="00B54E50" w:rsidP="00B54E50">
      <w:pPr>
        <w:pStyle w:val="MDPI41tablecaption"/>
        <w:ind w:left="425" w:right="425"/>
        <w:jc w:val="center"/>
      </w:pPr>
      <w:r w:rsidRPr="00B54E50">
        <w:rPr>
          <w:b/>
          <w:bCs/>
        </w:rPr>
        <w:lastRenderedPageBreak/>
        <w:t xml:space="preserve">Table 2. </w:t>
      </w:r>
      <w:r w:rsidR="001B672C" w:rsidRPr="004F446B">
        <w:t>Characteristics of prospective studies.</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43"/>
        <w:gridCol w:w="709"/>
        <w:gridCol w:w="567"/>
        <w:gridCol w:w="709"/>
        <w:gridCol w:w="567"/>
        <w:gridCol w:w="1417"/>
        <w:gridCol w:w="709"/>
        <w:gridCol w:w="805"/>
        <w:gridCol w:w="552"/>
        <w:gridCol w:w="507"/>
        <w:gridCol w:w="496"/>
        <w:gridCol w:w="502"/>
        <w:gridCol w:w="576"/>
        <w:gridCol w:w="506"/>
      </w:tblGrid>
      <w:tr w:rsidR="00B54E50" w:rsidRPr="00B54E50" w14:paraId="0035346E" w14:textId="77777777" w:rsidTr="00B54E50">
        <w:trPr>
          <w:jc w:val="center"/>
        </w:trPr>
        <w:tc>
          <w:tcPr>
            <w:tcW w:w="1843" w:type="dxa"/>
            <w:vMerge w:val="restart"/>
            <w:tcBorders>
              <w:top w:val="single" w:sz="8" w:space="0" w:color="auto"/>
              <w:left w:val="nil"/>
              <w:right w:val="nil"/>
            </w:tcBorders>
            <w:shd w:val="clear" w:color="auto" w:fill="FFFFFF"/>
            <w:vAlign w:val="center"/>
          </w:tcPr>
          <w:p w14:paraId="2097C1E9" w14:textId="77777777" w:rsidR="001B672C" w:rsidRPr="00B54E50" w:rsidRDefault="001B672C" w:rsidP="00B54E50">
            <w:pPr>
              <w:pStyle w:val="MDPI42tablebody"/>
              <w:autoSpaceDE w:val="0"/>
              <w:autoSpaceDN w:val="0"/>
              <w:rPr>
                <w:b/>
                <w:bCs/>
                <w:color w:val="auto"/>
                <w:szCs w:val="18"/>
              </w:rPr>
            </w:pPr>
            <w:r w:rsidRPr="00B54E50">
              <w:rPr>
                <w:b/>
                <w:bCs/>
                <w:color w:val="auto"/>
              </w:rPr>
              <w:t xml:space="preserve">Author, </w:t>
            </w:r>
            <w:r w:rsidR="00B54E50" w:rsidRPr="00B54E50">
              <w:rPr>
                <w:b/>
                <w:bCs/>
                <w:color w:val="auto"/>
              </w:rPr>
              <w:t>Year</w:t>
            </w:r>
          </w:p>
        </w:tc>
        <w:tc>
          <w:tcPr>
            <w:tcW w:w="709" w:type="dxa"/>
            <w:vMerge w:val="restart"/>
            <w:tcBorders>
              <w:top w:val="single" w:sz="8" w:space="0" w:color="auto"/>
              <w:left w:val="nil"/>
              <w:right w:val="nil"/>
            </w:tcBorders>
            <w:shd w:val="clear" w:color="auto" w:fill="FFFFFF"/>
            <w:vAlign w:val="center"/>
          </w:tcPr>
          <w:p w14:paraId="78F6BEB7" w14:textId="3B8359B6" w:rsidR="001B672C" w:rsidRPr="00EE3264" w:rsidRDefault="00EE3264" w:rsidP="00B54E50">
            <w:pPr>
              <w:pStyle w:val="MDPI42tablebody"/>
              <w:autoSpaceDE w:val="0"/>
              <w:autoSpaceDN w:val="0"/>
              <w:rPr>
                <w:b/>
                <w:bCs/>
                <w:i/>
                <w:iCs/>
                <w:color w:val="auto"/>
                <w:szCs w:val="18"/>
              </w:rPr>
            </w:pPr>
            <w:r>
              <w:rPr>
                <w:b/>
                <w:bCs/>
                <w:i/>
                <w:iCs/>
                <w:color w:val="auto"/>
              </w:rPr>
              <w:t>n</w:t>
            </w:r>
          </w:p>
        </w:tc>
        <w:tc>
          <w:tcPr>
            <w:tcW w:w="567" w:type="dxa"/>
            <w:vMerge w:val="restart"/>
            <w:tcBorders>
              <w:top w:val="single" w:sz="8" w:space="0" w:color="auto"/>
              <w:left w:val="nil"/>
              <w:right w:val="nil"/>
            </w:tcBorders>
            <w:shd w:val="clear" w:color="auto" w:fill="FFFFFF"/>
            <w:vAlign w:val="center"/>
          </w:tcPr>
          <w:p w14:paraId="2CFF5FBA" w14:textId="77777777" w:rsidR="001B672C" w:rsidRPr="00B54E50" w:rsidRDefault="001B672C" w:rsidP="00B54E50">
            <w:pPr>
              <w:pStyle w:val="MDPI42tablebody"/>
              <w:autoSpaceDE w:val="0"/>
              <w:autoSpaceDN w:val="0"/>
              <w:rPr>
                <w:b/>
                <w:bCs/>
                <w:color w:val="auto"/>
                <w:szCs w:val="18"/>
              </w:rPr>
            </w:pPr>
            <w:r w:rsidRPr="00B54E50">
              <w:rPr>
                <w:b/>
                <w:bCs/>
                <w:color w:val="auto"/>
              </w:rPr>
              <w:t>Age</w:t>
            </w:r>
          </w:p>
        </w:tc>
        <w:tc>
          <w:tcPr>
            <w:tcW w:w="709" w:type="dxa"/>
            <w:vMerge w:val="restart"/>
            <w:tcBorders>
              <w:top w:val="single" w:sz="8" w:space="0" w:color="auto"/>
              <w:left w:val="nil"/>
              <w:right w:val="nil"/>
            </w:tcBorders>
            <w:shd w:val="clear" w:color="auto" w:fill="FFFFFF"/>
            <w:vAlign w:val="center"/>
          </w:tcPr>
          <w:p w14:paraId="5C08361D" w14:textId="77777777" w:rsidR="001B672C" w:rsidRPr="00B54E50" w:rsidRDefault="001B672C" w:rsidP="00B54E50">
            <w:pPr>
              <w:pStyle w:val="MDPI42tablebody"/>
              <w:autoSpaceDE w:val="0"/>
              <w:autoSpaceDN w:val="0"/>
              <w:rPr>
                <w:b/>
                <w:bCs/>
                <w:color w:val="auto"/>
                <w:szCs w:val="18"/>
              </w:rPr>
            </w:pPr>
            <w:r w:rsidRPr="00B54E50">
              <w:rPr>
                <w:b/>
                <w:bCs/>
                <w:color w:val="auto"/>
              </w:rPr>
              <w:t>%W</w:t>
            </w:r>
          </w:p>
        </w:tc>
        <w:tc>
          <w:tcPr>
            <w:tcW w:w="567" w:type="dxa"/>
            <w:vMerge w:val="restart"/>
            <w:tcBorders>
              <w:top w:val="single" w:sz="8" w:space="0" w:color="auto"/>
              <w:left w:val="nil"/>
              <w:right w:val="nil"/>
            </w:tcBorders>
            <w:shd w:val="clear" w:color="auto" w:fill="FFFFFF"/>
            <w:vAlign w:val="center"/>
          </w:tcPr>
          <w:p w14:paraId="4210E4AE" w14:textId="77777777" w:rsidR="001B672C" w:rsidRPr="00B54E50" w:rsidRDefault="001B672C" w:rsidP="00B54E50">
            <w:pPr>
              <w:pStyle w:val="MDPI42tablebody"/>
              <w:autoSpaceDE w:val="0"/>
              <w:autoSpaceDN w:val="0"/>
              <w:rPr>
                <w:b/>
                <w:bCs/>
                <w:color w:val="auto"/>
                <w:szCs w:val="18"/>
              </w:rPr>
            </w:pPr>
            <w:r w:rsidRPr="00B54E50">
              <w:rPr>
                <w:b/>
                <w:bCs/>
                <w:color w:val="auto"/>
                <w:szCs w:val="21"/>
              </w:rPr>
              <w:t>F-up</w:t>
            </w:r>
          </w:p>
        </w:tc>
        <w:tc>
          <w:tcPr>
            <w:tcW w:w="1417" w:type="dxa"/>
            <w:vMerge w:val="restart"/>
            <w:tcBorders>
              <w:top w:val="single" w:sz="8" w:space="0" w:color="auto"/>
              <w:left w:val="nil"/>
              <w:right w:val="nil"/>
            </w:tcBorders>
            <w:shd w:val="clear" w:color="auto" w:fill="FFFFFF"/>
            <w:vAlign w:val="center"/>
          </w:tcPr>
          <w:p w14:paraId="1D21C181" w14:textId="77777777" w:rsidR="001B672C" w:rsidRPr="00B54E50" w:rsidRDefault="001B672C" w:rsidP="00B54E50">
            <w:pPr>
              <w:pStyle w:val="MDPI42tablebody"/>
              <w:autoSpaceDE w:val="0"/>
              <w:autoSpaceDN w:val="0"/>
              <w:rPr>
                <w:b/>
                <w:bCs/>
                <w:color w:val="auto"/>
                <w:szCs w:val="18"/>
              </w:rPr>
            </w:pPr>
            <w:r w:rsidRPr="00B54E50">
              <w:rPr>
                <w:b/>
                <w:bCs/>
                <w:color w:val="auto"/>
              </w:rPr>
              <w:t xml:space="preserve">Drug </w:t>
            </w:r>
            <w:r w:rsidR="00B54E50" w:rsidRPr="00B54E50">
              <w:rPr>
                <w:b/>
                <w:bCs/>
                <w:color w:val="auto"/>
              </w:rPr>
              <w:t>Therapy</w:t>
            </w:r>
          </w:p>
        </w:tc>
        <w:tc>
          <w:tcPr>
            <w:tcW w:w="4653" w:type="dxa"/>
            <w:gridSpan w:val="8"/>
            <w:tcBorders>
              <w:top w:val="single" w:sz="8" w:space="0" w:color="auto"/>
              <w:left w:val="nil"/>
              <w:right w:val="nil"/>
            </w:tcBorders>
            <w:shd w:val="clear" w:color="auto" w:fill="FFFFFF"/>
            <w:vAlign w:val="center"/>
          </w:tcPr>
          <w:p w14:paraId="3309209F" w14:textId="77777777" w:rsidR="001B672C" w:rsidRPr="00B54E50" w:rsidRDefault="001B672C" w:rsidP="00B54E50">
            <w:pPr>
              <w:pStyle w:val="MDPI42tablebody"/>
              <w:autoSpaceDE w:val="0"/>
              <w:autoSpaceDN w:val="0"/>
              <w:rPr>
                <w:b/>
                <w:bCs/>
                <w:color w:val="auto"/>
                <w:szCs w:val="22"/>
              </w:rPr>
            </w:pPr>
            <w:r w:rsidRPr="00B54E50">
              <w:rPr>
                <w:b/>
                <w:bCs/>
                <w:color w:val="auto"/>
                <w:szCs w:val="22"/>
              </w:rPr>
              <w:t xml:space="preserve">Prospective </w:t>
            </w:r>
            <w:r w:rsidR="00B54E50" w:rsidRPr="00B54E50">
              <w:rPr>
                <w:b/>
                <w:bCs/>
                <w:color w:val="auto"/>
                <w:szCs w:val="22"/>
              </w:rPr>
              <w:t xml:space="preserve">Outcomes </w:t>
            </w:r>
            <w:r w:rsidRPr="00B54E50">
              <w:rPr>
                <w:b/>
                <w:bCs/>
                <w:color w:val="auto"/>
                <w:szCs w:val="18"/>
              </w:rPr>
              <w:t>(</w:t>
            </w:r>
            <w:r w:rsidR="00B54E50" w:rsidRPr="00B54E50">
              <w:rPr>
                <w:b/>
                <w:bCs/>
                <w:color w:val="auto"/>
                <w:szCs w:val="18"/>
              </w:rPr>
              <w:t>Cases</w:t>
            </w:r>
            <w:r w:rsidRPr="00B54E50">
              <w:rPr>
                <w:b/>
                <w:bCs/>
                <w:color w:val="auto"/>
                <w:szCs w:val="18"/>
              </w:rPr>
              <w:t>)</w:t>
            </w:r>
          </w:p>
        </w:tc>
      </w:tr>
      <w:tr w:rsidR="00B54E50" w:rsidRPr="00B54E50" w14:paraId="6F018684" w14:textId="77777777" w:rsidTr="00B54E50">
        <w:trPr>
          <w:jc w:val="center"/>
        </w:trPr>
        <w:tc>
          <w:tcPr>
            <w:tcW w:w="1843" w:type="dxa"/>
            <w:vMerge/>
            <w:tcBorders>
              <w:left w:val="nil"/>
              <w:right w:val="nil"/>
            </w:tcBorders>
            <w:shd w:val="clear" w:color="auto" w:fill="FFFFFF"/>
            <w:vAlign w:val="center"/>
          </w:tcPr>
          <w:p w14:paraId="14290A13" w14:textId="77777777" w:rsidR="001B672C" w:rsidRPr="00B54E50" w:rsidRDefault="001B672C" w:rsidP="00B54E50">
            <w:pPr>
              <w:pStyle w:val="MDPI42tablebody"/>
              <w:autoSpaceDE w:val="0"/>
              <w:autoSpaceDN w:val="0"/>
              <w:rPr>
                <w:b/>
                <w:bCs/>
                <w:color w:val="auto"/>
                <w:szCs w:val="18"/>
              </w:rPr>
            </w:pPr>
          </w:p>
        </w:tc>
        <w:tc>
          <w:tcPr>
            <w:tcW w:w="709" w:type="dxa"/>
            <w:vMerge/>
            <w:tcBorders>
              <w:left w:val="nil"/>
              <w:right w:val="nil"/>
            </w:tcBorders>
            <w:shd w:val="clear" w:color="auto" w:fill="FFFFFF"/>
            <w:vAlign w:val="center"/>
          </w:tcPr>
          <w:p w14:paraId="05743188" w14:textId="77777777" w:rsidR="001B672C" w:rsidRPr="00B54E50" w:rsidRDefault="001B672C" w:rsidP="00B54E50">
            <w:pPr>
              <w:pStyle w:val="MDPI42tablebody"/>
              <w:autoSpaceDE w:val="0"/>
              <w:autoSpaceDN w:val="0"/>
              <w:rPr>
                <w:b/>
                <w:bCs/>
                <w:color w:val="auto"/>
                <w:szCs w:val="18"/>
              </w:rPr>
            </w:pPr>
          </w:p>
        </w:tc>
        <w:tc>
          <w:tcPr>
            <w:tcW w:w="567" w:type="dxa"/>
            <w:vMerge/>
            <w:tcBorders>
              <w:left w:val="nil"/>
              <w:right w:val="nil"/>
            </w:tcBorders>
            <w:shd w:val="clear" w:color="auto" w:fill="FFFFFF"/>
            <w:vAlign w:val="center"/>
          </w:tcPr>
          <w:p w14:paraId="559CD9D8" w14:textId="77777777" w:rsidR="001B672C" w:rsidRPr="00B54E50" w:rsidRDefault="001B672C" w:rsidP="00B54E50">
            <w:pPr>
              <w:pStyle w:val="MDPI42tablebody"/>
              <w:autoSpaceDE w:val="0"/>
              <w:autoSpaceDN w:val="0"/>
              <w:rPr>
                <w:b/>
                <w:bCs/>
                <w:color w:val="auto"/>
                <w:szCs w:val="18"/>
              </w:rPr>
            </w:pPr>
          </w:p>
        </w:tc>
        <w:tc>
          <w:tcPr>
            <w:tcW w:w="709" w:type="dxa"/>
            <w:vMerge/>
            <w:tcBorders>
              <w:left w:val="nil"/>
              <w:right w:val="nil"/>
            </w:tcBorders>
            <w:shd w:val="clear" w:color="auto" w:fill="FFFFFF"/>
            <w:vAlign w:val="center"/>
          </w:tcPr>
          <w:p w14:paraId="7D5E22A4" w14:textId="77777777" w:rsidR="001B672C" w:rsidRPr="00B54E50" w:rsidRDefault="001B672C" w:rsidP="00B54E50">
            <w:pPr>
              <w:pStyle w:val="MDPI42tablebody"/>
              <w:autoSpaceDE w:val="0"/>
              <w:autoSpaceDN w:val="0"/>
              <w:rPr>
                <w:b/>
                <w:bCs/>
                <w:color w:val="auto"/>
              </w:rPr>
            </w:pPr>
          </w:p>
        </w:tc>
        <w:tc>
          <w:tcPr>
            <w:tcW w:w="567" w:type="dxa"/>
            <w:vMerge/>
            <w:tcBorders>
              <w:left w:val="nil"/>
              <w:right w:val="nil"/>
            </w:tcBorders>
            <w:shd w:val="clear" w:color="auto" w:fill="FFFFFF"/>
            <w:vAlign w:val="center"/>
          </w:tcPr>
          <w:p w14:paraId="1F63E491" w14:textId="77777777" w:rsidR="001B672C" w:rsidRPr="00B54E50" w:rsidRDefault="001B672C" w:rsidP="00B54E50">
            <w:pPr>
              <w:pStyle w:val="MDPI42tablebody"/>
              <w:autoSpaceDE w:val="0"/>
              <w:autoSpaceDN w:val="0"/>
              <w:rPr>
                <w:b/>
                <w:bCs/>
                <w:color w:val="auto"/>
                <w:szCs w:val="18"/>
              </w:rPr>
            </w:pPr>
          </w:p>
        </w:tc>
        <w:tc>
          <w:tcPr>
            <w:tcW w:w="1417" w:type="dxa"/>
            <w:vMerge/>
            <w:tcBorders>
              <w:left w:val="nil"/>
              <w:right w:val="nil"/>
            </w:tcBorders>
            <w:shd w:val="clear" w:color="auto" w:fill="FFFFFF"/>
            <w:vAlign w:val="center"/>
          </w:tcPr>
          <w:p w14:paraId="5644533C" w14:textId="77777777" w:rsidR="001B672C" w:rsidRPr="00B54E50" w:rsidRDefault="001B672C" w:rsidP="00B54E50">
            <w:pPr>
              <w:pStyle w:val="MDPI42tablebody"/>
              <w:autoSpaceDE w:val="0"/>
              <w:autoSpaceDN w:val="0"/>
              <w:rPr>
                <w:b/>
                <w:bCs/>
                <w:color w:val="auto"/>
                <w:szCs w:val="18"/>
              </w:rPr>
            </w:pPr>
          </w:p>
        </w:tc>
        <w:tc>
          <w:tcPr>
            <w:tcW w:w="709" w:type="dxa"/>
            <w:tcBorders>
              <w:left w:val="nil"/>
              <w:right w:val="nil"/>
            </w:tcBorders>
            <w:shd w:val="clear" w:color="auto" w:fill="FFFFFF"/>
            <w:vAlign w:val="center"/>
          </w:tcPr>
          <w:p w14:paraId="163A065B" w14:textId="77777777" w:rsidR="001B672C" w:rsidRPr="00B54E50" w:rsidRDefault="001B672C" w:rsidP="00B54E50">
            <w:pPr>
              <w:pStyle w:val="MDPI42tablebody"/>
              <w:autoSpaceDE w:val="0"/>
              <w:autoSpaceDN w:val="0"/>
              <w:rPr>
                <w:b/>
                <w:bCs/>
                <w:color w:val="auto"/>
                <w:szCs w:val="18"/>
              </w:rPr>
            </w:pPr>
            <w:r w:rsidRPr="00B54E50">
              <w:rPr>
                <w:b/>
                <w:bCs/>
                <w:color w:val="auto"/>
                <w:szCs w:val="18"/>
              </w:rPr>
              <w:t>SCD</w:t>
            </w:r>
          </w:p>
        </w:tc>
        <w:tc>
          <w:tcPr>
            <w:tcW w:w="805" w:type="dxa"/>
            <w:tcBorders>
              <w:left w:val="nil"/>
              <w:right w:val="nil"/>
            </w:tcBorders>
            <w:shd w:val="clear" w:color="auto" w:fill="FFFFFF"/>
            <w:vAlign w:val="center"/>
          </w:tcPr>
          <w:p w14:paraId="4B129791" w14:textId="77777777" w:rsidR="001B672C" w:rsidRPr="00B54E50" w:rsidRDefault="001B672C" w:rsidP="00B54E50">
            <w:pPr>
              <w:pStyle w:val="MDPI42tablebody"/>
              <w:autoSpaceDE w:val="0"/>
              <w:autoSpaceDN w:val="0"/>
              <w:rPr>
                <w:b/>
                <w:bCs/>
                <w:color w:val="auto"/>
                <w:szCs w:val="18"/>
              </w:rPr>
            </w:pPr>
            <w:r w:rsidRPr="00B54E50">
              <w:rPr>
                <w:b/>
                <w:bCs/>
                <w:color w:val="auto"/>
                <w:szCs w:val="18"/>
              </w:rPr>
              <w:t>ICD</w:t>
            </w:r>
          </w:p>
        </w:tc>
        <w:tc>
          <w:tcPr>
            <w:tcW w:w="552" w:type="dxa"/>
            <w:tcBorders>
              <w:left w:val="nil"/>
              <w:right w:val="nil"/>
            </w:tcBorders>
            <w:shd w:val="clear" w:color="auto" w:fill="FFFFFF"/>
            <w:vAlign w:val="center"/>
          </w:tcPr>
          <w:p w14:paraId="234D6C98" w14:textId="77777777" w:rsidR="001B672C" w:rsidRPr="00B54E50" w:rsidRDefault="001B672C" w:rsidP="00B54E50">
            <w:pPr>
              <w:pStyle w:val="MDPI42tablebody"/>
              <w:autoSpaceDE w:val="0"/>
              <w:autoSpaceDN w:val="0"/>
              <w:rPr>
                <w:b/>
                <w:bCs/>
                <w:color w:val="auto"/>
                <w:szCs w:val="16"/>
              </w:rPr>
            </w:pPr>
            <w:proofErr w:type="spellStart"/>
            <w:r w:rsidRPr="00B54E50">
              <w:rPr>
                <w:b/>
                <w:bCs/>
                <w:color w:val="auto"/>
                <w:szCs w:val="18"/>
              </w:rPr>
              <w:t>HF</w:t>
            </w:r>
            <w:r w:rsidRPr="00B54E50">
              <w:rPr>
                <w:b/>
                <w:bCs/>
                <w:color w:val="auto"/>
                <w:szCs w:val="16"/>
              </w:rPr>
              <w:t>m</w:t>
            </w:r>
            <w:proofErr w:type="spellEnd"/>
          </w:p>
        </w:tc>
        <w:tc>
          <w:tcPr>
            <w:tcW w:w="507" w:type="dxa"/>
            <w:tcBorders>
              <w:left w:val="nil"/>
              <w:right w:val="nil"/>
            </w:tcBorders>
            <w:shd w:val="clear" w:color="auto" w:fill="FFFFFF"/>
            <w:vAlign w:val="center"/>
          </w:tcPr>
          <w:p w14:paraId="6C4BD1AB" w14:textId="77777777" w:rsidR="001B672C" w:rsidRPr="00B54E50" w:rsidRDefault="001B672C" w:rsidP="00B54E50">
            <w:pPr>
              <w:pStyle w:val="MDPI42tablebody"/>
              <w:autoSpaceDE w:val="0"/>
              <w:autoSpaceDN w:val="0"/>
              <w:rPr>
                <w:b/>
                <w:bCs/>
                <w:color w:val="auto"/>
                <w:szCs w:val="18"/>
              </w:rPr>
            </w:pPr>
            <w:r w:rsidRPr="00B54E50">
              <w:rPr>
                <w:b/>
                <w:bCs/>
                <w:color w:val="auto"/>
                <w:szCs w:val="18"/>
              </w:rPr>
              <w:t>Res</w:t>
            </w:r>
          </w:p>
        </w:tc>
        <w:tc>
          <w:tcPr>
            <w:tcW w:w="496" w:type="dxa"/>
            <w:tcBorders>
              <w:left w:val="nil"/>
              <w:right w:val="nil"/>
            </w:tcBorders>
            <w:shd w:val="clear" w:color="auto" w:fill="FFFFFF"/>
            <w:vAlign w:val="center"/>
          </w:tcPr>
          <w:p w14:paraId="33B76DC8" w14:textId="77777777" w:rsidR="001B672C" w:rsidRPr="00B54E50" w:rsidRDefault="001B672C" w:rsidP="00B54E50">
            <w:pPr>
              <w:pStyle w:val="MDPI42tablebody"/>
              <w:autoSpaceDE w:val="0"/>
              <w:autoSpaceDN w:val="0"/>
              <w:rPr>
                <w:b/>
                <w:bCs/>
                <w:color w:val="auto"/>
                <w:szCs w:val="18"/>
              </w:rPr>
            </w:pPr>
            <w:r w:rsidRPr="00B54E50">
              <w:rPr>
                <w:b/>
                <w:bCs/>
                <w:color w:val="auto"/>
                <w:szCs w:val="18"/>
              </w:rPr>
              <w:t>Str</w:t>
            </w:r>
          </w:p>
        </w:tc>
        <w:tc>
          <w:tcPr>
            <w:tcW w:w="502" w:type="dxa"/>
            <w:tcBorders>
              <w:left w:val="nil"/>
              <w:right w:val="nil"/>
            </w:tcBorders>
            <w:shd w:val="clear" w:color="auto" w:fill="FFFFFF"/>
            <w:vAlign w:val="center"/>
          </w:tcPr>
          <w:p w14:paraId="1EFB516C" w14:textId="77777777" w:rsidR="001B672C" w:rsidRPr="00B54E50" w:rsidRDefault="001B672C" w:rsidP="00B54E50">
            <w:pPr>
              <w:pStyle w:val="MDPI42tablebody"/>
              <w:autoSpaceDE w:val="0"/>
              <w:autoSpaceDN w:val="0"/>
              <w:rPr>
                <w:b/>
                <w:bCs/>
                <w:color w:val="auto"/>
                <w:szCs w:val="18"/>
              </w:rPr>
            </w:pPr>
            <w:r w:rsidRPr="00B54E50">
              <w:rPr>
                <w:b/>
                <w:bCs/>
                <w:color w:val="auto"/>
                <w:szCs w:val="18"/>
              </w:rPr>
              <w:t>HT</w:t>
            </w:r>
          </w:p>
        </w:tc>
        <w:tc>
          <w:tcPr>
            <w:tcW w:w="576" w:type="dxa"/>
            <w:tcBorders>
              <w:left w:val="nil"/>
              <w:right w:val="nil"/>
            </w:tcBorders>
            <w:shd w:val="clear" w:color="auto" w:fill="FFFFFF"/>
            <w:vAlign w:val="center"/>
          </w:tcPr>
          <w:p w14:paraId="2A6F65D1" w14:textId="77777777" w:rsidR="001B672C" w:rsidRPr="00B54E50" w:rsidRDefault="001B672C" w:rsidP="00B54E50">
            <w:pPr>
              <w:pStyle w:val="MDPI42tablebody"/>
              <w:autoSpaceDE w:val="0"/>
              <w:autoSpaceDN w:val="0"/>
              <w:rPr>
                <w:b/>
                <w:bCs/>
                <w:color w:val="auto"/>
                <w:szCs w:val="16"/>
              </w:rPr>
            </w:pPr>
            <w:proofErr w:type="spellStart"/>
            <w:r w:rsidRPr="00B54E50">
              <w:rPr>
                <w:b/>
                <w:bCs/>
                <w:color w:val="auto"/>
                <w:szCs w:val="18"/>
              </w:rPr>
              <w:t>CV</w:t>
            </w:r>
            <w:r w:rsidRPr="00B54E50">
              <w:rPr>
                <w:b/>
                <w:bCs/>
                <w:color w:val="auto"/>
                <w:szCs w:val="16"/>
              </w:rPr>
              <w:t>m</w:t>
            </w:r>
            <w:proofErr w:type="spellEnd"/>
          </w:p>
        </w:tc>
        <w:tc>
          <w:tcPr>
            <w:tcW w:w="506" w:type="dxa"/>
            <w:tcBorders>
              <w:left w:val="nil"/>
              <w:right w:val="nil"/>
            </w:tcBorders>
            <w:shd w:val="clear" w:color="auto" w:fill="FFFFFF"/>
            <w:vAlign w:val="center"/>
          </w:tcPr>
          <w:p w14:paraId="0EA1C4A4" w14:textId="77777777" w:rsidR="001B672C" w:rsidRPr="00B54E50" w:rsidRDefault="001B672C" w:rsidP="00B54E50">
            <w:pPr>
              <w:pStyle w:val="MDPI42tablebody"/>
              <w:autoSpaceDE w:val="0"/>
              <w:autoSpaceDN w:val="0"/>
              <w:rPr>
                <w:b/>
                <w:bCs/>
                <w:color w:val="auto"/>
                <w:szCs w:val="16"/>
              </w:rPr>
            </w:pPr>
            <w:r w:rsidRPr="00B54E50">
              <w:rPr>
                <w:b/>
                <w:bCs/>
                <w:color w:val="auto"/>
                <w:szCs w:val="18"/>
              </w:rPr>
              <w:t>All</w:t>
            </w:r>
          </w:p>
        </w:tc>
      </w:tr>
      <w:tr w:rsidR="00B54E50" w:rsidRPr="00B54E50" w14:paraId="54C1CE24" w14:textId="77777777" w:rsidTr="00B54E50">
        <w:trPr>
          <w:jc w:val="center"/>
        </w:trPr>
        <w:tc>
          <w:tcPr>
            <w:tcW w:w="1843" w:type="dxa"/>
            <w:tcBorders>
              <w:left w:val="nil"/>
              <w:bottom w:val="nil"/>
              <w:right w:val="nil"/>
            </w:tcBorders>
            <w:shd w:val="clear" w:color="auto" w:fill="FCFCFC"/>
            <w:vAlign w:val="center"/>
          </w:tcPr>
          <w:p w14:paraId="289265F9" w14:textId="77777777" w:rsidR="001B672C" w:rsidRPr="00B54E50" w:rsidRDefault="001B672C" w:rsidP="00B54E50">
            <w:pPr>
              <w:pStyle w:val="MDPI42tablebody"/>
              <w:autoSpaceDE w:val="0"/>
              <w:autoSpaceDN w:val="0"/>
              <w:rPr>
                <w:color w:val="auto"/>
              </w:rPr>
            </w:pPr>
            <w:r w:rsidRPr="00B54E50">
              <w:rPr>
                <w:color w:val="auto"/>
              </w:rPr>
              <w:t>Caselli, 2014 [85]</w:t>
            </w:r>
          </w:p>
        </w:tc>
        <w:tc>
          <w:tcPr>
            <w:tcW w:w="709" w:type="dxa"/>
            <w:tcBorders>
              <w:left w:val="nil"/>
              <w:bottom w:val="nil"/>
              <w:right w:val="nil"/>
            </w:tcBorders>
            <w:shd w:val="clear" w:color="auto" w:fill="FCFCFC"/>
            <w:vAlign w:val="center"/>
          </w:tcPr>
          <w:p w14:paraId="135ECA37" w14:textId="77777777" w:rsidR="001B672C" w:rsidRPr="00B54E50" w:rsidRDefault="001B672C" w:rsidP="00B54E50">
            <w:pPr>
              <w:pStyle w:val="MDPI42tablebody"/>
              <w:autoSpaceDE w:val="0"/>
              <w:autoSpaceDN w:val="0"/>
              <w:rPr>
                <w:color w:val="auto"/>
              </w:rPr>
            </w:pPr>
            <w:r w:rsidRPr="00B54E50">
              <w:rPr>
                <w:color w:val="auto"/>
              </w:rPr>
              <w:t>25</w:t>
            </w:r>
          </w:p>
        </w:tc>
        <w:tc>
          <w:tcPr>
            <w:tcW w:w="567" w:type="dxa"/>
            <w:tcBorders>
              <w:left w:val="nil"/>
              <w:bottom w:val="nil"/>
              <w:right w:val="nil"/>
            </w:tcBorders>
            <w:shd w:val="clear" w:color="auto" w:fill="FCFCFC"/>
            <w:vAlign w:val="center"/>
          </w:tcPr>
          <w:p w14:paraId="368061C5" w14:textId="77777777" w:rsidR="001B672C" w:rsidRPr="00B54E50" w:rsidRDefault="001B672C" w:rsidP="00B54E50">
            <w:pPr>
              <w:pStyle w:val="MDPI42tablebody"/>
              <w:autoSpaceDE w:val="0"/>
              <w:autoSpaceDN w:val="0"/>
              <w:rPr>
                <w:color w:val="auto"/>
              </w:rPr>
            </w:pPr>
            <w:r w:rsidRPr="00B54E50">
              <w:rPr>
                <w:color w:val="auto"/>
              </w:rPr>
              <w:t>26</w:t>
            </w:r>
          </w:p>
        </w:tc>
        <w:tc>
          <w:tcPr>
            <w:tcW w:w="709" w:type="dxa"/>
            <w:tcBorders>
              <w:left w:val="nil"/>
              <w:bottom w:val="nil"/>
              <w:right w:val="nil"/>
            </w:tcBorders>
            <w:shd w:val="clear" w:color="auto" w:fill="FCFCFC"/>
            <w:vAlign w:val="center"/>
          </w:tcPr>
          <w:p w14:paraId="76338879" w14:textId="77777777" w:rsidR="001B672C" w:rsidRPr="00B54E50" w:rsidRDefault="001B672C" w:rsidP="00B54E50">
            <w:pPr>
              <w:pStyle w:val="MDPI42tablebody"/>
              <w:autoSpaceDE w:val="0"/>
              <w:autoSpaceDN w:val="0"/>
              <w:rPr>
                <w:color w:val="auto"/>
              </w:rPr>
            </w:pPr>
            <w:r w:rsidRPr="00B54E50">
              <w:rPr>
                <w:color w:val="auto"/>
              </w:rPr>
              <w:t>0</w:t>
            </w:r>
          </w:p>
        </w:tc>
        <w:tc>
          <w:tcPr>
            <w:tcW w:w="567" w:type="dxa"/>
            <w:tcBorders>
              <w:left w:val="nil"/>
              <w:bottom w:val="nil"/>
              <w:right w:val="nil"/>
            </w:tcBorders>
            <w:shd w:val="clear" w:color="auto" w:fill="FCFCFC"/>
            <w:vAlign w:val="center"/>
          </w:tcPr>
          <w:p w14:paraId="320775DB" w14:textId="77777777" w:rsidR="001B672C" w:rsidRPr="00B54E50" w:rsidRDefault="001B672C" w:rsidP="00B54E50">
            <w:pPr>
              <w:pStyle w:val="MDPI42tablebody"/>
              <w:autoSpaceDE w:val="0"/>
              <w:autoSpaceDN w:val="0"/>
              <w:rPr>
                <w:color w:val="auto"/>
              </w:rPr>
            </w:pPr>
            <w:r w:rsidRPr="00B54E50">
              <w:rPr>
                <w:color w:val="auto"/>
              </w:rPr>
              <w:t>4.0</w:t>
            </w:r>
          </w:p>
        </w:tc>
        <w:tc>
          <w:tcPr>
            <w:tcW w:w="1417" w:type="dxa"/>
            <w:tcBorders>
              <w:left w:val="nil"/>
              <w:bottom w:val="nil"/>
              <w:right w:val="nil"/>
            </w:tcBorders>
            <w:shd w:val="clear" w:color="auto" w:fill="FCFCFC"/>
            <w:vAlign w:val="center"/>
          </w:tcPr>
          <w:p w14:paraId="63411B9D" w14:textId="77777777" w:rsidR="001B672C" w:rsidRPr="00B54E50" w:rsidRDefault="001B672C" w:rsidP="00B54E50">
            <w:pPr>
              <w:pStyle w:val="MDPI42tablebody"/>
              <w:autoSpaceDE w:val="0"/>
              <w:autoSpaceDN w:val="0"/>
              <w:rPr>
                <w:color w:val="auto"/>
              </w:rPr>
            </w:pPr>
            <w:r w:rsidRPr="00B54E50">
              <w:rPr>
                <w:color w:val="auto"/>
              </w:rPr>
              <w:t>Not controlled</w:t>
            </w:r>
          </w:p>
        </w:tc>
        <w:tc>
          <w:tcPr>
            <w:tcW w:w="709" w:type="dxa"/>
            <w:tcBorders>
              <w:left w:val="nil"/>
              <w:bottom w:val="nil"/>
              <w:right w:val="nil"/>
            </w:tcBorders>
            <w:shd w:val="clear" w:color="auto" w:fill="FCFCFC"/>
            <w:vAlign w:val="center"/>
          </w:tcPr>
          <w:p w14:paraId="53CD33B2" w14:textId="77777777" w:rsidR="001B672C" w:rsidRPr="00B54E50" w:rsidRDefault="001B672C" w:rsidP="00B54E50">
            <w:pPr>
              <w:pStyle w:val="MDPI42tablebody"/>
              <w:autoSpaceDE w:val="0"/>
              <w:autoSpaceDN w:val="0"/>
              <w:rPr>
                <w:color w:val="auto"/>
              </w:rPr>
            </w:pPr>
            <w:r w:rsidRPr="00B54E50">
              <w:rPr>
                <w:color w:val="auto"/>
              </w:rPr>
              <w:t>0</w:t>
            </w:r>
          </w:p>
        </w:tc>
        <w:tc>
          <w:tcPr>
            <w:tcW w:w="805" w:type="dxa"/>
            <w:tcBorders>
              <w:left w:val="nil"/>
              <w:bottom w:val="nil"/>
              <w:right w:val="nil"/>
            </w:tcBorders>
            <w:shd w:val="clear" w:color="auto" w:fill="FCFCFC"/>
            <w:vAlign w:val="center"/>
          </w:tcPr>
          <w:p w14:paraId="02450F75" w14:textId="77777777" w:rsidR="001B672C" w:rsidRPr="00B54E50" w:rsidRDefault="001B672C" w:rsidP="00B54E50">
            <w:pPr>
              <w:pStyle w:val="MDPI42tablebody"/>
              <w:autoSpaceDE w:val="0"/>
              <w:autoSpaceDN w:val="0"/>
              <w:rPr>
                <w:color w:val="auto"/>
              </w:rPr>
            </w:pPr>
            <w:r w:rsidRPr="00B54E50">
              <w:rPr>
                <w:color w:val="auto"/>
              </w:rPr>
              <w:t>-</w:t>
            </w:r>
          </w:p>
        </w:tc>
        <w:tc>
          <w:tcPr>
            <w:tcW w:w="552" w:type="dxa"/>
            <w:tcBorders>
              <w:left w:val="nil"/>
              <w:bottom w:val="nil"/>
              <w:right w:val="nil"/>
            </w:tcBorders>
            <w:shd w:val="clear" w:color="auto" w:fill="FCFCFC"/>
            <w:vAlign w:val="center"/>
          </w:tcPr>
          <w:p w14:paraId="2E6E9C2D" w14:textId="77777777" w:rsidR="001B672C" w:rsidRPr="00B54E50" w:rsidRDefault="001B672C" w:rsidP="00B54E50">
            <w:pPr>
              <w:pStyle w:val="MDPI42tablebody"/>
              <w:autoSpaceDE w:val="0"/>
              <w:autoSpaceDN w:val="0"/>
              <w:rPr>
                <w:color w:val="auto"/>
              </w:rPr>
            </w:pPr>
            <w:r w:rsidRPr="00B54E50">
              <w:rPr>
                <w:color w:val="auto"/>
              </w:rPr>
              <w:t>0</w:t>
            </w:r>
          </w:p>
        </w:tc>
        <w:tc>
          <w:tcPr>
            <w:tcW w:w="507" w:type="dxa"/>
            <w:tcBorders>
              <w:left w:val="nil"/>
              <w:bottom w:val="nil"/>
              <w:right w:val="nil"/>
            </w:tcBorders>
            <w:shd w:val="clear" w:color="auto" w:fill="FCFCFC"/>
            <w:vAlign w:val="center"/>
          </w:tcPr>
          <w:p w14:paraId="646A2551" w14:textId="77777777" w:rsidR="001B672C" w:rsidRPr="00B54E50" w:rsidRDefault="001B672C" w:rsidP="00B54E50">
            <w:pPr>
              <w:pStyle w:val="MDPI42tablebody"/>
              <w:autoSpaceDE w:val="0"/>
              <w:autoSpaceDN w:val="0"/>
              <w:rPr>
                <w:color w:val="auto"/>
              </w:rPr>
            </w:pPr>
            <w:r w:rsidRPr="00B54E50">
              <w:rPr>
                <w:color w:val="auto"/>
              </w:rPr>
              <w:t>-</w:t>
            </w:r>
          </w:p>
        </w:tc>
        <w:tc>
          <w:tcPr>
            <w:tcW w:w="496" w:type="dxa"/>
            <w:tcBorders>
              <w:left w:val="nil"/>
              <w:bottom w:val="nil"/>
              <w:right w:val="nil"/>
            </w:tcBorders>
            <w:shd w:val="clear" w:color="auto" w:fill="FCFCFC"/>
            <w:vAlign w:val="center"/>
          </w:tcPr>
          <w:p w14:paraId="57268365" w14:textId="77777777" w:rsidR="001B672C" w:rsidRPr="00B54E50" w:rsidRDefault="001B672C" w:rsidP="00B54E50">
            <w:pPr>
              <w:pStyle w:val="MDPI42tablebody"/>
              <w:autoSpaceDE w:val="0"/>
              <w:autoSpaceDN w:val="0"/>
              <w:rPr>
                <w:color w:val="auto"/>
              </w:rPr>
            </w:pPr>
            <w:r w:rsidRPr="00B54E50">
              <w:rPr>
                <w:color w:val="auto"/>
              </w:rPr>
              <w:t>-</w:t>
            </w:r>
          </w:p>
        </w:tc>
        <w:tc>
          <w:tcPr>
            <w:tcW w:w="502" w:type="dxa"/>
            <w:tcBorders>
              <w:left w:val="nil"/>
              <w:bottom w:val="nil"/>
              <w:right w:val="nil"/>
            </w:tcBorders>
            <w:shd w:val="clear" w:color="auto" w:fill="FCFCFC"/>
            <w:vAlign w:val="center"/>
          </w:tcPr>
          <w:p w14:paraId="7B8B93E7" w14:textId="77777777" w:rsidR="001B672C" w:rsidRPr="00B54E50" w:rsidRDefault="001B672C" w:rsidP="00B54E50">
            <w:pPr>
              <w:pStyle w:val="MDPI42tablebody"/>
              <w:autoSpaceDE w:val="0"/>
              <w:autoSpaceDN w:val="0"/>
              <w:rPr>
                <w:color w:val="auto"/>
              </w:rPr>
            </w:pPr>
            <w:r w:rsidRPr="00B54E50">
              <w:rPr>
                <w:color w:val="auto"/>
              </w:rPr>
              <w:t>-</w:t>
            </w:r>
          </w:p>
        </w:tc>
        <w:tc>
          <w:tcPr>
            <w:tcW w:w="576" w:type="dxa"/>
            <w:tcBorders>
              <w:left w:val="nil"/>
              <w:bottom w:val="nil"/>
              <w:right w:val="nil"/>
            </w:tcBorders>
            <w:shd w:val="clear" w:color="auto" w:fill="FCFCFC"/>
            <w:vAlign w:val="center"/>
          </w:tcPr>
          <w:p w14:paraId="34B5F96F" w14:textId="77777777" w:rsidR="001B672C" w:rsidRPr="00B54E50" w:rsidRDefault="001B672C" w:rsidP="00B54E50">
            <w:pPr>
              <w:pStyle w:val="MDPI42tablebody"/>
              <w:autoSpaceDE w:val="0"/>
              <w:autoSpaceDN w:val="0"/>
              <w:rPr>
                <w:color w:val="auto"/>
              </w:rPr>
            </w:pPr>
            <w:r w:rsidRPr="00B54E50">
              <w:rPr>
                <w:color w:val="auto"/>
              </w:rPr>
              <w:t>0</w:t>
            </w:r>
          </w:p>
        </w:tc>
        <w:tc>
          <w:tcPr>
            <w:tcW w:w="506" w:type="dxa"/>
            <w:tcBorders>
              <w:left w:val="nil"/>
              <w:bottom w:val="nil"/>
              <w:right w:val="nil"/>
            </w:tcBorders>
            <w:shd w:val="clear" w:color="auto" w:fill="FCFCFC"/>
            <w:vAlign w:val="center"/>
          </w:tcPr>
          <w:p w14:paraId="442EDC2F" w14:textId="77777777" w:rsidR="001B672C" w:rsidRPr="00B54E50" w:rsidRDefault="001B672C" w:rsidP="00B54E50">
            <w:pPr>
              <w:pStyle w:val="MDPI42tablebody"/>
              <w:autoSpaceDE w:val="0"/>
              <w:autoSpaceDN w:val="0"/>
              <w:rPr>
                <w:color w:val="auto"/>
              </w:rPr>
            </w:pPr>
            <w:r w:rsidRPr="00B54E50">
              <w:rPr>
                <w:color w:val="auto"/>
              </w:rPr>
              <w:t>0</w:t>
            </w:r>
          </w:p>
        </w:tc>
      </w:tr>
      <w:tr w:rsidR="00B54E50" w:rsidRPr="00B54E50" w14:paraId="5880A13B" w14:textId="77777777" w:rsidTr="00B54E50">
        <w:trPr>
          <w:jc w:val="center"/>
        </w:trPr>
        <w:tc>
          <w:tcPr>
            <w:tcW w:w="1843" w:type="dxa"/>
            <w:tcBorders>
              <w:top w:val="nil"/>
              <w:left w:val="nil"/>
              <w:bottom w:val="nil"/>
              <w:right w:val="nil"/>
            </w:tcBorders>
            <w:shd w:val="clear" w:color="auto" w:fill="FFFFFF"/>
            <w:vAlign w:val="center"/>
          </w:tcPr>
          <w:p w14:paraId="2A0E1777" w14:textId="77777777" w:rsidR="001B672C" w:rsidRPr="00B54E50" w:rsidRDefault="001B672C" w:rsidP="00B54E50">
            <w:pPr>
              <w:pStyle w:val="MDPI42tablebody"/>
              <w:autoSpaceDE w:val="0"/>
              <w:autoSpaceDN w:val="0"/>
              <w:rPr>
                <w:color w:val="auto"/>
              </w:rPr>
            </w:pPr>
            <w:r w:rsidRPr="00B54E50">
              <w:rPr>
                <w:color w:val="auto"/>
              </w:rPr>
              <w:t>Coats, 2014 [28]</w:t>
            </w:r>
          </w:p>
        </w:tc>
        <w:tc>
          <w:tcPr>
            <w:tcW w:w="709" w:type="dxa"/>
            <w:tcBorders>
              <w:top w:val="nil"/>
              <w:left w:val="nil"/>
              <w:bottom w:val="nil"/>
              <w:right w:val="nil"/>
            </w:tcBorders>
            <w:shd w:val="clear" w:color="auto" w:fill="FFFFFF"/>
            <w:vAlign w:val="center"/>
          </w:tcPr>
          <w:p w14:paraId="79A708A5" w14:textId="77777777" w:rsidR="001B672C" w:rsidRPr="00B54E50" w:rsidRDefault="001B672C" w:rsidP="00B54E50">
            <w:pPr>
              <w:pStyle w:val="MDPI42tablebody"/>
              <w:autoSpaceDE w:val="0"/>
              <w:autoSpaceDN w:val="0"/>
              <w:rPr>
                <w:color w:val="auto"/>
                <w:szCs w:val="18"/>
              </w:rPr>
            </w:pPr>
            <w:r w:rsidRPr="00B54E50">
              <w:rPr>
                <w:color w:val="auto"/>
                <w:szCs w:val="18"/>
              </w:rPr>
              <w:t>1898</w:t>
            </w:r>
          </w:p>
        </w:tc>
        <w:tc>
          <w:tcPr>
            <w:tcW w:w="567" w:type="dxa"/>
            <w:tcBorders>
              <w:top w:val="nil"/>
              <w:left w:val="nil"/>
              <w:bottom w:val="nil"/>
              <w:right w:val="nil"/>
            </w:tcBorders>
            <w:shd w:val="clear" w:color="auto" w:fill="FFFFFF"/>
            <w:vAlign w:val="center"/>
          </w:tcPr>
          <w:p w14:paraId="180388AC" w14:textId="77777777" w:rsidR="001B672C" w:rsidRPr="00B54E50" w:rsidRDefault="001B672C" w:rsidP="00B54E50">
            <w:pPr>
              <w:pStyle w:val="MDPI42tablebody"/>
              <w:autoSpaceDE w:val="0"/>
              <w:autoSpaceDN w:val="0"/>
              <w:rPr>
                <w:color w:val="auto"/>
                <w:szCs w:val="18"/>
              </w:rPr>
            </w:pPr>
            <w:r w:rsidRPr="00B54E50">
              <w:rPr>
                <w:color w:val="auto"/>
                <w:szCs w:val="18"/>
              </w:rPr>
              <w:t>47</w:t>
            </w:r>
          </w:p>
        </w:tc>
        <w:tc>
          <w:tcPr>
            <w:tcW w:w="709" w:type="dxa"/>
            <w:tcBorders>
              <w:top w:val="nil"/>
              <w:left w:val="nil"/>
              <w:bottom w:val="nil"/>
              <w:right w:val="nil"/>
            </w:tcBorders>
            <w:shd w:val="clear" w:color="auto" w:fill="FFFFFF"/>
            <w:vAlign w:val="center"/>
          </w:tcPr>
          <w:p w14:paraId="5A9EE328" w14:textId="77777777" w:rsidR="001B672C" w:rsidRPr="00B54E50" w:rsidRDefault="001B672C" w:rsidP="00B54E50">
            <w:pPr>
              <w:pStyle w:val="MDPI42tablebody"/>
              <w:autoSpaceDE w:val="0"/>
              <w:autoSpaceDN w:val="0"/>
              <w:rPr>
                <w:color w:val="auto"/>
                <w:szCs w:val="18"/>
              </w:rPr>
            </w:pPr>
            <w:r w:rsidRPr="00B54E50">
              <w:rPr>
                <w:color w:val="auto"/>
                <w:szCs w:val="18"/>
              </w:rPr>
              <w:t>33</w:t>
            </w:r>
          </w:p>
        </w:tc>
        <w:tc>
          <w:tcPr>
            <w:tcW w:w="567" w:type="dxa"/>
            <w:tcBorders>
              <w:top w:val="nil"/>
              <w:left w:val="nil"/>
              <w:bottom w:val="nil"/>
              <w:right w:val="nil"/>
            </w:tcBorders>
            <w:shd w:val="clear" w:color="auto" w:fill="FFFFFF"/>
            <w:vAlign w:val="center"/>
          </w:tcPr>
          <w:p w14:paraId="1C7D69F9" w14:textId="77777777" w:rsidR="001B672C" w:rsidRPr="00B54E50" w:rsidRDefault="001B672C" w:rsidP="00B54E50">
            <w:pPr>
              <w:pStyle w:val="MDPI42tablebody"/>
              <w:autoSpaceDE w:val="0"/>
              <w:autoSpaceDN w:val="0"/>
              <w:rPr>
                <w:color w:val="auto"/>
                <w:szCs w:val="18"/>
              </w:rPr>
            </w:pPr>
            <w:r w:rsidRPr="00B54E50">
              <w:rPr>
                <w:color w:val="auto"/>
                <w:szCs w:val="18"/>
              </w:rPr>
              <w:t>5.6</w:t>
            </w:r>
          </w:p>
        </w:tc>
        <w:tc>
          <w:tcPr>
            <w:tcW w:w="1417" w:type="dxa"/>
            <w:tcBorders>
              <w:top w:val="nil"/>
              <w:left w:val="nil"/>
              <w:bottom w:val="nil"/>
              <w:right w:val="nil"/>
            </w:tcBorders>
            <w:shd w:val="clear" w:color="auto" w:fill="FFFFFF"/>
            <w:vAlign w:val="center"/>
          </w:tcPr>
          <w:p w14:paraId="12573347"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FFFFF"/>
            <w:vAlign w:val="center"/>
          </w:tcPr>
          <w:p w14:paraId="3656D8A6" w14:textId="77777777" w:rsidR="001B672C" w:rsidRPr="00B54E50" w:rsidRDefault="001B672C" w:rsidP="00B54E50">
            <w:pPr>
              <w:pStyle w:val="MDPI42tablebody"/>
              <w:autoSpaceDE w:val="0"/>
              <w:autoSpaceDN w:val="0"/>
              <w:rPr>
                <w:color w:val="auto"/>
                <w:szCs w:val="18"/>
              </w:rPr>
            </w:pPr>
            <w:r w:rsidRPr="00B54E50">
              <w:rPr>
                <w:color w:val="auto"/>
                <w:szCs w:val="18"/>
              </w:rPr>
              <w:t>40</w:t>
            </w:r>
          </w:p>
        </w:tc>
        <w:tc>
          <w:tcPr>
            <w:tcW w:w="805" w:type="dxa"/>
            <w:tcBorders>
              <w:top w:val="nil"/>
              <w:left w:val="nil"/>
              <w:bottom w:val="nil"/>
              <w:right w:val="nil"/>
            </w:tcBorders>
            <w:shd w:val="clear" w:color="auto" w:fill="FFFFFF"/>
            <w:vAlign w:val="center"/>
          </w:tcPr>
          <w:p w14:paraId="3CC23870"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01FBFC41" w14:textId="77777777" w:rsidR="001B672C" w:rsidRPr="00B54E50" w:rsidRDefault="001B672C" w:rsidP="00B54E50">
            <w:pPr>
              <w:pStyle w:val="MDPI42tablebody"/>
              <w:autoSpaceDE w:val="0"/>
              <w:autoSpaceDN w:val="0"/>
              <w:rPr>
                <w:color w:val="auto"/>
                <w:szCs w:val="18"/>
              </w:rPr>
            </w:pPr>
            <w:r w:rsidRPr="00B54E50">
              <w:rPr>
                <w:color w:val="auto"/>
                <w:szCs w:val="18"/>
              </w:rPr>
              <w:t>31</w:t>
            </w:r>
          </w:p>
        </w:tc>
        <w:tc>
          <w:tcPr>
            <w:tcW w:w="507" w:type="dxa"/>
            <w:tcBorders>
              <w:top w:val="nil"/>
              <w:left w:val="nil"/>
              <w:bottom w:val="nil"/>
              <w:right w:val="nil"/>
            </w:tcBorders>
            <w:shd w:val="clear" w:color="auto" w:fill="FFFFFF"/>
            <w:vAlign w:val="center"/>
          </w:tcPr>
          <w:p w14:paraId="3B08FBBE"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FFFFF"/>
            <w:vAlign w:val="center"/>
          </w:tcPr>
          <w:p w14:paraId="62AE6F5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58F2E3E7" w14:textId="77777777" w:rsidR="001B672C" w:rsidRPr="00B54E50" w:rsidRDefault="001B672C" w:rsidP="00B54E50">
            <w:pPr>
              <w:pStyle w:val="MDPI42tablebody"/>
              <w:autoSpaceDE w:val="0"/>
              <w:autoSpaceDN w:val="0"/>
              <w:rPr>
                <w:color w:val="auto"/>
                <w:szCs w:val="18"/>
              </w:rPr>
            </w:pPr>
            <w:r w:rsidRPr="00B54E50">
              <w:rPr>
                <w:color w:val="auto"/>
                <w:szCs w:val="18"/>
              </w:rPr>
              <w:t>22</w:t>
            </w:r>
          </w:p>
        </w:tc>
        <w:tc>
          <w:tcPr>
            <w:tcW w:w="576" w:type="dxa"/>
            <w:tcBorders>
              <w:top w:val="nil"/>
              <w:left w:val="nil"/>
              <w:bottom w:val="nil"/>
              <w:right w:val="nil"/>
            </w:tcBorders>
            <w:shd w:val="clear" w:color="auto" w:fill="FFFFFF"/>
            <w:vAlign w:val="center"/>
          </w:tcPr>
          <w:p w14:paraId="791DF9B2" w14:textId="77777777" w:rsidR="001B672C" w:rsidRPr="00B54E50" w:rsidRDefault="001B672C" w:rsidP="00B54E50">
            <w:pPr>
              <w:pStyle w:val="MDPI42tablebody"/>
              <w:autoSpaceDE w:val="0"/>
              <w:autoSpaceDN w:val="0"/>
              <w:rPr>
                <w:color w:val="auto"/>
                <w:szCs w:val="18"/>
              </w:rPr>
            </w:pPr>
            <w:r w:rsidRPr="00B54E50">
              <w:rPr>
                <w:color w:val="auto"/>
                <w:szCs w:val="18"/>
              </w:rPr>
              <w:t>117</w:t>
            </w:r>
          </w:p>
        </w:tc>
        <w:tc>
          <w:tcPr>
            <w:tcW w:w="506" w:type="dxa"/>
            <w:tcBorders>
              <w:top w:val="nil"/>
              <w:left w:val="nil"/>
              <w:bottom w:val="nil"/>
              <w:right w:val="nil"/>
            </w:tcBorders>
            <w:shd w:val="clear" w:color="auto" w:fill="FFFFFF"/>
            <w:vAlign w:val="center"/>
          </w:tcPr>
          <w:p w14:paraId="0E010745" w14:textId="77777777" w:rsidR="001B672C" w:rsidRPr="00B54E50" w:rsidRDefault="001B672C" w:rsidP="00B54E50">
            <w:pPr>
              <w:pStyle w:val="MDPI42tablebody"/>
              <w:autoSpaceDE w:val="0"/>
              <w:autoSpaceDN w:val="0"/>
              <w:rPr>
                <w:color w:val="auto"/>
                <w:szCs w:val="18"/>
              </w:rPr>
            </w:pPr>
            <w:r w:rsidRPr="00B54E50">
              <w:rPr>
                <w:color w:val="auto"/>
                <w:szCs w:val="18"/>
              </w:rPr>
              <w:t>178</w:t>
            </w:r>
          </w:p>
        </w:tc>
      </w:tr>
      <w:tr w:rsidR="00B54E50" w:rsidRPr="00B54E50" w14:paraId="2D11F402" w14:textId="77777777" w:rsidTr="00B54E50">
        <w:trPr>
          <w:jc w:val="center"/>
        </w:trPr>
        <w:tc>
          <w:tcPr>
            <w:tcW w:w="1843" w:type="dxa"/>
            <w:tcBorders>
              <w:top w:val="nil"/>
              <w:left w:val="nil"/>
              <w:bottom w:val="nil"/>
              <w:right w:val="nil"/>
            </w:tcBorders>
            <w:shd w:val="clear" w:color="auto" w:fill="FCFCFC"/>
            <w:vAlign w:val="center"/>
          </w:tcPr>
          <w:p w14:paraId="59B632FE" w14:textId="77777777" w:rsidR="001B672C" w:rsidRPr="00B54E50" w:rsidRDefault="001B672C" w:rsidP="00B54E50">
            <w:pPr>
              <w:pStyle w:val="MDPI42tablebody"/>
              <w:autoSpaceDE w:val="0"/>
              <w:autoSpaceDN w:val="0"/>
              <w:rPr>
                <w:color w:val="auto"/>
              </w:rPr>
            </w:pPr>
            <w:r w:rsidRPr="00B54E50">
              <w:rPr>
                <w:color w:val="auto"/>
              </w:rPr>
              <w:t xml:space="preserve">Desai, </w:t>
            </w:r>
            <w:r w:rsidRPr="00B54E50">
              <w:rPr>
                <w:color w:val="auto"/>
                <w:szCs w:val="18"/>
              </w:rPr>
              <w:t>2014 [32]</w:t>
            </w:r>
          </w:p>
        </w:tc>
        <w:tc>
          <w:tcPr>
            <w:tcW w:w="709" w:type="dxa"/>
            <w:tcBorders>
              <w:top w:val="nil"/>
              <w:left w:val="nil"/>
              <w:bottom w:val="nil"/>
              <w:right w:val="nil"/>
            </w:tcBorders>
            <w:shd w:val="clear" w:color="auto" w:fill="FCFCFC"/>
            <w:vAlign w:val="center"/>
          </w:tcPr>
          <w:p w14:paraId="3DCF1CF4" w14:textId="77777777" w:rsidR="001B672C" w:rsidRPr="00B54E50" w:rsidRDefault="001B672C" w:rsidP="00B54E50">
            <w:pPr>
              <w:pStyle w:val="MDPI42tablebody"/>
              <w:autoSpaceDE w:val="0"/>
              <w:autoSpaceDN w:val="0"/>
              <w:rPr>
                <w:color w:val="auto"/>
                <w:szCs w:val="18"/>
              </w:rPr>
            </w:pPr>
            <w:r w:rsidRPr="00B54E50">
              <w:rPr>
                <w:color w:val="auto"/>
                <w:szCs w:val="18"/>
              </w:rPr>
              <w:t>426</w:t>
            </w:r>
          </w:p>
        </w:tc>
        <w:tc>
          <w:tcPr>
            <w:tcW w:w="567" w:type="dxa"/>
            <w:tcBorders>
              <w:top w:val="nil"/>
              <w:left w:val="nil"/>
              <w:bottom w:val="nil"/>
              <w:right w:val="nil"/>
            </w:tcBorders>
            <w:shd w:val="clear" w:color="auto" w:fill="FCFCFC"/>
            <w:vAlign w:val="center"/>
          </w:tcPr>
          <w:p w14:paraId="4D969EF2" w14:textId="77777777" w:rsidR="001B672C" w:rsidRPr="00B54E50" w:rsidRDefault="001B672C" w:rsidP="00B54E50">
            <w:pPr>
              <w:pStyle w:val="MDPI42tablebody"/>
              <w:autoSpaceDE w:val="0"/>
              <w:autoSpaceDN w:val="0"/>
              <w:rPr>
                <w:color w:val="auto"/>
                <w:szCs w:val="18"/>
              </w:rPr>
            </w:pPr>
            <w:r w:rsidRPr="00B54E50">
              <w:rPr>
                <w:color w:val="auto"/>
                <w:szCs w:val="18"/>
              </w:rPr>
              <w:t>44</w:t>
            </w:r>
          </w:p>
        </w:tc>
        <w:tc>
          <w:tcPr>
            <w:tcW w:w="709" w:type="dxa"/>
            <w:tcBorders>
              <w:top w:val="nil"/>
              <w:left w:val="nil"/>
              <w:bottom w:val="nil"/>
              <w:right w:val="nil"/>
            </w:tcBorders>
            <w:shd w:val="clear" w:color="auto" w:fill="FCFCFC"/>
            <w:vAlign w:val="center"/>
          </w:tcPr>
          <w:p w14:paraId="265C8FBE" w14:textId="77777777" w:rsidR="001B672C" w:rsidRPr="00B54E50" w:rsidRDefault="001B672C" w:rsidP="00B54E50">
            <w:pPr>
              <w:pStyle w:val="MDPI42tablebody"/>
              <w:autoSpaceDE w:val="0"/>
              <w:autoSpaceDN w:val="0"/>
              <w:rPr>
                <w:color w:val="auto"/>
                <w:szCs w:val="18"/>
              </w:rPr>
            </w:pPr>
            <w:r w:rsidRPr="00B54E50">
              <w:rPr>
                <w:color w:val="auto"/>
                <w:szCs w:val="18"/>
              </w:rPr>
              <w:t>22</w:t>
            </w:r>
          </w:p>
        </w:tc>
        <w:tc>
          <w:tcPr>
            <w:tcW w:w="567" w:type="dxa"/>
            <w:tcBorders>
              <w:top w:val="nil"/>
              <w:left w:val="nil"/>
              <w:bottom w:val="nil"/>
              <w:right w:val="nil"/>
            </w:tcBorders>
            <w:shd w:val="clear" w:color="auto" w:fill="FCFCFC"/>
            <w:vAlign w:val="center"/>
          </w:tcPr>
          <w:p w14:paraId="48034018" w14:textId="77777777" w:rsidR="001B672C" w:rsidRPr="00B54E50" w:rsidRDefault="001B672C" w:rsidP="00B54E50">
            <w:pPr>
              <w:pStyle w:val="MDPI42tablebody"/>
              <w:autoSpaceDE w:val="0"/>
              <w:autoSpaceDN w:val="0"/>
              <w:rPr>
                <w:color w:val="auto"/>
                <w:szCs w:val="18"/>
              </w:rPr>
            </w:pPr>
            <w:r w:rsidRPr="00B54E50">
              <w:rPr>
                <w:color w:val="auto"/>
                <w:szCs w:val="18"/>
              </w:rPr>
              <w:t>8.7</w:t>
            </w:r>
          </w:p>
        </w:tc>
        <w:tc>
          <w:tcPr>
            <w:tcW w:w="1417" w:type="dxa"/>
            <w:tcBorders>
              <w:top w:val="nil"/>
              <w:left w:val="nil"/>
              <w:bottom w:val="nil"/>
              <w:right w:val="nil"/>
            </w:tcBorders>
            <w:shd w:val="clear" w:color="auto" w:fill="FCFCFC"/>
            <w:vAlign w:val="center"/>
          </w:tcPr>
          <w:p w14:paraId="3FBEAAEA"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10AFB6D1" w14:textId="77777777" w:rsidR="001B672C" w:rsidRPr="00B54E50" w:rsidRDefault="001B672C" w:rsidP="00B54E50">
            <w:pPr>
              <w:pStyle w:val="MDPI42tablebody"/>
              <w:autoSpaceDE w:val="0"/>
              <w:autoSpaceDN w:val="0"/>
              <w:rPr>
                <w:color w:val="auto"/>
                <w:szCs w:val="18"/>
              </w:rPr>
            </w:pPr>
            <w:r w:rsidRPr="00B54E50">
              <w:rPr>
                <w:color w:val="auto"/>
                <w:szCs w:val="18"/>
              </w:rPr>
              <w:t>30</w:t>
            </w:r>
          </w:p>
        </w:tc>
        <w:tc>
          <w:tcPr>
            <w:tcW w:w="805" w:type="dxa"/>
            <w:tcBorders>
              <w:top w:val="nil"/>
              <w:left w:val="nil"/>
              <w:bottom w:val="nil"/>
              <w:right w:val="nil"/>
            </w:tcBorders>
            <w:shd w:val="clear" w:color="auto" w:fill="FCFCFC"/>
            <w:vAlign w:val="center"/>
          </w:tcPr>
          <w:p w14:paraId="4005214E" w14:textId="77777777" w:rsidR="001B672C" w:rsidRPr="00B54E50" w:rsidRDefault="001B672C" w:rsidP="00B54E50">
            <w:pPr>
              <w:pStyle w:val="MDPI42tablebody"/>
              <w:autoSpaceDE w:val="0"/>
              <w:autoSpaceDN w:val="0"/>
              <w:rPr>
                <w:color w:val="auto"/>
                <w:szCs w:val="18"/>
              </w:rPr>
            </w:pPr>
            <w:r w:rsidRPr="00B54E50">
              <w:rPr>
                <w:color w:val="auto"/>
                <w:szCs w:val="18"/>
              </w:rPr>
              <w:t>13</w:t>
            </w:r>
          </w:p>
        </w:tc>
        <w:tc>
          <w:tcPr>
            <w:tcW w:w="552" w:type="dxa"/>
            <w:tcBorders>
              <w:top w:val="nil"/>
              <w:left w:val="nil"/>
              <w:bottom w:val="nil"/>
              <w:right w:val="nil"/>
            </w:tcBorders>
            <w:shd w:val="clear" w:color="auto" w:fill="FCFCFC"/>
            <w:vAlign w:val="center"/>
          </w:tcPr>
          <w:p w14:paraId="1FDB7BB7" w14:textId="77777777" w:rsidR="001B672C" w:rsidRPr="00B54E50" w:rsidRDefault="001B672C" w:rsidP="00B54E50">
            <w:pPr>
              <w:pStyle w:val="MDPI42tablebody"/>
              <w:autoSpaceDE w:val="0"/>
              <w:autoSpaceDN w:val="0"/>
              <w:rPr>
                <w:color w:val="auto"/>
                <w:szCs w:val="18"/>
              </w:rPr>
            </w:pPr>
            <w:r w:rsidRPr="00B54E50">
              <w:rPr>
                <w:color w:val="auto"/>
                <w:szCs w:val="18"/>
              </w:rPr>
              <w:t>7</w:t>
            </w:r>
          </w:p>
        </w:tc>
        <w:tc>
          <w:tcPr>
            <w:tcW w:w="507" w:type="dxa"/>
            <w:tcBorders>
              <w:top w:val="nil"/>
              <w:left w:val="nil"/>
              <w:bottom w:val="nil"/>
              <w:right w:val="nil"/>
            </w:tcBorders>
            <w:shd w:val="clear" w:color="auto" w:fill="FCFCFC"/>
            <w:vAlign w:val="center"/>
          </w:tcPr>
          <w:p w14:paraId="4225CECE"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496" w:type="dxa"/>
            <w:tcBorders>
              <w:top w:val="nil"/>
              <w:left w:val="nil"/>
              <w:bottom w:val="nil"/>
              <w:right w:val="nil"/>
            </w:tcBorders>
            <w:shd w:val="clear" w:color="auto" w:fill="FCFCFC"/>
            <w:vAlign w:val="center"/>
          </w:tcPr>
          <w:p w14:paraId="3F7B9EEF" w14:textId="77777777" w:rsidR="001B672C" w:rsidRPr="00B54E50" w:rsidRDefault="001B672C" w:rsidP="00B54E50">
            <w:pPr>
              <w:pStyle w:val="MDPI42tablebody"/>
              <w:autoSpaceDE w:val="0"/>
              <w:autoSpaceDN w:val="0"/>
              <w:rPr>
                <w:color w:val="auto"/>
                <w:szCs w:val="18"/>
              </w:rPr>
            </w:pPr>
            <w:r w:rsidRPr="00B54E50">
              <w:rPr>
                <w:color w:val="auto"/>
                <w:szCs w:val="18"/>
              </w:rPr>
              <w:t>8</w:t>
            </w:r>
          </w:p>
        </w:tc>
        <w:tc>
          <w:tcPr>
            <w:tcW w:w="502" w:type="dxa"/>
            <w:tcBorders>
              <w:top w:val="nil"/>
              <w:left w:val="nil"/>
              <w:bottom w:val="nil"/>
              <w:right w:val="nil"/>
            </w:tcBorders>
            <w:shd w:val="clear" w:color="auto" w:fill="FCFCFC"/>
            <w:vAlign w:val="center"/>
          </w:tcPr>
          <w:p w14:paraId="048D1876"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CFCFC"/>
            <w:vAlign w:val="center"/>
          </w:tcPr>
          <w:p w14:paraId="33F00DFB" w14:textId="77777777" w:rsidR="001B672C" w:rsidRPr="00B54E50" w:rsidRDefault="001B672C" w:rsidP="00B54E50">
            <w:pPr>
              <w:pStyle w:val="MDPI42tablebody"/>
              <w:autoSpaceDE w:val="0"/>
              <w:autoSpaceDN w:val="0"/>
              <w:rPr>
                <w:color w:val="auto"/>
                <w:szCs w:val="18"/>
              </w:rPr>
            </w:pPr>
            <w:r w:rsidRPr="00B54E50">
              <w:rPr>
                <w:color w:val="auto"/>
                <w:szCs w:val="18"/>
              </w:rPr>
              <w:t>37</w:t>
            </w:r>
          </w:p>
        </w:tc>
        <w:tc>
          <w:tcPr>
            <w:tcW w:w="506" w:type="dxa"/>
            <w:tcBorders>
              <w:top w:val="nil"/>
              <w:left w:val="nil"/>
              <w:bottom w:val="nil"/>
              <w:right w:val="nil"/>
            </w:tcBorders>
            <w:shd w:val="clear" w:color="auto" w:fill="FCFCFC"/>
            <w:vAlign w:val="center"/>
          </w:tcPr>
          <w:p w14:paraId="1B5528FB" w14:textId="77777777" w:rsidR="001B672C" w:rsidRPr="00B54E50" w:rsidRDefault="001B672C" w:rsidP="00B54E50">
            <w:pPr>
              <w:pStyle w:val="MDPI42tablebody"/>
              <w:autoSpaceDE w:val="0"/>
              <w:autoSpaceDN w:val="0"/>
              <w:rPr>
                <w:color w:val="auto"/>
                <w:szCs w:val="18"/>
              </w:rPr>
            </w:pPr>
            <w:r w:rsidRPr="00B54E50">
              <w:rPr>
                <w:color w:val="auto"/>
                <w:szCs w:val="18"/>
              </w:rPr>
              <w:t>40</w:t>
            </w:r>
          </w:p>
        </w:tc>
      </w:tr>
      <w:tr w:rsidR="00B54E50" w:rsidRPr="00B54E50" w14:paraId="056BEAE6" w14:textId="77777777" w:rsidTr="00B54E50">
        <w:trPr>
          <w:jc w:val="center"/>
        </w:trPr>
        <w:tc>
          <w:tcPr>
            <w:tcW w:w="1843" w:type="dxa"/>
            <w:tcBorders>
              <w:top w:val="nil"/>
              <w:left w:val="nil"/>
              <w:bottom w:val="nil"/>
              <w:right w:val="nil"/>
            </w:tcBorders>
            <w:shd w:val="clear" w:color="auto" w:fill="FFFFFF"/>
            <w:vAlign w:val="center"/>
          </w:tcPr>
          <w:p w14:paraId="24CACDDD" w14:textId="77777777" w:rsidR="001B672C" w:rsidRPr="00B54E50" w:rsidRDefault="001B672C" w:rsidP="00B54E50">
            <w:pPr>
              <w:pStyle w:val="MDPI42tablebody"/>
              <w:autoSpaceDE w:val="0"/>
              <w:autoSpaceDN w:val="0"/>
              <w:rPr>
                <w:color w:val="auto"/>
              </w:rPr>
            </w:pPr>
            <w:proofErr w:type="spellStart"/>
            <w:r w:rsidRPr="00B54E50">
              <w:rPr>
                <w:color w:val="auto"/>
              </w:rPr>
              <w:t>Feneon</w:t>
            </w:r>
            <w:proofErr w:type="spellEnd"/>
            <w:r w:rsidRPr="00B54E50">
              <w:rPr>
                <w:color w:val="auto"/>
              </w:rPr>
              <w:t>, 2016 [86]</w:t>
            </w:r>
          </w:p>
        </w:tc>
        <w:tc>
          <w:tcPr>
            <w:tcW w:w="709" w:type="dxa"/>
            <w:tcBorders>
              <w:top w:val="nil"/>
              <w:left w:val="nil"/>
              <w:bottom w:val="nil"/>
              <w:right w:val="nil"/>
            </w:tcBorders>
            <w:shd w:val="clear" w:color="auto" w:fill="FFFFFF"/>
            <w:vAlign w:val="center"/>
          </w:tcPr>
          <w:p w14:paraId="134868A9" w14:textId="77777777" w:rsidR="001B672C" w:rsidRPr="00B54E50" w:rsidRDefault="001B672C" w:rsidP="00B54E50">
            <w:pPr>
              <w:pStyle w:val="MDPI42tablebody"/>
              <w:autoSpaceDE w:val="0"/>
              <w:autoSpaceDN w:val="0"/>
              <w:rPr>
                <w:color w:val="auto"/>
                <w:szCs w:val="18"/>
              </w:rPr>
            </w:pPr>
            <w:r w:rsidRPr="00B54E50">
              <w:rPr>
                <w:color w:val="auto"/>
                <w:szCs w:val="18"/>
              </w:rPr>
              <w:t>126</w:t>
            </w:r>
          </w:p>
        </w:tc>
        <w:tc>
          <w:tcPr>
            <w:tcW w:w="567" w:type="dxa"/>
            <w:tcBorders>
              <w:top w:val="nil"/>
              <w:left w:val="nil"/>
              <w:bottom w:val="nil"/>
              <w:right w:val="nil"/>
            </w:tcBorders>
            <w:shd w:val="clear" w:color="auto" w:fill="FFFFFF"/>
            <w:vAlign w:val="center"/>
          </w:tcPr>
          <w:p w14:paraId="5BE3D8E9" w14:textId="77777777" w:rsidR="001B672C" w:rsidRPr="00B54E50" w:rsidRDefault="001B672C" w:rsidP="00B54E50">
            <w:pPr>
              <w:pStyle w:val="MDPI42tablebody"/>
              <w:autoSpaceDE w:val="0"/>
              <w:autoSpaceDN w:val="0"/>
              <w:rPr>
                <w:color w:val="auto"/>
                <w:szCs w:val="18"/>
              </w:rPr>
            </w:pPr>
            <w:r w:rsidRPr="00B54E50">
              <w:rPr>
                <w:color w:val="auto"/>
                <w:szCs w:val="18"/>
              </w:rPr>
              <w:t>47</w:t>
            </w:r>
          </w:p>
        </w:tc>
        <w:tc>
          <w:tcPr>
            <w:tcW w:w="709" w:type="dxa"/>
            <w:tcBorders>
              <w:top w:val="nil"/>
              <w:left w:val="nil"/>
              <w:bottom w:val="nil"/>
              <w:right w:val="nil"/>
            </w:tcBorders>
            <w:shd w:val="clear" w:color="auto" w:fill="FFFFFF"/>
            <w:vAlign w:val="center"/>
          </w:tcPr>
          <w:p w14:paraId="4F05415A" w14:textId="77777777" w:rsidR="001B672C" w:rsidRPr="00B54E50" w:rsidRDefault="001B672C" w:rsidP="00B54E50">
            <w:pPr>
              <w:pStyle w:val="MDPI42tablebody"/>
              <w:autoSpaceDE w:val="0"/>
              <w:autoSpaceDN w:val="0"/>
              <w:rPr>
                <w:color w:val="auto"/>
                <w:szCs w:val="18"/>
              </w:rPr>
            </w:pPr>
            <w:r w:rsidRPr="00B54E50">
              <w:rPr>
                <w:color w:val="auto"/>
                <w:szCs w:val="18"/>
              </w:rPr>
              <w:t>22</w:t>
            </w:r>
          </w:p>
        </w:tc>
        <w:tc>
          <w:tcPr>
            <w:tcW w:w="567" w:type="dxa"/>
            <w:tcBorders>
              <w:top w:val="nil"/>
              <w:left w:val="nil"/>
              <w:bottom w:val="nil"/>
              <w:right w:val="nil"/>
            </w:tcBorders>
            <w:shd w:val="clear" w:color="auto" w:fill="FFFFFF"/>
            <w:vAlign w:val="center"/>
          </w:tcPr>
          <w:p w14:paraId="17A90A51" w14:textId="77777777" w:rsidR="001B672C" w:rsidRPr="00B54E50" w:rsidRDefault="001B672C" w:rsidP="00B54E50">
            <w:pPr>
              <w:pStyle w:val="MDPI42tablebody"/>
              <w:autoSpaceDE w:val="0"/>
              <w:autoSpaceDN w:val="0"/>
              <w:rPr>
                <w:color w:val="auto"/>
                <w:szCs w:val="18"/>
              </w:rPr>
            </w:pPr>
            <w:r w:rsidRPr="00B54E50">
              <w:rPr>
                <w:color w:val="auto"/>
                <w:szCs w:val="18"/>
              </w:rPr>
              <w:t>2.4</w:t>
            </w:r>
          </w:p>
        </w:tc>
        <w:tc>
          <w:tcPr>
            <w:tcW w:w="1417" w:type="dxa"/>
            <w:tcBorders>
              <w:top w:val="nil"/>
              <w:left w:val="nil"/>
              <w:bottom w:val="nil"/>
              <w:right w:val="nil"/>
            </w:tcBorders>
            <w:shd w:val="clear" w:color="auto" w:fill="FFFFFF"/>
            <w:vAlign w:val="center"/>
          </w:tcPr>
          <w:p w14:paraId="4AFD7920"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FFFFF"/>
            <w:vAlign w:val="center"/>
          </w:tcPr>
          <w:p w14:paraId="791CA733"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FFFFF"/>
            <w:vAlign w:val="center"/>
          </w:tcPr>
          <w:p w14:paraId="5B4742EA"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52" w:type="dxa"/>
            <w:tcBorders>
              <w:top w:val="nil"/>
              <w:left w:val="nil"/>
              <w:bottom w:val="nil"/>
              <w:right w:val="nil"/>
            </w:tcBorders>
            <w:shd w:val="clear" w:color="auto" w:fill="FFFFFF"/>
            <w:vAlign w:val="center"/>
          </w:tcPr>
          <w:p w14:paraId="57DF00B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FFFFF"/>
            <w:vAlign w:val="center"/>
          </w:tcPr>
          <w:p w14:paraId="212B7A66" w14:textId="77777777" w:rsidR="001B672C" w:rsidRPr="00B54E50" w:rsidRDefault="001B672C" w:rsidP="00B54E50">
            <w:pPr>
              <w:pStyle w:val="MDPI42tablebody"/>
              <w:autoSpaceDE w:val="0"/>
              <w:autoSpaceDN w:val="0"/>
              <w:rPr>
                <w:color w:val="auto"/>
                <w:szCs w:val="18"/>
              </w:rPr>
            </w:pPr>
            <w:r w:rsidRPr="00B54E50">
              <w:rPr>
                <w:color w:val="auto"/>
                <w:szCs w:val="18"/>
              </w:rPr>
              <w:t>3</w:t>
            </w:r>
          </w:p>
        </w:tc>
        <w:tc>
          <w:tcPr>
            <w:tcW w:w="496" w:type="dxa"/>
            <w:tcBorders>
              <w:top w:val="nil"/>
              <w:left w:val="nil"/>
              <w:bottom w:val="nil"/>
              <w:right w:val="nil"/>
            </w:tcBorders>
            <w:shd w:val="clear" w:color="auto" w:fill="FFFFFF"/>
            <w:vAlign w:val="center"/>
          </w:tcPr>
          <w:p w14:paraId="1C034F95"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4610C744"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0CB96821" w14:textId="77777777" w:rsidR="001B672C" w:rsidRPr="00B54E50" w:rsidRDefault="001B672C" w:rsidP="00B54E50">
            <w:pPr>
              <w:pStyle w:val="MDPI42tablebody"/>
              <w:autoSpaceDE w:val="0"/>
              <w:autoSpaceDN w:val="0"/>
              <w:rPr>
                <w:color w:val="auto"/>
                <w:szCs w:val="18"/>
              </w:rPr>
            </w:pPr>
            <w:r w:rsidRPr="00B54E50">
              <w:rPr>
                <w:color w:val="auto"/>
                <w:szCs w:val="18"/>
              </w:rPr>
              <w:t>7</w:t>
            </w:r>
          </w:p>
        </w:tc>
        <w:tc>
          <w:tcPr>
            <w:tcW w:w="506" w:type="dxa"/>
            <w:tcBorders>
              <w:top w:val="nil"/>
              <w:left w:val="nil"/>
              <w:bottom w:val="nil"/>
              <w:right w:val="nil"/>
            </w:tcBorders>
            <w:shd w:val="clear" w:color="auto" w:fill="FFFFFF"/>
            <w:vAlign w:val="center"/>
          </w:tcPr>
          <w:p w14:paraId="3FDC671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467AFF7D" w14:textId="77777777" w:rsidTr="00B54E50">
        <w:trPr>
          <w:jc w:val="center"/>
        </w:trPr>
        <w:tc>
          <w:tcPr>
            <w:tcW w:w="1843" w:type="dxa"/>
            <w:tcBorders>
              <w:top w:val="nil"/>
              <w:left w:val="nil"/>
              <w:bottom w:val="nil"/>
              <w:right w:val="nil"/>
            </w:tcBorders>
            <w:shd w:val="clear" w:color="auto" w:fill="FCFCFC"/>
            <w:vAlign w:val="center"/>
          </w:tcPr>
          <w:p w14:paraId="181F319B" w14:textId="77777777" w:rsidR="001B672C" w:rsidRPr="00B54E50" w:rsidRDefault="001B672C" w:rsidP="00B54E50">
            <w:pPr>
              <w:pStyle w:val="MDPI42tablebody"/>
              <w:autoSpaceDE w:val="0"/>
              <w:autoSpaceDN w:val="0"/>
              <w:rPr>
                <w:color w:val="auto"/>
                <w:szCs w:val="17"/>
              </w:rPr>
            </w:pPr>
            <w:proofErr w:type="spellStart"/>
            <w:r w:rsidRPr="00B54E50">
              <w:rPr>
                <w:color w:val="auto"/>
                <w:szCs w:val="17"/>
              </w:rPr>
              <w:t>Finocchiaro</w:t>
            </w:r>
            <w:proofErr w:type="spellEnd"/>
            <w:r w:rsidRPr="00B54E50">
              <w:rPr>
                <w:color w:val="auto"/>
                <w:szCs w:val="17"/>
              </w:rPr>
              <w:t xml:space="preserve">, 2015 </w:t>
            </w:r>
            <w:r w:rsidRPr="00B54E50">
              <w:rPr>
                <w:color w:val="auto"/>
                <w:szCs w:val="18"/>
              </w:rPr>
              <w:t>[37]</w:t>
            </w:r>
          </w:p>
        </w:tc>
        <w:tc>
          <w:tcPr>
            <w:tcW w:w="709" w:type="dxa"/>
            <w:tcBorders>
              <w:top w:val="nil"/>
              <w:left w:val="nil"/>
              <w:bottom w:val="nil"/>
              <w:right w:val="nil"/>
            </w:tcBorders>
            <w:shd w:val="clear" w:color="auto" w:fill="FCFCFC"/>
            <w:vAlign w:val="center"/>
          </w:tcPr>
          <w:p w14:paraId="7FBEB5B0" w14:textId="77777777" w:rsidR="001B672C" w:rsidRPr="00B54E50" w:rsidRDefault="001B672C" w:rsidP="00B54E50">
            <w:pPr>
              <w:pStyle w:val="MDPI42tablebody"/>
              <w:autoSpaceDE w:val="0"/>
              <w:autoSpaceDN w:val="0"/>
              <w:rPr>
                <w:color w:val="auto"/>
                <w:szCs w:val="18"/>
              </w:rPr>
            </w:pPr>
            <w:r w:rsidRPr="00B54E50">
              <w:rPr>
                <w:color w:val="auto"/>
                <w:szCs w:val="18"/>
              </w:rPr>
              <w:t>156</w:t>
            </w:r>
          </w:p>
        </w:tc>
        <w:tc>
          <w:tcPr>
            <w:tcW w:w="567" w:type="dxa"/>
            <w:tcBorders>
              <w:top w:val="nil"/>
              <w:left w:val="nil"/>
              <w:bottom w:val="nil"/>
              <w:right w:val="nil"/>
            </w:tcBorders>
            <w:shd w:val="clear" w:color="auto" w:fill="FCFCFC"/>
            <w:vAlign w:val="center"/>
          </w:tcPr>
          <w:p w14:paraId="524D0B7C" w14:textId="77777777" w:rsidR="001B672C" w:rsidRPr="00B54E50" w:rsidRDefault="001B672C" w:rsidP="00B54E50">
            <w:pPr>
              <w:pStyle w:val="MDPI42tablebody"/>
              <w:autoSpaceDE w:val="0"/>
              <w:autoSpaceDN w:val="0"/>
              <w:rPr>
                <w:color w:val="auto"/>
                <w:szCs w:val="18"/>
              </w:rPr>
            </w:pPr>
            <w:r w:rsidRPr="00B54E50">
              <w:rPr>
                <w:color w:val="auto"/>
                <w:szCs w:val="18"/>
              </w:rPr>
              <w:t>51</w:t>
            </w:r>
          </w:p>
        </w:tc>
        <w:tc>
          <w:tcPr>
            <w:tcW w:w="709" w:type="dxa"/>
            <w:tcBorders>
              <w:top w:val="nil"/>
              <w:left w:val="nil"/>
              <w:bottom w:val="nil"/>
              <w:right w:val="nil"/>
            </w:tcBorders>
            <w:shd w:val="clear" w:color="auto" w:fill="FCFCFC"/>
            <w:vAlign w:val="center"/>
          </w:tcPr>
          <w:p w14:paraId="70BE7946" w14:textId="77777777" w:rsidR="001B672C" w:rsidRPr="00B54E50" w:rsidRDefault="001B672C" w:rsidP="00B54E50">
            <w:pPr>
              <w:pStyle w:val="MDPI42tablebody"/>
              <w:autoSpaceDE w:val="0"/>
              <w:autoSpaceDN w:val="0"/>
              <w:rPr>
                <w:color w:val="auto"/>
                <w:szCs w:val="18"/>
              </w:rPr>
            </w:pPr>
            <w:r w:rsidRPr="00B54E50">
              <w:rPr>
                <w:color w:val="auto"/>
                <w:szCs w:val="18"/>
              </w:rPr>
              <w:t>38</w:t>
            </w:r>
          </w:p>
        </w:tc>
        <w:tc>
          <w:tcPr>
            <w:tcW w:w="567" w:type="dxa"/>
            <w:tcBorders>
              <w:top w:val="nil"/>
              <w:left w:val="nil"/>
              <w:bottom w:val="nil"/>
              <w:right w:val="nil"/>
            </w:tcBorders>
            <w:shd w:val="clear" w:color="auto" w:fill="FCFCFC"/>
            <w:vAlign w:val="center"/>
          </w:tcPr>
          <w:p w14:paraId="563F5B7A" w14:textId="77777777" w:rsidR="001B672C" w:rsidRPr="00B54E50" w:rsidRDefault="001B672C" w:rsidP="00B54E50">
            <w:pPr>
              <w:pStyle w:val="MDPI42tablebody"/>
              <w:autoSpaceDE w:val="0"/>
              <w:autoSpaceDN w:val="0"/>
              <w:rPr>
                <w:color w:val="auto"/>
                <w:szCs w:val="18"/>
              </w:rPr>
            </w:pPr>
            <w:r w:rsidRPr="00B54E50">
              <w:rPr>
                <w:color w:val="auto"/>
                <w:szCs w:val="18"/>
              </w:rPr>
              <w:t>2.3</w:t>
            </w:r>
          </w:p>
        </w:tc>
        <w:tc>
          <w:tcPr>
            <w:tcW w:w="1417" w:type="dxa"/>
            <w:tcBorders>
              <w:top w:val="nil"/>
              <w:left w:val="nil"/>
              <w:bottom w:val="nil"/>
              <w:right w:val="nil"/>
            </w:tcBorders>
            <w:shd w:val="clear" w:color="auto" w:fill="FCFCFC"/>
            <w:vAlign w:val="center"/>
          </w:tcPr>
          <w:p w14:paraId="57A54AA2"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7B2D179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CFCFC"/>
            <w:vAlign w:val="center"/>
          </w:tcPr>
          <w:p w14:paraId="0BEF0DE5"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CFCFC"/>
            <w:vAlign w:val="center"/>
          </w:tcPr>
          <w:p w14:paraId="6CF4BE6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CFCFC"/>
            <w:vAlign w:val="center"/>
          </w:tcPr>
          <w:p w14:paraId="0439D98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CFCFC"/>
            <w:vAlign w:val="center"/>
          </w:tcPr>
          <w:p w14:paraId="3A59DA0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240EA9F8" w14:textId="77777777" w:rsidR="001B672C" w:rsidRPr="00B54E50" w:rsidRDefault="001B672C" w:rsidP="00B54E50">
            <w:pPr>
              <w:pStyle w:val="MDPI42tablebody"/>
              <w:autoSpaceDE w:val="0"/>
              <w:autoSpaceDN w:val="0"/>
              <w:rPr>
                <w:color w:val="auto"/>
                <w:szCs w:val="18"/>
              </w:rPr>
            </w:pPr>
            <w:r w:rsidRPr="00B54E50">
              <w:rPr>
                <w:color w:val="auto"/>
                <w:szCs w:val="18"/>
              </w:rPr>
              <w:t>5</w:t>
            </w:r>
          </w:p>
        </w:tc>
        <w:tc>
          <w:tcPr>
            <w:tcW w:w="576" w:type="dxa"/>
            <w:tcBorders>
              <w:top w:val="nil"/>
              <w:left w:val="nil"/>
              <w:bottom w:val="nil"/>
              <w:right w:val="nil"/>
            </w:tcBorders>
            <w:shd w:val="clear" w:color="auto" w:fill="FCFCFC"/>
            <w:vAlign w:val="center"/>
          </w:tcPr>
          <w:p w14:paraId="619B5DFE" w14:textId="77777777" w:rsidR="001B672C" w:rsidRPr="00B54E50" w:rsidRDefault="001B672C" w:rsidP="00B54E50">
            <w:pPr>
              <w:pStyle w:val="MDPI42tablebody"/>
              <w:autoSpaceDE w:val="0"/>
              <w:autoSpaceDN w:val="0"/>
              <w:rPr>
                <w:color w:val="auto"/>
                <w:szCs w:val="18"/>
              </w:rPr>
            </w:pPr>
            <w:r w:rsidRPr="00B54E50">
              <w:rPr>
                <w:color w:val="auto"/>
                <w:szCs w:val="18"/>
              </w:rPr>
              <w:t>4</w:t>
            </w:r>
          </w:p>
        </w:tc>
        <w:tc>
          <w:tcPr>
            <w:tcW w:w="506" w:type="dxa"/>
            <w:tcBorders>
              <w:top w:val="nil"/>
              <w:left w:val="nil"/>
              <w:bottom w:val="nil"/>
              <w:right w:val="nil"/>
            </w:tcBorders>
            <w:shd w:val="clear" w:color="auto" w:fill="FCFCFC"/>
            <w:vAlign w:val="center"/>
          </w:tcPr>
          <w:p w14:paraId="2071BD6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2E4646D0" w14:textId="77777777" w:rsidTr="00B54E50">
        <w:trPr>
          <w:jc w:val="center"/>
        </w:trPr>
        <w:tc>
          <w:tcPr>
            <w:tcW w:w="1843" w:type="dxa"/>
            <w:tcBorders>
              <w:top w:val="nil"/>
              <w:left w:val="nil"/>
              <w:bottom w:val="nil"/>
              <w:right w:val="nil"/>
            </w:tcBorders>
            <w:shd w:val="clear" w:color="auto" w:fill="FFFFFF"/>
            <w:vAlign w:val="center"/>
          </w:tcPr>
          <w:p w14:paraId="77A842A9" w14:textId="77777777" w:rsidR="001B672C" w:rsidRPr="00B54E50" w:rsidRDefault="001B672C" w:rsidP="00B54E50">
            <w:pPr>
              <w:pStyle w:val="MDPI42tablebody"/>
              <w:autoSpaceDE w:val="0"/>
              <w:autoSpaceDN w:val="0"/>
              <w:rPr>
                <w:color w:val="auto"/>
              </w:rPr>
            </w:pPr>
            <w:r w:rsidRPr="00B54E50">
              <w:rPr>
                <w:color w:val="auto"/>
              </w:rPr>
              <w:t xml:space="preserve">Ghiselli, </w:t>
            </w:r>
            <w:r w:rsidRPr="00B54E50">
              <w:rPr>
                <w:color w:val="auto"/>
                <w:szCs w:val="18"/>
              </w:rPr>
              <w:t>2019 [39]</w:t>
            </w:r>
          </w:p>
        </w:tc>
        <w:tc>
          <w:tcPr>
            <w:tcW w:w="709" w:type="dxa"/>
            <w:tcBorders>
              <w:top w:val="nil"/>
              <w:left w:val="nil"/>
              <w:bottom w:val="nil"/>
              <w:right w:val="nil"/>
            </w:tcBorders>
            <w:shd w:val="clear" w:color="auto" w:fill="FFFFFF"/>
            <w:vAlign w:val="center"/>
          </w:tcPr>
          <w:p w14:paraId="0D124EF3" w14:textId="77777777" w:rsidR="001B672C" w:rsidRPr="00B54E50" w:rsidRDefault="001B672C" w:rsidP="00B54E50">
            <w:pPr>
              <w:pStyle w:val="MDPI42tablebody"/>
              <w:autoSpaceDE w:val="0"/>
              <w:autoSpaceDN w:val="0"/>
              <w:rPr>
                <w:color w:val="auto"/>
                <w:szCs w:val="18"/>
              </w:rPr>
            </w:pPr>
            <w:r w:rsidRPr="00B54E50">
              <w:rPr>
                <w:color w:val="auto"/>
                <w:szCs w:val="18"/>
              </w:rPr>
              <w:t>292</w:t>
            </w:r>
          </w:p>
        </w:tc>
        <w:tc>
          <w:tcPr>
            <w:tcW w:w="567" w:type="dxa"/>
            <w:tcBorders>
              <w:top w:val="nil"/>
              <w:left w:val="nil"/>
              <w:bottom w:val="nil"/>
              <w:right w:val="nil"/>
            </w:tcBorders>
            <w:shd w:val="clear" w:color="auto" w:fill="FFFFFF"/>
            <w:vAlign w:val="center"/>
          </w:tcPr>
          <w:p w14:paraId="126B7601" w14:textId="77777777" w:rsidR="001B672C" w:rsidRPr="00B54E50" w:rsidRDefault="001B672C" w:rsidP="00B54E50">
            <w:pPr>
              <w:pStyle w:val="MDPI42tablebody"/>
              <w:autoSpaceDE w:val="0"/>
              <w:autoSpaceDN w:val="0"/>
              <w:rPr>
                <w:color w:val="auto"/>
                <w:szCs w:val="18"/>
              </w:rPr>
            </w:pPr>
            <w:r w:rsidRPr="00B54E50">
              <w:rPr>
                <w:color w:val="auto"/>
                <w:szCs w:val="18"/>
              </w:rPr>
              <w:t>46</w:t>
            </w:r>
          </w:p>
        </w:tc>
        <w:tc>
          <w:tcPr>
            <w:tcW w:w="709" w:type="dxa"/>
            <w:tcBorders>
              <w:top w:val="nil"/>
              <w:left w:val="nil"/>
              <w:bottom w:val="nil"/>
              <w:right w:val="nil"/>
            </w:tcBorders>
            <w:shd w:val="clear" w:color="auto" w:fill="FFFFFF"/>
            <w:vAlign w:val="center"/>
          </w:tcPr>
          <w:p w14:paraId="3F9AC0E8" w14:textId="77777777" w:rsidR="001B672C" w:rsidRPr="00B54E50" w:rsidRDefault="001B672C" w:rsidP="00B54E50">
            <w:pPr>
              <w:pStyle w:val="MDPI42tablebody"/>
              <w:autoSpaceDE w:val="0"/>
              <w:autoSpaceDN w:val="0"/>
              <w:rPr>
                <w:color w:val="auto"/>
                <w:szCs w:val="18"/>
              </w:rPr>
            </w:pPr>
            <w:r w:rsidRPr="00B54E50">
              <w:rPr>
                <w:color w:val="auto"/>
                <w:szCs w:val="18"/>
              </w:rPr>
              <w:t>28</w:t>
            </w:r>
          </w:p>
        </w:tc>
        <w:tc>
          <w:tcPr>
            <w:tcW w:w="567" w:type="dxa"/>
            <w:tcBorders>
              <w:top w:val="nil"/>
              <w:left w:val="nil"/>
              <w:bottom w:val="nil"/>
              <w:right w:val="nil"/>
            </w:tcBorders>
            <w:shd w:val="clear" w:color="auto" w:fill="FFFFFF"/>
            <w:vAlign w:val="center"/>
          </w:tcPr>
          <w:p w14:paraId="2EE75521" w14:textId="77777777" w:rsidR="001B672C" w:rsidRPr="00B54E50" w:rsidRDefault="001B672C" w:rsidP="00B54E50">
            <w:pPr>
              <w:pStyle w:val="MDPI42tablebody"/>
              <w:autoSpaceDE w:val="0"/>
              <w:autoSpaceDN w:val="0"/>
              <w:rPr>
                <w:color w:val="auto"/>
                <w:szCs w:val="18"/>
              </w:rPr>
            </w:pPr>
            <w:r w:rsidRPr="00B54E50">
              <w:rPr>
                <w:color w:val="auto"/>
                <w:szCs w:val="18"/>
              </w:rPr>
              <w:t>5.9</w:t>
            </w:r>
          </w:p>
        </w:tc>
        <w:tc>
          <w:tcPr>
            <w:tcW w:w="1417" w:type="dxa"/>
            <w:tcBorders>
              <w:top w:val="nil"/>
              <w:left w:val="nil"/>
              <w:bottom w:val="nil"/>
              <w:right w:val="nil"/>
            </w:tcBorders>
            <w:shd w:val="clear" w:color="auto" w:fill="FFFFFF"/>
            <w:vAlign w:val="center"/>
          </w:tcPr>
          <w:p w14:paraId="7BB9AC73"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FFFFF"/>
            <w:vAlign w:val="center"/>
          </w:tcPr>
          <w:p w14:paraId="1D19B356"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805" w:type="dxa"/>
            <w:tcBorders>
              <w:top w:val="nil"/>
              <w:left w:val="nil"/>
              <w:bottom w:val="nil"/>
              <w:right w:val="nil"/>
            </w:tcBorders>
            <w:shd w:val="clear" w:color="auto" w:fill="FFFFFF"/>
            <w:vAlign w:val="center"/>
          </w:tcPr>
          <w:p w14:paraId="7E01B1F2"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22148A9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FFFFF"/>
            <w:vAlign w:val="center"/>
          </w:tcPr>
          <w:p w14:paraId="0915E8D3"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496" w:type="dxa"/>
            <w:tcBorders>
              <w:top w:val="nil"/>
              <w:left w:val="nil"/>
              <w:bottom w:val="nil"/>
              <w:right w:val="nil"/>
            </w:tcBorders>
            <w:shd w:val="clear" w:color="auto" w:fill="FFFFFF"/>
            <w:vAlign w:val="center"/>
          </w:tcPr>
          <w:p w14:paraId="2891A6F1" w14:textId="77777777" w:rsidR="001B672C" w:rsidRPr="00B54E50" w:rsidRDefault="001B672C" w:rsidP="00B54E50">
            <w:pPr>
              <w:pStyle w:val="MDPI42tablebody"/>
              <w:autoSpaceDE w:val="0"/>
              <w:autoSpaceDN w:val="0"/>
              <w:rPr>
                <w:color w:val="auto"/>
                <w:szCs w:val="18"/>
              </w:rPr>
            </w:pPr>
            <w:r w:rsidRPr="00B54E50">
              <w:rPr>
                <w:color w:val="auto"/>
                <w:szCs w:val="18"/>
              </w:rPr>
              <w:t>13</w:t>
            </w:r>
          </w:p>
        </w:tc>
        <w:tc>
          <w:tcPr>
            <w:tcW w:w="502" w:type="dxa"/>
            <w:tcBorders>
              <w:top w:val="nil"/>
              <w:left w:val="nil"/>
              <w:bottom w:val="nil"/>
              <w:right w:val="nil"/>
            </w:tcBorders>
            <w:shd w:val="clear" w:color="auto" w:fill="FFFFFF"/>
            <w:vAlign w:val="center"/>
          </w:tcPr>
          <w:p w14:paraId="76BE3F8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7B98A916" w14:textId="77777777" w:rsidR="001B672C" w:rsidRPr="00B54E50" w:rsidRDefault="001B672C" w:rsidP="00B54E50">
            <w:pPr>
              <w:pStyle w:val="MDPI42tablebody"/>
              <w:autoSpaceDE w:val="0"/>
              <w:autoSpaceDN w:val="0"/>
              <w:rPr>
                <w:color w:val="auto"/>
                <w:szCs w:val="18"/>
              </w:rPr>
            </w:pPr>
            <w:r w:rsidRPr="00B54E50">
              <w:rPr>
                <w:color w:val="auto"/>
                <w:szCs w:val="18"/>
              </w:rPr>
              <w:t>6</w:t>
            </w:r>
          </w:p>
        </w:tc>
        <w:tc>
          <w:tcPr>
            <w:tcW w:w="506" w:type="dxa"/>
            <w:tcBorders>
              <w:top w:val="nil"/>
              <w:left w:val="nil"/>
              <w:bottom w:val="nil"/>
              <w:right w:val="nil"/>
            </w:tcBorders>
            <w:shd w:val="clear" w:color="auto" w:fill="FFFFFF"/>
            <w:vAlign w:val="center"/>
          </w:tcPr>
          <w:p w14:paraId="2A9B98E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35035E9B" w14:textId="77777777" w:rsidTr="00B54E50">
        <w:trPr>
          <w:jc w:val="center"/>
        </w:trPr>
        <w:tc>
          <w:tcPr>
            <w:tcW w:w="1843" w:type="dxa"/>
            <w:tcBorders>
              <w:top w:val="nil"/>
              <w:left w:val="nil"/>
              <w:bottom w:val="nil"/>
              <w:right w:val="nil"/>
            </w:tcBorders>
            <w:shd w:val="clear" w:color="auto" w:fill="FCFCFC"/>
            <w:vAlign w:val="center"/>
          </w:tcPr>
          <w:p w14:paraId="5917726D" w14:textId="77777777" w:rsidR="001B672C" w:rsidRPr="00B54E50" w:rsidRDefault="001B672C" w:rsidP="00B54E50">
            <w:pPr>
              <w:pStyle w:val="MDPI42tablebody"/>
              <w:autoSpaceDE w:val="0"/>
              <w:autoSpaceDN w:val="0"/>
              <w:rPr>
                <w:color w:val="auto"/>
              </w:rPr>
            </w:pPr>
            <w:proofErr w:type="spellStart"/>
            <w:r w:rsidRPr="00B54E50">
              <w:rPr>
                <w:color w:val="auto"/>
              </w:rPr>
              <w:t>Gimeno</w:t>
            </w:r>
            <w:proofErr w:type="spellEnd"/>
            <w:r w:rsidRPr="00B54E50">
              <w:rPr>
                <w:color w:val="auto"/>
              </w:rPr>
              <w:t>, 2009 [87]</w:t>
            </w:r>
          </w:p>
        </w:tc>
        <w:tc>
          <w:tcPr>
            <w:tcW w:w="709" w:type="dxa"/>
            <w:tcBorders>
              <w:top w:val="nil"/>
              <w:left w:val="nil"/>
              <w:bottom w:val="nil"/>
              <w:right w:val="nil"/>
            </w:tcBorders>
            <w:shd w:val="clear" w:color="auto" w:fill="FCFCFC"/>
            <w:vAlign w:val="center"/>
          </w:tcPr>
          <w:p w14:paraId="738DA9C5" w14:textId="77777777" w:rsidR="001B672C" w:rsidRPr="00B54E50" w:rsidRDefault="001B672C" w:rsidP="00B54E50">
            <w:pPr>
              <w:pStyle w:val="MDPI42tablebody"/>
              <w:autoSpaceDE w:val="0"/>
              <w:autoSpaceDN w:val="0"/>
              <w:rPr>
                <w:color w:val="auto"/>
                <w:szCs w:val="18"/>
              </w:rPr>
            </w:pPr>
            <w:r w:rsidRPr="00B54E50">
              <w:rPr>
                <w:color w:val="auto"/>
                <w:szCs w:val="18"/>
              </w:rPr>
              <w:t>1380</w:t>
            </w:r>
          </w:p>
        </w:tc>
        <w:tc>
          <w:tcPr>
            <w:tcW w:w="567" w:type="dxa"/>
            <w:tcBorders>
              <w:top w:val="nil"/>
              <w:left w:val="nil"/>
              <w:bottom w:val="nil"/>
              <w:right w:val="nil"/>
            </w:tcBorders>
            <w:shd w:val="clear" w:color="auto" w:fill="FCFCFC"/>
            <w:vAlign w:val="center"/>
          </w:tcPr>
          <w:p w14:paraId="1CB6D32B" w14:textId="77777777" w:rsidR="001B672C" w:rsidRPr="00B54E50" w:rsidRDefault="001B672C" w:rsidP="00B54E50">
            <w:pPr>
              <w:pStyle w:val="MDPI42tablebody"/>
              <w:autoSpaceDE w:val="0"/>
              <w:autoSpaceDN w:val="0"/>
              <w:rPr>
                <w:color w:val="auto"/>
                <w:szCs w:val="18"/>
              </w:rPr>
            </w:pPr>
            <w:r w:rsidRPr="00B54E50">
              <w:rPr>
                <w:color w:val="auto"/>
                <w:szCs w:val="18"/>
              </w:rPr>
              <w:t>42</w:t>
            </w:r>
          </w:p>
        </w:tc>
        <w:tc>
          <w:tcPr>
            <w:tcW w:w="709" w:type="dxa"/>
            <w:tcBorders>
              <w:top w:val="nil"/>
              <w:left w:val="nil"/>
              <w:bottom w:val="nil"/>
              <w:right w:val="nil"/>
            </w:tcBorders>
            <w:shd w:val="clear" w:color="auto" w:fill="FCFCFC"/>
            <w:vAlign w:val="center"/>
          </w:tcPr>
          <w:p w14:paraId="2CCFE1FA" w14:textId="77777777" w:rsidR="001B672C" w:rsidRPr="00B54E50" w:rsidRDefault="001B672C" w:rsidP="00B54E50">
            <w:pPr>
              <w:pStyle w:val="MDPI42tablebody"/>
              <w:autoSpaceDE w:val="0"/>
              <w:autoSpaceDN w:val="0"/>
              <w:rPr>
                <w:color w:val="auto"/>
                <w:szCs w:val="18"/>
              </w:rPr>
            </w:pPr>
            <w:r w:rsidRPr="00B54E50">
              <w:rPr>
                <w:color w:val="auto"/>
                <w:szCs w:val="18"/>
              </w:rPr>
              <w:t>38</w:t>
            </w:r>
          </w:p>
        </w:tc>
        <w:tc>
          <w:tcPr>
            <w:tcW w:w="567" w:type="dxa"/>
            <w:tcBorders>
              <w:top w:val="nil"/>
              <w:left w:val="nil"/>
              <w:bottom w:val="nil"/>
              <w:right w:val="nil"/>
            </w:tcBorders>
            <w:shd w:val="clear" w:color="auto" w:fill="FCFCFC"/>
            <w:vAlign w:val="center"/>
          </w:tcPr>
          <w:p w14:paraId="3E1D06FE" w14:textId="77777777" w:rsidR="001B672C" w:rsidRPr="00B54E50" w:rsidRDefault="001B672C" w:rsidP="00B54E50">
            <w:pPr>
              <w:pStyle w:val="MDPI42tablebody"/>
              <w:autoSpaceDE w:val="0"/>
              <w:autoSpaceDN w:val="0"/>
              <w:rPr>
                <w:color w:val="auto"/>
                <w:szCs w:val="18"/>
              </w:rPr>
            </w:pPr>
            <w:r w:rsidRPr="00B54E50">
              <w:rPr>
                <w:color w:val="auto"/>
                <w:szCs w:val="18"/>
              </w:rPr>
              <w:t>4.5</w:t>
            </w:r>
          </w:p>
        </w:tc>
        <w:tc>
          <w:tcPr>
            <w:tcW w:w="1417" w:type="dxa"/>
            <w:tcBorders>
              <w:top w:val="nil"/>
              <w:left w:val="nil"/>
              <w:bottom w:val="nil"/>
              <w:right w:val="nil"/>
            </w:tcBorders>
            <w:shd w:val="clear" w:color="auto" w:fill="FCFCFC"/>
            <w:vAlign w:val="center"/>
          </w:tcPr>
          <w:p w14:paraId="7AA20993" w14:textId="77777777" w:rsidR="001B672C" w:rsidRPr="00B54E50" w:rsidRDefault="001B672C" w:rsidP="00B54E50">
            <w:pPr>
              <w:pStyle w:val="MDPI42tablebody"/>
              <w:autoSpaceDE w:val="0"/>
              <w:autoSpaceDN w:val="0"/>
              <w:rPr>
                <w:color w:val="auto"/>
                <w:szCs w:val="18"/>
              </w:rPr>
            </w:pPr>
            <w:r w:rsidRPr="00B54E50">
              <w:rPr>
                <w:color w:val="auto"/>
                <w:szCs w:val="18"/>
              </w:rPr>
              <w:t>Not controlled</w:t>
            </w:r>
          </w:p>
        </w:tc>
        <w:tc>
          <w:tcPr>
            <w:tcW w:w="709" w:type="dxa"/>
            <w:tcBorders>
              <w:top w:val="nil"/>
              <w:left w:val="nil"/>
              <w:bottom w:val="nil"/>
              <w:right w:val="nil"/>
            </w:tcBorders>
            <w:shd w:val="clear" w:color="auto" w:fill="FCFCFC"/>
            <w:vAlign w:val="center"/>
          </w:tcPr>
          <w:p w14:paraId="35563B4C"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CFCFC"/>
            <w:vAlign w:val="center"/>
          </w:tcPr>
          <w:p w14:paraId="482DA5D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CFCFC"/>
            <w:vAlign w:val="center"/>
          </w:tcPr>
          <w:p w14:paraId="1A4094D5"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CFCFC"/>
            <w:vAlign w:val="center"/>
          </w:tcPr>
          <w:p w14:paraId="3A9A73C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CFCFC"/>
            <w:vAlign w:val="center"/>
          </w:tcPr>
          <w:p w14:paraId="5258E00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3696551D"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CFCFC"/>
            <w:vAlign w:val="center"/>
          </w:tcPr>
          <w:p w14:paraId="404C0FB4" w14:textId="77777777" w:rsidR="001B672C" w:rsidRPr="00B54E50" w:rsidRDefault="001B672C" w:rsidP="00B54E50">
            <w:pPr>
              <w:pStyle w:val="MDPI42tablebody"/>
              <w:autoSpaceDE w:val="0"/>
              <w:autoSpaceDN w:val="0"/>
              <w:rPr>
                <w:color w:val="auto"/>
                <w:szCs w:val="18"/>
              </w:rPr>
            </w:pPr>
            <w:r w:rsidRPr="00B54E50">
              <w:rPr>
                <w:color w:val="auto"/>
                <w:szCs w:val="18"/>
              </w:rPr>
              <w:t>158</w:t>
            </w:r>
          </w:p>
        </w:tc>
        <w:tc>
          <w:tcPr>
            <w:tcW w:w="506" w:type="dxa"/>
            <w:tcBorders>
              <w:top w:val="nil"/>
              <w:left w:val="nil"/>
              <w:bottom w:val="nil"/>
              <w:right w:val="nil"/>
            </w:tcBorders>
            <w:shd w:val="clear" w:color="auto" w:fill="FCFCFC"/>
            <w:vAlign w:val="center"/>
          </w:tcPr>
          <w:p w14:paraId="410341E2"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592ED001" w14:textId="77777777" w:rsidTr="00B54E50">
        <w:trPr>
          <w:jc w:val="center"/>
        </w:trPr>
        <w:tc>
          <w:tcPr>
            <w:tcW w:w="1843" w:type="dxa"/>
            <w:tcBorders>
              <w:top w:val="nil"/>
              <w:left w:val="nil"/>
              <w:bottom w:val="nil"/>
              <w:right w:val="nil"/>
            </w:tcBorders>
            <w:shd w:val="clear" w:color="auto" w:fill="FFFFFF"/>
            <w:vAlign w:val="center"/>
          </w:tcPr>
          <w:p w14:paraId="5D51428A" w14:textId="77777777" w:rsidR="001B672C" w:rsidRPr="00B54E50" w:rsidRDefault="001B672C" w:rsidP="00B54E50">
            <w:pPr>
              <w:pStyle w:val="MDPI42tablebody"/>
              <w:autoSpaceDE w:val="0"/>
              <w:autoSpaceDN w:val="0"/>
              <w:rPr>
                <w:color w:val="auto"/>
                <w:szCs w:val="18"/>
              </w:rPr>
            </w:pPr>
            <w:proofErr w:type="spellStart"/>
            <w:r w:rsidRPr="00B54E50">
              <w:rPr>
                <w:color w:val="auto"/>
                <w:szCs w:val="18"/>
              </w:rPr>
              <w:t>Limongelli</w:t>
            </w:r>
            <w:proofErr w:type="spellEnd"/>
            <w:r w:rsidRPr="00B54E50">
              <w:rPr>
                <w:color w:val="auto"/>
                <w:szCs w:val="18"/>
              </w:rPr>
              <w:t>, 2019 [88]</w:t>
            </w:r>
          </w:p>
        </w:tc>
        <w:tc>
          <w:tcPr>
            <w:tcW w:w="709" w:type="dxa"/>
            <w:tcBorders>
              <w:top w:val="nil"/>
              <w:left w:val="nil"/>
              <w:bottom w:val="nil"/>
              <w:right w:val="nil"/>
            </w:tcBorders>
            <w:shd w:val="clear" w:color="auto" w:fill="FFFFFF"/>
            <w:vAlign w:val="center"/>
          </w:tcPr>
          <w:p w14:paraId="117286FF" w14:textId="77777777" w:rsidR="001B672C" w:rsidRPr="00B54E50" w:rsidRDefault="001B672C" w:rsidP="00B54E50">
            <w:pPr>
              <w:pStyle w:val="MDPI42tablebody"/>
              <w:autoSpaceDE w:val="0"/>
              <w:autoSpaceDN w:val="0"/>
              <w:rPr>
                <w:color w:val="auto"/>
                <w:szCs w:val="18"/>
              </w:rPr>
            </w:pPr>
            <w:r w:rsidRPr="00B54E50">
              <w:rPr>
                <w:color w:val="auto"/>
                <w:szCs w:val="18"/>
              </w:rPr>
              <w:t>51</w:t>
            </w:r>
          </w:p>
        </w:tc>
        <w:tc>
          <w:tcPr>
            <w:tcW w:w="567" w:type="dxa"/>
            <w:tcBorders>
              <w:top w:val="nil"/>
              <w:left w:val="nil"/>
              <w:bottom w:val="nil"/>
              <w:right w:val="nil"/>
            </w:tcBorders>
            <w:shd w:val="clear" w:color="auto" w:fill="FFFFFF"/>
            <w:vAlign w:val="center"/>
          </w:tcPr>
          <w:p w14:paraId="71B19676" w14:textId="77777777" w:rsidR="001B672C" w:rsidRPr="00B54E50" w:rsidRDefault="001B672C" w:rsidP="00B54E50">
            <w:pPr>
              <w:pStyle w:val="MDPI42tablebody"/>
              <w:autoSpaceDE w:val="0"/>
              <w:autoSpaceDN w:val="0"/>
              <w:rPr>
                <w:color w:val="auto"/>
                <w:szCs w:val="18"/>
              </w:rPr>
            </w:pPr>
            <w:r w:rsidRPr="00B54E50">
              <w:rPr>
                <w:color w:val="auto"/>
                <w:szCs w:val="18"/>
              </w:rPr>
              <w:t>39</w:t>
            </w:r>
          </w:p>
        </w:tc>
        <w:tc>
          <w:tcPr>
            <w:tcW w:w="709" w:type="dxa"/>
            <w:tcBorders>
              <w:top w:val="nil"/>
              <w:left w:val="nil"/>
              <w:bottom w:val="nil"/>
              <w:right w:val="nil"/>
            </w:tcBorders>
            <w:shd w:val="clear" w:color="auto" w:fill="FFFFFF"/>
            <w:vAlign w:val="center"/>
          </w:tcPr>
          <w:p w14:paraId="44E6250D" w14:textId="77777777" w:rsidR="001B672C" w:rsidRPr="00B54E50" w:rsidRDefault="001B672C" w:rsidP="00B54E50">
            <w:pPr>
              <w:pStyle w:val="MDPI42tablebody"/>
              <w:autoSpaceDE w:val="0"/>
              <w:autoSpaceDN w:val="0"/>
              <w:rPr>
                <w:color w:val="auto"/>
                <w:szCs w:val="18"/>
              </w:rPr>
            </w:pPr>
            <w:r w:rsidRPr="00B54E50">
              <w:rPr>
                <w:color w:val="auto"/>
                <w:szCs w:val="18"/>
              </w:rPr>
              <w:t>24</w:t>
            </w:r>
          </w:p>
        </w:tc>
        <w:tc>
          <w:tcPr>
            <w:tcW w:w="567" w:type="dxa"/>
            <w:tcBorders>
              <w:top w:val="nil"/>
              <w:left w:val="nil"/>
              <w:bottom w:val="nil"/>
              <w:right w:val="nil"/>
            </w:tcBorders>
            <w:shd w:val="clear" w:color="auto" w:fill="FFFFFF"/>
            <w:vAlign w:val="center"/>
          </w:tcPr>
          <w:p w14:paraId="4C284B0C" w14:textId="77777777" w:rsidR="001B672C" w:rsidRPr="00B54E50" w:rsidRDefault="001B672C" w:rsidP="00B54E50">
            <w:pPr>
              <w:pStyle w:val="MDPI42tablebody"/>
              <w:autoSpaceDE w:val="0"/>
              <w:autoSpaceDN w:val="0"/>
              <w:rPr>
                <w:color w:val="auto"/>
                <w:szCs w:val="18"/>
              </w:rPr>
            </w:pPr>
            <w:r w:rsidRPr="00B54E50">
              <w:rPr>
                <w:color w:val="auto"/>
                <w:szCs w:val="18"/>
              </w:rPr>
              <w:t>1.8</w:t>
            </w:r>
          </w:p>
        </w:tc>
        <w:tc>
          <w:tcPr>
            <w:tcW w:w="1417" w:type="dxa"/>
            <w:tcBorders>
              <w:top w:val="nil"/>
              <w:left w:val="nil"/>
              <w:bottom w:val="nil"/>
              <w:right w:val="nil"/>
            </w:tcBorders>
            <w:shd w:val="clear" w:color="auto" w:fill="FFFFFF"/>
            <w:vAlign w:val="center"/>
          </w:tcPr>
          <w:p w14:paraId="40D3F7B5" w14:textId="77777777" w:rsidR="001B672C" w:rsidRPr="00B54E50" w:rsidRDefault="001B672C" w:rsidP="00B54E50">
            <w:pPr>
              <w:pStyle w:val="MDPI42tablebody"/>
              <w:autoSpaceDE w:val="0"/>
              <w:autoSpaceDN w:val="0"/>
              <w:rPr>
                <w:color w:val="auto"/>
                <w:szCs w:val="18"/>
              </w:rPr>
            </w:pPr>
            <w:r w:rsidRPr="00B54E50">
              <w:rPr>
                <w:color w:val="auto"/>
                <w:szCs w:val="18"/>
              </w:rPr>
              <w:t>Not controlled</w:t>
            </w:r>
          </w:p>
        </w:tc>
        <w:tc>
          <w:tcPr>
            <w:tcW w:w="709" w:type="dxa"/>
            <w:tcBorders>
              <w:top w:val="nil"/>
              <w:left w:val="nil"/>
              <w:bottom w:val="nil"/>
              <w:right w:val="nil"/>
            </w:tcBorders>
            <w:shd w:val="clear" w:color="auto" w:fill="FFFFFF"/>
            <w:vAlign w:val="center"/>
          </w:tcPr>
          <w:p w14:paraId="1ED2A742"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805" w:type="dxa"/>
            <w:tcBorders>
              <w:top w:val="nil"/>
              <w:left w:val="nil"/>
              <w:bottom w:val="nil"/>
              <w:right w:val="nil"/>
            </w:tcBorders>
            <w:shd w:val="clear" w:color="auto" w:fill="FFFFFF"/>
            <w:vAlign w:val="center"/>
          </w:tcPr>
          <w:p w14:paraId="126753E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210AEFAF"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7" w:type="dxa"/>
            <w:tcBorders>
              <w:top w:val="nil"/>
              <w:left w:val="nil"/>
              <w:bottom w:val="nil"/>
              <w:right w:val="nil"/>
            </w:tcBorders>
            <w:shd w:val="clear" w:color="auto" w:fill="FFFFFF"/>
            <w:vAlign w:val="center"/>
          </w:tcPr>
          <w:p w14:paraId="3B99BE7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FFFFF"/>
            <w:vAlign w:val="center"/>
          </w:tcPr>
          <w:p w14:paraId="142D271D"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2342406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3FAC8F99"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6" w:type="dxa"/>
            <w:tcBorders>
              <w:top w:val="nil"/>
              <w:left w:val="nil"/>
              <w:bottom w:val="nil"/>
              <w:right w:val="nil"/>
            </w:tcBorders>
            <w:shd w:val="clear" w:color="auto" w:fill="FFFFFF"/>
            <w:vAlign w:val="center"/>
          </w:tcPr>
          <w:p w14:paraId="5A0DA990"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r>
      <w:tr w:rsidR="00B54E50" w:rsidRPr="00B54E50" w14:paraId="184F9E45" w14:textId="77777777" w:rsidTr="00B54E50">
        <w:trPr>
          <w:jc w:val="center"/>
        </w:trPr>
        <w:tc>
          <w:tcPr>
            <w:tcW w:w="1843" w:type="dxa"/>
            <w:tcBorders>
              <w:top w:val="nil"/>
              <w:left w:val="nil"/>
              <w:bottom w:val="nil"/>
              <w:right w:val="nil"/>
            </w:tcBorders>
            <w:shd w:val="clear" w:color="auto" w:fill="FCFCFC"/>
            <w:vAlign w:val="center"/>
          </w:tcPr>
          <w:p w14:paraId="73EE9645" w14:textId="77777777" w:rsidR="001B672C" w:rsidRPr="00B54E50" w:rsidRDefault="001B672C" w:rsidP="00B54E50">
            <w:pPr>
              <w:pStyle w:val="MDPI42tablebody"/>
              <w:autoSpaceDE w:val="0"/>
              <w:autoSpaceDN w:val="0"/>
              <w:rPr>
                <w:color w:val="auto"/>
              </w:rPr>
            </w:pPr>
            <w:proofErr w:type="spellStart"/>
            <w:r w:rsidRPr="00B54E50">
              <w:rPr>
                <w:color w:val="auto"/>
              </w:rPr>
              <w:t>Magri</w:t>
            </w:r>
            <w:proofErr w:type="spellEnd"/>
            <w:r w:rsidRPr="00B54E50">
              <w:rPr>
                <w:color w:val="auto"/>
              </w:rPr>
              <w:t>, 2016 [61]</w:t>
            </w:r>
          </w:p>
        </w:tc>
        <w:tc>
          <w:tcPr>
            <w:tcW w:w="709" w:type="dxa"/>
            <w:tcBorders>
              <w:top w:val="nil"/>
              <w:left w:val="nil"/>
              <w:bottom w:val="nil"/>
              <w:right w:val="nil"/>
            </w:tcBorders>
            <w:shd w:val="clear" w:color="auto" w:fill="FCFCFC"/>
            <w:vAlign w:val="center"/>
          </w:tcPr>
          <w:p w14:paraId="2307C217" w14:textId="77777777" w:rsidR="001B672C" w:rsidRPr="00B54E50" w:rsidRDefault="001B672C" w:rsidP="00B54E50">
            <w:pPr>
              <w:pStyle w:val="MDPI42tablebody"/>
              <w:autoSpaceDE w:val="0"/>
              <w:autoSpaceDN w:val="0"/>
              <w:rPr>
                <w:color w:val="auto"/>
                <w:szCs w:val="18"/>
              </w:rPr>
            </w:pPr>
            <w:r w:rsidRPr="00B54E50">
              <w:rPr>
                <w:color w:val="auto"/>
                <w:szCs w:val="18"/>
              </w:rPr>
              <w:t>683</w:t>
            </w:r>
          </w:p>
        </w:tc>
        <w:tc>
          <w:tcPr>
            <w:tcW w:w="567" w:type="dxa"/>
            <w:tcBorders>
              <w:top w:val="nil"/>
              <w:left w:val="nil"/>
              <w:bottom w:val="nil"/>
              <w:right w:val="nil"/>
            </w:tcBorders>
            <w:shd w:val="clear" w:color="auto" w:fill="FCFCFC"/>
            <w:vAlign w:val="center"/>
          </w:tcPr>
          <w:p w14:paraId="7BADAAEB" w14:textId="77777777" w:rsidR="001B672C" w:rsidRPr="00B54E50" w:rsidRDefault="001B672C" w:rsidP="00B54E50">
            <w:pPr>
              <w:pStyle w:val="MDPI42tablebody"/>
              <w:autoSpaceDE w:val="0"/>
              <w:autoSpaceDN w:val="0"/>
              <w:rPr>
                <w:color w:val="auto"/>
                <w:szCs w:val="18"/>
              </w:rPr>
            </w:pPr>
            <w:r w:rsidRPr="00B54E50">
              <w:rPr>
                <w:color w:val="auto"/>
                <w:szCs w:val="18"/>
              </w:rPr>
              <w:t>49</w:t>
            </w:r>
          </w:p>
        </w:tc>
        <w:tc>
          <w:tcPr>
            <w:tcW w:w="709" w:type="dxa"/>
            <w:tcBorders>
              <w:top w:val="nil"/>
              <w:left w:val="nil"/>
              <w:bottom w:val="nil"/>
              <w:right w:val="nil"/>
            </w:tcBorders>
            <w:shd w:val="clear" w:color="auto" w:fill="FCFCFC"/>
            <w:vAlign w:val="center"/>
          </w:tcPr>
          <w:p w14:paraId="5082ECE9" w14:textId="77777777" w:rsidR="001B672C" w:rsidRPr="00B54E50" w:rsidRDefault="001B672C" w:rsidP="00B54E50">
            <w:pPr>
              <w:pStyle w:val="MDPI42tablebody"/>
              <w:autoSpaceDE w:val="0"/>
              <w:autoSpaceDN w:val="0"/>
              <w:rPr>
                <w:color w:val="auto"/>
                <w:szCs w:val="18"/>
              </w:rPr>
            </w:pPr>
            <w:r w:rsidRPr="00B54E50">
              <w:rPr>
                <w:color w:val="auto"/>
                <w:szCs w:val="18"/>
              </w:rPr>
              <w:t>31</w:t>
            </w:r>
          </w:p>
        </w:tc>
        <w:tc>
          <w:tcPr>
            <w:tcW w:w="567" w:type="dxa"/>
            <w:tcBorders>
              <w:top w:val="nil"/>
              <w:left w:val="nil"/>
              <w:bottom w:val="nil"/>
              <w:right w:val="nil"/>
            </w:tcBorders>
            <w:shd w:val="clear" w:color="auto" w:fill="FCFCFC"/>
            <w:vAlign w:val="center"/>
          </w:tcPr>
          <w:p w14:paraId="49C78414" w14:textId="77777777" w:rsidR="001B672C" w:rsidRPr="00B54E50" w:rsidRDefault="001B672C" w:rsidP="00B54E50">
            <w:pPr>
              <w:pStyle w:val="MDPI42tablebody"/>
              <w:autoSpaceDE w:val="0"/>
              <w:autoSpaceDN w:val="0"/>
              <w:rPr>
                <w:color w:val="auto"/>
                <w:szCs w:val="18"/>
              </w:rPr>
            </w:pPr>
            <w:r w:rsidRPr="00B54E50">
              <w:rPr>
                <w:color w:val="auto"/>
                <w:szCs w:val="18"/>
              </w:rPr>
              <w:t>3.7</w:t>
            </w:r>
          </w:p>
        </w:tc>
        <w:tc>
          <w:tcPr>
            <w:tcW w:w="1417" w:type="dxa"/>
            <w:tcBorders>
              <w:top w:val="nil"/>
              <w:left w:val="nil"/>
              <w:bottom w:val="nil"/>
              <w:right w:val="nil"/>
            </w:tcBorders>
            <w:shd w:val="clear" w:color="auto" w:fill="FCFCFC"/>
            <w:vAlign w:val="center"/>
          </w:tcPr>
          <w:p w14:paraId="0622E084"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030BD4FD" w14:textId="77777777" w:rsidR="001B672C" w:rsidRPr="00B54E50" w:rsidRDefault="001B672C" w:rsidP="00B54E50">
            <w:pPr>
              <w:pStyle w:val="MDPI42tablebody"/>
              <w:autoSpaceDE w:val="0"/>
              <w:autoSpaceDN w:val="0"/>
              <w:rPr>
                <w:color w:val="auto"/>
                <w:szCs w:val="18"/>
              </w:rPr>
            </w:pPr>
            <w:r w:rsidRPr="00B54E50">
              <w:rPr>
                <w:color w:val="auto"/>
                <w:szCs w:val="18"/>
              </w:rPr>
              <w:t>25</w:t>
            </w:r>
          </w:p>
        </w:tc>
        <w:tc>
          <w:tcPr>
            <w:tcW w:w="805" w:type="dxa"/>
            <w:tcBorders>
              <w:top w:val="nil"/>
              <w:left w:val="nil"/>
              <w:bottom w:val="nil"/>
              <w:right w:val="nil"/>
            </w:tcBorders>
            <w:shd w:val="clear" w:color="auto" w:fill="FCFCFC"/>
            <w:vAlign w:val="center"/>
          </w:tcPr>
          <w:p w14:paraId="77F6A7C0" w14:textId="77777777" w:rsidR="001B672C" w:rsidRPr="00B54E50" w:rsidRDefault="001B672C" w:rsidP="00B54E50">
            <w:pPr>
              <w:pStyle w:val="MDPI42tablebody"/>
              <w:autoSpaceDE w:val="0"/>
              <w:autoSpaceDN w:val="0"/>
              <w:rPr>
                <w:color w:val="auto"/>
                <w:szCs w:val="18"/>
              </w:rPr>
            </w:pPr>
            <w:r w:rsidRPr="00B54E50">
              <w:rPr>
                <w:color w:val="auto"/>
                <w:szCs w:val="18"/>
              </w:rPr>
              <w:t>18</w:t>
            </w:r>
          </w:p>
        </w:tc>
        <w:tc>
          <w:tcPr>
            <w:tcW w:w="552" w:type="dxa"/>
            <w:tcBorders>
              <w:top w:val="nil"/>
              <w:left w:val="nil"/>
              <w:bottom w:val="nil"/>
              <w:right w:val="nil"/>
            </w:tcBorders>
            <w:shd w:val="clear" w:color="auto" w:fill="FCFCFC"/>
            <w:vAlign w:val="center"/>
          </w:tcPr>
          <w:p w14:paraId="4C8E79A5"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CFCFC"/>
            <w:vAlign w:val="center"/>
          </w:tcPr>
          <w:p w14:paraId="10DD9A51" w14:textId="77777777" w:rsidR="001B672C" w:rsidRPr="00B54E50" w:rsidRDefault="001B672C" w:rsidP="00B54E50">
            <w:pPr>
              <w:pStyle w:val="MDPI42tablebody"/>
              <w:autoSpaceDE w:val="0"/>
              <w:autoSpaceDN w:val="0"/>
              <w:rPr>
                <w:color w:val="auto"/>
                <w:szCs w:val="18"/>
              </w:rPr>
            </w:pPr>
            <w:r w:rsidRPr="00B54E50">
              <w:rPr>
                <w:color w:val="auto"/>
                <w:szCs w:val="18"/>
              </w:rPr>
              <w:t>4</w:t>
            </w:r>
          </w:p>
        </w:tc>
        <w:tc>
          <w:tcPr>
            <w:tcW w:w="496" w:type="dxa"/>
            <w:tcBorders>
              <w:top w:val="nil"/>
              <w:left w:val="nil"/>
              <w:bottom w:val="nil"/>
              <w:right w:val="nil"/>
            </w:tcBorders>
            <w:shd w:val="clear" w:color="auto" w:fill="FCFCFC"/>
            <w:vAlign w:val="center"/>
          </w:tcPr>
          <w:p w14:paraId="2075D41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63556452"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CFCFC"/>
            <w:vAlign w:val="center"/>
          </w:tcPr>
          <w:p w14:paraId="5DF676F4"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6" w:type="dxa"/>
            <w:tcBorders>
              <w:top w:val="nil"/>
              <w:left w:val="nil"/>
              <w:bottom w:val="nil"/>
              <w:right w:val="nil"/>
            </w:tcBorders>
            <w:shd w:val="clear" w:color="auto" w:fill="FCFCFC"/>
            <w:vAlign w:val="center"/>
          </w:tcPr>
          <w:p w14:paraId="533E4E53"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3250EF97" w14:textId="77777777" w:rsidTr="00B54E50">
        <w:trPr>
          <w:jc w:val="center"/>
        </w:trPr>
        <w:tc>
          <w:tcPr>
            <w:tcW w:w="1843" w:type="dxa"/>
            <w:tcBorders>
              <w:top w:val="nil"/>
              <w:left w:val="nil"/>
              <w:bottom w:val="nil"/>
              <w:right w:val="nil"/>
            </w:tcBorders>
            <w:shd w:val="clear" w:color="auto" w:fill="FFFFFF"/>
            <w:vAlign w:val="center"/>
          </w:tcPr>
          <w:p w14:paraId="417787EC" w14:textId="77777777" w:rsidR="001B672C" w:rsidRPr="00B54E50" w:rsidRDefault="001B672C" w:rsidP="00B54E50">
            <w:pPr>
              <w:pStyle w:val="MDPI42tablebody"/>
              <w:autoSpaceDE w:val="0"/>
              <w:autoSpaceDN w:val="0"/>
              <w:rPr>
                <w:color w:val="auto"/>
              </w:rPr>
            </w:pPr>
            <w:proofErr w:type="spellStart"/>
            <w:r w:rsidRPr="00B54E50">
              <w:rPr>
                <w:color w:val="auto"/>
              </w:rPr>
              <w:t>Magri</w:t>
            </w:r>
            <w:proofErr w:type="spellEnd"/>
            <w:r w:rsidRPr="00B54E50">
              <w:rPr>
                <w:color w:val="auto"/>
              </w:rPr>
              <w:t>, 2016 [89]</w:t>
            </w:r>
          </w:p>
        </w:tc>
        <w:tc>
          <w:tcPr>
            <w:tcW w:w="709" w:type="dxa"/>
            <w:tcBorders>
              <w:top w:val="nil"/>
              <w:left w:val="nil"/>
              <w:bottom w:val="nil"/>
              <w:right w:val="nil"/>
            </w:tcBorders>
            <w:shd w:val="clear" w:color="auto" w:fill="FFFFFF"/>
            <w:vAlign w:val="center"/>
          </w:tcPr>
          <w:p w14:paraId="21A62DD2" w14:textId="77777777" w:rsidR="001B672C" w:rsidRPr="00B54E50" w:rsidRDefault="001B672C" w:rsidP="00B54E50">
            <w:pPr>
              <w:pStyle w:val="MDPI42tablebody"/>
              <w:autoSpaceDE w:val="0"/>
              <w:autoSpaceDN w:val="0"/>
              <w:rPr>
                <w:color w:val="auto"/>
                <w:szCs w:val="18"/>
              </w:rPr>
            </w:pPr>
            <w:r w:rsidRPr="00B54E50">
              <w:rPr>
                <w:color w:val="auto"/>
                <w:szCs w:val="18"/>
              </w:rPr>
              <w:t>620</w:t>
            </w:r>
          </w:p>
        </w:tc>
        <w:tc>
          <w:tcPr>
            <w:tcW w:w="567" w:type="dxa"/>
            <w:tcBorders>
              <w:top w:val="nil"/>
              <w:left w:val="nil"/>
              <w:bottom w:val="nil"/>
              <w:right w:val="nil"/>
            </w:tcBorders>
            <w:shd w:val="clear" w:color="auto" w:fill="FFFFFF"/>
            <w:vAlign w:val="center"/>
          </w:tcPr>
          <w:p w14:paraId="7F3896E5" w14:textId="77777777" w:rsidR="001B672C" w:rsidRPr="00B54E50" w:rsidRDefault="001B672C" w:rsidP="00B54E50">
            <w:pPr>
              <w:pStyle w:val="MDPI42tablebody"/>
              <w:autoSpaceDE w:val="0"/>
              <w:autoSpaceDN w:val="0"/>
              <w:rPr>
                <w:color w:val="auto"/>
                <w:szCs w:val="18"/>
              </w:rPr>
            </w:pPr>
            <w:r w:rsidRPr="00B54E50">
              <w:rPr>
                <w:color w:val="auto"/>
                <w:szCs w:val="18"/>
              </w:rPr>
              <w:t>49</w:t>
            </w:r>
          </w:p>
        </w:tc>
        <w:tc>
          <w:tcPr>
            <w:tcW w:w="709" w:type="dxa"/>
            <w:tcBorders>
              <w:top w:val="nil"/>
              <w:left w:val="nil"/>
              <w:bottom w:val="nil"/>
              <w:right w:val="nil"/>
            </w:tcBorders>
            <w:shd w:val="clear" w:color="auto" w:fill="FFFFFF"/>
            <w:vAlign w:val="center"/>
          </w:tcPr>
          <w:p w14:paraId="3901C594" w14:textId="77777777" w:rsidR="001B672C" w:rsidRPr="00B54E50" w:rsidRDefault="001B672C" w:rsidP="00B54E50">
            <w:pPr>
              <w:pStyle w:val="MDPI42tablebody"/>
              <w:autoSpaceDE w:val="0"/>
              <w:autoSpaceDN w:val="0"/>
              <w:rPr>
                <w:color w:val="auto"/>
                <w:szCs w:val="18"/>
              </w:rPr>
            </w:pPr>
            <w:r w:rsidRPr="00B54E50">
              <w:rPr>
                <w:color w:val="auto"/>
                <w:szCs w:val="18"/>
              </w:rPr>
              <w:t>31</w:t>
            </w:r>
          </w:p>
        </w:tc>
        <w:tc>
          <w:tcPr>
            <w:tcW w:w="567" w:type="dxa"/>
            <w:tcBorders>
              <w:top w:val="nil"/>
              <w:left w:val="nil"/>
              <w:bottom w:val="nil"/>
              <w:right w:val="nil"/>
            </w:tcBorders>
            <w:shd w:val="clear" w:color="auto" w:fill="FFFFFF"/>
            <w:vAlign w:val="center"/>
          </w:tcPr>
          <w:p w14:paraId="1405984F" w14:textId="77777777" w:rsidR="001B672C" w:rsidRPr="00B54E50" w:rsidRDefault="001B672C" w:rsidP="00B54E50">
            <w:pPr>
              <w:pStyle w:val="MDPI42tablebody"/>
              <w:autoSpaceDE w:val="0"/>
              <w:autoSpaceDN w:val="0"/>
              <w:rPr>
                <w:color w:val="auto"/>
                <w:szCs w:val="18"/>
              </w:rPr>
            </w:pPr>
            <w:r w:rsidRPr="00B54E50">
              <w:rPr>
                <w:color w:val="auto"/>
                <w:szCs w:val="18"/>
              </w:rPr>
              <w:t>3.8</w:t>
            </w:r>
          </w:p>
        </w:tc>
        <w:tc>
          <w:tcPr>
            <w:tcW w:w="1417" w:type="dxa"/>
            <w:tcBorders>
              <w:top w:val="nil"/>
              <w:left w:val="nil"/>
              <w:bottom w:val="nil"/>
              <w:right w:val="nil"/>
            </w:tcBorders>
            <w:shd w:val="clear" w:color="auto" w:fill="FFFFFF"/>
            <w:vAlign w:val="center"/>
          </w:tcPr>
          <w:p w14:paraId="35B0C480" w14:textId="77777777" w:rsidR="001B672C" w:rsidRPr="00B54E50" w:rsidRDefault="001B672C" w:rsidP="00B54E50">
            <w:pPr>
              <w:pStyle w:val="MDPI42tablebody"/>
              <w:autoSpaceDE w:val="0"/>
              <w:autoSpaceDN w:val="0"/>
              <w:rPr>
                <w:color w:val="auto"/>
                <w:szCs w:val="18"/>
              </w:rPr>
            </w:pPr>
            <w:r w:rsidRPr="00B54E50">
              <w:rPr>
                <w:color w:val="auto"/>
                <w:szCs w:val="18"/>
              </w:rPr>
              <w:t>Not controlled</w:t>
            </w:r>
          </w:p>
        </w:tc>
        <w:tc>
          <w:tcPr>
            <w:tcW w:w="709" w:type="dxa"/>
            <w:tcBorders>
              <w:top w:val="nil"/>
              <w:left w:val="nil"/>
              <w:bottom w:val="nil"/>
              <w:right w:val="nil"/>
            </w:tcBorders>
            <w:shd w:val="clear" w:color="auto" w:fill="FFFFFF"/>
            <w:vAlign w:val="center"/>
          </w:tcPr>
          <w:p w14:paraId="596F2602" w14:textId="77777777" w:rsidR="001B672C" w:rsidRPr="00B54E50" w:rsidRDefault="001B672C" w:rsidP="00B54E50">
            <w:pPr>
              <w:pStyle w:val="MDPI42tablebody"/>
              <w:autoSpaceDE w:val="0"/>
              <w:autoSpaceDN w:val="0"/>
              <w:rPr>
                <w:color w:val="auto"/>
                <w:szCs w:val="18"/>
              </w:rPr>
            </w:pPr>
            <w:r w:rsidRPr="00B54E50">
              <w:rPr>
                <w:color w:val="auto"/>
                <w:szCs w:val="18"/>
              </w:rPr>
              <w:t>25</w:t>
            </w:r>
          </w:p>
        </w:tc>
        <w:tc>
          <w:tcPr>
            <w:tcW w:w="805" w:type="dxa"/>
            <w:tcBorders>
              <w:top w:val="nil"/>
              <w:left w:val="nil"/>
              <w:bottom w:val="nil"/>
              <w:right w:val="nil"/>
            </w:tcBorders>
            <w:shd w:val="clear" w:color="auto" w:fill="FFFFFF"/>
            <w:vAlign w:val="center"/>
          </w:tcPr>
          <w:p w14:paraId="18120DD2" w14:textId="77777777" w:rsidR="001B672C" w:rsidRPr="00B54E50" w:rsidRDefault="001B672C" w:rsidP="00B54E50">
            <w:pPr>
              <w:pStyle w:val="MDPI42tablebody"/>
              <w:autoSpaceDE w:val="0"/>
              <w:autoSpaceDN w:val="0"/>
              <w:rPr>
                <w:color w:val="auto"/>
                <w:szCs w:val="18"/>
              </w:rPr>
            </w:pPr>
            <w:r w:rsidRPr="00B54E50">
              <w:rPr>
                <w:color w:val="auto"/>
                <w:szCs w:val="18"/>
              </w:rPr>
              <w:t>18</w:t>
            </w:r>
          </w:p>
        </w:tc>
        <w:tc>
          <w:tcPr>
            <w:tcW w:w="552" w:type="dxa"/>
            <w:tcBorders>
              <w:top w:val="nil"/>
              <w:left w:val="nil"/>
              <w:bottom w:val="nil"/>
              <w:right w:val="nil"/>
            </w:tcBorders>
            <w:shd w:val="clear" w:color="auto" w:fill="FFFFFF"/>
            <w:vAlign w:val="center"/>
          </w:tcPr>
          <w:p w14:paraId="07A8E4C5" w14:textId="77777777" w:rsidR="001B672C" w:rsidRPr="00B54E50" w:rsidRDefault="001B672C" w:rsidP="00B54E50">
            <w:pPr>
              <w:pStyle w:val="MDPI42tablebody"/>
              <w:autoSpaceDE w:val="0"/>
              <w:autoSpaceDN w:val="0"/>
              <w:rPr>
                <w:color w:val="auto"/>
                <w:szCs w:val="18"/>
              </w:rPr>
            </w:pPr>
            <w:r w:rsidRPr="00B54E50">
              <w:rPr>
                <w:color w:val="auto"/>
                <w:szCs w:val="18"/>
              </w:rPr>
              <w:t>4</w:t>
            </w:r>
          </w:p>
        </w:tc>
        <w:tc>
          <w:tcPr>
            <w:tcW w:w="507" w:type="dxa"/>
            <w:tcBorders>
              <w:top w:val="nil"/>
              <w:left w:val="nil"/>
              <w:bottom w:val="nil"/>
              <w:right w:val="nil"/>
            </w:tcBorders>
            <w:shd w:val="clear" w:color="auto" w:fill="FFFFFF"/>
            <w:vAlign w:val="center"/>
          </w:tcPr>
          <w:p w14:paraId="755D04DF" w14:textId="77777777" w:rsidR="001B672C" w:rsidRPr="00B54E50" w:rsidRDefault="001B672C" w:rsidP="00B54E50">
            <w:pPr>
              <w:pStyle w:val="MDPI42tablebody"/>
              <w:autoSpaceDE w:val="0"/>
              <w:autoSpaceDN w:val="0"/>
              <w:rPr>
                <w:color w:val="auto"/>
                <w:szCs w:val="18"/>
              </w:rPr>
            </w:pPr>
            <w:r w:rsidRPr="00B54E50">
              <w:rPr>
                <w:color w:val="auto"/>
                <w:szCs w:val="18"/>
              </w:rPr>
              <w:t>3</w:t>
            </w:r>
          </w:p>
        </w:tc>
        <w:tc>
          <w:tcPr>
            <w:tcW w:w="496" w:type="dxa"/>
            <w:tcBorders>
              <w:top w:val="nil"/>
              <w:left w:val="nil"/>
              <w:bottom w:val="nil"/>
              <w:right w:val="nil"/>
            </w:tcBorders>
            <w:shd w:val="clear" w:color="auto" w:fill="FFFFFF"/>
            <w:vAlign w:val="center"/>
          </w:tcPr>
          <w:p w14:paraId="0C90DEC5" w14:textId="77777777" w:rsidR="001B672C" w:rsidRPr="00B54E50" w:rsidRDefault="001B672C" w:rsidP="00B54E50">
            <w:pPr>
              <w:pStyle w:val="MDPI42tablebody"/>
              <w:autoSpaceDE w:val="0"/>
              <w:autoSpaceDN w:val="0"/>
              <w:rPr>
                <w:color w:val="auto"/>
                <w:szCs w:val="18"/>
              </w:rPr>
            </w:pPr>
            <w:r w:rsidRPr="00B54E50">
              <w:rPr>
                <w:color w:val="auto"/>
                <w:szCs w:val="18"/>
              </w:rPr>
              <w:t>3</w:t>
            </w:r>
          </w:p>
        </w:tc>
        <w:tc>
          <w:tcPr>
            <w:tcW w:w="502" w:type="dxa"/>
            <w:tcBorders>
              <w:top w:val="nil"/>
              <w:left w:val="nil"/>
              <w:bottom w:val="nil"/>
              <w:right w:val="nil"/>
            </w:tcBorders>
            <w:shd w:val="clear" w:color="auto" w:fill="FFFFFF"/>
            <w:vAlign w:val="center"/>
          </w:tcPr>
          <w:p w14:paraId="2CBED381" w14:textId="77777777" w:rsidR="001B672C" w:rsidRPr="00B54E50" w:rsidRDefault="001B672C" w:rsidP="00B54E50">
            <w:pPr>
              <w:pStyle w:val="MDPI42tablebody"/>
              <w:autoSpaceDE w:val="0"/>
              <w:autoSpaceDN w:val="0"/>
              <w:rPr>
                <w:color w:val="auto"/>
                <w:szCs w:val="18"/>
              </w:rPr>
            </w:pPr>
            <w:r w:rsidRPr="00B54E50">
              <w:rPr>
                <w:color w:val="auto"/>
                <w:szCs w:val="18"/>
              </w:rPr>
              <w:t>5</w:t>
            </w:r>
          </w:p>
        </w:tc>
        <w:tc>
          <w:tcPr>
            <w:tcW w:w="576" w:type="dxa"/>
            <w:tcBorders>
              <w:top w:val="nil"/>
              <w:left w:val="nil"/>
              <w:bottom w:val="nil"/>
              <w:right w:val="nil"/>
            </w:tcBorders>
            <w:shd w:val="clear" w:color="auto" w:fill="FFFFFF"/>
            <w:vAlign w:val="center"/>
          </w:tcPr>
          <w:p w14:paraId="2FC4CE96" w14:textId="77777777" w:rsidR="001B672C" w:rsidRPr="00B54E50" w:rsidRDefault="001B672C" w:rsidP="00B54E50">
            <w:pPr>
              <w:pStyle w:val="MDPI42tablebody"/>
              <w:autoSpaceDE w:val="0"/>
              <w:autoSpaceDN w:val="0"/>
              <w:rPr>
                <w:color w:val="auto"/>
                <w:szCs w:val="18"/>
              </w:rPr>
            </w:pPr>
            <w:r w:rsidRPr="00B54E50">
              <w:rPr>
                <w:color w:val="auto"/>
                <w:szCs w:val="18"/>
              </w:rPr>
              <w:t>36</w:t>
            </w:r>
          </w:p>
        </w:tc>
        <w:tc>
          <w:tcPr>
            <w:tcW w:w="506" w:type="dxa"/>
            <w:tcBorders>
              <w:top w:val="nil"/>
              <w:left w:val="nil"/>
              <w:bottom w:val="nil"/>
              <w:right w:val="nil"/>
            </w:tcBorders>
            <w:shd w:val="clear" w:color="auto" w:fill="FFFFFF"/>
            <w:vAlign w:val="center"/>
          </w:tcPr>
          <w:p w14:paraId="2C36185A" w14:textId="77777777" w:rsidR="001B672C" w:rsidRPr="00B54E50" w:rsidRDefault="001B672C" w:rsidP="00B54E50">
            <w:pPr>
              <w:pStyle w:val="MDPI42tablebody"/>
              <w:autoSpaceDE w:val="0"/>
              <w:autoSpaceDN w:val="0"/>
              <w:rPr>
                <w:color w:val="auto"/>
                <w:szCs w:val="18"/>
              </w:rPr>
            </w:pPr>
            <w:r w:rsidRPr="00B54E50">
              <w:rPr>
                <w:color w:val="auto"/>
                <w:szCs w:val="18"/>
              </w:rPr>
              <w:t>50</w:t>
            </w:r>
          </w:p>
        </w:tc>
      </w:tr>
      <w:tr w:rsidR="00B54E50" w:rsidRPr="00B54E50" w14:paraId="006107ED" w14:textId="77777777" w:rsidTr="00B54E50">
        <w:trPr>
          <w:jc w:val="center"/>
        </w:trPr>
        <w:tc>
          <w:tcPr>
            <w:tcW w:w="1843" w:type="dxa"/>
            <w:tcBorders>
              <w:top w:val="nil"/>
              <w:left w:val="nil"/>
              <w:bottom w:val="nil"/>
              <w:right w:val="nil"/>
            </w:tcBorders>
            <w:shd w:val="clear" w:color="auto" w:fill="FCFCFC"/>
            <w:vAlign w:val="center"/>
          </w:tcPr>
          <w:p w14:paraId="660444DA" w14:textId="77777777" w:rsidR="001B672C" w:rsidRPr="00B54E50" w:rsidRDefault="001B672C" w:rsidP="00B54E50">
            <w:pPr>
              <w:pStyle w:val="MDPI42tablebody"/>
              <w:autoSpaceDE w:val="0"/>
              <w:autoSpaceDN w:val="0"/>
              <w:rPr>
                <w:color w:val="auto"/>
              </w:rPr>
            </w:pPr>
            <w:proofErr w:type="spellStart"/>
            <w:r w:rsidRPr="00B54E50">
              <w:rPr>
                <w:color w:val="auto"/>
              </w:rPr>
              <w:t>Magri</w:t>
            </w:r>
            <w:proofErr w:type="spellEnd"/>
            <w:r w:rsidRPr="00B54E50">
              <w:rPr>
                <w:color w:val="auto"/>
              </w:rPr>
              <w:t xml:space="preserve">, </w:t>
            </w:r>
            <w:r w:rsidRPr="00B54E50">
              <w:rPr>
                <w:color w:val="auto"/>
                <w:szCs w:val="18"/>
              </w:rPr>
              <w:t>2018 [56]</w:t>
            </w:r>
          </w:p>
        </w:tc>
        <w:tc>
          <w:tcPr>
            <w:tcW w:w="709" w:type="dxa"/>
            <w:tcBorders>
              <w:top w:val="nil"/>
              <w:left w:val="nil"/>
              <w:bottom w:val="nil"/>
              <w:right w:val="nil"/>
            </w:tcBorders>
            <w:shd w:val="clear" w:color="auto" w:fill="FCFCFC"/>
            <w:vAlign w:val="center"/>
          </w:tcPr>
          <w:p w14:paraId="4CD24699" w14:textId="77777777" w:rsidR="001B672C" w:rsidRPr="00B54E50" w:rsidRDefault="001B672C" w:rsidP="00B54E50">
            <w:pPr>
              <w:pStyle w:val="MDPI42tablebody"/>
              <w:autoSpaceDE w:val="0"/>
              <w:autoSpaceDN w:val="0"/>
              <w:rPr>
                <w:color w:val="auto"/>
                <w:szCs w:val="18"/>
              </w:rPr>
            </w:pPr>
            <w:r w:rsidRPr="00B54E50">
              <w:rPr>
                <w:color w:val="auto"/>
                <w:szCs w:val="18"/>
              </w:rPr>
              <w:t>767</w:t>
            </w:r>
          </w:p>
        </w:tc>
        <w:tc>
          <w:tcPr>
            <w:tcW w:w="567" w:type="dxa"/>
            <w:tcBorders>
              <w:top w:val="nil"/>
              <w:left w:val="nil"/>
              <w:bottom w:val="nil"/>
              <w:right w:val="nil"/>
            </w:tcBorders>
            <w:shd w:val="clear" w:color="auto" w:fill="FCFCFC"/>
            <w:vAlign w:val="center"/>
          </w:tcPr>
          <w:p w14:paraId="39EB2889" w14:textId="77777777" w:rsidR="001B672C" w:rsidRPr="00B54E50" w:rsidRDefault="001B672C" w:rsidP="00B54E50">
            <w:pPr>
              <w:pStyle w:val="MDPI42tablebody"/>
              <w:autoSpaceDE w:val="0"/>
              <w:autoSpaceDN w:val="0"/>
              <w:rPr>
                <w:color w:val="auto"/>
                <w:szCs w:val="18"/>
              </w:rPr>
            </w:pPr>
            <w:r w:rsidRPr="00B54E50">
              <w:rPr>
                <w:color w:val="auto"/>
                <w:szCs w:val="18"/>
              </w:rPr>
              <w:t>48</w:t>
            </w:r>
          </w:p>
        </w:tc>
        <w:tc>
          <w:tcPr>
            <w:tcW w:w="709" w:type="dxa"/>
            <w:tcBorders>
              <w:top w:val="nil"/>
              <w:left w:val="nil"/>
              <w:bottom w:val="nil"/>
              <w:right w:val="nil"/>
            </w:tcBorders>
            <w:shd w:val="clear" w:color="auto" w:fill="FCFCFC"/>
            <w:vAlign w:val="center"/>
          </w:tcPr>
          <w:p w14:paraId="0D7ED827" w14:textId="77777777" w:rsidR="001B672C" w:rsidRPr="00B54E50" w:rsidRDefault="001B672C" w:rsidP="00B54E50">
            <w:pPr>
              <w:pStyle w:val="MDPI42tablebody"/>
              <w:autoSpaceDE w:val="0"/>
              <w:autoSpaceDN w:val="0"/>
              <w:rPr>
                <w:color w:val="auto"/>
                <w:szCs w:val="18"/>
              </w:rPr>
            </w:pPr>
            <w:r w:rsidRPr="00B54E50">
              <w:rPr>
                <w:color w:val="auto"/>
                <w:szCs w:val="18"/>
              </w:rPr>
              <w:t>32</w:t>
            </w:r>
          </w:p>
        </w:tc>
        <w:tc>
          <w:tcPr>
            <w:tcW w:w="567" w:type="dxa"/>
            <w:tcBorders>
              <w:top w:val="nil"/>
              <w:left w:val="nil"/>
              <w:bottom w:val="nil"/>
              <w:right w:val="nil"/>
            </w:tcBorders>
            <w:shd w:val="clear" w:color="auto" w:fill="FCFCFC"/>
            <w:vAlign w:val="center"/>
          </w:tcPr>
          <w:p w14:paraId="5637157A" w14:textId="77777777" w:rsidR="001B672C" w:rsidRPr="00B54E50" w:rsidRDefault="001B672C" w:rsidP="00B54E50">
            <w:pPr>
              <w:pStyle w:val="MDPI42tablebody"/>
              <w:autoSpaceDE w:val="0"/>
              <w:autoSpaceDN w:val="0"/>
              <w:rPr>
                <w:color w:val="auto"/>
                <w:szCs w:val="18"/>
              </w:rPr>
            </w:pPr>
            <w:r w:rsidRPr="00B54E50">
              <w:rPr>
                <w:color w:val="auto"/>
                <w:szCs w:val="18"/>
              </w:rPr>
              <w:t>4.2</w:t>
            </w:r>
          </w:p>
        </w:tc>
        <w:tc>
          <w:tcPr>
            <w:tcW w:w="1417" w:type="dxa"/>
            <w:tcBorders>
              <w:top w:val="nil"/>
              <w:left w:val="nil"/>
              <w:bottom w:val="nil"/>
              <w:right w:val="nil"/>
            </w:tcBorders>
            <w:shd w:val="clear" w:color="auto" w:fill="FCFCFC"/>
            <w:vAlign w:val="center"/>
          </w:tcPr>
          <w:p w14:paraId="1A3FC3D6"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1B48AC68" w14:textId="77777777" w:rsidR="001B672C" w:rsidRPr="00B54E50" w:rsidRDefault="001B672C" w:rsidP="00B54E50">
            <w:pPr>
              <w:pStyle w:val="MDPI42tablebody"/>
              <w:autoSpaceDE w:val="0"/>
              <w:autoSpaceDN w:val="0"/>
              <w:rPr>
                <w:color w:val="auto"/>
                <w:szCs w:val="18"/>
              </w:rPr>
            </w:pPr>
            <w:r w:rsidRPr="00B54E50">
              <w:rPr>
                <w:color w:val="auto"/>
                <w:szCs w:val="18"/>
              </w:rPr>
              <w:t>23</w:t>
            </w:r>
          </w:p>
        </w:tc>
        <w:tc>
          <w:tcPr>
            <w:tcW w:w="805" w:type="dxa"/>
            <w:tcBorders>
              <w:top w:val="nil"/>
              <w:left w:val="nil"/>
              <w:bottom w:val="nil"/>
              <w:right w:val="nil"/>
            </w:tcBorders>
            <w:shd w:val="clear" w:color="auto" w:fill="FCFCFC"/>
            <w:vAlign w:val="center"/>
          </w:tcPr>
          <w:p w14:paraId="4E0AC615" w14:textId="77777777" w:rsidR="001B672C" w:rsidRPr="00B54E50" w:rsidRDefault="001B672C" w:rsidP="00B54E50">
            <w:pPr>
              <w:pStyle w:val="MDPI42tablebody"/>
              <w:autoSpaceDE w:val="0"/>
              <w:autoSpaceDN w:val="0"/>
              <w:rPr>
                <w:color w:val="auto"/>
                <w:szCs w:val="18"/>
              </w:rPr>
            </w:pPr>
            <w:r w:rsidRPr="00B54E50">
              <w:rPr>
                <w:color w:val="auto"/>
                <w:szCs w:val="18"/>
              </w:rPr>
              <w:t>14</w:t>
            </w:r>
          </w:p>
        </w:tc>
        <w:tc>
          <w:tcPr>
            <w:tcW w:w="552" w:type="dxa"/>
            <w:tcBorders>
              <w:top w:val="nil"/>
              <w:left w:val="nil"/>
              <w:bottom w:val="nil"/>
              <w:right w:val="nil"/>
            </w:tcBorders>
            <w:shd w:val="clear" w:color="auto" w:fill="FCFCFC"/>
            <w:vAlign w:val="center"/>
          </w:tcPr>
          <w:p w14:paraId="0E5DE53B" w14:textId="77777777" w:rsidR="001B672C" w:rsidRPr="00B54E50" w:rsidRDefault="001B672C" w:rsidP="00B54E50">
            <w:pPr>
              <w:pStyle w:val="MDPI42tablebody"/>
              <w:autoSpaceDE w:val="0"/>
              <w:autoSpaceDN w:val="0"/>
              <w:rPr>
                <w:color w:val="auto"/>
                <w:szCs w:val="18"/>
              </w:rPr>
            </w:pPr>
            <w:r w:rsidRPr="00B54E50">
              <w:rPr>
                <w:color w:val="auto"/>
                <w:szCs w:val="18"/>
              </w:rPr>
              <w:t>4</w:t>
            </w:r>
          </w:p>
        </w:tc>
        <w:tc>
          <w:tcPr>
            <w:tcW w:w="507" w:type="dxa"/>
            <w:tcBorders>
              <w:top w:val="nil"/>
              <w:left w:val="nil"/>
              <w:bottom w:val="nil"/>
              <w:right w:val="nil"/>
            </w:tcBorders>
            <w:shd w:val="clear" w:color="auto" w:fill="FCFCFC"/>
            <w:vAlign w:val="center"/>
          </w:tcPr>
          <w:p w14:paraId="432FB47E" w14:textId="77777777" w:rsidR="001B672C" w:rsidRPr="00B54E50" w:rsidRDefault="001B672C" w:rsidP="00B54E50">
            <w:pPr>
              <w:pStyle w:val="MDPI42tablebody"/>
              <w:autoSpaceDE w:val="0"/>
              <w:autoSpaceDN w:val="0"/>
              <w:rPr>
                <w:color w:val="auto"/>
                <w:szCs w:val="18"/>
              </w:rPr>
            </w:pPr>
            <w:r w:rsidRPr="00B54E50">
              <w:rPr>
                <w:color w:val="auto"/>
                <w:szCs w:val="18"/>
              </w:rPr>
              <w:t>5</w:t>
            </w:r>
          </w:p>
        </w:tc>
        <w:tc>
          <w:tcPr>
            <w:tcW w:w="496" w:type="dxa"/>
            <w:tcBorders>
              <w:top w:val="nil"/>
              <w:left w:val="nil"/>
              <w:bottom w:val="nil"/>
              <w:right w:val="nil"/>
            </w:tcBorders>
            <w:shd w:val="clear" w:color="auto" w:fill="FCFCFC"/>
            <w:vAlign w:val="center"/>
          </w:tcPr>
          <w:p w14:paraId="182C181F" w14:textId="77777777" w:rsidR="001B672C" w:rsidRPr="00B54E50" w:rsidRDefault="001B672C" w:rsidP="00B54E50">
            <w:pPr>
              <w:pStyle w:val="MDPI42tablebody"/>
              <w:autoSpaceDE w:val="0"/>
              <w:autoSpaceDN w:val="0"/>
              <w:rPr>
                <w:color w:val="auto"/>
                <w:szCs w:val="18"/>
              </w:rPr>
            </w:pPr>
            <w:r w:rsidRPr="00B54E50">
              <w:rPr>
                <w:color w:val="auto"/>
                <w:szCs w:val="18"/>
              </w:rPr>
              <w:t>3</w:t>
            </w:r>
          </w:p>
        </w:tc>
        <w:tc>
          <w:tcPr>
            <w:tcW w:w="502" w:type="dxa"/>
            <w:tcBorders>
              <w:top w:val="nil"/>
              <w:left w:val="nil"/>
              <w:bottom w:val="nil"/>
              <w:right w:val="nil"/>
            </w:tcBorders>
            <w:shd w:val="clear" w:color="auto" w:fill="FCFCFC"/>
            <w:vAlign w:val="center"/>
          </w:tcPr>
          <w:p w14:paraId="6EA628A3" w14:textId="77777777" w:rsidR="001B672C" w:rsidRPr="00B54E50" w:rsidRDefault="001B672C" w:rsidP="00B54E50">
            <w:pPr>
              <w:pStyle w:val="MDPI42tablebody"/>
              <w:autoSpaceDE w:val="0"/>
              <w:autoSpaceDN w:val="0"/>
              <w:rPr>
                <w:color w:val="auto"/>
                <w:szCs w:val="18"/>
              </w:rPr>
            </w:pPr>
            <w:r w:rsidRPr="00B54E50">
              <w:rPr>
                <w:color w:val="auto"/>
                <w:szCs w:val="18"/>
              </w:rPr>
              <w:t>5</w:t>
            </w:r>
          </w:p>
        </w:tc>
        <w:tc>
          <w:tcPr>
            <w:tcW w:w="576" w:type="dxa"/>
            <w:tcBorders>
              <w:top w:val="nil"/>
              <w:left w:val="nil"/>
              <w:bottom w:val="nil"/>
              <w:right w:val="nil"/>
            </w:tcBorders>
            <w:shd w:val="clear" w:color="auto" w:fill="FCFCFC"/>
            <w:vAlign w:val="center"/>
          </w:tcPr>
          <w:p w14:paraId="7771EB13" w14:textId="77777777" w:rsidR="001B672C" w:rsidRPr="00B54E50" w:rsidRDefault="001B672C" w:rsidP="00B54E50">
            <w:pPr>
              <w:pStyle w:val="MDPI42tablebody"/>
              <w:autoSpaceDE w:val="0"/>
              <w:autoSpaceDN w:val="0"/>
              <w:rPr>
                <w:color w:val="auto"/>
                <w:szCs w:val="18"/>
              </w:rPr>
            </w:pPr>
            <w:r w:rsidRPr="00B54E50">
              <w:rPr>
                <w:color w:val="auto"/>
                <w:szCs w:val="18"/>
              </w:rPr>
              <w:t>30</w:t>
            </w:r>
          </w:p>
        </w:tc>
        <w:tc>
          <w:tcPr>
            <w:tcW w:w="506" w:type="dxa"/>
            <w:tcBorders>
              <w:top w:val="nil"/>
              <w:left w:val="nil"/>
              <w:bottom w:val="nil"/>
              <w:right w:val="nil"/>
            </w:tcBorders>
            <w:shd w:val="clear" w:color="auto" w:fill="FCFCFC"/>
            <w:vAlign w:val="center"/>
          </w:tcPr>
          <w:p w14:paraId="68542D76" w14:textId="77777777" w:rsidR="001B672C" w:rsidRPr="00B54E50" w:rsidRDefault="001B672C" w:rsidP="00B54E50">
            <w:pPr>
              <w:pStyle w:val="MDPI42tablebody"/>
              <w:autoSpaceDE w:val="0"/>
              <w:autoSpaceDN w:val="0"/>
              <w:rPr>
                <w:color w:val="auto"/>
                <w:szCs w:val="18"/>
              </w:rPr>
            </w:pPr>
            <w:r w:rsidRPr="00B54E50">
              <w:rPr>
                <w:color w:val="auto"/>
                <w:szCs w:val="18"/>
              </w:rPr>
              <w:t>30</w:t>
            </w:r>
          </w:p>
        </w:tc>
      </w:tr>
      <w:tr w:rsidR="00B54E50" w:rsidRPr="00B54E50" w14:paraId="630A1CCA" w14:textId="77777777" w:rsidTr="00B54E50">
        <w:trPr>
          <w:jc w:val="center"/>
        </w:trPr>
        <w:tc>
          <w:tcPr>
            <w:tcW w:w="1843" w:type="dxa"/>
            <w:tcBorders>
              <w:top w:val="nil"/>
              <w:left w:val="nil"/>
              <w:bottom w:val="nil"/>
              <w:right w:val="nil"/>
            </w:tcBorders>
            <w:shd w:val="clear" w:color="auto" w:fill="FFFFFF"/>
            <w:vAlign w:val="center"/>
          </w:tcPr>
          <w:p w14:paraId="2579AC79" w14:textId="77777777" w:rsidR="001B672C" w:rsidRPr="00B54E50" w:rsidRDefault="001B672C" w:rsidP="00B54E50">
            <w:pPr>
              <w:pStyle w:val="MDPI42tablebody"/>
              <w:autoSpaceDE w:val="0"/>
              <w:autoSpaceDN w:val="0"/>
              <w:rPr>
                <w:color w:val="auto"/>
              </w:rPr>
            </w:pPr>
            <w:proofErr w:type="spellStart"/>
            <w:r w:rsidRPr="00B54E50">
              <w:rPr>
                <w:color w:val="auto"/>
              </w:rPr>
              <w:t>Masri</w:t>
            </w:r>
            <w:proofErr w:type="spellEnd"/>
            <w:r w:rsidRPr="00B54E50">
              <w:rPr>
                <w:color w:val="auto"/>
              </w:rPr>
              <w:t>, 2015 [90]</w:t>
            </w:r>
          </w:p>
        </w:tc>
        <w:tc>
          <w:tcPr>
            <w:tcW w:w="709" w:type="dxa"/>
            <w:tcBorders>
              <w:top w:val="nil"/>
              <w:left w:val="nil"/>
              <w:bottom w:val="nil"/>
              <w:right w:val="nil"/>
            </w:tcBorders>
            <w:shd w:val="clear" w:color="auto" w:fill="FFFFFF"/>
            <w:vAlign w:val="center"/>
          </w:tcPr>
          <w:p w14:paraId="47DA593A" w14:textId="77777777" w:rsidR="001B672C" w:rsidRPr="00B54E50" w:rsidRDefault="001B672C" w:rsidP="00B54E50">
            <w:pPr>
              <w:pStyle w:val="MDPI42tablebody"/>
              <w:autoSpaceDE w:val="0"/>
              <w:autoSpaceDN w:val="0"/>
              <w:rPr>
                <w:color w:val="auto"/>
                <w:szCs w:val="18"/>
              </w:rPr>
            </w:pPr>
            <w:r w:rsidRPr="00B54E50">
              <w:rPr>
                <w:color w:val="auto"/>
                <w:szCs w:val="18"/>
              </w:rPr>
              <w:t>1005</w:t>
            </w:r>
          </w:p>
        </w:tc>
        <w:tc>
          <w:tcPr>
            <w:tcW w:w="567" w:type="dxa"/>
            <w:tcBorders>
              <w:top w:val="nil"/>
              <w:left w:val="nil"/>
              <w:bottom w:val="nil"/>
              <w:right w:val="nil"/>
            </w:tcBorders>
            <w:shd w:val="clear" w:color="auto" w:fill="FFFFFF"/>
            <w:vAlign w:val="center"/>
          </w:tcPr>
          <w:p w14:paraId="1E9DE1EF" w14:textId="77777777" w:rsidR="001B672C" w:rsidRPr="00B54E50" w:rsidRDefault="001B672C" w:rsidP="00B54E50">
            <w:pPr>
              <w:pStyle w:val="MDPI42tablebody"/>
              <w:autoSpaceDE w:val="0"/>
              <w:autoSpaceDN w:val="0"/>
              <w:rPr>
                <w:color w:val="auto"/>
                <w:szCs w:val="18"/>
              </w:rPr>
            </w:pPr>
            <w:r w:rsidRPr="00B54E50">
              <w:rPr>
                <w:color w:val="auto"/>
                <w:szCs w:val="18"/>
              </w:rPr>
              <w:t>50</w:t>
            </w:r>
          </w:p>
        </w:tc>
        <w:tc>
          <w:tcPr>
            <w:tcW w:w="709" w:type="dxa"/>
            <w:tcBorders>
              <w:top w:val="nil"/>
              <w:left w:val="nil"/>
              <w:bottom w:val="nil"/>
              <w:right w:val="nil"/>
            </w:tcBorders>
            <w:shd w:val="clear" w:color="auto" w:fill="FFFFFF"/>
            <w:vAlign w:val="center"/>
          </w:tcPr>
          <w:p w14:paraId="29F15BD4" w14:textId="77777777" w:rsidR="001B672C" w:rsidRPr="00B54E50" w:rsidRDefault="001B672C" w:rsidP="00B54E50">
            <w:pPr>
              <w:pStyle w:val="MDPI42tablebody"/>
              <w:autoSpaceDE w:val="0"/>
              <w:autoSpaceDN w:val="0"/>
              <w:rPr>
                <w:color w:val="auto"/>
                <w:szCs w:val="18"/>
              </w:rPr>
            </w:pPr>
            <w:r w:rsidRPr="00B54E50">
              <w:rPr>
                <w:color w:val="auto"/>
                <w:szCs w:val="18"/>
              </w:rPr>
              <w:t>36</w:t>
            </w:r>
          </w:p>
        </w:tc>
        <w:tc>
          <w:tcPr>
            <w:tcW w:w="567" w:type="dxa"/>
            <w:tcBorders>
              <w:top w:val="nil"/>
              <w:left w:val="nil"/>
              <w:bottom w:val="nil"/>
              <w:right w:val="nil"/>
            </w:tcBorders>
            <w:shd w:val="clear" w:color="auto" w:fill="FFFFFF"/>
            <w:vAlign w:val="center"/>
          </w:tcPr>
          <w:p w14:paraId="2B5C8ADD" w14:textId="77777777" w:rsidR="001B672C" w:rsidRPr="00B54E50" w:rsidRDefault="001B672C" w:rsidP="00B54E50">
            <w:pPr>
              <w:pStyle w:val="MDPI42tablebody"/>
              <w:autoSpaceDE w:val="0"/>
              <w:autoSpaceDN w:val="0"/>
              <w:rPr>
                <w:color w:val="auto"/>
                <w:szCs w:val="18"/>
              </w:rPr>
            </w:pPr>
            <w:r w:rsidRPr="00B54E50">
              <w:rPr>
                <w:color w:val="auto"/>
                <w:szCs w:val="18"/>
              </w:rPr>
              <w:t>5.5</w:t>
            </w:r>
          </w:p>
        </w:tc>
        <w:tc>
          <w:tcPr>
            <w:tcW w:w="1417" w:type="dxa"/>
            <w:tcBorders>
              <w:top w:val="nil"/>
              <w:left w:val="nil"/>
              <w:bottom w:val="nil"/>
              <w:right w:val="nil"/>
            </w:tcBorders>
            <w:shd w:val="clear" w:color="auto" w:fill="FFFFFF"/>
            <w:vAlign w:val="center"/>
          </w:tcPr>
          <w:p w14:paraId="184818A1" w14:textId="77777777" w:rsidR="001B672C" w:rsidRPr="00B54E50" w:rsidRDefault="001B672C" w:rsidP="00B54E50">
            <w:pPr>
              <w:pStyle w:val="MDPI42tablebody"/>
              <w:autoSpaceDE w:val="0"/>
              <w:autoSpaceDN w:val="0"/>
              <w:rPr>
                <w:color w:val="auto"/>
                <w:szCs w:val="18"/>
              </w:rPr>
            </w:pPr>
            <w:r w:rsidRPr="00B54E50">
              <w:rPr>
                <w:color w:val="auto"/>
                <w:szCs w:val="18"/>
              </w:rPr>
              <w:t>Not controlled</w:t>
            </w:r>
          </w:p>
        </w:tc>
        <w:tc>
          <w:tcPr>
            <w:tcW w:w="709" w:type="dxa"/>
            <w:tcBorders>
              <w:top w:val="nil"/>
              <w:left w:val="nil"/>
              <w:bottom w:val="nil"/>
              <w:right w:val="nil"/>
            </w:tcBorders>
            <w:shd w:val="clear" w:color="auto" w:fill="FFFFFF"/>
            <w:vAlign w:val="center"/>
          </w:tcPr>
          <w:p w14:paraId="20E591E3"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FFFFF"/>
            <w:vAlign w:val="center"/>
          </w:tcPr>
          <w:p w14:paraId="221A6A30" w14:textId="77777777" w:rsidR="001B672C" w:rsidRPr="00B54E50" w:rsidRDefault="001B672C" w:rsidP="00B54E50">
            <w:pPr>
              <w:pStyle w:val="MDPI42tablebody"/>
              <w:autoSpaceDE w:val="0"/>
              <w:autoSpaceDN w:val="0"/>
              <w:rPr>
                <w:color w:val="auto"/>
                <w:szCs w:val="18"/>
              </w:rPr>
            </w:pPr>
            <w:r w:rsidRPr="00B54E50">
              <w:rPr>
                <w:color w:val="auto"/>
                <w:szCs w:val="18"/>
              </w:rPr>
              <w:t>17</w:t>
            </w:r>
          </w:p>
        </w:tc>
        <w:tc>
          <w:tcPr>
            <w:tcW w:w="552" w:type="dxa"/>
            <w:tcBorders>
              <w:top w:val="nil"/>
              <w:left w:val="nil"/>
              <w:bottom w:val="nil"/>
              <w:right w:val="nil"/>
            </w:tcBorders>
            <w:shd w:val="clear" w:color="auto" w:fill="FFFFFF"/>
            <w:vAlign w:val="center"/>
          </w:tcPr>
          <w:p w14:paraId="6A687A2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FFFFF"/>
            <w:vAlign w:val="center"/>
          </w:tcPr>
          <w:p w14:paraId="4523AF71"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496" w:type="dxa"/>
            <w:tcBorders>
              <w:top w:val="nil"/>
              <w:left w:val="nil"/>
              <w:bottom w:val="nil"/>
              <w:right w:val="nil"/>
            </w:tcBorders>
            <w:shd w:val="clear" w:color="auto" w:fill="FFFFFF"/>
            <w:vAlign w:val="center"/>
          </w:tcPr>
          <w:p w14:paraId="050E6A81" w14:textId="77777777" w:rsidR="001B672C" w:rsidRPr="00B54E50" w:rsidRDefault="001B672C" w:rsidP="00B54E50">
            <w:pPr>
              <w:pStyle w:val="MDPI42tablebody"/>
              <w:autoSpaceDE w:val="0"/>
              <w:autoSpaceDN w:val="0"/>
              <w:rPr>
                <w:color w:val="auto"/>
                <w:szCs w:val="18"/>
              </w:rPr>
            </w:pPr>
            <w:r w:rsidRPr="00B54E50">
              <w:rPr>
                <w:color w:val="auto"/>
                <w:szCs w:val="18"/>
              </w:rPr>
              <w:t>11</w:t>
            </w:r>
          </w:p>
        </w:tc>
        <w:tc>
          <w:tcPr>
            <w:tcW w:w="502" w:type="dxa"/>
            <w:tcBorders>
              <w:top w:val="nil"/>
              <w:left w:val="nil"/>
              <w:bottom w:val="nil"/>
              <w:right w:val="nil"/>
            </w:tcBorders>
            <w:shd w:val="clear" w:color="auto" w:fill="FFFFFF"/>
            <w:vAlign w:val="center"/>
          </w:tcPr>
          <w:p w14:paraId="15189249"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6AB0AF9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6" w:type="dxa"/>
            <w:tcBorders>
              <w:top w:val="nil"/>
              <w:left w:val="nil"/>
              <w:bottom w:val="nil"/>
              <w:right w:val="nil"/>
            </w:tcBorders>
            <w:shd w:val="clear" w:color="auto" w:fill="FFFFFF"/>
            <w:vAlign w:val="center"/>
          </w:tcPr>
          <w:p w14:paraId="174C3E98" w14:textId="77777777" w:rsidR="001B672C" w:rsidRPr="00B54E50" w:rsidRDefault="001B672C" w:rsidP="00B54E50">
            <w:pPr>
              <w:pStyle w:val="MDPI42tablebody"/>
              <w:autoSpaceDE w:val="0"/>
              <w:autoSpaceDN w:val="0"/>
              <w:rPr>
                <w:color w:val="auto"/>
                <w:szCs w:val="18"/>
              </w:rPr>
            </w:pPr>
            <w:r w:rsidRPr="00B54E50">
              <w:rPr>
                <w:color w:val="auto"/>
                <w:szCs w:val="18"/>
              </w:rPr>
              <w:t>126</w:t>
            </w:r>
          </w:p>
        </w:tc>
      </w:tr>
      <w:tr w:rsidR="00B54E50" w:rsidRPr="00B54E50" w14:paraId="570C13CB" w14:textId="77777777" w:rsidTr="00B54E50">
        <w:trPr>
          <w:jc w:val="center"/>
        </w:trPr>
        <w:tc>
          <w:tcPr>
            <w:tcW w:w="1843" w:type="dxa"/>
            <w:tcBorders>
              <w:top w:val="nil"/>
              <w:left w:val="nil"/>
              <w:bottom w:val="nil"/>
              <w:right w:val="nil"/>
            </w:tcBorders>
            <w:shd w:val="clear" w:color="auto" w:fill="FCFCFC"/>
            <w:vAlign w:val="center"/>
          </w:tcPr>
          <w:p w14:paraId="15FF6DD7" w14:textId="77777777" w:rsidR="001B672C" w:rsidRPr="00B54E50" w:rsidRDefault="001B672C" w:rsidP="00B54E50">
            <w:pPr>
              <w:pStyle w:val="MDPI42tablebody"/>
              <w:autoSpaceDE w:val="0"/>
              <w:autoSpaceDN w:val="0"/>
              <w:rPr>
                <w:color w:val="auto"/>
                <w:szCs w:val="17"/>
              </w:rPr>
            </w:pPr>
            <w:proofErr w:type="spellStart"/>
            <w:r w:rsidRPr="00B54E50">
              <w:rPr>
                <w:color w:val="auto"/>
                <w:szCs w:val="17"/>
              </w:rPr>
              <w:t>Michaelides</w:t>
            </w:r>
            <w:proofErr w:type="spellEnd"/>
            <w:r w:rsidRPr="00B54E50">
              <w:rPr>
                <w:color w:val="auto"/>
                <w:szCs w:val="17"/>
              </w:rPr>
              <w:t>, 2009 [91]</w:t>
            </w:r>
          </w:p>
        </w:tc>
        <w:tc>
          <w:tcPr>
            <w:tcW w:w="709" w:type="dxa"/>
            <w:tcBorders>
              <w:top w:val="nil"/>
              <w:left w:val="nil"/>
              <w:bottom w:val="nil"/>
              <w:right w:val="nil"/>
            </w:tcBorders>
            <w:shd w:val="clear" w:color="auto" w:fill="FCFCFC"/>
            <w:vAlign w:val="center"/>
          </w:tcPr>
          <w:p w14:paraId="03259FA2" w14:textId="77777777" w:rsidR="001B672C" w:rsidRPr="00B54E50" w:rsidRDefault="001B672C" w:rsidP="00B54E50">
            <w:pPr>
              <w:pStyle w:val="MDPI42tablebody"/>
              <w:autoSpaceDE w:val="0"/>
              <w:autoSpaceDN w:val="0"/>
              <w:rPr>
                <w:color w:val="auto"/>
                <w:szCs w:val="18"/>
              </w:rPr>
            </w:pPr>
            <w:r w:rsidRPr="00B54E50">
              <w:rPr>
                <w:color w:val="auto"/>
                <w:szCs w:val="18"/>
              </w:rPr>
              <w:t>81</w:t>
            </w:r>
          </w:p>
        </w:tc>
        <w:tc>
          <w:tcPr>
            <w:tcW w:w="567" w:type="dxa"/>
            <w:tcBorders>
              <w:top w:val="nil"/>
              <w:left w:val="nil"/>
              <w:bottom w:val="nil"/>
              <w:right w:val="nil"/>
            </w:tcBorders>
            <w:shd w:val="clear" w:color="auto" w:fill="FCFCFC"/>
            <w:vAlign w:val="center"/>
          </w:tcPr>
          <w:p w14:paraId="5569CB1D" w14:textId="77777777" w:rsidR="001B672C" w:rsidRPr="00B54E50" w:rsidRDefault="001B672C" w:rsidP="00B54E50">
            <w:pPr>
              <w:pStyle w:val="MDPI42tablebody"/>
              <w:autoSpaceDE w:val="0"/>
              <w:autoSpaceDN w:val="0"/>
              <w:rPr>
                <w:color w:val="auto"/>
                <w:szCs w:val="18"/>
              </w:rPr>
            </w:pPr>
            <w:r w:rsidRPr="00B54E50">
              <w:rPr>
                <w:color w:val="auto"/>
                <w:szCs w:val="18"/>
              </w:rPr>
              <w:t>42</w:t>
            </w:r>
          </w:p>
        </w:tc>
        <w:tc>
          <w:tcPr>
            <w:tcW w:w="709" w:type="dxa"/>
            <w:tcBorders>
              <w:top w:val="nil"/>
              <w:left w:val="nil"/>
              <w:bottom w:val="nil"/>
              <w:right w:val="nil"/>
            </w:tcBorders>
            <w:shd w:val="clear" w:color="auto" w:fill="FCFCFC"/>
            <w:vAlign w:val="center"/>
          </w:tcPr>
          <w:p w14:paraId="56A1F965" w14:textId="77777777" w:rsidR="001B672C" w:rsidRPr="00B54E50" w:rsidRDefault="001B672C" w:rsidP="00B54E50">
            <w:pPr>
              <w:pStyle w:val="MDPI42tablebody"/>
              <w:autoSpaceDE w:val="0"/>
              <w:autoSpaceDN w:val="0"/>
              <w:rPr>
                <w:color w:val="auto"/>
                <w:szCs w:val="18"/>
              </w:rPr>
            </w:pPr>
            <w:r w:rsidRPr="00B54E50">
              <w:rPr>
                <w:color w:val="auto"/>
                <w:szCs w:val="18"/>
              </w:rPr>
              <w:t>30</w:t>
            </w:r>
          </w:p>
        </w:tc>
        <w:tc>
          <w:tcPr>
            <w:tcW w:w="567" w:type="dxa"/>
            <w:tcBorders>
              <w:top w:val="nil"/>
              <w:left w:val="nil"/>
              <w:bottom w:val="nil"/>
              <w:right w:val="nil"/>
            </w:tcBorders>
            <w:shd w:val="clear" w:color="auto" w:fill="FCFCFC"/>
            <w:vAlign w:val="center"/>
          </w:tcPr>
          <w:p w14:paraId="1EE96AB7" w14:textId="77777777" w:rsidR="001B672C" w:rsidRPr="00B54E50" w:rsidRDefault="001B672C" w:rsidP="00B54E50">
            <w:pPr>
              <w:pStyle w:val="MDPI42tablebody"/>
              <w:autoSpaceDE w:val="0"/>
              <w:autoSpaceDN w:val="0"/>
              <w:rPr>
                <w:color w:val="auto"/>
                <w:szCs w:val="18"/>
              </w:rPr>
            </w:pPr>
            <w:r w:rsidRPr="00B54E50">
              <w:rPr>
                <w:color w:val="auto"/>
                <w:szCs w:val="18"/>
              </w:rPr>
              <w:t>5.3</w:t>
            </w:r>
          </w:p>
        </w:tc>
        <w:tc>
          <w:tcPr>
            <w:tcW w:w="1417" w:type="dxa"/>
            <w:tcBorders>
              <w:top w:val="nil"/>
              <w:left w:val="nil"/>
              <w:bottom w:val="nil"/>
              <w:right w:val="nil"/>
            </w:tcBorders>
            <w:shd w:val="clear" w:color="auto" w:fill="FCFCFC"/>
            <w:vAlign w:val="center"/>
          </w:tcPr>
          <w:p w14:paraId="7BAFABD8"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1D60749B" w14:textId="77777777" w:rsidR="001B672C" w:rsidRPr="00B54E50" w:rsidRDefault="001B672C" w:rsidP="00B54E50">
            <w:pPr>
              <w:pStyle w:val="MDPI42tablebody"/>
              <w:autoSpaceDE w:val="0"/>
              <w:autoSpaceDN w:val="0"/>
              <w:rPr>
                <w:color w:val="auto"/>
                <w:szCs w:val="18"/>
              </w:rPr>
            </w:pPr>
            <w:r w:rsidRPr="00B54E50">
              <w:rPr>
                <w:color w:val="auto"/>
                <w:szCs w:val="18"/>
              </w:rPr>
              <w:t>8</w:t>
            </w:r>
          </w:p>
        </w:tc>
        <w:tc>
          <w:tcPr>
            <w:tcW w:w="805" w:type="dxa"/>
            <w:tcBorders>
              <w:top w:val="nil"/>
              <w:left w:val="nil"/>
              <w:bottom w:val="nil"/>
              <w:right w:val="nil"/>
            </w:tcBorders>
            <w:shd w:val="clear" w:color="auto" w:fill="FCFCFC"/>
            <w:vAlign w:val="center"/>
          </w:tcPr>
          <w:p w14:paraId="186630F5" w14:textId="77777777" w:rsidR="001B672C" w:rsidRPr="00B54E50" w:rsidRDefault="001B672C" w:rsidP="00B54E50">
            <w:pPr>
              <w:pStyle w:val="MDPI42tablebody"/>
              <w:autoSpaceDE w:val="0"/>
              <w:autoSpaceDN w:val="0"/>
              <w:rPr>
                <w:color w:val="auto"/>
                <w:szCs w:val="18"/>
              </w:rPr>
            </w:pPr>
            <w:r w:rsidRPr="00B54E50">
              <w:rPr>
                <w:color w:val="auto"/>
                <w:szCs w:val="18"/>
              </w:rPr>
              <w:t>6</w:t>
            </w:r>
          </w:p>
        </w:tc>
        <w:tc>
          <w:tcPr>
            <w:tcW w:w="552" w:type="dxa"/>
            <w:tcBorders>
              <w:top w:val="nil"/>
              <w:left w:val="nil"/>
              <w:bottom w:val="nil"/>
              <w:right w:val="nil"/>
            </w:tcBorders>
            <w:shd w:val="clear" w:color="auto" w:fill="FCFCFC"/>
            <w:vAlign w:val="center"/>
          </w:tcPr>
          <w:p w14:paraId="2370E7E5"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7" w:type="dxa"/>
            <w:tcBorders>
              <w:top w:val="nil"/>
              <w:left w:val="nil"/>
              <w:bottom w:val="nil"/>
              <w:right w:val="nil"/>
            </w:tcBorders>
            <w:shd w:val="clear" w:color="auto" w:fill="FCFCFC"/>
            <w:vAlign w:val="center"/>
          </w:tcPr>
          <w:p w14:paraId="3D7CFB35" w14:textId="77777777" w:rsidR="001B672C" w:rsidRPr="00B54E50" w:rsidRDefault="001B672C" w:rsidP="00B54E50">
            <w:pPr>
              <w:pStyle w:val="MDPI42tablebody"/>
              <w:autoSpaceDE w:val="0"/>
              <w:autoSpaceDN w:val="0"/>
              <w:rPr>
                <w:color w:val="auto"/>
                <w:szCs w:val="18"/>
              </w:rPr>
            </w:pPr>
            <w:r w:rsidRPr="00B54E50">
              <w:rPr>
                <w:color w:val="auto"/>
                <w:szCs w:val="18"/>
              </w:rPr>
              <w:t>6</w:t>
            </w:r>
          </w:p>
        </w:tc>
        <w:tc>
          <w:tcPr>
            <w:tcW w:w="496" w:type="dxa"/>
            <w:tcBorders>
              <w:top w:val="nil"/>
              <w:left w:val="nil"/>
              <w:bottom w:val="nil"/>
              <w:right w:val="nil"/>
            </w:tcBorders>
            <w:shd w:val="clear" w:color="auto" w:fill="FCFCFC"/>
            <w:vAlign w:val="center"/>
          </w:tcPr>
          <w:p w14:paraId="7EBDF0E0"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57CEAC4C"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CFCFC"/>
            <w:vAlign w:val="center"/>
          </w:tcPr>
          <w:p w14:paraId="2EB4C13E" w14:textId="77777777" w:rsidR="001B672C" w:rsidRPr="00B54E50" w:rsidRDefault="001B672C" w:rsidP="00B54E50">
            <w:pPr>
              <w:pStyle w:val="MDPI42tablebody"/>
              <w:autoSpaceDE w:val="0"/>
              <w:autoSpaceDN w:val="0"/>
              <w:rPr>
                <w:color w:val="auto"/>
                <w:szCs w:val="18"/>
              </w:rPr>
            </w:pPr>
            <w:r w:rsidRPr="00B54E50">
              <w:rPr>
                <w:color w:val="auto"/>
                <w:szCs w:val="18"/>
              </w:rPr>
              <w:t>8</w:t>
            </w:r>
          </w:p>
        </w:tc>
        <w:tc>
          <w:tcPr>
            <w:tcW w:w="506" w:type="dxa"/>
            <w:tcBorders>
              <w:top w:val="nil"/>
              <w:left w:val="nil"/>
              <w:bottom w:val="nil"/>
              <w:right w:val="nil"/>
            </w:tcBorders>
            <w:shd w:val="clear" w:color="auto" w:fill="FCFCFC"/>
            <w:vAlign w:val="center"/>
          </w:tcPr>
          <w:p w14:paraId="676634FF"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57B691AE" w14:textId="77777777" w:rsidTr="00B54E50">
        <w:trPr>
          <w:jc w:val="center"/>
        </w:trPr>
        <w:tc>
          <w:tcPr>
            <w:tcW w:w="1843" w:type="dxa"/>
            <w:tcBorders>
              <w:top w:val="nil"/>
              <w:left w:val="nil"/>
              <w:bottom w:val="nil"/>
              <w:right w:val="nil"/>
            </w:tcBorders>
            <w:shd w:val="clear" w:color="auto" w:fill="FFFFFF"/>
            <w:vAlign w:val="center"/>
          </w:tcPr>
          <w:p w14:paraId="056047F0" w14:textId="77777777" w:rsidR="001B672C" w:rsidRPr="00B54E50" w:rsidRDefault="001B672C" w:rsidP="00B54E50">
            <w:pPr>
              <w:pStyle w:val="MDPI42tablebody"/>
              <w:autoSpaceDE w:val="0"/>
              <w:autoSpaceDN w:val="0"/>
              <w:rPr>
                <w:color w:val="auto"/>
                <w:szCs w:val="18"/>
              </w:rPr>
            </w:pPr>
            <w:proofErr w:type="spellStart"/>
            <w:r w:rsidRPr="00B54E50">
              <w:rPr>
                <w:color w:val="auto"/>
                <w:szCs w:val="17"/>
              </w:rPr>
              <w:t>Moneghetti</w:t>
            </w:r>
            <w:proofErr w:type="spellEnd"/>
            <w:r w:rsidRPr="00B54E50">
              <w:rPr>
                <w:color w:val="auto"/>
                <w:szCs w:val="17"/>
              </w:rPr>
              <w:t>, 2017</w:t>
            </w:r>
            <w:r w:rsidRPr="00B54E50">
              <w:rPr>
                <w:color w:val="auto"/>
                <w:szCs w:val="18"/>
              </w:rPr>
              <w:t xml:space="preserve"> </w:t>
            </w:r>
            <w:r w:rsidRPr="00B54E50">
              <w:rPr>
                <w:color w:val="auto"/>
                <w:szCs w:val="19"/>
              </w:rPr>
              <w:t>[63]</w:t>
            </w:r>
          </w:p>
        </w:tc>
        <w:tc>
          <w:tcPr>
            <w:tcW w:w="709" w:type="dxa"/>
            <w:tcBorders>
              <w:top w:val="nil"/>
              <w:left w:val="nil"/>
              <w:bottom w:val="nil"/>
              <w:right w:val="nil"/>
            </w:tcBorders>
            <w:shd w:val="clear" w:color="auto" w:fill="FFFFFF"/>
            <w:vAlign w:val="center"/>
          </w:tcPr>
          <w:p w14:paraId="59B478F5" w14:textId="77777777" w:rsidR="001B672C" w:rsidRPr="00B54E50" w:rsidRDefault="001B672C" w:rsidP="00B54E50">
            <w:pPr>
              <w:pStyle w:val="MDPI42tablebody"/>
              <w:autoSpaceDE w:val="0"/>
              <w:autoSpaceDN w:val="0"/>
              <w:rPr>
                <w:color w:val="auto"/>
                <w:szCs w:val="18"/>
              </w:rPr>
            </w:pPr>
            <w:r w:rsidRPr="00B54E50">
              <w:rPr>
                <w:color w:val="auto"/>
                <w:szCs w:val="18"/>
              </w:rPr>
              <w:t>131</w:t>
            </w:r>
          </w:p>
        </w:tc>
        <w:tc>
          <w:tcPr>
            <w:tcW w:w="567" w:type="dxa"/>
            <w:tcBorders>
              <w:top w:val="nil"/>
              <w:left w:val="nil"/>
              <w:bottom w:val="nil"/>
              <w:right w:val="nil"/>
            </w:tcBorders>
            <w:shd w:val="clear" w:color="auto" w:fill="FFFFFF"/>
            <w:vAlign w:val="center"/>
          </w:tcPr>
          <w:p w14:paraId="7B9146BC" w14:textId="77777777" w:rsidR="001B672C" w:rsidRPr="00B54E50" w:rsidRDefault="001B672C" w:rsidP="00B54E50">
            <w:pPr>
              <w:pStyle w:val="MDPI42tablebody"/>
              <w:autoSpaceDE w:val="0"/>
              <w:autoSpaceDN w:val="0"/>
              <w:rPr>
                <w:color w:val="auto"/>
                <w:szCs w:val="18"/>
              </w:rPr>
            </w:pPr>
            <w:r w:rsidRPr="00B54E50">
              <w:rPr>
                <w:color w:val="auto"/>
                <w:szCs w:val="18"/>
              </w:rPr>
              <w:t>52</w:t>
            </w:r>
          </w:p>
        </w:tc>
        <w:tc>
          <w:tcPr>
            <w:tcW w:w="709" w:type="dxa"/>
            <w:tcBorders>
              <w:top w:val="nil"/>
              <w:left w:val="nil"/>
              <w:bottom w:val="nil"/>
              <w:right w:val="nil"/>
            </w:tcBorders>
            <w:shd w:val="clear" w:color="auto" w:fill="FFFFFF"/>
            <w:vAlign w:val="center"/>
          </w:tcPr>
          <w:p w14:paraId="0F53A48B" w14:textId="77777777" w:rsidR="001B672C" w:rsidRPr="00B54E50" w:rsidRDefault="001B672C" w:rsidP="00B54E50">
            <w:pPr>
              <w:pStyle w:val="MDPI42tablebody"/>
              <w:autoSpaceDE w:val="0"/>
              <w:autoSpaceDN w:val="0"/>
              <w:rPr>
                <w:color w:val="auto"/>
                <w:szCs w:val="18"/>
              </w:rPr>
            </w:pPr>
            <w:r w:rsidRPr="00B54E50">
              <w:rPr>
                <w:color w:val="auto"/>
                <w:szCs w:val="18"/>
              </w:rPr>
              <w:t>37</w:t>
            </w:r>
          </w:p>
        </w:tc>
        <w:tc>
          <w:tcPr>
            <w:tcW w:w="567" w:type="dxa"/>
            <w:tcBorders>
              <w:top w:val="nil"/>
              <w:left w:val="nil"/>
              <w:bottom w:val="nil"/>
              <w:right w:val="nil"/>
            </w:tcBorders>
            <w:shd w:val="clear" w:color="auto" w:fill="FFFFFF"/>
            <w:vAlign w:val="center"/>
          </w:tcPr>
          <w:p w14:paraId="16DC20EC" w14:textId="77777777" w:rsidR="001B672C" w:rsidRPr="00B54E50" w:rsidRDefault="001B672C" w:rsidP="00B54E50">
            <w:pPr>
              <w:pStyle w:val="MDPI42tablebody"/>
              <w:autoSpaceDE w:val="0"/>
              <w:autoSpaceDN w:val="0"/>
              <w:rPr>
                <w:color w:val="auto"/>
                <w:szCs w:val="18"/>
              </w:rPr>
            </w:pPr>
            <w:r w:rsidRPr="00B54E50">
              <w:rPr>
                <w:color w:val="auto"/>
                <w:szCs w:val="18"/>
              </w:rPr>
              <w:t>4.7</w:t>
            </w:r>
          </w:p>
        </w:tc>
        <w:tc>
          <w:tcPr>
            <w:tcW w:w="1417" w:type="dxa"/>
            <w:tcBorders>
              <w:top w:val="nil"/>
              <w:left w:val="nil"/>
              <w:bottom w:val="nil"/>
              <w:right w:val="nil"/>
            </w:tcBorders>
            <w:shd w:val="clear" w:color="auto" w:fill="FFFFFF"/>
            <w:vAlign w:val="center"/>
          </w:tcPr>
          <w:p w14:paraId="15E7A899" w14:textId="77777777" w:rsidR="001B672C" w:rsidRPr="00B54E50" w:rsidRDefault="001B672C" w:rsidP="00B54E50">
            <w:pPr>
              <w:pStyle w:val="MDPI42tablebody"/>
              <w:autoSpaceDE w:val="0"/>
              <w:autoSpaceDN w:val="0"/>
              <w:rPr>
                <w:color w:val="auto"/>
                <w:szCs w:val="18"/>
              </w:rPr>
            </w:pPr>
            <w:r w:rsidRPr="00B54E50">
              <w:rPr>
                <w:color w:val="auto"/>
                <w:szCs w:val="18"/>
              </w:rPr>
              <w:t>Not controlled</w:t>
            </w:r>
          </w:p>
        </w:tc>
        <w:tc>
          <w:tcPr>
            <w:tcW w:w="709" w:type="dxa"/>
            <w:tcBorders>
              <w:top w:val="nil"/>
              <w:left w:val="nil"/>
              <w:bottom w:val="nil"/>
              <w:right w:val="nil"/>
            </w:tcBorders>
            <w:shd w:val="clear" w:color="auto" w:fill="FFFFFF"/>
            <w:vAlign w:val="center"/>
          </w:tcPr>
          <w:p w14:paraId="733BA529"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FFFFF"/>
            <w:vAlign w:val="center"/>
          </w:tcPr>
          <w:p w14:paraId="523BFCD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625FDA7C"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FFFFF"/>
            <w:vAlign w:val="center"/>
          </w:tcPr>
          <w:p w14:paraId="124DB61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FFFFF"/>
            <w:vAlign w:val="center"/>
          </w:tcPr>
          <w:p w14:paraId="4A4F718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64C38529"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3BD8616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6" w:type="dxa"/>
            <w:tcBorders>
              <w:top w:val="nil"/>
              <w:left w:val="nil"/>
              <w:bottom w:val="nil"/>
              <w:right w:val="nil"/>
            </w:tcBorders>
            <w:shd w:val="clear" w:color="auto" w:fill="FFFFFF"/>
            <w:vAlign w:val="center"/>
          </w:tcPr>
          <w:p w14:paraId="771E1272" w14:textId="77777777" w:rsidR="001B672C" w:rsidRPr="00B54E50" w:rsidRDefault="001B672C" w:rsidP="00B54E50">
            <w:pPr>
              <w:pStyle w:val="MDPI42tablebody"/>
              <w:autoSpaceDE w:val="0"/>
              <w:autoSpaceDN w:val="0"/>
              <w:rPr>
                <w:color w:val="auto"/>
                <w:szCs w:val="18"/>
              </w:rPr>
            </w:pPr>
            <w:r w:rsidRPr="00B54E50">
              <w:rPr>
                <w:color w:val="auto"/>
                <w:szCs w:val="18"/>
              </w:rPr>
              <w:t>6</w:t>
            </w:r>
          </w:p>
        </w:tc>
      </w:tr>
      <w:tr w:rsidR="00B54E50" w:rsidRPr="00B54E50" w14:paraId="122AEA9B" w14:textId="77777777" w:rsidTr="00B54E50">
        <w:trPr>
          <w:jc w:val="center"/>
        </w:trPr>
        <w:tc>
          <w:tcPr>
            <w:tcW w:w="1843" w:type="dxa"/>
            <w:tcBorders>
              <w:top w:val="nil"/>
              <w:left w:val="nil"/>
              <w:bottom w:val="nil"/>
              <w:right w:val="nil"/>
            </w:tcBorders>
            <w:shd w:val="clear" w:color="auto" w:fill="FCFCFC"/>
            <w:vAlign w:val="center"/>
          </w:tcPr>
          <w:p w14:paraId="11FF9A34" w14:textId="77777777" w:rsidR="001B672C" w:rsidRPr="00B54E50" w:rsidRDefault="001B672C" w:rsidP="00B54E50">
            <w:pPr>
              <w:pStyle w:val="MDPI42tablebody"/>
              <w:autoSpaceDE w:val="0"/>
              <w:autoSpaceDN w:val="0"/>
              <w:rPr>
                <w:color w:val="auto"/>
              </w:rPr>
            </w:pPr>
            <w:r w:rsidRPr="00B54E50">
              <w:rPr>
                <w:color w:val="auto"/>
              </w:rPr>
              <w:t>Nagata, 2003 [92]</w:t>
            </w:r>
          </w:p>
        </w:tc>
        <w:tc>
          <w:tcPr>
            <w:tcW w:w="709" w:type="dxa"/>
            <w:tcBorders>
              <w:top w:val="nil"/>
              <w:left w:val="nil"/>
              <w:bottom w:val="nil"/>
              <w:right w:val="nil"/>
            </w:tcBorders>
            <w:shd w:val="clear" w:color="auto" w:fill="FCFCFC"/>
            <w:vAlign w:val="center"/>
          </w:tcPr>
          <w:p w14:paraId="15CB7624" w14:textId="77777777" w:rsidR="001B672C" w:rsidRPr="00B54E50" w:rsidRDefault="001B672C" w:rsidP="00B54E50">
            <w:pPr>
              <w:pStyle w:val="MDPI42tablebody"/>
              <w:autoSpaceDE w:val="0"/>
              <w:autoSpaceDN w:val="0"/>
              <w:rPr>
                <w:color w:val="auto"/>
                <w:szCs w:val="18"/>
              </w:rPr>
            </w:pPr>
            <w:r w:rsidRPr="00B54E50">
              <w:rPr>
                <w:color w:val="auto"/>
                <w:szCs w:val="18"/>
              </w:rPr>
              <w:t>65</w:t>
            </w:r>
          </w:p>
        </w:tc>
        <w:tc>
          <w:tcPr>
            <w:tcW w:w="567" w:type="dxa"/>
            <w:tcBorders>
              <w:top w:val="nil"/>
              <w:left w:val="nil"/>
              <w:bottom w:val="nil"/>
              <w:right w:val="nil"/>
            </w:tcBorders>
            <w:shd w:val="clear" w:color="auto" w:fill="FCFCFC"/>
            <w:vAlign w:val="center"/>
          </w:tcPr>
          <w:p w14:paraId="397FEDDD" w14:textId="77777777" w:rsidR="001B672C" w:rsidRPr="00B54E50" w:rsidRDefault="001B672C" w:rsidP="00B54E50">
            <w:pPr>
              <w:pStyle w:val="MDPI42tablebody"/>
              <w:autoSpaceDE w:val="0"/>
              <w:autoSpaceDN w:val="0"/>
              <w:rPr>
                <w:color w:val="auto"/>
                <w:szCs w:val="18"/>
              </w:rPr>
            </w:pPr>
            <w:r w:rsidRPr="00B54E50">
              <w:rPr>
                <w:color w:val="auto"/>
                <w:szCs w:val="18"/>
              </w:rPr>
              <w:t>50</w:t>
            </w:r>
          </w:p>
        </w:tc>
        <w:tc>
          <w:tcPr>
            <w:tcW w:w="709" w:type="dxa"/>
            <w:tcBorders>
              <w:top w:val="nil"/>
              <w:left w:val="nil"/>
              <w:bottom w:val="nil"/>
              <w:right w:val="nil"/>
            </w:tcBorders>
            <w:shd w:val="clear" w:color="auto" w:fill="FCFCFC"/>
            <w:vAlign w:val="center"/>
          </w:tcPr>
          <w:p w14:paraId="7BD50642" w14:textId="77777777" w:rsidR="001B672C" w:rsidRPr="00B54E50" w:rsidRDefault="001B672C" w:rsidP="00B54E50">
            <w:pPr>
              <w:pStyle w:val="MDPI42tablebody"/>
              <w:autoSpaceDE w:val="0"/>
              <w:autoSpaceDN w:val="0"/>
              <w:rPr>
                <w:color w:val="auto"/>
                <w:szCs w:val="18"/>
              </w:rPr>
            </w:pPr>
            <w:r w:rsidRPr="00B54E50">
              <w:rPr>
                <w:color w:val="auto"/>
                <w:szCs w:val="18"/>
              </w:rPr>
              <w:t>23</w:t>
            </w:r>
          </w:p>
        </w:tc>
        <w:tc>
          <w:tcPr>
            <w:tcW w:w="567" w:type="dxa"/>
            <w:tcBorders>
              <w:top w:val="nil"/>
              <w:left w:val="nil"/>
              <w:bottom w:val="nil"/>
              <w:right w:val="nil"/>
            </w:tcBorders>
            <w:shd w:val="clear" w:color="auto" w:fill="FCFCFC"/>
            <w:vAlign w:val="center"/>
          </w:tcPr>
          <w:p w14:paraId="365DFD0D" w14:textId="77777777" w:rsidR="001B672C" w:rsidRPr="00B54E50" w:rsidRDefault="001B672C" w:rsidP="00B54E50">
            <w:pPr>
              <w:pStyle w:val="MDPI42tablebody"/>
              <w:autoSpaceDE w:val="0"/>
              <w:autoSpaceDN w:val="0"/>
              <w:rPr>
                <w:color w:val="auto"/>
                <w:szCs w:val="18"/>
              </w:rPr>
            </w:pPr>
            <w:r w:rsidRPr="00B54E50">
              <w:rPr>
                <w:color w:val="auto"/>
                <w:szCs w:val="18"/>
              </w:rPr>
              <w:t>6.3</w:t>
            </w:r>
          </w:p>
        </w:tc>
        <w:tc>
          <w:tcPr>
            <w:tcW w:w="1417" w:type="dxa"/>
            <w:tcBorders>
              <w:top w:val="nil"/>
              <w:left w:val="nil"/>
              <w:bottom w:val="nil"/>
              <w:right w:val="nil"/>
            </w:tcBorders>
            <w:shd w:val="clear" w:color="auto" w:fill="FCFCFC"/>
            <w:vAlign w:val="center"/>
          </w:tcPr>
          <w:p w14:paraId="4EC1A4ED" w14:textId="1262473D" w:rsidR="001B672C" w:rsidRPr="00B54E50" w:rsidRDefault="001B672C" w:rsidP="00B54E50">
            <w:pPr>
              <w:pStyle w:val="MDPI42tablebody"/>
              <w:autoSpaceDE w:val="0"/>
              <w:autoSpaceDN w:val="0"/>
              <w:rPr>
                <w:color w:val="auto"/>
                <w:szCs w:val="18"/>
              </w:rPr>
            </w:pPr>
            <w:r w:rsidRPr="00B54E50">
              <w:rPr>
                <w:color w:val="auto"/>
                <w:szCs w:val="18"/>
              </w:rPr>
              <w:t>Disc. (24</w:t>
            </w:r>
            <w:r w:rsidR="00EE6E33">
              <w:rPr>
                <w:color w:val="auto"/>
                <w:szCs w:val="18"/>
              </w:rPr>
              <w:t xml:space="preserve"> </w:t>
            </w:r>
            <w:r w:rsidRPr="00B54E50">
              <w:rPr>
                <w:color w:val="auto"/>
                <w:szCs w:val="18"/>
              </w:rPr>
              <w:t>h)</w:t>
            </w:r>
          </w:p>
        </w:tc>
        <w:tc>
          <w:tcPr>
            <w:tcW w:w="709" w:type="dxa"/>
            <w:tcBorders>
              <w:top w:val="nil"/>
              <w:left w:val="nil"/>
              <w:bottom w:val="nil"/>
              <w:right w:val="nil"/>
            </w:tcBorders>
            <w:shd w:val="clear" w:color="auto" w:fill="FCFCFC"/>
            <w:vAlign w:val="center"/>
          </w:tcPr>
          <w:p w14:paraId="75E103B1"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805" w:type="dxa"/>
            <w:tcBorders>
              <w:top w:val="nil"/>
              <w:left w:val="nil"/>
              <w:bottom w:val="nil"/>
              <w:right w:val="nil"/>
            </w:tcBorders>
            <w:shd w:val="clear" w:color="auto" w:fill="FCFCFC"/>
            <w:vAlign w:val="center"/>
          </w:tcPr>
          <w:p w14:paraId="54579735"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52" w:type="dxa"/>
            <w:tcBorders>
              <w:top w:val="nil"/>
              <w:left w:val="nil"/>
              <w:bottom w:val="nil"/>
              <w:right w:val="nil"/>
            </w:tcBorders>
            <w:shd w:val="clear" w:color="auto" w:fill="FCFCFC"/>
            <w:vAlign w:val="center"/>
          </w:tcPr>
          <w:p w14:paraId="3F50BA79"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CFCFC"/>
            <w:vAlign w:val="center"/>
          </w:tcPr>
          <w:p w14:paraId="170E9537"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496" w:type="dxa"/>
            <w:tcBorders>
              <w:top w:val="nil"/>
              <w:left w:val="nil"/>
              <w:bottom w:val="nil"/>
              <w:right w:val="nil"/>
            </w:tcBorders>
            <w:shd w:val="clear" w:color="auto" w:fill="FCFCFC"/>
            <w:vAlign w:val="center"/>
          </w:tcPr>
          <w:p w14:paraId="257F2FF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1B607139"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76" w:type="dxa"/>
            <w:tcBorders>
              <w:top w:val="nil"/>
              <w:left w:val="nil"/>
              <w:bottom w:val="nil"/>
              <w:right w:val="nil"/>
            </w:tcBorders>
            <w:shd w:val="clear" w:color="auto" w:fill="FCFCFC"/>
            <w:vAlign w:val="center"/>
          </w:tcPr>
          <w:p w14:paraId="5DE464A8"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6" w:type="dxa"/>
            <w:tcBorders>
              <w:top w:val="nil"/>
              <w:left w:val="nil"/>
              <w:bottom w:val="nil"/>
              <w:right w:val="nil"/>
            </w:tcBorders>
            <w:shd w:val="clear" w:color="auto" w:fill="FCFCFC"/>
            <w:vAlign w:val="center"/>
          </w:tcPr>
          <w:p w14:paraId="1DF66FC7"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r>
      <w:tr w:rsidR="00B54E50" w:rsidRPr="00B54E50" w14:paraId="6EB85CD3" w14:textId="77777777" w:rsidTr="00B54E50">
        <w:trPr>
          <w:jc w:val="center"/>
        </w:trPr>
        <w:tc>
          <w:tcPr>
            <w:tcW w:w="1843" w:type="dxa"/>
            <w:tcBorders>
              <w:top w:val="nil"/>
              <w:left w:val="nil"/>
              <w:bottom w:val="nil"/>
              <w:right w:val="nil"/>
            </w:tcBorders>
            <w:shd w:val="clear" w:color="auto" w:fill="FFFFFF"/>
            <w:vAlign w:val="center"/>
          </w:tcPr>
          <w:p w14:paraId="1376F076" w14:textId="77777777" w:rsidR="001B672C" w:rsidRPr="00B54E50" w:rsidRDefault="001B672C" w:rsidP="00B54E50">
            <w:pPr>
              <w:pStyle w:val="MDPI42tablebody"/>
              <w:autoSpaceDE w:val="0"/>
              <w:autoSpaceDN w:val="0"/>
              <w:rPr>
                <w:color w:val="auto"/>
              </w:rPr>
            </w:pPr>
            <w:proofErr w:type="spellStart"/>
            <w:r w:rsidRPr="00B54E50">
              <w:rPr>
                <w:color w:val="auto"/>
              </w:rPr>
              <w:t>Olivotto</w:t>
            </w:r>
            <w:proofErr w:type="spellEnd"/>
            <w:r w:rsidRPr="00B54E50">
              <w:rPr>
                <w:color w:val="auto"/>
              </w:rPr>
              <w:t>, 1999 [93]</w:t>
            </w:r>
          </w:p>
        </w:tc>
        <w:tc>
          <w:tcPr>
            <w:tcW w:w="709" w:type="dxa"/>
            <w:tcBorders>
              <w:top w:val="nil"/>
              <w:left w:val="nil"/>
              <w:bottom w:val="nil"/>
              <w:right w:val="nil"/>
            </w:tcBorders>
            <w:shd w:val="clear" w:color="auto" w:fill="FFFFFF"/>
            <w:vAlign w:val="center"/>
          </w:tcPr>
          <w:p w14:paraId="54F3A287" w14:textId="77777777" w:rsidR="001B672C" w:rsidRPr="00B54E50" w:rsidRDefault="001B672C" w:rsidP="00B54E50">
            <w:pPr>
              <w:pStyle w:val="MDPI42tablebody"/>
              <w:autoSpaceDE w:val="0"/>
              <w:autoSpaceDN w:val="0"/>
              <w:rPr>
                <w:color w:val="auto"/>
                <w:szCs w:val="18"/>
              </w:rPr>
            </w:pPr>
            <w:r w:rsidRPr="00B54E50">
              <w:rPr>
                <w:color w:val="auto"/>
                <w:szCs w:val="18"/>
              </w:rPr>
              <w:t>126</w:t>
            </w:r>
          </w:p>
        </w:tc>
        <w:tc>
          <w:tcPr>
            <w:tcW w:w="567" w:type="dxa"/>
            <w:tcBorders>
              <w:top w:val="nil"/>
              <w:left w:val="nil"/>
              <w:bottom w:val="nil"/>
              <w:right w:val="nil"/>
            </w:tcBorders>
            <w:shd w:val="clear" w:color="auto" w:fill="FFFFFF"/>
            <w:vAlign w:val="center"/>
          </w:tcPr>
          <w:p w14:paraId="21AEEFB5" w14:textId="77777777" w:rsidR="001B672C" w:rsidRPr="00B54E50" w:rsidRDefault="001B672C" w:rsidP="00B54E50">
            <w:pPr>
              <w:pStyle w:val="MDPI42tablebody"/>
              <w:autoSpaceDE w:val="0"/>
              <w:autoSpaceDN w:val="0"/>
              <w:rPr>
                <w:color w:val="auto"/>
                <w:szCs w:val="18"/>
              </w:rPr>
            </w:pPr>
            <w:r w:rsidRPr="00B54E50">
              <w:rPr>
                <w:color w:val="auto"/>
                <w:szCs w:val="18"/>
              </w:rPr>
              <w:t>42</w:t>
            </w:r>
          </w:p>
        </w:tc>
        <w:tc>
          <w:tcPr>
            <w:tcW w:w="709" w:type="dxa"/>
            <w:tcBorders>
              <w:top w:val="nil"/>
              <w:left w:val="nil"/>
              <w:bottom w:val="nil"/>
              <w:right w:val="nil"/>
            </w:tcBorders>
            <w:shd w:val="clear" w:color="auto" w:fill="FFFFFF"/>
            <w:vAlign w:val="center"/>
          </w:tcPr>
          <w:p w14:paraId="4F2EC45A" w14:textId="77777777" w:rsidR="001B672C" w:rsidRPr="00B54E50" w:rsidRDefault="001B672C" w:rsidP="00B54E50">
            <w:pPr>
              <w:pStyle w:val="MDPI42tablebody"/>
              <w:autoSpaceDE w:val="0"/>
              <w:autoSpaceDN w:val="0"/>
              <w:rPr>
                <w:color w:val="auto"/>
                <w:szCs w:val="18"/>
              </w:rPr>
            </w:pPr>
            <w:r w:rsidRPr="00B54E50">
              <w:rPr>
                <w:color w:val="auto"/>
                <w:szCs w:val="18"/>
              </w:rPr>
              <w:t>29</w:t>
            </w:r>
          </w:p>
        </w:tc>
        <w:tc>
          <w:tcPr>
            <w:tcW w:w="567" w:type="dxa"/>
            <w:tcBorders>
              <w:top w:val="nil"/>
              <w:left w:val="nil"/>
              <w:bottom w:val="nil"/>
              <w:right w:val="nil"/>
            </w:tcBorders>
            <w:shd w:val="clear" w:color="auto" w:fill="FFFFFF"/>
            <w:vAlign w:val="center"/>
          </w:tcPr>
          <w:p w14:paraId="502F831E" w14:textId="77777777" w:rsidR="001B672C" w:rsidRPr="00B54E50" w:rsidRDefault="001B672C" w:rsidP="00B54E50">
            <w:pPr>
              <w:pStyle w:val="MDPI42tablebody"/>
              <w:autoSpaceDE w:val="0"/>
              <w:autoSpaceDN w:val="0"/>
              <w:rPr>
                <w:color w:val="auto"/>
                <w:szCs w:val="18"/>
              </w:rPr>
            </w:pPr>
            <w:r w:rsidRPr="00B54E50">
              <w:rPr>
                <w:color w:val="auto"/>
                <w:szCs w:val="18"/>
              </w:rPr>
              <w:t>4.7</w:t>
            </w:r>
          </w:p>
        </w:tc>
        <w:tc>
          <w:tcPr>
            <w:tcW w:w="1417" w:type="dxa"/>
            <w:tcBorders>
              <w:top w:val="nil"/>
              <w:left w:val="nil"/>
              <w:bottom w:val="nil"/>
              <w:right w:val="nil"/>
            </w:tcBorders>
            <w:shd w:val="clear" w:color="auto" w:fill="FFFFFF"/>
            <w:vAlign w:val="center"/>
          </w:tcPr>
          <w:p w14:paraId="49C5E83F" w14:textId="77777777" w:rsidR="001B672C" w:rsidRPr="00B54E50" w:rsidRDefault="001B672C" w:rsidP="00B54E50">
            <w:pPr>
              <w:pStyle w:val="MDPI42tablebody"/>
              <w:autoSpaceDE w:val="0"/>
              <w:autoSpaceDN w:val="0"/>
              <w:rPr>
                <w:color w:val="auto"/>
                <w:szCs w:val="18"/>
              </w:rPr>
            </w:pPr>
            <w:r w:rsidRPr="00B54E50">
              <w:rPr>
                <w:color w:val="auto"/>
                <w:szCs w:val="18"/>
              </w:rPr>
              <w:t>Disc. (5H-L)</w:t>
            </w:r>
          </w:p>
        </w:tc>
        <w:tc>
          <w:tcPr>
            <w:tcW w:w="709" w:type="dxa"/>
            <w:tcBorders>
              <w:top w:val="nil"/>
              <w:left w:val="nil"/>
              <w:bottom w:val="nil"/>
              <w:right w:val="nil"/>
            </w:tcBorders>
            <w:shd w:val="clear" w:color="auto" w:fill="FFFFFF"/>
            <w:vAlign w:val="center"/>
          </w:tcPr>
          <w:p w14:paraId="486B8444" w14:textId="77777777" w:rsidR="001B672C" w:rsidRPr="00B54E50" w:rsidRDefault="001B672C" w:rsidP="00B54E50">
            <w:pPr>
              <w:pStyle w:val="MDPI42tablebody"/>
              <w:autoSpaceDE w:val="0"/>
              <w:autoSpaceDN w:val="0"/>
              <w:rPr>
                <w:color w:val="auto"/>
                <w:szCs w:val="18"/>
              </w:rPr>
            </w:pPr>
            <w:r w:rsidRPr="00B54E50">
              <w:rPr>
                <w:color w:val="auto"/>
                <w:szCs w:val="18"/>
              </w:rPr>
              <w:t>3</w:t>
            </w:r>
          </w:p>
        </w:tc>
        <w:tc>
          <w:tcPr>
            <w:tcW w:w="805" w:type="dxa"/>
            <w:tcBorders>
              <w:top w:val="nil"/>
              <w:left w:val="nil"/>
              <w:bottom w:val="nil"/>
              <w:right w:val="nil"/>
            </w:tcBorders>
            <w:shd w:val="clear" w:color="auto" w:fill="FFFFFF"/>
            <w:vAlign w:val="center"/>
          </w:tcPr>
          <w:p w14:paraId="5FBDF433"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154E3E05" w14:textId="77777777" w:rsidR="001B672C" w:rsidRPr="00B54E50" w:rsidRDefault="001B672C" w:rsidP="00B54E50">
            <w:pPr>
              <w:pStyle w:val="MDPI42tablebody"/>
              <w:autoSpaceDE w:val="0"/>
              <w:autoSpaceDN w:val="0"/>
              <w:rPr>
                <w:color w:val="auto"/>
                <w:szCs w:val="18"/>
              </w:rPr>
            </w:pPr>
            <w:r w:rsidRPr="00B54E50">
              <w:rPr>
                <w:color w:val="auto"/>
                <w:szCs w:val="18"/>
              </w:rPr>
              <w:t>6</w:t>
            </w:r>
          </w:p>
        </w:tc>
        <w:tc>
          <w:tcPr>
            <w:tcW w:w="507" w:type="dxa"/>
            <w:tcBorders>
              <w:top w:val="nil"/>
              <w:left w:val="nil"/>
              <w:bottom w:val="nil"/>
              <w:right w:val="nil"/>
            </w:tcBorders>
            <w:shd w:val="clear" w:color="auto" w:fill="FFFFFF"/>
            <w:vAlign w:val="center"/>
          </w:tcPr>
          <w:p w14:paraId="75ADF219"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FFFFF"/>
            <w:vAlign w:val="center"/>
          </w:tcPr>
          <w:p w14:paraId="2D2D9056"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4806F26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4D8E5E57" w14:textId="77777777" w:rsidR="001B672C" w:rsidRPr="00B54E50" w:rsidRDefault="001B672C" w:rsidP="00B54E50">
            <w:pPr>
              <w:pStyle w:val="MDPI42tablebody"/>
              <w:autoSpaceDE w:val="0"/>
              <w:autoSpaceDN w:val="0"/>
              <w:rPr>
                <w:color w:val="auto"/>
                <w:szCs w:val="18"/>
              </w:rPr>
            </w:pPr>
            <w:r w:rsidRPr="00B54E50">
              <w:rPr>
                <w:color w:val="auto"/>
                <w:szCs w:val="18"/>
              </w:rPr>
              <w:t>9</w:t>
            </w:r>
          </w:p>
        </w:tc>
        <w:tc>
          <w:tcPr>
            <w:tcW w:w="506" w:type="dxa"/>
            <w:tcBorders>
              <w:top w:val="nil"/>
              <w:left w:val="nil"/>
              <w:bottom w:val="nil"/>
              <w:right w:val="nil"/>
            </w:tcBorders>
            <w:shd w:val="clear" w:color="auto" w:fill="FFFFFF"/>
            <w:vAlign w:val="center"/>
          </w:tcPr>
          <w:p w14:paraId="69C61249" w14:textId="77777777" w:rsidR="001B672C" w:rsidRPr="00B54E50" w:rsidRDefault="001B672C" w:rsidP="00B54E50">
            <w:pPr>
              <w:pStyle w:val="MDPI42tablebody"/>
              <w:autoSpaceDE w:val="0"/>
              <w:autoSpaceDN w:val="0"/>
              <w:rPr>
                <w:color w:val="auto"/>
                <w:szCs w:val="18"/>
              </w:rPr>
            </w:pPr>
            <w:r w:rsidRPr="00B54E50">
              <w:rPr>
                <w:color w:val="auto"/>
                <w:szCs w:val="18"/>
              </w:rPr>
              <w:t>9</w:t>
            </w:r>
          </w:p>
        </w:tc>
      </w:tr>
      <w:tr w:rsidR="00B54E50" w:rsidRPr="00B54E50" w14:paraId="472E73E2" w14:textId="77777777" w:rsidTr="00B54E50">
        <w:trPr>
          <w:jc w:val="center"/>
        </w:trPr>
        <w:tc>
          <w:tcPr>
            <w:tcW w:w="1843" w:type="dxa"/>
            <w:tcBorders>
              <w:top w:val="nil"/>
              <w:left w:val="nil"/>
              <w:bottom w:val="nil"/>
              <w:right w:val="nil"/>
            </w:tcBorders>
            <w:shd w:val="clear" w:color="auto" w:fill="FCFCFC"/>
            <w:vAlign w:val="center"/>
          </w:tcPr>
          <w:p w14:paraId="31CDF07B" w14:textId="77777777" w:rsidR="001B672C" w:rsidRPr="00B54E50" w:rsidRDefault="001B672C" w:rsidP="00B54E50">
            <w:pPr>
              <w:pStyle w:val="MDPI42tablebody"/>
              <w:autoSpaceDE w:val="0"/>
              <w:autoSpaceDN w:val="0"/>
              <w:rPr>
                <w:color w:val="auto"/>
              </w:rPr>
            </w:pPr>
            <w:r w:rsidRPr="00B54E50">
              <w:rPr>
                <w:color w:val="auto"/>
              </w:rPr>
              <w:t>Peteiro, 2012 [67]</w:t>
            </w:r>
          </w:p>
        </w:tc>
        <w:tc>
          <w:tcPr>
            <w:tcW w:w="709" w:type="dxa"/>
            <w:tcBorders>
              <w:top w:val="nil"/>
              <w:left w:val="nil"/>
              <w:bottom w:val="nil"/>
              <w:right w:val="nil"/>
            </w:tcBorders>
            <w:shd w:val="clear" w:color="auto" w:fill="FCFCFC"/>
            <w:vAlign w:val="center"/>
          </w:tcPr>
          <w:p w14:paraId="448F72D4" w14:textId="77777777" w:rsidR="001B672C" w:rsidRPr="00B54E50" w:rsidRDefault="001B672C" w:rsidP="00B54E50">
            <w:pPr>
              <w:pStyle w:val="MDPI42tablebody"/>
              <w:autoSpaceDE w:val="0"/>
              <w:autoSpaceDN w:val="0"/>
              <w:rPr>
                <w:color w:val="auto"/>
                <w:szCs w:val="18"/>
              </w:rPr>
            </w:pPr>
            <w:r w:rsidRPr="00B54E50">
              <w:rPr>
                <w:color w:val="auto"/>
                <w:szCs w:val="18"/>
              </w:rPr>
              <w:t>239</w:t>
            </w:r>
          </w:p>
        </w:tc>
        <w:tc>
          <w:tcPr>
            <w:tcW w:w="567" w:type="dxa"/>
            <w:tcBorders>
              <w:top w:val="nil"/>
              <w:left w:val="nil"/>
              <w:bottom w:val="nil"/>
              <w:right w:val="nil"/>
            </w:tcBorders>
            <w:shd w:val="clear" w:color="auto" w:fill="FCFCFC"/>
            <w:vAlign w:val="center"/>
          </w:tcPr>
          <w:p w14:paraId="4E35082E" w14:textId="77777777" w:rsidR="001B672C" w:rsidRPr="00B54E50" w:rsidRDefault="001B672C" w:rsidP="00B54E50">
            <w:pPr>
              <w:pStyle w:val="MDPI42tablebody"/>
              <w:autoSpaceDE w:val="0"/>
              <w:autoSpaceDN w:val="0"/>
              <w:rPr>
                <w:color w:val="auto"/>
                <w:szCs w:val="18"/>
              </w:rPr>
            </w:pPr>
            <w:r w:rsidRPr="00B54E50">
              <w:rPr>
                <w:color w:val="auto"/>
                <w:szCs w:val="18"/>
              </w:rPr>
              <w:t>52</w:t>
            </w:r>
          </w:p>
        </w:tc>
        <w:tc>
          <w:tcPr>
            <w:tcW w:w="709" w:type="dxa"/>
            <w:tcBorders>
              <w:top w:val="nil"/>
              <w:left w:val="nil"/>
              <w:bottom w:val="nil"/>
              <w:right w:val="nil"/>
            </w:tcBorders>
            <w:shd w:val="clear" w:color="auto" w:fill="FCFCFC"/>
            <w:vAlign w:val="center"/>
          </w:tcPr>
          <w:p w14:paraId="6387AC64" w14:textId="77777777" w:rsidR="001B672C" w:rsidRPr="00B54E50" w:rsidRDefault="001B672C" w:rsidP="00B54E50">
            <w:pPr>
              <w:pStyle w:val="MDPI42tablebody"/>
              <w:autoSpaceDE w:val="0"/>
              <w:autoSpaceDN w:val="0"/>
              <w:rPr>
                <w:color w:val="auto"/>
                <w:szCs w:val="18"/>
              </w:rPr>
            </w:pPr>
            <w:r w:rsidRPr="00B54E50">
              <w:rPr>
                <w:color w:val="auto"/>
                <w:szCs w:val="18"/>
              </w:rPr>
              <w:t>39</w:t>
            </w:r>
          </w:p>
        </w:tc>
        <w:tc>
          <w:tcPr>
            <w:tcW w:w="567" w:type="dxa"/>
            <w:tcBorders>
              <w:top w:val="nil"/>
              <w:left w:val="nil"/>
              <w:bottom w:val="nil"/>
              <w:right w:val="nil"/>
            </w:tcBorders>
            <w:shd w:val="clear" w:color="auto" w:fill="FCFCFC"/>
            <w:vAlign w:val="center"/>
          </w:tcPr>
          <w:p w14:paraId="66ED76CE" w14:textId="77777777" w:rsidR="001B672C" w:rsidRPr="00B54E50" w:rsidRDefault="001B672C" w:rsidP="00B54E50">
            <w:pPr>
              <w:pStyle w:val="MDPI42tablebody"/>
              <w:autoSpaceDE w:val="0"/>
              <w:autoSpaceDN w:val="0"/>
              <w:rPr>
                <w:color w:val="auto"/>
                <w:szCs w:val="18"/>
              </w:rPr>
            </w:pPr>
            <w:r w:rsidRPr="00B54E50">
              <w:rPr>
                <w:color w:val="auto"/>
                <w:szCs w:val="18"/>
              </w:rPr>
              <w:t>4.1</w:t>
            </w:r>
          </w:p>
        </w:tc>
        <w:tc>
          <w:tcPr>
            <w:tcW w:w="1417" w:type="dxa"/>
            <w:tcBorders>
              <w:top w:val="nil"/>
              <w:left w:val="nil"/>
              <w:bottom w:val="nil"/>
              <w:right w:val="nil"/>
            </w:tcBorders>
            <w:shd w:val="clear" w:color="auto" w:fill="FCFCFC"/>
            <w:vAlign w:val="center"/>
          </w:tcPr>
          <w:p w14:paraId="3EF3AE0E"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2569142C"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CFCFC"/>
            <w:vAlign w:val="center"/>
          </w:tcPr>
          <w:p w14:paraId="4B37A198"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552" w:type="dxa"/>
            <w:tcBorders>
              <w:top w:val="nil"/>
              <w:left w:val="nil"/>
              <w:bottom w:val="nil"/>
              <w:right w:val="nil"/>
            </w:tcBorders>
            <w:shd w:val="clear" w:color="auto" w:fill="FCFCFC"/>
            <w:vAlign w:val="center"/>
          </w:tcPr>
          <w:p w14:paraId="303F143E"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CFCFC"/>
            <w:vAlign w:val="center"/>
          </w:tcPr>
          <w:p w14:paraId="7EF8680F"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CFCFC"/>
            <w:vAlign w:val="center"/>
          </w:tcPr>
          <w:p w14:paraId="1ABD09FA"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02" w:type="dxa"/>
            <w:tcBorders>
              <w:top w:val="nil"/>
              <w:left w:val="nil"/>
              <w:bottom w:val="nil"/>
              <w:right w:val="nil"/>
            </w:tcBorders>
            <w:shd w:val="clear" w:color="auto" w:fill="FCFCFC"/>
            <w:vAlign w:val="center"/>
          </w:tcPr>
          <w:p w14:paraId="61347F7B"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76" w:type="dxa"/>
            <w:tcBorders>
              <w:top w:val="nil"/>
              <w:left w:val="nil"/>
              <w:bottom w:val="nil"/>
              <w:right w:val="nil"/>
            </w:tcBorders>
            <w:shd w:val="clear" w:color="auto" w:fill="FCFCFC"/>
            <w:vAlign w:val="center"/>
          </w:tcPr>
          <w:p w14:paraId="360B6C59" w14:textId="77777777" w:rsidR="001B672C" w:rsidRPr="00B54E50" w:rsidRDefault="001B672C" w:rsidP="00B54E50">
            <w:pPr>
              <w:pStyle w:val="MDPI42tablebody"/>
              <w:autoSpaceDE w:val="0"/>
              <w:autoSpaceDN w:val="0"/>
              <w:rPr>
                <w:color w:val="auto"/>
                <w:szCs w:val="18"/>
              </w:rPr>
            </w:pPr>
            <w:r w:rsidRPr="00B54E50">
              <w:rPr>
                <w:color w:val="auto"/>
                <w:szCs w:val="18"/>
              </w:rPr>
              <w:t>5</w:t>
            </w:r>
          </w:p>
        </w:tc>
        <w:tc>
          <w:tcPr>
            <w:tcW w:w="506" w:type="dxa"/>
            <w:tcBorders>
              <w:top w:val="nil"/>
              <w:left w:val="nil"/>
              <w:bottom w:val="nil"/>
              <w:right w:val="nil"/>
            </w:tcBorders>
            <w:shd w:val="clear" w:color="auto" w:fill="FCFCFC"/>
            <w:vAlign w:val="center"/>
          </w:tcPr>
          <w:p w14:paraId="6F4863ED"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20815EDE" w14:textId="77777777" w:rsidTr="00B54E50">
        <w:trPr>
          <w:jc w:val="center"/>
        </w:trPr>
        <w:tc>
          <w:tcPr>
            <w:tcW w:w="1843" w:type="dxa"/>
            <w:tcBorders>
              <w:top w:val="nil"/>
              <w:left w:val="nil"/>
              <w:bottom w:val="nil"/>
              <w:right w:val="nil"/>
            </w:tcBorders>
            <w:shd w:val="clear" w:color="auto" w:fill="FFFFFF"/>
            <w:vAlign w:val="center"/>
          </w:tcPr>
          <w:p w14:paraId="5C207772" w14:textId="77777777" w:rsidR="001B672C" w:rsidRPr="00B54E50" w:rsidRDefault="001B672C" w:rsidP="00B54E50">
            <w:pPr>
              <w:pStyle w:val="MDPI42tablebody"/>
              <w:autoSpaceDE w:val="0"/>
              <w:autoSpaceDN w:val="0"/>
              <w:rPr>
                <w:color w:val="auto"/>
              </w:rPr>
            </w:pPr>
            <w:r w:rsidRPr="00B54E50">
              <w:rPr>
                <w:color w:val="auto"/>
              </w:rPr>
              <w:t>Peteiro, 2015 [94]</w:t>
            </w:r>
          </w:p>
        </w:tc>
        <w:tc>
          <w:tcPr>
            <w:tcW w:w="709" w:type="dxa"/>
            <w:tcBorders>
              <w:top w:val="nil"/>
              <w:left w:val="nil"/>
              <w:bottom w:val="nil"/>
              <w:right w:val="nil"/>
            </w:tcBorders>
            <w:shd w:val="clear" w:color="auto" w:fill="FFFFFF"/>
            <w:vAlign w:val="center"/>
          </w:tcPr>
          <w:p w14:paraId="64934227" w14:textId="77777777" w:rsidR="001B672C" w:rsidRPr="00B54E50" w:rsidRDefault="001B672C" w:rsidP="00B54E50">
            <w:pPr>
              <w:pStyle w:val="MDPI42tablebody"/>
              <w:autoSpaceDE w:val="0"/>
              <w:autoSpaceDN w:val="0"/>
              <w:rPr>
                <w:color w:val="auto"/>
                <w:szCs w:val="18"/>
              </w:rPr>
            </w:pPr>
            <w:r w:rsidRPr="00B54E50">
              <w:rPr>
                <w:color w:val="auto"/>
                <w:szCs w:val="18"/>
              </w:rPr>
              <w:t>148</w:t>
            </w:r>
          </w:p>
        </w:tc>
        <w:tc>
          <w:tcPr>
            <w:tcW w:w="567" w:type="dxa"/>
            <w:tcBorders>
              <w:top w:val="nil"/>
              <w:left w:val="nil"/>
              <w:bottom w:val="nil"/>
              <w:right w:val="nil"/>
            </w:tcBorders>
            <w:shd w:val="clear" w:color="auto" w:fill="FFFFFF"/>
            <w:vAlign w:val="center"/>
          </w:tcPr>
          <w:p w14:paraId="005DC809" w14:textId="77777777" w:rsidR="001B672C" w:rsidRPr="00B54E50" w:rsidRDefault="001B672C" w:rsidP="00B54E50">
            <w:pPr>
              <w:pStyle w:val="MDPI42tablebody"/>
              <w:autoSpaceDE w:val="0"/>
              <w:autoSpaceDN w:val="0"/>
              <w:rPr>
                <w:color w:val="auto"/>
                <w:szCs w:val="18"/>
              </w:rPr>
            </w:pPr>
            <w:r w:rsidRPr="00B54E50">
              <w:rPr>
                <w:color w:val="auto"/>
                <w:szCs w:val="18"/>
              </w:rPr>
              <w:t>51</w:t>
            </w:r>
          </w:p>
        </w:tc>
        <w:tc>
          <w:tcPr>
            <w:tcW w:w="709" w:type="dxa"/>
            <w:tcBorders>
              <w:top w:val="nil"/>
              <w:left w:val="nil"/>
              <w:bottom w:val="nil"/>
              <w:right w:val="nil"/>
            </w:tcBorders>
            <w:shd w:val="clear" w:color="auto" w:fill="FFFFFF"/>
            <w:vAlign w:val="center"/>
          </w:tcPr>
          <w:p w14:paraId="28CFAA08" w14:textId="77777777" w:rsidR="001B672C" w:rsidRPr="00B54E50" w:rsidRDefault="001B672C" w:rsidP="00B54E50">
            <w:pPr>
              <w:pStyle w:val="MDPI42tablebody"/>
              <w:autoSpaceDE w:val="0"/>
              <w:autoSpaceDN w:val="0"/>
              <w:rPr>
                <w:color w:val="auto"/>
                <w:szCs w:val="18"/>
              </w:rPr>
            </w:pPr>
            <w:r w:rsidRPr="00B54E50">
              <w:rPr>
                <w:color w:val="auto"/>
                <w:szCs w:val="18"/>
              </w:rPr>
              <w:t>34</w:t>
            </w:r>
          </w:p>
        </w:tc>
        <w:tc>
          <w:tcPr>
            <w:tcW w:w="567" w:type="dxa"/>
            <w:tcBorders>
              <w:top w:val="nil"/>
              <w:left w:val="nil"/>
              <w:bottom w:val="nil"/>
              <w:right w:val="nil"/>
            </w:tcBorders>
            <w:shd w:val="clear" w:color="auto" w:fill="FFFFFF"/>
            <w:vAlign w:val="center"/>
          </w:tcPr>
          <w:p w14:paraId="41BAC78E" w14:textId="77777777" w:rsidR="001B672C" w:rsidRPr="00B54E50" w:rsidRDefault="001B672C" w:rsidP="00B54E50">
            <w:pPr>
              <w:pStyle w:val="MDPI42tablebody"/>
              <w:autoSpaceDE w:val="0"/>
              <w:autoSpaceDN w:val="0"/>
              <w:rPr>
                <w:color w:val="auto"/>
                <w:szCs w:val="18"/>
              </w:rPr>
            </w:pPr>
            <w:r w:rsidRPr="00B54E50">
              <w:rPr>
                <w:color w:val="auto"/>
                <w:szCs w:val="18"/>
              </w:rPr>
              <w:t>7.1</w:t>
            </w:r>
          </w:p>
        </w:tc>
        <w:tc>
          <w:tcPr>
            <w:tcW w:w="1417" w:type="dxa"/>
            <w:tcBorders>
              <w:top w:val="nil"/>
              <w:left w:val="nil"/>
              <w:bottom w:val="nil"/>
              <w:right w:val="nil"/>
            </w:tcBorders>
            <w:shd w:val="clear" w:color="auto" w:fill="FFFFFF"/>
            <w:vAlign w:val="center"/>
          </w:tcPr>
          <w:p w14:paraId="358661DC"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FFFFF"/>
            <w:vAlign w:val="center"/>
          </w:tcPr>
          <w:p w14:paraId="7F651580"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805" w:type="dxa"/>
            <w:tcBorders>
              <w:top w:val="nil"/>
              <w:left w:val="nil"/>
              <w:bottom w:val="nil"/>
              <w:right w:val="nil"/>
            </w:tcBorders>
            <w:shd w:val="clear" w:color="auto" w:fill="FFFFFF"/>
            <w:vAlign w:val="center"/>
          </w:tcPr>
          <w:p w14:paraId="63F6D4DF"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52" w:type="dxa"/>
            <w:tcBorders>
              <w:top w:val="nil"/>
              <w:left w:val="nil"/>
              <w:bottom w:val="nil"/>
              <w:right w:val="nil"/>
            </w:tcBorders>
            <w:shd w:val="clear" w:color="auto" w:fill="FFFFFF"/>
            <w:vAlign w:val="center"/>
          </w:tcPr>
          <w:p w14:paraId="0F515524"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7" w:type="dxa"/>
            <w:tcBorders>
              <w:top w:val="nil"/>
              <w:left w:val="nil"/>
              <w:bottom w:val="nil"/>
              <w:right w:val="nil"/>
            </w:tcBorders>
            <w:shd w:val="clear" w:color="auto" w:fill="FFFFFF"/>
            <w:vAlign w:val="center"/>
          </w:tcPr>
          <w:p w14:paraId="3E3C0FA8"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496" w:type="dxa"/>
            <w:tcBorders>
              <w:top w:val="nil"/>
              <w:left w:val="nil"/>
              <w:bottom w:val="nil"/>
              <w:right w:val="nil"/>
            </w:tcBorders>
            <w:shd w:val="clear" w:color="auto" w:fill="FFFFFF"/>
            <w:vAlign w:val="center"/>
          </w:tcPr>
          <w:p w14:paraId="2131881C"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502" w:type="dxa"/>
            <w:tcBorders>
              <w:top w:val="nil"/>
              <w:left w:val="nil"/>
              <w:bottom w:val="nil"/>
              <w:right w:val="nil"/>
            </w:tcBorders>
            <w:shd w:val="clear" w:color="auto" w:fill="FFFFFF"/>
            <w:vAlign w:val="center"/>
          </w:tcPr>
          <w:p w14:paraId="043F591E"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76" w:type="dxa"/>
            <w:tcBorders>
              <w:top w:val="nil"/>
              <w:left w:val="nil"/>
              <w:bottom w:val="nil"/>
              <w:right w:val="nil"/>
            </w:tcBorders>
            <w:shd w:val="clear" w:color="auto" w:fill="FFFFFF"/>
            <w:vAlign w:val="center"/>
          </w:tcPr>
          <w:p w14:paraId="0D4A7731"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6" w:type="dxa"/>
            <w:tcBorders>
              <w:top w:val="nil"/>
              <w:left w:val="nil"/>
              <w:bottom w:val="nil"/>
              <w:right w:val="nil"/>
            </w:tcBorders>
            <w:shd w:val="clear" w:color="auto" w:fill="FFFFFF"/>
            <w:vAlign w:val="center"/>
          </w:tcPr>
          <w:p w14:paraId="7CCB5B7A"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r>
      <w:tr w:rsidR="00B54E50" w:rsidRPr="00B54E50" w14:paraId="6BB633FF" w14:textId="77777777" w:rsidTr="00B54E50">
        <w:trPr>
          <w:jc w:val="center"/>
        </w:trPr>
        <w:tc>
          <w:tcPr>
            <w:tcW w:w="1843" w:type="dxa"/>
            <w:tcBorders>
              <w:top w:val="nil"/>
              <w:left w:val="nil"/>
              <w:bottom w:val="nil"/>
              <w:right w:val="nil"/>
            </w:tcBorders>
            <w:shd w:val="clear" w:color="auto" w:fill="FCFCFC"/>
            <w:vAlign w:val="center"/>
          </w:tcPr>
          <w:p w14:paraId="1E2134C1" w14:textId="77777777" w:rsidR="001B672C" w:rsidRPr="00B54E50" w:rsidRDefault="001B672C" w:rsidP="00B54E50">
            <w:pPr>
              <w:pStyle w:val="MDPI42tablebody"/>
              <w:autoSpaceDE w:val="0"/>
              <w:autoSpaceDN w:val="0"/>
              <w:rPr>
                <w:color w:val="auto"/>
              </w:rPr>
            </w:pPr>
            <w:proofErr w:type="spellStart"/>
            <w:r w:rsidRPr="00B54E50">
              <w:rPr>
                <w:color w:val="auto"/>
              </w:rPr>
              <w:t>Pozios</w:t>
            </w:r>
            <w:proofErr w:type="spellEnd"/>
            <w:r w:rsidRPr="00B54E50">
              <w:rPr>
                <w:color w:val="auto"/>
              </w:rPr>
              <w:t>, 2018 [68]</w:t>
            </w:r>
          </w:p>
        </w:tc>
        <w:tc>
          <w:tcPr>
            <w:tcW w:w="709" w:type="dxa"/>
            <w:tcBorders>
              <w:top w:val="nil"/>
              <w:left w:val="nil"/>
              <w:bottom w:val="nil"/>
              <w:right w:val="nil"/>
            </w:tcBorders>
            <w:shd w:val="clear" w:color="auto" w:fill="FCFCFC"/>
            <w:vAlign w:val="center"/>
          </w:tcPr>
          <w:p w14:paraId="7AF19C3D" w14:textId="77777777" w:rsidR="001B672C" w:rsidRPr="00B54E50" w:rsidRDefault="001B672C" w:rsidP="00B54E50">
            <w:pPr>
              <w:pStyle w:val="MDPI42tablebody"/>
              <w:autoSpaceDE w:val="0"/>
              <w:autoSpaceDN w:val="0"/>
              <w:rPr>
                <w:color w:val="auto"/>
                <w:szCs w:val="18"/>
              </w:rPr>
            </w:pPr>
            <w:r w:rsidRPr="00B54E50">
              <w:rPr>
                <w:color w:val="auto"/>
                <w:szCs w:val="18"/>
              </w:rPr>
              <w:t>95</w:t>
            </w:r>
          </w:p>
        </w:tc>
        <w:tc>
          <w:tcPr>
            <w:tcW w:w="567" w:type="dxa"/>
            <w:tcBorders>
              <w:top w:val="nil"/>
              <w:left w:val="nil"/>
              <w:bottom w:val="nil"/>
              <w:right w:val="nil"/>
            </w:tcBorders>
            <w:shd w:val="clear" w:color="auto" w:fill="FCFCFC"/>
            <w:vAlign w:val="center"/>
          </w:tcPr>
          <w:p w14:paraId="2203BEFB" w14:textId="77777777" w:rsidR="001B672C" w:rsidRPr="00B54E50" w:rsidRDefault="001B672C" w:rsidP="00B54E50">
            <w:pPr>
              <w:pStyle w:val="MDPI42tablebody"/>
              <w:autoSpaceDE w:val="0"/>
              <w:autoSpaceDN w:val="0"/>
              <w:rPr>
                <w:color w:val="auto"/>
                <w:szCs w:val="18"/>
              </w:rPr>
            </w:pPr>
            <w:r w:rsidRPr="00B54E50">
              <w:rPr>
                <w:color w:val="auto"/>
                <w:szCs w:val="18"/>
              </w:rPr>
              <w:t>49</w:t>
            </w:r>
          </w:p>
        </w:tc>
        <w:tc>
          <w:tcPr>
            <w:tcW w:w="709" w:type="dxa"/>
            <w:tcBorders>
              <w:top w:val="nil"/>
              <w:left w:val="nil"/>
              <w:bottom w:val="nil"/>
              <w:right w:val="nil"/>
            </w:tcBorders>
            <w:shd w:val="clear" w:color="auto" w:fill="FCFCFC"/>
            <w:vAlign w:val="center"/>
          </w:tcPr>
          <w:p w14:paraId="04C26F8A" w14:textId="77777777" w:rsidR="001B672C" w:rsidRPr="00B54E50" w:rsidRDefault="001B672C" w:rsidP="00B54E50">
            <w:pPr>
              <w:pStyle w:val="MDPI42tablebody"/>
              <w:autoSpaceDE w:val="0"/>
              <w:autoSpaceDN w:val="0"/>
              <w:rPr>
                <w:color w:val="auto"/>
                <w:szCs w:val="18"/>
              </w:rPr>
            </w:pPr>
            <w:r w:rsidRPr="00B54E50">
              <w:rPr>
                <w:color w:val="auto"/>
                <w:szCs w:val="18"/>
              </w:rPr>
              <w:t>31</w:t>
            </w:r>
          </w:p>
        </w:tc>
        <w:tc>
          <w:tcPr>
            <w:tcW w:w="567" w:type="dxa"/>
            <w:tcBorders>
              <w:top w:val="nil"/>
              <w:left w:val="nil"/>
              <w:bottom w:val="nil"/>
              <w:right w:val="nil"/>
            </w:tcBorders>
            <w:shd w:val="clear" w:color="auto" w:fill="FCFCFC"/>
            <w:vAlign w:val="center"/>
          </w:tcPr>
          <w:p w14:paraId="323DB822" w14:textId="77777777" w:rsidR="001B672C" w:rsidRPr="00B54E50" w:rsidRDefault="001B672C" w:rsidP="00B54E50">
            <w:pPr>
              <w:pStyle w:val="MDPI42tablebody"/>
              <w:autoSpaceDE w:val="0"/>
              <w:autoSpaceDN w:val="0"/>
              <w:rPr>
                <w:color w:val="auto"/>
                <w:szCs w:val="18"/>
              </w:rPr>
            </w:pPr>
            <w:r w:rsidRPr="00B54E50">
              <w:rPr>
                <w:color w:val="auto"/>
                <w:szCs w:val="18"/>
              </w:rPr>
              <w:t>3.4</w:t>
            </w:r>
          </w:p>
        </w:tc>
        <w:tc>
          <w:tcPr>
            <w:tcW w:w="1417" w:type="dxa"/>
            <w:tcBorders>
              <w:top w:val="nil"/>
              <w:left w:val="nil"/>
              <w:bottom w:val="nil"/>
              <w:right w:val="nil"/>
            </w:tcBorders>
            <w:shd w:val="clear" w:color="auto" w:fill="FCFCFC"/>
            <w:vAlign w:val="center"/>
          </w:tcPr>
          <w:p w14:paraId="04CDB045"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CFCFC"/>
            <w:vAlign w:val="center"/>
          </w:tcPr>
          <w:p w14:paraId="61EFF838"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805" w:type="dxa"/>
            <w:tcBorders>
              <w:top w:val="nil"/>
              <w:left w:val="nil"/>
              <w:bottom w:val="nil"/>
              <w:right w:val="nil"/>
            </w:tcBorders>
            <w:shd w:val="clear" w:color="auto" w:fill="FCFCFC"/>
            <w:vAlign w:val="center"/>
          </w:tcPr>
          <w:p w14:paraId="4E125C2D" w14:textId="77777777" w:rsidR="001B672C" w:rsidRPr="00B54E50" w:rsidRDefault="001B672C" w:rsidP="00B54E50">
            <w:pPr>
              <w:pStyle w:val="MDPI42tablebody"/>
              <w:autoSpaceDE w:val="0"/>
              <w:autoSpaceDN w:val="0"/>
              <w:rPr>
                <w:color w:val="auto"/>
                <w:szCs w:val="18"/>
              </w:rPr>
            </w:pPr>
            <w:r w:rsidRPr="00B54E50">
              <w:rPr>
                <w:color w:val="auto"/>
                <w:szCs w:val="18"/>
              </w:rPr>
              <w:t>18</w:t>
            </w:r>
          </w:p>
        </w:tc>
        <w:tc>
          <w:tcPr>
            <w:tcW w:w="552" w:type="dxa"/>
            <w:tcBorders>
              <w:top w:val="nil"/>
              <w:left w:val="nil"/>
              <w:bottom w:val="nil"/>
              <w:right w:val="nil"/>
            </w:tcBorders>
            <w:shd w:val="clear" w:color="auto" w:fill="FCFCFC"/>
            <w:vAlign w:val="center"/>
          </w:tcPr>
          <w:p w14:paraId="31671067"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7" w:type="dxa"/>
            <w:tcBorders>
              <w:top w:val="nil"/>
              <w:left w:val="nil"/>
              <w:bottom w:val="nil"/>
              <w:right w:val="nil"/>
            </w:tcBorders>
            <w:shd w:val="clear" w:color="auto" w:fill="FCFCFC"/>
            <w:vAlign w:val="center"/>
          </w:tcPr>
          <w:p w14:paraId="59ED0207"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CFCFC"/>
            <w:vAlign w:val="center"/>
          </w:tcPr>
          <w:p w14:paraId="7473B2BD"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159CE197"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CFCFC"/>
            <w:vAlign w:val="center"/>
          </w:tcPr>
          <w:p w14:paraId="3E872B1B"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506" w:type="dxa"/>
            <w:tcBorders>
              <w:top w:val="nil"/>
              <w:left w:val="nil"/>
              <w:bottom w:val="nil"/>
              <w:right w:val="nil"/>
            </w:tcBorders>
            <w:shd w:val="clear" w:color="auto" w:fill="FCFCFC"/>
            <w:vAlign w:val="center"/>
          </w:tcPr>
          <w:p w14:paraId="628D8F10"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r>
      <w:tr w:rsidR="00B54E50" w:rsidRPr="00B54E50" w14:paraId="2ACAA4D7" w14:textId="77777777" w:rsidTr="00B54E50">
        <w:trPr>
          <w:jc w:val="center"/>
        </w:trPr>
        <w:tc>
          <w:tcPr>
            <w:tcW w:w="1843" w:type="dxa"/>
            <w:tcBorders>
              <w:top w:val="nil"/>
              <w:left w:val="nil"/>
              <w:bottom w:val="nil"/>
              <w:right w:val="nil"/>
            </w:tcBorders>
            <w:shd w:val="clear" w:color="auto" w:fill="FFFFFF"/>
            <w:vAlign w:val="center"/>
          </w:tcPr>
          <w:p w14:paraId="47F5C003" w14:textId="77777777" w:rsidR="001B672C" w:rsidRPr="00B54E50" w:rsidRDefault="001B672C" w:rsidP="00B54E50">
            <w:pPr>
              <w:pStyle w:val="MDPI42tablebody"/>
              <w:autoSpaceDE w:val="0"/>
              <w:autoSpaceDN w:val="0"/>
              <w:rPr>
                <w:color w:val="auto"/>
              </w:rPr>
            </w:pPr>
            <w:proofErr w:type="spellStart"/>
            <w:r w:rsidRPr="00B54E50">
              <w:rPr>
                <w:color w:val="auto"/>
              </w:rPr>
              <w:t>Reant</w:t>
            </w:r>
            <w:proofErr w:type="spellEnd"/>
            <w:r w:rsidRPr="00B54E50">
              <w:rPr>
                <w:color w:val="auto"/>
              </w:rPr>
              <w:t>, 2015 [95]</w:t>
            </w:r>
          </w:p>
        </w:tc>
        <w:tc>
          <w:tcPr>
            <w:tcW w:w="709" w:type="dxa"/>
            <w:tcBorders>
              <w:top w:val="nil"/>
              <w:left w:val="nil"/>
              <w:bottom w:val="nil"/>
              <w:right w:val="nil"/>
            </w:tcBorders>
            <w:shd w:val="clear" w:color="auto" w:fill="FFFFFF"/>
            <w:vAlign w:val="center"/>
          </w:tcPr>
          <w:p w14:paraId="39D40F07" w14:textId="77777777" w:rsidR="001B672C" w:rsidRPr="00B54E50" w:rsidRDefault="001B672C" w:rsidP="00B54E50">
            <w:pPr>
              <w:pStyle w:val="MDPI42tablebody"/>
              <w:autoSpaceDE w:val="0"/>
              <w:autoSpaceDN w:val="0"/>
              <w:rPr>
                <w:color w:val="auto"/>
                <w:szCs w:val="18"/>
              </w:rPr>
            </w:pPr>
            <w:r w:rsidRPr="00B54E50">
              <w:rPr>
                <w:color w:val="auto"/>
                <w:szCs w:val="18"/>
              </w:rPr>
              <w:t>115</w:t>
            </w:r>
          </w:p>
        </w:tc>
        <w:tc>
          <w:tcPr>
            <w:tcW w:w="567" w:type="dxa"/>
            <w:tcBorders>
              <w:top w:val="nil"/>
              <w:left w:val="nil"/>
              <w:bottom w:val="nil"/>
              <w:right w:val="nil"/>
            </w:tcBorders>
            <w:shd w:val="clear" w:color="auto" w:fill="FFFFFF"/>
            <w:vAlign w:val="center"/>
          </w:tcPr>
          <w:p w14:paraId="17515484" w14:textId="77777777" w:rsidR="001B672C" w:rsidRPr="00B54E50" w:rsidRDefault="001B672C" w:rsidP="00B54E50">
            <w:pPr>
              <w:pStyle w:val="MDPI42tablebody"/>
              <w:autoSpaceDE w:val="0"/>
              <w:autoSpaceDN w:val="0"/>
              <w:rPr>
                <w:color w:val="auto"/>
                <w:szCs w:val="18"/>
              </w:rPr>
            </w:pPr>
            <w:r w:rsidRPr="00B54E50">
              <w:rPr>
                <w:color w:val="auto"/>
                <w:szCs w:val="18"/>
              </w:rPr>
              <w:t>52</w:t>
            </w:r>
          </w:p>
        </w:tc>
        <w:tc>
          <w:tcPr>
            <w:tcW w:w="709" w:type="dxa"/>
            <w:tcBorders>
              <w:top w:val="nil"/>
              <w:left w:val="nil"/>
              <w:bottom w:val="nil"/>
              <w:right w:val="nil"/>
            </w:tcBorders>
            <w:shd w:val="clear" w:color="auto" w:fill="FFFFFF"/>
            <w:vAlign w:val="center"/>
          </w:tcPr>
          <w:p w14:paraId="2623FEAE" w14:textId="77777777" w:rsidR="001B672C" w:rsidRPr="00B54E50" w:rsidRDefault="001B672C" w:rsidP="00B54E50">
            <w:pPr>
              <w:pStyle w:val="MDPI42tablebody"/>
              <w:autoSpaceDE w:val="0"/>
              <w:autoSpaceDN w:val="0"/>
              <w:rPr>
                <w:color w:val="auto"/>
                <w:szCs w:val="18"/>
              </w:rPr>
            </w:pPr>
            <w:r w:rsidRPr="00B54E50">
              <w:rPr>
                <w:color w:val="auto"/>
                <w:szCs w:val="18"/>
              </w:rPr>
              <w:t>34</w:t>
            </w:r>
          </w:p>
        </w:tc>
        <w:tc>
          <w:tcPr>
            <w:tcW w:w="567" w:type="dxa"/>
            <w:tcBorders>
              <w:top w:val="nil"/>
              <w:left w:val="nil"/>
              <w:bottom w:val="nil"/>
              <w:right w:val="nil"/>
            </w:tcBorders>
            <w:shd w:val="clear" w:color="auto" w:fill="FFFFFF"/>
            <w:vAlign w:val="center"/>
          </w:tcPr>
          <w:p w14:paraId="4DEE31ED" w14:textId="77777777" w:rsidR="001B672C" w:rsidRPr="00B54E50" w:rsidRDefault="001B672C" w:rsidP="00B54E50">
            <w:pPr>
              <w:pStyle w:val="MDPI42tablebody"/>
              <w:autoSpaceDE w:val="0"/>
              <w:autoSpaceDN w:val="0"/>
              <w:rPr>
                <w:color w:val="auto"/>
                <w:szCs w:val="18"/>
              </w:rPr>
            </w:pPr>
            <w:r w:rsidRPr="00B54E50">
              <w:rPr>
                <w:color w:val="auto"/>
                <w:szCs w:val="18"/>
              </w:rPr>
              <w:t>1.6</w:t>
            </w:r>
          </w:p>
        </w:tc>
        <w:tc>
          <w:tcPr>
            <w:tcW w:w="1417" w:type="dxa"/>
            <w:tcBorders>
              <w:top w:val="nil"/>
              <w:left w:val="nil"/>
              <w:bottom w:val="nil"/>
              <w:right w:val="nil"/>
            </w:tcBorders>
            <w:shd w:val="clear" w:color="auto" w:fill="FFFFFF"/>
            <w:vAlign w:val="center"/>
          </w:tcPr>
          <w:p w14:paraId="45FE2D56"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FFFFF"/>
            <w:vAlign w:val="center"/>
          </w:tcPr>
          <w:p w14:paraId="431E06B9" w14:textId="77777777" w:rsidR="001B672C" w:rsidRPr="00B54E50" w:rsidRDefault="001B672C" w:rsidP="00B54E50">
            <w:pPr>
              <w:pStyle w:val="MDPI42tablebody"/>
              <w:autoSpaceDE w:val="0"/>
              <w:autoSpaceDN w:val="0"/>
              <w:rPr>
                <w:color w:val="auto"/>
                <w:szCs w:val="18"/>
              </w:rPr>
            </w:pPr>
            <w:r w:rsidRPr="00B54E50">
              <w:rPr>
                <w:color w:val="auto"/>
                <w:szCs w:val="18"/>
              </w:rPr>
              <w:t>0</w:t>
            </w:r>
          </w:p>
        </w:tc>
        <w:tc>
          <w:tcPr>
            <w:tcW w:w="805" w:type="dxa"/>
            <w:tcBorders>
              <w:top w:val="nil"/>
              <w:left w:val="nil"/>
              <w:bottom w:val="nil"/>
              <w:right w:val="nil"/>
            </w:tcBorders>
            <w:shd w:val="clear" w:color="auto" w:fill="FFFFFF"/>
            <w:vAlign w:val="center"/>
          </w:tcPr>
          <w:p w14:paraId="71F4AFCF"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530998C6"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07" w:type="dxa"/>
            <w:tcBorders>
              <w:top w:val="nil"/>
              <w:left w:val="nil"/>
              <w:bottom w:val="nil"/>
              <w:right w:val="nil"/>
            </w:tcBorders>
            <w:shd w:val="clear" w:color="auto" w:fill="FFFFFF"/>
            <w:vAlign w:val="center"/>
          </w:tcPr>
          <w:p w14:paraId="3236D872"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FFFFF"/>
            <w:vAlign w:val="center"/>
          </w:tcPr>
          <w:p w14:paraId="7D1A5232"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75D03E9F"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50FF60B5"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06" w:type="dxa"/>
            <w:tcBorders>
              <w:top w:val="nil"/>
              <w:left w:val="nil"/>
              <w:bottom w:val="nil"/>
              <w:right w:val="nil"/>
            </w:tcBorders>
            <w:shd w:val="clear" w:color="auto" w:fill="FFFFFF"/>
            <w:vAlign w:val="center"/>
          </w:tcPr>
          <w:p w14:paraId="702DDED6"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32A73237" w14:textId="77777777" w:rsidTr="00B54E50">
        <w:trPr>
          <w:jc w:val="center"/>
        </w:trPr>
        <w:tc>
          <w:tcPr>
            <w:tcW w:w="1843" w:type="dxa"/>
            <w:tcBorders>
              <w:top w:val="nil"/>
              <w:left w:val="nil"/>
              <w:bottom w:val="nil"/>
              <w:right w:val="nil"/>
            </w:tcBorders>
            <w:shd w:val="clear" w:color="auto" w:fill="FCFCFC"/>
            <w:vAlign w:val="center"/>
          </w:tcPr>
          <w:p w14:paraId="3B229191" w14:textId="77777777" w:rsidR="001B672C" w:rsidRPr="00B54E50" w:rsidRDefault="001B672C" w:rsidP="00B54E50">
            <w:pPr>
              <w:pStyle w:val="MDPI42tablebody"/>
              <w:autoSpaceDE w:val="0"/>
              <w:autoSpaceDN w:val="0"/>
              <w:rPr>
                <w:color w:val="auto"/>
              </w:rPr>
            </w:pPr>
            <w:proofErr w:type="spellStart"/>
            <w:r w:rsidRPr="00B54E50">
              <w:rPr>
                <w:color w:val="auto"/>
              </w:rPr>
              <w:t>Sadoul</w:t>
            </w:r>
            <w:proofErr w:type="spellEnd"/>
            <w:r w:rsidRPr="00B54E50">
              <w:rPr>
                <w:color w:val="auto"/>
              </w:rPr>
              <w:t>, 1997 [96]</w:t>
            </w:r>
          </w:p>
        </w:tc>
        <w:tc>
          <w:tcPr>
            <w:tcW w:w="709" w:type="dxa"/>
            <w:tcBorders>
              <w:top w:val="nil"/>
              <w:left w:val="nil"/>
              <w:bottom w:val="nil"/>
              <w:right w:val="nil"/>
            </w:tcBorders>
            <w:shd w:val="clear" w:color="auto" w:fill="FCFCFC"/>
            <w:vAlign w:val="center"/>
          </w:tcPr>
          <w:p w14:paraId="383729C3" w14:textId="77777777" w:rsidR="001B672C" w:rsidRPr="00B54E50" w:rsidRDefault="001B672C" w:rsidP="00B54E50">
            <w:pPr>
              <w:pStyle w:val="MDPI42tablebody"/>
              <w:autoSpaceDE w:val="0"/>
              <w:autoSpaceDN w:val="0"/>
              <w:rPr>
                <w:color w:val="auto"/>
                <w:szCs w:val="18"/>
              </w:rPr>
            </w:pPr>
            <w:r w:rsidRPr="00B54E50">
              <w:rPr>
                <w:color w:val="auto"/>
                <w:szCs w:val="18"/>
              </w:rPr>
              <w:t>161</w:t>
            </w:r>
          </w:p>
        </w:tc>
        <w:tc>
          <w:tcPr>
            <w:tcW w:w="567" w:type="dxa"/>
            <w:tcBorders>
              <w:top w:val="nil"/>
              <w:left w:val="nil"/>
              <w:bottom w:val="nil"/>
              <w:right w:val="nil"/>
            </w:tcBorders>
            <w:shd w:val="clear" w:color="auto" w:fill="FCFCFC"/>
            <w:vAlign w:val="center"/>
          </w:tcPr>
          <w:p w14:paraId="3749FF9F" w14:textId="77777777" w:rsidR="001B672C" w:rsidRPr="00B54E50" w:rsidRDefault="001B672C" w:rsidP="00B54E50">
            <w:pPr>
              <w:pStyle w:val="MDPI42tablebody"/>
              <w:autoSpaceDE w:val="0"/>
              <w:autoSpaceDN w:val="0"/>
              <w:rPr>
                <w:color w:val="auto"/>
                <w:szCs w:val="18"/>
              </w:rPr>
            </w:pPr>
            <w:r w:rsidRPr="00B54E50">
              <w:rPr>
                <w:color w:val="auto"/>
                <w:szCs w:val="18"/>
              </w:rPr>
              <w:t>27</w:t>
            </w:r>
          </w:p>
        </w:tc>
        <w:tc>
          <w:tcPr>
            <w:tcW w:w="709" w:type="dxa"/>
            <w:tcBorders>
              <w:top w:val="nil"/>
              <w:left w:val="nil"/>
              <w:bottom w:val="nil"/>
              <w:right w:val="nil"/>
            </w:tcBorders>
            <w:shd w:val="clear" w:color="auto" w:fill="FCFCFC"/>
            <w:vAlign w:val="center"/>
          </w:tcPr>
          <w:p w14:paraId="2CE0522D" w14:textId="77777777" w:rsidR="001B672C" w:rsidRPr="00B54E50" w:rsidRDefault="001B672C" w:rsidP="00B54E50">
            <w:pPr>
              <w:pStyle w:val="MDPI42tablebody"/>
              <w:autoSpaceDE w:val="0"/>
              <w:autoSpaceDN w:val="0"/>
              <w:rPr>
                <w:color w:val="auto"/>
                <w:szCs w:val="18"/>
              </w:rPr>
            </w:pPr>
            <w:r w:rsidRPr="00B54E50">
              <w:rPr>
                <w:color w:val="auto"/>
                <w:szCs w:val="18"/>
              </w:rPr>
              <w:t>35</w:t>
            </w:r>
          </w:p>
        </w:tc>
        <w:tc>
          <w:tcPr>
            <w:tcW w:w="567" w:type="dxa"/>
            <w:tcBorders>
              <w:top w:val="nil"/>
              <w:left w:val="nil"/>
              <w:bottom w:val="nil"/>
              <w:right w:val="nil"/>
            </w:tcBorders>
            <w:shd w:val="clear" w:color="auto" w:fill="FCFCFC"/>
            <w:vAlign w:val="center"/>
          </w:tcPr>
          <w:p w14:paraId="34BD52E7" w14:textId="77777777" w:rsidR="001B672C" w:rsidRPr="00B54E50" w:rsidRDefault="001B672C" w:rsidP="00B54E50">
            <w:pPr>
              <w:pStyle w:val="MDPI42tablebody"/>
              <w:autoSpaceDE w:val="0"/>
              <w:autoSpaceDN w:val="0"/>
              <w:rPr>
                <w:color w:val="auto"/>
                <w:szCs w:val="18"/>
              </w:rPr>
            </w:pPr>
            <w:r w:rsidRPr="00B54E50">
              <w:rPr>
                <w:color w:val="auto"/>
                <w:szCs w:val="18"/>
              </w:rPr>
              <w:t>3.7</w:t>
            </w:r>
          </w:p>
        </w:tc>
        <w:tc>
          <w:tcPr>
            <w:tcW w:w="1417" w:type="dxa"/>
            <w:tcBorders>
              <w:top w:val="nil"/>
              <w:left w:val="nil"/>
              <w:bottom w:val="nil"/>
              <w:right w:val="nil"/>
            </w:tcBorders>
            <w:shd w:val="clear" w:color="auto" w:fill="FCFCFC"/>
            <w:vAlign w:val="center"/>
          </w:tcPr>
          <w:p w14:paraId="5E22377E" w14:textId="77777777" w:rsidR="001B672C" w:rsidRPr="00B54E50" w:rsidRDefault="001B672C" w:rsidP="00B54E50">
            <w:pPr>
              <w:pStyle w:val="MDPI42tablebody"/>
              <w:autoSpaceDE w:val="0"/>
              <w:autoSpaceDN w:val="0"/>
              <w:rPr>
                <w:color w:val="auto"/>
                <w:szCs w:val="18"/>
              </w:rPr>
            </w:pPr>
            <w:r w:rsidRPr="00B54E50">
              <w:rPr>
                <w:color w:val="auto"/>
                <w:szCs w:val="18"/>
              </w:rPr>
              <w:t>Disc. (5H-L)</w:t>
            </w:r>
          </w:p>
        </w:tc>
        <w:tc>
          <w:tcPr>
            <w:tcW w:w="709" w:type="dxa"/>
            <w:tcBorders>
              <w:top w:val="nil"/>
              <w:left w:val="nil"/>
              <w:bottom w:val="nil"/>
              <w:right w:val="nil"/>
            </w:tcBorders>
            <w:shd w:val="clear" w:color="auto" w:fill="FCFCFC"/>
            <w:vAlign w:val="center"/>
          </w:tcPr>
          <w:p w14:paraId="61B7B2DD" w14:textId="77777777" w:rsidR="001B672C" w:rsidRPr="00B54E50" w:rsidRDefault="001B672C" w:rsidP="00B54E50">
            <w:pPr>
              <w:pStyle w:val="MDPI42tablebody"/>
              <w:autoSpaceDE w:val="0"/>
              <w:autoSpaceDN w:val="0"/>
              <w:rPr>
                <w:color w:val="auto"/>
                <w:szCs w:val="18"/>
              </w:rPr>
            </w:pPr>
            <w:r w:rsidRPr="00B54E50">
              <w:rPr>
                <w:color w:val="auto"/>
                <w:szCs w:val="18"/>
              </w:rPr>
              <w:t>12</w:t>
            </w:r>
          </w:p>
        </w:tc>
        <w:tc>
          <w:tcPr>
            <w:tcW w:w="805" w:type="dxa"/>
            <w:tcBorders>
              <w:top w:val="nil"/>
              <w:left w:val="nil"/>
              <w:bottom w:val="nil"/>
              <w:right w:val="nil"/>
            </w:tcBorders>
            <w:shd w:val="clear" w:color="auto" w:fill="FCFCFC"/>
            <w:vAlign w:val="center"/>
          </w:tcPr>
          <w:p w14:paraId="5F55BD2C"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552" w:type="dxa"/>
            <w:tcBorders>
              <w:top w:val="nil"/>
              <w:left w:val="nil"/>
              <w:bottom w:val="nil"/>
              <w:right w:val="nil"/>
            </w:tcBorders>
            <w:shd w:val="clear" w:color="auto" w:fill="FCFCFC"/>
            <w:vAlign w:val="center"/>
          </w:tcPr>
          <w:p w14:paraId="7747289B"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07" w:type="dxa"/>
            <w:tcBorders>
              <w:top w:val="nil"/>
              <w:left w:val="nil"/>
              <w:bottom w:val="nil"/>
              <w:right w:val="nil"/>
            </w:tcBorders>
            <w:shd w:val="clear" w:color="auto" w:fill="FCFCFC"/>
            <w:vAlign w:val="center"/>
          </w:tcPr>
          <w:p w14:paraId="7FEDCA86"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496" w:type="dxa"/>
            <w:tcBorders>
              <w:top w:val="nil"/>
              <w:left w:val="nil"/>
              <w:bottom w:val="nil"/>
              <w:right w:val="nil"/>
            </w:tcBorders>
            <w:shd w:val="clear" w:color="auto" w:fill="FCFCFC"/>
            <w:vAlign w:val="center"/>
          </w:tcPr>
          <w:p w14:paraId="607F7F92"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CFCFC"/>
            <w:vAlign w:val="center"/>
          </w:tcPr>
          <w:p w14:paraId="164DFED9"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576" w:type="dxa"/>
            <w:tcBorders>
              <w:top w:val="nil"/>
              <w:left w:val="nil"/>
              <w:bottom w:val="nil"/>
              <w:right w:val="nil"/>
            </w:tcBorders>
            <w:shd w:val="clear" w:color="auto" w:fill="FCFCFC"/>
            <w:vAlign w:val="center"/>
          </w:tcPr>
          <w:p w14:paraId="49369982" w14:textId="77777777" w:rsidR="001B672C" w:rsidRPr="00B54E50" w:rsidRDefault="001B672C" w:rsidP="00B54E50">
            <w:pPr>
              <w:pStyle w:val="MDPI42tablebody"/>
              <w:autoSpaceDE w:val="0"/>
              <w:autoSpaceDN w:val="0"/>
              <w:rPr>
                <w:color w:val="auto"/>
                <w:szCs w:val="18"/>
              </w:rPr>
            </w:pPr>
            <w:r w:rsidRPr="00B54E50">
              <w:rPr>
                <w:color w:val="auto"/>
                <w:szCs w:val="18"/>
              </w:rPr>
              <w:t>15</w:t>
            </w:r>
          </w:p>
        </w:tc>
        <w:tc>
          <w:tcPr>
            <w:tcW w:w="506" w:type="dxa"/>
            <w:tcBorders>
              <w:top w:val="nil"/>
              <w:left w:val="nil"/>
              <w:bottom w:val="nil"/>
              <w:right w:val="nil"/>
            </w:tcBorders>
            <w:shd w:val="clear" w:color="auto" w:fill="FCFCFC"/>
            <w:vAlign w:val="center"/>
          </w:tcPr>
          <w:p w14:paraId="4EABDF6D" w14:textId="77777777" w:rsidR="001B672C" w:rsidRPr="00B54E50" w:rsidRDefault="001B672C" w:rsidP="00B54E50">
            <w:pPr>
              <w:pStyle w:val="MDPI42tablebody"/>
              <w:autoSpaceDE w:val="0"/>
              <w:autoSpaceDN w:val="0"/>
              <w:rPr>
                <w:color w:val="auto"/>
                <w:szCs w:val="18"/>
              </w:rPr>
            </w:pPr>
            <w:r w:rsidRPr="00B54E50">
              <w:rPr>
                <w:color w:val="auto"/>
                <w:szCs w:val="18"/>
              </w:rPr>
              <w:t>17</w:t>
            </w:r>
          </w:p>
        </w:tc>
      </w:tr>
      <w:tr w:rsidR="00B54E50" w:rsidRPr="00B54E50" w14:paraId="09D5DABF" w14:textId="77777777" w:rsidTr="00B54E50">
        <w:trPr>
          <w:jc w:val="center"/>
        </w:trPr>
        <w:tc>
          <w:tcPr>
            <w:tcW w:w="1843" w:type="dxa"/>
            <w:tcBorders>
              <w:top w:val="nil"/>
              <w:left w:val="nil"/>
              <w:bottom w:val="nil"/>
              <w:right w:val="nil"/>
            </w:tcBorders>
            <w:shd w:val="clear" w:color="auto" w:fill="FFFFFF"/>
            <w:vAlign w:val="center"/>
          </w:tcPr>
          <w:p w14:paraId="533E24BF" w14:textId="77777777" w:rsidR="001B672C" w:rsidRPr="00B54E50" w:rsidRDefault="001B672C" w:rsidP="00B54E50">
            <w:pPr>
              <w:pStyle w:val="MDPI42tablebody"/>
              <w:autoSpaceDE w:val="0"/>
              <w:autoSpaceDN w:val="0"/>
              <w:rPr>
                <w:color w:val="auto"/>
              </w:rPr>
            </w:pPr>
            <w:r w:rsidRPr="00B54E50">
              <w:rPr>
                <w:color w:val="auto"/>
              </w:rPr>
              <w:t>Smith, 2018 [76]</w:t>
            </w:r>
          </w:p>
        </w:tc>
        <w:tc>
          <w:tcPr>
            <w:tcW w:w="709" w:type="dxa"/>
            <w:tcBorders>
              <w:top w:val="nil"/>
              <w:left w:val="nil"/>
              <w:bottom w:val="nil"/>
              <w:right w:val="nil"/>
            </w:tcBorders>
            <w:shd w:val="clear" w:color="auto" w:fill="FFFFFF"/>
            <w:vAlign w:val="center"/>
          </w:tcPr>
          <w:p w14:paraId="12149924" w14:textId="77777777" w:rsidR="001B672C" w:rsidRPr="00B54E50" w:rsidRDefault="001B672C" w:rsidP="00B54E50">
            <w:pPr>
              <w:pStyle w:val="MDPI42tablebody"/>
              <w:autoSpaceDE w:val="0"/>
              <w:autoSpaceDN w:val="0"/>
              <w:rPr>
                <w:color w:val="auto"/>
                <w:szCs w:val="18"/>
              </w:rPr>
            </w:pPr>
            <w:r w:rsidRPr="00B54E50">
              <w:rPr>
                <w:color w:val="auto"/>
                <w:szCs w:val="18"/>
              </w:rPr>
              <w:t>589</w:t>
            </w:r>
          </w:p>
        </w:tc>
        <w:tc>
          <w:tcPr>
            <w:tcW w:w="567" w:type="dxa"/>
            <w:tcBorders>
              <w:top w:val="nil"/>
              <w:left w:val="nil"/>
              <w:bottom w:val="nil"/>
              <w:right w:val="nil"/>
            </w:tcBorders>
            <w:shd w:val="clear" w:color="auto" w:fill="FFFFFF"/>
            <w:vAlign w:val="center"/>
          </w:tcPr>
          <w:p w14:paraId="3B43C72E" w14:textId="77777777" w:rsidR="001B672C" w:rsidRPr="00B54E50" w:rsidRDefault="001B672C" w:rsidP="00B54E50">
            <w:pPr>
              <w:pStyle w:val="MDPI42tablebody"/>
              <w:autoSpaceDE w:val="0"/>
              <w:autoSpaceDN w:val="0"/>
              <w:rPr>
                <w:color w:val="auto"/>
                <w:szCs w:val="18"/>
              </w:rPr>
            </w:pPr>
            <w:r w:rsidRPr="00B54E50">
              <w:rPr>
                <w:color w:val="auto"/>
                <w:szCs w:val="18"/>
              </w:rPr>
              <w:t>51</w:t>
            </w:r>
          </w:p>
        </w:tc>
        <w:tc>
          <w:tcPr>
            <w:tcW w:w="709" w:type="dxa"/>
            <w:tcBorders>
              <w:top w:val="nil"/>
              <w:left w:val="nil"/>
              <w:bottom w:val="nil"/>
              <w:right w:val="nil"/>
            </w:tcBorders>
            <w:shd w:val="clear" w:color="auto" w:fill="FFFFFF"/>
            <w:vAlign w:val="center"/>
          </w:tcPr>
          <w:p w14:paraId="323D0608" w14:textId="77777777" w:rsidR="001B672C" w:rsidRPr="00B54E50" w:rsidRDefault="001B672C" w:rsidP="00B54E50">
            <w:pPr>
              <w:pStyle w:val="MDPI42tablebody"/>
              <w:autoSpaceDE w:val="0"/>
              <w:autoSpaceDN w:val="0"/>
              <w:rPr>
                <w:color w:val="auto"/>
                <w:szCs w:val="18"/>
              </w:rPr>
            </w:pPr>
            <w:r w:rsidRPr="00B54E50">
              <w:rPr>
                <w:color w:val="auto"/>
                <w:szCs w:val="18"/>
              </w:rPr>
              <w:t>39</w:t>
            </w:r>
          </w:p>
        </w:tc>
        <w:tc>
          <w:tcPr>
            <w:tcW w:w="567" w:type="dxa"/>
            <w:tcBorders>
              <w:top w:val="nil"/>
              <w:left w:val="nil"/>
              <w:bottom w:val="nil"/>
              <w:right w:val="nil"/>
            </w:tcBorders>
            <w:shd w:val="clear" w:color="auto" w:fill="FFFFFF"/>
            <w:vAlign w:val="center"/>
          </w:tcPr>
          <w:p w14:paraId="6A1D1DF8" w14:textId="77777777" w:rsidR="001B672C" w:rsidRPr="00B54E50" w:rsidRDefault="001B672C" w:rsidP="00B54E50">
            <w:pPr>
              <w:pStyle w:val="MDPI42tablebody"/>
              <w:autoSpaceDE w:val="0"/>
              <w:autoSpaceDN w:val="0"/>
              <w:rPr>
                <w:color w:val="auto"/>
                <w:szCs w:val="18"/>
              </w:rPr>
            </w:pPr>
            <w:r w:rsidRPr="00B54E50">
              <w:rPr>
                <w:color w:val="auto"/>
                <w:szCs w:val="18"/>
              </w:rPr>
              <w:t>4.3</w:t>
            </w:r>
          </w:p>
        </w:tc>
        <w:tc>
          <w:tcPr>
            <w:tcW w:w="1417" w:type="dxa"/>
            <w:tcBorders>
              <w:top w:val="nil"/>
              <w:left w:val="nil"/>
              <w:bottom w:val="nil"/>
              <w:right w:val="nil"/>
            </w:tcBorders>
            <w:shd w:val="clear" w:color="auto" w:fill="FFFFFF"/>
            <w:vAlign w:val="center"/>
          </w:tcPr>
          <w:p w14:paraId="7A13B4B7"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nil"/>
              <w:right w:val="nil"/>
            </w:tcBorders>
            <w:shd w:val="clear" w:color="auto" w:fill="FFFFFF"/>
            <w:vAlign w:val="center"/>
          </w:tcPr>
          <w:p w14:paraId="6108D9D3"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805" w:type="dxa"/>
            <w:tcBorders>
              <w:top w:val="nil"/>
              <w:left w:val="nil"/>
              <w:bottom w:val="nil"/>
              <w:right w:val="nil"/>
            </w:tcBorders>
            <w:shd w:val="clear" w:color="auto" w:fill="FFFFFF"/>
            <w:vAlign w:val="center"/>
          </w:tcPr>
          <w:p w14:paraId="2B994B8B"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nil"/>
              <w:right w:val="nil"/>
            </w:tcBorders>
            <w:shd w:val="clear" w:color="auto" w:fill="FFFFFF"/>
            <w:vAlign w:val="center"/>
          </w:tcPr>
          <w:p w14:paraId="32F3EFCF"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7" w:type="dxa"/>
            <w:tcBorders>
              <w:top w:val="nil"/>
              <w:left w:val="nil"/>
              <w:bottom w:val="nil"/>
              <w:right w:val="nil"/>
            </w:tcBorders>
            <w:shd w:val="clear" w:color="auto" w:fill="FFFFFF"/>
            <w:vAlign w:val="center"/>
          </w:tcPr>
          <w:p w14:paraId="5343A9A5"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nil"/>
              <w:right w:val="nil"/>
            </w:tcBorders>
            <w:shd w:val="clear" w:color="auto" w:fill="FFFFFF"/>
            <w:vAlign w:val="center"/>
          </w:tcPr>
          <w:p w14:paraId="65D009C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nil"/>
              <w:right w:val="nil"/>
            </w:tcBorders>
            <w:shd w:val="clear" w:color="auto" w:fill="FFFFFF"/>
            <w:vAlign w:val="center"/>
          </w:tcPr>
          <w:p w14:paraId="791464F8"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nil"/>
              <w:right w:val="nil"/>
            </w:tcBorders>
            <w:shd w:val="clear" w:color="auto" w:fill="FFFFFF"/>
            <w:vAlign w:val="center"/>
          </w:tcPr>
          <w:p w14:paraId="1E726F17"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6" w:type="dxa"/>
            <w:tcBorders>
              <w:top w:val="nil"/>
              <w:left w:val="nil"/>
              <w:bottom w:val="nil"/>
              <w:right w:val="nil"/>
            </w:tcBorders>
            <w:shd w:val="clear" w:color="auto" w:fill="FFFFFF"/>
            <w:vAlign w:val="center"/>
          </w:tcPr>
          <w:p w14:paraId="271C7589" w14:textId="77777777" w:rsidR="001B672C" w:rsidRPr="00B54E50" w:rsidRDefault="001B672C" w:rsidP="00B54E50">
            <w:pPr>
              <w:pStyle w:val="MDPI42tablebody"/>
              <w:autoSpaceDE w:val="0"/>
              <w:autoSpaceDN w:val="0"/>
              <w:rPr>
                <w:color w:val="auto"/>
                <w:szCs w:val="18"/>
              </w:rPr>
            </w:pPr>
            <w:r w:rsidRPr="00B54E50">
              <w:rPr>
                <w:color w:val="auto"/>
                <w:szCs w:val="18"/>
              </w:rPr>
              <w:t>-</w:t>
            </w:r>
          </w:p>
        </w:tc>
      </w:tr>
      <w:tr w:rsidR="00B54E50" w:rsidRPr="00B54E50" w14:paraId="17F8199E" w14:textId="77777777" w:rsidTr="00B54E50">
        <w:trPr>
          <w:jc w:val="center"/>
        </w:trPr>
        <w:tc>
          <w:tcPr>
            <w:tcW w:w="1843" w:type="dxa"/>
            <w:tcBorders>
              <w:top w:val="nil"/>
              <w:left w:val="nil"/>
              <w:bottom w:val="single" w:sz="8" w:space="0" w:color="auto"/>
              <w:right w:val="nil"/>
            </w:tcBorders>
            <w:shd w:val="clear" w:color="auto" w:fill="FCFCFC"/>
            <w:vAlign w:val="center"/>
          </w:tcPr>
          <w:p w14:paraId="6C3579EC" w14:textId="77777777" w:rsidR="001B672C" w:rsidRPr="00B54E50" w:rsidRDefault="001B672C" w:rsidP="00B54E50">
            <w:pPr>
              <w:pStyle w:val="MDPI42tablebody"/>
              <w:autoSpaceDE w:val="0"/>
              <w:autoSpaceDN w:val="0"/>
              <w:rPr>
                <w:color w:val="auto"/>
              </w:rPr>
            </w:pPr>
            <w:proofErr w:type="spellStart"/>
            <w:r w:rsidRPr="00B54E50">
              <w:rPr>
                <w:color w:val="auto"/>
              </w:rPr>
              <w:t>Sorajja</w:t>
            </w:r>
            <w:proofErr w:type="spellEnd"/>
            <w:r w:rsidRPr="00B54E50">
              <w:rPr>
                <w:color w:val="auto"/>
              </w:rPr>
              <w:t>, 2012 [97]</w:t>
            </w:r>
          </w:p>
        </w:tc>
        <w:tc>
          <w:tcPr>
            <w:tcW w:w="709" w:type="dxa"/>
            <w:tcBorders>
              <w:top w:val="nil"/>
              <w:left w:val="nil"/>
              <w:bottom w:val="single" w:sz="8" w:space="0" w:color="auto"/>
              <w:right w:val="nil"/>
            </w:tcBorders>
            <w:shd w:val="clear" w:color="auto" w:fill="FCFCFC"/>
            <w:vAlign w:val="center"/>
          </w:tcPr>
          <w:p w14:paraId="5A9336D6" w14:textId="77777777" w:rsidR="001B672C" w:rsidRPr="00B54E50" w:rsidRDefault="001B672C" w:rsidP="00B54E50">
            <w:pPr>
              <w:pStyle w:val="MDPI42tablebody"/>
              <w:autoSpaceDE w:val="0"/>
              <w:autoSpaceDN w:val="0"/>
              <w:rPr>
                <w:color w:val="auto"/>
                <w:szCs w:val="18"/>
              </w:rPr>
            </w:pPr>
            <w:r w:rsidRPr="00B54E50">
              <w:rPr>
                <w:color w:val="auto"/>
                <w:szCs w:val="18"/>
              </w:rPr>
              <w:t>182</w:t>
            </w:r>
          </w:p>
        </w:tc>
        <w:tc>
          <w:tcPr>
            <w:tcW w:w="567" w:type="dxa"/>
            <w:tcBorders>
              <w:top w:val="nil"/>
              <w:left w:val="nil"/>
              <w:bottom w:val="single" w:sz="8" w:space="0" w:color="auto"/>
              <w:right w:val="nil"/>
            </w:tcBorders>
            <w:shd w:val="clear" w:color="auto" w:fill="FCFCFC"/>
            <w:vAlign w:val="center"/>
          </w:tcPr>
          <w:p w14:paraId="5CABA35B" w14:textId="77777777" w:rsidR="001B672C" w:rsidRPr="00B54E50" w:rsidRDefault="001B672C" w:rsidP="00B54E50">
            <w:pPr>
              <w:pStyle w:val="MDPI42tablebody"/>
              <w:autoSpaceDE w:val="0"/>
              <w:autoSpaceDN w:val="0"/>
              <w:rPr>
                <w:color w:val="auto"/>
                <w:szCs w:val="18"/>
              </w:rPr>
            </w:pPr>
            <w:r w:rsidRPr="00B54E50">
              <w:rPr>
                <w:color w:val="auto"/>
                <w:szCs w:val="18"/>
              </w:rPr>
              <w:t>53</w:t>
            </w:r>
          </w:p>
        </w:tc>
        <w:tc>
          <w:tcPr>
            <w:tcW w:w="709" w:type="dxa"/>
            <w:tcBorders>
              <w:top w:val="nil"/>
              <w:left w:val="nil"/>
              <w:bottom w:val="single" w:sz="8" w:space="0" w:color="auto"/>
              <w:right w:val="nil"/>
            </w:tcBorders>
            <w:shd w:val="clear" w:color="auto" w:fill="FCFCFC"/>
            <w:vAlign w:val="center"/>
          </w:tcPr>
          <w:p w14:paraId="3FA6BE50" w14:textId="77777777" w:rsidR="001B672C" w:rsidRPr="00B54E50" w:rsidRDefault="001B672C" w:rsidP="00B54E50">
            <w:pPr>
              <w:pStyle w:val="MDPI42tablebody"/>
              <w:autoSpaceDE w:val="0"/>
              <w:autoSpaceDN w:val="0"/>
              <w:rPr>
                <w:color w:val="auto"/>
                <w:szCs w:val="18"/>
              </w:rPr>
            </w:pPr>
            <w:r w:rsidRPr="00B54E50">
              <w:rPr>
                <w:color w:val="auto"/>
                <w:szCs w:val="18"/>
              </w:rPr>
              <w:t>35</w:t>
            </w:r>
          </w:p>
        </w:tc>
        <w:tc>
          <w:tcPr>
            <w:tcW w:w="567" w:type="dxa"/>
            <w:tcBorders>
              <w:top w:val="nil"/>
              <w:left w:val="nil"/>
              <w:bottom w:val="single" w:sz="8" w:space="0" w:color="auto"/>
              <w:right w:val="nil"/>
            </w:tcBorders>
            <w:shd w:val="clear" w:color="auto" w:fill="FCFCFC"/>
            <w:vAlign w:val="center"/>
          </w:tcPr>
          <w:p w14:paraId="7ADFDE3F" w14:textId="77777777" w:rsidR="001B672C" w:rsidRPr="00B54E50" w:rsidRDefault="001B672C" w:rsidP="00B54E50">
            <w:pPr>
              <w:pStyle w:val="MDPI42tablebody"/>
              <w:autoSpaceDE w:val="0"/>
              <w:autoSpaceDN w:val="0"/>
              <w:rPr>
                <w:color w:val="auto"/>
                <w:szCs w:val="18"/>
              </w:rPr>
            </w:pPr>
            <w:r w:rsidRPr="00B54E50">
              <w:rPr>
                <w:color w:val="auto"/>
                <w:szCs w:val="18"/>
              </w:rPr>
              <w:t>4.0</w:t>
            </w:r>
          </w:p>
        </w:tc>
        <w:tc>
          <w:tcPr>
            <w:tcW w:w="1417" w:type="dxa"/>
            <w:tcBorders>
              <w:top w:val="nil"/>
              <w:left w:val="nil"/>
              <w:bottom w:val="single" w:sz="8" w:space="0" w:color="auto"/>
              <w:right w:val="nil"/>
            </w:tcBorders>
            <w:shd w:val="clear" w:color="auto" w:fill="FCFCFC"/>
            <w:vAlign w:val="center"/>
          </w:tcPr>
          <w:p w14:paraId="795E1942" w14:textId="77777777" w:rsidR="001B672C" w:rsidRPr="00B54E50" w:rsidRDefault="001B672C" w:rsidP="00B54E50">
            <w:pPr>
              <w:pStyle w:val="MDPI42tablebody"/>
              <w:autoSpaceDE w:val="0"/>
              <w:autoSpaceDN w:val="0"/>
              <w:rPr>
                <w:color w:val="auto"/>
                <w:szCs w:val="18"/>
              </w:rPr>
            </w:pPr>
            <w:r w:rsidRPr="00B54E50">
              <w:rPr>
                <w:color w:val="auto"/>
                <w:szCs w:val="18"/>
              </w:rPr>
              <w:t>Continued</w:t>
            </w:r>
          </w:p>
        </w:tc>
        <w:tc>
          <w:tcPr>
            <w:tcW w:w="709" w:type="dxa"/>
            <w:tcBorders>
              <w:top w:val="nil"/>
              <w:left w:val="nil"/>
              <w:bottom w:val="single" w:sz="8" w:space="0" w:color="auto"/>
              <w:right w:val="nil"/>
            </w:tcBorders>
            <w:shd w:val="clear" w:color="auto" w:fill="FCFCFC"/>
            <w:vAlign w:val="center"/>
          </w:tcPr>
          <w:p w14:paraId="29FBFB47" w14:textId="77777777" w:rsidR="001B672C" w:rsidRPr="00B54E50" w:rsidRDefault="001B672C" w:rsidP="00B54E50">
            <w:pPr>
              <w:pStyle w:val="MDPI42tablebody"/>
              <w:autoSpaceDE w:val="0"/>
              <w:autoSpaceDN w:val="0"/>
              <w:rPr>
                <w:color w:val="auto"/>
                <w:szCs w:val="18"/>
              </w:rPr>
            </w:pPr>
            <w:r w:rsidRPr="00B54E50">
              <w:rPr>
                <w:color w:val="auto"/>
                <w:szCs w:val="18"/>
              </w:rPr>
              <w:t>2</w:t>
            </w:r>
          </w:p>
        </w:tc>
        <w:tc>
          <w:tcPr>
            <w:tcW w:w="805" w:type="dxa"/>
            <w:tcBorders>
              <w:top w:val="nil"/>
              <w:left w:val="nil"/>
              <w:bottom w:val="single" w:sz="8" w:space="0" w:color="auto"/>
              <w:right w:val="nil"/>
            </w:tcBorders>
            <w:shd w:val="clear" w:color="auto" w:fill="FCFCFC"/>
            <w:vAlign w:val="center"/>
          </w:tcPr>
          <w:p w14:paraId="42E3A7D6"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52" w:type="dxa"/>
            <w:tcBorders>
              <w:top w:val="nil"/>
              <w:left w:val="nil"/>
              <w:bottom w:val="single" w:sz="8" w:space="0" w:color="auto"/>
              <w:right w:val="nil"/>
            </w:tcBorders>
            <w:shd w:val="clear" w:color="auto" w:fill="FCFCFC"/>
            <w:vAlign w:val="center"/>
          </w:tcPr>
          <w:p w14:paraId="32AA9CCD" w14:textId="77777777" w:rsidR="001B672C" w:rsidRPr="00B54E50" w:rsidRDefault="001B672C" w:rsidP="00B54E50">
            <w:pPr>
              <w:pStyle w:val="MDPI42tablebody"/>
              <w:autoSpaceDE w:val="0"/>
              <w:autoSpaceDN w:val="0"/>
              <w:rPr>
                <w:color w:val="auto"/>
                <w:szCs w:val="18"/>
              </w:rPr>
            </w:pPr>
            <w:r w:rsidRPr="00B54E50">
              <w:rPr>
                <w:color w:val="auto"/>
                <w:szCs w:val="18"/>
              </w:rPr>
              <w:t>1</w:t>
            </w:r>
          </w:p>
        </w:tc>
        <w:tc>
          <w:tcPr>
            <w:tcW w:w="507" w:type="dxa"/>
            <w:tcBorders>
              <w:top w:val="nil"/>
              <w:left w:val="nil"/>
              <w:bottom w:val="single" w:sz="8" w:space="0" w:color="auto"/>
              <w:right w:val="nil"/>
            </w:tcBorders>
            <w:shd w:val="clear" w:color="auto" w:fill="FCFCFC"/>
            <w:vAlign w:val="center"/>
          </w:tcPr>
          <w:p w14:paraId="564E3911"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496" w:type="dxa"/>
            <w:tcBorders>
              <w:top w:val="nil"/>
              <w:left w:val="nil"/>
              <w:bottom w:val="single" w:sz="8" w:space="0" w:color="auto"/>
              <w:right w:val="nil"/>
            </w:tcBorders>
            <w:shd w:val="clear" w:color="auto" w:fill="FCFCFC"/>
            <w:vAlign w:val="center"/>
          </w:tcPr>
          <w:p w14:paraId="11F01DCA"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02" w:type="dxa"/>
            <w:tcBorders>
              <w:top w:val="nil"/>
              <w:left w:val="nil"/>
              <w:bottom w:val="single" w:sz="8" w:space="0" w:color="auto"/>
              <w:right w:val="nil"/>
            </w:tcBorders>
            <w:shd w:val="clear" w:color="auto" w:fill="FCFCFC"/>
            <w:vAlign w:val="center"/>
          </w:tcPr>
          <w:p w14:paraId="43B39557" w14:textId="77777777" w:rsidR="001B672C" w:rsidRPr="00B54E50" w:rsidRDefault="001B672C" w:rsidP="00B54E50">
            <w:pPr>
              <w:pStyle w:val="MDPI42tablebody"/>
              <w:autoSpaceDE w:val="0"/>
              <w:autoSpaceDN w:val="0"/>
              <w:rPr>
                <w:color w:val="auto"/>
                <w:szCs w:val="18"/>
              </w:rPr>
            </w:pPr>
            <w:r w:rsidRPr="00B54E50">
              <w:rPr>
                <w:color w:val="auto"/>
                <w:szCs w:val="18"/>
              </w:rPr>
              <w:t>-</w:t>
            </w:r>
          </w:p>
        </w:tc>
        <w:tc>
          <w:tcPr>
            <w:tcW w:w="576" w:type="dxa"/>
            <w:tcBorders>
              <w:top w:val="nil"/>
              <w:left w:val="nil"/>
              <w:bottom w:val="single" w:sz="8" w:space="0" w:color="auto"/>
              <w:right w:val="nil"/>
            </w:tcBorders>
            <w:shd w:val="clear" w:color="auto" w:fill="FCFCFC"/>
            <w:vAlign w:val="center"/>
          </w:tcPr>
          <w:p w14:paraId="5B7504F8" w14:textId="77777777" w:rsidR="001B672C" w:rsidRPr="00B54E50" w:rsidRDefault="001B672C" w:rsidP="00B54E50">
            <w:pPr>
              <w:pStyle w:val="MDPI42tablebody"/>
              <w:autoSpaceDE w:val="0"/>
              <w:autoSpaceDN w:val="0"/>
              <w:rPr>
                <w:color w:val="auto"/>
                <w:szCs w:val="18"/>
              </w:rPr>
            </w:pPr>
            <w:r w:rsidRPr="00B54E50">
              <w:rPr>
                <w:color w:val="auto"/>
                <w:szCs w:val="18"/>
              </w:rPr>
              <w:t>10</w:t>
            </w:r>
          </w:p>
        </w:tc>
        <w:tc>
          <w:tcPr>
            <w:tcW w:w="506" w:type="dxa"/>
            <w:tcBorders>
              <w:top w:val="nil"/>
              <w:left w:val="nil"/>
              <w:bottom w:val="single" w:sz="8" w:space="0" w:color="auto"/>
              <w:right w:val="nil"/>
            </w:tcBorders>
            <w:shd w:val="clear" w:color="auto" w:fill="FCFCFC"/>
            <w:vAlign w:val="center"/>
          </w:tcPr>
          <w:p w14:paraId="334C7A2F" w14:textId="77777777" w:rsidR="001B672C" w:rsidRPr="00B54E50" w:rsidRDefault="001B672C" w:rsidP="00B54E50">
            <w:pPr>
              <w:pStyle w:val="MDPI42tablebody"/>
              <w:autoSpaceDE w:val="0"/>
              <w:autoSpaceDN w:val="0"/>
              <w:rPr>
                <w:color w:val="auto"/>
                <w:szCs w:val="18"/>
              </w:rPr>
            </w:pPr>
            <w:r w:rsidRPr="00B54E50">
              <w:rPr>
                <w:color w:val="auto"/>
                <w:szCs w:val="18"/>
              </w:rPr>
              <w:t>18</w:t>
            </w:r>
          </w:p>
        </w:tc>
      </w:tr>
    </w:tbl>
    <w:p w14:paraId="23FB9340" w14:textId="77777777" w:rsidR="001B672C" w:rsidRPr="004F446B" w:rsidRDefault="001B672C" w:rsidP="00B54E50">
      <w:pPr>
        <w:pStyle w:val="MDPI43tablefooter"/>
        <w:ind w:left="425" w:right="425"/>
        <w:jc w:val="both"/>
      </w:pPr>
      <w:r w:rsidRPr="004F446B">
        <w:t xml:space="preserve">SCD: sudden cardiac death, ICD: implantable cardioverter defibrillator discharge, </w:t>
      </w:r>
      <w:proofErr w:type="spellStart"/>
      <w:r w:rsidRPr="004F446B">
        <w:t>HFm</w:t>
      </w:r>
      <w:proofErr w:type="spellEnd"/>
      <w:r w:rsidRPr="004F446B">
        <w:t xml:space="preserve">: heart failure-related mortality, Res: resuscitation, Str: stroke, HT: heart transplantation, </w:t>
      </w:r>
      <w:proofErr w:type="spellStart"/>
      <w:r w:rsidRPr="004F446B">
        <w:t>CVm</w:t>
      </w:r>
      <w:proofErr w:type="spellEnd"/>
      <w:r w:rsidRPr="004F446B">
        <w:t xml:space="preserve">: cardiovascular mortality, All: all-cause mortality. Age and follow-up (F-up) are expressed in years. Other abbreviations can be found in </w:t>
      </w:r>
      <w:r w:rsidRPr="00B54E50">
        <w:rPr>
          <w:bCs/>
        </w:rPr>
        <w:t>Table 1</w:t>
      </w:r>
      <w:r w:rsidRPr="004F446B">
        <w:t>.</w:t>
      </w:r>
    </w:p>
    <w:p w14:paraId="054CB15B" w14:textId="45AA0C4A" w:rsidR="006630E3" w:rsidRDefault="00460E72" w:rsidP="00835518">
      <w:pPr>
        <w:pStyle w:val="MDPI31text"/>
        <w:spacing w:after="240"/>
      </w:pPr>
      <w:r>
        <w:rPr>
          <w:lang w:val="en-GB"/>
        </w:rPr>
        <w:t>Fourteen</w:t>
      </w:r>
      <w:r w:rsidRPr="004F446B">
        <w:rPr>
          <w:lang w:val="en-GB"/>
        </w:rPr>
        <w:t xml:space="preserve"> </w:t>
      </w:r>
      <w:r w:rsidR="001B672C" w:rsidRPr="004F446B">
        <w:rPr>
          <w:lang w:val="en-GB"/>
        </w:rPr>
        <w:t>publications identified exercise</w:t>
      </w:r>
      <w:r w:rsidR="00B46290">
        <w:rPr>
          <w:lang w:val="en-GB"/>
        </w:rPr>
        <w:t>-related</w:t>
      </w:r>
      <w:r w:rsidR="001B672C" w:rsidRPr="004F446B">
        <w:rPr>
          <w:lang w:val="en-GB"/>
        </w:rPr>
        <w:t xml:space="preserve"> predictors of SCD, 13 for heart failure death and 15 for all related mortality. VO2max (</w:t>
      </w:r>
      <w:r w:rsidR="001C44D6" w:rsidRPr="00126CBE">
        <w:rPr>
          <w:i/>
          <w:lang w:val="en-GB"/>
        </w:rPr>
        <w:t>n</w:t>
      </w:r>
      <w:r w:rsidR="00B54E50" w:rsidRPr="00126CBE">
        <w:rPr>
          <w:lang w:val="en-GB"/>
        </w:rPr>
        <w:t xml:space="preserve"> </w:t>
      </w:r>
      <w:r w:rsidR="001B672C" w:rsidRPr="00126CBE">
        <w:rPr>
          <w:lang w:val="en-GB"/>
        </w:rPr>
        <w:t>= 7 publications), ATVO2 (</w:t>
      </w:r>
      <w:r w:rsidR="001C44D6" w:rsidRPr="00126CBE">
        <w:rPr>
          <w:i/>
          <w:lang w:val="en-GB"/>
        </w:rPr>
        <w:t>n</w:t>
      </w:r>
      <w:r w:rsidR="00B54E50" w:rsidRPr="00126CBE">
        <w:rPr>
          <w:lang w:val="en-GB"/>
        </w:rPr>
        <w:t xml:space="preserve"> </w:t>
      </w:r>
      <w:r w:rsidR="001B672C" w:rsidRPr="00126CBE">
        <w:rPr>
          <w:lang w:val="en-GB"/>
        </w:rPr>
        <w:t>= 4), METS (</w:t>
      </w:r>
      <w:r w:rsidR="001C44D6" w:rsidRPr="00126CBE">
        <w:rPr>
          <w:i/>
          <w:lang w:val="en-GB"/>
        </w:rPr>
        <w:t>n</w:t>
      </w:r>
      <w:r w:rsidR="00B54E50" w:rsidRPr="00126CBE">
        <w:rPr>
          <w:lang w:val="en-GB"/>
        </w:rPr>
        <w:t xml:space="preserve"> </w:t>
      </w:r>
      <w:r w:rsidR="001B672C" w:rsidRPr="00126CBE">
        <w:rPr>
          <w:lang w:val="en-GB"/>
        </w:rPr>
        <w:t>= 6), % of age-gender predicted VO2max (</w:t>
      </w:r>
      <w:r w:rsidR="001C44D6" w:rsidRPr="00126CBE">
        <w:rPr>
          <w:i/>
          <w:lang w:val="en-GB"/>
        </w:rPr>
        <w:t>n</w:t>
      </w:r>
      <w:r w:rsidR="00B54E50" w:rsidRPr="00126CBE">
        <w:rPr>
          <w:lang w:val="en-GB"/>
        </w:rPr>
        <w:t xml:space="preserve"> </w:t>
      </w:r>
      <w:r w:rsidR="001B672C" w:rsidRPr="00126CBE">
        <w:rPr>
          <w:lang w:val="en-GB"/>
        </w:rPr>
        <w:t>= 7), % of age-gender predicted METs (</w:t>
      </w:r>
      <w:r w:rsidR="001C44D6" w:rsidRPr="00126CBE">
        <w:rPr>
          <w:i/>
          <w:lang w:val="en-GB"/>
        </w:rPr>
        <w:t>n</w:t>
      </w:r>
      <w:r w:rsidR="00B54E50" w:rsidRPr="00126CBE">
        <w:rPr>
          <w:lang w:val="en-GB"/>
        </w:rPr>
        <w:t xml:space="preserve"> </w:t>
      </w:r>
      <w:r w:rsidR="001B672C" w:rsidRPr="00126CBE">
        <w:rPr>
          <w:lang w:val="en-GB"/>
        </w:rPr>
        <w:t>= 1), ABPRE (</w:t>
      </w:r>
      <w:r w:rsidR="001C44D6" w:rsidRPr="00126CBE">
        <w:rPr>
          <w:i/>
          <w:lang w:val="en-GB"/>
        </w:rPr>
        <w:t>n</w:t>
      </w:r>
      <w:r w:rsidR="00B54E50" w:rsidRPr="00126CBE">
        <w:rPr>
          <w:lang w:val="en-GB"/>
        </w:rPr>
        <w:t xml:space="preserve"> </w:t>
      </w:r>
      <w:r w:rsidR="001B672C" w:rsidRPr="00126CBE">
        <w:rPr>
          <w:lang w:val="en-GB"/>
        </w:rPr>
        <w:t xml:space="preserve">= 7), and </w:t>
      </w:r>
      <w:r w:rsidR="001B672C" w:rsidRPr="00835518">
        <w:rPr>
          <w:lang w:val="en-GB"/>
        </w:rPr>
        <w:t>ventricular arrhythmias (</w:t>
      </w:r>
      <w:r w:rsidR="001C44D6" w:rsidRPr="00835518">
        <w:rPr>
          <w:i/>
          <w:lang w:val="en-GB"/>
        </w:rPr>
        <w:t>n</w:t>
      </w:r>
      <w:r w:rsidR="00B54E50" w:rsidRPr="00835518">
        <w:rPr>
          <w:lang w:val="en-GB"/>
        </w:rPr>
        <w:t xml:space="preserve"> </w:t>
      </w:r>
      <w:r w:rsidR="001B672C" w:rsidRPr="00835518">
        <w:rPr>
          <w:lang w:val="en-GB"/>
        </w:rPr>
        <w:t xml:space="preserve">= 6) were significantly associated with major outcomes as individual predictors. Individual hazard ratios extracted from each study are presented in </w:t>
      </w:r>
      <w:r w:rsidR="001B672C" w:rsidRPr="00835518">
        <w:rPr>
          <w:bCs/>
          <w:lang w:val="en-GB"/>
        </w:rPr>
        <w:t>Table 3.</w:t>
      </w:r>
      <w:r w:rsidR="001B672C" w:rsidRPr="00835518">
        <w:rPr>
          <w:lang w:val="en-GB"/>
        </w:rPr>
        <w:t xml:space="preserve"> </w:t>
      </w:r>
      <w:r w:rsidR="001B672C" w:rsidRPr="00835518">
        <w:t xml:space="preserve">Furthermore, data regarding functional capacity of groups of patients who suffered from any of the </w:t>
      </w:r>
      <w:proofErr w:type="gramStart"/>
      <w:r w:rsidR="001B672C" w:rsidRPr="00835518">
        <w:t>aforementioned events</w:t>
      </w:r>
      <w:proofErr w:type="gramEnd"/>
      <w:r w:rsidR="001B672C" w:rsidRPr="00835518">
        <w:t xml:space="preserve"> and patients free of events were extracted and meta-analyzed to elucidate differences in VO2max. Only 6 publication</w:t>
      </w:r>
      <w:r w:rsidR="006630E3" w:rsidRPr="00835518">
        <w:t>s had detailed information of 3</w:t>
      </w:r>
      <w:r w:rsidR="001B672C" w:rsidRPr="00835518">
        <w:t xml:space="preserve">684 patients concerning this parameter. </w:t>
      </w:r>
      <w:r w:rsidR="001B672C" w:rsidRPr="00835518">
        <w:rPr>
          <w:lang w:val="en-GB"/>
        </w:rPr>
        <w:t xml:space="preserve">Mean VO2 max was reduced in patients who reached the combined cardiovascular death outcome compared to those who survived </w:t>
      </w:r>
      <w:r w:rsidR="00B54E50" w:rsidRPr="00835518">
        <w:t>(−</w:t>
      </w:r>
      <w:r w:rsidR="001B672C" w:rsidRPr="00835518">
        <w:t>6.2</w:t>
      </w:r>
      <w:r w:rsidR="00835518" w:rsidRPr="00835518">
        <w:t>0 mL·</w:t>
      </w:r>
      <w:r w:rsidR="001B672C" w:rsidRPr="00835518">
        <w:t>kg</w:t>
      </w:r>
      <w:r w:rsidR="001C44D6" w:rsidRPr="00835518">
        <w:rPr>
          <w:vertAlign w:val="superscript"/>
        </w:rPr>
        <w:t>−1</w:t>
      </w:r>
      <w:r w:rsidR="001B672C" w:rsidRPr="00835518">
        <w:t>·min</w:t>
      </w:r>
      <w:r w:rsidR="001C44D6" w:rsidRPr="00835518">
        <w:rPr>
          <w:vertAlign w:val="superscript"/>
        </w:rPr>
        <w:t>−1</w:t>
      </w:r>
      <w:r w:rsidR="00B54E50" w:rsidRPr="00835518">
        <w:t>; CI 95%: −</w:t>
      </w:r>
      <w:r w:rsidR="001B672C" w:rsidRPr="00835518">
        <w:t xml:space="preserve">7.95, </w:t>
      </w:r>
      <w:r w:rsidR="00B54E50" w:rsidRPr="00835518">
        <w:t>−</w:t>
      </w:r>
      <w:r w:rsidR="001B672C" w:rsidRPr="00835518">
        <w:t xml:space="preserve">4.46; </w:t>
      </w:r>
      <w:r w:rsidR="001C44D6" w:rsidRPr="00835518">
        <w:rPr>
          <w:i/>
        </w:rPr>
        <w:t>p</w:t>
      </w:r>
      <w:r w:rsidR="00B54E50" w:rsidRPr="00835518">
        <w:t xml:space="preserve"> </w:t>
      </w:r>
      <w:r w:rsidR="001B672C" w:rsidRPr="00835518">
        <w:t>&lt;</w:t>
      </w:r>
      <w:r w:rsidR="00B54E50" w:rsidRPr="00835518">
        <w:t xml:space="preserve"> </w:t>
      </w:r>
      <w:r w:rsidR="001B672C" w:rsidRPr="00835518">
        <w:t xml:space="preserve">0.01; </w:t>
      </w:r>
      <w:r w:rsidR="001B672C" w:rsidRPr="00835518">
        <w:rPr>
          <w:bCs/>
        </w:rPr>
        <w:t>Figure 7</w:t>
      </w:r>
      <w:r w:rsidR="001B672C" w:rsidRPr="00835518">
        <w:t>).</w:t>
      </w:r>
    </w:p>
    <w:p w14:paraId="6A3C9EE3" w14:textId="77777777" w:rsidR="006630E3" w:rsidRDefault="006630E3" w:rsidP="006630E3">
      <w:pPr>
        <w:rPr>
          <w:rFonts w:eastAsia="Times New Roman"/>
          <w:noProof w:val="0"/>
          <w:snapToGrid w:val="0"/>
          <w:szCs w:val="22"/>
          <w:lang w:eastAsia="de-DE" w:bidi="en-US"/>
        </w:rPr>
      </w:pPr>
      <w:r>
        <w:br w:type="page"/>
      </w:r>
    </w:p>
    <w:p w14:paraId="32A85876" w14:textId="77777777" w:rsidR="001B672C" w:rsidRPr="004F446B" w:rsidRDefault="006630E3" w:rsidP="006630E3">
      <w:pPr>
        <w:pStyle w:val="MDPI41tablecaption"/>
        <w:ind w:left="425" w:right="425"/>
        <w:jc w:val="center"/>
      </w:pPr>
      <w:r w:rsidRPr="006630E3">
        <w:rPr>
          <w:b/>
          <w:bCs/>
        </w:rPr>
        <w:lastRenderedPageBreak/>
        <w:t xml:space="preserve">Table 3. </w:t>
      </w:r>
      <w:r w:rsidR="001B672C" w:rsidRPr="004F446B">
        <w:t>Univariate hazard ratio of functional assessment derived parameters for composite endpoints.</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96"/>
        <w:gridCol w:w="1429"/>
        <w:gridCol w:w="1428"/>
        <w:gridCol w:w="1428"/>
        <w:gridCol w:w="1428"/>
        <w:gridCol w:w="1428"/>
        <w:gridCol w:w="1428"/>
      </w:tblGrid>
      <w:tr w:rsidR="001B672C" w:rsidRPr="006630E3" w14:paraId="1F07954C" w14:textId="77777777" w:rsidTr="006630E3">
        <w:trPr>
          <w:jc w:val="center"/>
        </w:trPr>
        <w:tc>
          <w:tcPr>
            <w:tcW w:w="1843" w:type="dxa"/>
            <w:tcBorders>
              <w:top w:val="single" w:sz="8" w:space="0" w:color="auto"/>
              <w:left w:val="nil"/>
              <w:right w:val="nil"/>
            </w:tcBorders>
            <w:shd w:val="clear" w:color="auto" w:fill="FFFFFF"/>
            <w:vAlign w:val="center"/>
          </w:tcPr>
          <w:p w14:paraId="7F567337" w14:textId="5B84E6BF" w:rsidR="001B672C" w:rsidRPr="00AB42FB" w:rsidRDefault="001B672C" w:rsidP="006630E3">
            <w:pPr>
              <w:pStyle w:val="MDPI42tablebody"/>
              <w:autoSpaceDE w:val="0"/>
              <w:autoSpaceDN w:val="0"/>
              <w:rPr>
                <w:b/>
                <w:bCs/>
                <w:color w:val="auto"/>
              </w:rPr>
            </w:pPr>
            <w:r w:rsidRPr="00AB42FB">
              <w:rPr>
                <w:b/>
                <w:bCs/>
                <w:color w:val="auto"/>
              </w:rPr>
              <w:t xml:space="preserve">Author, </w:t>
            </w:r>
            <w:r w:rsidR="00AB42FB" w:rsidRPr="00AB42FB">
              <w:rPr>
                <w:b/>
                <w:bCs/>
                <w:color w:val="auto"/>
              </w:rPr>
              <w:t>Year</w:t>
            </w:r>
          </w:p>
        </w:tc>
        <w:tc>
          <w:tcPr>
            <w:tcW w:w="1389" w:type="dxa"/>
            <w:tcBorders>
              <w:top w:val="single" w:sz="8" w:space="0" w:color="auto"/>
              <w:left w:val="nil"/>
              <w:right w:val="nil"/>
            </w:tcBorders>
            <w:shd w:val="clear" w:color="auto" w:fill="FFFFFF"/>
            <w:vAlign w:val="center"/>
          </w:tcPr>
          <w:p w14:paraId="328F08B5" w14:textId="77777777" w:rsidR="001B672C" w:rsidRPr="00AB42FB" w:rsidRDefault="001B672C" w:rsidP="006630E3">
            <w:pPr>
              <w:pStyle w:val="MDPI42tablebody"/>
              <w:autoSpaceDE w:val="0"/>
              <w:autoSpaceDN w:val="0"/>
              <w:rPr>
                <w:b/>
                <w:bCs/>
                <w:color w:val="auto"/>
              </w:rPr>
            </w:pPr>
            <w:r w:rsidRPr="00AB42FB">
              <w:rPr>
                <w:b/>
                <w:bCs/>
                <w:color w:val="auto"/>
              </w:rPr>
              <w:t>VO</w:t>
            </w:r>
            <w:r w:rsidRPr="00AB42FB">
              <w:rPr>
                <w:b/>
                <w:bCs/>
                <w:color w:val="auto"/>
                <w:szCs w:val="16"/>
              </w:rPr>
              <w:t>2max</w:t>
            </w:r>
          </w:p>
        </w:tc>
        <w:tc>
          <w:tcPr>
            <w:tcW w:w="1389" w:type="dxa"/>
            <w:tcBorders>
              <w:top w:val="single" w:sz="8" w:space="0" w:color="auto"/>
              <w:left w:val="nil"/>
              <w:right w:val="nil"/>
            </w:tcBorders>
            <w:shd w:val="clear" w:color="auto" w:fill="FFFFFF"/>
            <w:vAlign w:val="center"/>
          </w:tcPr>
          <w:p w14:paraId="344DC7D2" w14:textId="77777777" w:rsidR="001B672C" w:rsidRPr="00AB42FB" w:rsidRDefault="001B672C" w:rsidP="006630E3">
            <w:pPr>
              <w:pStyle w:val="MDPI42tablebody"/>
              <w:autoSpaceDE w:val="0"/>
              <w:autoSpaceDN w:val="0"/>
              <w:rPr>
                <w:b/>
                <w:bCs/>
                <w:color w:val="auto"/>
              </w:rPr>
            </w:pPr>
            <w:r w:rsidRPr="00AB42FB">
              <w:rPr>
                <w:b/>
                <w:bCs/>
                <w:color w:val="auto"/>
              </w:rPr>
              <w:t>AT VO</w:t>
            </w:r>
            <w:r w:rsidRPr="00AB42FB">
              <w:rPr>
                <w:b/>
                <w:bCs/>
                <w:color w:val="auto"/>
                <w:szCs w:val="16"/>
              </w:rPr>
              <w:t>2</w:t>
            </w:r>
          </w:p>
        </w:tc>
        <w:tc>
          <w:tcPr>
            <w:tcW w:w="1389" w:type="dxa"/>
            <w:tcBorders>
              <w:top w:val="single" w:sz="8" w:space="0" w:color="auto"/>
              <w:left w:val="nil"/>
              <w:right w:val="nil"/>
            </w:tcBorders>
            <w:shd w:val="clear" w:color="auto" w:fill="FFFFFF"/>
            <w:vAlign w:val="center"/>
          </w:tcPr>
          <w:p w14:paraId="26F78261" w14:textId="77777777" w:rsidR="001B672C" w:rsidRPr="006630E3" w:rsidRDefault="001B672C" w:rsidP="006630E3">
            <w:pPr>
              <w:pStyle w:val="MDPI42tablebody"/>
              <w:autoSpaceDE w:val="0"/>
              <w:autoSpaceDN w:val="0"/>
              <w:rPr>
                <w:b/>
                <w:bCs/>
                <w:color w:val="auto"/>
              </w:rPr>
            </w:pPr>
            <w:r w:rsidRPr="006630E3">
              <w:rPr>
                <w:b/>
                <w:bCs/>
                <w:color w:val="auto"/>
              </w:rPr>
              <w:t>METs</w:t>
            </w:r>
          </w:p>
        </w:tc>
        <w:tc>
          <w:tcPr>
            <w:tcW w:w="1389" w:type="dxa"/>
            <w:tcBorders>
              <w:top w:val="single" w:sz="8" w:space="0" w:color="auto"/>
              <w:left w:val="nil"/>
              <w:right w:val="nil"/>
            </w:tcBorders>
            <w:shd w:val="clear" w:color="auto" w:fill="FFFFFF"/>
            <w:vAlign w:val="center"/>
          </w:tcPr>
          <w:p w14:paraId="00519AD5" w14:textId="77777777" w:rsidR="001B672C" w:rsidRPr="006630E3" w:rsidRDefault="001B672C" w:rsidP="006630E3">
            <w:pPr>
              <w:pStyle w:val="MDPI42tablebody"/>
              <w:autoSpaceDE w:val="0"/>
              <w:autoSpaceDN w:val="0"/>
              <w:rPr>
                <w:b/>
                <w:bCs/>
                <w:color w:val="auto"/>
              </w:rPr>
            </w:pPr>
            <w:r w:rsidRPr="006630E3">
              <w:rPr>
                <w:b/>
                <w:bCs/>
                <w:color w:val="auto"/>
              </w:rPr>
              <w:t>% VO</w:t>
            </w:r>
            <w:r w:rsidRPr="006630E3">
              <w:rPr>
                <w:b/>
                <w:bCs/>
                <w:color w:val="auto"/>
                <w:szCs w:val="16"/>
              </w:rPr>
              <w:t>2</w:t>
            </w:r>
          </w:p>
        </w:tc>
        <w:tc>
          <w:tcPr>
            <w:tcW w:w="1389" w:type="dxa"/>
            <w:tcBorders>
              <w:top w:val="single" w:sz="8" w:space="0" w:color="auto"/>
              <w:left w:val="nil"/>
              <w:right w:val="nil"/>
            </w:tcBorders>
            <w:shd w:val="clear" w:color="auto" w:fill="FFFFFF"/>
            <w:vAlign w:val="center"/>
          </w:tcPr>
          <w:p w14:paraId="55AD9DD1" w14:textId="77777777" w:rsidR="001B672C" w:rsidRPr="006630E3" w:rsidRDefault="001B672C" w:rsidP="006630E3">
            <w:pPr>
              <w:pStyle w:val="MDPI42tablebody"/>
              <w:autoSpaceDE w:val="0"/>
              <w:autoSpaceDN w:val="0"/>
              <w:rPr>
                <w:b/>
                <w:bCs/>
                <w:color w:val="auto"/>
              </w:rPr>
            </w:pPr>
            <w:r w:rsidRPr="006630E3">
              <w:rPr>
                <w:b/>
                <w:bCs/>
                <w:color w:val="auto"/>
              </w:rPr>
              <w:t>ABPRE</w:t>
            </w:r>
          </w:p>
        </w:tc>
        <w:tc>
          <w:tcPr>
            <w:tcW w:w="1389" w:type="dxa"/>
            <w:tcBorders>
              <w:top w:val="single" w:sz="8" w:space="0" w:color="auto"/>
              <w:left w:val="nil"/>
              <w:right w:val="nil"/>
            </w:tcBorders>
            <w:shd w:val="clear" w:color="auto" w:fill="FFFFFF"/>
            <w:vAlign w:val="center"/>
          </w:tcPr>
          <w:p w14:paraId="008C3CDD" w14:textId="77777777" w:rsidR="001B672C" w:rsidRPr="006630E3" w:rsidRDefault="001B672C" w:rsidP="006630E3">
            <w:pPr>
              <w:pStyle w:val="MDPI42tablebody"/>
              <w:autoSpaceDE w:val="0"/>
              <w:autoSpaceDN w:val="0"/>
              <w:rPr>
                <w:b/>
                <w:bCs/>
                <w:color w:val="auto"/>
                <w:szCs w:val="21"/>
              </w:rPr>
            </w:pPr>
            <w:r w:rsidRPr="006630E3">
              <w:rPr>
                <w:b/>
                <w:bCs/>
                <w:color w:val="auto"/>
                <w:szCs w:val="19"/>
              </w:rPr>
              <w:t>Arrhythmia</w:t>
            </w:r>
          </w:p>
        </w:tc>
      </w:tr>
      <w:tr w:rsidR="001B672C" w:rsidRPr="006630E3" w14:paraId="5A1D6FC2" w14:textId="77777777" w:rsidTr="006630E3">
        <w:trPr>
          <w:jc w:val="center"/>
        </w:trPr>
        <w:tc>
          <w:tcPr>
            <w:tcW w:w="1843" w:type="dxa"/>
            <w:tcBorders>
              <w:left w:val="nil"/>
              <w:bottom w:val="nil"/>
              <w:right w:val="nil"/>
            </w:tcBorders>
            <w:shd w:val="clear" w:color="auto" w:fill="FCFCFC"/>
            <w:vAlign w:val="center"/>
          </w:tcPr>
          <w:p w14:paraId="00F74221" w14:textId="77777777" w:rsidR="001B672C" w:rsidRPr="006630E3" w:rsidRDefault="001B672C" w:rsidP="006630E3">
            <w:pPr>
              <w:pStyle w:val="MDPI42tablebody"/>
              <w:autoSpaceDE w:val="0"/>
              <w:autoSpaceDN w:val="0"/>
              <w:rPr>
                <w:color w:val="auto"/>
                <w:szCs w:val="18"/>
              </w:rPr>
            </w:pPr>
            <w:r w:rsidRPr="006630E3">
              <w:rPr>
                <w:color w:val="auto"/>
                <w:szCs w:val="18"/>
              </w:rPr>
              <w:t>Coats, 2014 [28]</w:t>
            </w:r>
          </w:p>
        </w:tc>
        <w:tc>
          <w:tcPr>
            <w:tcW w:w="1389" w:type="dxa"/>
            <w:tcBorders>
              <w:left w:val="nil"/>
              <w:bottom w:val="nil"/>
              <w:right w:val="nil"/>
            </w:tcBorders>
            <w:shd w:val="clear" w:color="auto" w:fill="FCFCFC"/>
            <w:vAlign w:val="center"/>
          </w:tcPr>
          <w:p w14:paraId="28B0AFD6" w14:textId="437B9FFB" w:rsidR="001B672C" w:rsidRPr="006630E3" w:rsidRDefault="001C44D6" w:rsidP="006630E3">
            <w:pPr>
              <w:pStyle w:val="MDPI42tablebody"/>
              <w:autoSpaceDE w:val="0"/>
              <w:autoSpaceDN w:val="0"/>
              <w:rPr>
                <w:color w:val="auto"/>
                <w:szCs w:val="17"/>
              </w:rPr>
            </w:pPr>
            <w:r>
              <w:rPr>
                <w:color w:val="auto"/>
                <w:szCs w:val="17"/>
              </w:rPr>
              <w:t>0.79 (0.74–</w:t>
            </w:r>
            <w:r w:rsidR="001B672C" w:rsidRPr="006630E3">
              <w:rPr>
                <w:color w:val="auto"/>
                <w:szCs w:val="17"/>
              </w:rPr>
              <w:t>0.83)</w:t>
            </w:r>
          </w:p>
        </w:tc>
        <w:tc>
          <w:tcPr>
            <w:tcW w:w="1389" w:type="dxa"/>
            <w:tcBorders>
              <w:left w:val="nil"/>
              <w:bottom w:val="nil"/>
              <w:right w:val="nil"/>
            </w:tcBorders>
            <w:shd w:val="clear" w:color="auto" w:fill="FCFCFC"/>
            <w:vAlign w:val="center"/>
          </w:tcPr>
          <w:p w14:paraId="1D567DA6" w14:textId="04A01F77" w:rsidR="001B672C" w:rsidRPr="006630E3" w:rsidRDefault="001C44D6" w:rsidP="006630E3">
            <w:pPr>
              <w:pStyle w:val="MDPI42tablebody"/>
              <w:autoSpaceDE w:val="0"/>
              <w:autoSpaceDN w:val="0"/>
              <w:rPr>
                <w:color w:val="auto"/>
                <w:szCs w:val="17"/>
              </w:rPr>
            </w:pPr>
            <w:r>
              <w:rPr>
                <w:color w:val="auto"/>
                <w:szCs w:val="17"/>
              </w:rPr>
              <w:t>0.71 (0.62–</w:t>
            </w:r>
            <w:r w:rsidR="001B672C" w:rsidRPr="006630E3">
              <w:rPr>
                <w:color w:val="auto"/>
                <w:szCs w:val="17"/>
              </w:rPr>
              <w:t>0.82)</w:t>
            </w:r>
          </w:p>
        </w:tc>
        <w:tc>
          <w:tcPr>
            <w:tcW w:w="1389" w:type="dxa"/>
            <w:tcBorders>
              <w:left w:val="nil"/>
              <w:bottom w:val="nil"/>
              <w:right w:val="nil"/>
            </w:tcBorders>
            <w:shd w:val="clear" w:color="auto" w:fill="FCFCFC"/>
            <w:vAlign w:val="center"/>
          </w:tcPr>
          <w:p w14:paraId="1A1F08EC"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left w:val="nil"/>
              <w:bottom w:val="nil"/>
              <w:right w:val="nil"/>
            </w:tcBorders>
            <w:shd w:val="clear" w:color="auto" w:fill="FCFCFC"/>
            <w:vAlign w:val="center"/>
          </w:tcPr>
          <w:p w14:paraId="33A60161"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left w:val="nil"/>
              <w:bottom w:val="nil"/>
              <w:right w:val="nil"/>
            </w:tcBorders>
            <w:shd w:val="clear" w:color="auto" w:fill="FCFCFC"/>
            <w:vAlign w:val="center"/>
          </w:tcPr>
          <w:p w14:paraId="028FB032" w14:textId="6DDDBD73" w:rsidR="001B672C" w:rsidRPr="006630E3" w:rsidRDefault="001C44D6" w:rsidP="006630E3">
            <w:pPr>
              <w:pStyle w:val="MDPI42tablebody"/>
              <w:autoSpaceDE w:val="0"/>
              <w:autoSpaceDN w:val="0"/>
              <w:rPr>
                <w:color w:val="auto"/>
                <w:szCs w:val="17"/>
              </w:rPr>
            </w:pPr>
            <w:r>
              <w:rPr>
                <w:color w:val="auto"/>
                <w:szCs w:val="17"/>
              </w:rPr>
              <w:t>2.15 (1.58–</w:t>
            </w:r>
            <w:r w:rsidR="001B672C" w:rsidRPr="006630E3">
              <w:rPr>
                <w:color w:val="auto"/>
                <w:szCs w:val="17"/>
              </w:rPr>
              <w:t>2.94)</w:t>
            </w:r>
          </w:p>
        </w:tc>
        <w:tc>
          <w:tcPr>
            <w:tcW w:w="1389" w:type="dxa"/>
            <w:tcBorders>
              <w:left w:val="nil"/>
              <w:bottom w:val="nil"/>
              <w:right w:val="nil"/>
            </w:tcBorders>
            <w:shd w:val="clear" w:color="auto" w:fill="FCFCFC"/>
            <w:vAlign w:val="center"/>
          </w:tcPr>
          <w:p w14:paraId="5D672C5A" w14:textId="56772BF2" w:rsidR="001B672C" w:rsidRPr="006630E3" w:rsidRDefault="001C44D6" w:rsidP="006630E3">
            <w:pPr>
              <w:pStyle w:val="MDPI42tablebody"/>
              <w:autoSpaceDE w:val="0"/>
              <w:autoSpaceDN w:val="0"/>
              <w:rPr>
                <w:color w:val="auto"/>
                <w:szCs w:val="17"/>
              </w:rPr>
            </w:pPr>
            <w:r>
              <w:rPr>
                <w:color w:val="auto"/>
                <w:szCs w:val="17"/>
              </w:rPr>
              <w:t>1.66 (1.23–</w:t>
            </w:r>
            <w:r w:rsidR="001B672C" w:rsidRPr="006630E3">
              <w:rPr>
                <w:color w:val="auto"/>
                <w:szCs w:val="17"/>
              </w:rPr>
              <w:t>2.23)</w:t>
            </w:r>
          </w:p>
        </w:tc>
      </w:tr>
      <w:tr w:rsidR="001B672C" w:rsidRPr="006630E3" w14:paraId="3AB18806" w14:textId="77777777" w:rsidTr="006630E3">
        <w:trPr>
          <w:jc w:val="center"/>
        </w:trPr>
        <w:tc>
          <w:tcPr>
            <w:tcW w:w="1843" w:type="dxa"/>
            <w:tcBorders>
              <w:top w:val="nil"/>
              <w:left w:val="nil"/>
              <w:bottom w:val="nil"/>
              <w:right w:val="nil"/>
            </w:tcBorders>
            <w:shd w:val="clear" w:color="auto" w:fill="FFFFFF"/>
            <w:vAlign w:val="center"/>
          </w:tcPr>
          <w:p w14:paraId="36554802" w14:textId="77777777" w:rsidR="001B672C" w:rsidRPr="006630E3" w:rsidRDefault="001B672C" w:rsidP="006630E3">
            <w:pPr>
              <w:pStyle w:val="MDPI42tablebody"/>
              <w:autoSpaceDE w:val="0"/>
              <w:autoSpaceDN w:val="0"/>
              <w:rPr>
                <w:color w:val="auto"/>
                <w:szCs w:val="18"/>
              </w:rPr>
            </w:pPr>
            <w:r w:rsidRPr="006630E3">
              <w:rPr>
                <w:color w:val="auto"/>
                <w:szCs w:val="18"/>
              </w:rPr>
              <w:t>Desai, 2014 [32]</w:t>
            </w:r>
          </w:p>
        </w:tc>
        <w:tc>
          <w:tcPr>
            <w:tcW w:w="1389" w:type="dxa"/>
            <w:tcBorders>
              <w:top w:val="nil"/>
              <w:left w:val="nil"/>
              <w:bottom w:val="nil"/>
              <w:right w:val="nil"/>
            </w:tcBorders>
            <w:shd w:val="clear" w:color="auto" w:fill="FFFFFF"/>
            <w:vAlign w:val="center"/>
          </w:tcPr>
          <w:p w14:paraId="00B8491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38D90BC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79A617B3" w14:textId="4CB3588A" w:rsidR="001B672C" w:rsidRPr="006630E3" w:rsidRDefault="001C44D6" w:rsidP="006630E3">
            <w:pPr>
              <w:pStyle w:val="MDPI42tablebody"/>
              <w:autoSpaceDE w:val="0"/>
              <w:autoSpaceDN w:val="0"/>
              <w:rPr>
                <w:color w:val="auto"/>
                <w:szCs w:val="17"/>
              </w:rPr>
            </w:pPr>
            <w:r>
              <w:rPr>
                <w:color w:val="auto"/>
                <w:szCs w:val="17"/>
              </w:rPr>
              <w:t>0.73 (0.63–</w:t>
            </w:r>
            <w:r w:rsidR="001B672C" w:rsidRPr="006630E3">
              <w:rPr>
                <w:color w:val="auto"/>
                <w:szCs w:val="17"/>
              </w:rPr>
              <w:t>0.85)</w:t>
            </w:r>
          </w:p>
        </w:tc>
        <w:tc>
          <w:tcPr>
            <w:tcW w:w="1389" w:type="dxa"/>
            <w:tcBorders>
              <w:top w:val="nil"/>
              <w:left w:val="nil"/>
              <w:bottom w:val="nil"/>
              <w:right w:val="nil"/>
            </w:tcBorders>
            <w:shd w:val="clear" w:color="auto" w:fill="FFFFFF"/>
            <w:vAlign w:val="center"/>
          </w:tcPr>
          <w:p w14:paraId="73E83917"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2EE32C5B" w14:textId="7CAC7A0F" w:rsidR="001B672C" w:rsidRPr="006630E3" w:rsidRDefault="001C44D6" w:rsidP="006630E3">
            <w:pPr>
              <w:pStyle w:val="MDPI42tablebody"/>
              <w:autoSpaceDE w:val="0"/>
              <w:autoSpaceDN w:val="0"/>
              <w:rPr>
                <w:color w:val="auto"/>
                <w:szCs w:val="17"/>
              </w:rPr>
            </w:pPr>
            <w:r>
              <w:rPr>
                <w:color w:val="auto"/>
                <w:szCs w:val="17"/>
              </w:rPr>
              <w:t>1.96 (0.20–</w:t>
            </w:r>
            <w:r w:rsidR="001B672C" w:rsidRPr="006630E3">
              <w:rPr>
                <w:color w:val="auto"/>
                <w:szCs w:val="17"/>
              </w:rPr>
              <w:t>3.27)</w:t>
            </w:r>
          </w:p>
        </w:tc>
        <w:tc>
          <w:tcPr>
            <w:tcW w:w="1389" w:type="dxa"/>
            <w:tcBorders>
              <w:top w:val="nil"/>
              <w:left w:val="nil"/>
              <w:bottom w:val="nil"/>
              <w:right w:val="nil"/>
            </w:tcBorders>
            <w:shd w:val="clear" w:color="auto" w:fill="FFFFFF"/>
            <w:vAlign w:val="center"/>
          </w:tcPr>
          <w:p w14:paraId="5C29626B" w14:textId="6918BDEE" w:rsidR="001B672C" w:rsidRPr="006630E3" w:rsidRDefault="001B672C" w:rsidP="001C44D6">
            <w:pPr>
              <w:pStyle w:val="MDPI42tablebody"/>
              <w:autoSpaceDE w:val="0"/>
              <w:autoSpaceDN w:val="0"/>
              <w:rPr>
                <w:color w:val="auto"/>
                <w:szCs w:val="17"/>
              </w:rPr>
            </w:pPr>
            <w:r w:rsidRPr="006630E3">
              <w:rPr>
                <w:color w:val="auto"/>
                <w:szCs w:val="17"/>
              </w:rPr>
              <w:t>1.25 (0.51</w:t>
            </w:r>
            <w:r w:rsidR="001C44D6">
              <w:rPr>
                <w:color w:val="auto"/>
                <w:szCs w:val="17"/>
              </w:rPr>
              <w:t>–</w:t>
            </w:r>
            <w:r w:rsidRPr="006630E3">
              <w:rPr>
                <w:color w:val="auto"/>
                <w:szCs w:val="17"/>
              </w:rPr>
              <w:t>3.10)</w:t>
            </w:r>
          </w:p>
        </w:tc>
      </w:tr>
      <w:tr w:rsidR="001B672C" w:rsidRPr="006630E3" w14:paraId="5CF54E5B" w14:textId="77777777" w:rsidTr="006630E3">
        <w:trPr>
          <w:jc w:val="center"/>
        </w:trPr>
        <w:tc>
          <w:tcPr>
            <w:tcW w:w="1843" w:type="dxa"/>
            <w:tcBorders>
              <w:top w:val="nil"/>
              <w:left w:val="nil"/>
              <w:bottom w:val="nil"/>
              <w:right w:val="nil"/>
            </w:tcBorders>
            <w:shd w:val="clear" w:color="auto" w:fill="FCFCFC"/>
            <w:vAlign w:val="center"/>
          </w:tcPr>
          <w:p w14:paraId="47BC3043"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Feneon</w:t>
            </w:r>
            <w:proofErr w:type="spellEnd"/>
            <w:r w:rsidRPr="006630E3">
              <w:rPr>
                <w:color w:val="auto"/>
                <w:szCs w:val="18"/>
              </w:rPr>
              <w:t>, 2016 [86]</w:t>
            </w:r>
          </w:p>
        </w:tc>
        <w:tc>
          <w:tcPr>
            <w:tcW w:w="1389" w:type="dxa"/>
            <w:tcBorders>
              <w:top w:val="nil"/>
              <w:left w:val="nil"/>
              <w:bottom w:val="nil"/>
              <w:right w:val="nil"/>
            </w:tcBorders>
            <w:shd w:val="clear" w:color="auto" w:fill="FCFCFC"/>
            <w:vAlign w:val="center"/>
          </w:tcPr>
          <w:p w14:paraId="19944B44"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691829C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5F076200" w14:textId="2FEDB005" w:rsidR="001B672C" w:rsidRPr="006630E3" w:rsidRDefault="001C44D6" w:rsidP="006630E3">
            <w:pPr>
              <w:pStyle w:val="MDPI42tablebody"/>
              <w:autoSpaceDE w:val="0"/>
              <w:autoSpaceDN w:val="0"/>
              <w:rPr>
                <w:color w:val="auto"/>
                <w:szCs w:val="17"/>
              </w:rPr>
            </w:pPr>
            <w:r>
              <w:rPr>
                <w:color w:val="auto"/>
                <w:szCs w:val="17"/>
              </w:rPr>
              <w:t>0.99 (0.96–</w:t>
            </w:r>
            <w:r w:rsidR="001B672C" w:rsidRPr="006630E3">
              <w:rPr>
                <w:color w:val="auto"/>
                <w:szCs w:val="17"/>
              </w:rPr>
              <w:t>1.02)</w:t>
            </w:r>
          </w:p>
        </w:tc>
        <w:tc>
          <w:tcPr>
            <w:tcW w:w="1389" w:type="dxa"/>
            <w:tcBorders>
              <w:top w:val="nil"/>
              <w:left w:val="nil"/>
              <w:bottom w:val="nil"/>
              <w:right w:val="nil"/>
            </w:tcBorders>
            <w:shd w:val="clear" w:color="auto" w:fill="FCFCFC"/>
            <w:vAlign w:val="center"/>
          </w:tcPr>
          <w:p w14:paraId="3947885F"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08476D59"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373A91B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37CD9F5B" w14:textId="77777777" w:rsidTr="006630E3">
        <w:trPr>
          <w:jc w:val="center"/>
        </w:trPr>
        <w:tc>
          <w:tcPr>
            <w:tcW w:w="1843" w:type="dxa"/>
            <w:tcBorders>
              <w:top w:val="nil"/>
              <w:left w:val="nil"/>
              <w:bottom w:val="nil"/>
              <w:right w:val="nil"/>
            </w:tcBorders>
            <w:shd w:val="clear" w:color="auto" w:fill="FFFFFF"/>
            <w:vAlign w:val="center"/>
          </w:tcPr>
          <w:p w14:paraId="49CBE554"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Finocchiaro</w:t>
            </w:r>
            <w:proofErr w:type="spellEnd"/>
            <w:r w:rsidRPr="006630E3">
              <w:rPr>
                <w:color w:val="auto"/>
                <w:szCs w:val="18"/>
              </w:rPr>
              <w:t>, 2015 [37]</w:t>
            </w:r>
          </w:p>
        </w:tc>
        <w:tc>
          <w:tcPr>
            <w:tcW w:w="1389" w:type="dxa"/>
            <w:tcBorders>
              <w:top w:val="nil"/>
              <w:left w:val="nil"/>
              <w:bottom w:val="nil"/>
              <w:right w:val="nil"/>
            </w:tcBorders>
            <w:shd w:val="clear" w:color="auto" w:fill="FFFFFF"/>
            <w:vAlign w:val="center"/>
          </w:tcPr>
          <w:p w14:paraId="2E29B36A" w14:textId="5A399404" w:rsidR="001B672C" w:rsidRPr="006630E3" w:rsidRDefault="001C44D6" w:rsidP="006630E3">
            <w:pPr>
              <w:pStyle w:val="MDPI42tablebody"/>
              <w:autoSpaceDE w:val="0"/>
              <w:autoSpaceDN w:val="0"/>
              <w:rPr>
                <w:color w:val="auto"/>
                <w:szCs w:val="17"/>
              </w:rPr>
            </w:pPr>
            <w:r>
              <w:rPr>
                <w:color w:val="auto"/>
                <w:szCs w:val="17"/>
              </w:rPr>
              <w:t>0.52 (0.45–</w:t>
            </w:r>
            <w:r w:rsidR="001B672C" w:rsidRPr="006630E3">
              <w:rPr>
                <w:color w:val="auto"/>
                <w:szCs w:val="17"/>
              </w:rPr>
              <w:t>0.60)</w:t>
            </w:r>
          </w:p>
        </w:tc>
        <w:tc>
          <w:tcPr>
            <w:tcW w:w="1389" w:type="dxa"/>
            <w:tcBorders>
              <w:top w:val="nil"/>
              <w:left w:val="nil"/>
              <w:bottom w:val="nil"/>
              <w:right w:val="nil"/>
            </w:tcBorders>
            <w:shd w:val="clear" w:color="auto" w:fill="FFFFFF"/>
            <w:vAlign w:val="center"/>
          </w:tcPr>
          <w:p w14:paraId="10D4B291"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4AD31BF9"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1FE4FB3F" w14:textId="3A05E5BF" w:rsidR="001B672C" w:rsidRPr="006630E3" w:rsidRDefault="001C44D6" w:rsidP="006630E3">
            <w:pPr>
              <w:pStyle w:val="MDPI42tablebody"/>
              <w:autoSpaceDE w:val="0"/>
              <w:autoSpaceDN w:val="0"/>
              <w:rPr>
                <w:color w:val="auto"/>
                <w:szCs w:val="17"/>
              </w:rPr>
            </w:pPr>
            <w:r>
              <w:rPr>
                <w:color w:val="auto"/>
                <w:szCs w:val="17"/>
              </w:rPr>
              <w:t>5.36 (1.96–</w:t>
            </w:r>
            <w:r w:rsidR="001B672C" w:rsidRPr="006630E3">
              <w:rPr>
                <w:color w:val="auto"/>
                <w:szCs w:val="17"/>
              </w:rPr>
              <w:t>14.6)</w:t>
            </w:r>
            <w:r>
              <w:rPr>
                <w:color w:val="auto"/>
                <w:szCs w:val="17"/>
              </w:rPr>
              <w:t xml:space="preserve"> </w:t>
            </w:r>
            <w:r w:rsidR="001B672C" w:rsidRPr="006630E3">
              <w:rPr>
                <w:color w:val="auto"/>
                <w:szCs w:val="17"/>
                <w:vertAlign w:val="superscript"/>
              </w:rPr>
              <w:t>†</w:t>
            </w:r>
          </w:p>
        </w:tc>
        <w:tc>
          <w:tcPr>
            <w:tcW w:w="1389" w:type="dxa"/>
            <w:tcBorders>
              <w:top w:val="nil"/>
              <w:left w:val="nil"/>
              <w:bottom w:val="nil"/>
              <w:right w:val="nil"/>
            </w:tcBorders>
            <w:shd w:val="clear" w:color="auto" w:fill="FFFFFF"/>
            <w:vAlign w:val="center"/>
          </w:tcPr>
          <w:p w14:paraId="2E8766EC"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1B8426B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57D781A8" w14:textId="77777777" w:rsidTr="006630E3">
        <w:trPr>
          <w:jc w:val="center"/>
        </w:trPr>
        <w:tc>
          <w:tcPr>
            <w:tcW w:w="1843" w:type="dxa"/>
            <w:tcBorders>
              <w:top w:val="nil"/>
              <w:left w:val="nil"/>
              <w:bottom w:val="nil"/>
              <w:right w:val="nil"/>
            </w:tcBorders>
            <w:shd w:val="clear" w:color="auto" w:fill="FCFCFC"/>
            <w:vAlign w:val="center"/>
          </w:tcPr>
          <w:p w14:paraId="66674956" w14:textId="77777777" w:rsidR="001B672C" w:rsidRPr="006630E3" w:rsidRDefault="001B672C" w:rsidP="006630E3">
            <w:pPr>
              <w:pStyle w:val="MDPI42tablebody"/>
              <w:autoSpaceDE w:val="0"/>
              <w:autoSpaceDN w:val="0"/>
              <w:rPr>
                <w:color w:val="auto"/>
                <w:szCs w:val="18"/>
              </w:rPr>
            </w:pPr>
            <w:r w:rsidRPr="006630E3">
              <w:rPr>
                <w:color w:val="auto"/>
                <w:szCs w:val="18"/>
              </w:rPr>
              <w:t>Ghiselli, 2019 [39]</w:t>
            </w:r>
          </w:p>
        </w:tc>
        <w:tc>
          <w:tcPr>
            <w:tcW w:w="1389" w:type="dxa"/>
            <w:tcBorders>
              <w:top w:val="nil"/>
              <w:left w:val="nil"/>
              <w:bottom w:val="nil"/>
              <w:right w:val="nil"/>
            </w:tcBorders>
            <w:shd w:val="clear" w:color="auto" w:fill="FCFCFC"/>
            <w:vAlign w:val="center"/>
          </w:tcPr>
          <w:p w14:paraId="23755BEF"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6854A4AE"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123EA4A5" w14:textId="68BDE023" w:rsidR="001B672C" w:rsidRPr="006630E3" w:rsidRDefault="001C44D6" w:rsidP="006630E3">
            <w:pPr>
              <w:pStyle w:val="MDPI42tablebody"/>
              <w:autoSpaceDE w:val="0"/>
              <w:autoSpaceDN w:val="0"/>
              <w:rPr>
                <w:color w:val="auto"/>
                <w:szCs w:val="17"/>
              </w:rPr>
            </w:pPr>
            <w:r>
              <w:rPr>
                <w:color w:val="auto"/>
                <w:szCs w:val="17"/>
              </w:rPr>
              <w:t>0.68 (0.53–</w:t>
            </w:r>
            <w:r w:rsidR="001B672C" w:rsidRPr="006630E3">
              <w:rPr>
                <w:color w:val="auto"/>
                <w:szCs w:val="17"/>
              </w:rPr>
              <w:t>0.87)</w:t>
            </w:r>
          </w:p>
        </w:tc>
        <w:tc>
          <w:tcPr>
            <w:tcW w:w="1389" w:type="dxa"/>
            <w:tcBorders>
              <w:top w:val="nil"/>
              <w:left w:val="nil"/>
              <w:bottom w:val="nil"/>
              <w:right w:val="nil"/>
            </w:tcBorders>
            <w:shd w:val="clear" w:color="auto" w:fill="FCFCFC"/>
            <w:vAlign w:val="center"/>
          </w:tcPr>
          <w:p w14:paraId="083F03F8"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7487F32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1E87B92C"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768C0A39" w14:textId="77777777" w:rsidTr="006630E3">
        <w:trPr>
          <w:jc w:val="center"/>
        </w:trPr>
        <w:tc>
          <w:tcPr>
            <w:tcW w:w="1843" w:type="dxa"/>
            <w:tcBorders>
              <w:top w:val="nil"/>
              <w:left w:val="nil"/>
              <w:bottom w:val="nil"/>
              <w:right w:val="nil"/>
            </w:tcBorders>
            <w:shd w:val="clear" w:color="auto" w:fill="FFFFFF"/>
            <w:vAlign w:val="center"/>
          </w:tcPr>
          <w:p w14:paraId="0195FE79"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Gimeno</w:t>
            </w:r>
            <w:proofErr w:type="spellEnd"/>
            <w:r w:rsidRPr="006630E3">
              <w:rPr>
                <w:color w:val="auto"/>
                <w:szCs w:val="18"/>
              </w:rPr>
              <w:t>, 2009 [87]</w:t>
            </w:r>
          </w:p>
        </w:tc>
        <w:tc>
          <w:tcPr>
            <w:tcW w:w="1389" w:type="dxa"/>
            <w:tcBorders>
              <w:top w:val="nil"/>
              <w:left w:val="nil"/>
              <w:bottom w:val="nil"/>
              <w:right w:val="nil"/>
            </w:tcBorders>
            <w:shd w:val="clear" w:color="auto" w:fill="FFFFFF"/>
            <w:vAlign w:val="center"/>
          </w:tcPr>
          <w:p w14:paraId="725025C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07C5F127"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4FC12A7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408764D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25342968"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5D252F14" w14:textId="6E67206E" w:rsidR="001B672C" w:rsidRPr="006630E3" w:rsidRDefault="001C44D6" w:rsidP="006630E3">
            <w:pPr>
              <w:pStyle w:val="MDPI42tablebody"/>
              <w:autoSpaceDE w:val="0"/>
              <w:autoSpaceDN w:val="0"/>
              <w:rPr>
                <w:color w:val="auto"/>
                <w:szCs w:val="17"/>
              </w:rPr>
            </w:pPr>
            <w:r>
              <w:rPr>
                <w:color w:val="auto"/>
                <w:szCs w:val="17"/>
              </w:rPr>
              <w:t>2.18 (1.07–</w:t>
            </w:r>
            <w:r w:rsidR="001B672C" w:rsidRPr="006630E3">
              <w:rPr>
                <w:color w:val="auto"/>
                <w:szCs w:val="17"/>
              </w:rPr>
              <w:t>4.45)</w:t>
            </w:r>
          </w:p>
        </w:tc>
      </w:tr>
      <w:tr w:rsidR="001B672C" w:rsidRPr="006630E3" w14:paraId="6FEB2709" w14:textId="77777777" w:rsidTr="006630E3">
        <w:trPr>
          <w:jc w:val="center"/>
        </w:trPr>
        <w:tc>
          <w:tcPr>
            <w:tcW w:w="1843" w:type="dxa"/>
            <w:tcBorders>
              <w:top w:val="nil"/>
              <w:left w:val="nil"/>
              <w:bottom w:val="nil"/>
              <w:right w:val="nil"/>
            </w:tcBorders>
            <w:shd w:val="clear" w:color="auto" w:fill="FCFCFC"/>
            <w:vAlign w:val="center"/>
          </w:tcPr>
          <w:p w14:paraId="7571257D"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Magri</w:t>
            </w:r>
            <w:proofErr w:type="spellEnd"/>
            <w:r w:rsidRPr="006630E3">
              <w:rPr>
                <w:color w:val="auto"/>
                <w:szCs w:val="18"/>
              </w:rPr>
              <w:t>, 2016 [55]</w:t>
            </w:r>
          </w:p>
        </w:tc>
        <w:tc>
          <w:tcPr>
            <w:tcW w:w="1389" w:type="dxa"/>
            <w:tcBorders>
              <w:top w:val="nil"/>
              <w:left w:val="nil"/>
              <w:bottom w:val="nil"/>
              <w:right w:val="nil"/>
            </w:tcBorders>
            <w:shd w:val="clear" w:color="auto" w:fill="FCFCFC"/>
            <w:vAlign w:val="center"/>
          </w:tcPr>
          <w:p w14:paraId="10B8251F" w14:textId="357894B7" w:rsidR="001B672C" w:rsidRPr="006630E3" w:rsidRDefault="001C44D6" w:rsidP="006630E3">
            <w:pPr>
              <w:pStyle w:val="MDPI42tablebody"/>
              <w:autoSpaceDE w:val="0"/>
              <w:autoSpaceDN w:val="0"/>
              <w:rPr>
                <w:color w:val="auto"/>
                <w:szCs w:val="17"/>
              </w:rPr>
            </w:pPr>
            <w:r>
              <w:rPr>
                <w:color w:val="auto"/>
                <w:szCs w:val="17"/>
              </w:rPr>
              <w:t>0.91 (0.85–</w:t>
            </w:r>
            <w:r w:rsidR="001B672C" w:rsidRPr="006630E3">
              <w:rPr>
                <w:color w:val="auto"/>
                <w:szCs w:val="17"/>
              </w:rPr>
              <w:t>0.98)</w:t>
            </w:r>
          </w:p>
        </w:tc>
        <w:tc>
          <w:tcPr>
            <w:tcW w:w="1389" w:type="dxa"/>
            <w:tcBorders>
              <w:top w:val="nil"/>
              <w:left w:val="nil"/>
              <w:bottom w:val="nil"/>
              <w:right w:val="nil"/>
            </w:tcBorders>
            <w:shd w:val="clear" w:color="auto" w:fill="FCFCFC"/>
            <w:vAlign w:val="center"/>
          </w:tcPr>
          <w:p w14:paraId="0374E1B8" w14:textId="1000604D" w:rsidR="001B672C" w:rsidRPr="006630E3" w:rsidRDefault="001C44D6" w:rsidP="006630E3">
            <w:pPr>
              <w:pStyle w:val="MDPI42tablebody"/>
              <w:autoSpaceDE w:val="0"/>
              <w:autoSpaceDN w:val="0"/>
              <w:rPr>
                <w:color w:val="auto"/>
                <w:szCs w:val="17"/>
              </w:rPr>
            </w:pPr>
            <w:r>
              <w:rPr>
                <w:color w:val="auto"/>
                <w:szCs w:val="17"/>
              </w:rPr>
              <w:t>0.82 (0.72–</w:t>
            </w:r>
            <w:r w:rsidR="001B672C" w:rsidRPr="006630E3">
              <w:rPr>
                <w:color w:val="auto"/>
                <w:szCs w:val="17"/>
              </w:rPr>
              <w:t>0.94)</w:t>
            </w:r>
          </w:p>
        </w:tc>
        <w:tc>
          <w:tcPr>
            <w:tcW w:w="1389" w:type="dxa"/>
            <w:tcBorders>
              <w:top w:val="nil"/>
              <w:left w:val="nil"/>
              <w:bottom w:val="nil"/>
              <w:right w:val="nil"/>
            </w:tcBorders>
            <w:shd w:val="clear" w:color="auto" w:fill="FCFCFC"/>
            <w:vAlign w:val="center"/>
          </w:tcPr>
          <w:p w14:paraId="3603FFF3"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527ED848" w14:textId="5C06AC07" w:rsidR="001B672C" w:rsidRPr="006630E3" w:rsidRDefault="001C44D6" w:rsidP="006630E3">
            <w:pPr>
              <w:pStyle w:val="MDPI42tablebody"/>
              <w:autoSpaceDE w:val="0"/>
              <w:autoSpaceDN w:val="0"/>
              <w:rPr>
                <w:color w:val="auto"/>
                <w:szCs w:val="17"/>
              </w:rPr>
            </w:pPr>
            <w:r>
              <w:rPr>
                <w:color w:val="auto"/>
                <w:szCs w:val="17"/>
              </w:rPr>
              <w:t>0.96 (0.93–</w:t>
            </w:r>
            <w:r w:rsidR="001B672C" w:rsidRPr="006630E3">
              <w:rPr>
                <w:color w:val="auto"/>
                <w:szCs w:val="17"/>
              </w:rPr>
              <w:t>0.99)</w:t>
            </w:r>
          </w:p>
        </w:tc>
        <w:tc>
          <w:tcPr>
            <w:tcW w:w="1389" w:type="dxa"/>
            <w:tcBorders>
              <w:top w:val="nil"/>
              <w:left w:val="nil"/>
              <w:bottom w:val="nil"/>
              <w:right w:val="nil"/>
            </w:tcBorders>
            <w:shd w:val="clear" w:color="auto" w:fill="FCFCFC"/>
            <w:vAlign w:val="center"/>
          </w:tcPr>
          <w:p w14:paraId="673C152D" w14:textId="08C32CEE" w:rsidR="001B672C" w:rsidRPr="006630E3" w:rsidRDefault="001C44D6" w:rsidP="006630E3">
            <w:pPr>
              <w:pStyle w:val="MDPI42tablebody"/>
              <w:autoSpaceDE w:val="0"/>
              <w:autoSpaceDN w:val="0"/>
              <w:rPr>
                <w:color w:val="auto"/>
                <w:szCs w:val="17"/>
              </w:rPr>
            </w:pPr>
            <w:r>
              <w:rPr>
                <w:color w:val="auto"/>
                <w:szCs w:val="17"/>
              </w:rPr>
              <w:t>2.33 (1.003–</w:t>
            </w:r>
            <w:r w:rsidR="001B672C" w:rsidRPr="006630E3">
              <w:rPr>
                <w:color w:val="auto"/>
                <w:szCs w:val="17"/>
              </w:rPr>
              <w:t>5.4)</w:t>
            </w:r>
          </w:p>
        </w:tc>
        <w:tc>
          <w:tcPr>
            <w:tcW w:w="1389" w:type="dxa"/>
            <w:tcBorders>
              <w:top w:val="nil"/>
              <w:left w:val="nil"/>
              <w:bottom w:val="nil"/>
              <w:right w:val="nil"/>
            </w:tcBorders>
            <w:shd w:val="clear" w:color="auto" w:fill="FCFCFC"/>
            <w:vAlign w:val="center"/>
          </w:tcPr>
          <w:p w14:paraId="07054315" w14:textId="6031BE49" w:rsidR="001B672C" w:rsidRPr="006630E3" w:rsidRDefault="001C44D6" w:rsidP="006630E3">
            <w:pPr>
              <w:pStyle w:val="MDPI42tablebody"/>
              <w:autoSpaceDE w:val="0"/>
              <w:autoSpaceDN w:val="0"/>
              <w:rPr>
                <w:color w:val="auto"/>
                <w:szCs w:val="17"/>
              </w:rPr>
            </w:pPr>
            <w:r>
              <w:rPr>
                <w:color w:val="auto"/>
                <w:szCs w:val="17"/>
              </w:rPr>
              <w:t>3.13 (1.38–</w:t>
            </w:r>
            <w:r w:rsidR="001B672C" w:rsidRPr="006630E3">
              <w:rPr>
                <w:color w:val="auto"/>
                <w:szCs w:val="17"/>
              </w:rPr>
              <w:t>7.01)</w:t>
            </w:r>
          </w:p>
        </w:tc>
      </w:tr>
      <w:tr w:rsidR="001B672C" w:rsidRPr="006630E3" w14:paraId="3719F006" w14:textId="77777777" w:rsidTr="006630E3">
        <w:trPr>
          <w:jc w:val="center"/>
        </w:trPr>
        <w:tc>
          <w:tcPr>
            <w:tcW w:w="1843" w:type="dxa"/>
            <w:tcBorders>
              <w:top w:val="nil"/>
              <w:left w:val="nil"/>
              <w:bottom w:val="nil"/>
              <w:right w:val="nil"/>
            </w:tcBorders>
            <w:shd w:val="clear" w:color="auto" w:fill="FFFFFF"/>
            <w:vAlign w:val="center"/>
          </w:tcPr>
          <w:p w14:paraId="2B457D21"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Magri</w:t>
            </w:r>
            <w:proofErr w:type="spellEnd"/>
            <w:r w:rsidRPr="006630E3">
              <w:rPr>
                <w:color w:val="auto"/>
                <w:szCs w:val="18"/>
              </w:rPr>
              <w:t>, 2016 [89]</w:t>
            </w:r>
          </w:p>
        </w:tc>
        <w:tc>
          <w:tcPr>
            <w:tcW w:w="1389" w:type="dxa"/>
            <w:tcBorders>
              <w:top w:val="nil"/>
              <w:left w:val="nil"/>
              <w:bottom w:val="nil"/>
              <w:right w:val="nil"/>
            </w:tcBorders>
            <w:shd w:val="clear" w:color="auto" w:fill="FFFFFF"/>
            <w:vAlign w:val="center"/>
          </w:tcPr>
          <w:p w14:paraId="23DE3461" w14:textId="0450EE04" w:rsidR="001B672C" w:rsidRPr="006630E3" w:rsidRDefault="001C44D6" w:rsidP="006630E3">
            <w:pPr>
              <w:pStyle w:val="MDPI42tablebody"/>
              <w:autoSpaceDE w:val="0"/>
              <w:autoSpaceDN w:val="0"/>
              <w:rPr>
                <w:color w:val="auto"/>
                <w:szCs w:val="17"/>
              </w:rPr>
            </w:pPr>
            <w:r>
              <w:rPr>
                <w:color w:val="auto"/>
                <w:szCs w:val="17"/>
              </w:rPr>
              <w:t>0.80 (0.76–</w:t>
            </w:r>
            <w:r w:rsidR="001B672C" w:rsidRPr="006630E3">
              <w:rPr>
                <w:color w:val="auto"/>
                <w:szCs w:val="17"/>
              </w:rPr>
              <w:t>0.84)</w:t>
            </w:r>
          </w:p>
        </w:tc>
        <w:tc>
          <w:tcPr>
            <w:tcW w:w="1389" w:type="dxa"/>
            <w:tcBorders>
              <w:top w:val="nil"/>
              <w:left w:val="nil"/>
              <w:bottom w:val="nil"/>
              <w:right w:val="nil"/>
            </w:tcBorders>
            <w:shd w:val="clear" w:color="auto" w:fill="FFFFFF"/>
            <w:vAlign w:val="center"/>
          </w:tcPr>
          <w:p w14:paraId="1E8C3B77" w14:textId="2D90DCFD" w:rsidR="001B672C" w:rsidRPr="006630E3" w:rsidRDefault="001C44D6" w:rsidP="006630E3">
            <w:pPr>
              <w:pStyle w:val="MDPI42tablebody"/>
              <w:autoSpaceDE w:val="0"/>
              <w:autoSpaceDN w:val="0"/>
              <w:rPr>
                <w:color w:val="auto"/>
                <w:szCs w:val="17"/>
              </w:rPr>
            </w:pPr>
            <w:r>
              <w:rPr>
                <w:color w:val="auto"/>
                <w:szCs w:val="17"/>
              </w:rPr>
              <w:t>0.81 (0.74–</w:t>
            </w:r>
            <w:r w:rsidR="001B672C" w:rsidRPr="006630E3">
              <w:rPr>
                <w:color w:val="auto"/>
                <w:szCs w:val="17"/>
              </w:rPr>
              <w:t>0.88)</w:t>
            </w:r>
          </w:p>
        </w:tc>
        <w:tc>
          <w:tcPr>
            <w:tcW w:w="1389" w:type="dxa"/>
            <w:tcBorders>
              <w:top w:val="nil"/>
              <w:left w:val="nil"/>
              <w:bottom w:val="nil"/>
              <w:right w:val="nil"/>
            </w:tcBorders>
            <w:shd w:val="clear" w:color="auto" w:fill="FFFFFF"/>
            <w:vAlign w:val="center"/>
          </w:tcPr>
          <w:p w14:paraId="04D20FFD"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09BC0287" w14:textId="769D9D4D" w:rsidR="001B672C" w:rsidRPr="006630E3" w:rsidRDefault="001C44D6" w:rsidP="006630E3">
            <w:pPr>
              <w:pStyle w:val="MDPI42tablebody"/>
              <w:autoSpaceDE w:val="0"/>
              <w:autoSpaceDN w:val="0"/>
              <w:rPr>
                <w:color w:val="auto"/>
                <w:szCs w:val="17"/>
              </w:rPr>
            </w:pPr>
            <w:r>
              <w:rPr>
                <w:color w:val="auto"/>
                <w:szCs w:val="17"/>
              </w:rPr>
              <w:t>0.94 (0.92–</w:t>
            </w:r>
            <w:r w:rsidR="001B672C" w:rsidRPr="006630E3">
              <w:rPr>
                <w:color w:val="auto"/>
                <w:szCs w:val="17"/>
              </w:rPr>
              <w:t>0.95)</w:t>
            </w:r>
          </w:p>
        </w:tc>
        <w:tc>
          <w:tcPr>
            <w:tcW w:w="1389" w:type="dxa"/>
            <w:tcBorders>
              <w:top w:val="nil"/>
              <w:left w:val="nil"/>
              <w:bottom w:val="nil"/>
              <w:right w:val="nil"/>
            </w:tcBorders>
            <w:shd w:val="clear" w:color="auto" w:fill="FFFFFF"/>
            <w:vAlign w:val="center"/>
          </w:tcPr>
          <w:p w14:paraId="0CB9AF91" w14:textId="699C0264" w:rsidR="001B672C" w:rsidRPr="006630E3" w:rsidRDefault="001C44D6" w:rsidP="006630E3">
            <w:pPr>
              <w:pStyle w:val="MDPI42tablebody"/>
              <w:autoSpaceDE w:val="0"/>
              <w:autoSpaceDN w:val="0"/>
              <w:rPr>
                <w:color w:val="auto"/>
                <w:szCs w:val="17"/>
              </w:rPr>
            </w:pPr>
            <w:r>
              <w:rPr>
                <w:color w:val="auto"/>
                <w:szCs w:val="17"/>
              </w:rPr>
              <w:t>4.49 (2.91–</w:t>
            </w:r>
            <w:r w:rsidR="001B672C" w:rsidRPr="006630E3">
              <w:rPr>
                <w:color w:val="auto"/>
                <w:szCs w:val="17"/>
              </w:rPr>
              <w:t>6.93)</w:t>
            </w:r>
          </w:p>
        </w:tc>
        <w:tc>
          <w:tcPr>
            <w:tcW w:w="1389" w:type="dxa"/>
            <w:tcBorders>
              <w:top w:val="nil"/>
              <w:left w:val="nil"/>
              <w:bottom w:val="nil"/>
              <w:right w:val="nil"/>
            </w:tcBorders>
            <w:shd w:val="clear" w:color="auto" w:fill="FFFFFF"/>
            <w:vAlign w:val="center"/>
          </w:tcPr>
          <w:p w14:paraId="4A90FBD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2599713E" w14:textId="77777777" w:rsidTr="006630E3">
        <w:trPr>
          <w:jc w:val="center"/>
        </w:trPr>
        <w:tc>
          <w:tcPr>
            <w:tcW w:w="1843" w:type="dxa"/>
            <w:tcBorders>
              <w:top w:val="nil"/>
              <w:left w:val="nil"/>
              <w:bottom w:val="nil"/>
              <w:right w:val="nil"/>
            </w:tcBorders>
            <w:shd w:val="clear" w:color="auto" w:fill="FCFCFC"/>
            <w:vAlign w:val="center"/>
          </w:tcPr>
          <w:p w14:paraId="7919E141"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Magri</w:t>
            </w:r>
            <w:proofErr w:type="spellEnd"/>
            <w:r w:rsidRPr="006630E3">
              <w:rPr>
                <w:color w:val="auto"/>
                <w:szCs w:val="18"/>
              </w:rPr>
              <w:t>, 2018 [56]</w:t>
            </w:r>
          </w:p>
        </w:tc>
        <w:tc>
          <w:tcPr>
            <w:tcW w:w="1389" w:type="dxa"/>
            <w:tcBorders>
              <w:top w:val="nil"/>
              <w:left w:val="nil"/>
              <w:bottom w:val="nil"/>
              <w:right w:val="nil"/>
            </w:tcBorders>
            <w:shd w:val="clear" w:color="auto" w:fill="FCFCFC"/>
            <w:vAlign w:val="center"/>
          </w:tcPr>
          <w:p w14:paraId="70E37AF6" w14:textId="77777777" w:rsidR="001B672C" w:rsidRPr="006630E3" w:rsidRDefault="001B672C" w:rsidP="006630E3">
            <w:pPr>
              <w:pStyle w:val="MDPI42tablebody"/>
              <w:autoSpaceDE w:val="0"/>
              <w:autoSpaceDN w:val="0"/>
              <w:rPr>
                <w:color w:val="auto"/>
                <w:szCs w:val="17"/>
              </w:rPr>
            </w:pPr>
            <w:r w:rsidRPr="006630E3">
              <w:rPr>
                <w:color w:val="auto"/>
                <w:szCs w:val="17"/>
              </w:rPr>
              <w:t>0.85 (0.8</w:t>
            </w:r>
            <w:r w:rsidR="006630E3" w:rsidRPr="006630E3">
              <w:rPr>
                <w:color w:val="auto"/>
                <w:szCs w:val="17"/>
              </w:rPr>
              <w:t>1</w:t>
            </w:r>
            <w:r w:rsidR="006630E3">
              <w:rPr>
                <w:color w:val="auto"/>
                <w:szCs w:val="17"/>
              </w:rPr>
              <w:t>–</w:t>
            </w:r>
            <w:r w:rsidR="006630E3" w:rsidRPr="006630E3">
              <w:rPr>
                <w:color w:val="auto"/>
                <w:szCs w:val="17"/>
              </w:rPr>
              <w:t>0</w:t>
            </w:r>
            <w:r w:rsidRPr="006630E3">
              <w:rPr>
                <w:color w:val="auto"/>
                <w:szCs w:val="17"/>
              </w:rPr>
              <w:t>.89)</w:t>
            </w:r>
          </w:p>
        </w:tc>
        <w:tc>
          <w:tcPr>
            <w:tcW w:w="1389" w:type="dxa"/>
            <w:tcBorders>
              <w:top w:val="nil"/>
              <w:left w:val="nil"/>
              <w:bottom w:val="nil"/>
              <w:right w:val="nil"/>
            </w:tcBorders>
            <w:shd w:val="clear" w:color="auto" w:fill="FCFCFC"/>
            <w:vAlign w:val="center"/>
          </w:tcPr>
          <w:p w14:paraId="61F1356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7D9AFBB2"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3DB6D3D9" w14:textId="77777777" w:rsidR="001B672C" w:rsidRPr="006630E3" w:rsidRDefault="001B672C" w:rsidP="006630E3">
            <w:pPr>
              <w:pStyle w:val="MDPI42tablebody"/>
              <w:autoSpaceDE w:val="0"/>
              <w:autoSpaceDN w:val="0"/>
              <w:rPr>
                <w:color w:val="auto"/>
                <w:szCs w:val="17"/>
              </w:rPr>
            </w:pPr>
            <w:r w:rsidRPr="006630E3">
              <w:rPr>
                <w:color w:val="auto"/>
                <w:szCs w:val="17"/>
              </w:rPr>
              <w:t>0.95 (0.9</w:t>
            </w:r>
            <w:r w:rsidR="006630E3" w:rsidRPr="006630E3">
              <w:rPr>
                <w:color w:val="auto"/>
                <w:szCs w:val="17"/>
              </w:rPr>
              <w:t>4</w:t>
            </w:r>
            <w:r w:rsidR="006630E3">
              <w:rPr>
                <w:color w:val="auto"/>
                <w:szCs w:val="17"/>
              </w:rPr>
              <w:t>–</w:t>
            </w:r>
            <w:r w:rsidR="006630E3" w:rsidRPr="006630E3">
              <w:rPr>
                <w:color w:val="auto"/>
                <w:szCs w:val="17"/>
              </w:rPr>
              <w:t>0</w:t>
            </w:r>
            <w:r w:rsidRPr="006630E3">
              <w:rPr>
                <w:color w:val="auto"/>
                <w:szCs w:val="17"/>
              </w:rPr>
              <w:t>.97)</w:t>
            </w:r>
          </w:p>
        </w:tc>
        <w:tc>
          <w:tcPr>
            <w:tcW w:w="1389" w:type="dxa"/>
            <w:tcBorders>
              <w:top w:val="nil"/>
              <w:left w:val="nil"/>
              <w:bottom w:val="nil"/>
              <w:right w:val="nil"/>
            </w:tcBorders>
            <w:shd w:val="clear" w:color="auto" w:fill="FCFCFC"/>
            <w:vAlign w:val="center"/>
          </w:tcPr>
          <w:p w14:paraId="29EA1329" w14:textId="730B5EA6" w:rsidR="001B672C" w:rsidRPr="006630E3" w:rsidRDefault="001C44D6" w:rsidP="006630E3">
            <w:pPr>
              <w:pStyle w:val="MDPI42tablebody"/>
              <w:autoSpaceDE w:val="0"/>
              <w:autoSpaceDN w:val="0"/>
              <w:rPr>
                <w:color w:val="auto"/>
                <w:szCs w:val="17"/>
              </w:rPr>
            </w:pPr>
            <w:r>
              <w:rPr>
                <w:color w:val="auto"/>
                <w:szCs w:val="17"/>
              </w:rPr>
              <w:t>3.50 (2.22–</w:t>
            </w:r>
            <w:r w:rsidR="001B672C" w:rsidRPr="006630E3">
              <w:rPr>
                <w:color w:val="auto"/>
                <w:szCs w:val="17"/>
              </w:rPr>
              <w:t>5.31)</w:t>
            </w:r>
          </w:p>
        </w:tc>
        <w:tc>
          <w:tcPr>
            <w:tcW w:w="1389" w:type="dxa"/>
            <w:tcBorders>
              <w:top w:val="nil"/>
              <w:left w:val="nil"/>
              <w:bottom w:val="nil"/>
              <w:right w:val="nil"/>
            </w:tcBorders>
            <w:shd w:val="clear" w:color="auto" w:fill="FCFCFC"/>
            <w:vAlign w:val="center"/>
          </w:tcPr>
          <w:p w14:paraId="13EDD1E1" w14:textId="1E1101C6" w:rsidR="001B672C" w:rsidRPr="006630E3" w:rsidRDefault="001C44D6" w:rsidP="006630E3">
            <w:pPr>
              <w:pStyle w:val="MDPI42tablebody"/>
              <w:autoSpaceDE w:val="0"/>
              <w:autoSpaceDN w:val="0"/>
              <w:rPr>
                <w:color w:val="auto"/>
                <w:szCs w:val="17"/>
              </w:rPr>
            </w:pPr>
            <w:r>
              <w:rPr>
                <w:color w:val="auto"/>
                <w:szCs w:val="17"/>
              </w:rPr>
              <w:t>3.00 (1.22–</w:t>
            </w:r>
            <w:r w:rsidR="001B672C" w:rsidRPr="006630E3">
              <w:rPr>
                <w:color w:val="auto"/>
                <w:szCs w:val="17"/>
              </w:rPr>
              <w:t>7.39)</w:t>
            </w:r>
          </w:p>
        </w:tc>
      </w:tr>
      <w:tr w:rsidR="001B672C" w:rsidRPr="006630E3" w14:paraId="04CF3196" w14:textId="77777777" w:rsidTr="006630E3">
        <w:trPr>
          <w:jc w:val="center"/>
        </w:trPr>
        <w:tc>
          <w:tcPr>
            <w:tcW w:w="1843" w:type="dxa"/>
            <w:tcBorders>
              <w:top w:val="nil"/>
              <w:left w:val="nil"/>
              <w:bottom w:val="nil"/>
              <w:right w:val="nil"/>
            </w:tcBorders>
            <w:shd w:val="clear" w:color="auto" w:fill="FFFFFF"/>
            <w:vAlign w:val="center"/>
          </w:tcPr>
          <w:p w14:paraId="0A9A1C76"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Masri</w:t>
            </w:r>
            <w:proofErr w:type="spellEnd"/>
            <w:r w:rsidRPr="006630E3">
              <w:rPr>
                <w:color w:val="auto"/>
                <w:szCs w:val="18"/>
              </w:rPr>
              <w:t>, 2015 [90]</w:t>
            </w:r>
          </w:p>
        </w:tc>
        <w:tc>
          <w:tcPr>
            <w:tcW w:w="1389" w:type="dxa"/>
            <w:tcBorders>
              <w:top w:val="nil"/>
              <w:left w:val="nil"/>
              <w:bottom w:val="nil"/>
              <w:right w:val="nil"/>
            </w:tcBorders>
            <w:shd w:val="clear" w:color="auto" w:fill="FFFFFF"/>
            <w:vAlign w:val="center"/>
          </w:tcPr>
          <w:p w14:paraId="5542928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75FC906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753C71D8"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2AE84EC0" w14:textId="428F94B0" w:rsidR="001B672C" w:rsidRPr="006630E3" w:rsidRDefault="001C44D6" w:rsidP="006630E3">
            <w:pPr>
              <w:pStyle w:val="MDPI42tablebody"/>
              <w:autoSpaceDE w:val="0"/>
              <w:autoSpaceDN w:val="0"/>
              <w:rPr>
                <w:color w:val="auto"/>
                <w:szCs w:val="17"/>
              </w:rPr>
            </w:pPr>
            <w:r>
              <w:rPr>
                <w:color w:val="auto"/>
                <w:szCs w:val="17"/>
              </w:rPr>
              <w:t>0.96 (0.93–</w:t>
            </w:r>
            <w:r w:rsidR="001B672C" w:rsidRPr="006630E3">
              <w:rPr>
                <w:color w:val="auto"/>
                <w:szCs w:val="17"/>
              </w:rPr>
              <w:t>0.98)</w:t>
            </w:r>
          </w:p>
        </w:tc>
        <w:tc>
          <w:tcPr>
            <w:tcW w:w="1389" w:type="dxa"/>
            <w:tcBorders>
              <w:top w:val="nil"/>
              <w:left w:val="nil"/>
              <w:bottom w:val="nil"/>
              <w:right w:val="nil"/>
            </w:tcBorders>
            <w:shd w:val="clear" w:color="auto" w:fill="FFFFFF"/>
            <w:vAlign w:val="center"/>
          </w:tcPr>
          <w:p w14:paraId="2D21E927"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08FA4900"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730BA3BF" w14:textId="77777777" w:rsidTr="006630E3">
        <w:trPr>
          <w:jc w:val="center"/>
        </w:trPr>
        <w:tc>
          <w:tcPr>
            <w:tcW w:w="1843" w:type="dxa"/>
            <w:tcBorders>
              <w:top w:val="nil"/>
              <w:left w:val="nil"/>
              <w:bottom w:val="nil"/>
              <w:right w:val="nil"/>
            </w:tcBorders>
            <w:shd w:val="clear" w:color="auto" w:fill="FCFCFC"/>
            <w:vAlign w:val="center"/>
          </w:tcPr>
          <w:p w14:paraId="1BADFDE5" w14:textId="77777777" w:rsidR="001B672C" w:rsidRPr="006630E3" w:rsidRDefault="001B672C" w:rsidP="006630E3">
            <w:pPr>
              <w:pStyle w:val="MDPI42tablebody"/>
              <w:autoSpaceDE w:val="0"/>
              <w:autoSpaceDN w:val="0"/>
              <w:rPr>
                <w:color w:val="auto"/>
                <w:szCs w:val="17"/>
              </w:rPr>
            </w:pPr>
            <w:proofErr w:type="spellStart"/>
            <w:r w:rsidRPr="006630E3">
              <w:rPr>
                <w:color w:val="auto"/>
                <w:szCs w:val="17"/>
              </w:rPr>
              <w:t>Michaelides</w:t>
            </w:r>
            <w:proofErr w:type="spellEnd"/>
            <w:r w:rsidRPr="006630E3">
              <w:rPr>
                <w:color w:val="auto"/>
                <w:szCs w:val="17"/>
              </w:rPr>
              <w:t xml:space="preserve">, 2009 </w:t>
            </w:r>
            <w:r w:rsidRPr="006630E3">
              <w:rPr>
                <w:color w:val="auto"/>
                <w:szCs w:val="18"/>
              </w:rPr>
              <w:t>[91]</w:t>
            </w:r>
          </w:p>
        </w:tc>
        <w:tc>
          <w:tcPr>
            <w:tcW w:w="1389" w:type="dxa"/>
            <w:tcBorders>
              <w:top w:val="nil"/>
              <w:left w:val="nil"/>
              <w:bottom w:val="nil"/>
              <w:right w:val="nil"/>
            </w:tcBorders>
            <w:shd w:val="clear" w:color="auto" w:fill="FCFCFC"/>
            <w:vAlign w:val="center"/>
          </w:tcPr>
          <w:p w14:paraId="7CF1E8B8"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6779D354"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47AD1A5A"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56D8CA8E"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55DF9DF3" w14:textId="1B8B060F" w:rsidR="001B672C" w:rsidRPr="006630E3" w:rsidRDefault="001C44D6" w:rsidP="006630E3">
            <w:pPr>
              <w:pStyle w:val="MDPI42tablebody"/>
              <w:autoSpaceDE w:val="0"/>
              <w:autoSpaceDN w:val="0"/>
              <w:rPr>
                <w:color w:val="auto"/>
                <w:szCs w:val="17"/>
              </w:rPr>
            </w:pPr>
            <w:r>
              <w:rPr>
                <w:color w:val="auto"/>
                <w:szCs w:val="17"/>
              </w:rPr>
              <w:t>3.6 (0.8–</w:t>
            </w:r>
            <w:r w:rsidR="001B672C" w:rsidRPr="006630E3">
              <w:rPr>
                <w:color w:val="auto"/>
                <w:szCs w:val="17"/>
              </w:rPr>
              <w:t>15.6)</w:t>
            </w:r>
          </w:p>
        </w:tc>
        <w:tc>
          <w:tcPr>
            <w:tcW w:w="1389" w:type="dxa"/>
            <w:tcBorders>
              <w:top w:val="nil"/>
              <w:left w:val="nil"/>
              <w:bottom w:val="nil"/>
              <w:right w:val="nil"/>
            </w:tcBorders>
            <w:shd w:val="clear" w:color="auto" w:fill="FCFCFC"/>
            <w:vAlign w:val="center"/>
          </w:tcPr>
          <w:p w14:paraId="7EBB507C"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2DEE2ACC" w14:textId="77777777" w:rsidTr="006630E3">
        <w:trPr>
          <w:jc w:val="center"/>
        </w:trPr>
        <w:tc>
          <w:tcPr>
            <w:tcW w:w="1843" w:type="dxa"/>
            <w:tcBorders>
              <w:top w:val="nil"/>
              <w:left w:val="nil"/>
              <w:bottom w:val="nil"/>
              <w:right w:val="nil"/>
            </w:tcBorders>
            <w:shd w:val="clear" w:color="auto" w:fill="FFFFFF"/>
            <w:vAlign w:val="center"/>
          </w:tcPr>
          <w:p w14:paraId="2095DC96"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7"/>
              </w:rPr>
              <w:t>Moneghetti</w:t>
            </w:r>
            <w:proofErr w:type="spellEnd"/>
            <w:r w:rsidRPr="006630E3">
              <w:rPr>
                <w:color w:val="auto"/>
                <w:szCs w:val="17"/>
              </w:rPr>
              <w:t>, 2017</w:t>
            </w:r>
            <w:r w:rsidRPr="006630E3">
              <w:rPr>
                <w:color w:val="auto"/>
                <w:szCs w:val="18"/>
              </w:rPr>
              <w:t xml:space="preserve"> [63]</w:t>
            </w:r>
          </w:p>
        </w:tc>
        <w:tc>
          <w:tcPr>
            <w:tcW w:w="1389" w:type="dxa"/>
            <w:tcBorders>
              <w:top w:val="nil"/>
              <w:left w:val="nil"/>
              <w:bottom w:val="nil"/>
              <w:right w:val="nil"/>
            </w:tcBorders>
            <w:shd w:val="clear" w:color="auto" w:fill="FFFFFF"/>
            <w:vAlign w:val="center"/>
          </w:tcPr>
          <w:p w14:paraId="303C2642" w14:textId="5D035297" w:rsidR="001B672C" w:rsidRPr="006630E3" w:rsidRDefault="001C44D6" w:rsidP="006630E3">
            <w:pPr>
              <w:pStyle w:val="MDPI42tablebody"/>
              <w:autoSpaceDE w:val="0"/>
              <w:autoSpaceDN w:val="0"/>
              <w:rPr>
                <w:color w:val="auto"/>
                <w:szCs w:val="17"/>
              </w:rPr>
            </w:pPr>
            <w:r>
              <w:rPr>
                <w:color w:val="auto"/>
                <w:szCs w:val="17"/>
              </w:rPr>
              <w:t>0.57 (0.42–</w:t>
            </w:r>
            <w:r w:rsidR="001B672C" w:rsidRPr="006630E3">
              <w:rPr>
                <w:color w:val="auto"/>
                <w:szCs w:val="17"/>
              </w:rPr>
              <w:t>0.76)</w:t>
            </w:r>
          </w:p>
        </w:tc>
        <w:tc>
          <w:tcPr>
            <w:tcW w:w="1389" w:type="dxa"/>
            <w:tcBorders>
              <w:top w:val="nil"/>
              <w:left w:val="nil"/>
              <w:bottom w:val="nil"/>
              <w:right w:val="nil"/>
            </w:tcBorders>
            <w:shd w:val="clear" w:color="auto" w:fill="FFFFFF"/>
            <w:vAlign w:val="center"/>
          </w:tcPr>
          <w:p w14:paraId="0E947B8F"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7154DEA9" w14:textId="0AFC46FB" w:rsidR="001B672C" w:rsidRPr="006630E3" w:rsidRDefault="001C44D6" w:rsidP="006630E3">
            <w:pPr>
              <w:pStyle w:val="MDPI42tablebody"/>
              <w:autoSpaceDE w:val="0"/>
              <w:autoSpaceDN w:val="0"/>
              <w:rPr>
                <w:color w:val="auto"/>
                <w:szCs w:val="17"/>
              </w:rPr>
            </w:pPr>
            <w:r>
              <w:rPr>
                <w:color w:val="auto"/>
                <w:szCs w:val="17"/>
              </w:rPr>
              <w:t>0.55 (0.41–</w:t>
            </w:r>
            <w:r w:rsidR="001B672C" w:rsidRPr="006630E3">
              <w:rPr>
                <w:color w:val="auto"/>
                <w:szCs w:val="17"/>
              </w:rPr>
              <w:t>0.75)</w:t>
            </w:r>
          </w:p>
        </w:tc>
        <w:tc>
          <w:tcPr>
            <w:tcW w:w="1389" w:type="dxa"/>
            <w:tcBorders>
              <w:top w:val="nil"/>
              <w:left w:val="nil"/>
              <w:bottom w:val="nil"/>
              <w:right w:val="nil"/>
            </w:tcBorders>
            <w:shd w:val="clear" w:color="auto" w:fill="FFFFFF"/>
            <w:vAlign w:val="center"/>
          </w:tcPr>
          <w:p w14:paraId="5FEEDEB2" w14:textId="07A452ED" w:rsidR="001B672C" w:rsidRPr="006630E3" w:rsidRDefault="001C44D6" w:rsidP="006630E3">
            <w:pPr>
              <w:pStyle w:val="MDPI42tablebody"/>
              <w:autoSpaceDE w:val="0"/>
              <w:autoSpaceDN w:val="0"/>
              <w:rPr>
                <w:color w:val="auto"/>
                <w:szCs w:val="17"/>
              </w:rPr>
            </w:pPr>
            <w:r>
              <w:rPr>
                <w:color w:val="auto"/>
                <w:szCs w:val="17"/>
              </w:rPr>
              <w:t>0.59 (0.46–</w:t>
            </w:r>
            <w:r w:rsidR="001B672C" w:rsidRPr="006630E3">
              <w:rPr>
                <w:color w:val="auto"/>
                <w:szCs w:val="17"/>
              </w:rPr>
              <w:t>0.76)</w:t>
            </w:r>
          </w:p>
        </w:tc>
        <w:tc>
          <w:tcPr>
            <w:tcW w:w="1389" w:type="dxa"/>
            <w:tcBorders>
              <w:top w:val="nil"/>
              <w:left w:val="nil"/>
              <w:bottom w:val="nil"/>
              <w:right w:val="nil"/>
            </w:tcBorders>
            <w:shd w:val="clear" w:color="auto" w:fill="FFFFFF"/>
            <w:vAlign w:val="center"/>
          </w:tcPr>
          <w:p w14:paraId="69E242AE"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2824FC42"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750F04E2" w14:textId="77777777" w:rsidTr="006630E3">
        <w:trPr>
          <w:jc w:val="center"/>
        </w:trPr>
        <w:tc>
          <w:tcPr>
            <w:tcW w:w="1843" w:type="dxa"/>
            <w:tcBorders>
              <w:top w:val="nil"/>
              <w:left w:val="nil"/>
              <w:bottom w:val="nil"/>
              <w:right w:val="nil"/>
            </w:tcBorders>
            <w:shd w:val="clear" w:color="auto" w:fill="FCFCFC"/>
            <w:vAlign w:val="center"/>
          </w:tcPr>
          <w:p w14:paraId="24EC9E24"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Olivotto</w:t>
            </w:r>
            <w:proofErr w:type="spellEnd"/>
            <w:r w:rsidRPr="006630E3">
              <w:rPr>
                <w:color w:val="auto"/>
                <w:szCs w:val="18"/>
              </w:rPr>
              <w:t>, 1999 [93]</w:t>
            </w:r>
          </w:p>
        </w:tc>
        <w:tc>
          <w:tcPr>
            <w:tcW w:w="1389" w:type="dxa"/>
            <w:tcBorders>
              <w:top w:val="nil"/>
              <w:left w:val="nil"/>
              <w:bottom w:val="nil"/>
              <w:right w:val="nil"/>
            </w:tcBorders>
            <w:shd w:val="clear" w:color="auto" w:fill="FCFCFC"/>
            <w:vAlign w:val="center"/>
          </w:tcPr>
          <w:p w14:paraId="247B903D"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335940BD"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02155E91"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08D9943B"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CFCFC"/>
            <w:vAlign w:val="center"/>
          </w:tcPr>
          <w:p w14:paraId="1E184DB7" w14:textId="279DE3C7" w:rsidR="001B672C" w:rsidRPr="006630E3" w:rsidRDefault="001C44D6" w:rsidP="006630E3">
            <w:pPr>
              <w:pStyle w:val="MDPI42tablebody"/>
              <w:autoSpaceDE w:val="0"/>
              <w:autoSpaceDN w:val="0"/>
              <w:rPr>
                <w:color w:val="auto"/>
                <w:szCs w:val="17"/>
              </w:rPr>
            </w:pPr>
            <w:r>
              <w:rPr>
                <w:color w:val="auto"/>
                <w:szCs w:val="17"/>
              </w:rPr>
              <w:t>4.50 (1.1–</w:t>
            </w:r>
            <w:r w:rsidR="001B672C" w:rsidRPr="006630E3">
              <w:rPr>
                <w:color w:val="auto"/>
                <w:szCs w:val="17"/>
              </w:rPr>
              <w:t>20.1)</w:t>
            </w:r>
          </w:p>
        </w:tc>
        <w:tc>
          <w:tcPr>
            <w:tcW w:w="1389" w:type="dxa"/>
            <w:tcBorders>
              <w:top w:val="nil"/>
              <w:left w:val="nil"/>
              <w:bottom w:val="nil"/>
              <w:right w:val="nil"/>
            </w:tcBorders>
            <w:shd w:val="clear" w:color="auto" w:fill="FCFCFC"/>
            <w:vAlign w:val="center"/>
          </w:tcPr>
          <w:p w14:paraId="256A2B62"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r w:rsidR="001B672C" w:rsidRPr="006630E3" w14:paraId="3797AB3D" w14:textId="77777777" w:rsidTr="006630E3">
        <w:trPr>
          <w:jc w:val="center"/>
        </w:trPr>
        <w:tc>
          <w:tcPr>
            <w:tcW w:w="1843" w:type="dxa"/>
            <w:tcBorders>
              <w:top w:val="nil"/>
              <w:left w:val="nil"/>
              <w:bottom w:val="nil"/>
              <w:right w:val="nil"/>
            </w:tcBorders>
            <w:shd w:val="clear" w:color="auto" w:fill="FFFFFF"/>
            <w:vAlign w:val="center"/>
          </w:tcPr>
          <w:p w14:paraId="5C3B5616" w14:textId="77777777" w:rsidR="001B672C" w:rsidRPr="006630E3" w:rsidRDefault="001B672C" w:rsidP="006630E3">
            <w:pPr>
              <w:pStyle w:val="MDPI42tablebody"/>
              <w:autoSpaceDE w:val="0"/>
              <w:autoSpaceDN w:val="0"/>
              <w:rPr>
                <w:color w:val="auto"/>
                <w:szCs w:val="18"/>
              </w:rPr>
            </w:pPr>
            <w:r w:rsidRPr="006630E3">
              <w:rPr>
                <w:color w:val="auto"/>
                <w:szCs w:val="18"/>
              </w:rPr>
              <w:t>Peteiro, 2012 [67]</w:t>
            </w:r>
          </w:p>
        </w:tc>
        <w:tc>
          <w:tcPr>
            <w:tcW w:w="1389" w:type="dxa"/>
            <w:tcBorders>
              <w:top w:val="nil"/>
              <w:left w:val="nil"/>
              <w:bottom w:val="nil"/>
              <w:right w:val="nil"/>
            </w:tcBorders>
            <w:shd w:val="clear" w:color="auto" w:fill="FFFFFF"/>
            <w:vAlign w:val="center"/>
          </w:tcPr>
          <w:p w14:paraId="6B627583"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3B431588"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179DCE76" w14:textId="572F534A" w:rsidR="001B672C" w:rsidRPr="006630E3" w:rsidRDefault="001C44D6" w:rsidP="006630E3">
            <w:pPr>
              <w:pStyle w:val="MDPI42tablebody"/>
              <w:autoSpaceDE w:val="0"/>
              <w:autoSpaceDN w:val="0"/>
              <w:rPr>
                <w:color w:val="auto"/>
                <w:szCs w:val="17"/>
              </w:rPr>
            </w:pPr>
            <w:r>
              <w:rPr>
                <w:color w:val="auto"/>
                <w:szCs w:val="17"/>
              </w:rPr>
              <w:t>0.74 (0.63–</w:t>
            </w:r>
            <w:r w:rsidR="001B672C" w:rsidRPr="006630E3">
              <w:rPr>
                <w:color w:val="auto"/>
                <w:szCs w:val="17"/>
              </w:rPr>
              <w:t>0.86)</w:t>
            </w:r>
          </w:p>
        </w:tc>
        <w:tc>
          <w:tcPr>
            <w:tcW w:w="1389" w:type="dxa"/>
            <w:tcBorders>
              <w:top w:val="nil"/>
              <w:left w:val="nil"/>
              <w:bottom w:val="nil"/>
              <w:right w:val="nil"/>
            </w:tcBorders>
            <w:shd w:val="clear" w:color="auto" w:fill="FFFFFF"/>
            <w:vAlign w:val="center"/>
          </w:tcPr>
          <w:p w14:paraId="1C06465B"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37C5E175"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nil"/>
              <w:right w:val="nil"/>
            </w:tcBorders>
            <w:shd w:val="clear" w:color="auto" w:fill="FFFFFF"/>
            <w:vAlign w:val="center"/>
          </w:tcPr>
          <w:p w14:paraId="3D671B86" w14:textId="363C417A" w:rsidR="001B672C" w:rsidRPr="006630E3" w:rsidRDefault="001C44D6" w:rsidP="006630E3">
            <w:pPr>
              <w:pStyle w:val="MDPI42tablebody"/>
              <w:autoSpaceDE w:val="0"/>
              <w:autoSpaceDN w:val="0"/>
              <w:rPr>
                <w:color w:val="auto"/>
                <w:szCs w:val="17"/>
              </w:rPr>
            </w:pPr>
            <w:r>
              <w:rPr>
                <w:color w:val="auto"/>
                <w:szCs w:val="17"/>
              </w:rPr>
              <w:t>3.13 (1.12</w:t>
            </w:r>
            <w:r w:rsidR="001B672C" w:rsidRPr="006630E3">
              <w:rPr>
                <w:color w:val="auto"/>
                <w:szCs w:val="17"/>
              </w:rPr>
              <w:t>8.71)</w:t>
            </w:r>
          </w:p>
        </w:tc>
      </w:tr>
      <w:tr w:rsidR="001B672C" w:rsidRPr="006630E3" w14:paraId="32132666" w14:textId="77777777" w:rsidTr="006630E3">
        <w:trPr>
          <w:jc w:val="center"/>
        </w:trPr>
        <w:tc>
          <w:tcPr>
            <w:tcW w:w="1843" w:type="dxa"/>
            <w:tcBorders>
              <w:top w:val="nil"/>
              <w:left w:val="nil"/>
              <w:bottom w:val="single" w:sz="8" w:space="0" w:color="auto"/>
              <w:right w:val="nil"/>
            </w:tcBorders>
            <w:shd w:val="clear" w:color="auto" w:fill="FCFCFC"/>
            <w:vAlign w:val="center"/>
          </w:tcPr>
          <w:p w14:paraId="5091088B" w14:textId="77777777" w:rsidR="001B672C" w:rsidRPr="006630E3" w:rsidRDefault="001B672C" w:rsidP="006630E3">
            <w:pPr>
              <w:pStyle w:val="MDPI42tablebody"/>
              <w:autoSpaceDE w:val="0"/>
              <w:autoSpaceDN w:val="0"/>
              <w:rPr>
                <w:color w:val="auto"/>
                <w:szCs w:val="18"/>
              </w:rPr>
            </w:pPr>
            <w:proofErr w:type="spellStart"/>
            <w:r w:rsidRPr="006630E3">
              <w:rPr>
                <w:color w:val="auto"/>
                <w:szCs w:val="18"/>
              </w:rPr>
              <w:t>Sorajja</w:t>
            </w:r>
            <w:proofErr w:type="spellEnd"/>
            <w:r w:rsidRPr="006630E3">
              <w:rPr>
                <w:color w:val="auto"/>
                <w:szCs w:val="18"/>
              </w:rPr>
              <w:t>, 2012 [97]</w:t>
            </w:r>
          </w:p>
        </w:tc>
        <w:tc>
          <w:tcPr>
            <w:tcW w:w="1389" w:type="dxa"/>
            <w:tcBorders>
              <w:top w:val="nil"/>
              <w:left w:val="nil"/>
              <w:bottom w:val="single" w:sz="8" w:space="0" w:color="auto"/>
              <w:right w:val="nil"/>
            </w:tcBorders>
            <w:shd w:val="clear" w:color="auto" w:fill="FCFCFC"/>
            <w:vAlign w:val="center"/>
          </w:tcPr>
          <w:p w14:paraId="67019DFA" w14:textId="450E4034" w:rsidR="001B672C" w:rsidRPr="006630E3" w:rsidRDefault="001C44D6" w:rsidP="006630E3">
            <w:pPr>
              <w:pStyle w:val="MDPI42tablebody"/>
              <w:autoSpaceDE w:val="0"/>
              <w:autoSpaceDN w:val="0"/>
              <w:rPr>
                <w:color w:val="auto"/>
                <w:szCs w:val="17"/>
              </w:rPr>
            </w:pPr>
            <w:r>
              <w:rPr>
                <w:color w:val="auto"/>
                <w:szCs w:val="17"/>
              </w:rPr>
              <w:t>0.92 (0.89–</w:t>
            </w:r>
            <w:r w:rsidR="001B672C" w:rsidRPr="006630E3">
              <w:rPr>
                <w:color w:val="auto"/>
                <w:szCs w:val="17"/>
              </w:rPr>
              <w:t>0.96)</w:t>
            </w:r>
          </w:p>
        </w:tc>
        <w:tc>
          <w:tcPr>
            <w:tcW w:w="1389" w:type="dxa"/>
            <w:tcBorders>
              <w:top w:val="nil"/>
              <w:left w:val="nil"/>
              <w:bottom w:val="single" w:sz="8" w:space="0" w:color="auto"/>
              <w:right w:val="nil"/>
            </w:tcBorders>
            <w:shd w:val="clear" w:color="auto" w:fill="FCFCFC"/>
            <w:vAlign w:val="center"/>
          </w:tcPr>
          <w:p w14:paraId="441665B9" w14:textId="260EA83B" w:rsidR="001B672C" w:rsidRPr="006630E3" w:rsidRDefault="001C44D6" w:rsidP="001C44D6">
            <w:pPr>
              <w:pStyle w:val="MDPI42tablebody"/>
              <w:autoSpaceDE w:val="0"/>
              <w:autoSpaceDN w:val="0"/>
              <w:rPr>
                <w:color w:val="auto"/>
                <w:szCs w:val="17"/>
              </w:rPr>
            </w:pPr>
            <w:r>
              <w:rPr>
                <w:color w:val="auto"/>
                <w:szCs w:val="17"/>
              </w:rPr>
              <w:t>0.99 (0.99–</w:t>
            </w:r>
            <w:r w:rsidR="001B672C" w:rsidRPr="006630E3">
              <w:rPr>
                <w:color w:val="auto"/>
                <w:szCs w:val="17"/>
              </w:rPr>
              <w:t>0.99)</w:t>
            </w:r>
          </w:p>
        </w:tc>
        <w:tc>
          <w:tcPr>
            <w:tcW w:w="1389" w:type="dxa"/>
            <w:tcBorders>
              <w:top w:val="nil"/>
              <w:left w:val="nil"/>
              <w:bottom w:val="single" w:sz="8" w:space="0" w:color="auto"/>
              <w:right w:val="nil"/>
            </w:tcBorders>
            <w:shd w:val="clear" w:color="auto" w:fill="FCFCFC"/>
            <w:vAlign w:val="center"/>
          </w:tcPr>
          <w:p w14:paraId="2A49453F" w14:textId="2570C37C" w:rsidR="001B672C" w:rsidRPr="006630E3" w:rsidRDefault="001B672C" w:rsidP="006630E3">
            <w:pPr>
              <w:pStyle w:val="MDPI42tablebody"/>
              <w:autoSpaceDE w:val="0"/>
              <w:autoSpaceDN w:val="0"/>
              <w:rPr>
                <w:color w:val="auto"/>
                <w:szCs w:val="17"/>
              </w:rPr>
            </w:pPr>
            <w:r w:rsidRPr="006630E3">
              <w:rPr>
                <w:color w:val="auto"/>
                <w:szCs w:val="17"/>
              </w:rPr>
              <w:t>0</w:t>
            </w:r>
            <w:r w:rsidR="001C44D6">
              <w:rPr>
                <w:color w:val="auto"/>
                <w:szCs w:val="17"/>
              </w:rPr>
              <w:t>.81 (0.71–</w:t>
            </w:r>
            <w:r w:rsidRPr="006630E3">
              <w:rPr>
                <w:color w:val="auto"/>
                <w:szCs w:val="17"/>
              </w:rPr>
              <w:t>0.93)</w:t>
            </w:r>
          </w:p>
        </w:tc>
        <w:tc>
          <w:tcPr>
            <w:tcW w:w="1389" w:type="dxa"/>
            <w:tcBorders>
              <w:top w:val="nil"/>
              <w:left w:val="nil"/>
              <w:bottom w:val="single" w:sz="8" w:space="0" w:color="auto"/>
              <w:right w:val="nil"/>
            </w:tcBorders>
            <w:shd w:val="clear" w:color="auto" w:fill="FCFCFC"/>
            <w:vAlign w:val="center"/>
          </w:tcPr>
          <w:p w14:paraId="57F24FF6" w14:textId="28B4A6BF" w:rsidR="001B672C" w:rsidRPr="006630E3" w:rsidRDefault="001C44D6" w:rsidP="006630E3">
            <w:pPr>
              <w:pStyle w:val="MDPI42tablebody"/>
              <w:autoSpaceDE w:val="0"/>
              <w:autoSpaceDN w:val="0"/>
              <w:rPr>
                <w:color w:val="auto"/>
                <w:szCs w:val="17"/>
              </w:rPr>
            </w:pPr>
            <w:r>
              <w:rPr>
                <w:color w:val="auto"/>
                <w:szCs w:val="17"/>
              </w:rPr>
              <w:t>0.98 (0.96–</w:t>
            </w:r>
            <w:r w:rsidR="001B672C" w:rsidRPr="006630E3">
              <w:rPr>
                <w:color w:val="auto"/>
                <w:szCs w:val="17"/>
              </w:rPr>
              <w:t>0.99)</w:t>
            </w:r>
          </w:p>
        </w:tc>
        <w:tc>
          <w:tcPr>
            <w:tcW w:w="1389" w:type="dxa"/>
            <w:tcBorders>
              <w:top w:val="nil"/>
              <w:left w:val="nil"/>
              <w:bottom w:val="single" w:sz="8" w:space="0" w:color="auto"/>
              <w:right w:val="nil"/>
            </w:tcBorders>
            <w:shd w:val="clear" w:color="auto" w:fill="FCFCFC"/>
            <w:vAlign w:val="center"/>
          </w:tcPr>
          <w:p w14:paraId="05F2748D" w14:textId="77777777" w:rsidR="001B672C" w:rsidRPr="006630E3" w:rsidRDefault="001B672C" w:rsidP="006630E3">
            <w:pPr>
              <w:pStyle w:val="MDPI42tablebody"/>
              <w:autoSpaceDE w:val="0"/>
              <w:autoSpaceDN w:val="0"/>
              <w:rPr>
                <w:color w:val="auto"/>
                <w:szCs w:val="17"/>
              </w:rPr>
            </w:pPr>
            <w:r w:rsidRPr="006630E3">
              <w:rPr>
                <w:color w:val="auto"/>
                <w:szCs w:val="17"/>
              </w:rPr>
              <w:t>-</w:t>
            </w:r>
          </w:p>
        </w:tc>
        <w:tc>
          <w:tcPr>
            <w:tcW w:w="1389" w:type="dxa"/>
            <w:tcBorders>
              <w:top w:val="nil"/>
              <w:left w:val="nil"/>
              <w:bottom w:val="single" w:sz="8" w:space="0" w:color="auto"/>
              <w:right w:val="nil"/>
            </w:tcBorders>
            <w:shd w:val="clear" w:color="auto" w:fill="FCFCFC"/>
            <w:vAlign w:val="center"/>
          </w:tcPr>
          <w:p w14:paraId="416DF314" w14:textId="77777777" w:rsidR="001B672C" w:rsidRPr="006630E3" w:rsidRDefault="001B672C" w:rsidP="006630E3">
            <w:pPr>
              <w:pStyle w:val="MDPI42tablebody"/>
              <w:autoSpaceDE w:val="0"/>
              <w:autoSpaceDN w:val="0"/>
              <w:rPr>
                <w:color w:val="auto"/>
                <w:szCs w:val="17"/>
              </w:rPr>
            </w:pPr>
            <w:r w:rsidRPr="006630E3">
              <w:rPr>
                <w:color w:val="auto"/>
                <w:szCs w:val="17"/>
              </w:rPr>
              <w:t>-</w:t>
            </w:r>
          </w:p>
        </w:tc>
      </w:tr>
    </w:tbl>
    <w:p w14:paraId="23B4F29E" w14:textId="5E801BBB" w:rsidR="001B672C" w:rsidRPr="00126CBE" w:rsidRDefault="001B672C" w:rsidP="006630E3">
      <w:pPr>
        <w:pStyle w:val="MDPI43tablefooter"/>
        <w:ind w:left="425" w:right="425"/>
        <w:jc w:val="both"/>
      </w:pPr>
      <w:r w:rsidRPr="004F446B">
        <w:t xml:space="preserve">VO2max: peak oxygen consumption, ATVO2: </w:t>
      </w:r>
      <w:r w:rsidRPr="00126CBE">
        <w:t>oxygen consumption at the anaerobic threshold, METs: metabolic equivalents, %VO2: percentage of age-gender predicted VO2max, ABPRE: abnormal blood pressure response to exercise. †: univariate hazard ratio for reaching composite endpoints when %VO2 is &lt;</w:t>
      </w:r>
      <w:r w:rsidR="00EE6E33">
        <w:t xml:space="preserve"> </w:t>
      </w:r>
      <w:r w:rsidRPr="00126CBE">
        <w:t>80%.</w:t>
      </w:r>
    </w:p>
    <w:p w14:paraId="6FCC6FE3" w14:textId="21BB6C87" w:rsidR="001B672C" w:rsidRPr="00126CBE" w:rsidRDefault="00500837" w:rsidP="008B6A15">
      <w:pPr>
        <w:pStyle w:val="MDPI52figure"/>
        <w:ind w:left="2608" w:hanging="1332"/>
        <w:jc w:val="left"/>
      </w:pPr>
      <w:r w:rsidRPr="00B709E9">
        <w:rPr>
          <w:lang w:val="es-ES" w:eastAsia="es-ES"/>
        </w:rPr>
        <w:drawing>
          <wp:inline distT="0" distB="0" distL="0" distR="0" wp14:anchorId="2E3F2CEB" wp14:editId="5E035CD5">
            <wp:extent cx="5615940" cy="1286390"/>
            <wp:effectExtent l="0" t="0" r="3810" b="9525"/>
            <wp:docPr id="3" name="Imagen 3"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hart, scatter chart, box and whisker chart&#10;&#10;Description automatically generated"/>
                    <pic:cNvPicPr/>
                  </pic:nvPicPr>
                  <pic:blipFill>
                    <a:blip r:embed="rId14"/>
                    <a:stretch>
                      <a:fillRect/>
                    </a:stretch>
                  </pic:blipFill>
                  <pic:spPr>
                    <a:xfrm>
                      <a:off x="0" y="0"/>
                      <a:ext cx="5615940" cy="1286390"/>
                    </a:xfrm>
                    <a:prstGeom prst="rect">
                      <a:avLst/>
                    </a:prstGeom>
                  </pic:spPr>
                </pic:pic>
              </a:graphicData>
            </a:graphic>
          </wp:inline>
        </w:drawing>
      </w:r>
    </w:p>
    <w:p w14:paraId="10ED452A" w14:textId="77777777" w:rsidR="001B672C" w:rsidRDefault="006630E3" w:rsidP="00D71CB2">
      <w:pPr>
        <w:pStyle w:val="MDPI51figurecaption"/>
        <w:ind w:left="425" w:right="425"/>
        <w:jc w:val="both"/>
      </w:pPr>
      <w:r w:rsidRPr="00D71CB2">
        <w:rPr>
          <w:b/>
          <w:bCs/>
        </w:rPr>
        <w:t xml:space="preserve">Figure 7. </w:t>
      </w:r>
      <w:r w:rsidR="001B672C" w:rsidRPr="008C288B">
        <w:t>Random-effects meta-analysis of VO2max values of patients with recorded events during follow up compared to event-free patients. Grey squares represent mean difference between groups and its size</w:t>
      </w:r>
      <w:r w:rsidR="001B672C" w:rsidRPr="00126CBE">
        <w:t xml:space="preserve"> indicates its relative weight in the meta-analysis. Grey lines intersecting them horizontally represent 95% CI for the mean differences. The black rhombus represents the mean difference of all studies, indicating that ‘events’ patients had lower</w:t>
      </w:r>
      <w:r w:rsidR="001B672C" w:rsidRPr="004F446B">
        <w:t xml:space="preserve"> VO2max than ‘event-free’.</w:t>
      </w:r>
    </w:p>
    <w:p w14:paraId="79830CBC" w14:textId="38A945D2" w:rsidR="001B672C" w:rsidRPr="004F446B" w:rsidRDefault="00126CBE" w:rsidP="00126CBE">
      <w:pPr>
        <w:pStyle w:val="MDPI21heading1"/>
      </w:pPr>
      <w:r>
        <w:t xml:space="preserve">4. </w:t>
      </w:r>
      <w:r w:rsidR="001B672C" w:rsidRPr="004F446B">
        <w:t>Discussion</w:t>
      </w:r>
    </w:p>
    <w:p w14:paraId="338C7625" w14:textId="27A63E90" w:rsidR="001B672C" w:rsidRPr="004F446B" w:rsidRDefault="001B672C" w:rsidP="006630E3">
      <w:pPr>
        <w:pStyle w:val="MDPI31text"/>
      </w:pPr>
      <w:r w:rsidRPr="004F446B">
        <w:t>The systematic review of the available data on cardiopulmonary functional assessment of patients with HCM presented here highlights a need for the standardization of the protocols and provides a comprehensive evaluation of the determinants of exercise capacity. The dissection of 69 studies meeting selection criteria, including a large cohort of 11,672 patients, demonstrated the role of objective exercise capacity evaluation for identification of symptomatic limitations. A mean VO2max of 23.5 (21.6, 25.3) ml·kg</w:t>
      </w:r>
      <w:r w:rsidR="001C44D6">
        <w:rPr>
          <w:vertAlign w:val="superscript"/>
        </w:rPr>
        <w:t>−</w:t>
      </w:r>
      <w:r w:rsidR="001C44D6" w:rsidRPr="004F446B">
        <w:rPr>
          <w:vertAlign w:val="superscript"/>
        </w:rPr>
        <w:t>1</w:t>
      </w:r>
      <w:r w:rsidRPr="004F446B">
        <w:t>·min</w:t>
      </w:r>
      <w:r w:rsidR="001C44D6">
        <w:rPr>
          <w:vertAlign w:val="superscript"/>
        </w:rPr>
        <w:t>−</w:t>
      </w:r>
      <w:r w:rsidR="001C44D6" w:rsidRPr="004F446B">
        <w:rPr>
          <w:vertAlign w:val="superscript"/>
        </w:rPr>
        <w:t>1</w:t>
      </w:r>
      <w:r w:rsidRPr="004F446B">
        <w:t xml:space="preserve"> characterizes a disease with a reduction </w:t>
      </w:r>
      <w:r w:rsidR="00B46290">
        <w:t>in</w:t>
      </w:r>
      <w:r w:rsidRPr="004F446B">
        <w:t xml:space="preserve"> exercise capacity of at least a 20% from that expected for similar age general population [28,37].</w:t>
      </w:r>
    </w:p>
    <w:p w14:paraId="2E9D2802" w14:textId="4FEBBC31" w:rsidR="001B672C" w:rsidRPr="004F446B" w:rsidRDefault="00126CBE" w:rsidP="00126CBE">
      <w:pPr>
        <w:pStyle w:val="MDPI22heading2"/>
        <w:spacing w:before="240"/>
      </w:pPr>
      <w:r>
        <w:t xml:space="preserve">4.1. </w:t>
      </w:r>
      <w:r w:rsidR="001B672C" w:rsidRPr="004F446B">
        <w:t xml:space="preserve">Clinical and </w:t>
      </w:r>
      <w:r w:rsidR="006630E3" w:rsidRPr="004F446B">
        <w:t xml:space="preserve">Prognostic Value </w:t>
      </w:r>
      <w:r w:rsidR="001B672C" w:rsidRPr="004F446B">
        <w:t>of CPET</w:t>
      </w:r>
    </w:p>
    <w:p w14:paraId="5E14A1E7" w14:textId="2FBADF53" w:rsidR="001B672C" w:rsidRPr="004F446B" w:rsidRDefault="001B672C" w:rsidP="006630E3">
      <w:pPr>
        <w:pStyle w:val="MDPI31text"/>
      </w:pPr>
      <w:r w:rsidRPr="004F446B">
        <w:t xml:space="preserve">Despite not significant differences were seen regarding age groups, presence or absence of obstruction and the degree of hypertrophy in the achieved VO2max, this summary variable (VO2max) demonstrated to have prognostic implications. The group of patients with reported events had </w:t>
      </w:r>
      <w:r w:rsidR="001C44D6">
        <w:t>−</w:t>
      </w:r>
      <w:r w:rsidR="001C44D6" w:rsidRPr="004F446B">
        <w:t>6</w:t>
      </w:r>
      <w:r w:rsidRPr="004F446B">
        <w:t>.20 (</w:t>
      </w:r>
      <w:r w:rsidR="001C44D6">
        <w:t>−</w:t>
      </w:r>
      <w:r w:rsidR="001C44D6" w:rsidRPr="004F446B">
        <w:t>9</w:t>
      </w:r>
      <w:r w:rsidRPr="004F446B">
        <w:t xml:space="preserve">.95, </w:t>
      </w:r>
      <w:r w:rsidR="001C44D6">
        <w:t>−</w:t>
      </w:r>
      <w:r w:rsidR="001C44D6" w:rsidRPr="004F446B">
        <w:t>4</w:t>
      </w:r>
      <w:r w:rsidRPr="004F446B">
        <w:t>.46) ml·kg</w:t>
      </w:r>
      <w:r w:rsidR="001C44D6">
        <w:rPr>
          <w:vertAlign w:val="superscript"/>
        </w:rPr>
        <w:t>−</w:t>
      </w:r>
      <w:r w:rsidR="001C44D6" w:rsidRPr="004F446B">
        <w:rPr>
          <w:vertAlign w:val="superscript"/>
        </w:rPr>
        <w:t>1</w:t>
      </w:r>
      <w:r w:rsidRPr="004F446B">
        <w:t>·min</w:t>
      </w:r>
      <w:r w:rsidR="001C44D6">
        <w:rPr>
          <w:vertAlign w:val="superscript"/>
        </w:rPr>
        <w:t>−</w:t>
      </w:r>
      <w:r w:rsidR="001C44D6" w:rsidRPr="004F446B">
        <w:rPr>
          <w:vertAlign w:val="superscript"/>
        </w:rPr>
        <w:t>1</w:t>
      </w:r>
      <w:r w:rsidRPr="004F446B">
        <w:t xml:space="preserve"> compared to the group </w:t>
      </w:r>
      <w:r w:rsidRPr="004F446B">
        <w:lastRenderedPageBreak/>
        <w:t>with no events during follow-up (43,794 patient</w:t>
      </w:r>
      <w:r w:rsidR="00460E72">
        <w:t xml:space="preserve"> </w:t>
      </w:r>
      <w:r w:rsidRPr="004F446B">
        <w:t>years followed). This association has been consistently demonstrated in several publications [28,37,5</w:t>
      </w:r>
      <w:r>
        <w:t>5</w:t>
      </w:r>
      <w:r w:rsidRPr="004F446B">
        <w:t>,6</w:t>
      </w:r>
      <w:r>
        <w:t>7</w:t>
      </w:r>
      <w:r w:rsidRPr="004F446B">
        <w:t>,8</w:t>
      </w:r>
      <w:r>
        <w:t>9</w:t>
      </w:r>
      <w:r w:rsidRPr="004F446B">
        <w:t>].</w:t>
      </w:r>
    </w:p>
    <w:p w14:paraId="5893F834" w14:textId="2F1631CB" w:rsidR="001B672C" w:rsidRPr="00126CBE" w:rsidRDefault="001B672C" w:rsidP="006630E3">
      <w:pPr>
        <w:pStyle w:val="MDPI31text"/>
      </w:pPr>
      <w:r w:rsidRPr="004F446B">
        <w:t xml:space="preserve">The results of the pooled analysis of the largest cohort of patients undergoing cardiopulmonary functional assessment, provides relevant information of the magnitude of different characteristics of this relatively common condition. The proportion of resting obstruction was in the range of previous publications 31% [5,6]. This figure increased to 49% with the </w:t>
      </w:r>
      <w:r w:rsidRPr="00126CBE">
        <w:t>inclusion of exercise induced obstruction [6]. The mean prevalence of ABPRE was 20%, with a positive statistical association with the degree of hypertrophy and young adult age. The proportion of ABPRE was unexpectedly significantly lower in the obstructive</w:t>
      </w:r>
      <w:r w:rsidR="00126CBE" w:rsidRPr="00126CBE">
        <w:t xml:space="preserve"> vs. </w:t>
      </w:r>
      <w:r w:rsidRPr="00126CBE">
        <w:t xml:space="preserve">non-obstructive groups. The pooled analysis presented here provides relevant information on less reported aspects </w:t>
      </w:r>
      <w:r w:rsidR="00B46290">
        <w:t>such as</w:t>
      </w:r>
      <w:r w:rsidR="00B46290" w:rsidRPr="00126CBE">
        <w:t xml:space="preserve"> </w:t>
      </w:r>
      <w:r w:rsidRPr="00126CBE">
        <w:t xml:space="preserve">the proportion of patients with MR at rest (34%) which parallel to obstruction, increased with exercise to a 62%. Mean pooled PCPW during exercise despite a significant proportion of patients with obstruction and MR seemed to remain relatively low (11.9 ± 5.6 mmHg). The prevalence of arrhythmias during exercise was rarely reported in the range of </w:t>
      </w:r>
      <w:r w:rsidR="006630E3" w:rsidRPr="00126CBE">
        <w:t>2–5</w:t>
      </w:r>
      <w:r w:rsidRPr="00126CBE">
        <w:t>% for different group analysis.</w:t>
      </w:r>
    </w:p>
    <w:p w14:paraId="3FA5C233" w14:textId="01810CE5" w:rsidR="001B672C" w:rsidRPr="004F446B" w:rsidRDefault="001B672C" w:rsidP="006630E3">
      <w:pPr>
        <w:pStyle w:val="MDPI31text"/>
      </w:pPr>
      <w:r w:rsidRPr="00126CBE">
        <w:t xml:space="preserve">Patients with chronic cardiac diseases tend to accommodate their life activities to their physical capacity. CPET has demonstrated to be a safe and objective way to assess clinical limitations to exercise in HCM patients [98]. The risk of developing severe arrhythmic complications </w:t>
      </w:r>
      <w:r w:rsidR="00B46290">
        <w:t>such as</w:t>
      </w:r>
      <w:r w:rsidR="00B46290" w:rsidRPr="00126CBE">
        <w:t xml:space="preserve"> </w:t>
      </w:r>
      <w:r w:rsidRPr="00126CBE">
        <w:t>sustained ventricular</w:t>
      </w:r>
      <w:r w:rsidRPr="004F446B">
        <w:t xml:space="preserve"> tachycardia or fibrillation during exercise test has been reported to be very low (0.2%) [8</w:t>
      </w:r>
      <w:r>
        <w:t>7</w:t>
      </w:r>
      <w:r w:rsidRPr="004F446B">
        <w:t xml:space="preserve">]. Cardiopulmonary tests, irrespective of the protocol, seemed to be well tolerated and safe in terms of severe complications. Exercise test is valuable for guiding the response to medication and invasive septal reduction therapies. Furthermore, CPET assessment and VO2max measurement are mandatory in the evaluation of end-stage candidates for heart transplant. </w:t>
      </w:r>
    </w:p>
    <w:p w14:paraId="5517FA2A" w14:textId="6D802175" w:rsidR="001B672C" w:rsidRPr="004F446B" w:rsidRDefault="001B672C" w:rsidP="006630E3">
      <w:pPr>
        <w:pStyle w:val="MDPI31text"/>
      </w:pPr>
      <w:r w:rsidRPr="004F446B">
        <w:t>ABPRE in patients between 1</w:t>
      </w:r>
      <w:r w:rsidR="006630E3" w:rsidRPr="004F446B">
        <w:t>8</w:t>
      </w:r>
      <w:r w:rsidR="006630E3">
        <w:t>–</w:t>
      </w:r>
      <w:r w:rsidR="006630E3" w:rsidRPr="004F446B">
        <w:t>40</w:t>
      </w:r>
      <w:r w:rsidRPr="004F446B">
        <w:t xml:space="preserve"> years old and exercise NSVT have been associated with the occurrence of sudden death during follow up of patients with HCM. The use of ABPRE as a prognostic marker has been limited by lack of reproducibility of the variety of exercise protocols between clinical groups [8</w:t>
      </w:r>
      <w:r>
        <w:t>7</w:t>
      </w:r>
      <w:r w:rsidRPr="004F446B">
        <w:t>,9</w:t>
      </w:r>
      <w:r>
        <w:t>9</w:t>
      </w:r>
      <w:r w:rsidRPr="004F446B">
        <w:t>]. Current sudden death prediction scores do not include parameters of exercise performance [</w:t>
      </w:r>
      <w:r>
        <w:t>100</w:t>
      </w:r>
      <w:r w:rsidRPr="004F446B">
        <w:t xml:space="preserve">]. Syncope but not dyspnea has been shown to identify patients at risk of an arrhythmic event. The pooled analysis presented here with up to </w:t>
      </w:r>
      <w:r w:rsidR="001C44D6" w:rsidRPr="004F446B">
        <w:t>9145</w:t>
      </w:r>
      <w:r w:rsidRPr="004F446B">
        <w:t xml:space="preserve"> patients from 23 publications, confirm the association between a reduced VO2max and cardiovascular outcomes and major arrhythmic events (</w:t>
      </w:r>
      <w:r w:rsidRPr="006630E3">
        <w:rPr>
          <w:bCs/>
        </w:rPr>
        <w:t>Figure 7</w:t>
      </w:r>
      <w:r w:rsidRPr="004F446B">
        <w:t xml:space="preserve"> and </w:t>
      </w:r>
      <w:r w:rsidRPr="006630E3">
        <w:rPr>
          <w:bCs/>
        </w:rPr>
        <w:t>Table 3</w:t>
      </w:r>
      <w:r w:rsidRPr="004F446B">
        <w:t>).</w:t>
      </w:r>
    </w:p>
    <w:p w14:paraId="13E4FCB8" w14:textId="71192BDF" w:rsidR="001B672C" w:rsidRPr="004F446B" w:rsidRDefault="00126CBE" w:rsidP="00126CBE">
      <w:pPr>
        <w:pStyle w:val="MDPI22heading2"/>
        <w:spacing w:before="240"/>
      </w:pPr>
      <w:r>
        <w:t xml:space="preserve">4.2. </w:t>
      </w:r>
      <w:r w:rsidR="001B672C" w:rsidRPr="004F446B">
        <w:t xml:space="preserve">Exercise </w:t>
      </w:r>
      <w:r w:rsidR="00B54E50" w:rsidRPr="004F446B">
        <w:t>Protocols</w:t>
      </w:r>
    </w:p>
    <w:p w14:paraId="52BFE20E" w14:textId="1D8AF0EB" w:rsidR="001B672C" w:rsidRPr="004F446B" w:rsidRDefault="001B672C" w:rsidP="006630E3">
      <w:pPr>
        <w:pStyle w:val="MDPI31text"/>
      </w:pPr>
      <w:r w:rsidRPr="004F446B">
        <w:t>One of the main conclusions of this systematic review is the demonstration of a wide variety of exercise protocols. This aspect</w:t>
      </w:r>
      <w:r w:rsidR="00460E72">
        <w:t>,</w:t>
      </w:r>
      <w:r w:rsidRPr="004F446B">
        <w:t xml:space="preserve"> thus</w:t>
      </w:r>
      <w:r w:rsidR="00460E72">
        <w:t>,</w:t>
      </w:r>
      <w:r w:rsidRPr="004F446B">
        <w:t xml:space="preserve"> deserves a dedicated discussion. The heterogeneity found in CPET methodologies hinders further comparisons of the results between studies. Other authors have criticized this matter previously, highlighting that CPET methodology is frequently selected based on convenience criteria due to the availability of specific equipment in laboratories [10</w:t>
      </w:r>
      <w:r>
        <w:t>1</w:t>
      </w:r>
      <w:r w:rsidRPr="004F446B">
        <w:t>]. Furthermore, previous investigations have found differences in the VO2max achieved in treadmill and cycle-ergometer, pointing out that a sudden intensity augment in the latter could lead to a premature ending of the test due to peripheral fatigue [10</w:t>
      </w:r>
      <w:r>
        <w:t>2</w:t>
      </w:r>
      <w:r w:rsidRPr="004F446B">
        <w:t>], an avoidable matter that can also occur following Bruce’s protocol in a treadmill [10</w:t>
      </w:r>
      <w:r>
        <w:t>1</w:t>
      </w:r>
      <w:r w:rsidRPr="004F446B">
        <w:t xml:space="preserve">]. At this point, ramp-like protocols with small intensity augments repeated each few </w:t>
      </w:r>
      <w:proofErr w:type="gramStart"/>
      <w:r w:rsidRPr="004F446B">
        <w:t>seconds</w:t>
      </w:r>
      <w:proofErr w:type="gramEnd"/>
      <w:r w:rsidRPr="004F446B">
        <w:t xml:space="preserve"> emerge as a suitable and more individualized option. These have been already used in the assessment of HCM patients with cycle-ergometers in few studies revised here [22,23,6</w:t>
      </w:r>
      <w:r>
        <w:t>2</w:t>
      </w:r>
      <w:r w:rsidRPr="004F446B">
        <w:t xml:space="preserve">], </w:t>
      </w:r>
      <w:proofErr w:type="gramStart"/>
      <w:r w:rsidRPr="004F446B">
        <w:t>and also</w:t>
      </w:r>
      <w:proofErr w:type="gramEnd"/>
      <w:r w:rsidRPr="004F446B">
        <w:t xml:space="preserve"> ramp-like tests have been recently validated in running settings [10</w:t>
      </w:r>
      <w:r>
        <w:t>3</w:t>
      </w:r>
      <w:r w:rsidRPr="004F446B">
        <w:t>].</w:t>
      </w:r>
    </w:p>
    <w:p w14:paraId="26500A4E" w14:textId="77777777" w:rsidR="001B672C" w:rsidRPr="004F446B" w:rsidRDefault="001B672C" w:rsidP="006630E3">
      <w:pPr>
        <w:pStyle w:val="MDPI31text"/>
      </w:pPr>
      <w:r w:rsidRPr="004F446B">
        <w:t>Management of pharmacological therapy and previous food intake are also important in the performance of the test due to its potential effect on its development and outcomes. Drug management was heterogeneous, with a higher number of studies in which treatment was not withdrawn. This decision could influence different echo-electro</w:t>
      </w:r>
      <w:r w:rsidRPr="004F446B">
        <w:lastRenderedPageBreak/>
        <w:t xml:space="preserve">cardiographic variables of the test which also </w:t>
      </w:r>
      <w:proofErr w:type="gramStart"/>
      <w:r w:rsidRPr="004F446B">
        <w:t>have an effect on</w:t>
      </w:r>
      <w:proofErr w:type="gramEnd"/>
      <w:r w:rsidRPr="004F446B">
        <w:t xml:space="preserve"> functional capacity. </w:t>
      </w:r>
      <w:r w:rsidRPr="004F446B">
        <w:rPr>
          <w:lang w:val="en-GB"/>
        </w:rPr>
        <w:t xml:space="preserve">Moreover, meals prior to a functional assessment should also be </w:t>
      </w:r>
      <w:proofErr w:type="gramStart"/>
      <w:r w:rsidRPr="004F446B">
        <w:rPr>
          <w:lang w:val="en-GB"/>
        </w:rPr>
        <w:t>taken into account</w:t>
      </w:r>
      <w:proofErr w:type="gramEnd"/>
      <w:r w:rsidRPr="004F446B">
        <w:rPr>
          <w:lang w:val="en-GB"/>
        </w:rPr>
        <w:t xml:space="preserve"> due to the effect of intake on the exacerbation of symptoms of HCM symptoms [10</w:t>
      </w:r>
      <w:r>
        <w:rPr>
          <w:lang w:val="en-GB"/>
        </w:rPr>
        <w:t>4</w:t>
      </w:r>
      <w:r w:rsidRPr="004F446B">
        <w:rPr>
          <w:lang w:val="en-GB"/>
        </w:rPr>
        <w:t>]. LVOT increases with exercise in postprandial conditions [10</w:t>
      </w:r>
      <w:r>
        <w:rPr>
          <w:lang w:val="en-GB"/>
        </w:rPr>
        <w:t>5</w:t>
      </w:r>
      <w:r w:rsidRPr="004F446B">
        <w:rPr>
          <w:lang w:val="en-GB"/>
        </w:rPr>
        <w:t>,10</w:t>
      </w:r>
      <w:r>
        <w:rPr>
          <w:lang w:val="en-GB"/>
        </w:rPr>
        <w:t>6</w:t>
      </w:r>
      <w:r w:rsidRPr="004F446B">
        <w:rPr>
          <w:lang w:val="en-GB"/>
        </w:rPr>
        <w:t>]. It has also been associated with alterations in the hemodynamic response, failure to increase cardiac output, and increased pulmonary artery pressure and pulmonary capillary pressure [10</w:t>
      </w:r>
      <w:r>
        <w:rPr>
          <w:lang w:val="en-GB"/>
        </w:rPr>
        <w:t>7</w:t>
      </w:r>
      <w:r w:rsidRPr="004F446B">
        <w:rPr>
          <w:lang w:val="en-GB"/>
        </w:rPr>
        <w:t>].</w:t>
      </w:r>
    </w:p>
    <w:p w14:paraId="67A8164B" w14:textId="13320496" w:rsidR="001B672C" w:rsidRPr="004F446B" w:rsidRDefault="001B672C" w:rsidP="006630E3">
      <w:pPr>
        <w:pStyle w:val="MDPI31text"/>
      </w:pPr>
      <w:r w:rsidRPr="004F446B">
        <w:t>On the other hand, drug</w:t>
      </w:r>
      <w:r w:rsidR="00460E72">
        <w:t>–</w:t>
      </w:r>
      <w:r w:rsidRPr="004F446B">
        <w:t xml:space="preserve">food interactions may happen, as it occurs </w:t>
      </w:r>
      <w:r w:rsidR="002060DC">
        <w:t>in</w:t>
      </w:r>
      <w:r w:rsidR="002060DC" w:rsidRPr="004F446B">
        <w:t xml:space="preserve"> antihypertensive</w:t>
      </w:r>
      <w:r w:rsidR="002060DC">
        <w:t xml:space="preserve"> patients</w:t>
      </w:r>
      <w:r w:rsidRPr="004F446B">
        <w:t>, which decrease serum zinc levels and increase glucose content [10</w:t>
      </w:r>
      <w:r>
        <w:t>8</w:t>
      </w:r>
      <w:r w:rsidRPr="004F446B">
        <w:t>,10</w:t>
      </w:r>
      <w:r>
        <w:t>9</w:t>
      </w:r>
      <w:r w:rsidRPr="004F446B">
        <w:t xml:space="preserve">]. Only 1 of the 69 studies reviewed reported withdrawal from alcohol 24 </w:t>
      </w:r>
      <w:r w:rsidR="00835518">
        <w:t>h</w:t>
      </w:r>
      <w:r w:rsidRPr="004F446B">
        <w:t xml:space="preserve"> before, while 3 indicated withdrawal from coffee but did not report on other stimulating beverages such as tea.</w:t>
      </w:r>
    </w:p>
    <w:p w14:paraId="366C31C9" w14:textId="228E6A20" w:rsidR="001B672C" w:rsidRPr="004F446B" w:rsidRDefault="00126CBE" w:rsidP="00126CBE">
      <w:pPr>
        <w:pStyle w:val="MDPI22heading2"/>
        <w:spacing w:before="240"/>
      </w:pPr>
      <w:r>
        <w:t xml:space="preserve">4.3. </w:t>
      </w:r>
      <w:r w:rsidR="001B672C" w:rsidRPr="004F446B">
        <w:t xml:space="preserve">Extracardiac </w:t>
      </w:r>
      <w:r w:rsidR="00B54E50" w:rsidRPr="004F446B">
        <w:t xml:space="preserve">Factors </w:t>
      </w:r>
      <w:r w:rsidR="001B672C" w:rsidRPr="004F446B">
        <w:t xml:space="preserve">and </w:t>
      </w:r>
      <w:r w:rsidR="00B54E50" w:rsidRPr="004F446B">
        <w:t>Functional Capacity</w:t>
      </w:r>
    </w:p>
    <w:p w14:paraId="6FBEAD21" w14:textId="77777777" w:rsidR="001B672C" w:rsidRPr="004F446B" w:rsidRDefault="001B672C" w:rsidP="006630E3">
      <w:pPr>
        <w:pStyle w:val="MDPI31text"/>
      </w:pPr>
      <w:r w:rsidRPr="004F446B">
        <w:t>The impact of the extracardiac factors in the functional limitation is often underestimated. The average BMI of the population studied in all the publications stood at a value considered as overweight [1</w:t>
      </w:r>
      <w:r>
        <w:t>10</w:t>
      </w:r>
      <w:r w:rsidRPr="004F446B">
        <w:t xml:space="preserve">]. The prevalence of diabetes was </w:t>
      </w:r>
      <w:proofErr w:type="gramStart"/>
      <w:r w:rsidRPr="004F446B">
        <w:t>similar to</w:t>
      </w:r>
      <w:proofErr w:type="gramEnd"/>
      <w:r w:rsidRPr="004F446B">
        <w:t xml:space="preserve"> that found in general population, while that of dyslipidemia was higher [11</w:t>
      </w:r>
      <w:r>
        <w:t>1</w:t>
      </w:r>
      <w:r w:rsidRPr="004F446B">
        <w:t>,11</w:t>
      </w:r>
      <w:r>
        <w:t>2</w:t>
      </w:r>
      <w:r w:rsidRPr="004F446B">
        <w:t>]. This fact is indicative of the need to attend the bodyweight of HCM patients and could be related to restrictions in physical activity. Few studies include any extracardiac variables related to nutritional status, and none of them had the word ‘nutrition’ in their full texts. Hypertension and smoking habit were screened in 21 and 8 investigations, respectively. The first has been related to an increased odds ratio for reduced functional capacity, while no independent effect was observed for smoking habit [7</w:t>
      </w:r>
      <w:r>
        <w:t>7</w:t>
      </w:r>
      <w:r w:rsidRPr="004F446B">
        <w:t>].</w:t>
      </w:r>
    </w:p>
    <w:p w14:paraId="0104C547" w14:textId="77777777" w:rsidR="001B672C" w:rsidRPr="004F446B" w:rsidRDefault="001B672C" w:rsidP="006630E3">
      <w:pPr>
        <w:pStyle w:val="MDPI31text"/>
      </w:pPr>
      <w:r w:rsidRPr="004F446B">
        <w:t>It has been shown that dia</w:t>
      </w:r>
      <w:r w:rsidR="006630E3">
        <w:t>betes (OR: 2.84; 95% CI: 1.89–</w:t>
      </w:r>
      <w:r w:rsidRPr="004F446B">
        <w:t>4.25) and the history of hyperte</w:t>
      </w:r>
      <w:r w:rsidR="006630E3">
        <w:t>nsion (OR: 1.71; 95% CI: 1.32–</w:t>
      </w:r>
      <w:r w:rsidRPr="004F446B">
        <w:t>2.23) have a negative effect on functional capacity, consisting in independent predictors of a value lower than 4 METs [7</w:t>
      </w:r>
      <w:r>
        <w:t>7</w:t>
      </w:r>
      <w:r w:rsidRPr="004F446B">
        <w:t xml:space="preserve">], while a higher hemoglobin content proved to be a protective </w:t>
      </w:r>
      <w:r w:rsidR="006630E3">
        <w:t>factor (OR: 0.76; CI95%: 0.65–</w:t>
      </w:r>
      <w:r w:rsidRPr="004F446B">
        <w:t>0.68). In another study on which patients’ VO2max was compared after stratifying by their BMI, a reduction in VO2max was observed as BMI increased, with no differences between groups in cardiac variables [4</w:t>
      </w:r>
      <w:r>
        <w:t>8</w:t>
      </w:r>
      <w:r w:rsidRPr="004F446B">
        <w:t xml:space="preserve">]. Authors suggest that the primary limitation to exercise in overweight HCM patients may not be cardiac in origin. </w:t>
      </w:r>
      <w:proofErr w:type="spellStart"/>
      <w:r w:rsidRPr="004F446B">
        <w:t>Olivotto</w:t>
      </w:r>
      <w:proofErr w:type="spellEnd"/>
      <w:r w:rsidRPr="004F446B">
        <w:t xml:space="preserve"> and his collaborators had previously shown that obesity is an independent risk factor associated with a phenotypic progression to severe stages with the occurrence of adverse cardiac remodeling and in-creased left ventricular mass [11</w:t>
      </w:r>
      <w:r>
        <w:t>3</w:t>
      </w:r>
      <w:r w:rsidRPr="004F446B">
        <w:t>]. Furthermore, they suggest that obesity could modulate the expression of HCM genotype disease with severe symptoms and promote the development and progression of symptoms of heart failure.</w:t>
      </w:r>
    </w:p>
    <w:p w14:paraId="2F10D2B1" w14:textId="63D698B8" w:rsidR="001B672C" w:rsidRPr="004F446B" w:rsidRDefault="00126CBE" w:rsidP="00126CBE">
      <w:pPr>
        <w:pStyle w:val="MDPI22heading2"/>
        <w:spacing w:before="240"/>
      </w:pPr>
      <w:r>
        <w:t xml:space="preserve">4.4. </w:t>
      </w:r>
      <w:r w:rsidR="001B672C" w:rsidRPr="004F446B">
        <w:t xml:space="preserve">Exercise </w:t>
      </w:r>
      <w:r w:rsidR="00B54E50" w:rsidRPr="004F446B">
        <w:t>Prescription</w:t>
      </w:r>
    </w:p>
    <w:p w14:paraId="336F95FD" w14:textId="77777777" w:rsidR="001B672C" w:rsidRPr="004F446B" w:rsidRDefault="001B672C" w:rsidP="006630E3">
      <w:pPr>
        <w:pStyle w:val="MDPI31text"/>
      </w:pPr>
      <w:r w:rsidRPr="004F446B">
        <w:t>Physical exercise has emerged in the last decade as a non-pharmacological, non-surgical and safe alternative for HCM treatment, being especially effective in improving functional capacity in patients below the threshold of 7 METs [11</w:t>
      </w:r>
      <w:r>
        <w:t>4</w:t>
      </w:r>
      <w:r w:rsidRPr="004F446B">
        <w:t>]. Thus, various training protocols at intensities between 50 and 80% of heart rate reserve have suggested benefit effect on the VO2max in individuals with HCM [11</w:t>
      </w:r>
      <w:r>
        <w:t>5</w:t>
      </w:r>
      <w:r w:rsidRPr="004F446B">
        <w:t>,11</w:t>
      </w:r>
      <w:r>
        <w:t>6</w:t>
      </w:r>
      <w:r w:rsidRPr="004F446B">
        <w:t>]. These results suggest the need to maintain physical exercise as part of the treatment. Furthermore, a reduction in body mass index has recently been associated with greater functional capacity [4</w:t>
      </w:r>
      <w:r>
        <w:t>8</w:t>
      </w:r>
      <w:r w:rsidRPr="004F446B">
        <w:t>].</w:t>
      </w:r>
    </w:p>
    <w:p w14:paraId="5AD9C70A" w14:textId="2FF64FDB" w:rsidR="001C44D6" w:rsidRDefault="001B672C" w:rsidP="006630E3">
      <w:pPr>
        <w:pStyle w:val="MDPI31text"/>
      </w:pPr>
      <w:r w:rsidRPr="004F446B">
        <w:t>Exercise prescription in patients with HCM has been derived from a wide range of variables and different protocols. Lack of uniformity in the interpretation and adaptation of different protocols can hamper the eligibility of the best test for an individual patient. Lack of clarity on exercise prescription in HCM can also promote sedentarism and an overzealous attitude amongst physicians who worry on the risk of sudden cardiac death.</w:t>
      </w:r>
    </w:p>
    <w:p w14:paraId="17624CCB" w14:textId="77777777" w:rsidR="001C44D6" w:rsidRDefault="001C44D6">
      <w:pPr>
        <w:spacing w:line="240" w:lineRule="auto"/>
        <w:jc w:val="left"/>
        <w:rPr>
          <w:rFonts w:eastAsia="Times New Roman"/>
          <w:noProof w:val="0"/>
          <w:snapToGrid w:val="0"/>
          <w:szCs w:val="22"/>
          <w:lang w:eastAsia="de-DE" w:bidi="en-US"/>
        </w:rPr>
      </w:pPr>
      <w:r>
        <w:br w:type="page"/>
      </w:r>
    </w:p>
    <w:p w14:paraId="6FB5AEB2" w14:textId="3E3C4E5A" w:rsidR="001B672C" w:rsidRPr="004F446B" w:rsidRDefault="00126CBE" w:rsidP="00126CBE">
      <w:pPr>
        <w:pStyle w:val="MDPI22heading2"/>
        <w:spacing w:before="240"/>
      </w:pPr>
      <w:r>
        <w:lastRenderedPageBreak/>
        <w:t xml:space="preserve">4.5. </w:t>
      </w:r>
      <w:r w:rsidR="001B672C" w:rsidRPr="004F446B">
        <w:t>Future Perspectives</w:t>
      </w:r>
    </w:p>
    <w:p w14:paraId="27FBE5F1" w14:textId="77777777" w:rsidR="001B672C" w:rsidRPr="004F446B" w:rsidRDefault="001B672C" w:rsidP="006630E3">
      <w:pPr>
        <w:pStyle w:val="MDPI31text"/>
      </w:pPr>
      <w:r w:rsidRPr="004F446B">
        <w:t xml:space="preserve">Understanding of physical response to exercise in HCM and the response to therapies has regain interest as new promising pharmacological agents have irrupted in the scene. </w:t>
      </w:r>
      <w:proofErr w:type="spellStart"/>
      <w:r w:rsidRPr="004F446B">
        <w:t>Mavacamten</w:t>
      </w:r>
      <w:proofErr w:type="spellEnd"/>
      <w:r w:rsidRPr="004F446B">
        <w:t>, a recently developed myosin inhibitor, has demonstrated to increase exercise parameters and improve self-reported dyspnea class in patients with obstructive and non-obstructive HCM [11</w:t>
      </w:r>
      <w:r>
        <w:t>7</w:t>
      </w:r>
      <w:r w:rsidRPr="004F446B">
        <w:t>,11</w:t>
      </w:r>
      <w:r>
        <w:t>8</w:t>
      </w:r>
      <w:r w:rsidRPr="004F446B">
        <w:t>].</w:t>
      </w:r>
    </w:p>
    <w:p w14:paraId="05B10B06" w14:textId="00E6B155" w:rsidR="001B672C" w:rsidRPr="004F446B" w:rsidRDefault="001B672C" w:rsidP="006630E3">
      <w:pPr>
        <w:pStyle w:val="MDPI31text"/>
      </w:pPr>
      <w:r w:rsidRPr="004F446B">
        <w:t>A new paradigm shift based on recent evidence that physical training can safely improve functional capacity in HCM patients is included in a recently published expert consensus paper on recommendations for physical activity in Cardiomyopathies [11</w:t>
      </w:r>
      <w:r>
        <w:t>9</w:t>
      </w:r>
      <w:r w:rsidRPr="004F446B">
        <w:t xml:space="preserve">]. Engagement in regular physical activity improves not only quality of life in patients with cardiomyopathies but also can prevent cardiovascular complications </w:t>
      </w:r>
      <w:r w:rsidR="00B46290">
        <w:t>such as</w:t>
      </w:r>
      <w:r w:rsidR="00B46290" w:rsidRPr="004F446B">
        <w:t xml:space="preserve"> </w:t>
      </w:r>
      <w:r w:rsidRPr="004F446B">
        <w:t>ischemic heart disease and should be encouraged [1</w:t>
      </w:r>
      <w:r>
        <w:t>20</w:t>
      </w:r>
      <w:r w:rsidRPr="004F446B">
        <w:t>]. Not only functional capacity considered as cardiovascular aerobic performance in an incremental test, but also muscular strength might contribute to quality of life and health benefits [12</w:t>
      </w:r>
      <w:r>
        <w:t>1</w:t>
      </w:r>
      <w:r w:rsidRPr="004F446B">
        <w:t>]. Especially when considering both together, concurrent aerobic and resistance training have shown beneficial effects in cardiac patients with pathologies that share some phenotypical characteristics from HCM [12</w:t>
      </w:r>
      <w:r>
        <w:t>2</w:t>
      </w:r>
      <w:r w:rsidRPr="004F446B">
        <w:t>].</w:t>
      </w:r>
    </w:p>
    <w:p w14:paraId="740088B1" w14:textId="77777777" w:rsidR="001B672C" w:rsidRPr="004F446B" w:rsidRDefault="001B672C" w:rsidP="006630E3">
      <w:pPr>
        <w:pStyle w:val="MDPI31text"/>
        <w:rPr>
          <w:lang w:val="en-GB"/>
        </w:rPr>
      </w:pPr>
      <w:r w:rsidRPr="004F446B">
        <w:rPr>
          <w:lang w:val="en-GB"/>
        </w:rPr>
        <w:t>Every patient with HCM requires a systematic individualised assessment. Exercise and lifestyle advice need to be age appropriate and tailored to the patient. While prevention of sudden cardiac death due to HCM overwhelmingly leads the initial management of the patients, prevention of cardiovascular risk factors and loss of years of life due to sedentarism needs to be balanced at the time of each assessment. Physiological evaluation of patients with HCM can be complicated by the interpretation of the results on different protocols and under different circumstances. Better understanding on the adequacy of the physiological testing and its limitation will empower both patients and physicians to move from a strictly conservative approach to a more consensual and patient centred evaluation.</w:t>
      </w:r>
    </w:p>
    <w:p w14:paraId="5388F240" w14:textId="4134F9B6" w:rsidR="001B672C" w:rsidRPr="004F446B" w:rsidRDefault="00126CBE" w:rsidP="00126CBE">
      <w:pPr>
        <w:pStyle w:val="MDPI22heading2"/>
        <w:spacing w:before="240"/>
        <w:rPr>
          <w:lang w:val="en-GB"/>
        </w:rPr>
      </w:pPr>
      <w:r>
        <w:rPr>
          <w:lang w:val="en-GB"/>
        </w:rPr>
        <w:t xml:space="preserve">4.6. </w:t>
      </w:r>
      <w:r w:rsidR="001B672C" w:rsidRPr="004F446B">
        <w:rPr>
          <w:lang w:val="en-GB"/>
        </w:rPr>
        <w:t>Limitations</w:t>
      </w:r>
    </w:p>
    <w:p w14:paraId="47C25625" w14:textId="136A7D16" w:rsidR="001B672C" w:rsidRPr="00126CBE" w:rsidRDefault="001B672C" w:rsidP="006630E3">
      <w:pPr>
        <w:pStyle w:val="MDPI31text"/>
        <w:rPr>
          <w:lang w:val="en-GB"/>
        </w:rPr>
      </w:pPr>
      <w:r w:rsidRPr="004F446B">
        <w:rPr>
          <w:lang w:val="en-GB"/>
        </w:rPr>
        <w:t xml:space="preserve">There are inherent limitations of the study. Despite systematic evaluation of the publications some of the studies reporting relevant information on functional assessment might not be included in the analysis. </w:t>
      </w:r>
      <w:r w:rsidRPr="00126CBE">
        <w:rPr>
          <w:lang w:val="en-GB"/>
        </w:rPr>
        <w:t>Part of the cohorts might be shared in different studies. Information from publications did not allow a dedicated analysis of subgroups regarding gender, symptoms (presence of syncope, self-reported NYHA class), diastolic function and heart rhythm (sinus rhythm</w:t>
      </w:r>
      <w:r w:rsidR="00126CBE" w:rsidRPr="00126CBE">
        <w:rPr>
          <w:lang w:val="en-GB"/>
        </w:rPr>
        <w:t xml:space="preserve"> vs. </w:t>
      </w:r>
      <w:r w:rsidRPr="00126CBE">
        <w:rPr>
          <w:lang w:val="en-GB"/>
        </w:rPr>
        <w:t>atrial fibrillation). Heterogenicity of the CPET protocols and cohorts limit analysis and conclusions.</w:t>
      </w:r>
    </w:p>
    <w:p w14:paraId="056F9B91" w14:textId="37529AB5" w:rsidR="001B672C" w:rsidRPr="00126CBE" w:rsidRDefault="00126CBE" w:rsidP="00126CBE">
      <w:pPr>
        <w:pStyle w:val="MDPI21heading1"/>
      </w:pPr>
      <w:r w:rsidRPr="00126CBE">
        <w:t xml:space="preserve">5. </w:t>
      </w:r>
      <w:r w:rsidR="001B672C" w:rsidRPr="00126CBE">
        <w:t>Conclusions</w:t>
      </w:r>
    </w:p>
    <w:p w14:paraId="25AFC027" w14:textId="77777777" w:rsidR="001B672C" w:rsidRPr="004F446B" w:rsidRDefault="001B672C" w:rsidP="006630E3">
      <w:pPr>
        <w:pStyle w:val="MDPI31text"/>
      </w:pPr>
      <w:r w:rsidRPr="00126CBE">
        <w:t>CPET is a valuable tool and can safely perform for assessment of physical functional capacity in patients with HCM. VO2max is the most common performance measurement evaluated in functional studies, showing higher values in</w:t>
      </w:r>
      <w:r w:rsidRPr="004F446B">
        <w:t xml:space="preserve"> those based on cycle-ergometer compared to treadmill. A variety of protocols and the lack of standard protocol difficult comparisons between studies. Subgroup analysis shows that exercise intolerance seems to be more related to age, medication and comorbidities than HCM phenotype itself. Lower VO2max is consistently seen in HCM patients at risk of major cardiovascular outcomes.</w:t>
      </w:r>
    </w:p>
    <w:p w14:paraId="626B4DAA" w14:textId="29B9184D" w:rsidR="001B672C" w:rsidRPr="004F446B" w:rsidRDefault="008C619F" w:rsidP="008C619F">
      <w:pPr>
        <w:pStyle w:val="MDPI62BackMatter"/>
        <w:spacing w:before="240"/>
      </w:pPr>
      <w:r w:rsidRPr="008C619F">
        <w:rPr>
          <w:b/>
        </w:rPr>
        <w:t>Author Contribution</w:t>
      </w:r>
      <w:r w:rsidR="001B672C" w:rsidRPr="008C619F">
        <w:rPr>
          <w:b/>
        </w:rPr>
        <w:t xml:space="preserve">s: </w:t>
      </w:r>
      <w:r w:rsidR="001B672C" w:rsidRPr="004F446B">
        <w:t>Conceptualization, A.B.</w:t>
      </w:r>
      <w:r w:rsidR="00BB3571">
        <w:t>-R.</w:t>
      </w:r>
      <w:r w:rsidR="001B672C" w:rsidRPr="004F446B">
        <w:t xml:space="preserve">, </w:t>
      </w:r>
      <w:r w:rsidR="00B42FB2">
        <w:t>F.M.M.-F.</w:t>
      </w:r>
      <w:r w:rsidR="001B672C" w:rsidRPr="004F446B">
        <w:t>, C.P.</w:t>
      </w:r>
      <w:r w:rsidR="00BB3571">
        <w:t>-C.</w:t>
      </w:r>
      <w:r w:rsidR="001B672C" w:rsidRPr="004F446B">
        <w:t>, M.S.</w:t>
      </w:r>
      <w:r w:rsidR="00BB3571">
        <w:t>-M.</w:t>
      </w:r>
      <w:r w:rsidR="001B672C" w:rsidRPr="004F446B">
        <w:t>, M.T</w:t>
      </w:r>
      <w:r w:rsidR="00BB3571">
        <w:t>.T.-E</w:t>
      </w:r>
      <w:r w:rsidR="001B672C" w:rsidRPr="004F446B">
        <w:t xml:space="preserve">. and B.B.; Methodology, </w:t>
      </w:r>
      <w:r w:rsidR="00BB3571" w:rsidRPr="004F446B">
        <w:t>A.B.</w:t>
      </w:r>
      <w:r w:rsidR="00BB3571">
        <w:t>-R</w:t>
      </w:r>
      <w:r w:rsidR="001B672C" w:rsidRPr="004F446B">
        <w:t xml:space="preserve">., </w:t>
      </w:r>
      <w:r w:rsidR="00B42FB2">
        <w:t>F.M.M.-F.</w:t>
      </w:r>
      <w:r w:rsidR="001B672C" w:rsidRPr="004F446B">
        <w:t xml:space="preserve">, </w:t>
      </w:r>
      <w:r w:rsidR="00BB3571" w:rsidRPr="004F446B">
        <w:t>M.S.</w:t>
      </w:r>
      <w:r w:rsidR="00BB3571">
        <w:t>-M</w:t>
      </w:r>
      <w:r w:rsidR="001B672C" w:rsidRPr="004F446B">
        <w:t>. and B.B.; Validation, A.B</w:t>
      </w:r>
      <w:r w:rsidR="00EE6E33">
        <w:t>.</w:t>
      </w:r>
      <w:r w:rsidR="00BB3571">
        <w:t>-R.</w:t>
      </w:r>
      <w:r w:rsidR="00EE6E33">
        <w:t xml:space="preserve">, </w:t>
      </w:r>
      <w:r w:rsidR="00B42FB2">
        <w:t>F.M.M.-F.</w:t>
      </w:r>
      <w:r w:rsidR="00EE6E33">
        <w:t>, C.P.</w:t>
      </w:r>
      <w:r w:rsidR="00BB3571">
        <w:t>-C.</w:t>
      </w:r>
      <w:r w:rsidR="00EE6E33">
        <w:t>, V.F., M.S.</w:t>
      </w:r>
      <w:r w:rsidR="00BB3571">
        <w:t>-M.</w:t>
      </w:r>
      <w:r w:rsidR="00EE6E33">
        <w:t xml:space="preserve">, </w:t>
      </w:r>
      <w:r w:rsidR="00BB3571" w:rsidRPr="004F446B">
        <w:t>M.T</w:t>
      </w:r>
      <w:r w:rsidR="00BB3571">
        <w:t>.T.-E</w:t>
      </w:r>
      <w:r w:rsidR="00EE6E33">
        <w:t>.</w:t>
      </w:r>
      <w:r w:rsidR="001B672C" w:rsidRPr="004F446B">
        <w:t xml:space="preserve"> and B.B.; Formal analysis, A.B.</w:t>
      </w:r>
      <w:r w:rsidR="00BB3571">
        <w:t>-R.</w:t>
      </w:r>
      <w:r w:rsidR="001B672C" w:rsidRPr="004F446B">
        <w:t xml:space="preserve">; </w:t>
      </w:r>
      <w:r w:rsidR="001B672C" w:rsidRPr="00502F57">
        <w:t>Investigatio</w:t>
      </w:r>
      <w:r w:rsidR="00EE6E33" w:rsidRPr="00502F57">
        <w:t>n, A.B.</w:t>
      </w:r>
      <w:r w:rsidR="00BB3571" w:rsidRPr="00502F57">
        <w:t>-R.</w:t>
      </w:r>
      <w:r w:rsidR="00EE6E33" w:rsidRPr="00502F57">
        <w:t xml:space="preserve">, </w:t>
      </w:r>
      <w:r w:rsidR="00B42FB2">
        <w:t>F.M.M.-F.</w:t>
      </w:r>
      <w:r w:rsidR="00EE6E33" w:rsidRPr="00502F57">
        <w:t>, V.F., M.S.</w:t>
      </w:r>
      <w:r w:rsidR="00BB3571" w:rsidRPr="00502F57">
        <w:t>-M.</w:t>
      </w:r>
      <w:r w:rsidR="00EE6E33" w:rsidRPr="00502F57">
        <w:t xml:space="preserve">, </w:t>
      </w:r>
      <w:r w:rsidR="00BB3571" w:rsidRPr="00502F57">
        <w:t>M.T.T.-E</w:t>
      </w:r>
      <w:r w:rsidR="00EE6E33" w:rsidRPr="00502F57">
        <w:t>.</w:t>
      </w:r>
      <w:r w:rsidR="001B672C" w:rsidRPr="00502F57">
        <w:t xml:space="preserve"> and B.B.; Data curation, A.B.</w:t>
      </w:r>
      <w:r w:rsidR="000B5524">
        <w:t>-R.</w:t>
      </w:r>
      <w:r w:rsidR="001B672C" w:rsidRPr="00502F57">
        <w:t xml:space="preserve">; </w:t>
      </w:r>
      <w:r w:rsidR="004360E1">
        <w:t>Writing—Original</w:t>
      </w:r>
      <w:r w:rsidR="001B672C" w:rsidRPr="00502F57">
        <w:t xml:space="preserve"> draft preparation, A.B.</w:t>
      </w:r>
      <w:r w:rsidR="00BB3571" w:rsidRPr="00502F57">
        <w:t>-R.</w:t>
      </w:r>
      <w:r w:rsidR="001B672C" w:rsidRPr="00502F57">
        <w:t xml:space="preserve"> and B.B.; </w:t>
      </w:r>
      <w:r w:rsidR="004360E1">
        <w:t>Writing—Review</w:t>
      </w:r>
      <w:r w:rsidR="001B672C" w:rsidRPr="00502F57">
        <w:t xml:space="preserve"> and editing, A.B.</w:t>
      </w:r>
      <w:r w:rsidR="00BB3571" w:rsidRPr="00502F57">
        <w:t>-R.</w:t>
      </w:r>
      <w:r w:rsidR="001B672C" w:rsidRPr="00502F57">
        <w:t>, M.S.</w:t>
      </w:r>
      <w:r w:rsidR="00BB3571" w:rsidRPr="00502F57">
        <w:t>-M.</w:t>
      </w:r>
      <w:r w:rsidR="001B672C" w:rsidRPr="00502F57">
        <w:t xml:space="preserve">, </w:t>
      </w:r>
      <w:r w:rsidR="00BB3571" w:rsidRPr="00502F57">
        <w:t>M.T.T.-E</w:t>
      </w:r>
      <w:r w:rsidR="001B672C" w:rsidRPr="00502F57">
        <w:t>. and B.B.</w:t>
      </w:r>
      <w:r w:rsidR="004F0E2A" w:rsidRPr="00502F57">
        <w:t xml:space="preserve"> </w:t>
      </w:r>
      <w:r w:rsidR="00502F57" w:rsidRPr="00502F57">
        <w:t>All authors have read and agreed to the published version of the manuscript.</w:t>
      </w:r>
    </w:p>
    <w:p w14:paraId="498F671F" w14:textId="77777777" w:rsidR="001B672C" w:rsidRPr="004F446B" w:rsidRDefault="001B672C" w:rsidP="008C619F">
      <w:pPr>
        <w:pStyle w:val="MDPI62BackMatter"/>
      </w:pPr>
      <w:r w:rsidRPr="008C619F">
        <w:rPr>
          <w:b/>
        </w:rPr>
        <w:t xml:space="preserve">Funding: </w:t>
      </w:r>
      <w:r w:rsidRPr="004F446B">
        <w:t>This research received no external funding.</w:t>
      </w:r>
    </w:p>
    <w:p w14:paraId="1D73ED7A" w14:textId="30064086" w:rsidR="001B672C" w:rsidRPr="008C288B" w:rsidRDefault="001B672C" w:rsidP="008C619F">
      <w:pPr>
        <w:pStyle w:val="MDPI62BackMatter"/>
      </w:pPr>
      <w:r w:rsidRPr="008C619F">
        <w:rPr>
          <w:b/>
        </w:rPr>
        <w:lastRenderedPageBreak/>
        <w:t>Institutional Review Board Statement:</w:t>
      </w:r>
      <w:r w:rsidR="00717D95" w:rsidRPr="008C619F">
        <w:rPr>
          <w:b/>
        </w:rPr>
        <w:t xml:space="preserve"> </w:t>
      </w:r>
      <w:r w:rsidR="00D67AC7" w:rsidRPr="008C288B">
        <w:t>Not applicable.</w:t>
      </w:r>
    </w:p>
    <w:p w14:paraId="036A134D" w14:textId="7AE61291" w:rsidR="001B672C" w:rsidRPr="008C288B" w:rsidRDefault="001B672C" w:rsidP="008C619F">
      <w:pPr>
        <w:pStyle w:val="MDPI62BackMatter"/>
      </w:pPr>
      <w:r w:rsidRPr="008C619F">
        <w:rPr>
          <w:b/>
        </w:rPr>
        <w:t>Informed Consent Statement:</w:t>
      </w:r>
      <w:r w:rsidR="00717D95" w:rsidRPr="008C619F">
        <w:rPr>
          <w:b/>
        </w:rPr>
        <w:t xml:space="preserve"> </w:t>
      </w:r>
      <w:r w:rsidR="00D67AC7" w:rsidRPr="008C288B">
        <w:t>Not applicable.</w:t>
      </w:r>
    </w:p>
    <w:p w14:paraId="17732A5F" w14:textId="56751070" w:rsidR="001B672C" w:rsidRPr="008C288B" w:rsidRDefault="001B672C" w:rsidP="008C619F">
      <w:pPr>
        <w:pStyle w:val="MDPI62BackMatter"/>
        <w:rPr>
          <w:b/>
        </w:rPr>
      </w:pPr>
      <w:r w:rsidRPr="008C619F">
        <w:rPr>
          <w:b/>
        </w:rPr>
        <w:t>Data Availability Statement:</w:t>
      </w:r>
      <w:r w:rsidR="000460B7" w:rsidRPr="008C619F">
        <w:rPr>
          <w:b/>
        </w:rPr>
        <w:t xml:space="preserve"> </w:t>
      </w:r>
      <w:r w:rsidR="00770DCB" w:rsidRPr="008C288B">
        <w:t>The data presented in this study are openly available on the studies referenced in the figures, and individual data of each can be consulted in the original manuscripts.</w:t>
      </w:r>
    </w:p>
    <w:p w14:paraId="382D373C" w14:textId="77777777" w:rsidR="001B672C" w:rsidRPr="004F446B" w:rsidRDefault="001B672C" w:rsidP="008C619F">
      <w:pPr>
        <w:pStyle w:val="MDPI62BackMatter"/>
      </w:pPr>
      <w:r w:rsidRPr="008C619F">
        <w:rPr>
          <w:b/>
        </w:rPr>
        <w:t xml:space="preserve">Acknowledgments: </w:t>
      </w:r>
      <w:r w:rsidR="006630E3" w:rsidRPr="008C288B">
        <w:t>Thanks to</w:t>
      </w:r>
      <w:r w:rsidRPr="008C288B">
        <w:t xml:space="preserve"> Juan Ramón</w:t>
      </w:r>
      <w:r>
        <w:t xml:space="preserve"> </w:t>
      </w:r>
      <w:proofErr w:type="spellStart"/>
      <w:r>
        <w:t>Gimeno</w:t>
      </w:r>
      <w:proofErr w:type="spellEnd"/>
      <w:r>
        <w:t xml:space="preserve"> for valuable discussions, </w:t>
      </w:r>
      <w:proofErr w:type="gramStart"/>
      <w:r>
        <w:t>feedback</w:t>
      </w:r>
      <w:proofErr w:type="gramEnd"/>
      <w:r>
        <w:t xml:space="preserve"> and kind support.</w:t>
      </w:r>
    </w:p>
    <w:p w14:paraId="39ACBF88" w14:textId="77777777" w:rsidR="001B672C" w:rsidRPr="004F446B" w:rsidRDefault="001B672C" w:rsidP="008C619F">
      <w:pPr>
        <w:pStyle w:val="MDPI62BackMatter"/>
      </w:pPr>
      <w:r w:rsidRPr="008C619F">
        <w:rPr>
          <w:b/>
        </w:rPr>
        <w:t xml:space="preserve">Conflicts of Interest: </w:t>
      </w:r>
      <w:r w:rsidRPr="004F446B">
        <w:t>The authors declare no conflict of interest.</w:t>
      </w:r>
    </w:p>
    <w:p w14:paraId="333C89DE" w14:textId="77777777" w:rsidR="001B672C" w:rsidRPr="004F446B" w:rsidRDefault="001B672C" w:rsidP="008C619F">
      <w:pPr>
        <w:pStyle w:val="MDPI21heading1"/>
        <w:ind w:left="0"/>
      </w:pPr>
      <w:r w:rsidRPr="004F446B">
        <w:t>References</w:t>
      </w:r>
    </w:p>
    <w:p w14:paraId="39E58E85"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Gersh, B.J.; Maron, B.J.; </w:t>
      </w:r>
      <w:proofErr w:type="spellStart"/>
      <w:r w:rsidRPr="004F446B">
        <w:rPr>
          <w:color w:val="auto"/>
        </w:rPr>
        <w:t>Bonow</w:t>
      </w:r>
      <w:proofErr w:type="spellEnd"/>
      <w:r w:rsidRPr="004F446B">
        <w:rPr>
          <w:color w:val="auto"/>
        </w:rPr>
        <w:t xml:space="preserve">, R.O.; </w:t>
      </w:r>
      <w:proofErr w:type="spellStart"/>
      <w:r w:rsidRPr="004F446B">
        <w:rPr>
          <w:color w:val="auto"/>
        </w:rPr>
        <w:t>Dearani</w:t>
      </w:r>
      <w:proofErr w:type="spellEnd"/>
      <w:r w:rsidRPr="004F446B">
        <w:rPr>
          <w:color w:val="auto"/>
        </w:rPr>
        <w:t xml:space="preserve">, J.A.; Fifer, M.A.; Link, M.S.; Naidu, S.S.; Nishimura, R.A.; </w:t>
      </w:r>
      <w:proofErr w:type="spellStart"/>
      <w:r w:rsidRPr="004F446B">
        <w:rPr>
          <w:color w:val="auto"/>
        </w:rPr>
        <w:t>Ommen</w:t>
      </w:r>
      <w:proofErr w:type="spellEnd"/>
      <w:r w:rsidRPr="004F446B">
        <w:rPr>
          <w:color w:val="auto"/>
        </w:rPr>
        <w:t xml:space="preserve">, S.R.; Rakowski, H.; et al. ACCF/AHA guideline 2011 ACCF/AHA guideline for the diagnosis and treatment of hypertrophic cardiomyopathy: Executive summary: A report of the American College of Cardiology Foundation/American Heart Association task force on practice guidelines. </w:t>
      </w:r>
      <w:r w:rsidRPr="004F446B">
        <w:rPr>
          <w:i/>
          <w:iCs/>
          <w:color w:val="auto"/>
        </w:rPr>
        <w:t>Circulation</w:t>
      </w:r>
      <w:r w:rsidRPr="004F446B">
        <w:rPr>
          <w:color w:val="auto"/>
        </w:rPr>
        <w:t xml:space="preserve"> </w:t>
      </w:r>
      <w:r>
        <w:rPr>
          <w:b/>
          <w:bCs/>
          <w:color w:val="auto"/>
        </w:rPr>
        <w:t>2011</w:t>
      </w:r>
      <w:r>
        <w:rPr>
          <w:bCs/>
          <w:color w:val="auto"/>
        </w:rPr>
        <w:t xml:space="preserve">, </w:t>
      </w:r>
      <w:r>
        <w:rPr>
          <w:bCs/>
          <w:i/>
          <w:color w:val="auto"/>
        </w:rPr>
        <w:t>124</w:t>
      </w:r>
      <w:r>
        <w:rPr>
          <w:bCs/>
          <w:color w:val="auto"/>
        </w:rPr>
        <w:t>, 2761–2796.</w:t>
      </w:r>
    </w:p>
    <w:p w14:paraId="36994CA0"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Wigle</w:t>
      </w:r>
      <w:proofErr w:type="spellEnd"/>
      <w:r w:rsidRPr="004F446B">
        <w:rPr>
          <w:color w:val="auto"/>
        </w:rPr>
        <w:t xml:space="preserve">, E.; </w:t>
      </w:r>
      <w:proofErr w:type="spellStart"/>
      <w:r w:rsidRPr="004F446B">
        <w:rPr>
          <w:color w:val="auto"/>
        </w:rPr>
        <w:t>Sasson</w:t>
      </w:r>
      <w:proofErr w:type="spellEnd"/>
      <w:r w:rsidRPr="004F446B">
        <w:rPr>
          <w:color w:val="auto"/>
        </w:rPr>
        <w:t xml:space="preserve">, Z.; Henderson, M.; Ruddy, T.; </w:t>
      </w:r>
      <w:proofErr w:type="spellStart"/>
      <w:r w:rsidRPr="004F446B">
        <w:rPr>
          <w:color w:val="auto"/>
        </w:rPr>
        <w:t>Fulop</w:t>
      </w:r>
      <w:proofErr w:type="spellEnd"/>
      <w:r w:rsidRPr="004F446B">
        <w:rPr>
          <w:color w:val="auto"/>
        </w:rPr>
        <w:t xml:space="preserve">, J.; Rakowski, H.; Williams, W.G. Hypertrophic cardiomyopathy. The importance of the site and the extent of hypertrophy. A review. </w:t>
      </w:r>
      <w:r w:rsidRPr="004F446B">
        <w:rPr>
          <w:i/>
          <w:iCs/>
          <w:color w:val="auto"/>
        </w:rPr>
        <w:t>Prog</w:t>
      </w:r>
      <w:r>
        <w:rPr>
          <w:i/>
          <w:iCs/>
          <w:color w:val="auto"/>
        </w:rPr>
        <w:t>.</w:t>
      </w:r>
      <w:r w:rsidRPr="004F446B">
        <w:rPr>
          <w:i/>
          <w:iCs/>
          <w:color w:val="auto"/>
        </w:rPr>
        <w:t xml:space="preserve"> Cardiovasc</w:t>
      </w:r>
      <w:r>
        <w:rPr>
          <w:i/>
          <w:iCs/>
          <w:color w:val="auto"/>
        </w:rPr>
        <w:t>.</w:t>
      </w:r>
      <w:r w:rsidRPr="004F446B">
        <w:rPr>
          <w:i/>
          <w:iCs/>
          <w:color w:val="auto"/>
        </w:rPr>
        <w:t xml:space="preserve"> Dis</w:t>
      </w:r>
      <w:r w:rsidRPr="004F446B">
        <w:rPr>
          <w:color w:val="auto"/>
        </w:rPr>
        <w:t xml:space="preserve">. </w:t>
      </w:r>
      <w:r>
        <w:rPr>
          <w:b/>
          <w:bCs/>
          <w:color w:val="auto"/>
        </w:rPr>
        <w:t>1985</w:t>
      </w:r>
      <w:r>
        <w:rPr>
          <w:bCs/>
          <w:color w:val="auto"/>
        </w:rPr>
        <w:t xml:space="preserve">, </w:t>
      </w:r>
      <w:r>
        <w:rPr>
          <w:bCs/>
          <w:i/>
          <w:color w:val="auto"/>
        </w:rPr>
        <w:t>28</w:t>
      </w:r>
      <w:r>
        <w:rPr>
          <w:bCs/>
          <w:color w:val="auto"/>
        </w:rPr>
        <w:t>, 1–83</w:t>
      </w:r>
      <w:r>
        <w:rPr>
          <w:color w:val="auto"/>
        </w:rPr>
        <w:t>.</w:t>
      </w:r>
    </w:p>
    <w:p w14:paraId="321D5477"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Maron, B.J. Contemporary insights and strategies for risk stratification and prevention of sudden death in hypertrophic cardiomyopathy. </w:t>
      </w:r>
      <w:r w:rsidRPr="004F446B">
        <w:rPr>
          <w:i/>
          <w:iCs/>
          <w:color w:val="auto"/>
        </w:rPr>
        <w:t>Circulation</w:t>
      </w:r>
      <w:r w:rsidRPr="004F446B">
        <w:rPr>
          <w:color w:val="auto"/>
        </w:rPr>
        <w:t xml:space="preserve"> </w:t>
      </w:r>
      <w:r w:rsidRPr="004F446B">
        <w:rPr>
          <w:b/>
          <w:bCs/>
          <w:color w:val="auto"/>
        </w:rPr>
        <w:t>2010</w:t>
      </w:r>
      <w:r>
        <w:rPr>
          <w:color w:val="auto"/>
        </w:rPr>
        <w:t>,</w:t>
      </w:r>
      <w:r w:rsidRPr="004F446B">
        <w:rPr>
          <w:color w:val="auto"/>
        </w:rPr>
        <w:t xml:space="preserve"> </w:t>
      </w:r>
      <w:r w:rsidRPr="004F446B">
        <w:rPr>
          <w:i/>
          <w:iCs/>
          <w:color w:val="auto"/>
        </w:rPr>
        <w:t>121</w:t>
      </w:r>
      <w:r w:rsidRPr="004F446B">
        <w:rPr>
          <w:color w:val="auto"/>
        </w:rPr>
        <w:t>,</w:t>
      </w:r>
      <w:r>
        <w:rPr>
          <w:color w:val="auto"/>
        </w:rPr>
        <w:t xml:space="preserve"> 445–456.</w:t>
      </w:r>
    </w:p>
    <w:p w14:paraId="2A3E37DE"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Argulian</w:t>
      </w:r>
      <w:proofErr w:type="spellEnd"/>
      <w:r w:rsidRPr="004F446B">
        <w:rPr>
          <w:color w:val="auto"/>
        </w:rPr>
        <w:t xml:space="preserve">, E.; Chaudhry, F.A. Stress testing in patients with hypertrophic cardiomyopathy. </w:t>
      </w:r>
      <w:r w:rsidRPr="004F446B">
        <w:rPr>
          <w:i/>
          <w:iCs/>
          <w:color w:val="auto"/>
        </w:rPr>
        <w:t>Prog</w:t>
      </w:r>
      <w:r>
        <w:rPr>
          <w:i/>
          <w:iCs/>
          <w:color w:val="auto"/>
        </w:rPr>
        <w:t>.</w:t>
      </w:r>
      <w:r w:rsidRPr="004F446B">
        <w:rPr>
          <w:i/>
          <w:iCs/>
          <w:color w:val="auto"/>
        </w:rPr>
        <w:t xml:space="preserve"> Cardiovasc</w:t>
      </w:r>
      <w:r>
        <w:rPr>
          <w:i/>
          <w:iCs/>
          <w:color w:val="auto"/>
        </w:rPr>
        <w:t>.</w:t>
      </w:r>
      <w:r w:rsidRPr="004F446B">
        <w:rPr>
          <w:i/>
          <w:iCs/>
          <w:color w:val="auto"/>
        </w:rPr>
        <w:t xml:space="preserve"> Dis. </w:t>
      </w:r>
      <w:r>
        <w:rPr>
          <w:b/>
          <w:bCs/>
          <w:color w:val="auto"/>
        </w:rPr>
        <w:t>2012</w:t>
      </w:r>
      <w:r>
        <w:rPr>
          <w:bCs/>
          <w:color w:val="auto"/>
        </w:rPr>
        <w:t xml:space="preserve">, </w:t>
      </w:r>
      <w:r>
        <w:rPr>
          <w:bCs/>
          <w:i/>
          <w:color w:val="auto"/>
        </w:rPr>
        <w:t>54</w:t>
      </w:r>
      <w:r>
        <w:rPr>
          <w:bCs/>
          <w:color w:val="auto"/>
        </w:rPr>
        <w:t>, 477–482.</w:t>
      </w:r>
    </w:p>
    <w:p w14:paraId="2FF202EF"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Maron, M.S.; </w:t>
      </w:r>
      <w:proofErr w:type="spellStart"/>
      <w:r w:rsidRPr="004F446B">
        <w:rPr>
          <w:color w:val="auto"/>
        </w:rPr>
        <w:t>Olivotto</w:t>
      </w:r>
      <w:proofErr w:type="spellEnd"/>
      <w:r w:rsidRPr="004F446B">
        <w:rPr>
          <w:color w:val="auto"/>
        </w:rPr>
        <w:t xml:space="preserve">, I.; </w:t>
      </w:r>
      <w:proofErr w:type="spellStart"/>
      <w:r w:rsidRPr="004F446B">
        <w:rPr>
          <w:color w:val="auto"/>
        </w:rPr>
        <w:t>Zenovich</w:t>
      </w:r>
      <w:proofErr w:type="spellEnd"/>
      <w:r w:rsidRPr="004F446B">
        <w:rPr>
          <w:color w:val="auto"/>
        </w:rPr>
        <w:t xml:space="preserve">, A.G.; Link, M.S.; Pandian, N.G.; </w:t>
      </w:r>
      <w:proofErr w:type="spellStart"/>
      <w:r w:rsidRPr="004F446B">
        <w:rPr>
          <w:color w:val="auto"/>
        </w:rPr>
        <w:t>Kuvin</w:t>
      </w:r>
      <w:proofErr w:type="spellEnd"/>
      <w:r w:rsidRPr="004F446B">
        <w:rPr>
          <w:color w:val="auto"/>
        </w:rPr>
        <w:t xml:space="preserve">, J.T.; </w:t>
      </w:r>
      <w:proofErr w:type="spellStart"/>
      <w:r w:rsidRPr="004F446B">
        <w:rPr>
          <w:color w:val="auto"/>
        </w:rPr>
        <w:t>Nistri</w:t>
      </w:r>
      <w:proofErr w:type="spellEnd"/>
      <w:r w:rsidRPr="004F446B">
        <w:rPr>
          <w:color w:val="auto"/>
        </w:rPr>
        <w:t xml:space="preserve">, S.; Cecchi, F.; </w:t>
      </w:r>
      <w:proofErr w:type="spellStart"/>
      <w:r w:rsidRPr="004F446B">
        <w:rPr>
          <w:color w:val="auto"/>
        </w:rPr>
        <w:t>Udelson</w:t>
      </w:r>
      <w:proofErr w:type="spellEnd"/>
      <w:r w:rsidRPr="004F446B">
        <w:rPr>
          <w:color w:val="auto"/>
        </w:rPr>
        <w:t xml:space="preserve">, J.E.; Maron, B.J. Hypertrophic cardiomyopathy is predominantly a disease of left ventricular outflow tract obstruction. </w:t>
      </w:r>
      <w:r w:rsidRPr="004F446B">
        <w:rPr>
          <w:i/>
          <w:iCs/>
          <w:color w:val="auto"/>
        </w:rPr>
        <w:t>Circulation</w:t>
      </w:r>
      <w:r w:rsidRPr="004F446B">
        <w:rPr>
          <w:color w:val="auto"/>
        </w:rPr>
        <w:t xml:space="preserve"> </w:t>
      </w:r>
      <w:r>
        <w:rPr>
          <w:b/>
          <w:bCs/>
          <w:color w:val="auto"/>
        </w:rPr>
        <w:t>2006</w:t>
      </w:r>
      <w:r>
        <w:rPr>
          <w:bCs/>
          <w:color w:val="auto"/>
        </w:rPr>
        <w:t xml:space="preserve">, </w:t>
      </w:r>
      <w:r>
        <w:rPr>
          <w:bCs/>
          <w:i/>
          <w:color w:val="auto"/>
        </w:rPr>
        <w:t>114</w:t>
      </w:r>
      <w:r>
        <w:rPr>
          <w:bCs/>
          <w:color w:val="auto"/>
        </w:rPr>
        <w:t>, 2232–2239.</w:t>
      </w:r>
    </w:p>
    <w:p w14:paraId="72676902"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Shah, J.S.; Esteban, M.T.T.; </w:t>
      </w:r>
      <w:proofErr w:type="spellStart"/>
      <w:r w:rsidRPr="004F446B">
        <w:rPr>
          <w:color w:val="auto"/>
        </w:rPr>
        <w:t>Thaman</w:t>
      </w:r>
      <w:proofErr w:type="spellEnd"/>
      <w:r w:rsidRPr="004F446B">
        <w:rPr>
          <w:color w:val="auto"/>
        </w:rPr>
        <w:t xml:space="preserve">, R.; Sharma, R.; Mist, B.; </w:t>
      </w:r>
      <w:proofErr w:type="spellStart"/>
      <w:r w:rsidRPr="004F446B">
        <w:rPr>
          <w:color w:val="auto"/>
        </w:rPr>
        <w:t>Pantazis</w:t>
      </w:r>
      <w:proofErr w:type="spellEnd"/>
      <w:r w:rsidRPr="004F446B">
        <w:rPr>
          <w:color w:val="auto"/>
        </w:rPr>
        <w:t xml:space="preserve">, A.; Ward, D.; Kohli, S.K.; Page, S.P.; </w:t>
      </w:r>
      <w:proofErr w:type="spellStart"/>
      <w:r w:rsidRPr="004F446B">
        <w:rPr>
          <w:color w:val="auto"/>
        </w:rPr>
        <w:t>Demetrescu</w:t>
      </w:r>
      <w:proofErr w:type="spellEnd"/>
      <w:r w:rsidRPr="004F446B">
        <w:rPr>
          <w:color w:val="auto"/>
        </w:rPr>
        <w:t xml:space="preserve">, C. Prevalence of exercise-induced left ventricular outflow tract obstruction in symptomatic patients with non-obstructive hypertrophic cardiomyopathy. </w:t>
      </w:r>
      <w:r w:rsidRPr="004F446B">
        <w:rPr>
          <w:i/>
          <w:iCs/>
          <w:color w:val="auto"/>
        </w:rPr>
        <w:t>Heart</w:t>
      </w:r>
      <w:r w:rsidRPr="004F446B">
        <w:rPr>
          <w:color w:val="auto"/>
        </w:rPr>
        <w:t xml:space="preserve"> </w:t>
      </w:r>
      <w:r>
        <w:rPr>
          <w:b/>
          <w:bCs/>
          <w:color w:val="auto"/>
        </w:rPr>
        <w:t>2008</w:t>
      </w:r>
      <w:r>
        <w:rPr>
          <w:bCs/>
          <w:color w:val="auto"/>
        </w:rPr>
        <w:t xml:space="preserve">, </w:t>
      </w:r>
      <w:r>
        <w:rPr>
          <w:bCs/>
          <w:i/>
          <w:color w:val="auto"/>
        </w:rPr>
        <w:t>94</w:t>
      </w:r>
      <w:r>
        <w:rPr>
          <w:bCs/>
          <w:color w:val="auto"/>
        </w:rPr>
        <w:t>, 1288–1294.</w:t>
      </w:r>
    </w:p>
    <w:p w14:paraId="043457EF"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Joshi, S.; Patel, U.K.; Yao, S.; </w:t>
      </w:r>
      <w:proofErr w:type="spellStart"/>
      <w:r w:rsidRPr="004F446B">
        <w:rPr>
          <w:color w:val="auto"/>
        </w:rPr>
        <w:t>Castenada</w:t>
      </w:r>
      <w:proofErr w:type="spellEnd"/>
      <w:r w:rsidRPr="004F446B">
        <w:rPr>
          <w:color w:val="auto"/>
        </w:rPr>
        <w:t xml:space="preserve">, V.; </w:t>
      </w:r>
      <w:proofErr w:type="spellStart"/>
      <w:r w:rsidRPr="004F446B">
        <w:rPr>
          <w:color w:val="auto"/>
        </w:rPr>
        <w:t>Isambert</w:t>
      </w:r>
      <w:proofErr w:type="spellEnd"/>
      <w:r w:rsidRPr="004F446B">
        <w:rPr>
          <w:color w:val="auto"/>
        </w:rPr>
        <w:t xml:space="preserve">, A.; </w:t>
      </w:r>
      <w:proofErr w:type="spellStart"/>
      <w:r w:rsidRPr="004F446B">
        <w:rPr>
          <w:color w:val="auto"/>
        </w:rPr>
        <w:t>Winson</w:t>
      </w:r>
      <w:proofErr w:type="spellEnd"/>
      <w:r w:rsidRPr="004F446B">
        <w:rPr>
          <w:color w:val="auto"/>
        </w:rPr>
        <w:t xml:space="preserve">, G.; Chaudhry, F.A.; </w:t>
      </w:r>
      <w:proofErr w:type="spellStart"/>
      <w:r w:rsidRPr="004F446B">
        <w:rPr>
          <w:color w:val="auto"/>
        </w:rPr>
        <w:t>Sherrid</w:t>
      </w:r>
      <w:proofErr w:type="spellEnd"/>
      <w:r w:rsidRPr="004F446B">
        <w:rPr>
          <w:color w:val="auto"/>
        </w:rPr>
        <w:t xml:space="preserve">, M.V. Standing and exercise doppler echocardiography in obstructive hypertrophic cardiomyopathy: The range of gradients with upright activity. </w:t>
      </w:r>
      <w:r>
        <w:rPr>
          <w:i/>
          <w:iCs/>
          <w:color w:val="auto"/>
        </w:rPr>
        <w:t>J.</w:t>
      </w:r>
      <w:r w:rsidRPr="004F446B">
        <w:rPr>
          <w:i/>
          <w:iCs/>
          <w:color w:val="auto"/>
        </w:rPr>
        <w:t xml:space="preserve"> </w:t>
      </w:r>
      <w:r>
        <w:rPr>
          <w:i/>
          <w:iCs/>
          <w:color w:val="auto"/>
        </w:rPr>
        <w:t>Am.</w:t>
      </w:r>
      <w:r w:rsidRPr="004F446B">
        <w:rPr>
          <w:i/>
          <w:iCs/>
          <w:color w:val="auto"/>
        </w:rPr>
        <w:t xml:space="preserve"> Soc</w:t>
      </w:r>
      <w:r>
        <w:rPr>
          <w:i/>
          <w:iCs/>
          <w:color w:val="auto"/>
        </w:rPr>
        <w:t>.</w:t>
      </w:r>
      <w:r w:rsidRPr="004F446B">
        <w:rPr>
          <w:i/>
          <w:iCs/>
          <w:color w:val="auto"/>
        </w:rPr>
        <w:t xml:space="preserve"> </w:t>
      </w:r>
      <w:proofErr w:type="spellStart"/>
      <w:r w:rsidRPr="004F446B">
        <w:rPr>
          <w:i/>
          <w:iCs/>
          <w:color w:val="auto"/>
        </w:rPr>
        <w:t>Echocardiogr</w:t>
      </w:r>
      <w:proofErr w:type="spellEnd"/>
      <w:r w:rsidRPr="004F446B">
        <w:rPr>
          <w:color w:val="auto"/>
        </w:rPr>
        <w:t xml:space="preserve">. </w:t>
      </w:r>
      <w:r>
        <w:rPr>
          <w:b/>
          <w:bCs/>
          <w:color w:val="auto"/>
        </w:rPr>
        <w:t>2011</w:t>
      </w:r>
      <w:r>
        <w:rPr>
          <w:bCs/>
          <w:color w:val="auto"/>
        </w:rPr>
        <w:t xml:space="preserve">, </w:t>
      </w:r>
      <w:r>
        <w:rPr>
          <w:bCs/>
          <w:i/>
          <w:color w:val="auto"/>
        </w:rPr>
        <w:t>24</w:t>
      </w:r>
      <w:r>
        <w:rPr>
          <w:bCs/>
          <w:color w:val="auto"/>
        </w:rPr>
        <w:t>, 75–82</w:t>
      </w:r>
      <w:r>
        <w:rPr>
          <w:color w:val="auto"/>
        </w:rPr>
        <w:t>.</w:t>
      </w:r>
    </w:p>
    <w:p w14:paraId="671E1602"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lang w:val="es-ES"/>
        </w:rPr>
        <w:t>Peteiro</w:t>
      </w:r>
      <w:proofErr w:type="spellEnd"/>
      <w:r w:rsidRPr="004F446B">
        <w:rPr>
          <w:color w:val="auto"/>
          <w:lang w:val="es-ES"/>
        </w:rPr>
        <w:t xml:space="preserve">, J.; </w:t>
      </w:r>
      <w:proofErr w:type="spellStart"/>
      <w:r w:rsidRPr="004F446B">
        <w:rPr>
          <w:color w:val="auto"/>
          <w:lang w:val="es-ES"/>
        </w:rPr>
        <w:t>Bouzas</w:t>
      </w:r>
      <w:proofErr w:type="spellEnd"/>
      <w:r w:rsidRPr="004F446B">
        <w:rPr>
          <w:color w:val="auto"/>
          <w:lang w:val="es-ES"/>
        </w:rPr>
        <w:t xml:space="preserve">-Mosquera, A. </w:t>
      </w:r>
      <w:proofErr w:type="spellStart"/>
      <w:r w:rsidRPr="004F446B">
        <w:rPr>
          <w:color w:val="auto"/>
          <w:lang w:val="es-ES"/>
        </w:rPr>
        <w:t>Exercise</w:t>
      </w:r>
      <w:proofErr w:type="spellEnd"/>
      <w:r w:rsidRPr="004F446B">
        <w:rPr>
          <w:color w:val="auto"/>
          <w:lang w:val="es-ES"/>
        </w:rPr>
        <w:t xml:space="preserve"> </w:t>
      </w:r>
      <w:proofErr w:type="spellStart"/>
      <w:r w:rsidRPr="004F446B">
        <w:rPr>
          <w:color w:val="auto"/>
          <w:lang w:val="es-ES"/>
        </w:rPr>
        <w:t>echocardiography</w:t>
      </w:r>
      <w:proofErr w:type="spellEnd"/>
      <w:r w:rsidRPr="004F446B">
        <w:rPr>
          <w:color w:val="auto"/>
          <w:lang w:val="es-ES"/>
        </w:rPr>
        <w:t xml:space="preserve">. </w:t>
      </w:r>
      <w:r w:rsidRPr="004F446B">
        <w:rPr>
          <w:i/>
          <w:iCs/>
          <w:color w:val="auto"/>
        </w:rPr>
        <w:t xml:space="preserve">World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2010</w:t>
      </w:r>
      <w:r>
        <w:rPr>
          <w:bCs/>
          <w:color w:val="auto"/>
        </w:rPr>
        <w:t xml:space="preserve">, </w:t>
      </w:r>
      <w:r>
        <w:rPr>
          <w:bCs/>
          <w:i/>
          <w:color w:val="auto"/>
        </w:rPr>
        <w:t>2</w:t>
      </w:r>
      <w:r>
        <w:rPr>
          <w:bCs/>
          <w:color w:val="auto"/>
        </w:rPr>
        <w:t>, 223–232.</w:t>
      </w:r>
    </w:p>
    <w:p w14:paraId="083F2EAF"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Sharma, S.; Whyte, G.; Elliott, P.; </w:t>
      </w:r>
      <w:proofErr w:type="spellStart"/>
      <w:r w:rsidRPr="004F446B">
        <w:rPr>
          <w:color w:val="auto"/>
        </w:rPr>
        <w:t>Padula</w:t>
      </w:r>
      <w:proofErr w:type="spellEnd"/>
      <w:r w:rsidRPr="004F446B">
        <w:rPr>
          <w:color w:val="auto"/>
        </w:rPr>
        <w:t xml:space="preserve">, M.; Kaushal, R.; Mahon, N.; McKenna, </w:t>
      </w:r>
      <w:proofErr w:type="gramStart"/>
      <w:r w:rsidRPr="004F446B">
        <w:rPr>
          <w:color w:val="auto"/>
        </w:rPr>
        <w:t>W.J..</w:t>
      </w:r>
      <w:proofErr w:type="gramEnd"/>
      <w:r w:rsidRPr="004F446B">
        <w:rPr>
          <w:color w:val="auto"/>
        </w:rPr>
        <w:t xml:space="preserve"> Electrocardiographic changes in 1000 highly trained junior elite athletes. </w:t>
      </w:r>
      <w:r>
        <w:rPr>
          <w:i/>
          <w:iCs/>
          <w:color w:val="auto"/>
        </w:rPr>
        <w:t>Br.</w:t>
      </w:r>
      <w:r w:rsidRPr="004F446B">
        <w:rPr>
          <w:i/>
          <w:iCs/>
          <w:color w:val="auto"/>
        </w:rPr>
        <w:t xml:space="preserve"> </w:t>
      </w:r>
      <w:r>
        <w:rPr>
          <w:i/>
          <w:iCs/>
          <w:color w:val="auto"/>
        </w:rPr>
        <w:t>J.</w:t>
      </w:r>
      <w:r w:rsidRPr="004F446B">
        <w:rPr>
          <w:i/>
          <w:iCs/>
          <w:color w:val="auto"/>
        </w:rPr>
        <w:t xml:space="preserve"> Sports Med</w:t>
      </w:r>
      <w:r w:rsidRPr="004F446B">
        <w:rPr>
          <w:color w:val="auto"/>
        </w:rPr>
        <w:t xml:space="preserve">. </w:t>
      </w:r>
      <w:r>
        <w:rPr>
          <w:b/>
          <w:bCs/>
          <w:color w:val="auto"/>
        </w:rPr>
        <w:t>1999</w:t>
      </w:r>
      <w:r>
        <w:rPr>
          <w:bCs/>
          <w:color w:val="auto"/>
        </w:rPr>
        <w:t xml:space="preserve">, </w:t>
      </w:r>
      <w:r>
        <w:rPr>
          <w:bCs/>
          <w:i/>
          <w:color w:val="auto"/>
        </w:rPr>
        <w:t>33</w:t>
      </w:r>
      <w:r>
        <w:rPr>
          <w:bCs/>
          <w:color w:val="auto"/>
        </w:rPr>
        <w:t>, 319–324.</w:t>
      </w:r>
    </w:p>
    <w:p w14:paraId="7AEEAEE3" w14:textId="77777777" w:rsidR="000B16CE" w:rsidRPr="00F311DB" w:rsidRDefault="000B16CE" w:rsidP="008C619F">
      <w:pPr>
        <w:pStyle w:val="MDPI71References"/>
        <w:numPr>
          <w:ilvl w:val="0"/>
          <w:numId w:val="4"/>
        </w:numPr>
        <w:ind w:left="425" w:hanging="425"/>
        <w:rPr>
          <w:color w:val="auto"/>
        </w:rPr>
      </w:pPr>
      <w:proofErr w:type="spellStart"/>
      <w:r w:rsidRPr="003F6EB6">
        <w:rPr>
          <w:color w:val="auto"/>
          <w:lang w:val="es-ES"/>
        </w:rPr>
        <w:t>Grazioli</w:t>
      </w:r>
      <w:proofErr w:type="spellEnd"/>
      <w:r w:rsidRPr="003F6EB6">
        <w:rPr>
          <w:color w:val="auto"/>
          <w:lang w:val="es-ES"/>
        </w:rPr>
        <w:t xml:space="preserve">, G.; </w:t>
      </w:r>
      <w:proofErr w:type="spellStart"/>
      <w:r w:rsidRPr="003F6EB6">
        <w:rPr>
          <w:color w:val="auto"/>
          <w:lang w:val="es-ES"/>
        </w:rPr>
        <w:t>Usín</w:t>
      </w:r>
      <w:proofErr w:type="spellEnd"/>
      <w:r w:rsidRPr="003F6EB6">
        <w:rPr>
          <w:color w:val="auto"/>
          <w:lang w:val="es-ES"/>
        </w:rPr>
        <w:t>, D.; Trucco, E.; Sanz, M.; Montserrat, S.; Vidal, B.; Gutiérrez, J.; Canal, R.; Brugada, J.; Mont, L.</w:t>
      </w:r>
      <w:r>
        <w:rPr>
          <w:color w:val="auto"/>
          <w:lang w:val="es-ES"/>
        </w:rPr>
        <w:t xml:space="preserve">; et al. </w:t>
      </w:r>
      <w:r w:rsidRPr="003F6EB6">
        <w:rPr>
          <w:color w:val="auto"/>
        </w:rPr>
        <w:t>Differentiating hypertrophic cardiomyopathy from athlete’s heart: An electrocardiographic and echocardiographic approach</w:t>
      </w:r>
      <w:r>
        <w:rPr>
          <w:color w:val="auto"/>
        </w:rPr>
        <w:t xml:space="preserve">. </w:t>
      </w:r>
      <w:r>
        <w:rPr>
          <w:i/>
          <w:iCs/>
          <w:color w:val="auto"/>
        </w:rPr>
        <w:t xml:space="preserve">J. </w:t>
      </w:r>
      <w:proofErr w:type="spellStart"/>
      <w:r>
        <w:rPr>
          <w:i/>
          <w:iCs/>
          <w:color w:val="auto"/>
        </w:rPr>
        <w:t>Electrocardiol</w:t>
      </w:r>
      <w:proofErr w:type="spellEnd"/>
      <w:r>
        <w:rPr>
          <w:color w:val="auto"/>
        </w:rPr>
        <w:t xml:space="preserve">. </w:t>
      </w:r>
      <w:r>
        <w:rPr>
          <w:b/>
          <w:bCs/>
          <w:color w:val="auto"/>
        </w:rPr>
        <w:t>2016</w:t>
      </w:r>
      <w:r>
        <w:rPr>
          <w:bCs/>
          <w:color w:val="auto"/>
        </w:rPr>
        <w:t xml:space="preserve">, </w:t>
      </w:r>
      <w:r>
        <w:rPr>
          <w:bCs/>
          <w:i/>
          <w:color w:val="auto"/>
        </w:rPr>
        <w:t>49</w:t>
      </w:r>
      <w:r>
        <w:rPr>
          <w:bCs/>
          <w:color w:val="auto"/>
        </w:rPr>
        <w:t>, 539–544</w:t>
      </w:r>
      <w:r>
        <w:rPr>
          <w:color w:val="auto"/>
        </w:rPr>
        <w:t>.</w:t>
      </w:r>
    </w:p>
    <w:p w14:paraId="31B826F6" w14:textId="77777777" w:rsidR="000B16CE" w:rsidRPr="00BA56C5" w:rsidRDefault="000B16CE" w:rsidP="008C619F">
      <w:pPr>
        <w:pStyle w:val="MDPI71References"/>
        <w:numPr>
          <w:ilvl w:val="0"/>
          <w:numId w:val="4"/>
        </w:numPr>
        <w:ind w:left="425" w:hanging="425"/>
        <w:rPr>
          <w:color w:val="auto"/>
        </w:rPr>
      </w:pPr>
      <w:proofErr w:type="spellStart"/>
      <w:r w:rsidRPr="004F446B">
        <w:rPr>
          <w:color w:val="auto"/>
        </w:rPr>
        <w:t>Wijnhoven</w:t>
      </w:r>
      <w:proofErr w:type="spellEnd"/>
      <w:r w:rsidRPr="004F446B">
        <w:rPr>
          <w:color w:val="auto"/>
        </w:rPr>
        <w:t xml:space="preserve">, T.M.A.; van </w:t>
      </w:r>
      <w:proofErr w:type="spellStart"/>
      <w:r w:rsidRPr="004F446B">
        <w:rPr>
          <w:color w:val="auto"/>
        </w:rPr>
        <w:t>Raaij</w:t>
      </w:r>
      <w:proofErr w:type="spellEnd"/>
      <w:r>
        <w:rPr>
          <w:color w:val="auto"/>
        </w:rPr>
        <w:t>,</w:t>
      </w:r>
      <w:r w:rsidRPr="004F446B">
        <w:rPr>
          <w:color w:val="auto"/>
        </w:rPr>
        <w:t xml:space="preserve"> J.M.A.; Spinelli, A.; </w:t>
      </w:r>
      <w:proofErr w:type="spellStart"/>
      <w:r w:rsidRPr="004F446B">
        <w:rPr>
          <w:color w:val="auto"/>
        </w:rPr>
        <w:t>Starc</w:t>
      </w:r>
      <w:proofErr w:type="spellEnd"/>
      <w:r w:rsidRPr="004F446B">
        <w:rPr>
          <w:color w:val="auto"/>
        </w:rPr>
        <w:t xml:space="preserve">, </w:t>
      </w:r>
      <w:r w:rsidRPr="00BA56C5">
        <w:rPr>
          <w:color w:val="auto"/>
        </w:rPr>
        <w:t xml:space="preserve">G.; </w:t>
      </w:r>
      <w:proofErr w:type="spellStart"/>
      <w:r w:rsidRPr="00BA56C5">
        <w:rPr>
          <w:color w:val="auto"/>
        </w:rPr>
        <w:t>Hassapidou</w:t>
      </w:r>
      <w:proofErr w:type="spellEnd"/>
      <w:r w:rsidRPr="00BA56C5">
        <w:rPr>
          <w:color w:val="auto"/>
        </w:rPr>
        <w:t xml:space="preserve">, M.; </w:t>
      </w:r>
      <w:proofErr w:type="spellStart"/>
      <w:r w:rsidRPr="00BA56C5">
        <w:rPr>
          <w:color w:val="auto"/>
        </w:rPr>
        <w:t>Spiroski</w:t>
      </w:r>
      <w:proofErr w:type="spellEnd"/>
      <w:r w:rsidRPr="00BA56C5">
        <w:rPr>
          <w:color w:val="auto"/>
        </w:rPr>
        <w:t xml:space="preserve">, I.; Rutter, H.; </w:t>
      </w:r>
      <w:proofErr w:type="spellStart"/>
      <w:r w:rsidRPr="00BA56C5">
        <w:rPr>
          <w:color w:val="auto"/>
        </w:rPr>
        <w:t>Martos</w:t>
      </w:r>
      <w:proofErr w:type="spellEnd"/>
      <w:r w:rsidRPr="00BA56C5">
        <w:rPr>
          <w:color w:val="auto"/>
        </w:rPr>
        <w:t xml:space="preserve">, E.; </w:t>
      </w:r>
      <w:proofErr w:type="spellStart"/>
      <w:r w:rsidRPr="00BA56C5">
        <w:rPr>
          <w:color w:val="auto"/>
        </w:rPr>
        <w:t>Rito</w:t>
      </w:r>
      <w:proofErr w:type="spellEnd"/>
      <w:r w:rsidRPr="00BA56C5">
        <w:rPr>
          <w:color w:val="auto"/>
        </w:rPr>
        <w:t xml:space="preserve">, A.I.; </w:t>
      </w:r>
      <w:proofErr w:type="spellStart"/>
      <w:r w:rsidRPr="00BA56C5">
        <w:rPr>
          <w:color w:val="auto"/>
        </w:rPr>
        <w:t>Hovengen</w:t>
      </w:r>
      <w:proofErr w:type="spellEnd"/>
      <w:r w:rsidRPr="00BA56C5">
        <w:rPr>
          <w:color w:val="auto"/>
        </w:rPr>
        <w:t xml:space="preserve">, R.; et al. WHO European Childhood Obesity Surveillance Initiative: Body mass index and level of overweight among 6–9-year-old children from school year 2007/2008 to school year 2009/2010. </w:t>
      </w:r>
      <w:r w:rsidRPr="00BA56C5">
        <w:rPr>
          <w:i/>
          <w:iCs/>
          <w:color w:val="auto"/>
        </w:rPr>
        <w:t>BMC Public Health</w:t>
      </w:r>
      <w:r w:rsidRPr="00BA56C5">
        <w:rPr>
          <w:color w:val="auto"/>
        </w:rPr>
        <w:t xml:space="preserve"> </w:t>
      </w:r>
      <w:r>
        <w:rPr>
          <w:b/>
          <w:bCs/>
          <w:color w:val="auto"/>
        </w:rPr>
        <w:t>2014</w:t>
      </w:r>
      <w:r>
        <w:rPr>
          <w:bCs/>
          <w:color w:val="auto"/>
        </w:rPr>
        <w:t xml:space="preserve">, </w:t>
      </w:r>
      <w:r>
        <w:rPr>
          <w:bCs/>
          <w:i/>
          <w:color w:val="auto"/>
        </w:rPr>
        <w:t>14</w:t>
      </w:r>
      <w:r>
        <w:rPr>
          <w:bCs/>
          <w:color w:val="auto"/>
        </w:rPr>
        <w:t>, 1–16</w:t>
      </w:r>
      <w:r w:rsidRPr="00BA56C5">
        <w:rPr>
          <w:color w:val="auto"/>
        </w:rPr>
        <w:t>.</w:t>
      </w:r>
    </w:p>
    <w:p w14:paraId="00BB85CF"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Jetté</w:t>
      </w:r>
      <w:proofErr w:type="spellEnd"/>
      <w:r w:rsidRPr="00BA56C5">
        <w:rPr>
          <w:color w:val="auto"/>
        </w:rPr>
        <w:t xml:space="preserve">, M.; Sidney, K.; </w:t>
      </w:r>
      <w:proofErr w:type="spellStart"/>
      <w:r w:rsidRPr="00BA56C5">
        <w:rPr>
          <w:color w:val="auto"/>
        </w:rPr>
        <w:t>Blümchen</w:t>
      </w:r>
      <w:proofErr w:type="spellEnd"/>
      <w:r w:rsidRPr="00BA56C5">
        <w:rPr>
          <w:color w:val="auto"/>
        </w:rPr>
        <w:t xml:space="preserve">, G. Metabolic Equivalents (METS) in exercise testing, exercise prescription, and evaluation of functional capacity. </w:t>
      </w:r>
      <w:r w:rsidRPr="00BA56C5">
        <w:rPr>
          <w:i/>
          <w:iCs/>
          <w:color w:val="auto"/>
        </w:rPr>
        <w:t xml:space="preserve">Clin. </w:t>
      </w:r>
      <w:proofErr w:type="spellStart"/>
      <w:r w:rsidRPr="00BA56C5">
        <w:rPr>
          <w:i/>
          <w:iCs/>
          <w:color w:val="auto"/>
        </w:rPr>
        <w:t>Cardiol</w:t>
      </w:r>
      <w:proofErr w:type="spellEnd"/>
      <w:r w:rsidRPr="00BA56C5">
        <w:rPr>
          <w:color w:val="auto"/>
        </w:rPr>
        <w:t xml:space="preserve">. </w:t>
      </w:r>
      <w:r>
        <w:rPr>
          <w:b/>
          <w:bCs/>
          <w:color w:val="auto"/>
        </w:rPr>
        <w:t>1990</w:t>
      </w:r>
      <w:r>
        <w:rPr>
          <w:bCs/>
          <w:color w:val="auto"/>
        </w:rPr>
        <w:t xml:space="preserve">, </w:t>
      </w:r>
      <w:r>
        <w:rPr>
          <w:bCs/>
          <w:i/>
          <w:color w:val="auto"/>
        </w:rPr>
        <w:t>13</w:t>
      </w:r>
      <w:r>
        <w:rPr>
          <w:bCs/>
          <w:color w:val="auto"/>
        </w:rPr>
        <w:t>, 555–565</w:t>
      </w:r>
      <w:r w:rsidRPr="00BA56C5">
        <w:rPr>
          <w:bCs/>
          <w:color w:val="auto"/>
        </w:rPr>
        <w:t>.</w:t>
      </w:r>
    </w:p>
    <w:p w14:paraId="350912E4"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Moher, D.; </w:t>
      </w:r>
      <w:proofErr w:type="spellStart"/>
      <w:r w:rsidRPr="00BA56C5">
        <w:rPr>
          <w:color w:val="auto"/>
        </w:rPr>
        <w:t>Liberati</w:t>
      </w:r>
      <w:proofErr w:type="spellEnd"/>
      <w:r w:rsidRPr="00BA56C5">
        <w:rPr>
          <w:color w:val="auto"/>
        </w:rPr>
        <w:t xml:space="preserve">, A.; </w:t>
      </w:r>
      <w:proofErr w:type="spellStart"/>
      <w:r w:rsidRPr="00BA56C5">
        <w:rPr>
          <w:color w:val="auto"/>
        </w:rPr>
        <w:t>Tetzlaff</w:t>
      </w:r>
      <w:proofErr w:type="spellEnd"/>
      <w:r w:rsidRPr="00BA56C5">
        <w:rPr>
          <w:color w:val="auto"/>
        </w:rPr>
        <w:t xml:space="preserve">, J.; Altman, D.G. Preferred Reporting Items for Systematic Reviews and Meta-Analyses: The PRISMA Statement. </w:t>
      </w:r>
      <w:proofErr w:type="spellStart"/>
      <w:r w:rsidRPr="00BA56C5">
        <w:rPr>
          <w:i/>
          <w:iCs/>
          <w:color w:val="auto"/>
        </w:rPr>
        <w:t>PLoS</w:t>
      </w:r>
      <w:proofErr w:type="spellEnd"/>
      <w:r w:rsidRPr="00BA56C5">
        <w:rPr>
          <w:i/>
          <w:iCs/>
          <w:color w:val="auto"/>
        </w:rPr>
        <w:t xml:space="preserve"> Med</w:t>
      </w:r>
      <w:r w:rsidRPr="00BA56C5">
        <w:rPr>
          <w:color w:val="auto"/>
        </w:rPr>
        <w:t xml:space="preserve">. </w:t>
      </w:r>
      <w:r w:rsidRPr="00BA56C5">
        <w:rPr>
          <w:b/>
          <w:bCs/>
          <w:color w:val="auto"/>
        </w:rPr>
        <w:t>2009</w:t>
      </w:r>
      <w:r w:rsidRPr="00BA56C5">
        <w:rPr>
          <w:color w:val="auto"/>
        </w:rPr>
        <w:t xml:space="preserve">, </w:t>
      </w:r>
      <w:r w:rsidRPr="00BA56C5">
        <w:rPr>
          <w:i/>
          <w:iCs/>
          <w:color w:val="auto"/>
        </w:rPr>
        <w:t>6</w:t>
      </w:r>
      <w:r w:rsidRPr="00BA56C5">
        <w:rPr>
          <w:color w:val="auto"/>
        </w:rPr>
        <w:t>, e1000097.</w:t>
      </w:r>
    </w:p>
    <w:p w14:paraId="3826939D"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Abozguia</w:t>
      </w:r>
      <w:proofErr w:type="spellEnd"/>
      <w:r w:rsidRPr="00BA56C5">
        <w:rPr>
          <w:color w:val="auto"/>
        </w:rPr>
        <w:t>, K.; Nallur-</w:t>
      </w:r>
      <w:proofErr w:type="spellStart"/>
      <w:r w:rsidRPr="00BA56C5">
        <w:rPr>
          <w:color w:val="auto"/>
        </w:rPr>
        <w:t>Shivu</w:t>
      </w:r>
      <w:proofErr w:type="spellEnd"/>
      <w:r w:rsidRPr="00BA56C5">
        <w:rPr>
          <w:color w:val="auto"/>
        </w:rPr>
        <w:t xml:space="preserve">, G.; Phan, T.T.; Ahmed, I.; Kalra, R.; Weaver, R.; McKenna, W.J.; Sanderson, J.E.; Elliott, P.; </w:t>
      </w:r>
      <w:proofErr w:type="spellStart"/>
      <w:r w:rsidRPr="00BA56C5">
        <w:rPr>
          <w:color w:val="auto"/>
        </w:rPr>
        <w:t>Frenneaux</w:t>
      </w:r>
      <w:proofErr w:type="spellEnd"/>
      <w:r w:rsidRPr="00BA56C5">
        <w:rPr>
          <w:color w:val="auto"/>
        </w:rPr>
        <w:t xml:space="preserve">, M.P. Left ventricular strain and untwist in hypertrophic cardiomyopathy: Relation to exercise capacity. </w:t>
      </w:r>
      <w:r w:rsidRPr="00BA56C5">
        <w:rPr>
          <w:i/>
          <w:iCs/>
          <w:color w:val="auto"/>
        </w:rPr>
        <w:t>Am. Heart J</w:t>
      </w:r>
      <w:r w:rsidRPr="00BA56C5">
        <w:rPr>
          <w:color w:val="auto"/>
        </w:rPr>
        <w:t xml:space="preserve">. </w:t>
      </w:r>
      <w:r>
        <w:rPr>
          <w:b/>
          <w:bCs/>
          <w:color w:val="auto"/>
        </w:rPr>
        <w:t>2010</w:t>
      </w:r>
      <w:r>
        <w:rPr>
          <w:bCs/>
          <w:color w:val="auto"/>
        </w:rPr>
        <w:t xml:space="preserve">, </w:t>
      </w:r>
      <w:r>
        <w:rPr>
          <w:bCs/>
          <w:i/>
          <w:color w:val="auto"/>
        </w:rPr>
        <w:t>159</w:t>
      </w:r>
      <w:r>
        <w:rPr>
          <w:bCs/>
          <w:color w:val="auto"/>
        </w:rPr>
        <w:t>, 825–832</w:t>
      </w:r>
      <w:r w:rsidRPr="00BA56C5">
        <w:rPr>
          <w:bCs/>
          <w:color w:val="auto"/>
        </w:rPr>
        <w:t>.</w:t>
      </w:r>
    </w:p>
    <w:p w14:paraId="3AF9CAC2"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Aljaroudi</w:t>
      </w:r>
      <w:proofErr w:type="spellEnd"/>
      <w:r w:rsidRPr="00BA56C5">
        <w:rPr>
          <w:color w:val="auto"/>
        </w:rPr>
        <w:t xml:space="preserve">, W.A.; Desai, M.Y.; </w:t>
      </w:r>
      <w:proofErr w:type="spellStart"/>
      <w:r w:rsidRPr="00BA56C5">
        <w:rPr>
          <w:color w:val="auto"/>
        </w:rPr>
        <w:t>Alraies</w:t>
      </w:r>
      <w:proofErr w:type="spellEnd"/>
      <w:r w:rsidRPr="00BA56C5">
        <w:rPr>
          <w:color w:val="auto"/>
        </w:rPr>
        <w:t xml:space="preserve">, M.C.; </w:t>
      </w:r>
      <w:proofErr w:type="spellStart"/>
      <w:r w:rsidRPr="00BA56C5">
        <w:rPr>
          <w:color w:val="auto"/>
        </w:rPr>
        <w:t>Thamilarasan</w:t>
      </w:r>
      <w:proofErr w:type="spellEnd"/>
      <w:r w:rsidRPr="00BA56C5">
        <w:rPr>
          <w:color w:val="auto"/>
        </w:rPr>
        <w:t xml:space="preserve">, M.; Menon, V.; Rodriguez, LL.; </w:t>
      </w:r>
      <w:proofErr w:type="spellStart"/>
      <w:r w:rsidRPr="00BA56C5">
        <w:rPr>
          <w:color w:val="auto"/>
        </w:rPr>
        <w:t>Smedira</w:t>
      </w:r>
      <w:proofErr w:type="spellEnd"/>
      <w:r w:rsidRPr="00BA56C5">
        <w:rPr>
          <w:color w:val="auto"/>
        </w:rPr>
        <w:t xml:space="preserve">, N.; Grimm, R.A.; Lever, H.M.; Jaber, W.A. Relationship between baseline resting diastolic function and exercise capacity in patients with hypertrophic cardiomyopathy undergoing treadmill stress echocardiography: A cohort study. </w:t>
      </w:r>
      <w:r w:rsidRPr="00BA56C5">
        <w:rPr>
          <w:i/>
          <w:iCs/>
          <w:color w:val="auto"/>
        </w:rPr>
        <w:t>Br. Med. J</w:t>
      </w:r>
      <w:r w:rsidRPr="00BA56C5">
        <w:rPr>
          <w:color w:val="auto"/>
        </w:rPr>
        <w:t xml:space="preserve">. </w:t>
      </w:r>
      <w:r w:rsidRPr="00BA56C5">
        <w:rPr>
          <w:b/>
          <w:bCs/>
          <w:color w:val="auto"/>
        </w:rPr>
        <w:t>2012</w:t>
      </w:r>
      <w:r w:rsidRPr="00BA56C5">
        <w:rPr>
          <w:color w:val="auto"/>
        </w:rPr>
        <w:t xml:space="preserve">, </w:t>
      </w:r>
      <w:r w:rsidRPr="00BA56C5">
        <w:rPr>
          <w:i/>
          <w:iCs/>
          <w:color w:val="auto"/>
        </w:rPr>
        <w:t>2</w:t>
      </w:r>
      <w:r w:rsidRPr="00BA56C5">
        <w:rPr>
          <w:color w:val="auto"/>
        </w:rPr>
        <w:t>, e0022104.</w:t>
      </w:r>
    </w:p>
    <w:p w14:paraId="1BE45908"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Arena, R.; Owens, D.S.; Arevalo, J.; Smith, K.; </w:t>
      </w:r>
      <w:proofErr w:type="spellStart"/>
      <w:r w:rsidRPr="00BA56C5">
        <w:rPr>
          <w:color w:val="auto"/>
        </w:rPr>
        <w:t>Mohiddin</w:t>
      </w:r>
      <w:proofErr w:type="spellEnd"/>
      <w:r w:rsidRPr="00BA56C5">
        <w:rPr>
          <w:color w:val="auto"/>
        </w:rPr>
        <w:t xml:space="preserve">, S.A.; </w:t>
      </w:r>
      <w:proofErr w:type="spellStart"/>
      <w:r w:rsidRPr="00BA56C5">
        <w:rPr>
          <w:color w:val="auto"/>
        </w:rPr>
        <w:t>McAreavey</w:t>
      </w:r>
      <w:proofErr w:type="spellEnd"/>
      <w:r w:rsidRPr="00BA56C5">
        <w:rPr>
          <w:color w:val="auto"/>
        </w:rPr>
        <w:t xml:space="preserve">, D.; </w:t>
      </w:r>
      <w:proofErr w:type="spellStart"/>
      <w:r w:rsidRPr="00BA56C5">
        <w:rPr>
          <w:color w:val="auto"/>
        </w:rPr>
        <w:t>Ulisney</w:t>
      </w:r>
      <w:proofErr w:type="spellEnd"/>
      <w:r w:rsidRPr="00BA56C5">
        <w:rPr>
          <w:color w:val="auto"/>
        </w:rPr>
        <w:t xml:space="preserve">, K.L.; </w:t>
      </w:r>
      <w:proofErr w:type="spellStart"/>
      <w:r w:rsidRPr="00BA56C5">
        <w:rPr>
          <w:color w:val="auto"/>
        </w:rPr>
        <w:t>Tripodi</w:t>
      </w:r>
      <w:proofErr w:type="spellEnd"/>
      <w:r w:rsidRPr="00BA56C5">
        <w:rPr>
          <w:color w:val="auto"/>
        </w:rPr>
        <w:t xml:space="preserve">, D.; </w:t>
      </w:r>
      <w:proofErr w:type="spellStart"/>
      <w:r w:rsidRPr="00BA56C5">
        <w:rPr>
          <w:color w:val="auto"/>
        </w:rPr>
        <w:t>Fananapazir</w:t>
      </w:r>
      <w:proofErr w:type="spellEnd"/>
      <w:r w:rsidRPr="00BA56C5">
        <w:rPr>
          <w:color w:val="auto"/>
        </w:rPr>
        <w:t xml:space="preserve">, L.; </w:t>
      </w:r>
      <w:proofErr w:type="spellStart"/>
      <w:r w:rsidRPr="00BA56C5">
        <w:rPr>
          <w:color w:val="auto"/>
        </w:rPr>
        <w:t>Plehn</w:t>
      </w:r>
      <w:proofErr w:type="spellEnd"/>
      <w:r w:rsidRPr="00BA56C5">
        <w:rPr>
          <w:color w:val="auto"/>
        </w:rPr>
        <w:t xml:space="preserve">, J.F. Ventilatory efficiency and resting hemodynamics in hypertrophic cardiomyopathy. </w:t>
      </w:r>
      <w:r w:rsidRPr="00BA56C5">
        <w:rPr>
          <w:i/>
          <w:iCs/>
          <w:color w:val="auto"/>
        </w:rPr>
        <w:t>Med. Sci</w:t>
      </w:r>
      <w:r>
        <w:rPr>
          <w:i/>
          <w:iCs/>
          <w:color w:val="auto"/>
        </w:rPr>
        <w:t>.</w:t>
      </w:r>
      <w:r w:rsidRPr="00BA56C5">
        <w:rPr>
          <w:i/>
          <w:iCs/>
          <w:color w:val="auto"/>
        </w:rPr>
        <w:t xml:space="preserve"> Sport </w:t>
      </w:r>
      <w:proofErr w:type="spellStart"/>
      <w:r w:rsidRPr="00BA56C5">
        <w:rPr>
          <w:i/>
          <w:iCs/>
          <w:color w:val="auto"/>
        </w:rPr>
        <w:t>Exerc</w:t>
      </w:r>
      <w:proofErr w:type="spellEnd"/>
      <w:r w:rsidRPr="00BA56C5">
        <w:rPr>
          <w:color w:val="auto"/>
        </w:rPr>
        <w:t xml:space="preserve">. </w:t>
      </w:r>
      <w:r>
        <w:rPr>
          <w:b/>
          <w:bCs/>
          <w:color w:val="auto"/>
        </w:rPr>
        <w:t>2008</w:t>
      </w:r>
      <w:r>
        <w:rPr>
          <w:bCs/>
          <w:color w:val="auto"/>
        </w:rPr>
        <w:t xml:space="preserve">, </w:t>
      </w:r>
      <w:r>
        <w:rPr>
          <w:bCs/>
          <w:i/>
          <w:color w:val="auto"/>
        </w:rPr>
        <w:t>40</w:t>
      </w:r>
      <w:r>
        <w:rPr>
          <w:bCs/>
          <w:color w:val="auto"/>
        </w:rPr>
        <w:t>, 799–805</w:t>
      </w:r>
      <w:r w:rsidRPr="00BA56C5">
        <w:rPr>
          <w:color w:val="auto"/>
        </w:rPr>
        <w:t>.</w:t>
      </w:r>
    </w:p>
    <w:p w14:paraId="2238589B"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Austin, B.A.; Popovic, Z.B.; Kwon, D.H.; </w:t>
      </w:r>
      <w:proofErr w:type="spellStart"/>
      <w:r w:rsidRPr="00BA56C5">
        <w:rPr>
          <w:color w:val="auto"/>
        </w:rPr>
        <w:t>Thamilarasan</w:t>
      </w:r>
      <w:proofErr w:type="spellEnd"/>
      <w:r w:rsidRPr="00BA56C5">
        <w:rPr>
          <w:color w:val="auto"/>
        </w:rPr>
        <w:t xml:space="preserve">, M.; </w:t>
      </w:r>
      <w:proofErr w:type="spellStart"/>
      <w:r w:rsidRPr="00BA56C5">
        <w:rPr>
          <w:color w:val="auto"/>
        </w:rPr>
        <w:t>Boonyasirinant</w:t>
      </w:r>
      <w:proofErr w:type="spellEnd"/>
      <w:r w:rsidRPr="00BA56C5">
        <w:rPr>
          <w:color w:val="auto"/>
        </w:rPr>
        <w:t xml:space="preserve">, T.; Flamm, S.D.; Lever, H.M.; Desai, M.Y. Aortic stiffness independently predicts exercise capacity in hypertrophic cardiomyopathy: A multimodality imaging study. </w:t>
      </w:r>
      <w:r w:rsidRPr="00BA56C5">
        <w:rPr>
          <w:i/>
          <w:iCs/>
          <w:color w:val="auto"/>
        </w:rPr>
        <w:t>Heart</w:t>
      </w:r>
      <w:r w:rsidRPr="00BA56C5">
        <w:rPr>
          <w:color w:val="auto"/>
        </w:rPr>
        <w:t xml:space="preserve"> </w:t>
      </w:r>
      <w:r>
        <w:rPr>
          <w:b/>
          <w:bCs/>
          <w:color w:val="auto"/>
        </w:rPr>
        <w:t>2010</w:t>
      </w:r>
      <w:r>
        <w:rPr>
          <w:bCs/>
          <w:color w:val="auto"/>
        </w:rPr>
        <w:t xml:space="preserve">, </w:t>
      </w:r>
      <w:r>
        <w:rPr>
          <w:bCs/>
          <w:i/>
          <w:color w:val="auto"/>
        </w:rPr>
        <w:t>96</w:t>
      </w:r>
      <w:r>
        <w:rPr>
          <w:bCs/>
          <w:color w:val="auto"/>
        </w:rPr>
        <w:t>, 1303–1310</w:t>
      </w:r>
      <w:r w:rsidRPr="00BA56C5">
        <w:rPr>
          <w:bCs/>
          <w:color w:val="auto"/>
        </w:rPr>
        <w:t>.</w:t>
      </w:r>
    </w:p>
    <w:p w14:paraId="66ABFDD6"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Axelsson</w:t>
      </w:r>
      <w:proofErr w:type="spellEnd"/>
      <w:r w:rsidRPr="004F446B">
        <w:rPr>
          <w:color w:val="auto"/>
        </w:rPr>
        <w:t xml:space="preserve">, A.; Iversen, K.; </w:t>
      </w:r>
      <w:proofErr w:type="spellStart"/>
      <w:r w:rsidRPr="004F446B">
        <w:rPr>
          <w:color w:val="auto"/>
        </w:rPr>
        <w:t>Vejlstrup</w:t>
      </w:r>
      <w:proofErr w:type="spellEnd"/>
      <w:r w:rsidRPr="004F446B">
        <w:rPr>
          <w:color w:val="auto"/>
        </w:rPr>
        <w:t xml:space="preserve">, N.; </w:t>
      </w:r>
      <w:proofErr w:type="spellStart"/>
      <w:r w:rsidRPr="004F446B">
        <w:rPr>
          <w:color w:val="auto"/>
        </w:rPr>
        <w:t>Langhoff</w:t>
      </w:r>
      <w:proofErr w:type="spellEnd"/>
      <w:r w:rsidRPr="004F446B">
        <w:rPr>
          <w:color w:val="auto"/>
        </w:rPr>
        <w:t xml:space="preserve">, L.; Thomsen, A.; Ho, C.Y.; </w:t>
      </w:r>
      <w:proofErr w:type="spellStart"/>
      <w:r w:rsidRPr="004F446B">
        <w:rPr>
          <w:color w:val="auto"/>
        </w:rPr>
        <w:t>Havndrup</w:t>
      </w:r>
      <w:proofErr w:type="spellEnd"/>
      <w:r w:rsidRPr="004F446B">
        <w:rPr>
          <w:color w:val="auto"/>
        </w:rPr>
        <w:t xml:space="preserve">, O.; Kofoed, K.F.; Jensen, M.; Bundgaard, H. Left ventricular volume predicts exercise capacity in hypertrophic cardiomyopathy. </w:t>
      </w:r>
      <w:r w:rsidRPr="004F446B">
        <w:rPr>
          <w:i/>
          <w:iCs/>
          <w:color w:val="auto"/>
        </w:rPr>
        <w:t>Int</w:t>
      </w:r>
      <w:r>
        <w:rPr>
          <w:i/>
          <w:iCs/>
          <w:color w:val="auto"/>
        </w:rPr>
        <w:t>.</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2016</w:t>
      </w:r>
      <w:r>
        <w:rPr>
          <w:bCs/>
          <w:color w:val="auto"/>
        </w:rPr>
        <w:t xml:space="preserve">, </w:t>
      </w:r>
      <w:r>
        <w:rPr>
          <w:bCs/>
          <w:i/>
          <w:color w:val="auto"/>
        </w:rPr>
        <w:t>203</w:t>
      </w:r>
      <w:r>
        <w:rPr>
          <w:bCs/>
          <w:color w:val="auto"/>
        </w:rPr>
        <w:t>, 676–678.</w:t>
      </w:r>
    </w:p>
    <w:p w14:paraId="6F35D82D"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Azarbal</w:t>
      </w:r>
      <w:proofErr w:type="spellEnd"/>
      <w:r w:rsidRPr="004F446B">
        <w:rPr>
          <w:color w:val="auto"/>
        </w:rPr>
        <w:t xml:space="preserve">, F.; Singh, M.; </w:t>
      </w:r>
      <w:proofErr w:type="spellStart"/>
      <w:r w:rsidRPr="004F446B">
        <w:rPr>
          <w:color w:val="auto"/>
        </w:rPr>
        <w:t>Finocchiaro</w:t>
      </w:r>
      <w:proofErr w:type="spellEnd"/>
      <w:r w:rsidRPr="004F446B">
        <w:rPr>
          <w:color w:val="auto"/>
        </w:rPr>
        <w:t xml:space="preserve">, G.; Le, V.V.; Schnittger, I.; Wang, P.; Myers, J.; Ashley, E.; Perez, M. Exercise capacity and paroxysmal atrial fibrillation in patients with hypertrophic cardiomyopathy. </w:t>
      </w:r>
      <w:r w:rsidRPr="004F446B">
        <w:rPr>
          <w:i/>
          <w:iCs/>
          <w:color w:val="auto"/>
        </w:rPr>
        <w:t>Heart</w:t>
      </w:r>
      <w:r w:rsidRPr="004F446B">
        <w:rPr>
          <w:color w:val="auto"/>
        </w:rPr>
        <w:t xml:space="preserve"> </w:t>
      </w:r>
      <w:r>
        <w:rPr>
          <w:b/>
          <w:bCs/>
          <w:color w:val="auto"/>
        </w:rPr>
        <w:t>2014</w:t>
      </w:r>
      <w:r>
        <w:rPr>
          <w:bCs/>
          <w:color w:val="auto"/>
        </w:rPr>
        <w:t xml:space="preserve">, </w:t>
      </w:r>
      <w:r>
        <w:rPr>
          <w:bCs/>
          <w:i/>
          <w:color w:val="auto"/>
        </w:rPr>
        <w:t>100</w:t>
      </w:r>
      <w:r>
        <w:rPr>
          <w:bCs/>
          <w:color w:val="auto"/>
        </w:rPr>
        <w:t>, 624–630.</w:t>
      </w:r>
    </w:p>
    <w:p w14:paraId="7FB32397" w14:textId="77777777" w:rsidR="000B16CE" w:rsidRPr="004F446B" w:rsidRDefault="000B16CE" w:rsidP="008C619F">
      <w:pPr>
        <w:pStyle w:val="MDPI71References"/>
        <w:numPr>
          <w:ilvl w:val="0"/>
          <w:numId w:val="4"/>
        </w:numPr>
        <w:ind w:left="425" w:hanging="425"/>
        <w:rPr>
          <w:color w:val="auto"/>
        </w:rPr>
      </w:pPr>
      <w:r w:rsidRPr="004F446B">
        <w:rPr>
          <w:color w:val="auto"/>
        </w:rPr>
        <w:lastRenderedPageBreak/>
        <w:t xml:space="preserve">Binder, J.; </w:t>
      </w:r>
      <w:proofErr w:type="spellStart"/>
      <w:r w:rsidRPr="004F446B">
        <w:rPr>
          <w:color w:val="auto"/>
        </w:rPr>
        <w:t>Ommen</w:t>
      </w:r>
      <w:proofErr w:type="spellEnd"/>
      <w:r w:rsidRPr="004F446B">
        <w:rPr>
          <w:color w:val="auto"/>
        </w:rPr>
        <w:t xml:space="preserve">, S.R.; Chen, H.H.; Ackerman, M.J.; Tajik, A.J.; Jaffe, A.S. Usefulness of brain natriuretic peptide levels in the clinical evaluation of patients with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i/>
          <w:iCs/>
          <w:color w:val="auto"/>
        </w:rPr>
        <w:t>.</w:t>
      </w:r>
      <w:r w:rsidRPr="004F446B">
        <w:rPr>
          <w:color w:val="auto"/>
        </w:rPr>
        <w:t xml:space="preserve"> </w:t>
      </w:r>
      <w:r>
        <w:rPr>
          <w:b/>
          <w:bCs/>
          <w:color w:val="auto"/>
        </w:rPr>
        <w:t>2007</w:t>
      </w:r>
      <w:r>
        <w:rPr>
          <w:bCs/>
          <w:color w:val="auto"/>
        </w:rPr>
        <w:t xml:space="preserve">, </w:t>
      </w:r>
      <w:r>
        <w:rPr>
          <w:bCs/>
          <w:i/>
          <w:color w:val="auto"/>
        </w:rPr>
        <w:t>100</w:t>
      </w:r>
      <w:r>
        <w:rPr>
          <w:bCs/>
          <w:color w:val="auto"/>
        </w:rPr>
        <w:t>, 712–714.</w:t>
      </w:r>
    </w:p>
    <w:p w14:paraId="166951C4" w14:textId="77777777" w:rsidR="000B16CE" w:rsidRPr="00BA56C5" w:rsidRDefault="000B16CE" w:rsidP="008C619F">
      <w:pPr>
        <w:pStyle w:val="MDPI71References"/>
        <w:numPr>
          <w:ilvl w:val="0"/>
          <w:numId w:val="4"/>
        </w:numPr>
        <w:ind w:left="425" w:hanging="425"/>
        <w:rPr>
          <w:color w:val="auto"/>
        </w:rPr>
      </w:pPr>
      <w:proofErr w:type="spellStart"/>
      <w:r w:rsidRPr="004F446B">
        <w:rPr>
          <w:color w:val="auto"/>
        </w:rPr>
        <w:t>Bonow</w:t>
      </w:r>
      <w:proofErr w:type="spellEnd"/>
      <w:r w:rsidRPr="004F446B">
        <w:rPr>
          <w:color w:val="auto"/>
        </w:rPr>
        <w:t xml:space="preserve">, R.; </w:t>
      </w:r>
      <w:proofErr w:type="spellStart"/>
      <w:r w:rsidRPr="004F446B">
        <w:rPr>
          <w:color w:val="auto"/>
        </w:rPr>
        <w:t>Dilsizian</w:t>
      </w:r>
      <w:proofErr w:type="spellEnd"/>
      <w:r w:rsidRPr="004F446B">
        <w:rPr>
          <w:color w:val="auto"/>
        </w:rPr>
        <w:t xml:space="preserve">, V.; Rosing, D.R.; Maron, B.J.; Bacharach, S.; Green, M. Verapamil-induced improvement in left ventricular diastolic filling and increased exercise tolerance in patients with hypertrophic </w:t>
      </w:r>
      <w:r w:rsidRPr="00BA56C5">
        <w:rPr>
          <w:color w:val="auto"/>
        </w:rPr>
        <w:t xml:space="preserve">cardiomyopathy: Short- and long-term effects. </w:t>
      </w:r>
      <w:r w:rsidRPr="00BA56C5">
        <w:rPr>
          <w:i/>
          <w:iCs/>
          <w:color w:val="auto"/>
        </w:rPr>
        <w:t>Circulation</w:t>
      </w:r>
      <w:r w:rsidRPr="00BA56C5">
        <w:rPr>
          <w:color w:val="auto"/>
        </w:rPr>
        <w:t xml:space="preserve"> </w:t>
      </w:r>
      <w:r>
        <w:rPr>
          <w:b/>
          <w:bCs/>
          <w:color w:val="auto"/>
        </w:rPr>
        <w:t>1985</w:t>
      </w:r>
      <w:r>
        <w:rPr>
          <w:bCs/>
          <w:color w:val="auto"/>
        </w:rPr>
        <w:t xml:space="preserve">, </w:t>
      </w:r>
      <w:r>
        <w:rPr>
          <w:bCs/>
          <w:i/>
          <w:color w:val="auto"/>
        </w:rPr>
        <w:t>72</w:t>
      </w:r>
      <w:r>
        <w:rPr>
          <w:bCs/>
          <w:color w:val="auto"/>
        </w:rPr>
        <w:t>, 853–864</w:t>
      </w:r>
      <w:r w:rsidRPr="00BA56C5">
        <w:rPr>
          <w:bCs/>
          <w:color w:val="auto"/>
        </w:rPr>
        <w:t>.</w:t>
      </w:r>
    </w:p>
    <w:p w14:paraId="6172940F"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Briguori</w:t>
      </w:r>
      <w:proofErr w:type="spellEnd"/>
      <w:r w:rsidRPr="00BA56C5">
        <w:rPr>
          <w:color w:val="auto"/>
        </w:rPr>
        <w:t xml:space="preserve">, C.; </w:t>
      </w:r>
      <w:proofErr w:type="spellStart"/>
      <w:r w:rsidRPr="00BA56C5">
        <w:rPr>
          <w:color w:val="auto"/>
        </w:rPr>
        <w:t>Betocchi</w:t>
      </w:r>
      <w:proofErr w:type="spellEnd"/>
      <w:r w:rsidRPr="00BA56C5">
        <w:rPr>
          <w:color w:val="auto"/>
        </w:rPr>
        <w:t xml:space="preserve">, S.; Romano, M.; </w:t>
      </w:r>
      <w:proofErr w:type="spellStart"/>
      <w:r w:rsidRPr="00BA56C5">
        <w:rPr>
          <w:color w:val="auto"/>
        </w:rPr>
        <w:t>Manganelli</w:t>
      </w:r>
      <w:proofErr w:type="spellEnd"/>
      <w:r w:rsidRPr="00BA56C5">
        <w:rPr>
          <w:color w:val="auto"/>
        </w:rPr>
        <w:t xml:space="preserve">, F.; </w:t>
      </w:r>
      <w:proofErr w:type="spellStart"/>
      <w:r w:rsidRPr="00BA56C5">
        <w:rPr>
          <w:color w:val="auto"/>
        </w:rPr>
        <w:t>Losi</w:t>
      </w:r>
      <w:proofErr w:type="spellEnd"/>
      <w:r w:rsidRPr="00BA56C5">
        <w:rPr>
          <w:color w:val="auto"/>
        </w:rPr>
        <w:t xml:space="preserve">, M.A.; </w:t>
      </w:r>
      <w:proofErr w:type="spellStart"/>
      <w:r w:rsidRPr="00BA56C5">
        <w:rPr>
          <w:color w:val="auto"/>
        </w:rPr>
        <w:t>Ciampi</w:t>
      </w:r>
      <w:proofErr w:type="spellEnd"/>
      <w:r w:rsidRPr="00BA56C5">
        <w:rPr>
          <w:color w:val="auto"/>
        </w:rPr>
        <w:t xml:space="preserve">, Q.; </w:t>
      </w:r>
      <w:proofErr w:type="spellStart"/>
      <w:r w:rsidRPr="00BA56C5">
        <w:rPr>
          <w:color w:val="auto"/>
        </w:rPr>
        <w:t>Gottilla</w:t>
      </w:r>
      <w:proofErr w:type="spellEnd"/>
      <w:r w:rsidRPr="00BA56C5">
        <w:rPr>
          <w:color w:val="auto"/>
        </w:rPr>
        <w:t xml:space="preserve">, R.; Lombardi, R.; </w:t>
      </w:r>
      <w:proofErr w:type="spellStart"/>
      <w:r w:rsidRPr="00BA56C5">
        <w:rPr>
          <w:color w:val="auto"/>
        </w:rPr>
        <w:t>Condorelli</w:t>
      </w:r>
      <w:proofErr w:type="spellEnd"/>
      <w:r w:rsidRPr="00BA56C5">
        <w:rPr>
          <w:color w:val="auto"/>
        </w:rPr>
        <w:t xml:space="preserve">, M.; </w:t>
      </w:r>
      <w:proofErr w:type="spellStart"/>
      <w:r w:rsidRPr="00BA56C5">
        <w:rPr>
          <w:color w:val="auto"/>
        </w:rPr>
        <w:t>Chiariello</w:t>
      </w:r>
      <w:proofErr w:type="spellEnd"/>
      <w:r w:rsidRPr="00BA56C5">
        <w:rPr>
          <w:color w:val="auto"/>
        </w:rPr>
        <w:t xml:space="preserve">, M. Exercise capacity in hypertrophic cardiomyopathy depends on left ventricular diastolic function. </w:t>
      </w:r>
      <w:r w:rsidRPr="00BA56C5">
        <w:rPr>
          <w:i/>
          <w:iCs/>
          <w:color w:val="auto"/>
        </w:rPr>
        <w:t xml:space="preserve">Am. J. </w:t>
      </w:r>
      <w:proofErr w:type="spellStart"/>
      <w:r w:rsidRPr="00BA56C5">
        <w:rPr>
          <w:i/>
          <w:iCs/>
          <w:color w:val="auto"/>
        </w:rPr>
        <w:t>Cardiol</w:t>
      </w:r>
      <w:proofErr w:type="spellEnd"/>
      <w:r w:rsidRPr="00BA56C5">
        <w:rPr>
          <w:color w:val="auto"/>
        </w:rPr>
        <w:t xml:space="preserve">. </w:t>
      </w:r>
      <w:r>
        <w:rPr>
          <w:b/>
          <w:bCs/>
          <w:color w:val="auto"/>
        </w:rPr>
        <w:t>1999</w:t>
      </w:r>
      <w:r>
        <w:rPr>
          <w:bCs/>
          <w:color w:val="auto"/>
        </w:rPr>
        <w:t xml:space="preserve">, </w:t>
      </w:r>
      <w:r>
        <w:rPr>
          <w:bCs/>
          <w:i/>
          <w:color w:val="auto"/>
        </w:rPr>
        <w:t>84</w:t>
      </w:r>
      <w:r>
        <w:rPr>
          <w:bCs/>
          <w:color w:val="auto"/>
        </w:rPr>
        <w:t>, 309–315</w:t>
      </w:r>
      <w:r w:rsidRPr="00BA56C5">
        <w:rPr>
          <w:bCs/>
          <w:color w:val="auto"/>
        </w:rPr>
        <w:t>.</w:t>
      </w:r>
    </w:p>
    <w:p w14:paraId="03A6E4B6"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lang w:val="es-ES"/>
        </w:rPr>
        <w:t>Briguori</w:t>
      </w:r>
      <w:proofErr w:type="spellEnd"/>
      <w:r w:rsidRPr="00BA56C5">
        <w:rPr>
          <w:color w:val="auto"/>
          <w:lang w:val="es-ES"/>
        </w:rPr>
        <w:t xml:space="preserve">, C.; </w:t>
      </w:r>
      <w:proofErr w:type="spellStart"/>
      <w:r w:rsidRPr="00BA56C5">
        <w:rPr>
          <w:color w:val="auto"/>
          <w:lang w:val="es-ES"/>
        </w:rPr>
        <w:t>Betocchi</w:t>
      </w:r>
      <w:proofErr w:type="spellEnd"/>
      <w:r w:rsidRPr="00BA56C5">
        <w:rPr>
          <w:color w:val="auto"/>
          <w:lang w:val="es-ES"/>
        </w:rPr>
        <w:t xml:space="preserve">, S.; </w:t>
      </w:r>
      <w:proofErr w:type="spellStart"/>
      <w:r w:rsidRPr="00BA56C5">
        <w:rPr>
          <w:color w:val="auto"/>
          <w:lang w:val="es-ES"/>
        </w:rPr>
        <w:t>Manganelli</w:t>
      </w:r>
      <w:proofErr w:type="spellEnd"/>
      <w:r w:rsidRPr="00BA56C5">
        <w:rPr>
          <w:color w:val="auto"/>
          <w:lang w:val="es-ES"/>
        </w:rPr>
        <w:t xml:space="preserve">, F.; Gigante, B.; </w:t>
      </w:r>
      <w:proofErr w:type="spellStart"/>
      <w:r w:rsidRPr="00BA56C5">
        <w:rPr>
          <w:color w:val="auto"/>
          <w:lang w:val="es-ES"/>
        </w:rPr>
        <w:t>Losi</w:t>
      </w:r>
      <w:proofErr w:type="spellEnd"/>
      <w:r w:rsidRPr="00BA56C5">
        <w:rPr>
          <w:color w:val="auto"/>
          <w:lang w:val="es-ES"/>
        </w:rPr>
        <w:t xml:space="preserve">, M.A.; </w:t>
      </w:r>
      <w:proofErr w:type="spellStart"/>
      <w:r w:rsidRPr="00BA56C5">
        <w:rPr>
          <w:color w:val="auto"/>
          <w:lang w:val="es-ES"/>
        </w:rPr>
        <w:t>Ciampi</w:t>
      </w:r>
      <w:proofErr w:type="spellEnd"/>
      <w:r w:rsidRPr="00BA56C5">
        <w:rPr>
          <w:color w:val="auto"/>
          <w:lang w:val="es-ES"/>
        </w:rPr>
        <w:t xml:space="preserve">, Q.; </w:t>
      </w:r>
      <w:proofErr w:type="spellStart"/>
      <w:r w:rsidRPr="00BA56C5">
        <w:rPr>
          <w:color w:val="auto"/>
          <w:lang w:val="es-ES"/>
        </w:rPr>
        <w:t>Gottilla</w:t>
      </w:r>
      <w:proofErr w:type="spellEnd"/>
      <w:r w:rsidRPr="00BA56C5">
        <w:rPr>
          <w:color w:val="auto"/>
          <w:lang w:val="es-ES"/>
        </w:rPr>
        <w:t xml:space="preserve">, R.; Violante, A.; </w:t>
      </w:r>
      <w:proofErr w:type="spellStart"/>
      <w:r w:rsidRPr="00BA56C5">
        <w:rPr>
          <w:color w:val="auto"/>
          <w:lang w:val="es-ES"/>
        </w:rPr>
        <w:t>Toccheti</w:t>
      </w:r>
      <w:proofErr w:type="spellEnd"/>
      <w:r w:rsidRPr="00BA56C5">
        <w:rPr>
          <w:color w:val="auto"/>
          <w:lang w:val="es-ES"/>
        </w:rPr>
        <w:t xml:space="preserve">, C.G.; </w:t>
      </w:r>
      <w:proofErr w:type="spellStart"/>
      <w:r w:rsidRPr="00BA56C5">
        <w:rPr>
          <w:color w:val="auto"/>
          <w:lang w:val="es-ES"/>
        </w:rPr>
        <w:t>Volpe</w:t>
      </w:r>
      <w:proofErr w:type="spellEnd"/>
      <w:r w:rsidRPr="00BA56C5">
        <w:rPr>
          <w:color w:val="auto"/>
          <w:lang w:val="es-ES"/>
        </w:rPr>
        <w:t xml:space="preserve">, M.; et al. </w:t>
      </w:r>
      <w:r w:rsidRPr="00BA56C5">
        <w:rPr>
          <w:color w:val="auto"/>
        </w:rPr>
        <w:t xml:space="preserve">Determinants and clinical significance of natriuretic peptides in hypertrophic cardiomyopathy. </w:t>
      </w:r>
      <w:r w:rsidRPr="00BA56C5">
        <w:rPr>
          <w:i/>
          <w:iCs/>
          <w:color w:val="auto"/>
        </w:rPr>
        <w:t>Eur. Heart J</w:t>
      </w:r>
      <w:r w:rsidRPr="00BA56C5">
        <w:rPr>
          <w:color w:val="auto"/>
        </w:rPr>
        <w:t xml:space="preserve">. </w:t>
      </w:r>
      <w:r>
        <w:rPr>
          <w:b/>
          <w:bCs/>
          <w:color w:val="auto"/>
        </w:rPr>
        <w:t>2001</w:t>
      </w:r>
      <w:r>
        <w:rPr>
          <w:bCs/>
          <w:color w:val="auto"/>
        </w:rPr>
        <w:t xml:space="preserve">, </w:t>
      </w:r>
      <w:r>
        <w:rPr>
          <w:bCs/>
          <w:i/>
          <w:color w:val="auto"/>
        </w:rPr>
        <w:t>22</w:t>
      </w:r>
      <w:r>
        <w:rPr>
          <w:bCs/>
          <w:color w:val="auto"/>
        </w:rPr>
        <w:t>, 1328–1336</w:t>
      </w:r>
      <w:r w:rsidRPr="00BA56C5">
        <w:rPr>
          <w:bCs/>
          <w:color w:val="auto"/>
        </w:rPr>
        <w:t>.</w:t>
      </w:r>
    </w:p>
    <w:p w14:paraId="34A0C4C1"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Chan, W.L.; Gilligan, D.M.; Ang, E.L.; Oakley, C.M. Effect of preload change on resting and exercise cardiac performance in hypertrophic cardiomyopathy. </w:t>
      </w:r>
      <w:r w:rsidRPr="00BA56C5">
        <w:rPr>
          <w:i/>
          <w:iCs/>
          <w:color w:val="auto"/>
        </w:rPr>
        <w:t xml:space="preserve">Am. J. </w:t>
      </w:r>
      <w:proofErr w:type="spellStart"/>
      <w:r w:rsidRPr="00BA56C5">
        <w:rPr>
          <w:i/>
          <w:iCs/>
          <w:color w:val="auto"/>
        </w:rPr>
        <w:t>Cardiol</w:t>
      </w:r>
      <w:proofErr w:type="spellEnd"/>
      <w:r w:rsidRPr="00BA56C5">
        <w:rPr>
          <w:color w:val="auto"/>
        </w:rPr>
        <w:t xml:space="preserve">. </w:t>
      </w:r>
      <w:r>
        <w:rPr>
          <w:b/>
          <w:bCs/>
          <w:color w:val="auto"/>
        </w:rPr>
        <w:t>1990</w:t>
      </w:r>
      <w:r>
        <w:rPr>
          <w:bCs/>
          <w:color w:val="auto"/>
        </w:rPr>
        <w:t xml:space="preserve">, </w:t>
      </w:r>
      <w:r>
        <w:rPr>
          <w:bCs/>
          <w:i/>
          <w:color w:val="auto"/>
        </w:rPr>
        <w:t>66</w:t>
      </w:r>
      <w:r>
        <w:rPr>
          <w:bCs/>
          <w:color w:val="auto"/>
        </w:rPr>
        <w:t>, 746–751</w:t>
      </w:r>
      <w:r w:rsidRPr="00BA56C5">
        <w:rPr>
          <w:bCs/>
          <w:color w:val="auto"/>
        </w:rPr>
        <w:t>.</w:t>
      </w:r>
      <w:r w:rsidRPr="00BA56C5">
        <w:rPr>
          <w:color w:val="auto"/>
        </w:rPr>
        <w:t xml:space="preserve"> [</w:t>
      </w:r>
      <w:proofErr w:type="spellStart"/>
      <w:r w:rsidRPr="00BA56C5">
        <w:t>CrossRef</w:t>
      </w:r>
      <w:proofErr w:type="spellEnd"/>
      <w:r w:rsidRPr="00BA56C5">
        <w:rPr>
          <w:color w:val="auto"/>
        </w:rPr>
        <w:t>].</w:t>
      </w:r>
    </w:p>
    <w:p w14:paraId="16A8E127"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Chikamori</w:t>
      </w:r>
      <w:proofErr w:type="spellEnd"/>
      <w:r w:rsidRPr="00BA56C5">
        <w:rPr>
          <w:color w:val="auto"/>
        </w:rPr>
        <w:t xml:space="preserve">, T.; </w:t>
      </w:r>
      <w:proofErr w:type="spellStart"/>
      <w:r w:rsidRPr="00BA56C5">
        <w:rPr>
          <w:color w:val="auto"/>
        </w:rPr>
        <w:t>Counihan</w:t>
      </w:r>
      <w:proofErr w:type="spellEnd"/>
      <w:r w:rsidRPr="00BA56C5">
        <w:rPr>
          <w:color w:val="auto"/>
        </w:rPr>
        <w:t xml:space="preserve">, P.J.; Doi, Y.L.; Takata, J.; Stewart, J.T.; </w:t>
      </w:r>
      <w:proofErr w:type="spellStart"/>
      <w:r w:rsidRPr="00BA56C5">
        <w:rPr>
          <w:color w:val="auto"/>
        </w:rPr>
        <w:t>Frennea</w:t>
      </w:r>
      <w:r w:rsidRPr="004F446B">
        <w:rPr>
          <w:color w:val="auto"/>
        </w:rPr>
        <w:t>ux</w:t>
      </w:r>
      <w:proofErr w:type="spellEnd"/>
      <w:r w:rsidRPr="004F446B">
        <w:rPr>
          <w:color w:val="auto"/>
        </w:rPr>
        <w:t xml:space="preserve">, M.P.; McKenna, W.J. Mechanisms of exercise limitation in hypertrophic cardiomyopathy. </w:t>
      </w:r>
      <w:r>
        <w:rPr>
          <w:i/>
          <w:iCs/>
          <w:color w:val="auto"/>
        </w:rPr>
        <w:t>J.</w:t>
      </w:r>
      <w:r w:rsidRPr="004F446B">
        <w:rPr>
          <w:i/>
          <w:iCs/>
          <w:color w:val="auto"/>
        </w:rPr>
        <w:t xml:space="preserve"> </w:t>
      </w:r>
      <w:r>
        <w:rPr>
          <w:i/>
          <w:iCs/>
          <w:color w:val="auto"/>
        </w:rPr>
        <w:t>Am</w:t>
      </w:r>
      <w:r w:rsidRPr="00BA56C5">
        <w:rPr>
          <w:i/>
          <w:iCs/>
          <w:color w:val="auto"/>
        </w:rPr>
        <w:t xml:space="preserve">. Coll. </w:t>
      </w:r>
      <w:proofErr w:type="spellStart"/>
      <w:r w:rsidRPr="00BA56C5">
        <w:rPr>
          <w:i/>
          <w:iCs/>
          <w:color w:val="auto"/>
        </w:rPr>
        <w:t>Cardiol</w:t>
      </w:r>
      <w:proofErr w:type="spellEnd"/>
      <w:r w:rsidRPr="00BA56C5">
        <w:rPr>
          <w:color w:val="auto"/>
        </w:rPr>
        <w:t xml:space="preserve">. </w:t>
      </w:r>
      <w:r>
        <w:rPr>
          <w:b/>
          <w:bCs/>
          <w:color w:val="auto"/>
        </w:rPr>
        <w:t>1992</w:t>
      </w:r>
      <w:r>
        <w:rPr>
          <w:bCs/>
          <w:color w:val="auto"/>
        </w:rPr>
        <w:t xml:space="preserve">, </w:t>
      </w:r>
      <w:r>
        <w:rPr>
          <w:bCs/>
          <w:i/>
          <w:color w:val="auto"/>
        </w:rPr>
        <w:t>19</w:t>
      </w:r>
      <w:r>
        <w:rPr>
          <w:bCs/>
          <w:color w:val="auto"/>
        </w:rPr>
        <w:t>, 507–512</w:t>
      </w:r>
      <w:r w:rsidRPr="00BA56C5">
        <w:rPr>
          <w:bCs/>
          <w:color w:val="auto"/>
        </w:rPr>
        <w:t>.</w:t>
      </w:r>
    </w:p>
    <w:p w14:paraId="67D2621E"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Choi, E.Y.; Ha, J.W.; Rim, S.J.; Kim, S.A.; Yoon, S.J.; Shim, C.Y.; Kim, J.M.; Jang, Y.; Chung, N.; Cho, S.Y. Incremental value of left ventricular diastolic function reserve index for predicting exercise capacity in patients with hypertrophic cardiomyopathy. </w:t>
      </w:r>
      <w:r w:rsidRPr="00BA56C5">
        <w:rPr>
          <w:i/>
          <w:iCs/>
          <w:color w:val="auto"/>
        </w:rPr>
        <w:t xml:space="preserve">J. Am. Soc. </w:t>
      </w:r>
      <w:proofErr w:type="spellStart"/>
      <w:r w:rsidRPr="00BA56C5">
        <w:rPr>
          <w:i/>
          <w:iCs/>
          <w:color w:val="auto"/>
        </w:rPr>
        <w:t>Echocardiogr</w:t>
      </w:r>
      <w:proofErr w:type="spellEnd"/>
      <w:r w:rsidRPr="00BA56C5">
        <w:rPr>
          <w:color w:val="auto"/>
        </w:rPr>
        <w:t xml:space="preserve">. </w:t>
      </w:r>
      <w:r>
        <w:rPr>
          <w:b/>
          <w:bCs/>
          <w:color w:val="auto"/>
        </w:rPr>
        <w:t>2008</w:t>
      </w:r>
      <w:r>
        <w:rPr>
          <w:bCs/>
          <w:color w:val="auto"/>
        </w:rPr>
        <w:t xml:space="preserve">, </w:t>
      </w:r>
      <w:r>
        <w:rPr>
          <w:bCs/>
          <w:i/>
          <w:color w:val="auto"/>
        </w:rPr>
        <w:t>21</w:t>
      </w:r>
      <w:r>
        <w:rPr>
          <w:bCs/>
          <w:color w:val="auto"/>
        </w:rPr>
        <w:t>, 487–492</w:t>
      </w:r>
      <w:r w:rsidRPr="00BA56C5">
        <w:rPr>
          <w:bCs/>
          <w:color w:val="auto"/>
        </w:rPr>
        <w:t>.</w:t>
      </w:r>
    </w:p>
    <w:p w14:paraId="0D0B07A5"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Ciampi</w:t>
      </w:r>
      <w:proofErr w:type="spellEnd"/>
      <w:r w:rsidRPr="00BA56C5">
        <w:rPr>
          <w:color w:val="auto"/>
        </w:rPr>
        <w:t xml:space="preserve">, Q.; </w:t>
      </w:r>
      <w:proofErr w:type="spellStart"/>
      <w:r w:rsidRPr="00BA56C5">
        <w:rPr>
          <w:color w:val="auto"/>
        </w:rPr>
        <w:t>Betocchi</w:t>
      </w:r>
      <w:proofErr w:type="spellEnd"/>
      <w:r w:rsidRPr="00BA56C5">
        <w:rPr>
          <w:color w:val="auto"/>
        </w:rPr>
        <w:t xml:space="preserve">, S.; </w:t>
      </w:r>
      <w:proofErr w:type="spellStart"/>
      <w:r w:rsidRPr="00BA56C5">
        <w:rPr>
          <w:color w:val="auto"/>
        </w:rPr>
        <w:t>Losi</w:t>
      </w:r>
      <w:proofErr w:type="spellEnd"/>
      <w:r w:rsidRPr="00BA56C5">
        <w:rPr>
          <w:color w:val="auto"/>
        </w:rPr>
        <w:t xml:space="preserve">, M.A.; Ferro, A.; </w:t>
      </w:r>
      <w:proofErr w:type="spellStart"/>
      <w:r w:rsidRPr="00BA56C5">
        <w:rPr>
          <w:color w:val="auto"/>
        </w:rPr>
        <w:t>Cuocolo</w:t>
      </w:r>
      <w:proofErr w:type="spellEnd"/>
      <w:r w:rsidRPr="00BA56C5">
        <w:rPr>
          <w:color w:val="auto"/>
        </w:rPr>
        <w:t xml:space="preserve">, A.; Lombardi, R.; </w:t>
      </w:r>
      <w:proofErr w:type="spellStart"/>
      <w:r w:rsidRPr="00BA56C5">
        <w:rPr>
          <w:color w:val="auto"/>
        </w:rPr>
        <w:t>Villari</w:t>
      </w:r>
      <w:proofErr w:type="spellEnd"/>
      <w:r w:rsidRPr="00BA56C5">
        <w:rPr>
          <w:color w:val="auto"/>
        </w:rPr>
        <w:t xml:space="preserve">, B.; </w:t>
      </w:r>
      <w:proofErr w:type="spellStart"/>
      <w:r w:rsidRPr="00BA56C5">
        <w:rPr>
          <w:color w:val="auto"/>
        </w:rPr>
        <w:t>Chiariello</w:t>
      </w:r>
      <w:proofErr w:type="spellEnd"/>
      <w:r w:rsidRPr="00BA56C5">
        <w:rPr>
          <w:color w:val="auto"/>
        </w:rPr>
        <w:t>, M. Abnormal blood-pressure response to exercise and oxygen consumption in patients with hypertrophic cardiomyopathy.</w:t>
      </w:r>
      <w:r w:rsidRPr="00BA56C5">
        <w:rPr>
          <w:i/>
          <w:iCs/>
          <w:color w:val="auto"/>
        </w:rPr>
        <w:t xml:space="preserve"> J. </w:t>
      </w:r>
      <w:proofErr w:type="spellStart"/>
      <w:r w:rsidRPr="00BA56C5">
        <w:rPr>
          <w:i/>
          <w:iCs/>
          <w:color w:val="auto"/>
        </w:rPr>
        <w:t>Nucl</w:t>
      </w:r>
      <w:proofErr w:type="spellEnd"/>
      <w:r w:rsidRPr="00BA56C5">
        <w:rPr>
          <w:i/>
          <w:iCs/>
          <w:color w:val="auto"/>
        </w:rPr>
        <w:t xml:space="preserve">. </w:t>
      </w:r>
      <w:proofErr w:type="spellStart"/>
      <w:r w:rsidRPr="00BA56C5">
        <w:rPr>
          <w:i/>
          <w:iCs/>
          <w:color w:val="auto"/>
        </w:rPr>
        <w:t>Cardiol</w:t>
      </w:r>
      <w:proofErr w:type="spellEnd"/>
      <w:r w:rsidRPr="00BA56C5">
        <w:rPr>
          <w:color w:val="auto"/>
        </w:rPr>
        <w:t xml:space="preserve">. </w:t>
      </w:r>
      <w:r>
        <w:rPr>
          <w:b/>
          <w:bCs/>
          <w:color w:val="auto"/>
        </w:rPr>
        <w:t>2007</w:t>
      </w:r>
      <w:r>
        <w:rPr>
          <w:bCs/>
          <w:color w:val="auto"/>
        </w:rPr>
        <w:t xml:space="preserve">, </w:t>
      </w:r>
      <w:r>
        <w:rPr>
          <w:bCs/>
          <w:i/>
          <w:color w:val="auto"/>
        </w:rPr>
        <w:t>14</w:t>
      </w:r>
      <w:r>
        <w:rPr>
          <w:bCs/>
          <w:color w:val="auto"/>
        </w:rPr>
        <w:t>, 869–875</w:t>
      </w:r>
      <w:r w:rsidRPr="00BA56C5">
        <w:rPr>
          <w:bCs/>
          <w:color w:val="auto"/>
        </w:rPr>
        <w:t>.</w:t>
      </w:r>
    </w:p>
    <w:p w14:paraId="7B310A3F" w14:textId="77777777" w:rsidR="000B16CE" w:rsidRPr="004F446B" w:rsidRDefault="000B16CE" w:rsidP="008C619F">
      <w:pPr>
        <w:pStyle w:val="MDPI71References"/>
        <w:numPr>
          <w:ilvl w:val="0"/>
          <w:numId w:val="4"/>
        </w:numPr>
        <w:ind w:left="425" w:hanging="425"/>
        <w:rPr>
          <w:color w:val="auto"/>
        </w:rPr>
      </w:pPr>
      <w:r w:rsidRPr="00BA56C5">
        <w:rPr>
          <w:color w:val="auto"/>
        </w:rPr>
        <w:t xml:space="preserve">Coats, C.; </w:t>
      </w:r>
      <w:proofErr w:type="spellStart"/>
      <w:r w:rsidRPr="00BA56C5">
        <w:rPr>
          <w:color w:val="auto"/>
        </w:rPr>
        <w:t>Rantell</w:t>
      </w:r>
      <w:proofErr w:type="spellEnd"/>
      <w:r w:rsidRPr="00BA56C5">
        <w:rPr>
          <w:color w:val="auto"/>
        </w:rPr>
        <w:t xml:space="preserve">, K.; </w:t>
      </w:r>
      <w:proofErr w:type="spellStart"/>
      <w:r w:rsidRPr="00BA56C5">
        <w:rPr>
          <w:color w:val="auto"/>
        </w:rPr>
        <w:t>Bartnik</w:t>
      </w:r>
      <w:proofErr w:type="spellEnd"/>
      <w:r w:rsidRPr="00BA56C5">
        <w:rPr>
          <w:color w:val="auto"/>
        </w:rPr>
        <w:t xml:space="preserve">, A.; Patel, A.; Mist, B.; McKenna, W.J.; Elliott, P.M. Cardiopulmonary Exercise Testing and Prognosis in Hypertrophic Cardiomyopathy. </w:t>
      </w:r>
      <w:r w:rsidRPr="00BA56C5">
        <w:rPr>
          <w:i/>
          <w:iCs/>
          <w:color w:val="auto"/>
        </w:rPr>
        <w:t>Circ. Heart Fail</w:t>
      </w:r>
      <w:r>
        <w:rPr>
          <w:i/>
          <w:iCs/>
          <w:color w:val="auto"/>
        </w:rPr>
        <w:t>.</w:t>
      </w:r>
      <w:r w:rsidRPr="00BA56C5">
        <w:rPr>
          <w:color w:val="auto"/>
        </w:rPr>
        <w:t xml:space="preserve"> </w:t>
      </w:r>
      <w:r>
        <w:rPr>
          <w:b/>
          <w:bCs/>
          <w:color w:val="auto"/>
        </w:rPr>
        <w:t>2014</w:t>
      </w:r>
      <w:r>
        <w:rPr>
          <w:bCs/>
          <w:color w:val="auto"/>
        </w:rPr>
        <w:t xml:space="preserve">, </w:t>
      </w:r>
      <w:r>
        <w:rPr>
          <w:bCs/>
          <w:i/>
          <w:color w:val="auto"/>
        </w:rPr>
        <w:t>8</w:t>
      </w:r>
      <w:r>
        <w:rPr>
          <w:bCs/>
          <w:color w:val="auto"/>
        </w:rPr>
        <w:t>, 1022–1031.</w:t>
      </w:r>
    </w:p>
    <w:p w14:paraId="236313C4"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lang w:val="es-ES"/>
        </w:rPr>
        <w:t>D’Andrea</w:t>
      </w:r>
      <w:proofErr w:type="spellEnd"/>
      <w:r w:rsidRPr="004F446B">
        <w:rPr>
          <w:color w:val="auto"/>
          <w:lang w:val="es-ES"/>
        </w:rPr>
        <w:t xml:space="preserve">, A.; </w:t>
      </w:r>
      <w:proofErr w:type="spellStart"/>
      <w:r w:rsidRPr="004F446B">
        <w:rPr>
          <w:color w:val="auto"/>
          <w:lang w:val="es-ES"/>
        </w:rPr>
        <w:t>Limongelli</w:t>
      </w:r>
      <w:proofErr w:type="spellEnd"/>
      <w:r w:rsidRPr="004F446B">
        <w:rPr>
          <w:color w:val="auto"/>
          <w:lang w:val="es-ES"/>
        </w:rPr>
        <w:t xml:space="preserve">, G.; Baldini, L.; </w:t>
      </w:r>
      <w:proofErr w:type="spellStart"/>
      <w:r w:rsidRPr="004F446B">
        <w:rPr>
          <w:color w:val="auto"/>
          <w:lang w:val="es-ES"/>
        </w:rPr>
        <w:t>Verrengia</w:t>
      </w:r>
      <w:proofErr w:type="spellEnd"/>
      <w:r w:rsidRPr="004F446B">
        <w:rPr>
          <w:color w:val="auto"/>
          <w:lang w:val="es-ES"/>
        </w:rPr>
        <w:t xml:space="preserve">, M.; Carbone, A.; Di Palma, E.; </w:t>
      </w:r>
      <w:proofErr w:type="spellStart"/>
      <w:r w:rsidRPr="004F446B">
        <w:rPr>
          <w:color w:val="auto"/>
          <w:lang w:val="es-ES"/>
        </w:rPr>
        <w:t>Vastarella</w:t>
      </w:r>
      <w:proofErr w:type="spellEnd"/>
      <w:r w:rsidRPr="004F446B">
        <w:rPr>
          <w:color w:val="auto"/>
          <w:lang w:val="es-ES"/>
        </w:rPr>
        <w:t xml:space="preserve">, R.; </w:t>
      </w:r>
      <w:proofErr w:type="spellStart"/>
      <w:r w:rsidRPr="004F446B">
        <w:rPr>
          <w:color w:val="auto"/>
          <w:lang w:val="es-ES"/>
        </w:rPr>
        <w:t>Masarone</w:t>
      </w:r>
      <w:proofErr w:type="spellEnd"/>
      <w:r w:rsidRPr="004F446B">
        <w:rPr>
          <w:color w:val="auto"/>
          <w:lang w:val="es-ES"/>
        </w:rPr>
        <w:t xml:space="preserve">, D.; </w:t>
      </w:r>
      <w:proofErr w:type="spellStart"/>
      <w:r w:rsidRPr="004F446B">
        <w:rPr>
          <w:color w:val="auto"/>
          <w:lang w:val="es-ES"/>
        </w:rPr>
        <w:t>Tagliamonte</w:t>
      </w:r>
      <w:proofErr w:type="spellEnd"/>
      <w:r w:rsidRPr="004F446B">
        <w:rPr>
          <w:color w:val="auto"/>
          <w:lang w:val="es-ES"/>
        </w:rPr>
        <w:t xml:space="preserve">, G.; </w:t>
      </w:r>
      <w:proofErr w:type="spellStart"/>
      <w:r w:rsidRPr="004F446B">
        <w:rPr>
          <w:color w:val="auto"/>
          <w:lang w:val="es-ES"/>
        </w:rPr>
        <w:t>Riegler</w:t>
      </w:r>
      <w:proofErr w:type="spellEnd"/>
      <w:r w:rsidRPr="004F446B">
        <w:rPr>
          <w:color w:val="auto"/>
          <w:lang w:val="es-ES"/>
        </w:rPr>
        <w:t xml:space="preserve">, L.; et al. </w:t>
      </w:r>
      <w:r w:rsidRPr="004F446B">
        <w:rPr>
          <w:color w:val="auto"/>
        </w:rPr>
        <w:t xml:space="preserve">Exercise speckle-tracking strain imaging demonstrates impaired right ventricular contractile reserve in hypertrophic cardiomyopathy. </w:t>
      </w:r>
      <w:r w:rsidRPr="004F446B">
        <w:rPr>
          <w:i/>
          <w:iCs/>
          <w:color w:val="auto"/>
        </w:rPr>
        <w:t>Int</w:t>
      </w:r>
      <w:r>
        <w:rPr>
          <w:i/>
          <w:iCs/>
          <w:color w:val="auto"/>
        </w:rPr>
        <w:t>.</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2017</w:t>
      </w:r>
      <w:r>
        <w:rPr>
          <w:bCs/>
          <w:color w:val="auto"/>
        </w:rPr>
        <w:t xml:space="preserve">, </w:t>
      </w:r>
      <w:r>
        <w:rPr>
          <w:bCs/>
          <w:i/>
          <w:color w:val="auto"/>
        </w:rPr>
        <w:t>227</w:t>
      </w:r>
      <w:r>
        <w:rPr>
          <w:bCs/>
          <w:color w:val="auto"/>
        </w:rPr>
        <w:t>, 209–216.</w:t>
      </w:r>
    </w:p>
    <w:p w14:paraId="2AFA09DD"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de la Morena, G.; Sánchez, R.F.; García, F.J.; González, E.; </w:t>
      </w:r>
      <w:proofErr w:type="spellStart"/>
      <w:r w:rsidRPr="004F446B">
        <w:rPr>
          <w:color w:val="auto"/>
        </w:rPr>
        <w:t>Figal</w:t>
      </w:r>
      <w:proofErr w:type="spellEnd"/>
      <w:r w:rsidRPr="004F446B">
        <w:rPr>
          <w:color w:val="auto"/>
        </w:rPr>
        <w:t xml:space="preserve">, D.P.; Soria, F.; Villegas, M.; </w:t>
      </w:r>
      <w:proofErr w:type="spellStart"/>
      <w:r w:rsidRPr="004F446B">
        <w:rPr>
          <w:color w:val="auto"/>
        </w:rPr>
        <w:t>Ruipérez</w:t>
      </w:r>
      <w:proofErr w:type="spellEnd"/>
      <w:r w:rsidRPr="004F446B">
        <w:rPr>
          <w:color w:val="auto"/>
        </w:rPr>
        <w:t xml:space="preserve">, J.A.; Valdés, M. Functional assessment of patients with hypertrophic cardiomyopathy by maximal oxygen consumption. </w:t>
      </w:r>
      <w:r>
        <w:rPr>
          <w:i/>
          <w:iCs/>
          <w:color w:val="auto"/>
        </w:rPr>
        <w:t>Rev.</w:t>
      </w:r>
      <w:r w:rsidRPr="004F446B">
        <w:rPr>
          <w:i/>
          <w:iCs/>
          <w:color w:val="auto"/>
        </w:rPr>
        <w:t xml:space="preserve"> Esp</w:t>
      </w:r>
      <w:r>
        <w:rPr>
          <w:i/>
          <w:iCs/>
          <w:color w:val="auto"/>
        </w:rPr>
        <w:t>.</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2003</w:t>
      </w:r>
      <w:r>
        <w:rPr>
          <w:bCs/>
          <w:color w:val="auto"/>
        </w:rPr>
        <w:t xml:space="preserve">, </w:t>
      </w:r>
      <w:r>
        <w:rPr>
          <w:bCs/>
          <w:i/>
          <w:color w:val="auto"/>
        </w:rPr>
        <w:t>56</w:t>
      </w:r>
      <w:r>
        <w:rPr>
          <w:bCs/>
          <w:color w:val="auto"/>
        </w:rPr>
        <w:t>, 865–872.</w:t>
      </w:r>
    </w:p>
    <w:p w14:paraId="55593DF3" w14:textId="77777777" w:rsidR="000B16CE" w:rsidRPr="004F446B" w:rsidRDefault="000B16CE" w:rsidP="008C619F">
      <w:pPr>
        <w:pStyle w:val="MDPI71References"/>
        <w:numPr>
          <w:ilvl w:val="0"/>
          <w:numId w:val="4"/>
        </w:numPr>
        <w:ind w:left="425" w:hanging="425"/>
        <w:rPr>
          <w:color w:val="auto"/>
        </w:rPr>
      </w:pPr>
      <w:r w:rsidRPr="004F446B">
        <w:rPr>
          <w:color w:val="auto"/>
          <w:lang w:val="es-ES"/>
        </w:rPr>
        <w:t xml:space="preserve">de la Morena, G.; Caro, C.; Saura, D.; Marín, F.; Gimeno, J.R.; González, J.; Oliva, M.J.; García-Navarro, M.; López-Cuenca, A.; Espinosa, M.D.; et al. </w:t>
      </w:r>
      <w:r w:rsidRPr="004F446B">
        <w:rPr>
          <w:color w:val="auto"/>
        </w:rPr>
        <w:t xml:space="preserve">Exercise eco-doppler in hypertrophic cardiomyopathy patients. determinant factors of exercise intolerance. </w:t>
      </w:r>
      <w:r>
        <w:rPr>
          <w:i/>
          <w:iCs/>
          <w:color w:val="auto"/>
        </w:rPr>
        <w:t>Rev.</w:t>
      </w:r>
      <w:r w:rsidRPr="004F446B">
        <w:rPr>
          <w:i/>
          <w:iCs/>
          <w:color w:val="auto"/>
        </w:rPr>
        <w:t xml:space="preserve"> Esp</w:t>
      </w:r>
      <w:r>
        <w:rPr>
          <w:i/>
          <w:iCs/>
          <w:color w:val="auto"/>
        </w:rPr>
        <w:t>.</w:t>
      </w:r>
      <w:r w:rsidRPr="004F446B">
        <w:rPr>
          <w:i/>
          <w:iCs/>
          <w:color w:val="auto"/>
        </w:rPr>
        <w:t xml:space="preserve"> </w:t>
      </w:r>
      <w:proofErr w:type="spellStart"/>
      <w:r w:rsidRPr="004F446B">
        <w:rPr>
          <w:i/>
          <w:iCs/>
          <w:color w:val="auto"/>
        </w:rPr>
        <w:t>Cardiol</w:t>
      </w:r>
      <w:proofErr w:type="spellEnd"/>
      <w:r w:rsidRPr="004F446B">
        <w:rPr>
          <w:i/>
          <w:iCs/>
          <w:color w:val="auto"/>
        </w:rPr>
        <w:t xml:space="preserve">. </w:t>
      </w:r>
      <w:r>
        <w:rPr>
          <w:b/>
          <w:bCs/>
          <w:color w:val="auto"/>
        </w:rPr>
        <w:t>2013</w:t>
      </w:r>
      <w:r>
        <w:rPr>
          <w:bCs/>
          <w:color w:val="auto"/>
        </w:rPr>
        <w:t xml:space="preserve">, </w:t>
      </w:r>
      <w:r>
        <w:rPr>
          <w:bCs/>
          <w:i/>
          <w:color w:val="auto"/>
        </w:rPr>
        <w:t>66</w:t>
      </w:r>
      <w:r>
        <w:rPr>
          <w:bCs/>
          <w:color w:val="auto"/>
        </w:rPr>
        <w:t>, 98–103</w:t>
      </w:r>
      <w:r>
        <w:rPr>
          <w:color w:val="auto"/>
        </w:rPr>
        <w:t>.</w:t>
      </w:r>
    </w:p>
    <w:p w14:paraId="5BAA64DF"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Desai, M.Y.; </w:t>
      </w:r>
      <w:proofErr w:type="spellStart"/>
      <w:r w:rsidRPr="004F446B">
        <w:rPr>
          <w:color w:val="auto"/>
        </w:rPr>
        <w:t>Bhonsale</w:t>
      </w:r>
      <w:proofErr w:type="spellEnd"/>
      <w:r w:rsidRPr="004F446B">
        <w:rPr>
          <w:color w:val="auto"/>
        </w:rPr>
        <w:t xml:space="preserve">, A.; Patel, P.; </w:t>
      </w:r>
      <w:proofErr w:type="spellStart"/>
      <w:r w:rsidRPr="004F446B">
        <w:rPr>
          <w:color w:val="auto"/>
        </w:rPr>
        <w:t>Naji</w:t>
      </w:r>
      <w:proofErr w:type="spellEnd"/>
      <w:r w:rsidRPr="004F446B">
        <w:rPr>
          <w:color w:val="auto"/>
        </w:rPr>
        <w:t xml:space="preserve">, P.; </w:t>
      </w:r>
      <w:proofErr w:type="spellStart"/>
      <w:r w:rsidRPr="004F446B">
        <w:rPr>
          <w:color w:val="auto"/>
        </w:rPr>
        <w:t>Smedira</w:t>
      </w:r>
      <w:proofErr w:type="spellEnd"/>
      <w:r w:rsidRPr="004F446B">
        <w:rPr>
          <w:color w:val="auto"/>
        </w:rPr>
        <w:t xml:space="preserve">, N.G.; </w:t>
      </w:r>
      <w:proofErr w:type="spellStart"/>
      <w:r w:rsidRPr="004F446B">
        <w:rPr>
          <w:color w:val="auto"/>
        </w:rPr>
        <w:t>Thamilarasan</w:t>
      </w:r>
      <w:proofErr w:type="spellEnd"/>
      <w:r w:rsidRPr="004F446B">
        <w:rPr>
          <w:color w:val="auto"/>
        </w:rPr>
        <w:t xml:space="preserve">, M.; Lytle, B.W.; Lever, H.M. Exercise echocardiography in asymptomatic HCM. </w:t>
      </w:r>
      <w:r w:rsidRPr="004F446B">
        <w:rPr>
          <w:i/>
          <w:iCs/>
          <w:color w:val="auto"/>
        </w:rPr>
        <w:t>JACC Cardiovasc</w:t>
      </w:r>
      <w:r>
        <w:rPr>
          <w:i/>
          <w:iCs/>
          <w:color w:val="auto"/>
        </w:rPr>
        <w:t>.</w:t>
      </w:r>
      <w:r w:rsidRPr="004F446B">
        <w:rPr>
          <w:i/>
          <w:iCs/>
          <w:color w:val="auto"/>
        </w:rPr>
        <w:t xml:space="preserve"> Imaging</w:t>
      </w:r>
      <w:r w:rsidRPr="004F446B">
        <w:rPr>
          <w:color w:val="auto"/>
        </w:rPr>
        <w:t xml:space="preserve"> </w:t>
      </w:r>
      <w:r>
        <w:rPr>
          <w:b/>
          <w:bCs/>
          <w:color w:val="auto"/>
        </w:rPr>
        <w:t>2014</w:t>
      </w:r>
      <w:r>
        <w:rPr>
          <w:bCs/>
          <w:color w:val="auto"/>
        </w:rPr>
        <w:t xml:space="preserve">, </w:t>
      </w:r>
      <w:r>
        <w:rPr>
          <w:bCs/>
          <w:i/>
          <w:color w:val="auto"/>
        </w:rPr>
        <w:t>7</w:t>
      </w:r>
      <w:r>
        <w:rPr>
          <w:bCs/>
          <w:color w:val="auto"/>
        </w:rPr>
        <w:t>, 26–36</w:t>
      </w:r>
      <w:r>
        <w:rPr>
          <w:color w:val="auto"/>
        </w:rPr>
        <w:t>.</w:t>
      </w:r>
    </w:p>
    <w:p w14:paraId="32ECB7CC"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Dimitrow</w:t>
      </w:r>
      <w:proofErr w:type="spellEnd"/>
      <w:r w:rsidRPr="004F446B">
        <w:rPr>
          <w:color w:val="auto"/>
        </w:rPr>
        <w:t xml:space="preserve">, P.; </w:t>
      </w:r>
      <w:proofErr w:type="spellStart"/>
      <w:r w:rsidRPr="004F446B">
        <w:rPr>
          <w:color w:val="auto"/>
        </w:rPr>
        <w:t>Krzanowski</w:t>
      </w:r>
      <w:proofErr w:type="spellEnd"/>
      <w:r w:rsidRPr="004F446B">
        <w:rPr>
          <w:color w:val="auto"/>
        </w:rPr>
        <w:t xml:space="preserve">, M.; </w:t>
      </w:r>
      <w:proofErr w:type="spellStart"/>
      <w:r w:rsidRPr="004F446B">
        <w:rPr>
          <w:color w:val="auto"/>
        </w:rPr>
        <w:t>Bodzon</w:t>
      </w:r>
      <w:proofErr w:type="spellEnd"/>
      <w:r w:rsidRPr="004F446B">
        <w:rPr>
          <w:color w:val="auto"/>
        </w:rPr>
        <w:t xml:space="preserve">, W.; </w:t>
      </w:r>
      <w:proofErr w:type="spellStart"/>
      <w:r w:rsidRPr="004F446B">
        <w:rPr>
          <w:color w:val="auto"/>
        </w:rPr>
        <w:t>Szczeklik</w:t>
      </w:r>
      <w:proofErr w:type="spellEnd"/>
      <w:r w:rsidRPr="004F446B">
        <w:rPr>
          <w:color w:val="auto"/>
        </w:rPr>
        <w:t xml:space="preserve">, A.; </w:t>
      </w:r>
      <w:proofErr w:type="spellStart"/>
      <w:r w:rsidRPr="004F446B">
        <w:rPr>
          <w:color w:val="auto"/>
        </w:rPr>
        <w:t>Dubiel</w:t>
      </w:r>
      <w:proofErr w:type="spellEnd"/>
      <w:r w:rsidRPr="004F446B">
        <w:rPr>
          <w:color w:val="auto"/>
        </w:rPr>
        <w:t xml:space="preserve">, J.S. Coronary flow reserve and exercise capacity in hypertrophic cardiomyopathy. </w:t>
      </w:r>
      <w:r w:rsidRPr="004F446B">
        <w:rPr>
          <w:i/>
          <w:iCs/>
          <w:color w:val="auto"/>
        </w:rPr>
        <w:t xml:space="preserve">Heart </w:t>
      </w:r>
      <w:r>
        <w:rPr>
          <w:i/>
          <w:iCs/>
          <w:color w:val="auto"/>
        </w:rPr>
        <w:t xml:space="preserve">Vessel. </w:t>
      </w:r>
      <w:r>
        <w:rPr>
          <w:b/>
          <w:bCs/>
          <w:color w:val="auto"/>
        </w:rPr>
        <w:t>1996</w:t>
      </w:r>
      <w:r>
        <w:rPr>
          <w:bCs/>
          <w:color w:val="auto"/>
        </w:rPr>
        <w:t xml:space="preserve">, </w:t>
      </w:r>
      <w:r>
        <w:rPr>
          <w:bCs/>
          <w:i/>
          <w:color w:val="auto"/>
        </w:rPr>
        <w:t>11</w:t>
      </w:r>
      <w:r>
        <w:rPr>
          <w:bCs/>
          <w:color w:val="auto"/>
        </w:rPr>
        <w:t>, 160–164.</w:t>
      </w:r>
    </w:p>
    <w:p w14:paraId="3E53DF75" w14:textId="77777777" w:rsidR="000B16CE" w:rsidRPr="004F446B" w:rsidRDefault="000B16CE" w:rsidP="008C619F">
      <w:pPr>
        <w:pStyle w:val="MDPI71References"/>
        <w:numPr>
          <w:ilvl w:val="0"/>
          <w:numId w:val="4"/>
        </w:numPr>
        <w:ind w:left="425" w:hanging="425"/>
        <w:rPr>
          <w:color w:val="auto"/>
        </w:rPr>
      </w:pPr>
      <w:r w:rsidRPr="004F446B">
        <w:rPr>
          <w:color w:val="auto"/>
        </w:rPr>
        <w:t>Dumont, C.A.; Monserrat, L.; Peteiro, J.; Soler, R.; Rodriguez, E.; Bouzas, A.; Fernández, X.; Pérez, R.; Bouzas, B.; Castro-</w:t>
      </w:r>
      <w:proofErr w:type="spellStart"/>
      <w:r w:rsidRPr="004F446B">
        <w:rPr>
          <w:color w:val="auto"/>
        </w:rPr>
        <w:t>Beiras</w:t>
      </w:r>
      <w:proofErr w:type="spellEnd"/>
      <w:r w:rsidRPr="004F446B">
        <w:rPr>
          <w:color w:val="auto"/>
        </w:rPr>
        <w:t xml:space="preserve">, A. Relation of left ventricular chamber stiffness at rest to exercise capacity in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2007</w:t>
      </w:r>
      <w:r>
        <w:rPr>
          <w:bCs/>
          <w:color w:val="auto"/>
        </w:rPr>
        <w:t xml:space="preserve">, </w:t>
      </w:r>
      <w:r>
        <w:rPr>
          <w:bCs/>
          <w:i/>
          <w:color w:val="auto"/>
        </w:rPr>
        <w:t>99</w:t>
      </w:r>
      <w:r>
        <w:rPr>
          <w:bCs/>
          <w:color w:val="auto"/>
        </w:rPr>
        <w:t>, 1454–1457.</w:t>
      </w:r>
    </w:p>
    <w:p w14:paraId="32B056E2"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Efthimiadis</w:t>
      </w:r>
      <w:proofErr w:type="spellEnd"/>
      <w:r w:rsidRPr="004F446B">
        <w:rPr>
          <w:color w:val="auto"/>
        </w:rPr>
        <w:t xml:space="preserve">, G.K.; </w:t>
      </w:r>
      <w:proofErr w:type="spellStart"/>
      <w:r w:rsidRPr="004F446B">
        <w:rPr>
          <w:color w:val="auto"/>
        </w:rPr>
        <w:t>Giannakoulas</w:t>
      </w:r>
      <w:proofErr w:type="spellEnd"/>
      <w:r w:rsidRPr="004F446B">
        <w:rPr>
          <w:color w:val="auto"/>
        </w:rPr>
        <w:t xml:space="preserve">, G.; </w:t>
      </w:r>
      <w:proofErr w:type="spellStart"/>
      <w:r w:rsidRPr="004F446B">
        <w:rPr>
          <w:color w:val="auto"/>
        </w:rPr>
        <w:t>Parcharidou</w:t>
      </w:r>
      <w:proofErr w:type="spellEnd"/>
      <w:r w:rsidRPr="004F446B">
        <w:rPr>
          <w:color w:val="auto"/>
        </w:rPr>
        <w:t xml:space="preserve">, D.G.; </w:t>
      </w:r>
      <w:proofErr w:type="spellStart"/>
      <w:r w:rsidRPr="004F446B">
        <w:rPr>
          <w:color w:val="auto"/>
        </w:rPr>
        <w:t>Pagourelias</w:t>
      </w:r>
      <w:proofErr w:type="spellEnd"/>
      <w:r w:rsidRPr="004F446B">
        <w:rPr>
          <w:color w:val="auto"/>
        </w:rPr>
        <w:t xml:space="preserve">, E.D.; </w:t>
      </w:r>
      <w:proofErr w:type="spellStart"/>
      <w:r w:rsidRPr="004F446B">
        <w:rPr>
          <w:color w:val="auto"/>
        </w:rPr>
        <w:t>Kouidi</w:t>
      </w:r>
      <w:proofErr w:type="spellEnd"/>
      <w:r w:rsidRPr="004F446B">
        <w:rPr>
          <w:color w:val="auto"/>
        </w:rPr>
        <w:t xml:space="preserve">, E.J.; Spanos, G.; </w:t>
      </w:r>
      <w:proofErr w:type="spellStart"/>
      <w:r w:rsidRPr="004F446B">
        <w:rPr>
          <w:color w:val="auto"/>
        </w:rPr>
        <w:t>Kamperidis</w:t>
      </w:r>
      <w:proofErr w:type="spellEnd"/>
      <w:r w:rsidRPr="004F446B">
        <w:rPr>
          <w:color w:val="auto"/>
        </w:rPr>
        <w:t xml:space="preserve">, V.; </w:t>
      </w:r>
      <w:proofErr w:type="spellStart"/>
      <w:r w:rsidRPr="004F446B">
        <w:rPr>
          <w:color w:val="auto"/>
        </w:rPr>
        <w:t>Gavrielides</w:t>
      </w:r>
      <w:proofErr w:type="spellEnd"/>
      <w:r w:rsidRPr="004F446B">
        <w:rPr>
          <w:color w:val="auto"/>
        </w:rPr>
        <w:t xml:space="preserve">, S.; </w:t>
      </w:r>
      <w:proofErr w:type="spellStart"/>
      <w:r w:rsidRPr="004F446B">
        <w:rPr>
          <w:color w:val="auto"/>
        </w:rPr>
        <w:t>Karvounis</w:t>
      </w:r>
      <w:proofErr w:type="spellEnd"/>
      <w:r w:rsidRPr="004F446B">
        <w:rPr>
          <w:color w:val="auto"/>
        </w:rPr>
        <w:t xml:space="preserve">, H.; </w:t>
      </w:r>
      <w:proofErr w:type="spellStart"/>
      <w:r w:rsidRPr="004F446B">
        <w:rPr>
          <w:color w:val="auto"/>
        </w:rPr>
        <w:t>Styliadis</w:t>
      </w:r>
      <w:proofErr w:type="spellEnd"/>
      <w:r w:rsidRPr="004F446B">
        <w:rPr>
          <w:color w:val="auto"/>
        </w:rPr>
        <w:t xml:space="preserve">, I.; et al. Chronotropic incompetence and its relation to exercise intolerance in hypertrophic cardiomyopathy. </w:t>
      </w:r>
      <w:r w:rsidRPr="004F446B">
        <w:rPr>
          <w:i/>
          <w:iCs/>
          <w:color w:val="auto"/>
        </w:rPr>
        <w:t>Int</w:t>
      </w:r>
      <w:r>
        <w:rPr>
          <w:i/>
          <w:iCs/>
          <w:color w:val="auto"/>
        </w:rPr>
        <w:t>.</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2011</w:t>
      </w:r>
      <w:r>
        <w:rPr>
          <w:bCs/>
          <w:color w:val="auto"/>
        </w:rPr>
        <w:t xml:space="preserve">, </w:t>
      </w:r>
      <w:r>
        <w:rPr>
          <w:bCs/>
          <w:i/>
          <w:color w:val="auto"/>
        </w:rPr>
        <w:t>153</w:t>
      </w:r>
      <w:r>
        <w:rPr>
          <w:bCs/>
          <w:color w:val="auto"/>
        </w:rPr>
        <w:t>, 179–184.</w:t>
      </w:r>
    </w:p>
    <w:p w14:paraId="3201EB9A"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Ferguson, M.E.; Sachdeva, R.; Gillespie, S.; Morrow, G.; Border, W. Tissue doppler imaging during exercise stress echocardiography demonstrates a mechanism for impaired exercise performance in children with hypertrophic cardiomyopathy. </w:t>
      </w:r>
      <w:r w:rsidRPr="004F446B">
        <w:rPr>
          <w:i/>
          <w:iCs/>
          <w:color w:val="auto"/>
        </w:rPr>
        <w:t>Electrocardiography</w:t>
      </w:r>
      <w:r w:rsidRPr="004F446B">
        <w:rPr>
          <w:color w:val="auto"/>
        </w:rPr>
        <w:t xml:space="preserve"> </w:t>
      </w:r>
      <w:r>
        <w:rPr>
          <w:b/>
          <w:bCs/>
          <w:color w:val="auto"/>
        </w:rPr>
        <w:t>2016</w:t>
      </w:r>
      <w:r>
        <w:rPr>
          <w:bCs/>
          <w:color w:val="auto"/>
        </w:rPr>
        <w:t xml:space="preserve">, </w:t>
      </w:r>
      <w:r>
        <w:rPr>
          <w:bCs/>
          <w:i/>
          <w:color w:val="auto"/>
        </w:rPr>
        <w:t>33</w:t>
      </w:r>
      <w:r>
        <w:rPr>
          <w:bCs/>
          <w:color w:val="auto"/>
        </w:rPr>
        <w:t>, 1718–1725.</w:t>
      </w:r>
    </w:p>
    <w:p w14:paraId="0EB84213" w14:textId="77777777" w:rsidR="000B16CE" w:rsidRPr="00BA56C5" w:rsidRDefault="000B16CE" w:rsidP="008C619F">
      <w:pPr>
        <w:pStyle w:val="MDPI71References"/>
        <w:numPr>
          <w:ilvl w:val="0"/>
          <w:numId w:val="4"/>
        </w:numPr>
        <w:ind w:left="425" w:hanging="425"/>
        <w:rPr>
          <w:color w:val="auto"/>
        </w:rPr>
      </w:pPr>
      <w:proofErr w:type="spellStart"/>
      <w:r w:rsidRPr="004F446B">
        <w:rPr>
          <w:color w:val="auto"/>
        </w:rPr>
        <w:t>Finocchiaro</w:t>
      </w:r>
      <w:proofErr w:type="spellEnd"/>
      <w:r w:rsidRPr="004F446B">
        <w:rPr>
          <w:color w:val="auto"/>
        </w:rPr>
        <w:t xml:space="preserve">, G.; Haddad, F.; Knowles, J.; </w:t>
      </w:r>
      <w:proofErr w:type="spellStart"/>
      <w:r w:rsidRPr="004F446B">
        <w:rPr>
          <w:color w:val="auto"/>
        </w:rPr>
        <w:t>Caleshu</w:t>
      </w:r>
      <w:proofErr w:type="spellEnd"/>
      <w:r w:rsidRPr="004F446B">
        <w:rPr>
          <w:color w:val="auto"/>
        </w:rPr>
        <w:t xml:space="preserve">, C.; </w:t>
      </w:r>
      <w:r w:rsidRPr="00BA56C5">
        <w:rPr>
          <w:color w:val="auto"/>
        </w:rPr>
        <w:t xml:space="preserve">Pavlovic, A.; Homburger, J.; </w:t>
      </w:r>
      <w:proofErr w:type="spellStart"/>
      <w:r w:rsidRPr="00BA56C5">
        <w:rPr>
          <w:color w:val="auto"/>
        </w:rPr>
        <w:t>Shmargad</w:t>
      </w:r>
      <w:proofErr w:type="spellEnd"/>
      <w:r w:rsidRPr="00BA56C5">
        <w:rPr>
          <w:color w:val="auto"/>
        </w:rPr>
        <w:t xml:space="preserve">, Y.; </w:t>
      </w:r>
      <w:proofErr w:type="spellStart"/>
      <w:r w:rsidRPr="00BA56C5">
        <w:rPr>
          <w:color w:val="auto"/>
        </w:rPr>
        <w:t>Sinagra</w:t>
      </w:r>
      <w:proofErr w:type="spellEnd"/>
      <w:r w:rsidRPr="00BA56C5">
        <w:rPr>
          <w:color w:val="auto"/>
        </w:rPr>
        <w:t xml:space="preserve">, G.; </w:t>
      </w:r>
      <w:proofErr w:type="spellStart"/>
      <w:r w:rsidRPr="00BA56C5">
        <w:rPr>
          <w:color w:val="auto"/>
        </w:rPr>
        <w:t>Magavern</w:t>
      </w:r>
      <w:proofErr w:type="spellEnd"/>
      <w:r w:rsidRPr="00BA56C5">
        <w:rPr>
          <w:color w:val="auto"/>
        </w:rPr>
        <w:t xml:space="preserve">, E.; Wong, M.; et al. Cardiopulmonary responses and prognosis in hypertrophic cardiomyopathy: A potential role for comprehensive noninvasive hemodynamic assessment. </w:t>
      </w:r>
      <w:r w:rsidRPr="00BA56C5">
        <w:rPr>
          <w:i/>
          <w:iCs/>
          <w:color w:val="auto"/>
        </w:rPr>
        <w:t>JACC Heart Fail</w:t>
      </w:r>
      <w:r w:rsidRPr="00BA56C5">
        <w:rPr>
          <w:color w:val="auto"/>
        </w:rPr>
        <w:t xml:space="preserve">. </w:t>
      </w:r>
      <w:r>
        <w:rPr>
          <w:b/>
          <w:bCs/>
          <w:color w:val="auto"/>
        </w:rPr>
        <w:t>2015</w:t>
      </w:r>
      <w:r>
        <w:rPr>
          <w:bCs/>
          <w:color w:val="auto"/>
        </w:rPr>
        <w:t xml:space="preserve">, </w:t>
      </w:r>
      <w:r>
        <w:rPr>
          <w:bCs/>
          <w:i/>
          <w:color w:val="auto"/>
        </w:rPr>
        <w:t>3</w:t>
      </w:r>
      <w:r>
        <w:rPr>
          <w:bCs/>
          <w:color w:val="auto"/>
        </w:rPr>
        <w:t>, 408–418</w:t>
      </w:r>
      <w:r w:rsidRPr="00BA56C5">
        <w:rPr>
          <w:bCs/>
          <w:color w:val="auto"/>
        </w:rPr>
        <w:t>.</w:t>
      </w:r>
    </w:p>
    <w:p w14:paraId="4DCB7F2F"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rPr>
        <w:t>Frenneaux</w:t>
      </w:r>
      <w:proofErr w:type="spellEnd"/>
      <w:r w:rsidRPr="00BA56C5">
        <w:rPr>
          <w:color w:val="auto"/>
        </w:rPr>
        <w:t xml:space="preserve">, M.P.; Porter, A.; </w:t>
      </w:r>
      <w:proofErr w:type="spellStart"/>
      <w:r w:rsidRPr="00BA56C5">
        <w:rPr>
          <w:color w:val="auto"/>
        </w:rPr>
        <w:t>Caforio</w:t>
      </w:r>
      <w:proofErr w:type="spellEnd"/>
      <w:r w:rsidRPr="00BA56C5">
        <w:rPr>
          <w:color w:val="auto"/>
        </w:rPr>
        <w:t xml:space="preserve">, A.L.; </w:t>
      </w:r>
      <w:proofErr w:type="spellStart"/>
      <w:r w:rsidRPr="00BA56C5">
        <w:rPr>
          <w:color w:val="auto"/>
        </w:rPr>
        <w:t>Odawara</w:t>
      </w:r>
      <w:proofErr w:type="spellEnd"/>
      <w:r w:rsidRPr="00BA56C5">
        <w:rPr>
          <w:color w:val="auto"/>
        </w:rPr>
        <w:t xml:space="preserve">, H.; </w:t>
      </w:r>
      <w:proofErr w:type="spellStart"/>
      <w:r w:rsidRPr="00BA56C5">
        <w:rPr>
          <w:color w:val="auto"/>
        </w:rPr>
        <w:t>Counihan</w:t>
      </w:r>
      <w:proofErr w:type="spellEnd"/>
      <w:r w:rsidRPr="00BA56C5">
        <w:rPr>
          <w:color w:val="auto"/>
        </w:rPr>
        <w:t xml:space="preserve">, P.J.; McKenna, W.J. Determinants of exercise capacity in hypertrophic cardiomyopathy. </w:t>
      </w:r>
      <w:r w:rsidRPr="00BA56C5">
        <w:rPr>
          <w:i/>
          <w:iCs/>
          <w:color w:val="auto"/>
        </w:rPr>
        <w:t xml:space="preserve">J. Am. Coll. </w:t>
      </w:r>
      <w:proofErr w:type="spellStart"/>
      <w:r w:rsidRPr="00BA56C5">
        <w:rPr>
          <w:i/>
          <w:iCs/>
          <w:color w:val="auto"/>
        </w:rPr>
        <w:t>Cardiol</w:t>
      </w:r>
      <w:proofErr w:type="spellEnd"/>
      <w:r w:rsidRPr="00BA56C5">
        <w:rPr>
          <w:color w:val="auto"/>
        </w:rPr>
        <w:t xml:space="preserve">. </w:t>
      </w:r>
      <w:r>
        <w:rPr>
          <w:b/>
          <w:bCs/>
          <w:color w:val="auto"/>
        </w:rPr>
        <w:t>1989</w:t>
      </w:r>
      <w:r>
        <w:rPr>
          <w:bCs/>
          <w:color w:val="auto"/>
        </w:rPr>
        <w:t xml:space="preserve">, </w:t>
      </w:r>
      <w:r>
        <w:rPr>
          <w:bCs/>
          <w:i/>
          <w:color w:val="auto"/>
        </w:rPr>
        <w:t>13</w:t>
      </w:r>
      <w:r>
        <w:rPr>
          <w:bCs/>
          <w:color w:val="auto"/>
        </w:rPr>
        <w:t>, 1521–1526</w:t>
      </w:r>
      <w:r w:rsidRPr="00BA56C5">
        <w:rPr>
          <w:bCs/>
          <w:color w:val="auto"/>
        </w:rPr>
        <w:t>.</w:t>
      </w:r>
    </w:p>
    <w:p w14:paraId="12DB1554" w14:textId="77777777" w:rsidR="000B16CE" w:rsidRPr="004F446B" w:rsidRDefault="000B16CE" w:rsidP="008C619F">
      <w:pPr>
        <w:pStyle w:val="MDPI71References"/>
        <w:numPr>
          <w:ilvl w:val="0"/>
          <w:numId w:val="4"/>
        </w:numPr>
        <w:ind w:left="425" w:hanging="425"/>
        <w:rPr>
          <w:color w:val="auto"/>
        </w:rPr>
      </w:pPr>
      <w:r w:rsidRPr="00BA56C5">
        <w:rPr>
          <w:color w:val="auto"/>
        </w:rPr>
        <w:t xml:space="preserve">Ghiselli, L.; </w:t>
      </w:r>
      <w:proofErr w:type="spellStart"/>
      <w:r w:rsidRPr="00BA56C5">
        <w:rPr>
          <w:color w:val="auto"/>
        </w:rPr>
        <w:t>Marchi</w:t>
      </w:r>
      <w:proofErr w:type="spellEnd"/>
      <w:r w:rsidRPr="00BA56C5">
        <w:rPr>
          <w:color w:val="auto"/>
        </w:rPr>
        <w:t xml:space="preserve">, A.; </w:t>
      </w:r>
      <w:proofErr w:type="spellStart"/>
      <w:r w:rsidRPr="00BA56C5">
        <w:rPr>
          <w:color w:val="auto"/>
        </w:rPr>
        <w:t>Fumagalli</w:t>
      </w:r>
      <w:proofErr w:type="spellEnd"/>
      <w:r w:rsidRPr="00BA56C5">
        <w:rPr>
          <w:color w:val="auto"/>
        </w:rPr>
        <w:t xml:space="preserve">, C.; </w:t>
      </w:r>
      <w:proofErr w:type="spellStart"/>
      <w:r w:rsidRPr="00BA56C5">
        <w:rPr>
          <w:color w:val="auto"/>
        </w:rPr>
        <w:t>Maurizi</w:t>
      </w:r>
      <w:proofErr w:type="spellEnd"/>
      <w:r w:rsidRPr="00BA56C5">
        <w:rPr>
          <w:color w:val="auto"/>
        </w:rPr>
        <w:t xml:space="preserve">, N.; </w:t>
      </w:r>
      <w:proofErr w:type="spellStart"/>
      <w:r w:rsidRPr="00BA56C5">
        <w:rPr>
          <w:color w:val="auto"/>
        </w:rPr>
        <w:t>Oddo</w:t>
      </w:r>
      <w:proofErr w:type="spellEnd"/>
      <w:r w:rsidRPr="00BA56C5">
        <w:rPr>
          <w:color w:val="auto"/>
        </w:rPr>
        <w:t xml:space="preserve">, A.; </w:t>
      </w:r>
      <w:proofErr w:type="spellStart"/>
      <w:r w:rsidRPr="00BA56C5">
        <w:rPr>
          <w:color w:val="auto"/>
        </w:rPr>
        <w:t>Pieri</w:t>
      </w:r>
      <w:proofErr w:type="spellEnd"/>
      <w:r w:rsidRPr="00BA56C5">
        <w:rPr>
          <w:color w:val="auto"/>
        </w:rPr>
        <w:t xml:space="preserve">, F.; </w:t>
      </w:r>
      <w:proofErr w:type="spellStart"/>
      <w:r w:rsidRPr="00BA56C5">
        <w:rPr>
          <w:color w:val="auto"/>
        </w:rPr>
        <w:t>Girolami</w:t>
      </w:r>
      <w:proofErr w:type="spellEnd"/>
      <w:r w:rsidRPr="00BA56C5">
        <w:rPr>
          <w:color w:val="auto"/>
        </w:rPr>
        <w:t xml:space="preserve">, F.; </w:t>
      </w:r>
      <w:proofErr w:type="spellStart"/>
      <w:r w:rsidRPr="00BA56C5">
        <w:rPr>
          <w:color w:val="auto"/>
        </w:rPr>
        <w:t>Rowin</w:t>
      </w:r>
      <w:proofErr w:type="spellEnd"/>
      <w:r w:rsidRPr="00BA56C5">
        <w:rPr>
          <w:color w:val="auto"/>
        </w:rPr>
        <w:t xml:space="preserve">, E.; </w:t>
      </w:r>
      <w:proofErr w:type="spellStart"/>
      <w:r w:rsidRPr="00BA56C5">
        <w:rPr>
          <w:color w:val="auto"/>
        </w:rPr>
        <w:t>Mazzarotto</w:t>
      </w:r>
      <w:proofErr w:type="spellEnd"/>
      <w:r w:rsidRPr="00BA56C5">
        <w:rPr>
          <w:color w:val="auto"/>
        </w:rPr>
        <w:t xml:space="preserve">, F.; </w:t>
      </w:r>
      <w:proofErr w:type="spellStart"/>
      <w:r w:rsidRPr="00BA56C5">
        <w:rPr>
          <w:color w:val="auto"/>
        </w:rPr>
        <w:t>Cicoira</w:t>
      </w:r>
      <w:proofErr w:type="spellEnd"/>
      <w:r w:rsidRPr="00BA56C5">
        <w:rPr>
          <w:color w:val="auto"/>
        </w:rPr>
        <w:t>, M.; et al. Sex-related differences in exercise performance and outcome of</w:t>
      </w:r>
      <w:r w:rsidRPr="004F446B">
        <w:rPr>
          <w:color w:val="auto"/>
        </w:rPr>
        <w:t xml:space="preserve"> patients with hypertrophic cardiomyopathy. </w:t>
      </w:r>
      <w:r w:rsidRPr="004F446B">
        <w:rPr>
          <w:i/>
          <w:iCs/>
          <w:color w:val="auto"/>
        </w:rPr>
        <w:t>Eur</w:t>
      </w:r>
      <w:r>
        <w:rPr>
          <w:i/>
          <w:iCs/>
          <w:color w:val="auto"/>
        </w:rPr>
        <w:t>.</w:t>
      </w:r>
      <w:r w:rsidRPr="004F446B">
        <w:rPr>
          <w:i/>
          <w:iCs/>
          <w:color w:val="auto"/>
        </w:rPr>
        <w:t xml:space="preserve"> </w:t>
      </w:r>
      <w:r>
        <w:rPr>
          <w:i/>
          <w:iCs/>
          <w:color w:val="auto"/>
        </w:rPr>
        <w:t>J.</w:t>
      </w:r>
      <w:r w:rsidRPr="004F446B">
        <w:rPr>
          <w:i/>
          <w:iCs/>
          <w:color w:val="auto"/>
        </w:rPr>
        <w:t xml:space="preserve"> Prev</w:t>
      </w:r>
      <w:r>
        <w:rPr>
          <w:i/>
          <w:iCs/>
          <w:color w:val="auto"/>
        </w:rPr>
        <w:t>.</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2019</w:t>
      </w:r>
      <w:r>
        <w:rPr>
          <w:bCs/>
          <w:color w:val="auto"/>
        </w:rPr>
        <w:t xml:space="preserve">, </w:t>
      </w:r>
      <w:r>
        <w:rPr>
          <w:bCs/>
          <w:i/>
          <w:color w:val="auto"/>
        </w:rPr>
        <w:t>27</w:t>
      </w:r>
      <w:r>
        <w:rPr>
          <w:bCs/>
          <w:color w:val="auto"/>
        </w:rPr>
        <w:t>, 1821–1831</w:t>
      </w:r>
      <w:r>
        <w:rPr>
          <w:color w:val="auto"/>
        </w:rPr>
        <w:t>.</w:t>
      </w:r>
    </w:p>
    <w:p w14:paraId="79CDF687" w14:textId="77777777" w:rsidR="000B16CE" w:rsidRPr="004F446B" w:rsidRDefault="000B16CE" w:rsidP="008C619F">
      <w:pPr>
        <w:pStyle w:val="MDPI71References"/>
        <w:numPr>
          <w:ilvl w:val="0"/>
          <w:numId w:val="4"/>
        </w:numPr>
        <w:ind w:left="425" w:hanging="425"/>
        <w:rPr>
          <w:color w:val="auto"/>
        </w:rPr>
      </w:pPr>
      <w:r w:rsidRPr="004F446B">
        <w:rPr>
          <w:color w:val="auto"/>
        </w:rPr>
        <w:t>Ha, J.W.; Cho, J.R.; Kim</w:t>
      </w:r>
      <w:r>
        <w:rPr>
          <w:color w:val="auto"/>
        </w:rPr>
        <w:t>,</w:t>
      </w:r>
      <w:r w:rsidRPr="004F446B">
        <w:rPr>
          <w:color w:val="auto"/>
        </w:rPr>
        <w:t xml:space="preserve"> J.M.; </w:t>
      </w:r>
      <w:proofErr w:type="spellStart"/>
      <w:r w:rsidRPr="004F446B">
        <w:rPr>
          <w:color w:val="auto"/>
        </w:rPr>
        <w:t>Ahn</w:t>
      </w:r>
      <w:proofErr w:type="spellEnd"/>
      <w:r w:rsidRPr="004F446B">
        <w:rPr>
          <w:color w:val="auto"/>
        </w:rPr>
        <w:t xml:space="preserve">, J.A.; Choi, E.Y.; Kang, S.M.; Rim, S.J.; Chung, N. Tissue doppler-derived indices predict exercise capacity in patients with apical hypertrophic cardiomyopathy. </w:t>
      </w:r>
      <w:r w:rsidRPr="004F446B">
        <w:rPr>
          <w:i/>
          <w:iCs/>
          <w:color w:val="auto"/>
        </w:rPr>
        <w:t>Chest</w:t>
      </w:r>
      <w:r w:rsidRPr="004F446B">
        <w:rPr>
          <w:color w:val="auto"/>
        </w:rPr>
        <w:t xml:space="preserve"> </w:t>
      </w:r>
      <w:r>
        <w:rPr>
          <w:b/>
          <w:bCs/>
          <w:color w:val="auto"/>
        </w:rPr>
        <w:t>2005</w:t>
      </w:r>
      <w:r>
        <w:rPr>
          <w:bCs/>
          <w:color w:val="auto"/>
        </w:rPr>
        <w:t xml:space="preserve">, </w:t>
      </w:r>
      <w:r>
        <w:rPr>
          <w:bCs/>
          <w:i/>
          <w:color w:val="auto"/>
        </w:rPr>
        <w:t>128</w:t>
      </w:r>
      <w:r>
        <w:rPr>
          <w:bCs/>
          <w:color w:val="auto"/>
        </w:rPr>
        <w:t>, 3428–3433.</w:t>
      </w:r>
    </w:p>
    <w:p w14:paraId="6D779007" w14:textId="77777777" w:rsidR="000B16CE" w:rsidRDefault="000B16CE" w:rsidP="008C619F">
      <w:pPr>
        <w:pStyle w:val="MDPI71References"/>
        <w:numPr>
          <w:ilvl w:val="0"/>
          <w:numId w:val="4"/>
        </w:numPr>
        <w:ind w:left="425" w:hanging="425"/>
        <w:rPr>
          <w:color w:val="auto"/>
        </w:rPr>
      </w:pPr>
      <w:r w:rsidRPr="004F446B">
        <w:rPr>
          <w:color w:val="auto"/>
          <w:lang w:val="es-ES"/>
        </w:rPr>
        <w:t xml:space="preserve">Hernández-Romero, D.; Jover, E.; Martínez, C.M.; Andreu-Cayuelas, J.M.; </w:t>
      </w:r>
      <w:proofErr w:type="spellStart"/>
      <w:r w:rsidRPr="004F446B">
        <w:rPr>
          <w:color w:val="auto"/>
          <w:lang w:val="es-ES"/>
        </w:rPr>
        <w:t>Orenes</w:t>
      </w:r>
      <w:proofErr w:type="spellEnd"/>
      <w:r w:rsidRPr="004F446B">
        <w:rPr>
          <w:color w:val="auto"/>
          <w:lang w:val="es-ES"/>
        </w:rPr>
        <w:t>-Piñero, E.; Romero-</w:t>
      </w:r>
      <w:proofErr w:type="spellStart"/>
      <w:r w:rsidRPr="004F446B">
        <w:rPr>
          <w:color w:val="auto"/>
          <w:lang w:val="es-ES"/>
        </w:rPr>
        <w:t>Aniorte</w:t>
      </w:r>
      <w:proofErr w:type="spellEnd"/>
      <w:r w:rsidRPr="004F446B">
        <w:rPr>
          <w:color w:val="auto"/>
          <w:lang w:val="es-ES"/>
        </w:rPr>
        <w:t xml:space="preserve">, A.I.; Casas, T.; Cánovas, S.; Montero-Argudo, J.A.; Valdés, M.; et al. </w:t>
      </w:r>
      <w:r w:rsidRPr="004F446B">
        <w:rPr>
          <w:color w:val="auto"/>
        </w:rPr>
        <w:t>TWEAK and NT-</w:t>
      </w:r>
      <w:proofErr w:type="spellStart"/>
      <w:r w:rsidRPr="004F446B">
        <w:rPr>
          <w:color w:val="auto"/>
        </w:rPr>
        <w:t>proBNP</w:t>
      </w:r>
      <w:proofErr w:type="spellEnd"/>
      <w:r w:rsidRPr="004F446B">
        <w:rPr>
          <w:color w:val="auto"/>
        </w:rPr>
        <w:t xml:space="preserve"> levels predict exercise capacity in hypertrophic cardiomyopathy. </w:t>
      </w:r>
      <w:r w:rsidRPr="004F446B">
        <w:rPr>
          <w:i/>
          <w:iCs/>
          <w:color w:val="auto"/>
        </w:rPr>
        <w:t>Eur</w:t>
      </w:r>
      <w:r>
        <w:rPr>
          <w:i/>
          <w:iCs/>
          <w:color w:val="auto"/>
        </w:rPr>
        <w:t>.</w:t>
      </w:r>
      <w:r w:rsidRPr="004F446B">
        <w:rPr>
          <w:i/>
          <w:iCs/>
          <w:color w:val="auto"/>
        </w:rPr>
        <w:t xml:space="preserve"> </w:t>
      </w:r>
      <w:r>
        <w:rPr>
          <w:i/>
          <w:iCs/>
          <w:color w:val="auto"/>
        </w:rPr>
        <w:t>J.</w:t>
      </w:r>
      <w:r w:rsidRPr="004F446B">
        <w:rPr>
          <w:i/>
          <w:iCs/>
          <w:color w:val="auto"/>
        </w:rPr>
        <w:t xml:space="preserve"> Clin</w:t>
      </w:r>
      <w:r>
        <w:rPr>
          <w:i/>
          <w:iCs/>
          <w:color w:val="auto"/>
        </w:rPr>
        <w:t>.</w:t>
      </w:r>
      <w:r w:rsidRPr="004F446B">
        <w:rPr>
          <w:i/>
          <w:iCs/>
          <w:color w:val="auto"/>
        </w:rPr>
        <w:t xml:space="preserve"> </w:t>
      </w:r>
      <w:proofErr w:type="spellStart"/>
      <w:r w:rsidRPr="004F446B">
        <w:rPr>
          <w:i/>
          <w:iCs/>
          <w:color w:val="auto"/>
        </w:rPr>
        <w:t>Invest</w:t>
      </w:r>
      <w:r>
        <w:rPr>
          <w:i/>
          <w:iCs/>
          <w:color w:val="auto"/>
        </w:rPr>
        <w:t>ig</w:t>
      </w:r>
      <w:proofErr w:type="spellEnd"/>
      <w:r w:rsidRPr="004F446B">
        <w:rPr>
          <w:color w:val="auto"/>
        </w:rPr>
        <w:t xml:space="preserve">. </w:t>
      </w:r>
      <w:r>
        <w:rPr>
          <w:b/>
          <w:bCs/>
          <w:color w:val="auto"/>
        </w:rPr>
        <w:t>2015</w:t>
      </w:r>
      <w:r>
        <w:rPr>
          <w:bCs/>
          <w:color w:val="auto"/>
        </w:rPr>
        <w:t xml:space="preserve">, </w:t>
      </w:r>
      <w:r>
        <w:rPr>
          <w:bCs/>
          <w:i/>
          <w:color w:val="auto"/>
        </w:rPr>
        <w:t>45</w:t>
      </w:r>
      <w:r>
        <w:rPr>
          <w:bCs/>
          <w:color w:val="auto"/>
        </w:rPr>
        <w:t>, 179–186.</w:t>
      </w:r>
    </w:p>
    <w:p w14:paraId="1EDD4778"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Jones, S.; Elliott, P.M.; Sharma, S.; McKenna, W.J.; </w:t>
      </w:r>
      <w:proofErr w:type="spellStart"/>
      <w:r w:rsidRPr="004F446B">
        <w:rPr>
          <w:color w:val="auto"/>
        </w:rPr>
        <w:t>Whipp</w:t>
      </w:r>
      <w:proofErr w:type="spellEnd"/>
      <w:r w:rsidRPr="004F446B">
        <w:rPr>
          <w:color w:val="auto"/>
        </w:rPr>
        <w:t xml:space="preserve">, B.J. Cardiopulmonary responses to exercise in patients with hypertrophic cardiomyopathy. </w:t>
      </w:r>
      <w:r w:rsidRPr="004F446B">
        <w:rPr>
          <w:i/>
          <w:iCs/>
          <w:color w:val="auto"/>
        </w:rPr>
        <w:t>Heart</w:t>
      </w:r>
      <w:r w:rsidRPr="004F446B">
        <w:rPr>
          <w:color w:val="auto"/>
        </w:rPr>
        <w:t xml:space="preserve"> </w:t>
      </w:r>
      <w:r>
        <w:rPr>
          <w:b/>
          <w:bCs/>
          <w:color w:val="auto"/>
        </w:rPr>
        <w:t>1998</w:t>
      </w:r>
      <w:r>
        <w:rPr>
          <w:bCs/>
          <w:color w:val="auto"/>
        </w:rPr>
        <w:t xml:space="preserve">, </w:t>
      </w:r>
      <w:r>
        <w:rPr>
          <w:bCs/>
          <w:i/>
          <w:color w:val="auto"/>
        </w:rPr>
        <w:t>80</w:t>
      </w:r>
      <w:r>
        <w:rPr>
          <w:bCs/>
          <w:color w:val="auto"/>
        </w:rPr>
        <w:t>, 60–67</w:t>
      </w:r>
      <w:r>
        <w:rPr>
          <w:color w:val="auto"/>
        </w:rPr>
        <w:t>.</w:t>
      </w:r>
    </w:p>
    <w:p w14:paraId="2A0B81DD" w14:textId="77777777" w:rsidR="000B16CE" w:rsidRPr="004F446B" w:rsidRDefault="000B16CE" w:rsidP="008C619F">
      <w:pPr>
        <w:pStyle w:val="MDPI71References"/>
        <w:numPr>
          <w:ilvl w:val="0"/>
          <w:numId w:val="4"/>
        </w:numPr>
        <w:ind w:left="425" w:hanging="425"/>
        <w:rPr>
          <w:color w:val="auto"/>
        </w:rPr>
      </w:pPr>
      <w:r w:rsidRPr="004F446B">
        <w:rPr>
          <w:color w:val="auto"/>
        </w:rPr>
        <w:lastRenderedPageBreak/>
        <w:t xml:space="preserve">Kim, H.K.; Kim, Y.J.; Sohn, D.W.; Park, Y.B.; Choi, Y.S. Transthoracic echocardiographic evaluation of coronary flow reserve in patients with hypertrophic cardiomyopathy. </w:t>
      </w:r>
      <w:r w:rsidRPr="004F446B">
        <w:rPr>
          <w:i/>
          <w:iCs/>
          <w:color w:val="auto"/>
        </w:rPr>
        <w:t>Int</w:t>
      </w:r>
      <w:r>
        <w:rPr>
          <w:i/>
          <w:iCs/>
          <w:color w:val="auto"/>
        </w:rPr>
        <w:t>.</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2004</w:t>
      </w:r>
      <w:r>
        <w:rPr>
          <w:bCs/>
          <w:color w:val="auto"/>
        </w:rPr>
        <w:t xml:space="preserve">, </w:t>
      </w:r>
      <w:r>
        <w:rPr>
          <w:bCs/>
          <w:i/>
          <w:color w:val="auto"/>
        </w:rPr>
        <w:t>94</w:t>
      </w:r>
      <w:r>
        <w:rPr>
          <w:bCs/>
          <w:color w:val="auto"/>
        </w:rPr>
        <w:t>, 167–171.</w:t>
      </w:r>
    </w:p>
    <w:p w14:paraId="1681C8C4"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Kitaoka</w:t>
      </w:r>
      <w:proofErr w:type="spellEnd"/>
      <w:r w:rsidRPr="004F446B">
        <w:rPr>
          <w:color w:val="auto"/>
        </w:rPr>
        <w:t xml:space="preserve">, H.; Kubo, T.; Okawa, M.; </w:t>
      </w:r>
      <w:proofErr w:type="spellStart"/>
      <w:r w:rsidRPr="004F446B">
        <w:rPr>
          <w:color w:val="auto"/>
        </w:rPr>
        <w:t>Hirota</w:t>
      </w:r>
      <w:proofErr w:type="spellEnd"/>
      <w:r w:rsidRPr="004F446B">
        <w:rPr>
          <w:color w:val="auto"/>
        </w:rPr>
        <w:t xml:space="preserve">, T.; </w:t>
      </w:r>
      <w:proofErr w:type="spellStart"/>
      <w:r w:rsidRPr="004F446B">
        <w:rPr>
          <w:color w:val="auto"/>
        </w:rPr>
        <w:t>Hayato</w:t>
      </w:r>
      <w:proofErr w:type="spellEnd"/>
      <w:r w:rsidRPr="004F446B">
        <w:rPr>
          <w:color w:val="auto"/>
        </w:rPr>
        <w:t xml:space="preserve">, K.; </w:t>
      </w:r>
      <w:proofErr w:type="spellStart"/>
      <w:r w:rsidRPr="004F446B">
        <w:rPr>
          <w:color w:val="auto"/>
        </w:rPr>
        <w:t>Yamakasi</w:t>
      </w:r>
      <w:proofErr w:type="spellEnd"/>
      <w:r w:rsidRPr="004F446B">
        <w:rPr>
          <w:color w:val="auto"/>
        </w:rPr>
        <w:t xml:space="preserve">, N.; Matsumura, Y.; Doi, Y.L. Utility of tissue doppler imaging to predict exercise capacity in hypertrophic cardiomyopathy: Comparison with B-type natriuretic peptide.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2009</w:t>
      </w:r>
      <w:r>
        <w:rPr>
          <w:bCs/>
          <w:color w:val="auto"/>
        </w:rPr>
        <w:t xml:space="preserve">, </w:t>
      </w:r>
      <w:r>
        <w:rPr>
          <w:bCs/>
          <w:i/>
          <w:color w:val="auto"/>
        </w:rPr>
        <w:t>53</w:t>
      </w:r>
      <w:r>
        <w:rPr>
          <w:bCs/>
          <w:color w:val="auto"/>
        </w:rPr>
        <w:t>, 361–367.</w:t>
      </w:r>
    </w:p>
    <w:p w14:paraId="0BFFB3A4"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Kjaergaard</w:t>
      </w:r>
      <w:proofErr w:type="spellEnd"/>
      <w:r w:rsidRPr="004F446B">
        <w:rPr>
          <w:color w:val="auto"/>
        </w:rPr>
        <w:t xml:space="preserve">, J.; Johnson, B.D.; </w:t>
      </w:r>
      <w:proofErr w:type="spellStart"/>
      <w:r w:rsidRPr="004F446B">
        <w:rPr>
          <w:color w:val="auto"/>
        </w:rPr>
        <w:t>Pellikka</w:t>
      </w:r>
      <w:proofErr w:type="spellEnd"/>
      <w:r w:rsidRPr="004F446B">
        <w:rPr>
          <w:color w:val="auto"/>
        </w:rPr>
        <w:t xml:space="preserve">, P.A.; Cha, S.S.; Oh, J.K.; </w:t>
      </w:r>
      <w:proofErr w:type="spellStart"/>
      <w:r w:rsidRPr="004F446B">
        <w:rPr>
          <w:color w:val="auto"/>
        </w:rPr>
        <w:t>Ommen</w:t>
      </w:r>
      <w:proofErr w:type="spellEnd"/>
      <w:r w:rsidRPr="004F446B">
        <w:rPr>
          <w:color w:val="auto"/>
        </w:rPr>
        <w:t xml:space="preserve">, S.R. Left atrial index is a predictor of exercise capacity in patients with hypertrophic cardiomyopathy. </w:t>
      </w:r>
      <w:r>
        <w:rPr>
          <w:i/>
          <w:iCs/>
          <w:color w:val="auto"/>
        </w:rPr>
        <w:t>J.</w:t>
      </w:r>
      <w:r w:rsidRPr="004F446B">
        <w:rPr>
          <w:i/>
          <w:iCs/>
          <w:color w:val="auto"/>
        </w:rPr>
        <w:t xml:space="preserve"> </w:t>
      </w:r>
      <w:r>
        <w:rPr>
          <w:i/>
          <w:iCs/>
          <w:color w:val="auto"/>
        </w:rPr>
        <w:t>Am.</w:t>
      </w:r>
      <w:r w:rsidRPr="004F446B">
        <w:rPr>
          <w:i/>
          <w:iCs/>
          <w:color w:val="auto"/>
        </w:rPr>
        <w:t xml:space="preserve"> Soc</w:t>
      </w:r>
      <w:r>
        <w:rPr>
          <w:i/>
          <w:iCs/>
          <w:color w:val="auto"/>
        </w:rPr>
        <w:t>.</w:t>
      </w:r>
      <w:r w:rsidRPr="004F446B">
        <w:rPr>
          <w:i/>
          <w:iCs/>
          <w:color w:val="auto"/>
        </w:rPr>
        <w:t xml:space="preserve"> </w:t>
      </w:r>
      <w:proofErr w:type="spellStart"/>
      <w:r w:rsidRPr="004F446B">
        <w:rPr>
          <w:i/>
          <w:iCs/>
          <w:color w:val="auto"/>
        </w:rPr>
        <w:t>Echocardiogr</w:t>
      </w:r>
      <w:proofErr w:type="spellEnd"/>
      <w:r w:rsidRPr="004F446B">
        <w:rPr>
          <w:color w:val="auto"/>
        </w:rPr>
        <w:t xml:space="preserve">. </w:t>
      </w:r>
      <w:r>
        <w:rPr>
          <w:b/>
          <w:bCs/>
          <w:color w:val="auto"/>
        </w:rPr>
        <w:t>2005</w:t>
      </w:r>
      <w:r>
        <w:rPr>
          <w:bCs/>
          <w:color w:val="auto"/>
        </w:rPr>
        <w:t xml:space="preserve">, </w:t>
      </w:r>
      <w:r>
        <w:rPr>
          <w:bCs/>
          <w:i/>
          <w:color w:val="auto"/>
        </w:rPr>
        <w:t>18</w:t>
      </w:r>
      <w:r>
        <w:rPr>
          <w:bCs/>
          <w:color w:val="auto"/>
        </w:rPr>
        <w:t>, 1373–1380.</w:t>
      </w:r>
    </w:p>
    <w:p w14:paraId="6B9B4309"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Konecny</w:t>
      </w:r>
      <w:proofErr w:type="spellEnd"/>
      <w:r w:rsidRPr="004F446B">
        <w:rPr>
          <w:color w:val="auto"/>
        </w:rPr>
        <w:t xml:space="preserve">, T.; </w:t>
      </w:r>
      <w:proofErr w:type="spellStart"/>
      <w:r w:rsidRPr="004F446B">
        <w:rPr>
          <w:color w:val="auto"/>
        </w:rPr>
        <w:t>Geske</w:t>
      </w:r>
      <w:proofErr w:type="spellEnd"/>
      <w:r w:rsidRPr="004F446B">
        <w:rPr>
          <w:color w:val="auto"/>
        </w:rPr>
        <w:t xml:space="preserve">, J.B.; </w:t>
      </w:r>
      <w:proofErr w:type="spellStart"/>
      <w:r w:rsidRPr="004F446B">
        <w:rPr>
          <w:color w:val="auto"/>
        </w:rPr>
        <w:t>Ludka</w:t>
      </w:r>
      <w:proofErr w:type="spellEnd"/>
      <w:r w:rsidRPr="004F446B">
        <w:rPr>
          <w:color w:val="auto"/>
        </w:rPr>
        <w:t xml:space="preserve">, O.; </w:t>
      </w:r>
      <w:proofErr w:type="spellStart"/>
      <w:r w:rsidRPr="004F446B">
        <w:rPr>
          <w:color w:val="auto"/>
        </w:rPr>
        <w:t>Orban</w:t>
      </w:r>
      <w:proofErr w:type="spellEnd"/>
      <w:r w:rsidRPr="004F446B">
        <w:rPr>
          <w:color w:val="auto"/>
        </w:rPr>
        <w:t xml:space="preserve">, M.; Brady, P.A.; </w:t>
      </w:r>
      <w:proofErr w:type="spellStart"/>
      <w:r w:rsidRPr="004F446B">
        <w:rPr>
          <w:color w:val="auto"/>
        </w:rPr>
        <w:t>Abudiab</w:t>
      </w:r>
      <w:proofErr w:type="spellEnd"/>
      <w:r w:rsidRPr="004F446B">
        <w:rPr>
          <w:color w:val="auto"/>
        </w:rPr>
        <w:t xml:space="preserve">, M.M.; Albuquerque, F.N.; </w:t>
      </w:r>
      <w:proofErr w:type="spellStart"/>
      <w:r w:rsidRPr="004F446B">
        <w:rPr>
          <w:color w:val="auto"/>
        </w:rPr>
        <w:t>Placek</w:t>
      </w:r>
      <w:proofErr w:type="spellEnd"/>
      <w:r w:rsidRPr="004F446B">
        <w:rPr>
          <w:color w:val="auto"/>
        </w:rPr>
        <w:t xml:space="preserve">, A.; Kara, T.; Sahakyan, K.R.; et al. Decreased exercise capacity and sleep-disordered breathing in patients with hypertrophic cardiomyopathy. </w:t>
      </w:r>
      <w:r w:rsidRPr="004F446B">
        <w:rPr>
          <w:i/>
          <w:iCs/>
          <w:color w:val="auto"/>
        </w:rPr>
        <w:t>Chest</w:t>
      </w:r>
      <w:r w:rsidRPr="004F446B">
        <w:rPr>
          <w:color w:val="auto"/>
        </w:rPr>
        <w:t xml:space="preserve"> </w:t>
      </w:r>
      <w:r>
        <w:rPr>
          <w:b/>
          <w:bCs/>
          <w:color w:val="auto"/>
        </w:rPr>
        <w:t>2015</w:t>
      </w:r>
      <w:r>
        <w:rPr>
          <w:bCs/>
          <w:color w:val="auto"/>
        </w:rPr>
        <w:t xml:space="preserve">, </w:t>
      </w:r>
      <w:r>
        <w:rPr>
          <w:bCs/>
          <w:i/>
          <w:color w:val="auto"/>
        </w:rPr>
        <w:t>147</w:t>
      </w:r>
      <w:r>
        <w:rPr>
          <w:bCs/>
          <w:color w:val="auto"/>
        </w:rPr>
        <w:t>, 1574–1581.</w:t>
      </w:r>
    </w:p>
    <w:p w14:paraId="3E67B3C5" w14:textId="77777777" w:rsidR="000B16CE" w:rsidRPr="00BA56C5" w:rsidRDefault="000B16CE" w:rsidP="008C619F">
      <w:pPr>
        <w:pStyle w:val="MDPI71References"/>
        <w:numPr>
          <w:ilvl w:val="0"/>
          <w:numId w:val="4"/>
        </w:numPr>
        <w:ind w:left="425" w:hanging="425"/>
        <w:rPr>
          <w:color w:val="auto"/>
        </w:rPr>
      </w:pPr>
      <w:r w:rsidRPr="004F446B">
        <w:rPr>
          <w:color w:val="auto"/>
        </w:rPr>
        <w:t xml:space="preserve">Lafitte, S.; </w:t>
      </w:r>
      <w:proofErr w:type="spellStart"/>
      <w:r w:rsidRPr="004F446B">
        <w:rPr>
          <w:color w:val="auto"/>
        </w:rPr>
        <w:t>Reant</w:t>
      </w:r>
      <w:proofErr w:type="spellEnd"/>
      <w:r w:rsidRPr="004F446B">
        <w:rPr>
          <w:color w:val="auto"/>
        </w:rPr>
        <w:t xml:space="preserve">, P.; </w:t>
      </w:r>
      <w:proofErr w:type="spellStart"/>
      <w:r w:rsidRPr="004F446B">
        <w:rPr>
          <w:color w:val="auto"/>
        </w:rPr>
        <w:t>Touche</w:t>
      </w:r>
      <w:proofErr w:type="spellEnd"/>
      <w:r w:rsidRPr="004F446B">
        <w:rPr>
          <w:color w:val="auto"/>
        </w:rPr>
        <w:t xml:space="preserve">, C.; </w:t>
      </w:r>
      <w:proofErr w:type="spellStart"/>
      <w:r w:rsidRPr="004F446B">
        <w:rPr>
          <w:color w:val="auto"/>
        </w:rPr>
        <w:t>Pillois</w:t>
      </w:r>
      <w:proofErr w:type="spellEnd"/>
      <w:r w:rsidRPr="00BA56C5">
        <w:rPr>
          <w:color w:val="auto"/>
        </w:rPr>
        <w:t xml:space="preserve">, X.; </w:t>
      </w:r>
      <w:proofErr w:type="spellStart"/>
      <w:r w:rsidRPr="00BA56C5">
        <w:rPr>
          <w:color w:val="auto"/>
        </w:rPr>
        <w:t>Dijos</w:t>
      </w:r>
      <w:proofErr w:type="spellEnd"/>
      <w:r w:rsidRPr="00BA56C5">
        <w:rPr>
          <w:color w:val="auto"/>
        </w:rPr>
        <w:t xml:space="preserve">, M.; </w:t>
      </w:r>
      <w:proofErr w:type="spellStart"/>
      <w:r w:rsidRPr="00BA56C5">
        <w:rPr>
          <w:color w:val="auto"/>
        </w:rPr>
        <w:t>Arsac</w:t>
      </w:r>
      <w:proofErr w:type="spellEnd"/>
      <w:r w:rsidRPr="00BA56C5">
        <w:rPr>
          <w:color w:val="auto"/>
        </w:rPr>
        <w:t xml:space="preserve">, F.; </w:t>
      </w:r>
      <w:proofErr w:type="spellStart"/>
      <w:r w:rsidRPr="00BA56C5">
        <w:rPr>
          <w:color w:val="auto"/>
        </w:rPr>
        <w:t>Peyrou</w:t>
      </w:r>
      <w:proofErr w:type="spellEnd"/>
      <w:r w:rsidRPr="00BA56C5">
        <w:rPr>
          <w:color w:val="auto"/>
        </w:rPr>
        <w:t xml:space="preserve">, J.; </w:t>
      </w:r>
      <w:proofErr w:type="spellStart"/>
      <w:r w:rsidRPr="00BA56C5">
        <w:rPr>
          <w:color w:val="auto"/>
        </w:rPr>
        <w:t>Montaudon</w:t>
      </w:r>
      <w:proofErr w:type="spellEnd"/>
      <w:r w:rsidRPr="00BA56C5">
        <w:rPr>
          <w:color w:val="auto"/>
        </w:rPr>
        <w:t xml:space="preserve">, M.; Ritter, P.; </w:t>
      </w:r>
      <w:proofErr w:type="spellStart"/>
      <w:r w:rsidRPr="00BA56C5">
        <w:rPr>
          <w:color w:val="auto"/>
        </w:rPr>
        <w:t>Roudaut</w:t>
      </w:r>
      <w:proofErr w:type="spellEnd"/>
      <w:r w:rsidRPr="00BA56C5">
        <w:rPr>
          <w:color w:val="auto"/>
        </w:rPr>
        <w:t xml:space="preserve">, R.; et al. Paradoxical response to exercise in asymptomatic hypertrophic cardiomyopathy: A new description of outflow tract obstruction dynamics. </w:t>
      </w:r>
      <w:r w:rsidRPr="00BA56C5">
        <w:rPr>
          <w:i/>
          <w:iCs/>
          <w:color w:val="auto"/>
        </w:rPr>
        <w:t xml:space="preserve">J. Am. Coll. </w:t>
      </w:r>
      <w:proofErr w:type="spellStart"/>
      <w:r w:rsidRPr="00BA56C5">
        <w:rPr>
          <w:i/>
          <w:iCs/>
          <w:color w:val="auto"/>
        </w:rPr>
        <w:t>Cardiol</w:t>
      </w:r>
      <w:proofErr w:type="spellEnd"/>
      <w:r w:rsidRPr="00BA56C5">
        <w:rPr>
          <w:color w:val="auto"/>
        </w:rPr>
        <w:t xml:space="preserve">. </w:t>
      </w:r>
      <w:r>
        <w:rPr>
          <w:b/>
          <w:bCs/>
          <w:color w:val="auto"/>
        </w:rPr>
        <w:t>2013</w:t>
      </w:r>
      <w:r>
        <w:rPr>
          <w:bCs/>
          <w:color w:val="auto"/>
        </w:rPr>
        <w:t xml:space="preserve">, </w:t>
      </w:r>
      <w:r>
        <w:rPr>
          <w:bCs/>
          <w:i/>
          <w:color w:val="auto"/>
        </w:rPr>
        <w:t>62</w:t>
      </w:r>
      <w:r>
        <w:rPr>
          <w:bCs/>
          <w:color w:val="auto"/>
        </w:rPr>
        <w:t>, 842–850</w:t>
      </w:r>
      <w:r w:rsidRPr="00BA56C5">
        <w:rPr>
          <w:bCs/>
          <w:color w:val="auto"/>
        </w:rPr>
        <w:t>.</w:t>
      </w:r>
    </w:p>
    <w:p w14:paraId="2B685E04" w14:textId="77777777" w:rsidR="000B16CE" w:rsidRPr="004F446B" w:rsidRDefault="000B16CE" w:rsidP="008C619F">
      <w:pPr>
        <w:pStyle w:val="MDPI71References"/>
        <w:numPr>
          <w:ilvl w:val="0"/>
          <w:numId w:val="4"/>
        </w:numPr>
        <w:ind w:left="425" w:hanging="425"/>
        <w:rPr>
          <w:color w:val="auto"/>
        </w:rPr>
      </w:pPr>
      <w:r w:rsidRPr="00BA56C5">
        <w:rPr>
          <w:color w:val="auto"/>
        </w:rPr>
        <w:t xml:space="preserve">Larsen, C.M.; Ball, C.A.; </w:t>
      </w:r>
      <w:proofErr w:type="spellStart"/>
      <w:r w:rsidRPr="00BA56C5">
        <w:rPr>
          <w:color w:val="auto"/>
        </w:rPr>
        <w:t>Hebl</w:t>
      </w:r>
      <w:proofErr w:type="spellEnd"/>
      <w:r w:rsidRPr="00BA56C5">
        <w:rPr>
          <w:color w:val="auto"/>
        </w:rPr>
        <w:t>, V.B.; Ong,</w:t>
      </w:r>
      <w:r w:rsidRPr="004F446B">
        <w:rPr>
          <w:color w:val="auto"/>
        </w:rPr>
        <w:t xml:space="preserve"> K.C.; </w:t>
      </w:r>
      <w:proofErr w:type="spellStart"/>
      <w:r w:rsidRPr="004F446B">
        <w:rPr>
          <w:color w:val="auto"/>
        </w:rPr>
        <w:t>Siontis</w:t>
      </w:r>
      <w:proofErr w:type="spellEnd"/>
      <w:r w:rsidRPr="004F446B">
        <w:rPr>
          <w:color w:val="auto"/>
        </w:rPr>
        <w:t xml:space="preserve">, K.C.; Olson, T.P.; Ackerman, M.J.; </w:t>
      </w:r>
      <w:proofErr w:type="spellStart"/>
      <w:r w:rsidRPr="004F446B">
        <w:rPr>
          <w:color w:val="auto"/>
        </w:rPr>
        <w:t>Ommen</w:t>
      </w:r>
      <w:proofErr w:type="spellEnd"/>
      <w:r w:rsidRPr="004F446B">
        <w:rPr>
          <w:color w:val="auto"/>
        </w:rPr>
        <w:t xml:space="preserve">, S.R.; Allison, T.G.; </w:t>
      </w:r>
      <w:proofErr w:type="spellStart"/>
      <w:r w:rsidRPr="004F446B">
        <w:rPr>
          <w:color w:val="auto"/>
        </w:rPr>
        <w:t>Geske</w:t>
      </w:r>
      <w:proofErr w:type="spellEnd"/>
      <w:r w:rsidRPr="004F446B">
        <w:rPr>
          <w:color w:val="auto"/>
        </w:rPr>
        <w:t xml:space="preserve">, J.B. Effect of body mass index on exercise capacity in patients with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2018</w:t>
      </w:r>
      <w:r>
        <w:rPr>
          <w:bCs/>
          <w:color w:val="auto"/>
        </w:rPr>
        <w:t xml:space="preserve">, </w:t>
      </w:r>
      <w:r>
        <w:rPr>
          <w:bCs/>
          <w:i/>
          <w:color w:val="auto"/>
        </w:rPr>
        <w:t>121</w:t>
      </w:r>
      <w:r>
        <w:rPr>
          <w:bCs/>
          <w:color w:val="auto"/>
        </w:rPr>
        <w:t>, 100–106</w:t>
      </w:r>
      <w:r>
        <w:rPr>
          <w:color w:val="auto"/>
        </w:rPr>
        <w:t>.</w:t>
      </w:r>
    </w:p>
    <w:p w14:paraId="5DEB83F0"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Le, V.V.; Perez, M.V.; Wheeler, M.T.; Myers, J.; Schnittger, I.; Ashley, E.A. mechanisms of exercise intolerance in patients with hypertrophic cardiomyopathy. </w:t>
      </w:r>
      <w:r>
        <w:rPr>
          <w:i/>
          <w:iCs/>
          <w:color w:val="auto"/>
        </w:rPr>
        <w:t>Am.</w:t>
      </w:r>
      <w:r w:rsidRPr="004F446B">
        <w:rPr>
          <w:i/>
          <w:iCs/>
          <w:color w:val="auto"/>
        </w:rPr>
        <w:t xml:space="preserve"> Heart J</w:t>
      </w:r>
      <w:r w:rsidRPr="004F446B">
        <w:rPr>
          <w:color w:val="auto"/>
        </w:rPr>
        <w:t xml:space="preserve">. </w:t>
      </w:r>
      <w:r w:rsidRPr="004F446B">
        <w:rPr>
          <w:b/>
          <w:bCs/>
          <w:color w:val="auto"/>
        </w:rPr>
        <w:t>2009</w:t>
      </w:r>
      <w:r w:rsidRPr="004F446B">
        <w:rPr>
          <w:color w:val="auto"/>
        </w:rPr>
        <w:t xml:space="preserve">, </w:t>
      </w:r>
      <w:r w:rsidRPr="004F446B">
        <w:rPr>
          <w:i/>
          <w:iCs/>
          <w:color w:val="auto"/>
        </w:rPr>
        <w:t>158</w:t>
      </w:r>
      <w:r w:rsidRPr="004F446B">
        <w:rPr>
          <w:color w:val="auto"/>
        </w:rPr>
        <w:t>, e27–</w:t>
      </w:r>
      <w:r>
        <w:rPr>
          <w:color w:val="auto"/>
        </w:rPr>
        <w:t>e</w:t>
      </w:r>
      <w:r w:rsidRPr="004F446B">
        <w:rPr>
          <w:color w:val="auto"/>
        </w:rPr>
        <w:t>34</w:t>
      </w:r>
      <w:r>
        <w:rPr>
          <w:color w:val="auto"/>
        </w:rPr>
        <w:t>.</w:t>
      </w:r>
    </w:p>
    <w:p w14:paraId="2F3168C7"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Lele</w:t>
      </w:r>
      <w:proofErr w:type="spellEnd"/>
      <w:r w:rsidRPr="004F446B">
        <w:rPr>
          <w:color w:val="auto"/>
        </w:rPr>
        <w:t xml:space="preserve">, S.; Thomson, H.; </w:t>
      </w:r>
      <w:proofErr w:type="spellStart"/>
      <w:r w:rsidRPr="004F446B">
        <w:rPr>
          <w:color w:val="auto"/>
        </w:rPr>
        <w:t>Seo</w:t>
      </w:r>
      <w:proofErr w:type="spellEnd"/>
      <w:r w:rsidRPr="004F446B">
        <w:rPr>
          <w:color w:val="auto"/>
        </w:rPr>
        <w:t xml:space="preserve">, H.; </w:t>
      </w:r>
      <w:proofErr w:type="spellStart"/>
      <w:r w:rsidRPr="004F446B">
        <w:rPr>
          <w:color w:val="auto"/>
        </w:rPr>
        <w:t>Belenkie</w:t>
      </w:r>
      <w:proofErr w:type="spellEnd"/>
      <w:r w:rsidRPr="004F446B">
        <w:rPr>
          <w:color w:val="auto"/>
        </w:rPr>
        <w:t xml:space="preserve">, I.; McKenna, W.J.; </w:t>
      </w:r>
      <w:proofErr w:type="spellStart"/>
      <w:r w:rsidRPr="004F446B">
        <w:rPr>
          <w:color w:val="auto"/>
        </w:rPr>
        <w:t>Frenneaux</w:t>
      </w:r>
      <w:proofErr w:type="spellEnd"/>
      <w:r w:rsidRPr="004F446B">
        <w:rPr>
          <w:color w:val="auto"/>
        </w:rPr>
        <w:t xml:space="preserve">, M.P. Exercise capacity in hypertrophic cardiomyopathy role of stroke volume limitation, heart rate, and diastolic filling characteristics. </w:t>
      </w:r>
      <w:r w:rsidRPr="004F446B">
        <w:rPr>
          <w:i/>
          <w:iCs/>
          <w:color w:val="auto"/>
        </w:rPr>
        <w:t>Circulation</w:t>
      </w:r>
      <w:r w:rsidRPr="004F446B">
        <w:rPr>
          <w:color w:val="auto"/>
        </w:rPr>
        <w:t xml:space="preserve"> </w:t>
      </w:r>
      <w:r>
        <w:rPr>
          <w:b/>
          <w:bCs/>
          <w:color w:val="auto"/>
        </w:rPr>
        <w:t>1995</w:t>
      </w:r>
      <w:r>
        <w:rPr>
          <w:bCs/>
          <w:color w:val="auto"/>
        </w:rPr>
        <w:t xml:space="preserve">, </w:t>
      </w:r>
      <w:r>
        <w:rPr>
          <w:bCs/>
          <w:i/>
          <w:color w:val="auto"/>
        </w:rPr>
        <w:t>92</w:t>
      </w:r>
      <w:r>
        <w:rPr>
          <w:bCs/>
          <w:color w:val="auto"/>
        </w:rPr>
        <w:t>, 2886–2894.</w:t>
      </w:r>
    </w:p>
    <w:p w14:paraId="158D64ED"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Lösse</w:t>
      </w:r>
      <w:proofErr w:type="spellEnd"/>
      <w:r w:rsidRPr="004F446B">
        <w:rPr>
          <w:color w:val="auto"/>
        </w:rPr>
        <w:t xml:space="preserve">, B.; Kuhn, H.; </w:t>
      </w:r>
      <w:proofErr w:type="spellStart"/>
      <w:r w:rsidRPr="004F446B">
        <w:rPr>
          <w:color w:val="auto"/>
        </w:rPr>
        <w:t>Loogen</w:t>
      </w:r>
      <w:proofErr w:type="spellEnd"/>
      <w:r w:rsidRPr="004F446B">
        <w:rPr>
          <w:color w:val="auto"/>
        </w:rPr>
        <w:t xml:space="preserve">, F.; Schulte, H.D. Exercise performance in hypertrophic cardiomyopathies. </w:t>
      </w:r>
      <w:r w:rsidRPr="004F446B">
        <w:rPr>
          <w:i/>
          <w:iCs/>
          <w:color w:val="auto"/>
        </w:rPr>
        <w:t>Eur</w:t>
      </w:r>
      <w:r>
        <w:rPr>
          <w:i/>
          <w:iCs/>
          <w:color w:val="auto"/>
        </w:rPr>
        <w:t>.</w:t>
      </w:r>
      <w:r w:rsidRPr="004F446B">
        <w:rPr>
          <w:i/>
          <w:iCs/>
          <w:color w:val="auto"/>
        </w:rPr>
        <w:t xml:space="preserve"> Heart J</w:t>
      </w:r>
      <w:r w:rsidRPr="004F446B">
        <w:rPr>
          <w:color w:val="auto"/>
        </w:rPr>
        <w:t xml:space="preserve">. </w:t>
      </w:r>
      <w:r>
        <w:rPr>
          <w:b/>
          <w:bCs/>
          <w:color w:val="auto"/>
        </w:rPr>
        <w:t>1983</w:t>
      </w:r>
      <w:r>
        <w:rPr>
          <w:bCs/>
          <w:color w:val="auto"/>
        </w:rPr>
        <w:t xml:space="preserve">, </w:t>
      </w:r>
      <w:r>
        <w:rPr>
          <w:bCs/>
          <w:i/>
          <w:color w:val="auto"/>
        </w:rPr>
        <w:t>4</w:t>
      </w:r>
      <w:r>
        <w:rPr>
          <w:bCs/>
          <w:color w:val="auto"/>
        </w:rPr>
        <w:t>, 197–208</w:t>
      </w:r>
      <w:r>
        <w:rPr>
          <w:color w:val="auto"/>
        </w:rPr>
        <w:t>.</w:t>
      </w:r>
    </w:p>
    <w:p w14:paraId="6C658846"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lang w:val="es-ES"/>
        </w:rPr>
        <w:t>Luo</w:t>
      </w:r>
      <w:proofErr w:type="spellEnd"/>
      <w:r w:rsidRPr="004F446B">
        <w:rPr>
          <w:color w:val="auto"/>
          <w:lang w:val="es-ES"/>
        </w:rPr>
        <w:t xml:space="preserve">, H.C.; </w:t>
      </w:r>
      <w:proofErr w:type="spellStart"/>
      <w:r w:rsidRPr="004F446B">
        <w:rPr>
          <w:color w:val="auto"/>
          <w:lang w:val="es-ES"/>
        </w:rPr>
        <w:t>Dimaano</w:t>
      </w:r>
      <w:proofErr w:type="spellEnd"/>
      <w:r w:rsidRPr="004F446B">
        <w:rPr>
          <w:color w:val="auto"/>
          <w:lang w:val="es-ES"/>
        </w:rPr>
        <w:t xml:space="preserve">, V.L.; </w:t>
      </w:r>
      <w:proofErr w:type="spellStart"/>
      <w:r w:rsidRPr="004F446B">
        <w:rPr>
          <w:color w:val="auto"/>
          <w:lang w:val="es-ES"/>
        </w:rPr>
        <w:t>Kembro</w:t>
      </w:r>
      <w:proofErr w:type="spellEnd"/>
      <w:r w:rsidRPr="004F446B">
        <w:rPr>
          <w:color w:val="auto"/>
          <w:lang w:val="es-ES"/>
        </w:rPr>
        <w:t xml:space="preserve">, J.M.; </w:t>
      </w:r>
      <w:proofErr w:type="spellStart"/>
      <w:r w:rsidRPr="004F446B">
        <w:rPr>
          <w:color w:val="auto"/>
          <w:lang w:val="es-ES"/>
        </w:rPr>
        <w:t>Hilser</w:t>
      </w:r>
      <w:proofErr w:type="spellEnd"/>
      <w:r w:rsidRPr="004F446B">
        <w:rPr>
          <w:color w:val="auto"/>
          <w:lang w:val="es-ES"/>
        </w:rPr>
        <w:t xml:space="preserve">, A.; Hurtado-de-Mendoza, D.; </w:t>
      </w:r>
      <w:proofErr w:type="spellStart"/>
      <w:r w:rsidRPr="004F446B">
        <w:rPr>
          <w:color w:val="auto"/>
          <w:lang w:val="es-ES"/>
        </w:rPr>
        <w:t>Pozios</w:t>
      </w:r>
      <w:proofErr w:type="spellEnd"/>
      <w:r w:rsidRPr="004F446B">
        <w:rPr>
          <w:color w:val="auto"/>
          <w:lang w:val="es-ES"/>
        </w:rPr>
        <w:t xml:space="preserve">, I.; Tomas, M.S.; </w:t>
      </w:r>
      <w:proofErr w:type="spellStart"/>
      <w:r w:rsidRPr="004F446B">
        <w:rPr>
          <w:color w:val="auto"/>
          <w:lang w:val="es-ES"/>
        </w:rPr>
        <w:t>Yalcin</w:t>
      </w:r>
      <w:proofErr w:type="spellEnd"/>
      <w:r w:rsidRPr="004F446B">
        <w:rPr>
          <w:color w:val="auto"/>
          <w:lang w:val="es-ES"/>
        </w:rPr>
        <w:t xml:space="preserve">, H.; Dolores-Cerna, K.; </w:t>
      </w:r>
      <w:proofErr w:type="spellStart"/>
      <w:r w:rsidRPr="004F446B">
        <w:rPr>
          <w:color w:val="auto"/>
          <w:lang w:val="es-ES"/>
        </w:rPr>
        <w:t>Mormontoy</w:t>
      </w:r>
      <w:proofErr w:type="spellEnd"/>
      <w:r w:rsidRPr="004F446B">
        <w:rPr>
          <w:color w:val="auto"/>
          <w:lang w:val="es-ES"/>
        </w:rPr>
        <w:t xml:space="preserve">, W.; et al. </w:t>
      </w:r>
      <w:r w:rsidRPr="004F446B">
        <w:rPr>
          <w:color w:val="auto"/>
        </w:rPr>
        <w:t xml:space="preserve">Exercise heart rates in patients with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2015</w:t>
      </w:r>
      <w:r>
        <w:rPr>
          <w:bCs/>
          <w:color w:val="auto"/>
        </w:rPr>
        <w:t xml:space="preserve">, </w:t>
      </w:r>
      <w:r>
        <w:rPr>
          <w:bCs/>
          <w:i/>
          <w:color w:val="auto"/>
        </w:rPr>
        <w:t>115</w:t>
      </w:r>
      <w:r>
        <w:rPr>
          <w:bCs/>
          <w:color w:val="auto"/>
        </w:rPr>
        <w:t>, 1144–1150.</w:t>
      </w:r>
    </w:p>
    <w:p w14:paraId="0E29DDC5"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Ma, G.; Xu, M.; Gao, W.; Li, Z.; Li, W.; Chen, B.; Feng, J.; Wang, H.; Ma, W.; Chen, H.; et al. Left ventricular filling pressure assessed by exercise TDI was correlated with early HFNEF in patients with non-obstructive hypertrophic cardiomyopathy. </w:t>
      </w:r>
      <w:r w:rsidRPr="004F446B">
        <w:rPr>
          <w:i/>
          <w:iCs/>
          <w:color w:val="auto"/>
        </w:rPr>
        <w:t>BMC Cardiovasc</w:t>
      </w:r>
      <w:r>
        <w:rPr>
          <w:i/>
          <w:iCs/>
          <w:color w:val="auto"/>
        </w:rPr>
        <w:t>.</w:t>
      </w:r>
      <w:r w:rsidRPr="004F446B">
        <w:rPr>
          <w:i/>
          <w:iCs/>
          <w:color w:val="auto"/>
        </w:rPr>
        <w:t xml:space="preserve"> </w:t>
      </w:r>
      <w:proofErr w:type="spellStart"/>
      <w:r w:rsidRPr="004F446B">
        <w:rPr>
          <w:i/>
          <w:iCs/>
          <w:color w:val="auto"/>
        </w:rPr>
        <w:t>Disord</w:t>
      </w:r>
      <w:proofErr w:type="spellEnd"/>
      <w:r w:rsidRPr="004F446B">
        <w:rPr>
          <w:color w:val="auto"/>
        </w:rPr>
        <w:t xml:space="preserve">. </w:t>
      </w:r>
      <w:r>
        <w:rPr>
          <w:b/>
          <w:bCs/>
          <w:color w:val="auto"/>
        </w:rPr>
        <w:t>2014</w:t>
      </w:r>
      <w:r>
        <w:rPr>
          <w:bCs/>
          <w:color w:val="auto"/>
        </w:rPr>
        <w:t xml:space="preserve">, </w:t>
      </w:r>
      <w:r>
        <w:rPr>
          <w:bCs/>
          <w:i/>
          <w:color w:val="auto"/>
        </w:rPr>
        <w:t>14</w:t>
      </w:r>
      <w:r>
        <w:rPr>
          <w:bCs/>
          <w:color w:val="auto"/>
        </w:rPr>
        <w:t>, 1–7</w:t>
      </w:r>
      <w:r>
        <w:rPr>
          <w:color w:val="auto"/>
        </w:rPr>
        <w:t>.</w:t>
      </w:r>
    </w:p>
    <w:p w14:paraId="772D7740" w14:textId="77777777" w:rsidR="000B16CE" w:rsidRPr="00BA56C5" w:rsidRDefault="000B16CE" w:rsidP="008C619F">
      <w:pPr>
        <w:pStyle w:val="MDPI71References"/>
        <w:numPr>
          <w:ilvl w:val="0"/>
          <w:numId w:val="4"/>
        </w:numPr>
        <w:ind w:left="425" w:hanging="425"/>
        <w:rPr>
          <w:color w:val="auto"/>
        </w:rPr>
      </w:pPr>
      <w:proofErr w:type="spellStart"/>
      <w:r w:rsidRPr="004F446B">
        <w:rPr>
          <w:color w:val="auto"/>
        </w:rPr>
        <w:t>Magri</w:t>
      </w:r>
      <w:proofErr w:type="spellEnd"/>
      <w:r w:rsidRPr="004F446B">
        <w:rPr>
          <w:color w:val="auto"/>
        </w:rPr>
        <w:t xml:space="preserve">, D.; </w:t>
      </w:r>
      <w:proofErr w:type="spellStart"/>
      <w:r w:rsidRPr="004F446B">
        <w:rPr>
          <w:color w:val="auto"/>
        </w:rPr>
        <w:t>Agostoni</w:t>
      </w:r>
      <w:proofErr w:type="spellEnd"/>
      <w:r w:rsidRPr="004F446B">
        <w:rPr>
          <w:color w:val="auto"/>
        </w:rPr>
        <w:t xml:space="preserve">, P.; </w:t>
      </w:r>
      <w:proofErr w:type="spellStart"/>
      <w:r w:rsidRPr="004F446B">
        <w:rPr>
          <w:color w:val="auto"/>
        </w:rPr>
        <w:t>Cauti</w:t>
      </w:r>
      <w:proofErr w:type="spellEnd"/>
      <w:r w:rsidRPr="004F446B">
        <w:rPr>
          <w:color w:val="auto"/>
        </w:rPr>
        <w:t xml:space="preserve">, F.M.; </w:t>
      </w:r>
      <w:proofErr w:type="spellStart"/>
      <w:r w:rsidRPr="004F446B">
        <w:rPr>
          <w:color w:val="auto"/>
        </w:rPr>
        <w:t>Musumeci</w:t>
      </w:r>
      <w:proofErr w:type="spellEnd"/>
      <w:r w:rsidRPr="004F446B">
        <w:rPr>
          <w:color w:val="auto"/>
        </w:rPr>
        <w:t xml:space="preserve">, B.; </w:t>
      </w:r>
      <w:proofErr w:type="spellStart"/>
      <w:r w:rsidRPr="004F446B">
        <w:rPr>
          <w:color w:val="auto"/>
        </w:rPr>
        <w:t>Assenza</w:t>
      </w:r>
      <w:proofErr w:type="spellEnd"/>
      <w:r w:rsidRPr="004F446B">
        <w:rPr>
          <w:color w:val="auto"/>
        </w:rPr>
        <w:t xml:space="preserve">, G.E.; De </w:t>
      </w:r>
      <w:proofErr w:type="spellStart"/>
      <w:r w:rsidRPr="004F446B">
        <w:rPr>
          <w:color w:val="auto"/>
        </w:rPr>
        <w:t>Cecco</w:t>
      </w:r>
      <w:proofErr w:type="spellEnd"/>
      <w:r w:rsidRPr="004F446B">
        <w:rPr>
          <w:color w:val="auto"/>
        </w:rPr>
        <w:t xml:space="preserve">, C.N.; </w:t>
      </w:r>
      <w:proofErr w:type="spellStart"/>
      <w:r w:rsidRPr="004F446B">
        <w:rPr>
          <w:color w:val="auto"/>
        </w:rPr>
        <w:t>Muscogiuri</w:t>
      </w:r>
      <w:proofErr w:type="spellEnd"/>
      <w:r w:rsidRPr="004F446B">
        <w:rPr>
          <w:color w:val="auto"/>
        </w:rPr>
        <w:t xml:space="preserve">, G.; </w:t>
      </w:r>
      <w:proofErr w:type="spellStart"/>
      <w:r w:rsidRPr="004F446B">
        <w:rPr>
          <w:color w:val="auto"/>
        </w:rPr>
        <w:t>Maruotti</w:t>
      </w:r>
      <w:proofErr w:type="spellEnd"/>
      <w:r w:rsidRPr="004F446B">
        <w:rPr>
          <w:color w:val="auto"/>
        </w:rPr>
        <w:t xml:space="preserve">, A.; Ricotta, A.; </w:t>
      </w:r>
      <w:proofErr w:type="spellStart"/>
      <w:r w:rsidRPr="004F446B">
        <w:rPr>
          <w:color w:val="auto"/>
        </w:rPr>
        <w:t>Pagannone</w:t>
      </w:r>
      <w:proofErr w:type="spellEnd"/>
      <w:r w:rsidRPr="004F446B">
        <w:rPr>
          <w:color w:val="auto"/>
        </w:rPr>
        <w:t xml:space="preserve">, E.; et al. Determinants of peak oxygen uptake in patients with hypertrophic </w:t>
      </w:r>
      <w:r w:rsidRPr="00BA56C5">
        <w:rPr>
          <w:color w:val="auto"/>
        </w:rPr>
        <w:t xml:space="preserve">cardiomyopathy: A single-center study. </w:t>
      </w:r>
      <w:r w:rsidRPr="00BA56C5">
        <w:rPr>
          <w:i/>
          <w:iCs/>
          <w:color w:val="auto"/>
        </w:rPr>
        <w:t xml:space="preserve">Intern. </w:t>
      </w:r>
      <w:proofErr w:type="spellStart"/>
      <w:r w:rsidRPr="00BA56C5">
        <w:rPr>
          <w:i/>
          <w:iCs/>
          <w:color w:val="auto"/>
        </w:rPr>
        <w:t>Emerg</w:t>
      </w:r>
      <w:proofErr w:type="spellEnd"/>
      <w:r w:rsidRPr="00BA56C5">
        <w:rPr>
          <w:i/>
          <w:iCs/>
          <w:color w:val="auto"/>
        </w:rPr>
        <w:t>. Med</w:t>
      </w:r>
      <w:r w:rsidRPr="00BA56C5">
        <w:rPr>
          <w:color w:val="auto"/>
        </w:rPr>
        <w:t xml:space="preserve">. </w:t>
      </w:r>
      <w:r>
        <w:rPr>
          <w:b/>
          <w:bCs/>
          <w:color w:val="auto"/>
        </w:rPr>
        <w:t>2014</w:t>
      </w:r>
      <w:r>
        <w:rPr>
          <w:bCs/>
          <w:color w:val="auto"/>
        </w:rPr>
        <w:t xml:space="preserve">, </w:t>
      </w:r>
      <w:r>
        <w:rPr>
          <w:bCs/>
          <w:i/>
          <w:color w:val="auto"/>
        </w:rPr>
        <w:t>9</w:t>
      </w:r>
      <w:r>
        <w:rPr>
          <w:bCs/>
          <w:color w:val="auto"/>
        </w:rPr>
        <w:t>, 293–302</w:t>
      </w:r>
      <w:r w:rsidRPr="00BA56C5">
        <w:rPr>
          <w:color w:val="auto"/>
        </w:rPr>
        <w:t>.</w:t>
      </w:r>
    </w:p>
    <w:p w14:paraId="2644C44B"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lang w:val="es-ES"/>
        </w:rPr>
        <w:t>Magrì</w:t>
      </w:r>
      <w:proofErr w:type="spellEnd"/>
      <w:r w:rsidRPr="00BA56C5">
        <w:rPr>
          <w:color w:val="auto"/>
          <w:lang w:val="es-ES"/>
        </w:rPr>
        <w:t xml:space="preserve">, D.; </w:t>
      </w:r>
      <w:proofErr w:type="spellStart"/>
      <w:r w:rsidRPr="00BA56C5">
        <w:rPr>
          <w:color w:val="auto"/>
          <w:lang w:val="es-ES"/>
        </w:rPr>
        <w:t>Limongelli</w:t>
      </w:r>
      <w:proofErr w:type="spellEnd"/>
      <w:r w:rsidRPr="00BA56C5">
        <w:rPr>
          <w:color w:val="auto"/>
          <w:lang w:val="es-ES"/>
        </w:rPr>
        <w:t xml:space="preserve">, G.; Re, F.; </w:t>
      </w:r>
      <w:proofErr w:type="spellStart"/>
      <w:r w:rsidRPr="00BA56C5">
        <w:rPr>
          <w:color w:val="auto"/>
          <w:lang w:val="es-ES"/>
        </w:rPr>
        <w:t>Agostoni</w:t>
      </w:r>
      <w:proofErr w:type="spellEnd"/>
      <w:r w:rsidRPr="00BA56C5">
        <w:rPr>
          <w:color w:val="auto"/>
          <w:lang w:val="es-ES"/>
        </w:rPr>
        <w:t xml:space="preserve">, P.; </w:t>
      </w:r>
      <w:proofErr w:type="spellStart"/>
      <w:r w:rsidRPr="00BA56C5">
        <w:rPr>
          <w:color w:val="auto"/>
          <w:lang w:val="es-ES"/>
        </w:rPr>
        <w:t>Zachara</w:t>
      </w:r>
      <w:proofErr w:type="spellEnd"/>
      <w:r w:rsidRPr="00BA56C5">
        <w:rPr>
          <w:color w:val="auto"/>
          <w:lang w:val="es-ES"/>
        </w:rPr>
        <w:t xml:space="preserve">, E.; </w:t>
      </w:r>
      <w:proofErr w:type="spellStart"/>
      <w:r w:rsidRPr="00BA56C5">
        <w:rPr>
          <w:color w:val="auto"/>
          <w:lang w:val="es-ES"/>
        </w:rPr>
        <w:t>Correale</w:t>
      </w:r>
      <w:proofErr w:type="spellEnd"/>
      <w:r w:rsidRPr="00BA56C5">
        <w:rPr>
          <w:color w:val="auto"/>
          <w:lang w:val="es-ES"/>
        </w:rPr>
        <w:t xml:space="preserve">, M.; </w:t>
      </w:r>
      <w:proofErr w:type="spellStart"/>
      <w:r w:rsidRPr="00BA56C5">
        <w:rPr>
          <w:color w:val="auto"/>
          <w:lang w:val="es-ES"/>
        </w:rPr>
        <w:t>Mastromarino</w:t>
      </w:r>
      <w:proofErr w:type="spellEnd"/>
      <w:r w:rsidRPr="00BA56C5">
        <w:rPr>
          <w:color w:val="auto"/>
          <w:lang w:val="es-ES"/>
        </w:rPr>
        <w:t xml:space="preserve">, V.; </w:t>
      </w:r>
      <w:proofErr w:type="spellStart"/>
      <w:r w:rsidRPr="00BA56C5">
        <w:rPr>
          <w:color w:val="auto"/>
          <w:lang w:val="es-ES"/>
        </w:rPr>
        <w:t>Santolamazza</w:t>
      </w:r>
      <w:proofErr w:type="spellEnd"/>
      <w:r w:rsidRPr="00BA56C5">
        <w:rPr>
          <w:color w:val="auto"/>
          <w:lang w:val="es-ES"/>
        </w:rPr>
        <w:t xml:space="preserve">, C.; </w:t>
      </w:r>
      <w:proofErr w:type="spellStart"/>
      <w:r w:rsidRPr="00BA56C5">
        <w:rPr>
          <w:color w:val="auto"/>
          <w:lang w:val="es-ES"/>
        </w:rPr>
        <w:t>Casenghi</w:t>
      </w:r>
      <w:proofErr w:type="spellEnd"/>
      <w:r w:rsidRPr="00BA56C5">
        <w:rPr>
          <w:color w:val="auto"/>
          <w:lang w:val="es-ES"/>
        </w:rPr>
        <w:t xml:space="preserve">, M.; </w:t>
      </w:r>
      <w:proofErr w:type="spellStart"/>
      <w:r w:rsidRPr="00BA56C5">
        <w:rPr>
          <w:color w:val="auto"/>
          <w:lang w:val="es-ES"/>
        </w:rPr>
        <w:t>Pacileo</w:t>
      </w:r>
      <w:proofErr w:type="spellEnd"/>
      <w:r w:rsidRPr="00BA56C5">
        <w:rPr>
          <w:color w:val="auto"/>
          <w:lang w:val="es-ES"/>
        </w:rPr>
        <w:t xml:space="preserve">, G.; et al. </w:t>
      </w:r>
      <w:r w:rsidRPr="00BA56C5">
        <w:rPr>
          <w:color w:val="auto"/>
        </w:rPr>
        <w:t xml:space="preserve">Cardiopulmonary exercise test and sudden cardiac death risk in hypertrophic cardiomyopathy. </w:t>
      </w:r>
      <w:r w:rsidRPr="00BA56C5">
        <w:rPr>
          <w:i/>
          <w:iCs/>
          <w:color w:val="auto"/>
        </w:rPr>
        <w:t>Heart</w:t>
      </w:r>
      <w:r w:rsidRPr="00BA56C5">
        <w:rPr>
          <w:color w:val="auto"/>
        </w:rPr>
        <w:t xml:space="preserve"> </w:t>
      </w:r>
      <w:r>
        <w:rPr>
          <w:b/>
          <w:bCs/>
          <w:color w:val="auto"/>
        </w:rPr>
        <w:t>2016</w:t>
      </w:r>
      <w:r>
        <w:rPr>
          <w:bCs/>
          <w:color w:val="auto"/>
        </w:rPr>
        <w:t xml:space="preserve">, </w:t>
      </w:r>
      <w:r>
        <w:rPr>
          <w:bCs/>
          <w:i/>
          <w:color w:val="auto"/>
        </w:rPr>
        <w:t>102</w:t>
      </w:r>
      <w:r>
        <w:rPr>
          <w:bCs/>
          <w:color w:val="auto"/>
        </w:rPr>
        <w:t>, 602–609</w:t>
      </w:r>
      <w:r w:rsidRPr="00BA56C5">
        <w:rPr>
          <w:bCs/>
          <w:color w:val="auto"/>
        </w:rPr>
        <w:t>.</w:t>
      </w:r>
    </w:p>
    <w:p w14:paraId="372B3668" w14:textId="77777777" w:rsidR="000B16CE" w:rsidRPr="00BA56C5" w:rsidRDefault="000B16CE" w:rsidP="008C619F">
      <w:pPr>
        <w:pStyle w:val="MDPI71References"/>
        <w:numPr>
          <w:ilvl w:val="0"/>
          <w:numId w:val="4"/>
        </w:numPr>
        <w:ind w:left="425" w:hanging="425"/>
        <w:rPr>
          <w:color w:val="auto"/>
        </w:rPr>
      </w:pPr>
      <w:proofErr w:type="spellStart"/>
      <w:r w:rsidRPr="00BA56C5">
        <w:rPr>
          <w:color w:val="auto"/>
          <w:lang w:val="es-ES"/>
        </w:rPr>
        <w:t>Magri</w:t>
      </w:r>
      <w:proofErr w:type="spellEnd"/>
      <w:r w:rsidRPr="00BA56C5">
        <w:rPr>
          <w:color w:val="auto"/>
          <w:lang w:val="es-ES"/>
        </w:rPr>
        <w:t xml:space="preserve">, D.; </w:t>
      </w:r>
      <w:proofErr w:type="spellStart"/>
      <w:r w:rsidRPr="00BA56C5">
        <w:rPr>
          <w:color w:val="auto"/>
          <w:lang w:val="es-ES"/>
        </w:rPr>
        <w:t>Agostoni</w:t>
      </w:r>
      <w:proofErr w:type="spellEnd"/>
      <w:r w:rsidRPr="00BA56C5">
        <w:rPr>
          <w:color w:val="auto"/>
          <w:lang w:val="es-ES"/>
        </w:rPr>
        <w:t xml:space="preserve">, P.; </w:t>
      </w:r>
      <w:proofErr w:type="spellStart"/>
      <w:r w:rsidRPr="00BA56C5">
        <w:rPr>
          <w:color w:val="auto"/>
          <w:lang w:val="es-ES"/>
        </w:rPr>
        <w:t>Sinagra</w:t>
      </w:r>
      <w:proofErr w:type="spellEnd"/>
      <w:r w:rsidRPr="00BA56C5">
        <w:rPr>
          <w:color w:val="auto"/>
          <w:lang w:val="es-ES"/>
        </w:rPr>
        <w:t xml:space="preserve">, G.; Re, F.; </w:t>
      </w:r>
      <w:proofErr w:type="spellStart"/>
      <w:r w:rsidRPr="00BA56C5">
        <w:rPr>
          <w:color w:val="auto"/>
          <w:lang w:val="es-ES"/>
        </w:rPr>
        <w:t>Correale</w:t>
      </w:r>
      <w:proofErr w:type="spellEnd"/>
      <w:r w:rsidRPr="00BA56C5">
        <w:rPr>
          <w:color w:val="auto"/>
          <w:lang w:val="es-ES"/>
        </w:rPr>
        <w:t xml:space="preserve">, M.; </w:t>
      </w:r>
      <w:proofErr w:type="spellStart"/>
      <w:r w:rsidRPr="00BA56C5">
        <w:rPr>
          <w:color w:val="auto"/>
          <w:lang w:val="es-ES"/>
        </w:rPr>
        <w:t>Limongelli</w:t>
      </w:r>
      <w:proofErr w:type="spellEnd"/>
      <w:r w:rsidRPr="00BA56C5">
        <w:rPr>
          <w:color w:val="auto"/>
          <w:lang w:val="es-ES"/>
        </w:rPr>
        <w:t xml:space="preserve">, G.; </w:t>
      </w:r>
      <w:proofErr w:type="spellStart"/>
      <w:r w:rsidRPr="00BA56C5">
        <w:rPr>
          <w:color w:val="auto"/>
          <w:lang w:val="es-ES"/>
        </w:rPr>
        <w:t>Zachara</w:t>
      </w:r>
      <w:proofErr w:type="spellEnd"/>
      <w:r w:rsidRPr="00BA56C5">
        <w:rPr>
          <w:color w:val="auto"/>
          <w:lang w:val="es-ES"/>
        </w:rPr>
        <w:t xml:space="preserve">, E.; </w:t>
      </w:r>
      <w:proofErr w:type="spellStart"/>
      <w:r w:rsidRPr="00BA56C5">
        <w:rPr>
          <w:color w:val="auto"/>
          <w:lang w:val="es-ES"/>
        </w:rPr>
        <w:t>Mastromarino</w:t>
      </w:r>
      <w:proofErr w:type="spellEnd"/>
      <w:r w:rsidRPr="00BA56C5">
        <w:rPr>
          <w:color w:val="auto"/>
          <w:lang w:val="es-ES"/>
        </w:rPr>
        <w:t xml:space="preserve">, V.; </w:t>
      </w:r>
      <w:proofErr w:type="spellStart"/>
      <w:r w:rsidRPr="00BA56C5">
        <w:rPr>
          <w:color w:val="auto"/>
          <w:lang w:val="es-ES"/>
        </w:rPr>
        <w:t>Santolamazza</w:t>
      </w:r>
      <w:proofErr w:type="spellEnd"/>
      <w:r w:rsidRPr="00BA56C5">
        <w:rPr>
          <w:color w:val="auto"/>
          <w:lang w:val="es-ES"/>
        </w:rPr>
        <w:t xml:space="preserve">, C.; </w:t>
      </w:r>
      <w:proofErr w:type="spellStart"/>
      <w:r w:rsidRPr="00BA56C5">
        <w:rPr>
          <w:color w:val="auto"/>
          <w:lang w:val="es-ES"/>
        </w:rPr>
        <w:t>Casenghi</w:t>
      </w:r>
      <w:proofErr w:type="spellEnd"/>
      <w:r w:rsidRPr="00BA56C5">
        <w:rPr>
          <w:color w:val="auto"/>
          <w:lang w:val="es-ES"/>
        </w:rPr>
        <w:t xml:space="preserve">, M.; et al. </w:t>
      </w:r>
      <w:r w:rsidRPr="00BA56C5">
        <w:rPr>
          <w:color w:val="auto"/>
        </w:rPr>
        <w:t xml:space="preserve">Clinical and prognostic impact of chronotropic incompetence in patients with hypertrophic cardiomyopathy. </w:t>
      </w:r>
      <w:r w:rsidRPr="00BA56C5">
        <w:rPr>
          <w:i/>
          <w:iCs/>
          <w:color w:val="auto"/>
        </w:rPr>
        <w:t xml:space="preserve">Int. J. </w:t>
      </w:r>
      <w:proofErr w:type="spellStart"/>
      <w:r w:rsidRPr="00BA56C5">
        <w:rPr>
          <w:i/>
          <w:iCs/>
          <w:color w:val="auto"/>
        </w:rPr>
        <w:t>Cardiol</w:t>
      </w:r>
      <w:proofErr w:type="spellEnd"/>
      <w:r w:rsidRPr="00BA56C5">
        <w:rPr>
          <w:color w:val="auto"/>
        </w:rPr>
        <w:t xml:space="preserve">. </w:t>
      </w:r>
      <w:r>
        <w:rPr>
          <w:b/>
          <w:bCs/>
          <w:color w:val="auto"/>
        </w:rPr>
        <w:t>2018</w:t>
      </w:r>
      <w:r>
        <w:rPr>
          <w:bCs/>
          <w:color w:val="auto"/>
        </w:rPr>
        <w:t xml:space="preserve">, </w:t>
      </w:r>
      <w:r>
        <w:rPr>
          <w:bCs/>
          <w:i/>
          <w:color w:val="auto"/>
        </w:rPr>
        <w:t>15</w:t>
      </w:r>
      <w:r>
        <w:rPr>
          <w:bCs/>
          <w:color w:val="auto"/>
        </w:rPr>
        <w:t>, 125–131</w:t>
      </w:r>
      <w:r w:rsidRPr="00BA56C5">
        <w:rPr>
          <w:bCs/>
          <w:color w:val="auto"/>
        </w:rPr>
        <w:t>.</w:t>
      </w:r>
    </w:p>
    <w:p w14:paraId="0FD3005C"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Malek, L.A.; </w:t>
      </w:r>
      <w:proofErr w:type="spellStart"/>
      <w:r w:rsidRPr="00BA56C5">
        <w:rPr>
          <w:color w:val="auto"/>
        </w:rPr>
        <w:t>Chojnowska</w:t>
      </w:r>
      <w:proofErr w:type="spellEnd"/>
      <w:r w:rsidRPr="00BA56C5">
        <w:rPr>
          <w:color w:val="auto"/>
        </w:rPr>
        <w:t xml:space="preserve">, L.; </w:t>
      </w:r>
      <w:proofErr w:type="spellStart"/>
      <w:r w:rsidRPr="00BA56C5">
        <w:rPr>
          <w:color w:val="auto"/>
        </w:rPr>
        <w:t>Klopotowski</w:t>
      </w:r>
      <w:proofErr w:type="spellEnd"/>
      <w:r w:rsidRPr="00BA56C5">
        <w:rPr>
          <w:color w:val="auto"/>
        </w:rPr>
        <w:t xml:space="preserve">, M.; </w:t>
      </w:r>
      <w:proofErr w:type="spellStart"/>
      <w:r w:rsidRPr="00BA56C5">
        <w:rPr>
          <w:color w:val="auto"/>
        </w:rPr>
        <w:t>Misko</w:t>
      </w:r>
      <w:proofErr w:type="spellEnd"/>
      <w:r w:rsidRPr="00BA56C5">
        <w:rPr>
          <w:color w:val="auto"/>
        </w:rPr>
        <w:t xml:space="preserve">, J.; </w:t>
      </w:r>
      <w:proofErr w:type="spellStart"/>
      <w:r w:rsidRPr="00BA56C5">
        <w:rPr>
          <w:color w:val="auto"/>
        </w:rPr>
        <w:t>Dabrowski</w:t>
      </w:r>
      <w:proofErr w:type="spellEnd"/>
      <w:r w:rsidRPr="00BA56C5">
        <w:rPr>
          <w:color w:val="auto"/>
        </w:rPr>
        <w:t xml:space="preserve">, M.; </w:t>
      </w:r>
      <w:proofErr w:type="spellStart"/>
      <w:r w:rsidRPr="00BA56C5">
        <w:rPr>
          <w:color w:val="auto"/>
        </w:rPr>
        <w:t>Kusmierczyk-Droszcz</w:t>
      </w:r>
      <w:proofErr w:type="spellEnd"/>
      <w:r w:rsidRPr="00BA56C5">
        <w:rPr>
          <w:color w:val="auto"/>
        </w:rPr>
        <w:t xml:space="preserve">, B.; </w:t>
      </w:r>
      <w:proofErr w:type="spellStart"/>
      <w:r w:rsidRPr="00BA56C5">
        <w:rPr>
          <w:color w:val="auto"/>
        </w:rPr>
        <w:t>Maczynska</w:t>
      </w:r>
      <w:proofErr w:type="spellEnd"/>
      <w:r w:rsidRPr="00BA56C5">
        <w:rPr>
          <w:color w:val="auto"/>
        </w:rPr>
        <w:t xml:space="preserve">, R.; Piotrowicz, E.; </w:t>
      </w:r>
      <w:proofErr w:type="spellStart"/>
      <w:r w:rsidRPr="00BA56C5">
        <w:rPr>
          <w:color w:val="auto"/>
        </w:rPr>
        <w:t>Ruzyllo</w:t>
      </w:r>
      <w:proofErr w:type="spellEnd"/>
      <w:r w:rsidRPr="00BA56C5">
        <w:rPr>
          <w:color w:val="auto"/>
        </w:rPr>
        <w:t xml:space="preserve">, W. Left ventricular diastolic function assessed with cardiovascular magnetic resonance imaging and exercise capacity in patients with non-obstructive hypertrophic cardiomyopathy. </w:t>
      </w:r>
      <w:proofErr w:type="spellStart"/>
      <w:r w:rsidRPr="00BA56C5">
        <w:rPr>
          <w:i/>
          <w:iCs/>
          <w:color w:val="auto"/>
        </w:rPr>
        <w:t>Kardiol</w:t>
      </w:r>
      <w:proofErr w:type="spellEnd"/>
      <w:r w:rsidRPr="00BA56C5">
        <w:rPr>
          <w:i/>
          <w:iCs/>
          <w:color w:val="auto"/>
        </w:rPr>
        <w:t>. Pol</w:t>
      </w:r>
      <w:r w:rsidRPr="00BA56C5">
        <w:rPr>
          <w:color w:val="auto"/>
        </w:rPr>
        <w:t xml:space="preserve">. </w:t>
      </w:r>
      <w:r>
        <w:rPr>
          <w:b/>
          <w:bCs/>
          <w:color w:val="auto"/>
        </w:rPr>
        <w:t>2009</w:t>
      </w:r>
      <w:r>
        <w:rPr>
          <w:bCs/>
          <w:color w:val="auto"/>
        </w:rPr>
        <w:t xml:space="preserve">, </w:t>
      </w:r>
      <w:r>
        <w:rPr>
          <w:bCs/>
          <w:i/>
          <w:color w:val="auto"/>
        </w:rPr>
        <w:t>67</w:t>
      </w:r>
      <w:r>
        <w:rPr>
          <w:bCs/>
          <w:color w:val="auto"/>
        </w:rPr>
        <w:t>, 1–8</w:t>
      </w:r>
      <w:r w:rsidRPr="00BA56C5">
        <w:rPr>
          <w:color w:val="auto"/>
        </w:rPr>
        <w:t>.</w:t>
      </w:r>
    </w:p>
    <w:p w14:paraId="2CC19553" w14:textId="77777777" w:rsidR="000B16CE" w:rsidRPr="00BA56C5" w:rsidRDefault="000B16CE" w:rsidP="008C619F">
      <w:pPr>
        <w:pStyle w:val="MDPI71References"/>
        <w:numPr>
          <w:ilvl w:val="0"/>
          <w:numId w:val="4"/>
        </w:numPr>
        <w:ind w:left="425" w:hanging="425"/>
        <w:rPr>
          <w:color w:val="auto"/>
        </w:rPr>
      </w:pPr>
      <w:r w:rsidRPr="00BA56C5">
        <w:rPr>
          <w:color w:val="auto"/>
        </w:rPr>
        <w:t xml:space="preserve">Matsumoto, A.Y.; Arteaga, E.; </w:t>
      </w:r>
      <w:proofErr w:type="spellStart"/>
      <w:r w:rsidRPr="00BA56C5">
        <w:rPr>
          <w:color w:val="auto"/>
        </w:rPr>
        <w:t>Ianni</w:t>
      </w:r>
      <w:proofErr w:type="spellEnd"/>
      <w:r w:rsidRPr="00BA56C5">
        <w:rPr>
          <w:color w:val="auto"/>
        </w:rPr>
        <w:t xml:space="preserve">, B.M.; Braga, A.M.F.W.; Buck, P.C.; </w:t>
      </w:r>
      <w:proofErr w:type="spellStart"/>
      <w:r w:rsidRPr="00BA56C5">
        <w:rPr>
          <w:color w:val="auto"/>
        </w:rPr>
        <w:t>Mady</w:t>
      </w:r>
      <w:proofErr w:type="spellEnd"/>
      <w:r w:rsidRPr="00BA56C5">
        <w:rPr>
          <w:color w:val="auto"/>
        </w:rPr>
        <w:t xml:space="preserve">, C. Relationships among exercise capacity, hypertrophy, and left ventricular diastolic function in nonobstructive hypertrophic cardiomyopathy. </w:t>
      </w:r>
      <w:r w:rsidRPr="00BA56C5">
        <w:rPr>
          <w:i/>
          <w:iCs/>
          <w:color w:val="auto"/>
        </w:rPr>
        <w:t>Am. Heart J</w:t>
      </w:r>
      <w:r w:rsidRPr="00BA56C5">
        <w:rPr>
          <w:color w:val="auto"/>
        </w:rPr>
        <w:t xml:space="preserve">. </w:t>
      </w:r>
      <w:r>
        <w:rPr>
          <w:b/>
          <w:bCs/>
          <w:color w:val="auto"/>
        </w:rPr>
        <w:t>2005</w:t>
      </w:r>
      <w:r>
        <w:rPr>
          <w:bCs/>
          <w:color w:val="auto"/>
        </w:rPr>
        <w:t xml:space="preserve">, </w:t>
      </w:r>
      <w:r>
        <w:rPr>
          <w:bCs/>
          <w:i/>
          <w:color w:val="auto"/>
        </w:rPr>
        <w:t>150</w:t>
      </w:r>
      <w:r>
        <w:rPr>
          <w:bCs/>
          <w:color w:val="auto"/>
        </w:rPr>
        <w:t>, 144–149</w:t>
      </w:r>
      <w:r w:rsidRPr="00BA56C5">
        <w:rPr>
          <w:bCs/>
          <w:color w:val="auto"/>
        </w:rPr>
        <w:t>.</w:t>
      </w:r>
    </w:p>
    <w:p w14:paraId="198A6B12" w14:textId="77777777" w:rsidR="000B16CE" w:rsidRPr="004F446B" w:rsidRDefault="000B16CE" w:rsidP="008C619F">
      <w:pPr>
        <w:pStyle w:val="MDPI71References"/>
        <w:numPr>
          <w:ilvl w:val="0"/>
          <w:numId w:val="4"/>
        </w:numPr>
        <w:ind w:left="425" w:hanging="425"/>
        <w:rPr>
          <w:color w:val="auto"/>
        </w:rPr>
      </w:pPr>
      <w:r w:rsidRPr="00BA56C5">
        <w:rPr>
          <w:color w:val="auto"/>
        </w:rPr>
        <w:t xml:space="preserve">Matsumura, Y.; Elliott, P.M.; </w:t>
      </w:r>
      <w:proofErr w:type="spellStart"/>
      <w:r w:rsidRPr="00BA56C5">
        <w:rPr>
          <w:color w:val="auto"/>
        </w:rPr>
        <w:t>Virdee</w:t>
      </w:r>
      <w:proofErr w:type="spellEnd"/>
      <w:r w:rsidRPr="00BA56C5">
        <w:rPr>
          <w:color w:val="auto"/>
        </w:rPr>
        <w:t xml:space="preserve">, M.S.; </w:t>
      </w:r>
      <w:proofErr w:type="spellStart"/>
      <w:r w:rsidRPr="00BA56C5">
        <w:rPr>
          <w:color w:val="auto"/>
        </w:rPr>
        <w:t>Sorajja</w:t>
      </w:r>
      <w:proofErr w:type="spellEnd"/>
      <w:r w:rsidRPr="00BA56C5">
        <w:rPr>
          <w:color w:val="auto"/>
        </w:rPr>
        <w:t>, P.; Doi, Y.; McKenna, W.J. Left ventricular diastolic function assessed using doppler tissue imaging in patients with hypertrophic cardiomyopathy: Relation to sy</w:t>
      </w:r>
      <w:r w:rsidRPr="004F446B">
        <w:rPr>
          <w:color w:val="auto"/>
        </w:rPr>
        <w:t xml:space="preserve">mptoms and exercise capacity. </w:t>
      </w:r>
      <w:r w:rsidRPr="004F446B">
        <w:rPr>
          <w:i/>
          <w:iCs/>
          <w:color w:val="auto"/>
        </w:rPr>
        <w:t>Heart</w:t>
      </w:r>
      <w:r w:rsidRPr="004F446B">
        <w:rPr>
          <w:color w:val="auto"/>
        </w:rPr>
        <w:t xml:space="preserve"> </w:t>
      </w:r>
      <w:r>
        <w:rPr>
          <w:b/>
          <w:bCs/>
          <w:color w:val="auto"/>
        </w:rPr>
        <w:t>2002</w:t>
      </w:r>
      <w:r>
        <w:rPr>
          <w:bCs/>
          <w:color w:val="auto"/>
        </w:rPr>
        <w:t xml:space="preserve">, </w:t>
      </w:r>
      <w:r>
        <w:rPr>
          <w:bCs/>
          <w:i/>
          <w:color w:val="auto"/>
        </w:rPr>
        <w:t>87</w:t>
      </w:r>
      <w:r>
        <w:rPr>
          <w:bCs/>
          <w:color w:val="auto"/>
        </w:rPr>
        <w:t>, 247–251.</w:t>
      </w:r>
    </w:p>
    <w:p w14:paraId="6E3A43D0"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Menon, S.C.; Ackerman, M.J.; </w:t>
      </w:r>
      <w:proofErr w:type="spellStart"/>
      <w:r w:rsidRPr="004F446B">
        <w:rPr>
          <w:color w:val="auto"/>
        </w:rPr>
        <w:t>Cetta</w:t>
      </w:r>
      <w:proofErr w:type="spellEnd"/>
      <w:r w:rsidRPr="004F446B">
        <w:rPr>
          <w:color w:val="auto"/>
        </w:rPr>
        <w:t xml:space="preserve">, F.; O’Leary, P.W.; </w:t>
      </w:r>
      <w:proofErr w:type="spellStart"/>
      <w:r w:rsidRPr="004F446B">
        <w:rPr>
          <w:color w:val="auto"/>
        </w:rPr>
        <w:t>Eiden</w:t>
      </w:r>
      <w:proofErr w:type="spellEnd"/>
      <w:r w:rsidRPr="004F446B">
        <w:rPr>
          <w:color w:val="auto"/>
        </w:rPr>
        <w:t xml:space="preserve">, B.W. Significance of left atrial volume in patients &lt;20 years of age with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2008</w:t>
      </w:r>
      <w:r>
        <w:rPr>
          <w:bCs/>
          <w:color w:val="auto"/>
        </w:rPr>
        <w:t xml:space="preserve">, </w:t>
      </w:r>
      <w:r>
        <w:rPr>
          <w:bCs/>
          <w:i/>
          <w:color w:val="auto"/>
        </w:rPr>
        <w:t>102</w:t>
      </w:r>
      <w:r>
        <w:rPr>
          <w:bCs/>
          <w:color w:val="auto"/>
        </w:rPr>
        <w:t>, 1390–1393.</w:t>
      </w:r>
    </w:p>
    <w:p w14:paraId="4C487E32"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Miki, T.; Yokota, Y.; Fukuzaki, H. Afterload mismatch in patients with hypertrophic cardiomyopathy. </w:t>
      </w:r>
      <w:proofErr w:type="spellStart"/>
      <w:r w:rsidRPr="004F446B">
        <w:rPr>
          <w:i/>
          <w:iCs/>
          <w:color w:val="auto"/>
        </w:rPr>
        <w:t>Jpn</w:t>
      </w:r>
      <w:proofErr w:type="spellEnd"/>
      <w:r>
        <w:rPr>
          <w:i/>
          <w:iCs/>
          <w:color w:val="auto"/>
        </w:rPr>
        <w:t>.</w:t>
      </w:r>
      <w:r w:rsidRPr="004F446B">
        <w:rPr>
          <w:i/>
          <w:iCs/>
          <w:color w:val="auto"/>
        </w:rPr>
        <w:t xml:space="preserve"> Circ</w:t>
      </w:r>
      <w:r>
        <w:rPr>
          <w:i/>
          <w:iCs/>
          <w:color w:val="auto"/>
        </w:rPr>
        <w:t>.</w:t>
      </w:r>
      <w:r w:rsidRPr="004F446B">
        <w:rPr>
          <w:i/>
          <w:iCs/>
          <w:color w:val="auto"/>
        </w:rPr>
        <w:t xml:space="preserve"> J</w:t>
      </w:r>
      <w:r w:rsidRPr="004F446B">
        <w:rPr>
          <w:color w:val="auto"/>
        </w:rPr>
        <w:t xml:space="preserve">. </w:t>
      </w:r>
      <w:r>
        <w:rPr>
          <w:b/>
          <w:bCs/>
          <w:color w:val="auto"/>
        </w:rPr>
        <w:t>1990</w:t>
      </w:r>
      <w:r>
        <w:rPr>
          <w:bCs/>
          <w:color w:val="auto"/>
        </w:rPr>
        <w:t xml:space="preserve">, </w:t>
      </w:r>
      <w:r>
        <w:rPr>
          <w:bCs/>
          <w:i/>
          <w:color w:val="auto"/>
        </w:rPr>
        <w:t>54</w:t>
      </w:r>
      <w:r>
        <w:rPr>
          <w:bCs/>
          <w:color w:val="auto"/>
        </w:rPr>
        <w:t>, 603–615.</w:t>
      </w:r>
    </w:p>
    <w:p w14:paraId="141E12EB"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Mizukoshi</w:t>
      </w:r>
      <w:proofErr w:type="spellEnd"/>
      <w:r w:rsidRPr="004F446B">
        <w:rPr>
          <w:color w:val="auto"/>
        </w:rPr>
        <w:t xml:space="preserve">, K.; Suzuki, K.; </w:t>
      </w:r>
      <w:proofErr w:type="spellStart"/>
      <w:r w:rsidRPr="004F446B">
        <w:rPr>
          <w:color w:val="auto"/>
        </w:rPr>
        <w:t>Yoneyama</w:t>
      </w:r>
      <w:proofErr w:type="spellEnd"/>
      <w:r w:rsidRPr="004F446B">
        <w:rPr>
          <w:color w:val="auto"/>
        </w:rPr>
        <w:t xml:space="preserve">, K.; </w:t>
      </w:r>
      <w:proofErr w:type="spellStart"/>
      <w:r w:rsidRPr="004F446B">
        <w:rPr>
          <w:color w:val="auto"/>
        </w:rPr>
        <w:t>Kamijima</w:t>
      </w:r>
      <w:proofErr w:type="spellEnd"/>
      <w:r w:rsidRPr="004F446B">
        <w:rPr>
          <w:color w:val="auto"/>
        </w:rPr>
        <w:t xml:space="preserve">, R.; Kou, S.; </w:t>
      </w:r>
      <w:proofErr w:type="spellStart"/>
      <w:r w:rsidRPr="004F446B">
        <w:rPr>
          <w:color w:val="auto"/>
        </w:rPr>
        <w:t>Takai</w:t>
      </w:r>
      <w:proofErr w:type="spellEnd"/>
      <w:r w:rsidRPr="004F446B">
        <w:rPr>
          <w:color w:val="auto"/>
        </w:rPr>
        <w:t xml:space="preserve">, M.; Izumo, M.; Hayashi, A.; Ohtaki, E.; Akashi, Y.J.; et al. Early diastolic function during exertion influences exercise intolerance in patients with hypertrophic cardiomyopathy. </w:t>
      </w:r>
      <w:r>
        <w:rPr>
          <w:i/>
          <w:iCs/>
          <w:color w:val="auto"/>
        </w:rPr>
        <w:t>J.</w:t>
      </w:r>
      <w:r w:rsidRPr="004F446B">
        <w:rPr>
          <w:i/>
          <w:iCs/>
          <w:color w:val="auto"/>
        </w:rPr>
        <w:t xml:space="preserve"> </w:t>
      </w:r>
      <w:proofErr w:type="spellStart"/>
      <w:r w:rsidRPr="004F446B">
        <w:rPr>
          <w:i/>
          <w:iCs/>
          <w:color w:val="auto"/>
        </w:rPr>
        <w:t>Echocardiogr</w:t>
      </w:r>
      <w:proofErr w:type="spellEnd"/>
      <w:r w:rsidRPr="004F446B">
        <w:rPr>
          <w:i/>
          <w:iCs/>
          <w:color w:val="auto"/>
        </w:rPr>
        <w:t xml:space="preserve">. </w:t>
      </w:r>
      <w:r>
        <w:rPr>
          <w:b/>
          <w:bCs/>
          <w:color w:val="auto"/>
        </w:rPr>
        <w:t>2013</w:t>
      </w:r>
      <w:r>
        <w:rPr>
          <w:bCs/>
          <w:color w:val="auto"/>
        </w:rPr>
        <w:t xml:space="preserve">, </w:t>
      </w:r>
      <w:r>
        <w:rPr>
          <w:bCs/>
          <w:i/>
          <w:color w:val="auto"/>
        </w:rPr>
        <w:t>11</w:t>
      </w:r>
      <w:r>
        <w:rPr>
          <w:bCs/>
          <w:color w:val="auto"/>
        </w:rPr>
        <w:t>, 9–17</w:t>
      </w:r>
      <w:r>
        <w:rPr>
          <w:color w:val="auto"/>
        </w:rPr>
        <w:t>.</w:t>
      </w:r>
    </w:p>
    <w:p w14:paraId="60C8712C"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Moneghetti</w:t>
      </w:r>
      <w:proofErr w:type="spellEnd"/>
      <w:r w:rsidRPr="004F446B">
        <w:rPr>
          <w:color w:val="auto"/>
        </w:rPr>
        <w:t xml:space="preserve">, K.; </w:t>
      </w:r>
      <w:proofErr w:type="spellStart"/>
      <w:r w:rsidRPr="004F446B">
        <w:rPr>
          <w:color w:val="auto"/>
        </w:rPr>
        <w:t>Stolfo</w:t>
      </w:r>
      <w:proofErr w:type="spellEnd"/>
      <w:r w:rsidRPr="004F446B">
        <w:rPr>
          <w:color w:val="auto"/>
        </w:rPr>
        <w:t xml:space="preserve">, D.; </w:t>
      </w:r>
      <w:proofErr w:type="spellStart"/>
      <w:r w:rsidRPr="004F446B">
        <w:rPr>
          <w:color w:val="auto"/>
        </w:rPr>
        <w:t>Christle</w:t>
      </w:r>
      <w:proofErr w:type="spellEnd"/>
      <w:r w:rsidRPr="004F446B">
        <w:rPr>
          <w:color w:val="auto"/>
        </w:rPr>
        <w:t xml:space="preserve">, J.W.; Kobayashi, Y.; </w:t>
      </w:r>
      <w:proofErr w:type="spellStart"/>
      <w:r w:rsidRPr="004F446B">
        <w:rPr>
          <w:color w:val="auto"/>
        </w:rPr>
        <w:t>Finocchiaro</w:t>
      </w:r>
      <w:proofErr w:type="spellEnd"/>
      <w:r w:rsidRPr="004F446B">
        <w:rPr>
          <w:color w:val="auto"/>
        </w:rPr>
        <w:t xml:space="preserve">, G.; </w:t>
      </w:r>
      <w:proofErr w:type="spellStart"/>
      <w:r w:rsidRPr="004F446B">
        <w:rPr>
          <w:color w:val="auto"/>
        </w:rPr>
        <w:t>Sinagra</w:t>
      </w:r>
      <w:proofErr w:type="spellEnd"/>
      <w:r w:rsidRPr="004F446B">
        <w:rPr>
          <w:color w:val="auto"/>
        </w:rPr>
        <w:t xml:space="preserve">, G.; Myers, J.; Ashley, E.A.; Haddad, F.; Wheeler, </w:t>
      </w:r>
      <w:proofErr w:type="gramStart"/>
      <w:r w:rsidRPr="004F446B">
        <w:rPr>
          <w:color w:val="auto"/>
        </w:rPr>
        <w:t>M..</w:t>
      </w:r>
      <w:proofErr w:type="gramEnd"/>
      <w:r w:rsidRPr="004F446B">
        <w:rPr>
          <w:color w:val="auto"/>
        </w:rPr>
        <w:t xml:space="preserve"> Value of strain imaging and maximal oxygen consumption in patients with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2017</w:t>
      </w:r>
      <w:r>
        <w:rPr>
          <w:bCs/>
          <w:color w:val="auto"/>
        </w:rPr>
        <w:t xml:space="preserve">, </w:t>
      </w:r>
      <w:r>
        <w:rPr>
          <w:bCs/>
          <w:i/>
          <w:color w:val="auto"/>
        </w:rPr>
        <w:t>120</w:t>
      </w:r>
      <w:r>
        <w:rPr>
          <w:bCs/>
          <w:color w:val="auto"/>
        </w:rPr>
        <w:t>, 1203–1208.</w:t>
      </w:r>
    </w:p>
    <w:p w14:paraId="04AAA0D8" w14:textId="77777777" w:rsidR="000B16CE" w:rsidRPr="005348B9" w:rsidRDefault="000B16CE" w:rsidP="008C619F">
      <w:pPr>
        <w:pStyle w:val="MDPI71References"/>
        <w:numPr>
          <w:ilvl w:val="0"/>
          <w:numId w:val="4"/>
        </w:numPr>
        <w:ind w:left="425" w:hanging="425"/>
        <w:rPr>
          <w:color w:val="auto"/>
        </w:rPr>
      </w:pPr>
      <w:proofErr w:type="spellStart"/>
      <w:r w:rsidRPr="004F446B">
        <w:rPr>
          <w:color w:val="auto"/>
        </w:rPr>
        <w:t>Nihoyannopoulos</w:t>
      </w:r>
      <w:proofErr w:type="spellEnd"/>
      <w:r w:rsidRPr="004F446B">
        <w:rPr>
          <w:color w:val="auto"/>
        </w:rPr>
        <w:t xml:space="preserve">, P.; </w:t>
      </w:r>
      <w:proofErr w:type="spellStart"/>
      <w:r w:rsidRPr="004F446B">
        <w:rPr>
          <w:color w:val="auto"/>
        </w:rPr>
        <w:t>Karatasakis</w:t>
      </w:r>
      <w:proofErr w:type="spellEnd"/>
      <w:r w:rsidRPr="004F446B">
        <w:rPr>
          <w:color w:val="auto"/>
        </w:rPr>
        <w:t xml:space="preserve">, G.; </w:t>
      </w:r>
      <w:proofErr w:type="spellStart"/>
      <w:r w:rsidRPr="004F446B">
        <w:rPr>
          <w:color w:val="auto"/>
        </w:rPr>
        <w:t>Frenneaux</w:t>
      </w:r>
      <w:proofErr w:type="spellEnd"/>
      <w:r w:rsidRPr="004F446B">
        <w:rPr>
          <w:color w:val="auto"/>
        </w:rPr>
        <w:t xml:space="preserve">, M.P.; McKenna, W.J.; Oakley, C.M. Diastolic function in hypertrophic cardiomyopathy: Relation to exercise capacity. </w:t>
      </w:r>
      <w:r>
        <w:rPr>
          <w:i/>
          <w:iCs/>
          <w:color w:val="auto"/>
        </w:rPr>
        <w:t>J.</w:t>
      </w:r>
      <w:r w:rsidRPr="004F446B">
        <w:rPr>
          <w:i/>
          <w:iCs/>
          <w:color w:val="auto"/>
        </w:rPr>
        <w:t xml:space="preserve"> </w:t>
      </w:r>
      <w:r w:rsidRPr="005348B9">
        <w:rPr>
          <w:i/>
          <w:iCs/>
          <w:color w:val="auto"/>
        </w:rPr>
        <w:t xml:space="preserve">Am. Coll. </w:t>
      </w:r>
      <w:proofErr w:type="spellStart"/>
      <w:r w:rsidRPr="005348B9">
        <w:rPr>
          <w:i/>
          <w:iCs/>
          <w:color w:val="auto"/>
        </w:rPr>
        <w:t>Cardiol</w:t>
      </w:r>
      <w:proofErr w:type="spellEnd"/>
      <w:r w:rsidRPr="005348B9">
        <w:rPr>
          <w:color w:val="auto"/>
        </w:rPr>
        <w:t xml:space="preserve">. </w:t>
      </w:r>
      <w:r>
        <w:rPr>
          <w:b/>
          <w:bCs/>
          <w:color w:val="auto"/>
        </w:rPr>
        <w:t>1992</w:t>
      </w:r>
      <w:r>
        <w:rPr>
          <w:bCs/>
          <w:color w:val="auto"/>
        </w:rPr>
        <w:t xml:space="preserve">, </w:t>
      </w:r>
      <w:r>
        <w:rPr>
          <w:bCs/>
          <w:i/>
          <w:color w:val="auto"/>
        </w:rPr>
        <w:t>19</w:t>
      </w:r>
      <w:r>
        <w:rPr>
          <w:bCs/>
          <w:color w:val="auto"/>
        </w:rPr>
        <w:t>, 536–540</w:t>
      </w:r>
      <w:r w:rsidRPr="005348B9">
        <w:rPr>
          <w:bCs/>
          <w:color w:val="auto"/>
        </w:rPr>
        <w:t>.</w:t>
      </w:r>
    </w:p>
    <w:p w14:paraId="20E93B9D"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rPr>
        <w:t>Nistri</w:t>
      </w:r>
      <w:proofErr w:type="spellEnd"/>
      <w:r w:rsidRPr="005348B9">
        <w:rPr>
          <w:color w:val="auto"/>
        </w:rPr>
        <w:t xml:space="preserve">, S.; </w:t>
      </w:r>
      <w:proofErr w:type="spellStart"/>
      <w:r w:rsidRPr="005348B9">
        <w:rPr>
          <w:color w:val="auto"/>
        </w:rPr>
        <w:t>Olivotto</w:t>
      </w:r>
      <w:proofErr w:type="spellEnd"/>
      <w:r w:rsidRPr="005348B9">
        <w:rPr>
          <w:color w:val="auto"/>
        </w:rPr>
        <w:t xml:space="preserve">, I.; Maron, M.S.; </w:t>
      </w:r>
      <w:proofErr w:type="spellStart"/>
      <w:r w:rsidRPr="005348B9">
        <w:rPr>
          <w:color w:val="auto"/>
        </w:rPr>
        <w:t>Grifoni</w:t>
      </w:r>
      <w:proofErr w:type="spellEnd"/>
      <w:r w:rsidRPr="005348B9">
        <w:rPr>
          <w:color w:val="auto"/>
        </w:rPr>
        <w:t xml:space="preserve">, C.; </w:t>
      </w:r>
      <w:proofErr w:type="spellStart"/>
      <w:r w:rsidRPr="005348B9">
        <w:rPr>
          <w:color w:val="auto"/>
        </w:rPr>
        <w:t>Baldini</w:t>
      </w:r>
      <w:proofErr w:type="spellEnd"/>
      <w:r w:rsidRPr="005348B9">
        <w:rPr>
          <w:color w:val="auto"/>
        </w:rPr>
        <w:t xml:space="preserve">, K.; </w:t>
      </w:r>
      <w:proofErr w:type="spellStart"/>
      <w:r w:rsidRPr="005348B9">
        <w:rPr>
          <w:color w:val="auto"/>
        </w:rPr>
        <w:t>Baldi</w:t>
      </w:r>
      <w:proofErr w:type="spellEnd"/>
      <w:r w:rsidRPr="005348B9">
        <w:rPr>
          <w:color w:val="auto"/>
        </w:rPr>
        <w:t xml:space="preserve">, M.; </w:t>
      </w:r>
      <w:proofErr w:type="spellStart"/>
      <w:r w:rsidRPr="005348B9">
        <w:rPr>
          <w:color w:val="auto"/>
        </w:rPr>
        <w:t>Sgalambro</w:t>
      </w:r>
      <w:proofErr w:type="spellEnd"/>
      <w:r w:rsidRPr="005348B9">
        <w:rPr>
          <w:color w:val="auto"/>
        </w:rPr>
        <w:t xml:space="preserve">, A.; Cecchi, F.; Maron, B.J. Timing and significance of exercise-induced left ventricular outflow tract pressure gradients in hypertrophic cardiomyopathy. </w:t>
      </w:r>
      <w:r w:rsidRPr="005348B9">
        <w:rPr>
          <w:i/>
          <w:iCs/>
          <w:color w:val="auto"/>
        </w:rPr>
        <w:t xml:space="preserve">Am. J. </w:t>
      </w:r>
      <w:proofErr w:type="spellStart"/>
      <w:r w:rsidRPr="005348B9">
        <w:rPr>
          <w:i/>
          <w:iCs/>
          <w:color w:val="auto"/>
        </w:rPr>
        <w:t>Cardiol</w:t>
      </w:r>
      <w:proofErr w:type="spellEnd"/>
      <w:r w:rsidRPr="005348B9">
        <w:rPr>
          <w:color w:val="auto"/>
        </w:rPr>
        <w:t xml:space="preserve">. </w:t>
      </w:r>
      <w:r>
        <w:rPr>
          <w:b/>
          <w:bCs/>
          <w:color w:val="auto"/>
        </w:rPr>
        <w:t>2010</w:t>
      </w:r>
      <w:r>
        <w:rPr>
          <w:bCs/>
          <w:color w:val="auto"/>
        </w:rPr>
        <w:t xml:space="preserve">, </w:t>
      </w:r>
      <w:r>
        <w:rPr>
          <w:bCs/>
          <w:i/>
          <w:color w:val="auto"/>
        </w:rPr>
        <w:t>106</w:t>
      </w:r>
      <w:r>
        <w:rPr>
          <w:bCs/>
          <w:color w:val="auto"/>
        </w:rPr>
        <w:t>, 1301–1306</w:t>
      </w:r>
      <w:r w:rsidRPr="005348B9">
        <w:rPr>
          <w:bCs/>
          <w:color w:val="auto"/>
        </w:rPr>
        <w:t>.</w:t>
      </w:r>
    </w:p>
    <w:p w14:paraId="2EA0B1E7"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lang w:val="es-ES"/>
        </w:rPr>
        <w:lastRenderedPageBreak/>
        <w:t>Payá</w:t>
      </w:r>
      <w:proofErr w:type="spellEnd"/>
      <w:r w:rsidRPr="005348B9">
        <w:rPr>
          <w:color w:val="auto"/>
          <w:lang w:val="es-ES"/>
        </w:rPr>
        <w:t xml:space="preserve">, E.; Marín, F.; González, J.; Gimeno, J.R.; Feliu, E.; Romero, A.; Ruiz-Espejo, F.; Roldán, V.; Climent, V.; de la Morena, G.; et al. </w:t>
      </w:r>
      <w:r w:rsidRPr="005348B9">
        <w:rPr>
          <w:color w:val="auto"/>
        </w:rPr>
        <w:t xml:space="preserve">Variables associated with contrast-enhanced cardiovascular magnetic resonance in hypertrophic cardiomyopathy: Clinical implications. </w:t>
      </w:r>
      <w:r w:rsidRPr="005348B9">
        <w:rPr>
          <w:i/>
          <w:iCs/>
          <w:color w:val="auto"/>
        </w:rPr>
        <w:t>J. Card. Fail</w:t>
      </w:r>
      <w:r w:rsidRPr="005348B9">
        <w:rPr>
          <w:color w:val="auto"/>
        </w:rPr>
        <w:t xml:space="preserve">. </w:t>
      </w:r>
      <w:r>
        <w:rPr>
          <w:b/>
          <w:bCs/>
          <w:color w:val="auto"/>
        </w:rPr>
        <w:t>2008</w:t>
      </w:r>
      <w:r>
        <w:rPr>
          <w:bCs/>
          <w:color w:val="auto"/>
        </w:rPr>
        <w:t xml:space="preserve">, </w:t>
      </w:r>
      <w:r>
        <w:rPr>
          <w:bCs/>
          <w:i/>
          <w:color w:val="auto"/>
        </w:rPr>
        <w:t>14</w:t>
      </w:r>
      <w:r>
        <w:rPr>
          <w:bCs/>
          <w:color w:val="auto"/>
        </w:rPr>
        <w:t>, 414–419</w:t>
      </w:r>
      <w:r w:rsidRPr="005348B9">
        <w:rPr>
          <w:bCs/>
          <w:color w:val="auto"/>
        </w:rPr>
        <w:t>.</w:t>
      </w:r>
    </w:p>
    <w:p w14:paraId="65D5C9C6" w14:textId="77777777" w:rsidR="000B16CE" w:rsidRPr="004F446B" w:rsidRDefault="000B16CE" w:rsidP="008C619F">
      <w:pPr>
        <w:pStyle w:val="MDPI71References"/>
        <w:numPr>
          <w:ilvl w:val="0"/>
          <w:numId w:val="4"/>
        </w:numPr>
        <w:ind w:left="425" w:hanging="425"/>
        <w:rPr>
          <w:color w:val="auto"/>
        </w:rPr>
      </w:pPr>
      <w:r w:rsidRPr="005348B9">
        <w:rPr>
          <w:color w:val="auto"/>
        </w:rPr>
        <w:t>Peteiro, J.; Bouzas-Mosquera, A.; Fernández, X.; Monserrat</w:t>
      </w:r>
      <w:r w:rsidRPr="004F446B">
        <w:rPr>
          <w:color w:val="auto"/>
        </w:rPr>
        <w:t xml:space="preserve">, L.; </w:t>
      </w:r>
      <w:proofErr w:type="spellStart"/>
      <w:r w:rsidRPr="004F446B">
        <w:rPr>
          <w:color w:val="auto"/>
        </w:rPr>
        <w:t>Pazos</w:t>
      </w:r>
      <w:proofErr w:type="spellEnd"/>
      <w:r w:rsidRPr="004F446B">
        <w:rPr>
          <w:color w:val="auto"/>
        </w:rPr>
        <w:t>, P.; Estevez-Loureiro, R.; Castro-</w:t>
      </w:r>
      <w:proofErr w:type="spellStart"/>
      <w:r w:rsidRPr="004F446B">
        <w:rPr>
          <w:color w:val="auto"/>
        </w:rPr>
        <w:t>Beiras</w:t>
      </w:r>
      <w:proofErr w:type="spellEnd"/>
      <w:r w:rsidRPr="004F446B">
        <w:rPr>
          <w:color w:val="auto"/>
        </w:rPr>
        <w:t xml:space="preserve">, A. Prognostic value of exercise echocardiography in patients with hypertrophic cardiomyopathy. </w:t>
      </w:r>
      <w:r>
        <w:rPr>
          <w:i/>
          <w:iCs/>
          <w:color w:val="auto"/>
        </w:rPr>
        <w:t>J.</w:t>
      </w:r>
      <w:r w:rsidRPr="004F446B">
        <w:rPr>
          <w:i/>
          <w:iCs/>
          <w:color w:val="auto"/>
        </w:rPr>
        <w:t xml:space="preserve"> </w:t>
      </w:r>
      <w:r>
        <w:rPr>
          <w:i/>
          <w:iCs/>
          <w:color w:val="auto"/>
        </w:rPr>
        <w:t>Am.</w:t>
      </w:r>
      <w:r w:rsidRPr="004F446B">
        <w:rPr>
          <w:i/>
          <w:iCs/>
          <w:color w:val="auto"/>
        </w:rPr>
        <w:t xml:space="preserve"> Soc</w:t>
      </w:r>
      <w:r>
        <w:rPr>
          <w:i/>
          <w:iCs/>
          <w:color w:val="auto"/>
        </w:rPr>
        <w:t>.</w:t>
      </w:r>
      <w:r w:rsidRPr="004F446B">
        <w:rPr>
          <w:i/>
          <w:iCs/>
          <w:color w:val="auto"/>
        </w:rPr>
        <w:t xml:space="preserve"> </w:t>
      </w:r>
      <w:proofErr w:type="spellStart"/>
      <w:r w:rsidRPr="004F446B">
        <w:rPr>
          <w:i/>
          <w:iCs/>
          <w:color w:val="auto"/>
        </w:rPr>
        <w:t>Echocardiogr</w:t>
      </w:r>
      <w:proofErr w:type="spellEnd"/>
      <w:r w:rsidRPr="004F446B">
        <w:rPr>
          <w:color w:val="auto"/>
        </w:rPr>
        <w:t xml:space="preserve">. </w:t>
      </w:r>
      <w:r>
        <w:rPr>
          <w:b/>
          <w:bCs/>
          <w:color w:val="auto"/>
        </w:rPr>
        <w:t>2012</w:t>
      </w:r>
      <w:r>
        <w:rPr>
          <w:bCs/>
          <w:color w:val="auto"/>
        </w:rPr>
        <w:t xml:space="preserve">, </w:t>
      </w:r>
      <w:r>
        <w:rPr>
          <w:bCs/>
          <w:i/>
          <w:color w:val="auto"/>
        </w:rPr>
        <w:t>25</w:t>
      </w:r>
      <w:r>
        <w:rPr>
          <w:bCs/>
          <w:color w:val="auto"/>
        </w:rPr>
        <w:t>, 182–189.</w:t>
      </w:r>
    </w:p>
    <w:p w14:paraId="55AAAF7C" w14:textId="77777777" w:rsidR="000B16CE" w:rsidRPr="005348B9" w:rsidRDefault="000B16CE" w:rsidP="008C619F">
      <w:pPr>
        <w:pStyle w:val="MDPI71References"/>
        <w:numPr>
          <w:ilvl w:val="0"/>
          <w:numId w:val="4"/>
        </w:numPr>
        <w:ind w:left="425" w:hanging="425"/>
        <w:rPr>
          <w:color w:val="auto"/>
        </w:rPr>
      </w:pPr>
      <w:proofErr w:type="spellStart"/>
      <w:r w:rsidRPr="004F446B">
        <w:rPr>
          <w:color w:val="auto"/>
        </w:rPr>
        <w:t>Pozios</w:t>
      </w:r>
      <w:proofErr w:type="spellEnd"/>
      <w:r w:rsidRPr="004F446B">
        <w:rPr>
          <w:color w:val="auto"/>
        </w:rPr>
        <w:t xml:space="preserve">, I.; Pinheiro, A.; Corona-Villalobos, C.; Sorensen, L.L.; </w:t>
      </w:r>
      <w:proofErr w:type="spellStart"/>
      <w:r w:rsidRPr="004F446B">
        <w:rPr>
          <w:color w:val="auto"/>
        </w:rPr>
        <w:t>Dardari</w:t>
      </w:r>
      <w:proofErr w:type="spellEnd"/>
      <w:r w:rsidRPr="005348B9">
        <w:rPr>
          <w:color w:val="auto"/>
        </w:rPr>
        <w:t xml:space="preserve">, Z.; Liu, H.Y.; </w:t>
      </w:r>
      <w:proofErr w:type="spellStart"/>
      <w:r w:rsidRPr="005348B9">
        <w:rPr>
          <w:color w:val="auto"/>
        </w:rPr>
        <w:t>Cresswell</w:t>
      </w:r>
      <w:proofErr w:type="spellEnd"/>
      <w:r w:rsidRPr="005348B9">
        <w:rPr>
          <w:color w:val="auto"/>
        </w:rPr>
        <w:t xml:space="preserve">, K.; Phillip, S.; </w:t>
      </w:r>
      <w:proofErr w:type="spellStart"/>
      <w:r w:rsidRPr="005348B9">
        <w:rPr>
          <w:color w:val="auto"/>
        </w:rPr>
        <w:t>Bluemke</w:t>
      </w:r>
      <w:proofErr w:type="spellEnd"/>
      <w:r w:rsidRPr="005348B9">
        <w:rPr>
          <w:color w:val="auto"/>
        </w:rPr>
        <w:t xml:space="preserve">, D.A.; Zimmerman, S.L.; et al. Rest and stress longitudinal systolic left ventricular mechanics in hypertrophic cardiomyopathy: Implications for prognostication. </w:t>
      </w:r>
      <w:r w:rsidRPr="005348B9">
        <w:rPr>
          <w:i/>
          <w:iCs/>
          <w:color w:val="auto"/>
        </w:rPr>
        <w:t xml:space="preserve">J. Am. Soc. </w:t>
      </w:r>
      <w:proofErr w:type="spellStart"/>
      <w:r w:rsidRPr="005348B9">
        <w:rPr>
          <w:i/>
          <w:iCs/>
          <w:color w:val="auto"/>
        </w:rPr>
        <w:t>Echocardiogr</w:t>
      </w:r>
      <w:proofErr w:type="spellEnd"/>
      <w:r w:rsidRPr="005348B9">
        <w:rPr>
          <w:color w:val="auto"/>
        </w:rPr>
        <w:t xml:space="preserve">. </w:t>
      </w:r>
      <w:r>
        <w:rPr>
          <w:b/>
          <w:bCs/>
          <w:color w:val="auto"/>
        </w:rPr>
        <w:t>2018</w:t>
      </w:r>
      <w:r>
        <w:rPr>
          <w:bCs/>
          <w:color w:val="auto"/>
        </w:rPr>
        <w:t xml:space="preserve">, </w:t>
      </w:r>
      <w:r>
        <w:rPr>
          <w:bCs/>
          <w:i/>
          <w:color w:val="auto"/>
        </w:rPr>
        <w:t>31</w:t>
      </w:r>
      <w:r>
        <w:rPr>
          <w:bCs/>
          <w:color w:val="auto"/>
        </w:rPr>
        <w:t>, 578–586</w:t>
      </w:r>
      <w:r w:rsidRPr="005348B9">
        <w:rPr>
          <w:bCs/>
          <w:color w:val="auto"/>
        </w:rPr>
        <w:t>.</w:t>
      </w:r>
    </w:p>
    <w:p w14:paraId="101AF9DF"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Re, F.; </w:t>
      </w:r>
      <w:proofErr w:type="spellStart"/>
      <w:r w:rsidRPr="005348B9">
        <w:rPr>
          <w:color w:val="auto"/>
        </w:rPr>
        <w:t>Zachara</w:t>
      </w:r>
      <w:proofErr w:type="spellEnd"/>
      <w:r w:rsidRPr="005348B9">
        <w:rPr>
          <w:color w:val="auto"/>
        </w:rPr>
        <w:t xml:space="preserve">, E.; Avella, A.; </w:t>
      </w:r>
      <w:proofErr w:type="spellStart"/>
      <w:r w:rsidRPr="005348B9">
        <w:rPr>
          <w:color w:val="auto"/>
        </w:rPr>
        <w:t>Baratta</w:t>
      </w:r>
      <w:proofErr w:type="spellEnd"/>
      <w:r w:rsidRPr="005348B9">
        <w:rPr>
          <w:color w:val="auto"/>
        </w:rPr>
        <w:t xml:space="preserve">, P.; di Mauro, M.; </w:t>
      </w:r>
      <w:proofErr w:type="spellStart"/>
      <w:r w:rsidRPr="005348B9">
        <w:rPr>
          <w:color w:val="auto"/>
        </w:rPr>
        <w:t>Uguccioni</w:t>
      </w:r>
      <w:proofErr w:type="spellEnd"/>
      <w:r w:rsidRPr="005348B9">
        <w:rPr>
          <w:color w:val="auto"/>
        </w:rPr>
        <w:t xml:space="preserve">, M.; </w:t>
      </w:r>
      <w:proofErr w:type="spellStart"/>
      <w:r w:rsidRPr="005348B9">
        <w:rPr>
          <w:color w:val="auto"/>
        </w:rPr>
        <w:t>Olivotto</w:t>
      </w:r>
      <w:proofErr w:type="spellEnd"/>
      <w:r w:rsidRPr="005348B9">
        <w:rPr>
          <w:color w:val="auto"/>
        </w:rPr>
        <w:t xml:space="preserve">, I. Dissecting functional impairment in hypertrophic cardiomyopathy by dynamic assessment of diastolic reserve and outflow </w:t>
      </w:r>
      <w:proofErr w:type="gramStart"/>
      <w:r w:rsidRPr="005348B9">
        <w:rPr>
          <w:color w:val="auto"/>
        </w:rPr>
        <w:t>obstruction :</w:t>
      </w:r>
      <w:proofErr w:type="gramEnd"/>
      <w:r w:rsidRPr="005348B9">
        <w:rPr>
          <w:color w:val="auto"/>
        </w:rPr>
        <w:t xml:space="preserve"> A combined cardiopulmonary-echocardiographic study. </w:t>
      </w:r>
      <w:r w:rsidRPr="005348B9">
        <w:rPr>
          <w:i/>
          <w:iCs/>
          <w:color w:val="auto"/>
        </w:rPr>
        <w:t xml:space="preserve">Int. J. </w:t>
      </w:r>
      <w:proofErr w:type="spellStart"/>
      <w:r w:rsidRPr="005348B9">
        <w:rPr>
          <w:i/>
          <w:iCs/>
          <w:color w:val="auto"/>
        </w:rPr>
        <w:t>Cardiol</w:t>
      </w:r>
      <w:proofErr w:type="spellEnd"/>
      <w:r w:rsidRPr="005348B9">
        <w:rPr>
          <w:color w:val="auto"/>
        </w:rPr>
        <w:t xml:space="preserve">. </w:t>
      </w:r>
      <w:r>
        <w:rPr>
          <w:b/>
          <w:bCs/>
          <w:color w:val="auto"/>
        </w:rPr>
        <w:t>2017</w:t>
      </w:r>
      <w:r>
        <w:rPr>
          <w:bCs/>
          <w:color w:val="auto"/>
        </w:rPr>
        <w:t xml:space="preserve">, </w:t>
      </w:r>
      <w:r>
        <w:rPr>
          <w:bCs/>
          <w:i/>
          <w:color w:val="auto"/>
        </w:rPr>
        <w:t>15</w:t>
      </w:r>
      <w:r>
        <w:rPr>
          <w:bCs/>
          <w:color w:val="auto"/>
        </w:rPr>
        <w:t>, 743–750</w:t>
      </w:r>
      <w:r w:rsidRPr="005348B9">
        <w:rPr>
          <w:bCs/>
          <w:color w:val="auto"/>
        </w:rPr>
        <w:t>.</w:t>
      </w:r>
    </w:p>
    <w:p w14:paraId="75F0A0F9" w14:textId="77777777" w:rsidR="000B16CE" w:rsidRPr="005348B9" w:rsidRDefault="000B16CE" w:rsidP="008C619F">
      <w:pPr>
        <w:pStyle w:val="MDPI71References"/>
        <w:numPr>
          <w:ilvl w:val="0"/>
          <w:numId w:val="4"/>
        </w:numPr>
        <w:ind w:left="425" w:hanging="425"/>
        <w:rPr>
          <w:color w:val="auto"/>
        </w:rPr>
      </w:pPr>
      <w:r w:rsidRPr="005348B9">
        <w:rPr>
          <w:color w:val="auto"/>
          <w:lang w:val="es-ES"/>
        </w:rPr>
        <w:t xml:space="preserve">Romero-Puche, A.; Marín, F.; González-Carrillo, J.; García-Honrubia, A.; Climent, V.; Feliu, E.; Ruiz-Espejo, F.; </w:t>
      </w:r>
      <w:proofErr w:type="spellStart"/>
      <w:r w:rsidRPr="005348B9">
        <w:rPr>
          <w:color w:val="auto"/>
          <w:lang w:val="es-ES"/>
        </w:rPr>
        <w:t>Payá</w:t>
      </w:r>
      <w:proofErr w:type="spellEnd"/>
      <w:r w:rsidRPr="005348B9">
        <w:rPr>
          <w:color w:val="auto"/>
          <w:lang w:val="es-ES"/>
        </w:rPr>
        <w:t xml:space="preserve">, E.; Gimeno-Blanes, J.R.; de la Morena, G.; et al. </w:t>
      </w:r>
      <w:r w:rsidRPr="005348B9">
        <w:rPr>
          <w:color w:val="auto"/>
        </w:rPr>
        <w:t xml:space="preserve">Gadolinium-enhanced cardiovascular magnetic resonance and exercise capacity in hypertrophic cardiomyopathy. </w:t>
      </w:r>
      <w:r w:rsidRPr="005348B9">
        <w:rPr>
          <w:i/>
          <w:iCs/>
          <w:color w:val="auto"/>
        </w:rPr>
        <w:t xml:space="preserve">Rev. Esp. </w:t>
      </w:r>
      <w:proofErr w:type="spellStart"/>
      <w:r w:rsidRPr="005348B9">
        <w:rPr>
          <w:i/>
          <w:iCs/>
          <w:color w:val="auto"/>
        </w:rPr>
        <w:t>Cardiol</w:t>
      </w:r>
      <w:proofErr w:type="spellEnd"/>
      <w:r w:rsidRPr="005348B9">
        <w:rPr>
          <w:color w:val="auto"/>
        </w:rPr>
        <w:t xml:space="preserve">. </w:t>
      </w:r>
      <w:r>
        <w:rPr>
          <w:b/>
          <w:bCs/>
          <w:color w:val="auto"/>
        </w:rPr>
        <w:t>2008</w:t>
      </w:r>
      <w:r>
        <w:rPr>
          <w:bCs/>
          <w:color w:val="auto"/>
        </w:rPr>
        <w:t xml:space="preserve">, </w:t>
      </w:r>
      <w:r>
        <w:rPr>
          <w:bCs/>
          <w:i/>
          <w:color w:val="auto"/>
        </w:rPr>
        <w:t>61</w:t>
      </w:r>
      <w:r>
        <w:rPr>
          <w:bCs/>
          <w:color w:val="auto"/>
        </w:rPr>
        <w:t>, 853–860</w:t>
      </w:r>
      <w:r w:rsidRPr="005348B9">
        <w:rPr>
          <w:bCs/>
          <w:color w:val="auto"/>
        </w:rPr>
        <w:t>.</w:t>
      </w:r>
    </w:p>
    <w:p w14:paraId="2B5C5CCE"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Rosing, D.R.; Kent, K.M.; Borer, J.S.; </w:t>
      </w:r>
      <w:proofErr w:type="spellStart"/>
      <w:r w:rsidRPr="005348B9">
        <w:rPr>
          <w:color w:val="auto"/>
        </w:rPr>
        <w:t>Seides</w:t>
      </w:r>
      <w:proofErr w:type="spellEnd"/>
      <w:r w:rsidRPr="005348B9">
        <w:rPr>
          <w:color w:val="auto"/>
        </w:rPr>
        <w:t xml:space="preserve">, S.F.; Maron, B.J.; Epstein, S.E. Verapamil therapy: A new approach to the pharmacologic treatment of hypertrophic cardiomyopathy. I. Hemodynamic effects. </w:t>
      </w:r>
      <w:r w:rsidRPr="005348B9">
        <w:rPr>
          <w:i/>
          <w:iCs/>
          <w:color w:val="auto"/>
        </w:rPr>
        <w:t>Circulation</w:t>
      </w:r>
      <w:r w:rsidRPr="005348B9">
        <w:rPr>
          <w:color w:val="auto"/>
        </w:rPr>
        <w:t xml:space="preserve"> </w:t>
      </w:r>
      <w:r>
        <w:rPr>
          <w:b/>
          <w:bCs/>
          <w:color w:val="auto"/>
        </w:rPr>
        <w:t>1979</w:t>
      </w:r>
      <w:r>
        <w:rPr>
          <w:bCs/>
          <w:color w:val="auto"/>
        </w:rPr>
        <w:t xml:space="preserve">, </w:t>
      </w:r>
      <w:r>
        <w:rPr>
          <w:bCs/>
          <w:i/>
          <w:color w:val="auto"/>
        </w:rPr>
        <w:t>60</w:t>
      </w:r>
      <w:r>
        <w:rPr>
          <w:bCs/>
          <w:color w:val="auto"/>
        </w:rPr>
        <w:t>, 1201–1207</w:t>
      </w:r>
      <w:r w:rsidRPr="005348B9">
        <w:rPr>
          <w:bCs/>
          <w:color w:val="auto"/>
        </w:rPr>
        <w:t>.</w:t>
      </w:r>
    </w:p>
    <w:p w14:paraId="1161177E"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Sachdev, V.; </w:t>
      </w:r>
      <w:proofErr w:type="spellStart"/>
      <w:r w:rsidRPr="005348B9">
        <w:rPr>
          <w:color w:val="auto"/>
        </w:rPr>
        <w:t>Shizukuda</w:t>
      </w:r>
      <w:proofErr w:type="spellEnd"/>
      <w:r w:rsidRPr="005348B9">
        <w:rPr>
          <w:color w:val="auto"/>
        </w:rPr>
        <w:t xml:space="preserve">, Y.; Brenneman, C.L.; Birdsall, C.W.; </w:t>
      </w:r>
      <w:proofErr w:type="spellStart"/>
      <w:r w:rsidRPr="005348B9">
        <w:rPr>
          <w:color w:val="auto"/>
        </w:rPr>
        <w:t>Waclawiw</w:t>
      </w:r>
      <w:proofErr w:type="spellEnd"/>
      <w:r w:rsidRPr="005348B9">
        <w:rPr>
          <w:color w:val="auto"/>
        </w:rPr>
        <w:t xml:space="preserve">, M.A.; Arai, A.E.; </w:t>
      </w:r>
      <w:proofErr w:type="spellStart"/>
      <w:r w:rsidRPr="005348B9">
        <w:rPr>
          <w:color w:val="auto"/>
        </w:rPr>
        <w:t>Mohiddin</w:t>
      </w:r>
      <w:proofErr w:type="spellEnd"/>
      <w:r w:rsidRPr="005348B9">
        <w:rPr>
          <w:color w:val="auto"/>
        </w:rPr>
        <w:t xml:space="preserve">, S.A.; </w:t>
      </w:r>
      <w:proofErr w:type="spellStart"/>
      <w:r w:rsidRPr="005348B9">
        <w:rPr>
          <w:color w:val="auto"/>
        </w:rPr>
        <w:t>Tripodi</w:t>
      </w:r>
      <w:proofErr w:type="spellEnd"/>
      <w:r w:rsidRPr="005348B9">
        <w:rPr>
          <w:color w:val="auto"/>
        </w:rPr>
        <w:t xml:space="preserve">, D.; </w:t>
      </w:r>
      <w:proofErr w:type="spellStart"/>
      <w:r w:rsidRPr="005348B9">
        <w:rPr>
          <w:color w:val="auto"/>
        </w:rPr>
        <w:t>Fananapazir</w:t>
      </w:r>
      <w:proofErr w:type="spellEnd"/>
      <w:r w:rsidRPr="005348B9">
        <w:rPr>
          <w:color w:val="auto"/>
        </w:rPr>
        <w:t xml:space="preserve">, L.; </w:t>
      </w:r>
      <w:proofErr w:type="spellStart"/>
      <w:r w:rsidRPr="005348B9">
        <w:rPr>
          <w:color w:val="auto"/>
        </w:rPr>
        <w:t>Plehn</w:t>
      </w:r>
      <w:proofErr w:type="spellEnd"/>
      <w:r w:rsidRPr="005348B9">
        <w:rPr>
          <w:color w:val="auto"/>
        </w:rPr>
        <w:t xml:space="preserve">, J.F. Left atrial volumetric remodeling is predictive of functional capacity in nonobstructive hypertrophic cardiomyopathy. </w:t>
      </w:r>
      <w:r w:rsidRPr="005348B9">
        <w:rPr>
          <w:i/>
          <w:iCs/>
          <w:color w:val="auto"/>
        </w:rPr>
        <w:t>Am. Heart J</w:t>
      </w:r>
      <w:r w:rsidRPr="005348B9">
        <w:rPr>
          <w:color w:val="auto"/>
        </w:rPr>
        <w:t xml:space="preserve">. </w:t>
      </w:r>
      <w:r>
        <w:rPr>
          <w:b/>
          <w:bCs/>
          <w:color w:val="auto"/>
        </w:rPr>
        <w:t>2005</w:t>
      </w:r>
      <w:r>
        <w:rPr>
          <w:bCs/>
          <w:color w:val="auto"/>
        </w:rPr>
        <w:t xml:space="preserve">, </w:t>
      </w:r>
      <w:r>
        <w:rPr>
          <w:bCs/>
          <w:i/>
          <w:color w:val="auto"/>
        </w:rPr>
        <w:t>149</w:t>
      </w:r>
      <w:r>
        <w:rPr>
          <w:bCs/>
          <w:color w:val="auto"/>
        </w:rPr>
        <w:t>, 730–736</w:t>
      </w:r>
      <w:r w:rsidRPr="005348B9">
        <w:rPr>
          <w:bCs/>
          <w:color w:val="auto"/>
        </w:rPr>
        <w:t>.</w:t>
      </w:r>
    </w:p>
    <w:p w14:paraId="54CEE948" w14:textId="77777777" w:rsidR="000B16CE" w:rsidRPr="005348B9" w:rsidRDefault="000B16CE" w:rsidP="008C619F">
      <w:pPr>
        <w:pStyle w:val="MDPI71References"/>
        <w:numPr>
          <w:ilvl w:val="0"/>
          <w:numId w:val="4"/>
        </w:numPr>
        <w:ind w:left="425" w:hanging="425"/>
        <w:rPr>
          <w:color w:val="auto"/>
        </w:rPr>
      </w:pPr>
      <w:r w:rsidRPr="005348B9">
        <w:rPr>
          <w:color w:val="auto"/>
          <w:lang w:val="es-ES"/>
        </w:rPr>
        <w:t xml:space="preserve">Saura, D.; Marín, F.; Climent, V.; González, J.; Roldán, V.; Hernández-Romero, D.; Oliva, M.J.; Sabater, M.; de la Morena, G.; </w:t>
      </w:r>
      <w:proofErr w:type="spellStart"/>
      <w:r w:rsidRPr="005348B9">
        <w:rPr>
          <w:color w:val="auto"/>
          <w:lang w:val="es-ES"/>
        </w:rPr>
        <w:t>Lip</w:t>
      </w:r>
      <w:proofErr w:type="spellEnd"/>
      <w:r w:rsidRPr="005348B9">
        <w:rPr>
          <w:color w:val="auto"/>
          <w:lang w:val="es-ES"/>
        </w:rPr>
        <w:t xml:space="preserve">, G.Y.H.; et al. </w:t>
      </w:r>
      <w:r w:rsidRPr="005348B9">
        <w:rPr>
          <w:color w:val="auto"/>
        </w:rPr>
        <w:t xml:space="preserve">Left atrial </w:t>
      </w:r>
      <w:proofErr w:type="spellStart"/>
      <w:r w:rsidRPr="005348B9">
        <w:rPr>
          <w:color w:val="auto"/>
        </w:rPr>
        <w:t>remodelling</w:t>
      </w:r>
      <w:proofErr w:type="spellEnd"/>
      <w:r w:rsidRPr="005348B9">
        <w:rPr>
          <w:color w:val="auto"/>
        </w:rPr>
        <w:t xml:space="preserve"> in hypertrophic cardiomyopathy: Relation with exercise capacity and biochemical markers of tissue strain and </w:t>
      </w:r>
      <w:proofErr w:type="spellStart"/>
      <w:r w:rsidRPr="005348B9">
        <w:rPr>
          <w:color w:val="auto"/>
        </w:rPr>
        <w:t>remodelling</w:t>
      </w:r>
      <w:proofErr w:type="spellEnd"/>
      <w:r w:rsidRPr="005348B9">
        <w:rPr>
          <w:color w:val="auto"/>
        </w:rPr>
        <w:t xml:space="preserve">. </w:t>
      </w:r>
      <w:r w:rsidRPr="005348B9">
        <w:rPr>
          <w:i/>
          <w:iCs/>
          <w:color w:val="auto"/>
        </w:rPr>
        <w:t xml:space="preserve">Int. J. Clin. </w:t>
      </w:r>
      <w:proofErr w:type="spellStart"/>
      <w:r w:rsidRPr="005348B9">
        <w:rPr>
          <w:i/>
          <w:iCs/>
          <w:color w:val="auto"/>
        </w:rPr>
        <w:t>Pract</w:t>
      </w:r>
      <w:proofErr w:type="spellEnd"/>
      <w:r w:rsidRPr="005348B9">
        <w:rPr>
          <w:color w:val="auto"/>
        </w:rPr>
        <w:t xml:space="preserve">. </w:t>
      </w:r>
      <w:r>
        <w:rPr>
          <w:b/>
          <w:bCs/>
          <w:color w:val="auto"/>
        </w:rPr>
        <w:t>2009</w:t>
      </w:r>
      <w:r>
        <w:rPr>
          <w:bCs/>
          <w:color w:val="auto"/>
        </w:rPr>
        <w:t xml:space="preserve">, </w:t>
      </w:r>
      <w:r>
        <w:rPr>
          <w:bCs/>
          <w:i/>
          <w:color w:val="auto"/>
        </w:rPr>
        <w:t>63</w:t>
      </w:r>
      <w:r>
        <w:rPr>
          <w:bCs/>
          <w:color w:val="auto"/>
        </w:rPr>
        <w:t>, 1465–1471</w:t>
      </w:r>
      <w:r w:rsidRPr="005348B9">
        <w:rPr>
          <w:bCs/>
          <w:color w:val="auto"/>
        </w:rPr>
        <w:t>.</w:t>
      </w:r>
    </w:p>
    <w:p w14:paraId="20D844F4"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Shah, A.B.; </w:t>
      </w:r>
      <w:proofErr w:type="spellStart"/>
      <w:r w:rsidRPr="005348B9">
        <w:rPr>
          <w:color w:val="auto"/>
        </w:rPr>
        <w:t>Bechis</w:t>
      </w:r>
      <w:proofErr w:type="spellEnd"/>
      <w:r w:rsidRPr="005348B9">
        <w:rPr>
          <w:color w:val="auto"/>
        </w:rPr>
        <w:t xml:space="preserve">, M.Z.; Brown, M.; Finch, J.M.; </w:t>
      </w:r>
      <w:proofErr w:type="spellStart"/>
      <w:r w:rsidRPr="005348B9">
        <w:rPr>
          <w:color w:val="auto"/>
        </w:rPr>
        <w:t>Loomer</w:t>
      </w:r>
      <w:proofErr w:type="spellEnd"/>
      <w:r w:rsidRPr="005348B9">
        <w:rPr>
          <w:color w:val="auto"/>
        </w:rPr>
        <w:t xml:space="preserve">, G.; </w:t>
      </w:r>
      <w:proofErr w:type="spellStart"/>
      <w:r w:rsidRPr="005348B9">
        <w:rPr>
          <w:color w:val="auto"/>
        </w:rPr>
        <w:t>Groezinger</w:t>
      </w:r>
      <w:proofErr w:type="spellEnd"/>
      <w:r w:rsidRPr="005348B9">
        <w:rPr>
          <w:color w:val="auto"/>
        </w:rPr>
        <w:t xml:space="preserve">, E.; Weiner, R.B.; </w:t>
      </w:r>
      <w:proofErr w:type="spellStart"/>
      <w:r w:rsidRPr="005348B9">
        <w:rPr>
          <w:color w:val="auto"/>
        </w:rPr>
        <w:t>Wasfy</w:t>
      </w:r>
      <w:proofErr w:type="spellEnd"/>
      <w:r w:rsidRPr="005348B9">
        <w:rPr>
          <w:color w:val="auto"/>
        </w:rPr>
        <w:t xml:space="preserve">, M.M.; Picard, M.H.; Fifer, M.A.; et al. Catecholamine response to exercise in patients with non-obstructive hypertrophic cardiomyopathy. </w:t>
      </w:r>
      <w:r w:rsidRPr="005348B9">
        <w:rPr>
          <w:i/>
          <w:iCs/>
          <w:color w:val="auto"/>
        </w:rPr>
        <w:t>J. Physiol</w:t>
      </w:r>
      <w:r w:rsidRPr="005348B9">
        <w:rPr>
          <w:color w:val="auto"/>
        </w:rPr>
        <w:t xml:space="preserve">. </w:t>
      </w:r>
      <w:r>
        <w:rPr>
          <w:b/>
          <w:bCs/>
          <w:color w:val="auto"/>
        </w:rPr>
        <w:t>2019</w:t>
      </w:r>
      <w:r>
        <w:rPr>
          <w:bCs/>
          <w:color w:val="auto"/>
        </w:rPr>
        <w:t xml:space="preserve">, </w:t>
      </w:r>
      <w:r>
        <w:rPr>
          <w:bCs/>
          <w:i/>
          <w:color w:val="auto"/>
        </w:rPr>
        <w:t>597</w:t>
      </w:r>
      <w:r>
        <w:rPr>
          <w:bCs/>
          <w:color w:val="auto"/>
        </w:rPr>
        <w:t>, 1337–1346</w:t>
      </w:r>
      <w:r w:rsidRPr="005348B9">
        <w:rPr>
          <w:bCs/>
          <w:color w:val="auto"/>
        </w:rPr>
        <w:t>.</w:t>
      </w:r>
    </w:p>
    <w:p w14:paraId="23D9F74B"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rPr>
        <w:t>Shizukuda</w:t>
      </w:r>
      <w:proofErr w:type="spellEnd"/>
      <w:r w:rsidRPr="005348B9">
        <w:rPr>
          <w:color w:val="auto"/>
        </w:rPr>
        <w:t xml:space="preserve">, Y.; Sachdev, V.; </w:t>
      </w:r>
      <w:proofErr w:type="spellStart"/>
      <w:r w:rsidRPr="005348B9">
        <w:rPr>
          <w:color w:val="auto"/>
        </w:rPr>
        <w:t>Fananapazir</w:t>
      </w:r>
      <w:proofErr w:type="spellEnd"/>
      <w:r w:rsidRPr="005348B9">
        <w:rPr>
          <w:color w:val="auto"/>
        </w:rPr>
        <w:t xml:space="preserve">, L.; </w:t>
      </w:r>
      <w:proofErr w:type="spellStart"/>
      <w:r w:rsidRPr="005348B9">
        <w:rPr>
          <w:color w:val="auto"/>
        </w:rPr>
        <w:t>Tripodi</w:t>
      </w:r>
      <w:proofErr w:type="spellEnd"/>
      <w:r w:rsidRPr="005348B9">
        <w:rPr>
          <w:color w:val="auto"/>
        </w:rPr>
        <w:t xml:space="preserve">, D.; </w:t>
      </w:r>
      <w:proofErr w:type="spellStart"/>
      <w:r w:rsidRPr="005348B9">
        <w:rPr>
          <w:color w:val="auto"/>
        </w:rPr>
        <w:t>Mohiddin</w:t>
      </w:r>
      <w:proofErr w:type="spellEnd"/>
      <w:r w:rsidRPr="005348B9">
        <w:rPr>
          <w:color w:val="auto"/>
        </w:rPr>
        <w:t xml:space="preserve">, S.A.; Arai, A.E.; </w:t>
      </w:r>
      <w:proofErr w:type="spellStart"/>
      <w:r w:rsidRPr="005348B9">
        <w:rPr>
          <w:color w:val="auto"/>
        </w:rPr>
        <w:t>Waclawiw</w:t>
      </w:r>
      <w:proofErr w:type="spellEnd"/>
      <w:r w:rsidRPr="004F446B">
        <w:rPr>
          <w:color w:val="auto"/>
        </w:rPr>
        <w:t xml:space="preserve">, M.A.; </w:t>
      </w:r>
      <w:proofErr w:type="spellStart"/>
      <w:r w:rsidRPr="004F446B">
        <w:rPr>
          <w:color w:val="auto"/>
        </w:rPr>
        <w:t>Plehn</w:t>
      </w:r>
      <w:proofErr w:type="spellEnd"/>
      <w:r w:rsidRPr="004F446B">
        <w:rPr>
          <w:color w:val="auto"/>
        </w:rPr>
        <w:t xml:space="preserve">, J.F. Is functional capacity related to left atrial contractile function in nonobstructive hypertrophic </w:t>
      </w:r>
      <w:r w:rsidRPr="005348B9">
        <w:rPr>
          <w:color w:val="auto"/>
        </w:rPr>
        <w:t xml:space="preserve">cardiomyopathy? </w:t>
      </w:r>
      <w:r w:rsidRPr="005348B9">
        <w:rPr>
          <w:i/>
          <w:iCs/>
          <w:color w:val="auto"/>
        </w:rPr>
        <w:t>Congest. Heart Fail</w:t>
      </w:r>
      <w:r w:rsidRPr="005348B9">
        <w:rPr>
          <w:color w:val="auto"/>
        </w:rPr>
        <w:t xml:space="preserve">. </w:t>
      </w:r>
      <w:r>
        <w:rPr>
          <w:b/>
          <w:bCs/>
          <w:color w:val="auto"/>
        </w:rPr>
        <w:t>2005</w:t>
      </w:r>
      <w:r>
        <w:rPr>
          <w:bCs/>
          <w:color w:val="auto"/>
        </w:rPr>
        <w:t xml:space="preserve">, </w:t>
      </w:r>
      <w:r>
        <w:rPr>
          <w:bCs/>
          <w:i/>
          <w:color w:val="auto"/>
        </w:rPr>
        <w:t>11</w:t>
      </w:r>
      <w:r>
        <w:rPr>
          <w:bCs/>
          <w:color w:val="auto"/>
        </w:rPr>
        <w:t>, 234–240</w:t>
      </w:r>
      <w:r w:rsidRPr="005348B9">
        <w:rPr>
          <w:bCs/>
          <w:color w:val="auto"/>
        </w:rPr>
        <w:t>.</w:t>
      </w:r>
    </w:p>
    <w:p w14:paraId="7BF0C9FD" w14:textId="77777777" w:rsidR="000B16CE" w:rsidRPr="00F8331A" w:rsidRDefault="000B16CE" w:rsidP="008C619F">
      <w:pPr>
        <w:pStyle w:val="MDPI71References"/>
        <w:numPr>
          <w:ilvl w:val="0"/>
          <w:numId w:val="4"/>
        </w:numPr>
        <w:ind w:left="425" w:hanging="425"/>
        <w:rPr>
          <w:color w:val="auto"/>
        </w:rPr>
      </w:pPr>
      <w:r w:rsidRPr="005348B9">
        <w:rPr>
          <w:color w:val="auto"/>
        </w:rPr>
        <w:t xml:space="preserve">Smith, E.D.; Tome, J.; </w:t>
      </w:r>
      <w:proofErr w:type="spellStart"/>
      <w:r w:rsidRPr="005348B9">
        <w:rPr>
          <w:color w:val="auto"/>
        </w:rPr>
        <w:t>Mcgrath</w:t>
      </w:r>
      <w:proofErr w:type="spellEnd"/>
      <w:r w:rsidRPr="005348B9">
        <w:rPr>
          <w:color w:val="auto"/>
        </w:rPr>
        <w:t xml:space="preserve">, R.; Kumar, S.; Concannon, M.; Day, S.M.; </w:t>
      </w:r>
      <w:proofErr w:type="spellStart"/>
      <w:r w:rsidRPr="005348B9">
        <w:rPr>
          <w:color w:val="auto"/>
        </w:rPr>
        <w:t>Saberi</w:t>
      </w:r>
      <w:proofErr w:type="spellEnd"/>
      <w:r w:rsidRPr="005348B9">
        <w:rPr>
          <w:color w:val="auto"/>
        </w:rPr>
        <w:t xml:space="preserve">, S.; Helms, A.S. Exercise hemodynamics in hypertrophic cardiomyopathy identify risk of incident heart failure but not ventricular arrhythmias or sudden cardiac death. </w:t>
      </w:r>
      <w:r w:rsidRPr="005348B9">
        <w:rPr>
          <w:i/>
          <w:iCs/>
          <w:color w:val="auto"/>
        </w:rPr>
        <w:t xml:space="preserve">Int. J. </w:t>
      </w:r>
      <w:proofErr w:type="spellStart"/>
      <w:r w:rsidRPr="005348B9">
        <w:rPr>
          <w:i/>
          <w:iCs/>
          <w:color w:val="auto"/>
        </w:rPr>
        <w:t>Cardiol</w:t>
      </w:r>
      <w:proofErr w:type="spellEnd"/>
      <w:r w:rsidRPr="005348B9">
        <w:rPr>
          <w:color w:val="auto"/>
        </w:rPr>
        <w:t xml:space="preserve">. </w:t>
      </w:r>
      <w:r>
        <w:rPr>
          <w:b/>
          <w:bCs/>
          <w:color w:val="auto"/>
        </w:rPr>
        <w:t>2018</w:t>
      </w:r>
      <w:r>
        <w:rPr>
          <w:bCs/>
          <w:color w:val="auto"/>
        </w:rPr>
        <w:t xml:space="preserve">, </w:t>
      </w:r>
      <w:r>
        <w:rPr>
          <w:bCs/>
          <w:i/>
          <w:color w:val="auto"/>
        </w:rPr>
        <w:t>1</w:t>
      </w:r>
      <w:r>
        <w:rPr>
          <w:bCs/>
          <w:color w:val="auto"/>
        </w:rPr>
        <w:t>, 226–231</w:t>
      </w:r>
      <w:r w:rsidRPr="005348B9">
        <w:rPr>
          <w:bCs/>
          <w:color w:val="auto"/>
        </w:rPr>
        <w:t>.</w:t>
      </w:r>
    </w:p>
    <w:p w14:paraId="5F81F5A1" w14:textId="77777777" w:rsidR="000B16CE" w:rsidRPr="00F8331A" w:rsidRDefault="000B16CE" w:rsidP="008C619F">
      <w:pPr>
        <w:pStyle w:val="MDPI71References"/>
        <w:numPr>
          <w:ilvl w:val="0"/>
          <w:numId w:val="4"/>
        </w:numPr>
        <w:ind w:left="425" w:hanging="425"/>
        <w:rPr>
          <w:color w:val="auto"/>
        </w:rPr>
      </w:pPr>
      <w:r w:rsidRPr="00F8331A">
        <w:rPr>
          <w:color w:val="auto"/>
        </w:rPr>
        <w:t>Smith, J.R.; Medina-</w:t>
      </w:r>
      <w:proofErr w:type="spellStart"/>
      <w:r w:rsidRPr="00F8331A">
        <w:rPr>
          <w:color w:val="auto"/>
        </w:rPr>
        <w:t>Inojosa</w:t>
      </w:r>
      <w:proofErr w:type="spellEnd"/>
      <w:r w:rsidRPr="00F8331A">
        <w:rPr>
          <w:color w:val="auto"/>
        </w:rPr>
        <w:t xml:space="preserve">, J.R.; </w:t>
      </w:r>
      <w:proofErr w:type="spellStart"/>
      <w:r w:rsidRPr="00F8331A">
        <w:rPr>
          <w:color w:val="auto"/>
        </w:rPr>
        <w:t>Layrisse</w:t>
      </w:r>
      <w:proofErr w:type="spellEnd"/>
      <w:r w:rsidRPr="00F8331A">
        <w:rPr>
          <w:color w:val="auto"/>
        </w:rPr>
        <w:t xml:space="preserve">, V.; </w:t>
      </w:r>
      <w:proofErr w:type="spellStart"/>
      <w:r w:rsidRPr="00F8331A">
        <w:rPr>
          <w:color w:val="auto"/>
        </w:rPr>
        <w:t>Ommen</w:t>
      </w:r>
      <w:proofErr w:type="spellEnd"/>
      <w:r w:rsidRPr="00F8331A">
        <w:rPr>
          <w:color w:val="auto"/>
        </w:rPr>
        <w:t xml:space="preserve">, S.R.; Olson, T.P. Predictors of exercise capacity in patients with hypertrophic obstructive cardiomyopathy. </w:t>
      </w:r>
      <w:r w:rsidRPr="00F8331A">
        <w:rPr>
          <w:i/>
          <w:iCs/>
          <w:color w:val="auto"/>
        </w:rPr>
        <w:t>J. Clin. Med</w:t>
      </w:r>
      <w:r w:rsidRPr="00F8331A">
        <w:rPr>
          <w:color w:val="auto"/>
        </w:rPr>
        <w:t xml:space="preserve">. </w:t>
      </w:r>
      <w:r w:rsidRPr="00F8331A">
        <w:rPr>
          <w:b/>
          <w:bCs/>
          <w:color w:val="auto"/>
        </w:rPr>
        <w:t>2018</w:t>
      </w:r>
      <w:r w:rsidRPr="00F8331A">
        <w:rPr>
          <w:bCs/>
          <w:color w:val="auto"/>
        </w:rPr>
        <w:t xml:space="preserve">, </w:t>
      </w:r>
      <w:r w:rsidRPr="00F8331A">
        <w:rPr>
          <w:bCs/>
          <w:i/>
          <w:color w:val="auto"/>
        </w:rPr>
        <w:t>7</w:t>
      </w:r>
      <w:r w:rsidRPr="00F8331A">
        <w:rPr>
          <w:bCs/>
          <w:color w:val="auto"/>
        </w:rPr>
        <w:t>, 447</w:t>
      </w:r>
      <w:r w:rsidRPr="00F8331A">
        <w:rPr>
          <w:color w:val="auto"/>
        </w:rPr>
        <w:t>.</w:t>
      </w:r>
    </w:p>
    <w:p w14:paraId="17B9121C" w14:textId="77777777" w:rsidR="000B16CE" w:rsidRPr="00F8331A" w:rsidRDefault="000B16CE" w:rsidP="008C619F">
      <w:pPr>
        <w:pStyle w:val="MDPI71References"/>
        <w:numPr>
          <w:ilvl w:val="0"/>
          <w:numId w:val="4"/>
        </w:numPr>
        <w:ind w:left="425" w:hanging="425"/>
        <w:rPr>
          <w:color w:val="auto"/>
        </w:rPr>
      </w:pPr>
      <w:proofErr w:type="spellStart"/>
      <w:r w:rsidRPr="00F8331A">
        <w:rPr>
          <w:color w:val="auto"/>
        </w:rPr>
        <w:t>Thaman</w:t>
      </w:r>
      <w:proofErr w:type="spellEnd"/>
      <w:r w:rsidRPr="00F8331A">
        <w:rPr>
          <w:color w:val="auto"/>
        </w:rPr>
        <w:t xml:space="preserve">, R.; Tomé-Esteban, M.; Barnes, S.; </w:t>
      </w:r>
      <w:proofErr w:type="spellStart"/>
      <w:r w:rsidRPr="00F8331A">
        <w:rPr>
          <w:color w:val="auto"/>
        </w:rPr>
        <w:t>Gimeno</w:t>
      </w:r>
      <w:proofErr w:type="spellEnd"/>
      <w:r w:rsidRPr="00F8331A">
        <w:rPr>
          <w:color w:val="auto"/>
        </w:rPr>
        <w:t xml:space="preserve">-Blanes, J.R.; Mist, B.; Murphy, R.; Collinson, P.O.; McKenna, W.J.; Elliott, P.E. Usefulness of N-terminal Pro-B-Type natriuretic peptide levels to predict exercise capacity in hypertrophic cardiomyopathy. </w:t>
      </w:r>
      <w:r w:rsidRPr="00F8331A">
        <w:rPr>
          <w:i/>
          <w:iCs/>
          <w:color w:val="auto"/>
        </w:rPr>
        <w:t xml:space="preserve">Am. J. </w:t>
      </w:r>
      <w:proofErr w:type="spellStart"/>
      <w:r w:rsidRPr="00F8331A">
        <w:rPr>
          <w:i/>
          <w:iCs/>
          <w:color w:val="auto"/>
        </w:rPr>
        <w:t>Cardiol</w:t>
      </w:r>
      <w:proofErr w:type="spellEnd"/>
      <w:r w:rsidRPr="00F8331A">
        <w:rPr>
          <w:color w:val="auto"/>
        </w:rPr>
        <w:t xml:space="preserve">. </w:t>
      </w:r>
      <w:r w:rsidRPr="00F8331A">
        <w:rPr>
          <w:b/>
          <w:bCs/>
          <w:color w:val="auto"/>
        </w:rPr>
        <w:t>2006</w:t>
      </w:r>
      <w:r w:rsidRPr="00F8331A">
        <w:rPr>
          <w:bCs/>
          <w:color w:val="auto"/>
        </w:rPr>
        <w:t xml:space="preserve">, </w:t>
      </w:r>
      <w:r w:rsidRPr="00F8331A">
        <w:rPr>
          <w:bCs/>
          <w:i/>
          <w:color w:val="auto"/>
        </w:rPr>
        <w:t>98</w:t>
      </w:r>
      <w:r w:rsidRPr="00F8331A">
        <w:rPr>
          <w:bCs/>
          <w:color w:val="auto"/>
        </w:rPr>
        <w:t>, 515–519.</w:t>
      </w:r>
    </w:p>
    <w:p w14:paraId="31F86FE0" w14:textId="77777777" w:rsidR="000B16CE" w:rsidRPr="005348B9" w:rsidRDefault="000B16CE" w:rsidP="008C619F">
      <w:pPr>
        <w:pStyle w:val="MDPI71References"/>
        <w:numPr>
          <w:ilvl w:val="0"/>
          <w:numId w:val="4"/>
        </w:numPr>
        <w:ind w:left="425" w:hanging="425"/>
        <w:rPr>
          <w:color w:val="auto"/>
        </w:rPr>
      </w:pPr>
      <w:r w:rsidRPr="00F8331A">
        <w:rPr>
          <w:color w:val="auto"/>
        </w:rPr>
        <w:t>Wu, X.; Li, Y.D.; Wang, Y.D.; Zhang, M.; Zhu, W.Z.; Cai, Q.Z</w:t>
      </w:r>
      <w:r w:rsidRPr="005348B9">
        <w:rPr>
          <w:color w:val="auto"/>
        </w:rPr>
        <w:t xml:space="preserve">.; Jiang, W.; Sun, L.L.; Ding, X.Y.; Ye, X.G.; et al. Decreased biventricular mechanics and functional reserve in nonobstructive hypertrophic cardiomyopathy patients: Implications for exercise capacity. </w:t>
      </w:r>
      <w:r w:rsidRPr="005348B9">
        <w:rPr>
          <w:i/>
          <w:iCs/>
          <w:color w:val="auto"/>
        </w:rPr>
        <w:t>Int. J. Cardiovasc. Imaging</w:t>
      </w:r>
      <w:r w:rsidRPr="005348B9">
        <w:rPr>
          <w:color w:val="auto"/>
        </w:rPr>
        <w:t xml:space="preserve"> </w:t>
      </w:r>
      <w:r>
        <w:rPr>
          <w:b/>
          <w:bCs/>
          <w:color w:val="auto"/>
        </w:rPr>
        <w:t>2019</w:t>
      </w:r>
      <w:r>
        <w:rPr>
          <w:bCs/>
          <w:color w:val="auto"/>
        </w:rPr>
        <w:t xml:space="preserve">, </w:t>
      </w:r>
      <w:r>
        <w:rPr>
          <w:bCs/>
          <w:i/>
          <w:color w:val="auto"/>
        </w:rPr>
        <w:t>35</w:t>
      </w:r>
      <w:r>
        <w:rPr>
          <w:bCs/>
          <w:color w:val="auto"/>
        </w:rPr>
        <w:t>, 869–879</w:t>
      </w:r>
      <w:r w:rsidRPr="005348B9">
        <w:rPr>
          <w:bCs/>
          <w:color w:val="auto"/>
        </w:rPr>
        <w:t>.</w:t>
      </w:r>
    </w:p>
    <w:p w14:paraId="22E8A497"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Wu, X.; Li, Y.; Zhang, M.; Zhu, W.; Cai, Q.; Jiang, W.; Sun, L.L.; Ding, X.Y.; Ye, X.G.; Qin, Y.Y.; et al. Impaired left ventricular mechanics and functional reserve are associated with reduced exercise capacity in patients with hypertrophic cardiomyopathy. </w:t>
      </w:r>
      <w:r w:rsidRPr="005348B9">
        <w:rPr>
          <w:i/>
          <w:iCs/>
          <w:color w:val="auto"/>
        </w:rPr>
        <w:t>Echocardiography</w:t>
      </w:r>
      <w:r w:rsidRPr="005348B9">
        <w:rPr>
          <w:color w:val="auto"/>
        </w:rPr>
        <w:t xml:space="preserve">. </w:t>
      </w:r>
      <w:r>
        <w:rPr>
          <w:b/>
          <w:bCs/>
          <w:color w:val="auto"/>
        </w:rPr>
        <w:t>2019</w:t>
      </w:r>
      <w:r>
        <w:rPr>
          <w:bCs/>
          <w:color w:val="auto"/>
        </w:rPr>
        <w:t xml:space="preserve">, </w:t>
      </w:r>
      <w:r>
        <w:rPr>
          <w:bCs/>
          <w:i/>
          <w:color w:val="auto"/>
        </w:rPr>
        <w:t>36</w:t>
      </w:r>
      <w:r>
        <w:rPr>
          <w:bCs/>
          <w:color w:val="auto"/>
        </w:rPr>
        <w:t>, 266–275</w:t>
      </w:r>
      <w:r w:rsidRPr="005348B9">
        <w:rPr>
          <w:bCs/>
          <w:color w:val="auto"/>
        </w:rPr>
        <w:t>.</w:t>
      </w:r>
    </w:p>
    <w:p w14:paraId="51FF01E2"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Wu, X.; Li, Y.; Wang, Y.; Zhang, M.; Zhu, W.; Cai, Q.; Jiang, W.; Sun, L.L.; Ding, X.Y.; Ye, X.G.; et al. Impaired right ventricular mechanics at rest and during exercise are associated with exercise capacity in patients with hypertrophic cardiomyopathy. </w:t>
      </w:r>
      <w:r w:rsidRPr="005348B9">
        <w:rPr>
          <w:i/>
          <w:iCs/>
          <w:color w:val="auto"/>
        </w:rPr>
        <w:t>J. Am. Heart Assoc</w:t>
      </w:r>
      <w:r w:rsidRPr="005348B9">
        <w:rPr>
          <w:color w:val="auto"/>
        </w:rPr>
        <w:t xml:space="preserve">. </w:t>
      </w:r>
      <w:r w:rsidRPr="005348B9">
        <w:rPr>
          <w:b/>
          <w:bCs/>
          <w:color w:val="auto"/>
        </w:rPr>
        <w:t>2019</w:t>
      </w:r>
      <w:r w:rsidRPr="005348B9">
        <w:rPr>
          <w:color w:val="auto"/>
        </w:rPr>
        <w:t xml:space="preserve">, </w:t>
      </w:r>
      <w:r w:rsidRPr="005348B9">
        <w:rPr>
          <w:i/>
          <w:iCs/>
          <w:color w:val="auto"/>
        </w:rPr>
        <w:t>8</w:t>
      </w:r>
      <w:r w:rsidRPr="005348B9">
        <w:rPr>
          <w:color w:val="auto"/>
        </w:rPr>
        <w:t>, e011269.</w:t>
      </w:r>
    </w:p>
    <w:p w14:paraId="3EF80A73"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rPr>
        <w:t>Yetman</w:t>
      </w:r>
      <w:proofErr w:type="spellEnd"/>
      <w:r w:rsidRPr="005348B9">
        <w:rPr>
          <w:color w:val="auto"/>
        </w:rPr>
        <w:t xml:space="preserve">, A.T.; </w:t>
      </w:r>
      <w:proofErr w:type="spellStart"/>
      <w:r w:rsidRPr="005348B9">
        <w:rPr>
          <w:color w:val="auto"/>
        </w:rPr>
        <w:t>Gow</w:t>
      </w:r>
      <w:proofErr w:type="spellEnd"/>
      <w:r w:rsidRPr="005348B9">
        <w:rPr>
          <w:color w:val="auto"/>
        </w:rPr>
        <w:t xml:space="preserve">, R.M.; </w:t>
      </w:r>
      <w:proofErr w:type="spellStart"/>
      <w:r w:rsidRPr="005348B9">
        <w:rPr>
          <w:color w:val="auto"/>
        </w:rPr>
        <w:t>Seib</w:t>
      </w:r>
      <w:proofErr w:type="spellEnd"/>
      <w:r w:rsidRPr="005348B9">
        <w:rPr>
          <w:color w:val="auto"/>
        </w:rPr>
        <w:t xml:space="preserve">, P.; Morrow, W.R.; </w:t>
      </w:r>
      <w:proofErr w:type="spellStart"/>
      <w:r w:rsidRPr="005348B9">
        <w:rPr>
          <w:color w:val="auto"/>
        </w:rPr>
        <w:t>McCrindle</w:t>
      </w:r>
      <w:proofErr w:type="spellEnd"/>
      <w:r w:rsidRPr="005348B9">
        <w:rPr>
          <w:color w:val="auto"/>
        </w:rPr>
        <w:t xml:space="preserve">, B.W. Exercise capacity in children with hypertrophic cardiomyopathy and its relation to diastolic left ventricular function. </w:t>
      </w:r>
      <w:r w:rsidRPr="005348B9">
        <w:rPr>
          <w:i/>
          <w:iCs/>
          <w:color w:val="auto"/>
        </w:rPr>
        <w:t xml:space="preserve">Am. J. </w:t>
      </w:r>
      <w:proofErr w:type="spellStart"/>
      <w:r w:rsidRPr="005348B9">
        <w:rPr>
          <w:i/>
          <w:iCs/>
          <w:color w:val="auto"/>
        </w:rPr>
        <w:t>Cardiol</w:t>
      </w:r>
      <w:proofErr w:type="spellEnd"/>
      <w:r w:rsidRPr="005348B9">
        <w:rPr>
          <w:color w:val="auto"/>
        </w:rPr>
        <w:t xml:space="preserve">. </w:t>
      </w:r>
      <w:r>
        <w:rPr>
          <w:b/>
          <w:bCs/>
          <w:color w:val="auto"/>
        </w:rPr>
        <w:t>2001</w:t>
      </w:r>
      <w:r>
        <w:rPr>
          <w:bCs/>
          <w:color w:val="auto"/>
        </w:rPr>
        <w:t xml:space="preserve">, </w:t>
      </w:r>
      <w:r>
        <w:rPr>
          <w:bCs/>
          <w:i/>
          <w:color w:val="auto"/>
        </w:rPr>
        <w:t>87</w:t>
      </w:r>
      <w:r>
        <w:rPr>
          <w:bCs/>
          <w:color w:val="auto"/>
        </w:rPr>
        <w:t>, 491–493</w:t>
      </w:r>
      <w:r w:rsidRPr="005348B9">
        <w:rPr>
          <w:bCs/>
          <w:color w:val="auto"/>
        </w:rPr>
        <w:t>.</w:t>
      </w:r>
    </w:p>
    <w:p w14:paraId="4CB5C554" w14:textId="77777777" w:rsidR="000B16CE" w:rsidRPr="004F446B" w:rsidRDefault="000B16CE" w:rsidP="008C619F">
      <w:pPr>
        <w:pStyle w:val="MDPI71References"/>
        <w:numPr>
          <w:ilvl w:val="0"/>
          <w:numId w:val="4"/>
        </w:numPr>
        <w:ind w:left="425" w:hanging="425"/>
        <w:rPr>
          <w:color w:val="auto"/>
        </w:rPr>
      </w:pPr>
      <w:r w:rsidRPr="005348B9">
        <w:rPr>
          <w:color w:val="auto"/>
        </w:rPr>
        <w:t xml:space="preserve">Bruce, R.A.; McDonough, J.R. Stress testing in screening for cardiovascular disease. </w:t>
      </w:r>
      <w:r w:rsidRPr="005348B9">
        <w:rPr>
          <w:i/>
          <w:iCs/>
          <w:color w:val="auto"/>
        </w:rPr>
        <w:t>Bull. N. Y. Acad</w:t>
      </w:r>
      <w:r>
        <w:rPr>
          <w:i/>
          <w:iCs/>
          <w:color w:val="auto"/>
        </w:rPr>
        <w:t>.</w:t>
      </w:r>
      <w:r w:rsidRPr="004F446B">
        <w:rPr>
          <w:i/>
          <w:iCs/>
          <w:color w:val="auto"/>
        </w:rPr>
        <w:t xml:space="preserve"> Med</w:t>
      </w:r>
      <w:r w:rsidRPr="004F446B">
        <w:rPr>
          <w:color w:val="auto"/>
        </w:rPr>
        <w:t xml:space="preserve">. </w:t>
      </w:r>
      <w:r>
        <w:rPr>
          <w:b/>
          <w:bCs/>
          <w:color w:val="auto"/>
        </w:rPr>
        <w:t>1969</w:t>
      </w:r>
      <w:r>
        <w:rPr>
          <w:bCs/>
          <w:color w:val="auto"/>
        </w:rPr>
        <w:t xml:space="preserve">, </w:t>
      </w:r>
      <w:r>
        <w:rPr>
          <w:bCs/>
          <w:i/>
          <w:color w:val="auto"/>
        </w:rPr>
        <w:t>45</w:t>
      </w:r>
      <w:r>
        <w:rPr>
          <w:bCs/>
          <w:color w:val="auto"/>
        </w:rPr>
        <w:t>, 1288–1305.</w:t>
      </w:r>
    </w:p>
    <w:p w14:paraId="74600267"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Bruce, R.A.; Blackmon, J.R.; Jones, J.W.; Strait, G. Exercising testing in adult normal subjects and cardiac patients. </w:t>
      </w:r>
      <w:r w:rsidRPr="004F446B">
        <w:rPr>
          <w:i/>
          <w:iCs/>
          <w:color w:val="auto"/>
        </w:rPr>
        <w:t>Pediatrics</w:t>
      </w:r>
      <w:r w:rsidRPr="004F446B">
        <w:rPr>
          <w:color w:val="auto"/>
        </w:rPr>
        <w:t xml:space="preserve">. </w:t>
      </w:r>
      <w:r>
        <w:rPr>
          <w:b/>
          <w:bCs/>
          <w:color w:val="auto"/>
        </w:rPr>
        <w:t>1963</w:t>
      </w:r>
      <w:r>
        <w:rPr>
          <w:bCs/>
          <w:color w:val="auto"/>
        </w:rPr>
        <w:t xml:space="preserve">, </w:t>
      </w:r>
      <w:r>
        <w:rPr>
          <w:bCs/>
          <w:i/>
          <w:color w:val="auto"/>
        </w:rPr>
        <w:t>32</w:t>
      </w:r>
      <w:r>
        <w:rPr>
          <w:bCs/>
          <w:color w:val="auto"/>
        </w:rPr>
        <w:t>, 742–756.</w:t>
      </w:r>
    </w:p>
    <w:p w14:paraId="22490FEC"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Caselli, S.; Maron, M.S.; </w:t>
      </w:r>
      <w:proofErr w:type="spellStart"/>
      <w:r w:rsidRPr="004F446B">
        <w:rPr>
          <w:color w:val="auto"/>
        </w:rPr>
        <w:t>Urbano</w:t>
      </w:r>
      <w:proofErr w:type="spellEnd"/>
      <w:r w:rsidRPr="004F446B">
        <w:rPr>
          <w:color w:val="auto"/>
        </w:rPr>
        <w:t xml:space="preserve">-Moral, J.A.; Pandian, N.G.; Maron, B.J.; </w:t>
      </w:r>
      <w:proofErr w:type="spellStart"/>
      <w:r w:rsidRPr="004F446B">
        <w:rPr>
          <w:color w:val="auto"/>
        </w:rPr>
        <w:t>Pelliccia</w:t>
      </w:r>
      <w:proofErr w:type="spellEnd"/>
      <w:r w:rsidRPr="004F446B">
        <w:rPr>
          <w:color w:val="auto"/>
        </w:rPr>
        <w:t xml:space="preserve">, A. Differentiating left ventricular hypertrophy in athletes from that in patients with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2014</w:t>
      </w:r>
      <w:r>
        <w:rPr>
          <w:bCs/>
          <w:color w:val="auto"/>
        </w:rPr>
        <w:t xml:space="preserve">, </w:t>
      </w:r>
      <w:r>
        <w:rPr>
          <w:bCs/>
          <w:i/>
          <w:color w:val="auto"/>
        </w:rPr>
        <w:t>114</w:t>
      </w:r>
      <w:r>
        <w:rPr>
          <w:bCs/>
          <w:color w:val="auto"/>
        </w:rPr>
        <w:t>, 1383–1389.</w:t>
      </w:r>
    </w:p>
    <w:p w14:paraId="67F496CA"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Feneon</w:t>
      </w:r>
      <w:proofErr w:type="spellEnd"/>
      <w:r w:rsidRPr="004F446B">
        <w:rPr>
          <w:color w:val="auto"/>
        </w:rPr>
        <w:t xml:space="preserve">, D.; Schnell, F.; Galli, E.; Bernard, A.; Mabo, P.; Daubert, J.C.; </w:t>
      </w:r>
      <w:proofErr w:type="spellStart"/>
      <w:r w:rsidRPr="004F446B">
        <w:rPr>
          <w:color w:val="auto"/>
        </w:rPr>
        <w:t>Leclercq</w:t>
      </w:r>
      <w:proofErr w:type="spellEnd"/>
      <w:r w:rsidRPr="004F446B">
        <w:rPr>
          <w:color w:val="auto"/>
        </w:rPr>
        <w:t xml:space="preserve">, C.; </w:t>
      </w:r>
      <w:proofErr w:type="spellStart"/>
      <w:r w:rsidRPr="004F446B">
        <w:rPr>
          <w:color w:val="auto"/>
        </w:rPr>
        <w:t>Carre</w:t>
      </w:r>
      <w:proofErr w:type="spellEnd"/>
      <w:r w:rsidRPr="004F446B">
        <w:rPr>
          <w:color w:val="auto"/>
        </w:rPr>
        <w:t xml:space="preserve">, F.; </w:t>
      </w:r>
      <w:proofErr w:type="spellStart"/>
      <w:r w:rsidRPr="004F446B">
        <w:rPr>
          <w:color w:val="auto"/>
        </w:rPr>
        <w:t>Donal</w:t>
      </w:r>
      <w:proofErr w:type="spellEnd"/>
      <w:r w:rsidRPr="004F446B">
        <w:rPr>
          <w:color w:val="auto"/>
        </w:rPr>
        <w:t xml:space="preserve">, E. Impact of exercise-induced mitral regurgitation on hypertrophic cardiomyopathy outcomes. </w:t>
      </w:r>
      <w:r w:rsidRPr="004F446B">
        <w:rPr>
          <w:i/>
          <w:iCs/>
          <w:color w:val="auto"/>
        </w:rPr>
        <w:t>Eur</w:t>
      </w:r>
      <w:r>
        <w:rPr>
          <w:i/>
          <w:iCs/>
          <w:color w:val="auto"/>
        </w:rPr>
        <w:t>.</w:t>
      </w:r>
      <w:r w:rsidRPr="004F446B">
        <w:rPr>
          <w:i/>
          <w:iCs/>
          <w:color w:val="auto"/>
        </w:rPr>
        <w:t xml:space="preserve"> Heart </w:t>
      </w:r>
      <w:r>
        <w:rPr>
          <w:i/>
          <w:iCs/>
          <w:color w:val="auto"/>
        </w:rPr>
        <w:t>J.</w:t>
      </w:r>
      <w:r w:rsidRPr="004F446B">
        <w:rPr>
          <w:i/>
          <w:iCs/>
          <w:color w:val="auto"/>
        </w:rPr>
        <w:t xml:space="preserve"> Cardiovasc</w:t>
      </w:r>
      <w:r>
        <w:rPr>
          <w:i/>
          <w:iCs/>
          <w:color w:val="auto"/>
        </w:rPr>
        <w:t>.</w:t>
      </w:r>
      <w:r w:rsidRPr="004F446B">
        <w:rPr>
          <w:i/>
          <w:iCs/>
          <w:color w:val="auto"/>
        </w:rPr>
        <w:t xml:space="preserve"> Imaging</w:t>
      </w:r>
      <w:r w:rsidRPr="004F446B">
        <w:rPr>
          <w:color w:val="auto"/>
        </w:rPr>
        <w:t xml:space="preserve"> </w:t>
      </w:r>
      <w:r>
        <w:rPr>
          <w:b/>
          <w:bCs/>
          <w:color w:val="auto"/>
        </w:rPr>
        <w:t>2016</w:t>
      </w:r>
      <w:r>
        <w:rPr>
          <w:bCs/>
          <w:color w:val="auto"/>
        </w:rPr>
        <w:t xml:space="preserve">, </w:t>
      </w:r>
      <w:r>
        <w:rPr>
          <w:bCs/>
          <w:i/>
          <w:color w:val="auto"/>
        </w:rPr>
        <w:t>17</w:t>
      </w:r>
      <w:r>
        <w:rPr>
          <w:bCs/>
          <w:color w:val="auto"/>
        </w:rPr>
        <w:t>, 1110–1117.</w:t>
      </w:r>
    </w:p>
    <w:p w14:paraId="2D49BD38" w14:textId="77777777" w:rsidR="000B16CE" w:rsidRPr="005348B9" w:rsidRDefault="000B16CE" w:rsidP="008C619F">
      <w:pPr>
        <w:pStyle w:val="MDPI71References"/>
        <w:numPr>
          <w:ilvl w:val="0"/>
          <w:numId w:val="4"/>
        </w:numPr>
        <w:ind w:left="425" w:hanging="425"/>
        <w:rPr>
          <w:color w:val="auto"/>
        </w:rPr>
      </w:pPr>
      <w:proofErr w:type="spellStart"/>
      <w:r w:rsidRPr="004F446B">
        <w:rPr>
          <w:color w:val="auto"/>
        </w:rPr>
        <w:t>Gimeno</w:t>
      </w:r>
      <w:proofErr w:type="spellEnd"/>
      <w:r w:rsidRPr="004F446B">
        <w:rPr>
          <w:color w:val="auto"/>
        </w:rPr>
        <w:t xml:space="preserve">, J.R.; Tomé-Esteban, M.T.; </w:t>
      </w:r>
      <w:proofErr w:type="spellStart"/>
      <w:r w:rsidRPr="004F446B">
        <w:rPr>
          <w:color w:val="auto"/>
        </w:rPr>
        <w:t>Lofiego</w:t>
      </w:r>
      <w:proofErr w:type="spellEnd"/>
      <w:r w:rsidRPr="004F446B">
        <w:rPr>
          <w:color w:val="auto"/>
        </w:rPr>
        <w:t xml:space="preserve">, C.; Hurtado, J.; </w:t>
      </w:r>
      <w:proofErr w:type="spellStart"/>
      <w:r w:rsidRPr="004F446B">
        <w:rPr>
          <w:color w:val="auto"/>
        </w:rPr>
        <w:t>Pantazis</w:t>
      </w:r>
      <w:proofErr w:type="spellEnd"/>
      <w:r w:rsidRPr="004F446B">
        <w:rPr>
          <w:color w:val="auto"/>
        </w:rPr>
        <w:t xml:space="preserve">, A.; Mist, B.; </w:t>
      </w:r>
      <w:proofErr w:type="spellStart"/>
      <w:r w:rsidRPr="004F446B">
        <w:rPr>
          <w:color w:val="auto"/>
        </w:rPr>
        <w:t>Lambiase</w:t>
      </w:r>
      <w:proofErr w:type="spellEnd"/>
      <w:r w:rsidRPr="004F446B">
        <w:rPr>
          <w:color w:val="auto"/>
        </w:rPr>
        <w:t>, P.; McKenna</w:t>
      </w:r>
      <w:r w:rsidRPr="005348B9">
        <w:rPr>
          <w:color w:val="auto"/>
        </w:rPr>
        <w:t xml:space="preserve">, W.J.; Elliott, P.E. Exercise-induced ventricular </w:t>
      </w:r>
      <w:proofErr w:type="gramStart"/>
      <w:r w:rsidRPr="005348B9">
        <w:rPr>
          <w:color w:val="auto"/>
        </w:rPr>
        <w:t>arrhythmias</w:t>
      </w:r>
      <w:proofErr w:type="gramEnd"/>
      <w:r w:rsidRPr="005348B9">
        <w:rPr>
          <w:color w:val="auto"/>
        </w:rPr>
        <w:t xml:space="preserve"> and risk of sudden cardiac death in patients with hypertrophic cardiomyopathy. </w:t>
      </w:r>
      <w:r w:rsidRPr="005348B9">
        <w:rPr>
          <w:i/>
          <w:iCs/>
          <w:color w:val="auto"/>
        </w:rPr>
        <w:t>Eur. Heart J</w:t>
      </w:r>
      <w:r w:rsidRPr="005348B9">
        <w:rPr>
          <w:color w:val="auto"/>
        </w:rPr>
        <w:t xml:space="preserve">. </w:t>
      </w:r>
      <w:r>
        <w:rPr>
          <w:b/>
          <w:bCs/>
          <w:color w:val="auto"/>
        </w:rPr>
        <w:t>2009</w:t>
      </w:r>
      <w:r>
        <w:rPr>
          <w:bCs/>
          <w:color w:val="auto"/>
        </w:rPr>
        <w:t xml:space="preserve">, </w:t>
      </w:r>
      <w:r>
        <w:rPr>
          <w:bCs/>
          <w:i/>
          <w:color w:val="auto"/>
        </w:rPr>
        <w:t>30</w:t>
      </w:r>
      <w:r>
        <w:rPr>
          <w:bCs/>
          <w:color w:val="auto"/>
        </w:rPr>
        <w:t>, 2599–2605</w:t>
      </w:r>
      <w:r w:rsidRPr="005348B9">
        <w:rPr>
          <w:bCs/>
          <w:color w:val="auto"/>
        </w:rPr>
        <w:t>.</w:t>
      </w:r>
    </w:p>
    <w:p w14:paraId="00ECCE29"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lang w:val="es-ES"/>
        </w:rPr>
        <w:t>Limongelli</w:t>
      </w:r>
      <w:proofErr w:type="spellEnd"/>
      <w:r w:rsidRPr="005348B9">
        <w:rPr>
          <w:color w:val="auto"/>
          <w:lang w:val="es-ES"/>
        </w:rPr>
        <w:t xml:space="preserve">, G.; </w:t>
      </w:r>
      <w:proofErr w:type="spellStart"/>
      <w:r w:rsidRPr="005348B9">
        <w:rPr>
          <w:color w:val="auto"/>
          <w:lang w:val="es-ES"/>
        </w:rPr>
        <w:t>Fioretti</w:t>
      </w:r>
      <w:proofErr w:type="spellEnd"/>
      <w:r w:rsidRPr="005348B9">
        <w:rPr>
          <w:color w:val="auto"/>
          <w:lang w:val="es-ES"/>
        </w:rPr>
        <w:t xml:space="preserve">, V.; Di </w:t>
      </w:r>
      <w:proofErr w:type="spellStart"/>
      <w:r w:rsidRPr="005348B9">
        <w:rPr>
          <w:color w:val="auto"/>
          <w:lang w:val="es-ES"/>
        </w:rPr>
        <w:t>Maio</w:t>
      </w:r>
      <w:proofErr w:type="spellEnd"/>
      <w:r w:rsidRPr="005348B9">
        <w:rPr>
          <w:color w:val="auto"/>
          <w:lang w:val="es-ES"/>
        </w:rPr>
        <w:t xml:space="preserve">, M.; </w:t>
      </w:r>
      <w:proofErr w:type="spellStart"/>
      <w:r w:rsidRPr="005348B9">
        <w:rPr>
          <w:color w:val="auto"/>
          <w:lang w:val="es-ES"/>
        </w:rPr>
        <w:t>Verrengia</w:t>
      </w:r>
      <w:proofErr w:type="spellEnd"/>
      <w:r w:rsidRPr="005348B9">
        <w:rPr>
          <w:color w:val="auto"/>
          <w:lang w:val="es-ES"/>
        </w:rPr>
        <w:t xml:space="preserve">, M.; </w:t>
      </w:r>
      <w:proofErr w:type="spellStart"/>
      <w:r w:rsidRPr="005348B9">
        <w:rPr>
          <w:color w:val="auto"/>
          <w:lang w:val="es-ES"/>
        </w:rPr>
        <w:t>Rubino</w:t>
      </w:r>
      <w:proofErr w:type="spellEnd"/>
      <w:r w:rsidRPr="005348B9">
        <w:rPr>
          <w:color w:val="auto"/>
          <w:lang w:val="es-ES"/>
        </w:rPr>
        <w:t xml:space="preserve">, M.; </w:t>
      </w:r>
      <w:proofErr w:type="spellStart"/>
      <w:r w:rsidRPr="005348B9">
        <w:rPr>
          <w:color w:val="auto"/>
          <w:lang w:val="es-ES"/>
        </w:rPr>
        <w:t>Gravino</w:t>
      </w:r>
      <w:proofErr w:type="spellEnd"/>
      <w:r w:rsidRPr="005348B9">
        <w:rPr>
          <w:color w:val="auto"/>
          <w:lang w:val="es-ES"/>
        </w:rPr>
        <w:t xml:space="preserve">, R.; </w:t>
      </w:r>
      <w:proofErr w:type="spellStart"/>
      <w:r w:rsidRPr="005348B9">
        <w:rPr>
          <w:color w:val="auto"/>
          <w:lang w:val="es-ES"/>
        </w:rPr>
        <w:t>Masarone</w:t>
      </w:r>
      <w:proofErr w:type="spellEnd"/>
      <w:r w:rsidRPr="005348B9">
        <w:rPr>
          <w:color w:val="auto"/>
          <w:lang w:val="es-ES"/>
        </w:rPr>
        <w:t xml:space="preserve">, D.; </w:t>
      </w:r>
      <w:proofErr w:type="spellStart"/>
      <w:r w:rsidRPr="005348B9">
        <w:rPr>
          <w:color w:val="auto"/>
          <w:lang w:val="es-ES"/>
        </w:rPr>
        <w:t>D’Andrea</w:t>
      </w:r>
      <w:proofErr w:type="spellEnd"/>
      <w:r w:rsidRPr="005348B9">
        <w:rPr>
          <w:color w:val="auto"/>
          <w:lang w:val="es-ES"/>
        </w:rPr>
        <w:t xml:space="preserve">, A.; </w:t>
      </w:r>
      <w:proofErr w:type="spellStart"/>
      <w:r w:rsidRPr="005348B9">
        <w:rPr>
          <w:color w:val="auto"/>
          <w:lang w:val="es-ES"/>
        </w:rPr>
        <w:t>Ciampi</w:t>
      </w:r>
      <w:proofErr w:type="spellEnd"/>
      <w:r w:rsidRPr="005348B9">
        <w:rPr>
          <w:color w:val="auto"/>
          <w:lang w:val="es-ES"/>
        </w:rPr>
        <w:t xml:space="preserve">, Q.; </w:t>
      </w:r>
      <w:proofErr w:type="spellStart"/>
      <w:r w:rsidRPr="005348B9">
        <w:rPr>
          <w:color w:val="auto"/>
          <w:lang w:val="es-ES"/>
        </w:rPr>
        <w:t>Picano</w:t>
      </w:r>
      <w:proofErr w:type="spellEnd"/>
      <w:r w:rsidRPr="005348B9">
        <w:rPr>
          <w:color w:val="auto"/>
          <w:lang w:val="es-ES"/>
        </w:rPr>
        <w:t xml:space="preserve">, E.; et al. </w:t>
      </w:r>
      <w:r w:rsidRPr="005348B9">
        <w:rPr>
          <w:color w:val="auto"/>
        </w:rPr>
        <w:t xml:space="preserve">Left atrial volume during stress is associated with increased risk of arrhythmias in patients with hypertrophic cardiomyopathy. </w:t>
      </w:r>
      <w:r w:rsidRPr="005348B9">
        <w:rPr>
          <w:i/>
          <w:iCs/>
          <w:color w:val="auto"/>
        </w:rPr>
        <w:t xml:space="preserve">J. Cardiovasc. </w:t>
      </w:r>
      <w:proofErr w:type="spellStart"/>
      <w:r w:rsidRPr="005348B9">
        <w:rPr>
          <w:i/>
          <w:iCs/>
          <w:color w:val="auto"/>
        </w:rPr>
        <w:t>Echogr</w:t>
      </w:r>
      <w:proofErr w:type="spellEnd"/>
      <w:r w:rsidRPr="005348B9">
        <w:rPr>
          <w:color w:val="auto"/>
        </w:rPr>
        <w:t xml:space="preserve">. </w:t>
      </w:r>
      <w:r>
        <w:rPr>
          <w:b/>
          <w:bCs/>
          <w:color w:val="auto"/>
        </w:rPr>
        <w:t>2019</w:t>
      </w:r>
      <w:r>
        <w:rPr>
          <w:bCs/>
          <w:color w:val="auto"/>
        </w:rPr>
        <w:t xml:space="preserve">, </w:t>
      </w:r>
      <w:r>
        <w:rPr>
          <w:bCs/>
          <w:i/>
          <w:color w:val="auto"/>
        </w:rPr>
        <w:t>29</w:t>
      </w:r>
      <w:r>
        <w:rPr>
          <w:bCs/>
          <w:color w:val="auto"/>
        </w:rPr>
        <w:t>, 1–6</w:t>
      </w:r>
      <w:r w:rsidRPr="005348B9">
        <w:rPr>
          <w:color w:val="auto"/>
        </w:rPr>
        <w:t>.</w:t>
      </w:r>
    </w:p>
    <w:p w14:paraId="17ADB2F2"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lang w:val="es-ES"/>
        </w:rPr>
        <w:lastRenderedPageBreak/>
        <w:t>Magri</w:t>
      </w:r>
      <w:proofErr w:type="spellEnd"/>
      <w:r w:rsidRPr="005348B9">
        <w:rPr>
          <w:color w:val="auto"/>
          <w:lang w:val="es-ES"/>
        </w:rPr>
        <w:t xml:space="preserve">, D.; Re, F.; </w:t>
      </w:r>
      <w:proofErr w:type="spellStart"/>
      <w:r w:rsidRPr="005348B9">
        <w:rPr>
          <w:color w:val="auto"/>
          <w:lang w:val="es-ES"/>
        </w:rPr>
        <w:t>Agostoni</w:t>
      </w:r>
      <w:proofErr w:type="spellEnd"/>
      <w:r w:rsidRPr="005348B9">
        <w:rPr>
          <w:color w:val="auto"/>
          <w:lang w:val="es-ES"/>
        </w:rPr>
        <w:t xml:space="preserve">, P.; </w:t>
      </w:r>
      <w:proofErr w:type="spellStart"/>
      <w:r w:rsidRPr="005348B9">
        <w:rPr>
          <w:color w:val="auto"/>
          <w:lang w:val="es-ES"/>
        </w:rPr>
        <w:t>Zachara</w:t>
      </w:r>
      <w:proofErr w:type="spellEnd"/>
      <w:r w:rsidRPr="005348B9">
        <w:rPr>
          <w:color w:val="auto"/>
          <w:lang w:val="es-ES"/>
        </w:rPr>
        <w:t xml:space="preserve">, E.; </w:t>
      </w:r>
      <w:proofErr w:type="spellStart"/>
      <w:r w:rsidRPr="005348B9">
        <w:rPr>
          <w:color w:val="auto"/>
          <w:lang w:val="es-ES"/>
        </w:rPr>
        <w:t>Correale</w:t>
      </w:r>
      <w:proofErr w:type="spellEnd"/>
      <w:r w:rsidRPr="005348B9">
        <w:rPr>
          <w:color w:val="auto"/>
          <w:lang w:val="es-ES"/>
        </w:rPr>
        <w:t xml:space="preserve">, M.; </w:t>
      </w:r>
      <w:proofErr w:type="spellStart"/>
      <w:r w:rsidRPr="005348B9">
        <w:rPr>
          <w:color w:val="auto"/>
          <w:lang w:val="es-ES"/>
        </w:rPr>
        <w:t>Mastromarino</w:t>
      </w:r>
      <w:proofErr w:type="spellEnd"/>
      <w:r w:rsidRPr="005348B9">
        <w:rPr>
          <w:color w:val="auto"/>
          <w:lang w:val="es-ES"/>
        </w:rPr>
        <w:t xml:space="preserve">, V.; </w:t>
      </w:r>
      <w:proofErr w:type="spellStart"/>
      <w:r w:rsidRPr="005348B9">
        <w:rPr>
          <w:color w:val="auto"/>
          <w:lang w:val="es-ES"/>
        </w:rPr>
        <w:t>Santolamazza</w:t>
      </w:r>
      <w:proofErr w:type="spellEnd"/>
      <w:r w:rsidRPr="005348B9">
        <w:rPr>
          <w:color w:val="auto"/>
          <w:lang w:val="es-ES"/>
        </w:rPr>
        <w:t xml:space="preserve">, C.; </w:t>
      </w:r>
      <w:proofErr w:type="spellStart"/>
      <w:r w:rsidRPr="005348B9">
        <w:rPr>
          <w:color w:val="auto"/>
          <w:lang w:val="es-ES"/>
        </w:rPr>
        <w:t>Casenghi</w:t>
      </w:r>
      <w:proofErr w:type="spellEnd"/>
      <w:r w:rsidRPr="005348B9">
        <w:rPr>
          <w:color w:val="auto"/>
          <w:lang w:val="es-ES"/>
        </w:rPr>
        <w:t xml:space="preserve">, M.; </w:t>
      </w:r>
      <w:proofErr w:type="spellStart"/>
      <w:r w:rsidRPr="005348B9">
        <w:rPr>
          <w:color w:val="auto"/>
          <w:lang w:val="es-ES"/>
        </w:rPr>
        <w:t>Pacileo</w:t>
      </w:r>
      <w:proofErr w:type="spellEnd"/>
      <w:r w:rsidRPr="005348B9">
        <w:rPr>
          <w:color w:val="auto"/>
          <w:lang w:val="es-ES"/>
        </w:rPr>
        <w:t xml:space="preserve">, G.; Valente, F.; et al. </w:t>
      </w:r>
      <w:r w:rsidRPr="005348B9">
        <w:rPr>
          <w:color w:val="auto"/>
        </w:rPr>
        <w:t xml:space="preserve">Heart failure progression in hypertrophic cardiomyopathy-possible insights from cardiopulmonary exercise testing. </w:t>
      </w:r>
      <w:r w:rsidRPr="005348B9">
        <w:rPr>
          <w:i/>
          <w:iCs/>
          <w:color w:val="auto"/>
        </w:rPr>
        <w:t>Circ. J</w:t>
      </w:r>
      <w:r w:rsidRPr="005348B9">
        <w:rPr>
          <w:color w:val="auto"/>
        </w:rPr>
        <w:t xml:space="preserve">. </w:t>
      </w:r>
      <w:r>
        <w:rPr>
          <w:b/>
          <w:bCs/>
          <w:color w:val="auto"/>
        </w:rPr>
        <w:t>2016</w:t>
      </w:r>
      <w:r>
        <w:rPr>
          <w:bCs/>
          <w:color w:val="auto"/>
        </w:rPr>
        <w:t xml:space="preserve">, </w:t>
      </w:r>
      <w:r>
        <w:rPr>
          <w:bCs/>
          <w:i/>
          <w:color w:val="auto"/>
        </w:rPr>
        <w:t>80</w:t>
      </w:r>
      <w:r>
        <w:rPr>
          <w:bCs/>
          <w:color w:val="auto"/>
        </w:rPr>
        <w:t>, 2204–2211</w:t>
      </w:r>
      <w:r w:rsidRPr="005348B9">
        <w:rPr>
          <w:bCs/>
          <w:color w:val="auto"/>
        </w:rPr>
        <w:t>.</w:t>
      </w:r>
    </w:p>
    <w:p w14:paraId="7DB69C4B"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Masri</w:t>
      </w:r>
      <w:proofErr w:type="spellEnd"/>
      <w:r w:rsidRPr="004F446B">
        <w:rPr>
          <w:color w:val="auto"/>
        </w:rPr>
        <w:t xml:space="preserve">, A.; Pierson, L.M.; </w:t>
      </w:r>
      <w:proofErr w:type="spellStart"/>
      <w:r w:rsidRPr="004F446B">
        <w:rPr>
          <w:color w:val="auto"/>
        </w:rPr>
        <w:t>Smedira</w:t>
      </w:r>
      <w:proofErr w:type="spellEnd"/>
      <w:r w:rsidRPr="004F446B">
        <w:rPr>
          <w:color w:val="auto"/>
        </w:rPr>
        <w:t xml:space="preserve">, N.G.; Agarwal, S.; Lytle, B.W.; </w:t>
      </w:r>
      <w:proofErr w:type="spellStart"/>
      <w:r w:rsidRPr="004F446B">
        <w:rPr>
          <w:color w:val="auto"/>
        </w:rPr>
        <w:t>Naji</w:t>
      </w:r>
      <w:proofErr w:type="spellEnd"/>
      <w:r w:rsidRPr="004F446B">
        <w:rPr>
          <w:color w:val="auto"/>
        </w:rPr>
        <w:t xml:space="preserve">, P.; </w:t>
      </w:r>
      <w:proofErr w:type="spellStart"/>
      <w:r w:rsidRPr="004F446B">
        <w:rPr>
          <w:color w:val="auto"/>
        </w:rPr>
        <w:t>Thamilarasan</w:t>
      </w:r>
      <w:proofErr w:type="spellEnd"/>
      <w:r w:rsidRPr="004F446B">
        <w:rPr>
          <w:color w:val="auto"/>
        </w:rPr>
        <w:t xml:space="preserve">, M.; Lever, H.M.; Cho, L.S.; Desai, M.Y. Predictors of long-term outcomes in patients with hypertrophic cardiomyopathy undergoing cardiopulmonary stress testing and echocardiography. </w:t>
      </w:r>
      <w:r>
        <w:rPr>
          <w:i/>
          <w:iCs/>
          <w:color w:val="auto"/>
        </w:rPr>
        <w:t>Am.</w:t>
      </w:r>
      <w:r w:rsidRPr="004F446B">
        <w:rPr>
          <w:i/>
          <w:iCs/>
          <w:color w:val="auto"/>
        </w:rPr>
        <w:t xml:space="preserve"> Heart J</w:t>
      </w:r>
      <w:r w:rsidRPr="004F446B">
        <w:rPr>
          <w:color w:val="auto"/>
        </w:rPr>
        <w:t xml:space="preserve">. </w:t>
      </w:r>
      <w:r>
        <w:rPr>
          <w:b/>
          <w:bCs/>
          <w:color w:val="auto"/>
        </w:rPr>
        <w:t>2015</w:t>
      </w:r>
      <w:r>
        <w:rPr>
          <w:bCs/>
          <w:color w:val="auto"/>
        </w:rPr>
        <w:t xml:space="preserve">, </w:t>
      </w:r>
      <w:r>
        <w:rPr>
          <w:bCs/>
          <w:i/>
          <w:color w:val="auto"/>
        </w:rPr>
        <w:t>169</w:t>
      </w:r>
      <w:r>
        <w:rPr>
          <w:bCs/>
          <w:color w:val="auto"/>
        </w:rPr>
        <w:t>, 684–692</w:t>
      </w:r>
      <w:r>
        <w:rPr>
          <w:color w:val="auto"/>
        </w:rPr>
        <w:t>.</w:t>
      </w:r>
    </w:p>
    <w:p w14:paraId="6196DF4B"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Michaelides</w:t>
      </w:r>
      <w:proofErr w:type="spellEnd"/>
      <w:r w:rsidRPr="004F446B">
        <w:rPr>
          <w:color w:val="auto"/>
        </w:rPr>
        <w:t xml:space="preserve">, A.P.; </w:t>
      </w:r>
      <w:proofErr w:type="spellStart"/>
      <w:r w:rsidRPr="004F446B">
        <w:rPr>
          <w:color w:val="auto"/>
        </w:rPr>
        <w:t>Stamatopoulos</w:t>
      </w:r>
      <w:proofErr w:type="spellEnd"/>
      <w:r w:rsidRPr="004F446B">
        <w:rPr>
          <w:color w:val="auto"/>
        </w:rPr>
        <w:t xml:space="preserve">, I.; </w:t>
      </w:r>
      <w:proofErr w:type="spellStart"/>
      <w:r w:rsidRPr="004F446B">
        <w:rPr>
          <w:color w:val="auto"/>
        </w:rPr>
        <w:t>Antoniades</w:t>
      </w:r>
      <w:proofErr w:type="spellEnd"/>
      <w:r w:rsidRPr="004F446B">
        <w:rPr>
          <w:color w:val="auto"/>
        </w:rPr>
        <w:t xml:space="preserve">, C.; </w:t>
      </w:r>
      <w:proofErr w:type="spellStart"/>
      <w:r w:rsidRPr="004F446B">
        <w:rPr>
          <w:color w:val="auto"/>
        </w:rPr>
        <w:t>Anastasakis</w:t>
      </w:r>
      <w:proofErr w:type="spellEnd"/>
      <w:r w:rsidRPr="004F446B">
        <w:rPr>
          <w:color w:val="auto"/>
        </w:rPr>
        <w:t xml:space="preserve">, A.; </w:t>
      </w:r>
      <w:proofErr w:type="spellStart"/>
      <w:r w:rsidRPr="004F446B">
        <w:rPr>
          <w:color w:val="auto"/>
        </w:rPr>
        <w:t>Kotsiopoulou</w:t>
      </w:r>
      <w:proofErr w:type="spellEnd"/>
      <w:r w:rsidRPr="004F446B">
        <w:rPr>
          <w:color w:val="auto"/>
        </w:rPr>
        <w:t xml:space="preserve">, C.; </w:t>
      </w:r>
      <w:proofErr w:type="spellStart"/>
      <w:r w:rsidRPr="004F446B">
        <w:rPr>
          <w:color w:val="auto"/>
        </w:rPr>
        <w:t>Theopistou</w:t>
      </w:r>
      <w:proofErr w:type="spellEnd"/>
      <w:r w:rsidRPr="004F446B">
        <w:rPr>
          <w:color w:val="auto"/>
        </w:rPr>
        <w:t xml:space="preserve">, A.; </w:t>
      </w:r>
      <w:proofErr w:type="spellStart"/>
      <w:r w:rsidRPr="004F446B">
        <w:rPr>
          <w:color w:val="auto"/>
        </w:rPr>
        <w:t>Misailidou</w:t>
      </w:r>
      <w:proofErr w:type="spellEnd"/>
      <w:r w:rsidRPr="004F446B">
        <w:rPr>
          <w:color w:val="auto"/>
        </w:rPr>
        <w:t xml:space="preserve">, M.; </w:t>
      </w:r>
      <w:proofErr w:type="spellStart"/>
      <w:r w:rsidRPr="004F446B">
        <w:rPr>
          <w:color w:val="auto"/>
        </w:rPr>
        <w:t>Fourlas</w:t>
      </w:r>
      <w:proofErr w:type="spellEnd"/>
      <w:r w:rsidRPr="004F446B">
        <w:rPr>
          <w:color w:val="auto"/>
        </w:rPr>
        <w:t xml:space="preserve">, C.; Elliott, P.M.; </w:t>
      </w:r>
      <w:proofErr w:type="spellStart"/>
      <w:r w:rsidRPr="004F446B">
        <w:rPr>
          <w:color w:val="auto"/>
        </w:rPr>
        <w:t>Stefanadis</w:t>
      </w:r>
      <w:proofErr w:type="spellEnd"/>
      <w:r w:rsidRPr="004F446B">
        <w:rPr>
          <w:color w:val="auto"/>
        </w:rPr>
        <w:t xml:space="preserve">, C. ST Segment "hump" during exercise testing and the risk of sudden cardiac death in patients with hypertrophic cardiomyopathy. </w:t>
      </w:r>
      <w:r>
        <w:rPr>
          <w:i/>
          <w:iCs/>
          <w:color w:val="auto"/>
        </w:rPr>
        <w:t>Ann.</w:t>
      </w:r>
      <w:r w:rsidRPr="004F446B">
        <w:rPr>
          <w:i/>
          <w:iCs/>
          <w:color w:val="auto"/>
        </w:rPr>
        <w:t xml:space="preserve"> Noninvasive </w:t>
      </w:r>
      <w:proofErr w:type="spellStart"/>
      <w:r w:rsidRPr="004F446B">
        <w:rPr>
          <w:i/>
          <w:iCs/>
          <w:color w:val="auto"/>
        </w:rPr>
        <w:t>Electrocardiol</w:t>
      </w:r>
      <w:proofErr w:type="spellEnd"/>
      <w:r w:rsidRPr="004F446B">
        <w:rPr>
          <w:color w:val="auto"/>
        </w:rPr>
        <w:t xml:space="preserve">. </w:t>
      </w:r>
      <w:r>
        <w:rPr>
          <w:b/>
          <w:bCs/>
          <w:color w:val="auto"/>
        </w:rPr>
        <w:t>2009</w:t>
      </w:r>
      <w:r>
        <w:rPr>
          <w:bCs/>
          <w:color w:val="auto"/>
        </w:rPr>
        <w:t xml:space="preserve">, </w:t>
      </w:r>
      <w:r>
        <w:rPr>
          <w:bCs/>
          <w:i/>
          <w:color w:val="auto"/>
        </w:rPr>
        <w:t>14</w:t>
      </w:r>
      <w:r>
        <w:rPr>
          <w:bCs/>
          <w:color w:val="auto"/>
        </w:rPr>
        <w:t>, 158–164.</w:t>
      </w:r>
    </w:p>
    <w:p w14:paraId="74013402"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Nagata, M.; Shimizu, M.; </w:t>
      </w:r>
      <w:proofErr w:type="spellStart"/>
      <w:r w:rsidRPr="004F446B">
        <w:rPr>
          <w:color w:val="auto"/>
        </w:rPr>
        <w:t>Ino</w:t>
      </w:r>
      <w:proofErr w:type="spellEnd"/>
      <w:r w:rsidRPr="004F446B">
        <w:rPr>
          <w:color w:val="auto"/>
        </w:rPr>
        <w:t xml:space="preserve">, H.; Yamaguchi, M.; Hayashi, K.; Taki, J.; Mabuchi, H. Hemodynamic </w:t>
      </w:r>
      <w:proofErr w:type="gramStart"/>
      <w:r w:rsidRPr="004F446B">
        <w:rPr>
          <w:color w:val="auto"/>
        </w:rPr>
        <w:t>changes</w:t>
      </w:r>
      <w:proofErr w:type="gramEnd"/>
      <w:r w:rsidRPr="004F446B">
        <w:rPr>
          <w:color w:val="auto"/>
        </w:rPr>
        <w:t xml:space="preserve"> and prognosis in patients with hypertrophic cardiomyopathy and abnormal blood pressure responses during exercise. </w:t>
      </w:r>
      <w:r w:rsidRPr="004F446B">
        <w:rPr>
          <w:i/>
          <w:iCs/>
          <w:color w:val="auto"/>
        </w:rPr>
        <w:t>Clin</w:t>
      </w:r>
      <w:r>
        <w:rPr>
          <w:i/>
          <w:iCs/>
          <w:color w:val="auto"/>
        </w:rPr>
        <w:t>.</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2003</w:t>
      </w:r>
      <w:r>
        <w:rPr>
          <w:bCs/>
          <w:color w:val="auto"/>
        </w:rPr>
        <w:t xml:space="preserve">, </w:t>
      </w:r>
      <w:r>
        <w:rPr>
          <w:bCs/>
          <w:i/>
          <w:color w:val="auto"/>
        </w:rPr>
        <w:t>26</w:t>
      </w:r>
      <w:r>
        <w:rPr>
          <w:bCs/>
          <w:color w:val="auto"/>
        </w:rPr>
        <w:t>, 71–76.</w:t>
      </w:r>
    </w:p>
    <w:p w14:paraId="6D3522EA" w14:textId="77777777" w:rsidR="000B16CE" w:rsidRPr="005348B9" w:rsidRDefault="000B16CE" w:rsidP="008C619F">
      <w:pPr>
        <w:pStyle w:val="MDPI71References"/>
        <w:numPr>
          <w:ilvl w:val="0"/>
          <w:numId w:val="4"/>
        </w:numPr>
        <w:ind w:left="425" w:hanging="425"/>
        <w:rPr>
          <w:color w:val="auto"/>
        </w:rPr>
      </w:pPr>
      <w:proofErr w:type="spellStart"/>
      <w:r w:rsidRPr="004F446B">
        <w:rPr>
          <w:color w:val="auto"/>
        </w:rPr>
        <w:t>Olivotto</w:t>
      </w:r>
      <w:proofErr w:type="spellEnd"/>
      <w:r w:rsidRPr="004F446B">
        <w:rPr>
          <w:color w:val="auto"/>
        </w:rPr>
        <w:t xml:space="preserve">, I.; Maron, B.J.; </w:t>
      </w:r>
      <w:proofErr w:type="spellStart"/>
      <w:r w:rsidRPr="004F446B">
        <w:rPr>
          <w:color w:val="auto"/>
        </w:rPr>
        <w:t>Montereggi</w:t>
      </w:r>
      <w:proofErr w:type="spellEnd"/>
      <w:r w:rsidRPr="004F446B">
        <w:rPr>
          <w:color w:val="auto"/>
        </w:rPr>
        <w:t xml:space="preserve">, A.; </w:t>
      </w:r>
      <w:proofErr w:type="spellStart"/>
      <w:r w:rsidRPr="004F446B">
        <w:rPr>
          <w:color w:val="auto"/>
        </w:rPr>
        <w:t>Mazzuoli</w:t>
      </w:r>
      <w:proofErr w:type="spellEnd"/>
      <w:r w:rsidRPr="004F446B">
        <w:rPr>
          <w:color w:val="auto"/>
        </w:rPr>
        <w:t xml:space="preserve">, F.; </w:t>
      </w:r>
      <w:proofErr w:type="spellStart"/>
      <w:r w:rsidRPr="004F446B">
        <w:rPr>
          <w:color w:val="auto"/>
        </w:rPr>
        <w:t>Dolara</w:t>
      </w:r>
      <w:proofErr w:type="spellEnd"/>
      <w:r w:rsidRPr="004F446B">
        <w:rPr>
          <w:color w:val="auto"/>
        </w:rPr>
        <w:t xml:space="preserve">, A.; Cecchi, F. Prognostic value of systemic blood pressure response during exercise in a community-based patient population with hypertrophic </w:t>
      </w:r>
      <w:r w:rsidRPr="005348B9">
        <w:rPr>
          <w:color w:val="auto"/>
        </w:rPr>
        <w:t xml:space="preserve">cardiomyopathy. </w:t>
      </w:r>
      <w:r w:rsidRPr="005348B9">
        <w:rPr>
          <w:i/>
          <w:iCs/>
          <w:color w:val="auto"/>
        </w:rPr>
        <w:t xml:space="preserve">J. Am. Coll. </w:t>
      </w:r>
      <w:proofErr w:type="spellStart"/>
      <w:r w:rsidRPr="005348B9">
        <w:rPr>
          <w:i/>
          <w:iCs/>
          <w:color w:val="auto"/>
        </w:rPr>
        <w:t>Cardiol</w:t>
      </w:r>
      <w:proofErr w:type="spellEnd"/>
      <w:r w:rsidRPr="005348B9">
        <w:rPr>
          <w:color w:val="auto"/>
        </w:rPr>
        <w:t xml:space="preserve">. </w:t>
      </w:r>
      <w:r>
        <w:rPr>
          <w:b/>
          <w:bCs/>
          <w:color w:val="auto"/>
        </w:rPr>
        <w:t>1999</w:t>
      </w:r>
      <w:r>
        <w:rPr>
          <w:bCs/>
          <w:color w:val="auto"/>
        </w:rPr>
        <w:t xml:space="preserve">, </w:t>
      </w:r>
      <w:r>
        <w:rPr>
          <w:bCs/>
          <w:i/>
          <w:color w:val="auto"/>
        </w:rPr>
        <w:t>33</w:t>
      </w:r>
      <w:r>
        <w:rPr>
          <w:bCs/>
          <w:color w:val="auto"/>
        </w:rPr>
        <w:t>, 2044–2051</w:t>
      </w:r>
      <w:r w:rsidRPr="005348B9">
        <w:rPr>
          <w:bCs/>
          <w:color w:val="auto"/>
        </w:rPr>
        <w:t>.</w:t>
      </w:r>
    </w:p>
    <w:p w14:paraId="2A896451" w14:textId="77777777" w:rsidR="000B16CE" w:rsidRPr="004F446B" w:rsidRDefault="000B16CE" w:rsidP="008C619F">
      <w:pPr>
        <w:pStyle w:val="MDPI71References"/>
        <w:numPr>
          <w:ilvl w:val="0"/>
          <w:numId w:val="4"/>
        </w:numPr>
        <w:ind w:left="425" w:hanging="425"/>
        <w:rPr>
          <w:color w:val="auto"/>
        </w:rPr>
      </w:pPr>
      <w:r w:rsidRPr="005348B9">
        <w:rPr>
          <w:color w:val="auto"/>
        </w:rPr>
        <w:t>Peteiro, J.; Fernández, X.; Bouzas-Mosquera, A.; Montserrat, L.; Méndez, C.; Rodriguez-Garcia, E.; Soler, R.; Couto, D.; Castro-</w:t>
      </w:r>
      <w:proofErr w:type="spellStart"/>
      <w:r w:rsidRPr="005348B9">
        <w:rPr>
          <w:color w:val="auto"/>
        </w:rPr>
        <w:t>Beiras</w:t>
      </w:r>
      <w:proofErr w:type="spellEnd"/>
      <w:r w:rsidRPr="005348B9">
        <w:rPr>
          <w:color w:val="auto"/>
        </w:rPr>
        <w:t>, A. Exercise echocardiography and cardiac magnetic resonance imaging to predict outcome in</w:t>
      </w:r>
      <w:r w:rsidRPr="004F446B">
        <w:rPr>
          <w:color w:val="auto"/>
        </w:rPr>
        <w:t xml:space="preserve"> patients with hypertrophic cardiomyopathy. </w:t>
      </w:r>
      <w:r w:rsidRPr="004F446B">
        <w:rPr>
          <w:i/>
          <w:iCs/>
          <w:color w:val="auto"/>
        </w:rPr>
        <w:t>Eur</w:t>
      </w:r>
      <w:r>
        <w:rPr>
          <w:i/>
          <w:iCs/>
          <w:color w:val="auto"/>
        </w:rPr>
        <w:t>.</w:t>
      </w:r>
      <w:r w:rsidRPr="004F446B">
        <w:rPr>
          <w:i/>
          <w:iCs/>
          <w:color w:val="auto"/>
        </w:rPr>
        <w:t xml:space="preserve"> Heart </w:t>
      </w:r>
      <w:r>
        <w:rPr>
          <w:i/>
          <w:iCs/>
          <w:color w:val="auto"/>
        </w:rPr>
        <w:t>J.</w:t>
      </w:r>
      <w:r w:rsidRPr="004F446B">
        <w:rPr>
          <w:i/>
          <w:iCs/>
          <w:color w:val="auto"/>
        </w:rPr>
        <w:t xml:space="preserve"> Cardiovasc</w:t>
      </w:r>
      <w:r>
        <w:rPr>
          <w:i/>
          <w:iCs/>
          <w:color w:val="auto"/>
        </w:rPr>
        <w:t>.</w:t>
      </w:r>
      <w:r w:rsidRPr="004F446B">
        <w:rPr>
          <w:i/>
          <w:iCs/>
          <w:color w:val="auto"/>
        </w:rPr>
        <w:t xml:space="preserve"> Imaging</w:t>
      </w:r>
      <w:r w:rsidRPr="004F446B">
        <w:rPr>
          <w:color w:val="auto"/>
        </w:rPr>
        <w:t xml:space="preserve"> </w:t>
      </w:r>
      <w:r>
        <w:rPr>
          <w:b/>
          <w:bCs/>
          <w:color w:val="auto"/>
        </w:rPr>
        <w:t>2015</w:t>
      </w:r>
      <w:r>
        <w:rPr>
          <w:bCs/>
          <w:color w:val="auto"/>
        </w:rPr>
        <w:t xml:space="preserve">, </w:t>
      </w:r>
      <w:r>
        <w:rPr>
          <w:bCs/>
          <w:i/>
          <w:color w:val="auto"/>
        </w:rPr>
        <w:t>16</w:t>
      </w:r>
      <w:r>
        <w:rPr>
          <w:bCs/>
          <w:color w:val="auto"/>
        </w:rPr>
        <w:t>, 423–432.</w:t>
      </w:r>
    </w:p>
    <w:p w14:paraId="73DA5442"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Reant</w:t>
      </w:r>
      <w:proofErr w:type="spellEnd"/>
      <w:r w:rsidRPr="004F446B">
        <w:rPr>
          <w:color w:val="auto"/>
        </w:rPr>
        <w:t xml:space="preserve">, P.; Reynaud, A.; </w:t>
      </w:r>
      <w:proofErr w:type="spellStart"/>
      <w:r w:rsidRPr="004F446B">
        <w:rPr>
          <w:color w:val="auto"/>
        </w:rPr>
        <w:t>Pillois</w:t>
      </w:r>
      <w:proofErr w:type="spellEnd"/>
      <w:r w:rsidRPr="004F446B">
        <w:rPr>
          <w:color w:val="auto"/>
        </w:rPr>
        <w:t xml:space="preserve">, X.; </w:t>
      </w:r>
      <w:proofErr w:type="spellStart"/>
      <w:r w:rsidRPr="004F446B">
        <w:rPr>
          <w:color w:val="auto"/>
        </w:rPr>
        <w:t>Dijos</w:t>
      </w:r>
      <w:proofErr w:type="spellEnd"/>
      <w:r w:rsidRPr="004F446B">
        <w:rPr>
          <w:color w:val="auto"/>
        </w:rPr>
        <w:t xml:space="preserve">, M.; </w:t>
      </w:r>
      <w:proofErr w:type="spellStart"/>
      <w:r w:rsidRPr="004F446B">
        <w:rPr>
          <w:color w:val="auto"/>
        </w:rPr>
        <w:t>Arsac</w:t>
      </w:r>
      <w:proofErr w:type="spellEnd"/>
      <w:r w:rsidRPr="004F446B">
        <w:rPr>
          <w:color w:val="auto"/>
        </w:rPr>
        <w:t xml:space="preserve">, F.; </w:t>
      </w:r>
      <w:proofErr w:type="spellStart"/>
      <w:r w:rsidRPr="004F446B">
        <w:rPr>
          <w:color w:val="auto"/>
        </w:rPr>
        <w:t>Touche</w:t>
      </w:r>
      <w:proofErr w:type="spellEnd"/>
      <w:r w:rsidRPr="004F446B">
        <w:rPr>
          <w:color w:val="auto"/>
        </w:rPr>
        <w:t xml:space="preserve">, C.; </w:t>
      </w:r>
      <w:proofErr w:type="spellStart"/>
      <w:r w:rsidRPr="004F446B">
        <w:rPr>
          <w:color w:val="auto"/>
        </w:rPr>
        <w:t>Landelle</w:t>
      </w:r>
      <w:proofErr w:type="spellEnd"/>
      <w:r w:rsidRPr="004F446B">
        <w:rPr>
          <w:color w:val="auto"/>
        </w:rPr>
        <w:t xml:space="preserve">, M.; </w:t>
      </w:r>
      <w:proofErr w:type="spellStart"/>
      <w:r w:rsidRPr="004F446B">
        <w:rPr>
          <w:color w:val="auto"/>
        </w:rPr>
        <w:t>Rooryck</w:t>
      </w:r>
      <w:proofErr w:type="spellEnd"/>
      <w:r w:rsidRPr="004F446B">
        <w:rPr>
          <w:color w:val="auto"/>
        </w:rPr>
        <w:t xml:space="preserve">, C.; </w:t>
      </w:r>
      <w:proofErr w:type="spellStart"/>
      <w:r w:rsidRPr="004F446B">
        <w:rPr>
          <w:color w:val="auto"/>
        </w:rPr>
        <w:t>Roudaut</w:t>
      </w:r>
      <w:proofErr w:type="spellEnd"/>
      <w:r w:rsidRPr="004F446B">
        <w:rPr>
          <w:color w:val="auto"/>
        </w:rPr>
        <w:t xml:space="preserve">, R.; Lafitte, S. comparison of resting and exercise echocardiographic parameters as indicators of outcomes in hypertrophic cardiomyopathy. </w:t>
      </w:r>
      <w:r>
        <w:rPr>
          <w:i/>
          <w:iCs/>
          <w:color w:val="auto"/>
        </w:rPr>
        <w:t>J.</w:t>
      </w:r>
      <w:r w:rsidRPr="004F446B">
        <w:rPr>
          <w:i/>
          <w:iCs/>
          <w:color w:val="auto"/>
        </w:rPr>
        <w:t xml:space="preserve"> </w:t>
      </w:r>
      <w:r>
        <w:rPr>
          <w:i/>
          <w:iCs/>
          <w:color w:val="auto"/>
        </w:rPr>
        <w:t>Am.</w:t>
      </w:r>
      <w:r w:rsidRPr="004F446B">
        <w:rPr>
          <w:i/>
          <w:iCs/>
          <w:color w:val="auto"/>
        </w:rPr>
        <w:t xml:space="preserve"> Soc </w:t>
      </w:r>
      <w:proofErr w:type="spellStart"/>
      <w:r w:rsidRPr="004F446B">
        <w:rPr>
          <w:i/>
          <w:iCs/>
          <w:color w:val="auto"/>
        </w:rPr>
        <w:t>Echocardiogr</w:t>
      </w:r>
      <w:proofErr w:type="spellEnd"/>
      <w:r w:rsidRPr="004F446B">
        <w:rPr>
          <w:color w:val="auto"/>
        </w:rPr>
        <w:t xml:space="preserve">. </w:t>
      </w:r>
      <w:r>
        <w:rPr>
          <w:b/>
          <w:bCs/>
          <w:color w:val="auto"/>
        </w:rPr>
        <w:t>2015</w:t>
      </w:r>
      <w:r>
        <w:rPr>
          <w:bCs/>
          <w:color w:val="auto"/>
        </w:rPr>
        <w:t xml:space="preserve">, </w:t>
      </w:r>
      <w:r>
        <w:rPr>
          <w:bCs/>
          <w:i/>
          <w:color w:val="auto"/>
        </w:rPr>
        <w:t>28</w:t>
      </w:r>
      <w:r>
        <w:rPr>
          <w:bCs/>
          <w:color w:val="auto"/>
        </w:rPr>
        <w:t>, 194–203</w:t>
      </w:r>
      <w:r>
        <w:rPr>
          <w:color w:val="auto"/>
        </w:rPr>
        <w:t>.</w:t>
      </w:r>
    </w:p>
    <w:p w14:paraId="19DF6A34"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Sadoul</w:t>
      </w:r>
      <w:proofErr w:type="spellEnd"/>
      <w:r w:rsidRPr="004F446B">
        <w:rPr>
          <w:color w:val="auto"/>
        </w:rPr>
        <w:t xml:space="preserve">, N.; Prasad, K.; Elliott, P.M.; </w:t>
      </w:r>
      <w:proofErr w:type="spellStart"/>
      <w:r w:rsidRPr="004F446B">
        <w:rPr>
          <w:color w:val="auto"/>
        </w:rPr>
        <w:t>Bannerjee</w:t>
      </w:r>
      <w:proofErr w:type="spellEnd"/>
      <w:r w:rsidRPr="004F446B">
        <w:rPr>
          <w:color w:val="auto"/>
        </w:rPr>
        <w:t xml:space="preserve">, S.; </w:t>
      </w:r>
      <w:proofErr w:type="spellStart"/>
      <w:r w:rsidRPr="004F446B">
        <w:rPr>
          <w:color w:val="auto"/>
        </w:rPr>
        <w:t>Frenneaux</w:t>
      </w:r>
      <w:proofErr w:type="spellEnd"/>
      <w:r w:rsidRPr="004F446B">
        <w:rPr>
          <w:color w:val="auto"/>
        </w:rPr>
        <w:t xml:space="preserve">, M.P.; McKenna, W.J. Prospective prognostic assessment of blood pressure response during exercise in patients with hypertrophic cardiomyopathy. </w:t>
      </w:r>
      <w:r w:rsidRPr="004F446B">
        <w:rPr>
          <w:i/>
          <w:iCs/>
          <w:color w:val="auto"/>
        </w:rPr>
        <w:t>Circulation</w:t>
      </w:r>
      <w:r w:rsidRPr="004F446B">
        <w:rPr>
          <w:color w:val="auto"/>
        </w:rPr>
        <w:t xml:space="preserve"> </w:t>
      </w:r>
      <w:r>
        <w:rPr>
          <w:b/>
          <w:bCs/>
          <w:color w:val="auto"/>
        </w:rPr>
        <w:t>1997</w:t>
      </w:r>
      <w:r>
        <w:rPr>
          <w:bCs/>
          <w:color w:val="auto"/>
        </w:rPr>
        <w:t xml:space="preserve">, </w:t>
      </w:r>
      <w:r>
        <w:rPr>
          <w:bCs/>
          <w:i/>
          <w:color w:val="auto"/>
        </w:rPr>
        <w:t>96</w:t>
      </w:r>
      <w:r>
        <w:rPr>
          <w:bCs/>
          <w:color w:val="auto"/>
        </w:rPr>
        <w:t>, 2987–2991.</w:t>
      </w:r>
    </w:p>
    <w:p w14:paraId="2AFA1B0B"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Sorajja</w:t>
      </w:r>
      <w:proofErr w:type="spellEnd"/>
      <w:r w:rsidRPr="004F446B">
        <w:rPr>
          <w:color w:val="auto"/>
        </w:rPr>
        <w:t xml:space="preserve">, P.; Allison, T.; Hayes, C.; Nishimura, R.A.; Lam, C.S.P.; </w:t>
      </w:r>
      <w:proofErr w:type="spellStart"/>
      <w:r w:rsidRPr="004F446B">
        <w:rPr>
          <w:color w:val="auto"/>
        </w:rPr>
        <w:t>Ommen</w:t>
      </w:r>
      <w:proofErr w:type="spellEnd"/>
      <w:r w:rsidRPr="004F446B">
        <w:rPr>
          <w:color w:val="auto"/>
        </w:rPr>
        <w:t xml:space="preserve">, S.R. Prognostic utility of metabolic exercise testing in minimally symptomatic patients with obstructive hypertrophic cardiomyopathy. </w:t>
      </w:r>
      <w:r>
        <w:rPr>
          <w:i/>
          <w:iCs/>
          <w:color w:val="auto"/>
        </w:rPr>
        <w:t>Am.</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2012</w:t>
      </w:r>
      <w:r>
        <w:rPr>
          <w:bCs/>
          <w:color w:val="auto"/>
        </w:rPr>
        <w:t xml:space="preserve">, </w:t>
      </w:r>
      <w:r>
        <w:rPr>
          <w:bCs/>
          <w:i/>
          <w:color w:val="auto"/>
        </w:rPr>
        <w:t>109</w:t>
      </w:r>
      <w:r>
        <w:rPr>
          <w:bCs/>
          <w:color w:val="auto"/>
        </w:rPr>
        <w:t>, 1494–1498.</w:t>
      </w:r>
    </w:p>
    <w:p w14:paraId="57EC39C7"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Patel, V.; </w:t>
      </w:r>
      <w:proofErr w:type="spellStart"/>
      <w:r w:rsidRPr="004F446B">
        <w:rPr>
          <w:color w:val="auto"/>
        </w:rPr>
        <w:t>Critoph</w:t>
      </w:r>
      <w:proofErr w:type="spellEnd"/>
      <w:r w:rsidRPr="004F446B">
        <w:rPr>
          <w:color w:val="auto"/>
        </w:rPr>
        <w:t xml:space="preserve">, C.; Elliot, P.M. </w:t>
      </w:r>
      <w:proofErr w:type="gramStart"/>
      <w:r w:rsidRPr="004F446B">
        <w:rPr>
          <w:color w:val="auto"/>
        </w:rPr>
        <w:t>Mechanisms</w:t>
      </w:r>
      <w:proofErr w:type="gramEnd"/>
      <w:r w:rsidRPr="004F446B">
        <w:rPr>
          <w:color w:val="auto"/>
        </w:rPr>
        <w:t xml:space="preserve"> and medical management of exercise intolerance in hypertrophic cardiomyopathy. </w:t>
      </w:r>
      <w:proofErr w:type="spellStart"/>
      <w:r w:rsidRPr="005348B9">
        <w:rPr>
          <w:i/>
          <w:iCs/>
          <w:color w:val="auto"/>
        </w:rPr>
        <w:t>Curr</w:t>
      </w:r>
      <w:proofErr w:type="spellEnd"/>
      <w:r w:rsidRPr="005348B9">
        <w:rPr>
          <w:i/>
          <w:iCs/>
          <w:color w:val="auto"/>
        </w:rPr>
        <w:t>. Pharm. Des</w:t>
      </w:r>
      <w:r w:rsidRPr="004F446B">
        <w:rPr>
          <w:color w:val="auto"/>
        </w:rPr>
        <w:t xml:space="preserve">. </w:t>
      </w:r>
      <w:r>
        <w:rPr>
          <w:b/>
          <w:bCs/>
          <w:color w:val="auto"/>
        </w:rPr>
        <w:t>2015</w:t>
      </w:r>
      <w:r>
        <w:rPr>
          <w:bCs/>
          <w:color w:val="auto"/>
        </w:rPr>
        <w:t xml:space="preserve">, </w:t>
      </w:r>
      <w:r>
        <w:rPr>
          <w:bCs/>
          <w:i/>
          <w:color w:val="auto"/>
        </w:rPr>
        <w:t>21</w:t>
      </w:r>
      <w:r>
        <w:rPr>
          <w:bCs/>
          <w:color w:val="auto"/>
        </w:rPr>
        <w:t>, 466–472.</w:t>
      </w:r>
    </w:p>
    <w:p w14:paraId="1C717DC2"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Frenneaux</w:t>
      </w:r>
      <w:proofErr w:type="spellEnd"/>
      <w:r w:rsidRPr="004F446B">
        <w:rPr>
          <w:color w:val="auto"/>
        </w:rPr>
        <w:t xml:space="preserve">, M.P.; </w:t>
      </w:r>
      <w:proofErr w:type="spellStart"/>
      <w:r w:rsidRPr="004F446B">
        <w:rPr>
          <w:color w:val="auto"/>
        </w:rPr>
        <w:t>Counihan</w:t>
      </w:r>
      <w:proofErr w:type="spellEnd"/>
      <w:r w:rsidRPr="004F446B">
        <w:rPr>
          <w:color w:val="auto"/>
        </w:rPr>
        <w:t xml:space="preserve">, P.J.; </w:t>
      </w:r>
      <w:proofErr w:type="spellStart"/>
      <w:r w:rsidRPr="004F446B">
        <w:rPr>
          <w:color w:val="auto"/>
        </w:rPr>
        <w:t>Caforio</w:t>
      </w:r>
      <w:proofErr w:type="spellEnd"/>
      <w:r w:rsidRPr="004F446B">
        <w:rPr>
          <w:color w:val="auto"/>
        </w:rPr>
        <w:t xml:space="preserve">, A.L.; </w:t>
      </w:r>
      <w:proofErr w:type="spellStart"/>
      <w:r w:rsidRPr="004F446B">
        <w:rPr>
          <w:color w:val="auto"/>
        </w:rPr>
        <w:t>Chikamori</w:t>
      </w:r>
      <w:proofErr w:type="spellEnd"/>
      <w:r w:rsidRPr="004F446B">
        <w:rPr>
          <w:color w:val="auto"/>
        </w:rPr>
        <w:t xml:space="preserve">, T.; McKenna, W.J. Abnormal blood pressure response during exercise in hypertrophic cardiomyopathy. </w:t>
      </w:r>
      <w:r w:rsidRPr="004F446B">
        <w:rPr>
          <w:i/>
          <w:iCs/>
          <w:color w:val="auto"/>
        </w:rPr>
        <w:t>Circulation</w:t>
      </w:r>
      <w:r w:rsidRPr="004F446B">
        <w:rPr>
          <w:color w:val="auto"/>
        </w:rPr>
        <w:t xml:space="preserve"> </w:t>
      </w:r>
      <w:r>
        <w:rPr>
          <w:b/>
          <w:bCs/>
          <w:color w:val="auto"/>
        </w:rPr>
        <w:t>1990</w:t>
      </w:r>
      <w:r>
        <w:rPr>
          <w:bCs/>
          <w:color w:val="auto"/>
        </w:rPr>
        <w:t xml:space="preserve">, </w:t>
      </w:r>
      <w:r>
        <w:rPr>
          <w:bCs/>
          <w:i/>
          <w:color w:val="auto"/>
        </w:rPr>
        <w:t>82</w:t>
      </w:r>
      <w:r>
        <w:rPr>
          <w:bCs/>
          <w:color w:val="auto"/>
        </w:rPr>
        <w:t>, 1995–2002</w:t>
      </w:r>
      <w:r>
        <w:rPr>
          <w:color w:val="auto"/>
        </w:rPr>
        <w:t>.</w:t>
      </w:r>
    </w:p>
    <w:p w14:paraId="48F2359F"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Elliott, P.M.; </w:t>
      </w:r>
      <w:proofErr w:type="spellStart"/>
      <w:r w:rsidRPr="004F446B">
        <w:rPr>
          <w:color w:val="auto"/>
        </w:rPr>
        <w:t>Anastasakis</w:t>
      </w:r>
      <w:proofErr w:type="spellEnd"/>
      <w:r w:rsidRPr="004F446B">
        <w:rPr>
          <w:color w:val="auto"/>
        </w:rPr>
        <w:t xml:space="preserve">, A.; Borger, M.A.; </w:t>
      </w:r>
      <w:proofErr w:type="spellStart"/>
      <w:r w:rsidRPr="004F446B">
        <w:rPr>
          <w:color w:val="auto"/>
        </w:rPr>
        <w:t>Borggrefe</w:t>
      </w:r>
      <w:proofErr w:type="spellEnd"/>
      <w:r w:rsidRPr="004F446B">
        <w:rPr>
          <w:color w:val="auto"/>
        </w:rPr>
        <w:t xml:space="preserve">, M.; Cecchi, F.; Charron, P.; </w:t>
      </w:r>
      <w:proofErr w:type="spellStart"/>
      <w:r w:rsidRPr="004F446B">
        <w:rPr>
          <w:color w:val="auto"/>
        </w:rPr>
        <w:t>Hagege</w:t>
      </w:r>
      <w:proofErr w:type="spellEnd"/>
      <w:r w:rsidRPr="004F446B">
        <w:rPr>
          <w:color w:val="auto"/>
        </w:rPr>
        <w:t xml:space="preserve">, A.A.; </w:t>
      </w:r>
      <w:proofErr w:type="spellStart"/>
      <w:r w:rsidRPr="004F446B">
        <w:rPr>
          <w:color w:val="auto"/>
        </w:rPr>
        <w:t>Lafont</w:t>
      </w:r>
      <w:proofErr w:type="spellEnd"/>
      <w:r w:rsidRPr="004F446B">
        <w:rPr>
          <w:color w:val="auto"/>
        </w:rPr>
        <w:t xml:space="preserve">, A.; </w:t>
      </w:r>
      <w:proofErr w:type="spellStart"/>
      <w:r w:rsidRPr="004F446B">
        <w:rPr>
          <w:color w:val="auto"/>
        </w:rPr>
        <w:t>Limongelli</w:t>
      </w:r>
      <w:proofErr w:type="spellEnd"/>
      <w:r w:rsidRPr="004F446B">
        <w:rPr>
          <w:color w:val="auto"/>
        </w:rPr>
        <w:t xml:space="preserve">, G.; </w:t>
      </w:r>
      <w:proofErr w:type="spellStart"/>
      <w:r w:rsidRPr="004F446B">
        <w:rPr>
          <w:color w:val="auto"/>
        </w:rPr>
        <w:t>Mahrholdt</w:t>
      </w:r>
      <w:proofErr w:type="spellEnd"/>
      <w:r w:rsidRPr="004F446B">
        <w:rPr>
          <w:color w:val="auto"/>
        </w:rPr>
        <w:t xml:space="preserve">, H.; et al. 2014 ESC Guidelines on diagnosis and management of hypertrophic cardiomyopathy: The Task Force for the Diagnosis and Management of Hypertrophic Cardiomyopathy of the European Society of Cardiology (ESC). </w:t>
      </w:r>
      <w:r w:rsidRPr="004F446B">
        <w:rPr>
          <w:i/>
          <w:iCs/>
          <w:color w:val="auto"/>
        </w:rPr>
        <w:t>Eur</w:t>
      </w:r>
      <w:r>
        <w:rPr>
          <w:i/>
          <w:iCs/>
          <w:color w:val="auto"/>
        </w:rPr>
        <w:t>.</w:t>
      </w:r>
      <w:r w:rsidRPr="004F446B">
        <w:rPr>
          <w:i/>
          <w:iCs/>
          <w:color w:val="auto"/>
        </w:rPr>
        <w:t xml:space="preserve"> Heart J</w:t>
      </w:r>
      <w:r w:rsidRPr="004F446B">
        <w:rPr>
          <w:color w:val="auto"/>
        </w:rPr>
        <w:t xml:space="preserve">. </w:t>
      </w:r>
      <w:r>
        <w:rPr>
          <w:b/>
          <w:bCs/>
          <w:color w:val="auto"/>
        </w:rPr>
        <w:t>2014</w:t>
      </w:r>
      <w:r>
        <w:rPr>
          <w:bCs/>
          <w:color w:val="auto"/>
        </w:rPr>
        <w:t xml:space="preserve">, </w:t>
      </w:r>
      <w:r>
        <w:rPr>
          <w:bCs/>
          <w:i/>
          <w:color w:val="auto"/>
        </w:rPr>
        <w:t>35</w:t>
      </w:r>
      <w:r>
        <w:rPr>
          <w:bCs/>
          <w:color w:val="auto"/>
        </w:rPr>
        <w:t>, 2733–2779.</w:t>
      </w:r>
    </w:p>
    <w:p w14:paraId="0EFFECCE"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Myers, J.; Bellin, D.; Ramp exercise protocols for clinical and cardiopulmonary exercise testing. </w:t>
      </w:r>
      <w:r w:rsidRPr="004F446B">
        <w:rPr>
          <w:i/>
          <w:iCs/>
          <w:color w:val="auto"/>
        </w:rPr>
        <w:t>Sport Med</w:t>
      </w:r>
      <w:r w:rsidRPr="004F446B">
        <w:rPr>
          <w:color w:val="auto"/>
        </w:rPr>
        <w:t xml:space="preserve">. </w:t>
      </w:r>
      <w:r>
        <w:rPr>
          <w:b/>
          <w:bCs/>
          <w:color w:val="auto"/>
        </w:rPr>
        <w:t>2000</w:t>
      </w:r>
      <w:r>
        <w:rPr>
          <w:bCs/>
          <w:color w:val="auto"/>
        </w:rPr>
        <w:t xml:space="preserve">, </w:t>
      </w:r>
      <w:r>
        <w:rPr>
          <w:bCs/>
          <w:i/>
          <w:color w:val="auto"/>
        </w:rPr>
        <w:t>30</w:t>
      </w:r>
      <w:r>
        <w:rPr>
          <w:bCs/>
          <w:color w:val="auto"/>
        </w:rPr>
        <w:t>, 23–29.</w:t>
      </w:r>
    </w:p>
    <w:p w14:paraId="0B2C5EB9"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Buchfuhrer</w:t>
      </w:r>
      <w:proofErr w:type="spellEnd"/>
      <w:r w:rsidRPr="004F446B">
        <w:rPr>
          <w:color w:val="auto"/>
        </w:rPr>
        <w:t xml:space="preserve">, M.; Hansen, J.; Robinson, T.; Sue, D.; Wasserman, K.; </w:t>
      </w:r>
      <w:proofErr w:type="spellStart"/>
      <w:r w:rsidRPr="004F446B">
        <w:rPr>
          <w:color w:val="auto"/>
        </w:rPr>
        <w:t>Whipp</w:t>
      </w:r>
      <w:proofErr w:type="spellEnd"/>
      <w:r w:rsidRPr="004F446B">
        <w:rPr>
          <w:color w:val="auto"/>
        </w:rPr>
        <w:t xml:space="preserve">, B.J. Optimizing the exercise protocol for cardiopulmonary assessment. </w:t>
      </w:r>
      <w:r>
        <w:rPr>
          <w:i/>
          <w:iCs/>
          <w:color w:val="auto"/>
        </w:rPr>
        <w:t>J.</w:t>
      </w:r>
      <w:r w:rsidRPr="004F446B">
        <w:rPr>
          <w:i/>
          <w:iCs/>
          <w:color w:val="auto"/>
        </w:rPr>
        <w:t xml:space="preserve"> Appl</w:t>
      </w:r>
      <w:r>
        <w:rPr>
          <w:i/>
          <w:iCs/>
          <w:color w:val="auto"/>
        </w:rPr>
        <w:t>.</w:t>
      </w:r>
      <w:r w:rsidRPr="004F446B">
        <w:rPr>
          <w:i/>
          <w:iCs/>
          <w:color w:val="auto"/>
        </w:rPr>
        <w:t xml:space="preserve"> Physiol</w:t>
      </w:r>
      <w:r w:rsidRPr="004F446B">
        <w:rPr>
          <w:color w:val="auto"/>
        </w:rPr>
        <w:t xml:space="preserve">. </w:t>
      </w:r>
      <w:r>
        <w:rPr>
          <w:b/>
          <w:bCs/>
          <w:color w:val="auto"/>
        </w:rPr>
        <w:t>1983</w:t>
      </w:r>
      <w:r>
        <w:rPr>
          <w:bCs/>
          <w:color w:val="auto"/>
        </w:rPr>
        <w:t xml:space="preserve">, </w:t>
      </w:r>
      <w:r>
        <w:rPr>
          <w:bCs/>
          <w:i/>
          <w:color w:val="auto"/>
        </w:rPr>
        <w:t>55</w:t>
      </w:r>
      <w:r>
        <w:rPr>
          <w:bCs/>
          <w:color w:val="auto"/>
        </w:rPr>
        <w:t>, 1558–1564.</w:t>
      </w:r>
    </w:p>
    <w:p w14:paraId="403AA86A"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Pallarés</w:t>
      </w:r>
      <w:proofErr w:type="spellEnd"/>
      <w:r w:rsidRPr="004F446B">
        <w:rPr>
          <w:color w:val="auto"/>
        </w:rPr>
        <w:t xml:space="preserve">, J.G.; </w:t>
      </w:r>
      <w:proofErr w:type="spellStart"/>
      <w:r w:rsidRPr="004F446B">
        <w:rPr>
          <w:color w:val="auto"/>
        </w:rPr>
        <w:t>Cerezuela</w:t>
      </w:r>
      <w:proofErr w:type="spellEnd"/>
      <w:r w:rsidRPr="004F446B">
        <w:rPr>
          <w:color w:val="auto"/>
        </w:rPr>
        <w:t xml:space="preserve">-Espejo, V.; </w:t>
      </w:r>
      <w:proofErr w:type="spellStart"/>
      <w:r w:rsidRPr="004F446B">
        <w:rPr>
          <w:color w:val="auto"/>
        </w:rPr>
        <w:t>Morán</w:t>
      </w:r>
      <w:proofErr w:type="spellEnd"/>
      <w:r w:rsidRPr="004F446B">
        <w:rPr>
          <w:color w:val="auto"/>
        </w:rPr>
        <w:t xml:space="preserve">-Navarro, R.; Martínez-Cava, A.; Conesa, E.; </w:t>
      </w:r>
      <w:proofErr w:type="spellStart"/>
      <w:r w:rsidRPr="004F446B">
        <w:rPr>
          <w:color w:val="auto"/>
        </w:rPr>
        <w:t>Courel</w:t>
      </w:r>
      <w:proofErr w:type="spellEnd"/>
      <w:r w:rsidRPr="004F446B">
        <w:rPr>
          <w:color w:val="auto"/>
        </w:rPr>
        <w:t xml:space="preserve">-Ibáñez, J. </w:t>
      </w:r>
      <w:proofErr w:type="gramStart"/>
      <w:r w:rsidRPr="004F446B">
        <w:rPr>
          <w:color w:val="auto"/>
        </w:rPr>
        <w:t>A new short</w:t>
      </w:r>
      <w:proofErr w:type="gramEnd"/>
      <w:r w:rsidRPr="004F446B">
        <w:rPr>
          <w:color w:val="auto"/>
        </w:rPr>
        <w:t xml:space="preserve"> track test to estimate the VO2max and maximal aerobic speed in well-trained runners. </w:t>
      </w:r>
      <w:r>
        <w:rPr>
          <w:i/>
          <w:iCs/>
          <w:color w:val="auto"/>
        </w:rPr>
        <w:t>J.</w:t>
      </w:r>
      <w:r w:rsidRPr="004F446B">
        <w:rPr>
          <w:i/>
          <w:iCs/>
          <w:color w:val="auto"/>
        </w:rPr>
        <w:t xml:space="preserve"> Strength Cond Res</w:t>
      </w:r>
      <w:r w:rsidRPr="004F446B">
        <w:rPr>
          <w:color w:val="auto"/>
        </w:rPr>
        <w:t xml:space="preserve">. </w:t>
      </w:r>
      <w:r>
        <w:rPr>
          <w:b/>
          <w:bCs/>
          <w:color w:val="auto"/>
        </w:rPr>
        <w:t>2019</w:t>
      </w:r>
      <w:r>
        <w:rPr>
          <w:bCs/>
          <w:color w:val="auto"/>
        </w:rPr>
        <w:t xml:space="preserve">, </w:t>
      </w:r>
      <w:r>
        <w:rPr>
          <w:bCs/>
          <w:i/>
          <w:color w:val="auto"/>
        </w:rPr>
        <w:t>33</w:t>
      </w:r>
      <w:r>
        <w:rPr>
          <w:bCs/>
          <w:color w:val="auto"/>
        </w:rPr>
        <w:t>, 1216–1221.</w:t>
      </w:r>
    </w:p>
    <w:p w14:paraId="255BAFBE" w14:textId="77777777" w:rsidR="000B16CE" w:rsidRPr="004F446B" w:rsidRDefault="000B16CE" w:rsidP="008C619F">
      <w:pPr>
        <w:pStyle w:val="MDPI71References"/>
        <w:numPr>
          <w:ilvl w:val="0"/>
          <w:numId w:val="4"/>
        </w:numPr>
        <w:ind w:left="425" w:hanging="425"/>
        <w:rPr>
          <w:color w:val="auto"/>
        </w:rPr>
      </w:pPr>
      <w:r w:rsidRPr="004F446B">
        <w:rPr>
          <w:color w:val="auto"/>
        </w:rPr>
        <w:t xml:space="preserve">Gilligan, D.; </w:t>
      </w:r>
      <w:proofErr w:type="spellStart"/>
      <w:r w:rsidRPr="004F446B">
        <w:rPr>
          <w:color w:val="auto"/>
        </w:rPr>
        <w:t>Nihoyannopoulos</w:t>
      </w:r>
      <w:proofErr w:type="spellEnd"/>
      <w:r w:rsidRPr="004F446B">
        <w:rPr>
          <w:color w:val="auto"/>
        </w:rPr>
        <w:t xml:space="preserve">, P.; Fletcher, A.; </w:t>
      </w:r>
      <w:proofErr w:type="spellStart"/>
      <w:r w:rsidRPr="004F446B">
        <w:rPr>
          <w:color w:val="auto"/>
        </w:rPr>
        <w:t>Sbarouni</w:t>
      </w:r>
      <w:proofErr w:type="spellEnd"/>
      <w:r w:rsidRPr="004F446B">
        <w:rPr>
          <w:color w:val="auto"/>
        </w:rPr>
        <w:t xml:space="preserve">, E.; Dritsas, A.; Oakley, C.M. Symptoms of hypertrophic cardiomyopathy, with special emphasis on syncope and postprandial exacerbation of symptoms. </w:t>
      </w:r>
      <w:r w:rsidRPr="004F446B">
        <w:rPr>
          <w:i/>
          <w:iCs/>
          <w:color w:val="auto"/>
        </w:rPr>
        <w:t>Clin</w:t>
      </w:r>
      <w:r>
        <w:rPr>
          <w:i/>
          <w:iCs/>
          <w:color w:val="auto"/>
        </w:rPr>
        <w:t>.</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1996</w:t>
      </w:r>
      <w:r>
        <w:rPr>
          <w:bCs/>
          <w:color w:val="auto"/>
        </w:rPr>
        <w:t xml:space="preserve">, </w:t>
      </w:r>
      <w:r>
        <w:rPr>
          <w:bCs/>
          <w:i/>
          <w:color w:val="auto"/>
        </w:rPr>
        <w:t>19</w:t>
      </w:r>
      <w:r>
        <w:rPr>
          <w:bCs/>
          <w:color w:val="auto"/>
        </w:rPr>
        <w:t>, 371–378.</w:t>
      </w:r>
    </w:p>
    <w:p w14:paraId="4971DF91" w14:textId="77777777" w:rsidR="000B16CE" w:rsidRPr="005348B9" w:rsidRDefault="000B16CE" w:rsidP="008C619F">
      <w:pPr>
        <w:pStyle w:val="MDPI71References"/>
        <w:numPr>
          <w:ilvl w:val="0"/>
          <w:numId w:val="4"/>
        </w:numPr>
        <w:ind w:left="425" w:hanging="425"/>
        <w:rPr>
          <w:color w:val="auto"/>
        </w:rPr>
      </w:pPr>
      <w:proofErr w:type="spellStart"/>
      <w:r w:rsidRPr="004F446B">
        <w:rPr>
          <w:color w:val="auto"/>
        </w:rPr>
        <w:t>Feiner</w:t>
      </w:r>
      <w:proofErr w:type="spellEnd"/>
      <w:r w:rsidRPr="004F446B">
        <w:rPr>
          <w:color w:val="auto"/>
        </w:rPr>
        <w:t xml:space="preserve">, E.; </w:t>
      </w:r>
      <w:proofErr w:type="spellStart"/>
      <w:r w:rsidRPr="004F446B">
        <w:rPr>
          <w:color w:val="auto"/>
        </w:rPr>
        <w:t>Arabadjian</w:t>
      </w:r>
      <w:proofErr w:type="spellEnd"/>
      <w:r w:rsidRPr="004F446B">
        <w:rPr>
          <w:color w:val="auto"/>
        </w:rPr>
        <w:t xml:space="preserve">, M.; </w:t>
      </w:r>
      <w:proofErr w:type="spellStart"/>
      <w:r w:rsidRPr="004F446B">
        <w:rPr>
          <w:color w:val="auto"/>
        </w:rPr>
        <w:t>Winson</w:t>
      </w:r>
      <w:proofErr w:type="spellEnd"/>
      <w:r w:rsidRPr="004F446B">
        <w:rPr>
          <w:color w:val="auto"/>
        </w:rPr>
        <w:t xml:space="preserve">, G.; Kim, B.; Chaudhry, F.; </w:t>
      </w:r>
      <w:proofErr w:type="spellStart"/>
      <w:r w:rsidRPr="004F446B">
        <w:rPr>
          <w:color w:val="auto"/>
        </w:rPr>
        <w:t>Sherrid</w:t>
      </w:r>
      <w:proofErr w:type="spellEnd"/>
      <w:r w:rsidRPr="004F446B">
        <w:rPr>
          <w:color w:val="auto"/>
        </w:rPr>
        <w:t xml:space="preserve">, M.V. Post-prandial upright exercise echocardiography in hypertrophic cardiomyopathy. </w:t>
      </w:r>
      <w:r w:rsidRPr="005348B9">
        <w:rPr>
          <w:i/>
          <w:iCs/>
          <w:color w:val="auto"/>
        </w:rPr>
        <w:t xml:space="preserve">J. Am. Coll. </w:t>
      </w:r>
      <w:proofErr w:type="spellStart"/>
      <w:r w:rsidRPr="005348B9">
        <w:rPr>
          <w:i/>
          <w:iCs/>
          <w:color w:val="auto"/>
        </w:rPr>
        <w:t>Cardiol</w:t>
      </w:r>
      <w:proofErr w:type="spellEnd"/>
      <w:r w:rsidRPr="005348B9">
        <w:rPr>
          <w:color w:val="auto"/>
        </w:rPr>
        <w:t xml:space="preserve">. </w:t>
      </w:r>
      <w:r>
        <w:rPr>
          <w:b/>
          <w:bCs/>
          <w:color w:val="auto"/>
        </w:rPr>
        <w:t>2013</w:t>
      </w:r>
      <w:r>
        <w:rPr>
          <w:bCs/>
          <w:color w:val="auto"/>
        </w:rPr>
        <w:t xml:space="preserve">, </w:t>
      </w:r>
      <w:r>
        <w:rPr>
          <w:bCs/>
          <w:i/>
          <w:color w:val="auto"/>
        </w:rPr>
        <w:t>61</w:t>
      </w:r>
      <w:r>
        <w:rPr>
          <w:bCs/>
          <w:color w:val="auto"/>
        </w:rPr>
        <w:t>, 2487–2488</w:t>
      </w:r>
      <w:r w:rsidRPr="005348B9">
        <w:rPr>
          <w:bCs/>
          <w:color w:val="auto"/>
        </w:rPr>
        <w:t>.</w:t>
      </w:r>
    </w:p>
    <w:p w14:paraId="309AABD2"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Gilligan, D.; </w:t>
      </w:r>
      <w:proofErr w:type="spellStart"/>
      <w:r w:rsidRPr="005348B9">
        <w:rPr>
          <w:color w:val="auto"/>
        </w:rPr>
        <w:t>Marsonis</w:t>
      </w:r>
      <w:proofErr w:type="spellEnd"/>
      <w:r w:rsidRPr="005348B9">
        <w:rPr>
          <w:color w:val="auto"/>
        </w:rPr>
        <w:t xml:space="preserve">, A.; Joshi, J.; </w:t>
      </w:r>
      <w:proofErr w:type="spellStart"/>
      <w:r w:rsidRPr="005348B9">
        <w:rPr>
          <w:color w:val="auto"/>
        </w:rPr>
        <w:t>Nihoyannopoulos</w:t>
      </w:r>
      <w:proofErr w:type="spellEnd"/>
      <w:r w:rsidRPr="005348B9">
        <w:rPr>
          <w:color w:val="auto"/>
        </w:rPr>
        <w:t xml:space="preserve">, P.; </w:t>
      </w:r>
      <w:proofErr w:type="spellStart"/>
      <w:r w:rsidRPr="005348B9">
        <w:rPr>
          <w:color w:val="auto"/>
        </w:rPr>
        <w:t>Ghatei</w:t>
      </w:r>
      <w:proofErr w:type="spellEnd"/>
      <w:r w:rsidRPr="005348B9">
        <w:rPr>
          <w:color w:val="auto"/>
        </w:rPr>
        <w:t xml:space="preserve">, M.A.; Bloom, S.; Oakley, C.M. Cardiovascular and hormonal responses to a meal in hypertrophic cardiomyopathy: A comparison of patients with and without postprandial exacerbation of symptoms. </w:t>
      </w:r>
      <w:r w:rsidRPr="005348B9">
        <w:rPr>
          <w:i/>
          <w:iCs/>
          <w:color w:val="auto"/>
        </w:rPr>
        <w:t xml:space="preserve">Clin. </w:t>
      </w:r>
      <w:proofErr w:type="spellStart"/>
      <w:r w:rsidRPr="005348B9">
        <w:rPr>
          <w:i/>
          <w:iCs/>
          <w:color w:val="auto"/>
        </w:rPr>
        <w:t>Cardiol</w:t>
      </w:r>
      <w:proofErr w:type="spellEnd"/>
      <w:r w:rsidRPr="005348B9">
        <w:rPr>
          <w:color w:val="auto"/>
        </w:rPr>
        <w:t xml:space="preserve">. </w:t>
      </w:r>
      <w:r>
        <w:rPr>
          <w:b/>
          <w:bCs/>
          <w:color w:val="auto"/>
        </w:rPr>
        <w:t>1996</w:t>
      </w:r>
      <w:r>
        <w:rPr>
          <w:bCs/>
          <w:color w:val="auto"/>
        </w:rPr>
        <w:t xml:space="preserve">, </w:t>
      </w:r>
      <w:r>
        <w:rPr>
          <w:bCs/>
          <w:i/>
          <w:color w:val="auto"/>
        </w:rPr>
        <w:t>19</w:t>
      </w:r>
      <w:r>
        <w:rPr>
          <w:bCs/>
          <w:color w:val="auto"/>
        </w:rPr>
        <w:t>, 129–135</w:t>
      </w:r>
      <w:r w:rsidRPr="005348B9">
        <w:rPr>
          <w:bCs/>
          <w:color w:val="auto"/>
        </w:rPr>
        <w:t>.</w:t>
      </w:r>
    </w:p>
    <w:p w14:paraId="38BE7194"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rPr>
        <w:t>Gilligann</w:t>
      </w:r>
      <w:proofErr w:type="spellEnd"/>
      <w:r w:rsidRPr="005348B9">
        <w:rPr>
          <w:color w:val="auto"/>
        </w:rPr>
        <w:t xml:space="preserve">, D.M.; Chan, W.L.; Ang, E.L.; Oakley, C.M. Effects of a meal on hemodynamic function at rest and during exercise in patients with hypertrophic cardiomyopathy. </w:t>
      </w:r>
      <w:r w:rsidRPr="005348B9">
        <w:rPr>
          <w:i/>
          <w:iCs/>
          <w:color w:val="auto"/>
        </w:rPr>
        <w:t xml:space="preserve">J. Am. Coll. </w:t>
      </w:r>
      <w:proofErr w:type="spellStart"/>
      <w:r w:rsidRPr="005348B9">
        <w:rPr>
          <w:i/>
          <w:iCs/>
          <w:color w:val="auto"/>
        </w:rPr>
        <w:t>Cardiol</w:t>
      </w:r>
      <w:proofErr w:type="spellEnd"/>
      <w:r w:rsidRPr="005348B9">
        <w:rPr>
          <w:color w:val="auto"/>
        </w:rPr>
        <w:t xml:space="preserve">. </w:t>
      </w:r>
      <w:r>
        <w:rPr>
          <w:b/>
          <w:bCs/>
          <w:color w:val="auto"/>
        </w:rPr>
        <w:t>1991</w:t>
      </w:r>
      <w:r>
        <w:rPr>
          <w:bCs/>
          <w:color w:val="auto"/>
        </w:rPr>
        <w:t xml:space="preserve">, </w:t>
      </w:r>
      <w:r>
        <w:rPr>
          <w:bCs/>
          <w:i/>
          <w:color w:val="auto"/>
        </w:rPr>
        <w:t>18</w:t>
      </w:r>
      <w:r>
        <w:rPr>
          <w:bCs/>
          <w:color w:val="auto"/>
        </w:rPr>
        <w:t>, 429–436</w:t>
      </w:r>
      <w:r w:rsidRPr="005348B9">
        <w:rPr>
          <w:bCs/>
          <w:color w:val="auto"/>
        </w:rPr>
        <w:t>.</w:t>
      </w:r>
    </w:p>
    <w:p w14:paraId="7D180FE1"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Braun, L.A.; </w:t>
      </w:r>
      <w:proofErr w:type="spellStart"/>
      <w:r w:rsidRPr="005348B9">
        <w:rPr>
          <w:color w:val="auto"/>
        </w:rPr>
        <w:t>Rosenfeldt</w:t>
      </w:r>
      <w:proofErr w:type="spellEnd"/>
      <w:r w:rsidRPr="005348B9">
        <w:rPr>
          <w:color w:val="auto"/>
        </w:rPr>
        <w:t xml:space="preserve">, F. Pharmaco-nutrient interactions–a systematic review of zinc and antihypertensive therapy. </w:t>
      </w:r>
      <w:r w:rsidRPr="005348B9">
        <w:rPr>
          <w:i/>
          <w:iCs/>
          <w:color w:val="auto"/>
        </w:rPr>
        <w:t xml:space="preserve">Int. J. Clin. </w:t>
      </w:r>
      <w:proofErr w:type="spellStart"/>
      <w:r w:rsidRPr="005348B9">
        <w:rPr>
          <w:i/>
          <w:iCs/>
          <w:color w:val="auto"/>
        </w:rPr>
        <w:t>Pract</w:t>
      </w:r>
      <w:proofErr w:type="spellEnd"/>
      <w:r w:rsidRPr="005348B9">
        <w:rPr>
          <w:color w:val="auto"/>
        </w:rPr>
        <w:t xml:space="preserve">. </w:t>
      </w:r>
      <w:r>
        <w:rPr>
          <w:b/>
          <w:bCs/>
          <w:color w:val="auto"/>
        </w:rPr>
        <w:t>2013</w:t>
      </w:r>
      <w:r>
        <w:rPr>
          <w:bCs/>
          <w:color w:val="auto"/>
        </w:rPr>
        <w:t xml:space="preserve">, </w:t>
      </w:r>
      <w:r>
        <w:rPr>
          <w:bCs/>
          <w:i/>
          <w:color w:val="auto"/>
        </w:rPr>
        <w:t>67</w:t>
      </w:r>
      <w:r>
        <w:rPr>
          <w:bCs/>
          <w:color w:val="auto"/>
        </w:rPr>
        <w:t>, 717–725</w:t>
      </w:r>
      <w:r w:rsidRPr="005348B9">
        <w:rPr>
          <w:bCs/>
          <w:color w:val="auto"/>
        </w:rPr>
        <w:t>.</w:t>
      </w:r>
    </w:p>
    <w:p w14:paraId="1F263821"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rPr>
        <w:t>Suliburska</w:t>
      </w:r>
      <w:proofErr w:type="spellEnd"/>
      <w:r w:rsidRPr="005348B9">
        <w:rPr>
          <w:color w:val="auto"/>
        </w:rPr>
        <w:t xml:space="preserve">, J.; </w:t>
      </w:r>
      <w:proofErr w:type="spellStart"/>
      <w:r w:rsidRPr="005348B9">
        <w:rPr>
          <w:color w:val="auto"/>
        </w:rPr>
        <w:t>Bogdanski</w:t>
      </w:r>
      <w:proofErr w:type="spellEnd"/>
      <w:r w:rsidRPr="005348B9">
        <w:rPr>
          <w:color w:val="auto"/>
        </w:rPr>
        <w:t xml:space="preserve">, P.; </w:t>
      </w:r>
      <w:proofErr w:type="spellStart"/>
      <w:r w:rsidRPr="005348B9">
        <w:rPr>
          <w:color w:val="auto"/>
        </w:rPr>
        <w:t>Szulinska</w:t>
      </w:r>
      <w:proofErr w:type="spellEnd"/>
      <w:r w:rsidRPr="005348B9">
        <w:rPr>
          <w:color w:val="auto"/>
        </w:rPr>
        <w:t xml:space="preserve">, M.; </w:t>
      </w:r>
      <w:proofErr w:type="spellStart"/>
      <w:r w:rsidRPr="005348B9">
        <w:rPr>
          <w:color w:val="auto"/>
        </w:rPr>
        <w:t>Pupek-Musialik</w:t>
      </w:r>
      <w:proofErr w:type="spellEnd"/>
      <w:r w:rsidRPr="005348B9">
        <w:rPr>
          <w:color w:val="auto"/>
        </w:rPr>
        <w:t xml:space="preserve">, D. The influence of antihypertensive drugs on mineral status in hypertensive patients. </w:t>
      </w:r>
      <w:r w:rsidRPr="005348B9">
        <w:rPr>
          <w:i/>
          <w:iCs/>
          <w:color w:val="auto"/>
        </w:rPr>
        <w:t xml:space="preserve">Eur. Rev. Med. </w:t>
      </w:r>
      <w:proofErr w:type="spellStart"/>
      <w:r w:rsidRPr="005348B9">
        <w:rPr>
          <w:i/>
          <w:iCs/>
          <w:color w:val="auto"/>
        </w:rPr>
        <w:t>Pharmacol</w:t>
      </w:r>
      <w:proofErr w:type="spellEnd"/>
      <w:r w:rsidRPr="005348B9">
        <w:rPr>
          <w:i/>
          <w:iCs/>
          <w:color w:val="auto"/>
        </w:rPr>
        <w:t>. Sci</w:t>
      </w:r>
      <w:r w:rsidRPr="005348B9">
        <w:rPr>
          <w:color w:val="auto"/>
        </w:rPr>
        <w:t xml:space="preserve">. </w:t>
      </w:r>
      <w:r>
        <w:rPr>
          <w:b/>
          <w:bCs/>
          <w:color w:val="auto"/>
        </w:rPr>
        <w:t>2014</w:t>
      </w:r>
      <w:r>
        <w:rPr>
          <w:bCs/>
          <w:color w:val="auto"/>
        </w:rPr>
        <w:t xml:space="preserve">, </w:t>
      </w:r>
      <w:r>
        <w:rPr>
          <w:bCs/>
          <w:i/>
          <w:color w:val="auto"/>
        </w:rPr>
        <w:t>18</w:t>
      </w:r>
      <w:r>
        <w:rPr>
          <w:bCs/>
          <w:color w:val="auto"/>
        </w:rPr>
        <w:t>, 58–65</w:t>
      </w:r>
      <w:r w:rsidRPr="005348B9">
        <w:rPr>
          <w:color w:val="auto"/>
        </w:rPr>
        <w:t>.</w:t>
      </w:r>
    </w:p>
    <w:p w14:paraId="18441A8A"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Madden, A.M.; Smith, S. Body composition and morphological assessment of nutritional status in adults: A review of anthropometric variables. </w:t>
      </w:r>
      <w:r w:rsidRPr="005348B9">
        <w:rPr>
          <w:i/>
          <w:iCs/>
          <w:color w:val="auto"/>
        </w:rPr>
        <w:t xml:space="preserve">J. Hum. </w:t>
      </w:r>
      <w:proofErr w:type="spellStart"/>
      <w:r w:rsidRPr="005348B9">
        <w:rPr>
          <w:i/>
          <w:iCs/>
          <w:color w:val="auto"/>
        </w:rPr>
        <w:t>Nutr</w:t>
      </w:r>
      <w:proofErr w:type="spellEnd"/>
      <w:r w:rsidRPr="005348B9">
        <w:rPr>
          <w:i/>
          <w:iCs/>
          <w:color w:val="auto"/>
        </w:rPr>
        <w:t>. Diet</w:t>
      </w:r>
      <w:r w:rsidRPr="005348B9">
        <w:rPr>
          <w:color w:val="auto"/>
        </w:rPr>
        <w:t xml:space="preserve">. </w:t>
      </w:r>
      <w:r>
        <w:rPr>
          <w:b/>
          <w:bCs/>
          <w:color w:val="auto"/>
        </w:rPr>
        <w:t>2016</w:t>
      </w:r>
      <w:r>
        <w:rPr>
          <w:bCs/>
          <w:color w:val="auto"/>
        </w:rPr>
        <w:t xml:space="preserve">, </w:t>
      </w:r>
      <w:r>
        <w:rPr>
          <w:bCs/>
          <w:i/>
          <w:color w:val="auto"/>
        </w:rPr>
        <w:t>29</w:t>
      </w:r>
      <w:r>
        <w:rPr>
          <w:bCs/>
          <w:color w:val="auto"/>
        </w:rPr>
        <w:t>, 7–25</w:t>
      </w:r>
      <w:r w:rsidRPr="005348B9">
        <w:rPr>
          <w:color w:val="auto"/>
        </w:rPr>
        <w:t>.</w:t>
      </w:r>
    </w:p>
    <w:p w14:paraId="07BADDBA" w14:textId="77777777" w:rsidR="000B16CE" w:rsidRPr="00F8331A" w:rsidRDefault="000B16CE" w:rsidP="008C619F">
      <w:pPr>
        <w:pStyle w:val="MDPI71References"/>
        <w:numPr>
          <w:ilvl w:val="0"/>
          <w:numId w:val="4"/>
        </w:numPr>
        <w:ind w:left="425" w:hanging="425"/>
        <w:rPr>
          <w:color w:val="auto"/>
        </w:rPr>
      </w:pPr>
      <w:proofErr w:type="spellStart"/>
      <w:r w:rsidRPr="005348B9">
        <w:rPr>
          <w:color w:val="auto"/>
          <w:lang w:val="es-ES"/>
        </w:rPr>
        <w:t>Saeedi</w:t>
      </w:r>
      <w:proofErr w:type="spellEnd"/>
      <w:r w:rsidRPr="005348B9">
        <w:rPr>
          <w:color w:val="auto"/>
          <w:lang w:val="es-ES"/>
        </w:rPr>
        <w:t xml:space="preserve">, P.; </w:t>
      </w:r>
      <w:proofErr w:type="spellStart"/>
      <w:r w:rsidRPr="005348B9">
        <w:rPr>
          <w:color w:val="auto"/>
          <w:lang w:val="es-ES"/>
        </w:rPr>
        <w:t>Petersohn</w:t>
      </w:r>
      <w:proofErr w:type="spellEnd"/>
      <w:r w:rsidRPr="005348B9">
        <w:rPr>
          <w:color w:val="auto"/>
          <w:lang w:val="es-ES"/>
        </w:rPr>
        <w:t xml:space="preserve">, I.; </w:t>
      </w:r>
      <w:proofErr w:type="spellStart"/>
      <w:r w:rsidRPr="005348B9">
        <w:rPr>
          <w:color w:val="auto"/>
          <w:lang w:val="es-ES"/>
        </w:rPr>
        <w:t>Salpea</w:t>
      </w:r>
      <w:proofErr w:type="spellEnd"/>
      <w:r w:rsidRPr="005348B9">
        <w:rPr>
          <w:color w:val="auto"/>
          <w:lang w:val="es-ES"/>
        </w:rPr>
        <w:t xml:space="preserve">, P.; Malanda, B.; </w:t>
      </w:r>
      <w:proofErr w:type="spellStart"/>
      <w:r w:rsidRPr="005348B9">
        <w:rPr>
          <w:color w:val="auto"/>
          <w:lang w:val="es-ES"/>
        </w:rPr>
        <w:t>Karuranga</w:t>
      </w:r>
      <w:proofErr w:type="spellEnd"/>
      <w:r w:rsidRPr="005348B9">
        <w:rPr>
          <w:color w:val="auto"/>
          <w:lang w:val="es-ES"/>
        </w:rPr>
        <w:t xml:space="preserve">, S.; Unwin, N.; </w:t>
      </w:r>
      <w:proofErr w:type="spellStart"/>
      <w:r w:rsidRPr="005348B9">
        <w:rPr>
          <w:color w:val="auto"/>
          <w:lang w:val="es-ES"/>
        </w:rPr>
        <w:t>Colaguiri</w:t>
      </w:r>
      <w:proofErr w:type="spellEnd"/>
      <w:r w:rsidRPr="005348B9">
        <w:rPr>
          <w:color w:val="auto"/>
          <w:lang w:val="es-ES"/>
        </w:rPr>
        <w:t xml:space="preserve">, S.; </w:t>
      </w:r>
      <w:proofErr w:type="spellStart"/>
      <w:r w:rsidRPr="00F8331A">
        <w:rPr>
          <w:color w:val="auto"/>
          <w:lang w:val="es-ES"/>
        </w:rPr>
        <w:t>Guariguata</w:t>
      </w:r>
      <w:proofErr w:type="spellEnd"/>
      <w:r w:rsidRPr="00F8331A">
        <w:rPr>
          <w:color w:val="auto"/>
          <w:lang w:val="es-ES"/>
        </w:rPr>
        <w:t xml:space="preserve">, L.; </w:t>
      </w:r>
      <w:proofErr w:type="spellStart"/>
      <w:r w:rsidRPr="00F8331A">
        <w:rPr>
          <w:color w:val="auto"/>
          <w:lang w:val="es-ES"/>
        </w:rPr>
        <w:t>Motala</w:t>
      </w:r>
      <w:proofErr w:type="spellEnd"/>
      <w:r w:rsidRPr="00F8331A">
        <w:rPr>
          <w:color w:val="auto"/>
          <w:lang w:val="es-ES"/>
        </w:rPr>
        <w:t xml:space="preserve">, A.A.; </w:t>
      </w:r>
      <w:proofErr w:type="spellStart"/>
      <w:r w:rsidRPr="00F8331A">
        <w:rPr>
          <w:color w:val="auto"/>
          <w:lang w:val="es-ES"/>
        </w:rPr>
        <w:t>Ogurtsova</w:t>
      </w:r>
      <w:proofErr w:type="spellEnd"/>
      <w:r w:rsidRPr="00F8331A">
        <w:rPr>
          <w:color w:val="auto"/>
          <w:lang w:val="es-ES"/>
        </w:rPr>
        <w:t xml:space="preserve">, K.; et al. </w:t>
      </w:r>
      <w:r w:rsidRPr="00F8331A">
        <w:rPr>
          <w:color w:val="auto"/>
        </w:rPr>
        <w:t xml:space="preserve">Global and regional diabetes prevalence estimates for 2019 and projections for 2030 and 2045: Results from the International Diabetes Federation Diabetes Atlas, 9th edition. </w:t>
      </w:r>
      <w:r w:rsidRPr="00F8331A">
        <w:rPr>
          <w:i/>
          <w:iCs/>
          <w:color w:val="auto"/>
        </w:rPr>
        <w:t xml:space="preserve">Diabetes Res. Clin. </w:t>
      </w:r>
      <w:proofErr w:type="spellStart"/>
      <w:r w:rsidRPr="00F8331A">
        <w:rPr>
          <w:i/>
          <w:iCs/>
          <w:color w:val="auto"/>
        </w:rPr>
        <w:t>Pract</w:t>
      </w:r>
      <w:proofErr w:type="spellEnd"/>
      <w:r w:rsidRPr="00F8331A">
        <w:rPr>
          <w:color w:val="auto"/>
        </w:rPr>
        <w:t xml:space="preserve">. </w:t>
      </w:r>
      <w:r w:rsidRPr="00F8331A">
        <w:rPr>
          <w:b/>
          <w:bCs/>
          <w:color w:val="auto"/>
        </w:rPr>
        <w:t>2019</w:t>
      </w:r>
      <w:r w:rsidRPr="00F8331A">
        <w:rPr>
          <w:color w:val="auto"/>
        </w:rPr>
        <w:t xml:space="preserve">, </w:t>
      </w:r>
      <w:r w:rsidRPr="00F8331A">
        <w:rPr>
          <w:i/>
          <w:iCs/>
          <w:color w:val="auto"/>
        </w:rPr>
        <w:t>157</w:t>
      </w:r>
      <w:r w:rsidRPr="00F8331A">
        <w:rPr>
          <w:color w:val="auto"/>
        </w:rPr>
        <w:t>, 107843.</w:t>
      </w:r>
    </w:p>
    <w:p w14:paraId="26D8E7E3" w14:textId="77777777" w:rsidR="000B16CE" w:rsidRPr="005348B9" w:rsidRDefault="000B16CE" w:rsidP="008C619F">
      <w:pPr>
        <w:pStyle w:val="MDPI71References"/>
        <w:numPr>
          <w:ilvl w:val="0"/>
          <w:numId w:val="4"/>
        </w:numPr>
        <w:ind w:left="425" w:hanging="425"/>
        <w:rPr>
          <w:color w:val="auto"/>
        </w:rPr>
      </w:pPr>
      <w:r w:rsidRPr="00F8331A">
        <w:rPr>
          <w:color w:val="auto"/>
        </w:rPr>
        <w:t xml:space="preserve">Goff, D.C.; </w:t>
      </w:r>
      <w:proofErr w:type="spellStart"/>
      <w:r w:rsidRPr="00F8331A">
        <w:rPr>
          <w:color w:val="auto"/>
        </w:rPr>
        <w:t>Bertoni</w:t>
      </w:r>
      <w:proofErr w:type="spellEnd"/>
      <w:r w:rsidRPr="00F8331A">
        <w:rPr>
          <w:color w:val="auto"/>
        </w:rPr>
        <w:t xml:space="preserve">, A.G.; Kramer, H.; Bonds, D.; Blumenthal, R.S.; Tsai, M.Y.; </w:t>
      </w:r>
      <w:proofErr w:type="spellStart"/>
      <w:r w:rsidRPr="00F8331A">
        <w:rPr>
          <w:color w:val="auto"/>
        </w:rPr>
        <w:t>Psaty</w:t>
      </w:r>
      <w:proofErr w:type="spellEnd"/>
      <w:r w:rsidRPr="00F8331A">
        <w:rPr>
          <w:color w:val="auto"/>
        </w:rPr>
        <w:t>, B.M. Dyslipidemia prevalence, treatment, and control in the Multi-Ethnic Study of Atherosclerosis (MESA): Gender, ethnicity, and coronary artery calcium</w:t>
      </w:r>
      <w:r w:rsidRPr="005348B9">
        <w:rPr>
          <w:color w:val="auto"/>
        </w:rPr>
        <w:t xml:space="preserve">. </w:t>
      </w:r>
      <w:r w:rsidRPr="005348B9">
        <w:rPr>
          <w:i/>
          <w:iCs/>
          <w:color w:val="auto"/>
        </w:rPr>
        <w:t>Circulation</w:t>
      </w:r>
      <w:r w:rsidRPr="005348B9">
        <w:rPr>
          <w:color w:val="auto"/>
        </w:rPr>
        <w:t xml:space="preserve"> </w:t>
      </w:r>
      <w:r>
        <w:rPr>
          <w:b/>
          <w:bCs/>
          <w:color w:val="auto"/>
        </w:rPr>
        <w:t>2006</w:t>
      </w:r>
      <w:r>
        <w:rPr>
          <w:bCs/>
          <w:color w:val="auto"/>
        </w:rPr>
        <w:t xml:space="preserve">, </w:t>
      </w:r>
      <w:r>
        <w:rPr>
          <w:bCs/>
          <w:i/>
          <w:color w:val="auto"/>
        </w:rPr>
        <w:t>113</w:t>
      </w:r>
      <w:r>
        <w:rPr>
          <w:bCs/>
          <w:color w:val="auto"/>
        </w:rPr>
        <w:t>, 647–656</w:t>
      </w:r>
      <w:r w:rsidRPr="005348B9">
        <w:rPr>
          <w:bCs/>
          <w:color w:val="auto"/>
        </w:rPr>
        <w:t>.</w:t>
      </w:r>
    </w:p>
    <w:p w14:paraId="6A44B598" w14:textId="77777777" w:rsidR="000B16CE" w:rsidRPr="004F446B" w:rsidRDefault="000B16CE" w:rsidP="008C619F">
      <w:pPr>
        <w:pStyle w:val="MDPI71References"/>
        <w:numPr>
          <w:ilvl w:val="0"/>
          <w:numId w:val="4"/>
        </w:numPr>
        <w:ind w:left="425" w:hanging="425"/>
        <w:rPr>
          <w:color w:val="auto"/>
        </w:rPr>
      </w:pPr>
      <w:proofErr w:type="spellStart"/>
      <w:r w:rsidRPr="005348B9">
        <w:rPr>
          <w:color w:val="auto"/>
        </w:rPr>
        <w:lastRenderedPageBreak/>
        <w:t>Olivotto</w:t>
      </w:r>
      <w:proofErr w:type="spellEnd"/>
      <w:r w:rsidRPr="005348B9">
        <w:rPr>
          <w:color w:val="auto"/>
        </w:rPr>
        <w:t xml:space="preserve">, I.; Maron, B.J.; </w:t>
      </w:r>
      <w:proofErr w:type="spellStart"/>
      <w:r w:rsidRPr="005348B9">
        <w:rPr>
          <w:color w:val="auto"/>
        </w:rPr>
        <w:t>Tomberli</w:t>
      </w:r>
      <w:proofErr w:type="spellEnd"/>
      <w:r w:rsidRPr="005348B9">
        <w:rPr>
          <w:color w:val="auto"/>
        </w:rPr>
        <w:t xml:space="preserve">, B.; Appelbaum, E.; Salton, C.; Haas, T.S.; </w:t>
      </w:r>
      <w:proofErr w:type="spellStart"/>
      <w:r w:rsidRPr="005348B9">
        <w:rPr>
          <w:color w:val="auto"/>
        </w:rPr>
        <w:t>Gimbson</w:t>
      </w:r>
      <w:proofErr w:type="spellEnd"/>
      <w:r w:rsidRPr="005348B9">
        <w:rPr>
          <w:color w:val="auto"/>
        </w:rPr>
        <w:t xml:space="preserve">, M.; </w:t>
      </w:r>
      <w:proofErr w:type="spellStart"/>
      <w:r w:rsidRPr="005348B9">
        <w:rPr>
          <w:color w:val="auto"/>
        </w:rPr>
        <w:t>Nistri</w:t>
      </w:r>
      <w:proofErr w:type="spellEnd"/>
      <w:r w:rsidRPr="005348B9">
        <w:rPr>
          <w:color w:val="auto"/>
        </w:rPr>
        <w:t xml:space="preserve">, S.; </w:t>
      </w:r>
      <w:proofErr w:type="spellStart"/>
      <w:r w:rsidRPr="005348B9">
        <w:rPr>
          <w:color w:val="auto"/>
        </w:rPr>
        <w:t>Servettini</w:t>
      </w:r>
      <w:proofErr w:type="spellEnd"/>
      <w:r w:rsidRPr="005348B9">
        <w:rPr>
          <w:color w:val="auto"/>
        </w:rPr>
        <w:t xml:space="preserve">, E.; Chan, R.H.; et al. Obesity and its association to phenotype and clinical course in hypertrophic cardiomyopathy. </w:t>
      </w:r>
      <w:r w:rsidRPr="005348B9">
        <w:rPr>
          <w:i/>
          <w:iCs/>
          <w:color w:val="auto"/>
        </w:rPr>
        <w:t xml:space="preserve">J. Am. Coll. </w:t>
      </w:r>
      <w:proofErr w:type="spellStart"/>
      <w:r w:rsidRPr="005348B9">
        <w:rPr>
          <w:i/>
          <w:iCs/>
          <w:color w:val="auto"/>
        </w:rPr>
        <w:t>Cardiol</w:t>
      </w:r>
      <w:proofErr w:type="spellEnd"/>
      <w:r w:rsidRPr="005348B9">
        <w:rPr>
          <w:color w:val="auto"/>
        </w:rPr>
        <w:t xml:space="preserve">. </w:t>
      </w:r>
      <w:r>
        <w:rPr>
          <w:b/>
          <w:bCs/>
          <w:color w:val="auto"/>
        </w:rPr>
        <w:t>2013</w:t>
      </w:r>
      <w:r>
        <w:rPr>
          <w:bCs/>
          <w:color w:val="auto"/>
        </w:rPr>
        <w:t xml:space="preserve">, </w:t>
      </w:r>
      <w:r>
        <w:rPr>
          <w:bCs/>
          <w:i/>
          <w:color w:val="auto"/>
        </w:rPr>
        <w:t>62</w:t>
      </w:r>
      <w:r>
        <w:rPr>
          <w:bCs/>
          <w:color w:val="auto"/>
        </w:rPr>
        <w:t>, 449–457.</w:t>
      </w:r>
    </w:p>
    <w:p w14:paraId="68F78905"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Wasserstrum</w:t>
      </w:r>
      <w:proofErr w:type="spellEnd"/>
      <w:r w:rsidRPr="004F446B">
        <w:rPr>
          <w:color w:val="auto"/>
        </w:rPr>
        <w:t xml:space="preserve">, Y.; </w:t>
      </w:r>
      <w:proofErr w:type="spellStart"/>
      <w:r w:rsidRPr="004F446B">
        <w:rPr>
          <w:color w:val="auto"/>
        </w:rPr>
        <w:t>Barbarova</w:t>
      </w:r>
      <w:proofErr w:type="spellEnd"/>
      <w:r w:rsidRPr="004F446B">
        <w:rPr>
          <w:color w:val="auto"/>
        </w:rPr>
        <w:t xml:space="preserve">, I.; Lotan, D.; </w:t>
      </w:r>
      <w:proofErr w:type="spellStart"/>
      <w:r w:rsidRPr="004F446B">
        <w:rPr>
          <w:color w:val="auto"/>
        </w:rPr>
        <w:t>Kuperstein</w:t>
      </w:r>
      <w:proofErr w:type="spellEnd"/>
      <w:r w:rsidRPr="004F446B">
        <w:rPr>
          <w:color w:val="auto"/>
        </w:rPr>
        <w:t xml:space="preserve">, R.; Shechter, M.; </w:t>
      </w:r>
      <w:proofErr w:type="spellStart"/>
      <w:r w:rsidRPr="004F446B">
        <w:rPr>
          <w:color w:val="auto"/>
        </w:rPr>
        <w:t>Freimark</w:t>
      </w:r>
      <w:proofErr w:type="spellEnd"/>
      <w:r w:rsidRPr="004F446B">
        <w:rPr>
          <w:color w:val="auto"/>
        </w:rPr>
        <w:t xml:space="preserve">, D.; Segal, G.; </w:t>
      </w:r>
      <w:proofErr w:type="spellStart"/>
      <w:r w:rsidRPr="004F446B">
        <w:rPr>
          <w:color w:val="auto"/>
        </w:rPr>
        <w:t>Klempfner</w:t>
      </w:r>
      <w:proofErr w:type="spellEnd"/>
      <w:r w:rsidRPr="004F446B">
        <w:rPr>
          <w:color w:val="auto"/>
        </w:rPr>
        <w:t xml:space="preserve">, R.; Arad, </w:t>
      </w:r>
      <w:proofErr w:type="gramStart"/>
      <w:r w:rsidRPr="004F446B">
        <w:rPr>
          <w:color w:val="auto"/>
        </w:rPr>
        <w:t>M..</w:t>
      </w:r>
      <w:proofErr w:type="gramEnd"/>
      <w:r w:rsidRPr="004F446B">
        <w:rPr>
          <w:color w:val="auto"/>
        </w:rPr>
        <w:t xml:space="preserve"> Efficacy and safety of exercise rehabilitation in patients with hypertrophic cardiomyopathy.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2019</w:t>
      </w:r>
      <w:r>
        <w:rPr>
          <w:bCs/>
          <w:color w:val="auto"/>
        </w:rPr>
        <w:t xml:space="preserve">, </w:t>
      </w:r>
      <w:r>
        <w:rPr>
          <w:bCs/>
          <w:i/>
          <w:color w:val="auto"/>
        </w:rPr>
        <w:t>74</w:t>
      </w:r>
      <w:r>
        <w:rPr>
          <w:bCs/>
          <w:color w:val="auto"/>
        </w:rPr>
        <w:t>, 466–472.</w:t>
      </w:r>
    </w:p>
    <w:p w14:paraId="7B5067DE"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Saberi</w:t>
      </w:r>
      <w:proofErr w:type="spellEnd"/>
      <w:r w:rsidRPr="004F446B">
        <w:rPr>
          <w:color w:val="auto"/>
        </w:rPr>
        <w:t xml:space="preserve">, S.; Wheeler, M.; Bragg-Gresham, J.; Hornsby, W.; Agarwal, P.P.; </w:t>
      </w:r>
      <w:proofErr w:type="spellStart"/>
      <w:r w:rsidRPr="004F446B">
        <w:rPr>
          <w:color w:val="auto"/>
        </w:rPr>
        <w:t>Attili</w:t>
      </w:r>
      <w:proofErr w:type="spellEnd"/>
      <w:r w:rsidRPr="004F446B">
        <w:rPr>
          <w:color w:val="auto"/>
        </w:rPr>
        <w:t xml:space="preserve">, A.; Concannon, W.; Dries, A.M.; </w:t>
      </w:r>
      <w:proofErr w:type="spellStart"/>
      <w:r w:rsidRPr="004F446B">
        <w:rPr>
          <w:color w:val="auto"/>
        </w:rPr>
        <w:t>Shmargad</w:t>
      </w:r>
      <w:proofErr w:type="spellEnd"/>
      <w:r w:rsidRPr="004F446B">
        <w:rPr>
          <w:color w:val="auto"/>
        </w:rPr>
        <w:t xml:space="preserve">, Y.; Salisbury, H. Effect of moderate-intensity exercise training on peak oxygen consumption in patients with hypertrophic cardiomyopathy a randomized clinical trial. </w:t>
      </w:r>
      <w:r>
        <w:rPr>
          <w:i/>
          <w:iCs/>
          <w:color w:val="auto"/>
        </w:rPr>
        <w:t>J.</w:t>
      </w:r>
      <w:r w:rsidRPr="004F446B">
        <w:rPr>
          <w:i/>
          <w:iCs/>
          <w:color w:val="auto"/>
        </w:rPr>
        <w:t xml:space="preserve"> </w:t>
      </w:r>
      <w:r>
        <w:rPr>
          <w:i/>
          <w:iCs/>
          <w:color w:val="auto"/>
        </w:rPr>
        <w:t>Am.</w:t>
      </w:r>
      <w:r w:rsidRPr="004F446B">
        <w:rPr>
          <w:i/>
          <w:iCs/>
          <w:color w:val="auto"/>
        </w:rPr>
        <w:t xml:space="preserve"> </w:t>
      </w:r>
      <w:r>
        <w:rPr>
          <w:i/>
          <w:iCs/>
          <w:color w:val="auto"/>
        </w:rPr>
        <w:t>Med.</w:t>
      </w:r>
      <w:r w:rsidRPr="004F446B">
        <w:rPr>
          <w:i/>
          <w:iCs/>
          <w:color w:val="auto"/>
        </w:rPr>
        <w:t xml:space="preserve"> Assoc</w:t>
      </w:r>
      <w:r w:rsidRPr="004F446B">
        <w:rPr>
          <w:color w:val="auto"/>
        </w:rPr>
        <w:t xml:space="preserve">. </w:t>
      </w:r>
      <w:r>
        <w:rPr>
          <w:b/>
          <w:bCs/>
          <w:color w:val="auto"/>
        </w:rPr>
        <w:t>2017</w:t>
      </w:r>
      <w:r>
        <w:rPr>
          <w:bCs/>
          <w:color w:val="auto"/>
        </w:rPr>
        <w:t xml:space="preserve">, </w:t>
      </w:r>
      <w:r>
        <w:rPr>
          <w:bCs/>
          <w:i/>
          <w:color w:val="auto"/>
        </w:rPr>
        <w:t>317</w:t>
      </w:r>
      <w:r>
        <w:rPr>
          <w:bCs/>
          <w:color w:val="auto"/>
        </w:rPr>
        <w:t>, 1349–1357</w:t>
      </w:r>
      <w:r>
        <w:rPr>
          <w:color w:val="auto"/>
        </w:rPr>
        <w:t>.</w:t>
      </w:r>
    </w:p>
    <w:p w14:paraId="56ADB4CC" w14:textId="77777777" w:rsidR="000B16CE" w:rsidRPr="004F446B" w:rsidRDefault="000B16CE" w:rsidP="008C619F">
      <w:pPr>
        <w:pStyle w:val="MDPI71References"/>
        <w:numPr>
          <w:ilvl w:val="0"/>
          <w:numId w:val="4"/>
        </w:numPr>
        <w:ind w:left="425" w:hanging="425"/>
        <w:rPr>
          <w:color w:val="auto"/>
        </w:rPr>
      </w:pPr>
      <w:proofErr w:type="spellStart"/>
      <w:r w:rsidRPr="004F446B">
        <w:rPr>
          <w:color w:val="auto"/>
        </w:rPr>
        <w:t>Klempfner</w:t>
      </w:r>
      <w:proofErr w:type="spellEnd"/>
      <w:r w:rsidRPr="004F446B">
        <w:rPr>
          <w:color w:val="auto"/>
        </w:rPr>
        <w:t xml:space="preserve">, R.; </w:t>
      </w:r>
      <w:proofErr w:type="spellStart"/>
      <w:r w:rsidRPr="004F446B">
        <w:rPr>
          <w:color w:val="auto"/>
        </w:rPr>
        <w:t>Kamerman</w:t>
      </w:r>
      <w:proofErr w:type="spellEnd"/>
      <w:r w:rsidRPr="004F446B">
        <w:rPr>
          <w:color w:val="auto"/>
        </w:rPr>
        <w:t xml:space="preserve">, T.; </w:t>
      </w:r>
      <w:proofErr w:type="spellStart"/>
      <w:r w:rsidRPr="004F446B">
        <w:rPr>
          <w:color w:val="auto"/>
        </w:rPr>
        <w:t>Schwammenthal</w:t>
      </w:r>
      <w:proofErr w:type="spellEnd"/>
      <w:r w:rsidRPr="004F446B">
        <w:rPr>
          <w:color w:val="auto"/>
        </w:rPr>
        <w:t xml:space="preserve">, E.; Nahshon, A.; Hay, I.; Goldenberg, I.; </w:t>
      </w:r>
      <w:proofErr w:type="spellStart"/>
      <w:r w:rsidRPr="004F446B">
        <w:rPr>
          <w:color w:val="auto"/>
        </w:rPr>
        <w:t>Dov</w:t>
      </w:r>
      <w:proofErr w:type="spellEnd"/>
      <w:r w:rsidRPr="004F446B">
        <w:rPr>
          <w:color w:val="auto"/>
        </w:rPr>
        <w:t xml:space="preserve">, F.; Arad, M. Efficacy of exercise training in symptomatic patients with hypertrophic cardiomyopathy: Results of a structured exercise training program in a cardiac rehabilitation center. </w:t>
      </w:r>
      <w:r w:rsidRPr="004F446B">
        <w:rPr>
          <w:i/>
          <w:iCs/>
          <w:color w:val="auto"/>
        </w:rPr>
        <w:t>Eur</w:t>
      </w:r>
      <w:r>
        <w:rPr>
          <w:i/>
          <w:iCs/>
          <w:color w:val="auto"/>
        </w:rPr>
        <w:t>.</w:t>
      </w:r>
      <w:r w:rsidRPr="004F446B">
        <w:rPr>
          <w:i/>
          <w:iCs/>
          <w:color w:val="auto"/>
        </w:rPr>
        <w:t xml:space="preserve"> </w:t>
      </w:r>
      <w:r>
        <w:rPr>
          <w:i/>
          <w:iCs/>
          <w:color w:val="auto"/>
        </w:rPr>
        <w:t>J.</w:t>
      </w:r>
      <w:r w:rsidRPr="004F446B">
        <w:rPr>
          <w:i/>
          <w:iCs/>
          <w:color w:val="auto"/>
        </w:rPr>
        <w:t xml:space="preserve"> Prev</w:t>
      </w:r>
      <w:r>
        <w:rPr>
          <w:i/>
          <w:iCs/>
          <w:color w:val="auto"/>
        </w:rPr>
        <w:t>.</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2015</w:t>
      </w:r>
      <w:r>
        <w:rPr>
          <w:bCs/>
          <w:color w:val="auto"/>
        </w:rPr>
        <w:t xml:space="preserve">, </w:t>
      </w:r>
      <w:r>
        <w:rPr>
          <w:bCs/>
          <w:i/>
          <w:color w:val="auto"/>
        </w:rPr>
        <w:t>22</w:t>
      </w:r>
      <w:r>
        <w:rPr>
          <w:bCs/>
          <w:color w:val="auto"/>
        </w:rPr>
        <w:t>, 13–19.</w:t>
      </w:r>
    </w:p>
    <w:p w14:paraId="60FDC768" w14:textId="77777777" w:rsidR="000B16CE" w:rsidRPr="005348B9" w:rsidRDefault="000B16CE" w:rsidP="008C619F">
      <w:pPr>
        <w:pStyle w:val="MDPI71References"/>
        <w:numPr>
          <w:ilvl w:val="0"/>
          <w:numId w:val="4"/>
        </w:numPr>
        <w:ind w:left="425" w:hanging="425"/>
        <w:rPr>
          <w:color w:val="auto"/>
        </w:rPr>
      </w:pPr>
      <w:proofErr w:type="spellStart"/>
      <w:r w:rsidRPr="004F446B">
        <w:rPr>
          <w:color w:val="auto"/>
        </w:rPr>
        <w:t>Olivotto</w:t>
      </w:r>
      <w:proofErr w:type="spellEnd"/>
      <w:r w:rsidRPr="004F446B">
        <w:rPr>
          <w:color w:val="auto"/>
        </w:rPr>
        <w:t xml:space="preserve">, I.; </w:t>
      </w:r>
      <w:proofErr w:type="spellStart"/>
      <w:r w:rsidRPr="004F446B">
        <w:rPr>
          <w:color w:val="auto"/>
        </w:rPr>
        <w:t>Oreziak</w:t>
      </w:r>
      <w:proofErr w:type="spellEnd"/>
      <w:r w:rsidRPr="004F446B">
        <w:rPr>
          <w:color w:val="auto"/>
        </w:rPr>
        <w:t xml:space="preserve">, A.; </w:t>
      </w:r>
      <w:proofErr w:type="spellStart"/>
      <w:r w:rsidRPr="004F446B">
        <w:rPr>
          <w:color w:val="auto"/>
        </w:rPr>
        <w:t>Barriales</w:t>
      </w:r>
      <w:proofErr w:type="spellEnd"/>
      <w:r w:rsidRPr="004F446B">
        <w:rPr>
          <w:color w:val="auto"/>
        </w:rPr>
        <w:t xml:space="preserve">-Villa, R.; Abraham, T.P.; </w:t>
      </w:r>
      <w:proofErr w:type="spellStart"/>
      <w:r w:rsidRPr="004F446B">
        <w:rPr>
          <w:color w:val="auto"/>
        </w:rPr>
        <w:t>Masri</w:t>
      </w:r>
      <w:proofErr w:type="spellEnd"/>
      <w:r w:rsidRPr="004F446B">
        <w:rPr>
          <w:color w:val="auto"/>
        </w:rPr>
        <w:t xml:space="preserve">, A.; Garcia-Pavia, P.; </w:t>
      </w:r>
      <w:proofErr w:type="spellStart"/>
      <w:r w:rsidRPr="004F446B">
        <w:rPr>
          <w:color w:val="auto"/>
        </w:rPr>
        <w:t>Saberi</w:t>
      </w:r>
      <w:proofErr w:type="spellEnd"/>
      <w:r w:rsidRPr="004F446B">
        <w:rPr>
          <w:color w:val="auto"/>
        </w:rPr>
        <w:t xml:space="preserve">, S.; Lakdawala, N.K.; Wheeler, M.T.; Owens, A.; et al. </w:t>
      </w:r>
      <w:proofErr w:type="spellStart"/>
      <w:r w:rsidRPr="004F446B">
        <w:rPr>
          <w:color w:val="auto"/>
        </w:rPr>
        <w:t>Mavacamten</w:t>
      </w:r>
      <w:proofErr w:type="spellEnd"/>
      <w:r w:rsidRPr="004F446B">
        <w:rPr>
          <w:color w:val="auto"/>
        </w:rPr>
        <w:t xml:space="preserve"> for treatment of symptomatic obstructive hypertrophic cardiomyopathy (EXPLORER-</w:t>
      </w:r>
      <w:r w:rsidRPr="005348B9">
        <w:rPr>
          <w:color w:val="auto"/>
        </w:rPr>
        <w:t xml:space="preserve">HCM): A </w:t>
      </w:r>
      <w:proofErr w:type="spellStart"/>
      <w:r w:rsidRPr="005348B9">
        <w:rPr>
          <w:color w:val="auto"/>
        </w:rPr>
        <w:t>randomised</w:t>
      </w:r>
      <w:proofErr w:type="spellEnd"/>
      <w:r w:rsidRPr="005348B9">
        <w:rPr>
          <w:color w:val="auto"/>
        </w:rPr>
        <w:t xml:space="preserve">, double-blind, placebo-controlled, phase 3 trial. </w:t>
      </w:r>
      <w:r w:rsidRPr="005348B9">
        <w:rPr>
          <w:i/>
          <w:iCs/>
          <w:color w:val="auto"/>
        </w:rPr>
        <w:t>Lancet</w:t>
      </w:r>
      <w:r w:rsidRPr="005348B9">
        <w:rPr>
          <w:color w:val="auto"/>
        </w:rPr>
        <w:t xml:space="preserve"> </w:t>
      </w:r>
      <w:r>
        <w:rPr>
          <w:b/>
          <w:bCs/>
          <w:color w:val="auto"/>
        </w:rPr>
        <w:t>2020</w:t>
      </w:r>
      <w:r>
        <w:rPr>
          <w:bCs/>
          <w:color w:val="auto"/>
        </w:rPr>
        <w:t xml:space="preserve">, </w:t>
      </w:r>
      <w:r>
        <w:rPr>
          <w:bCs/>
          <w:i/>
          <w:color w:val="auto"/>
        </w:rPr>
        <w:t>396</w:t>
      </w:r>
      <w:r>
        <w:rPr>
          <w:bCs/>
          <w:color w:val="auto"/>
        </w:rPr>
        <w:t>, 759–769</w:t>
      </w:r>
      <w:r w:rsidRPr="005348B9">
        <w:rPr>
          <w:bCs/>
          <w:color w:val="auto"/>
        </w:rPr>
        <w:t>.</w:t>
      </w:r>
    </w:p>
    <w:p w14:paraId="02D7BDB2"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Ho, C.Y.; </w:t>
      </w:r>
      <w:proofErr w:type="spellStart"/>
      <w:r w:rsidRPr="005348B9">
        <w:rPr>
          <w:color w:val="auto"/>
        </w:rPr>
        <w:t>Mealife</w:t>
      </w:r>
      <w:proofErr w:type="spellEnd"/>
      <w:r w:rsidRPr="005348B9">
        <w:rPr>
          <w:color w:val="auto"/>
        </w:rPr>
        <w:t xml:space="preserve">, M.E.; Bach, R.G.; Bhattacharya, M.; Choudhury, L.; </w:t>
      </w:r>
      <w:proofErr w:type="spellStart"/>
      <w:r w:rsidRPr="005348B9">
        <w:rPr>
          <w:color w:val="auto"/>
        </w:rPr>
        <w:t>Edelberg</w:t>
      </w:r>
      <w:proofErr w:type="spellEnd"/>
      <w:r w:rsidRPr="005348B9">
        <w:rPr>
          <w:color w:val="auto"/>
        </w:rPr>
        <w:t xml:space="preserve">, J.M.; Hedge, S.M.; Jacoby, D.; Lakdawala, N.K.; Lester, S.J.; et al. Evaluation of </w:t>
      </w:r>
      <w:proofErr w:type="spellStart"/>
      <w:r w:rsidRPr="005348B9">
        <w:rPr>
          <w:color w:val="auto"/>
        </w:rPr>
        <w:t>mavacamten</w:t>
      </w:r>
      <w:proofErr w:type="spellEnd"/>
      <w:r w:rsidRPr="005348B9">
        <w:rPr>
          <w:color w:val="auto"/>
        </w:rPr>
        <w:t xml:space="preserve"> in symptomatic patients with nonobstructive hypertrophic cardiomyopathy. </w:t>
      </w:r>
      <w:r w:rsidRPr="005348B9">
        <w:rPr>
          <w:i/>
          <w:iCs/>
          <w:color w:val="auto"/>
        </w:rPr>
        <w:t xml:space="preserve">J. Am. Coll. </w:t>
      </w:r>
      <w:proofErr w:type="spellStart"/>
      <w:r w:rsidRPr="005348B9">
        <w:rPr>
          <w:i/>
          <w:iCs/>
          <w:color w:val="auto"/>
        </w:rPr>
        <w:t>Cardiol</w:t>
      </w:r>
      <w:proofErr w:type="spellEnd"/>
      <w:r w:rsidRPr="005348B9">
        <w:rPr>
          <w:color w:val="auto"/>
        </w:rPr>
        <w:t xml:space="preserve">. </w:t>
      </w:r>
      <w:r>
        <w:rPr>
          <w:b/>
          <w:bCs/>
          <w:color w:val="auto"/>
        </w:rPr>
        <w:t>2020</w:t>
      </w:r>
      <w:r>
        <w:rPr>
          <w:bCs/>
          <w:color w:val="auto"/>
        </w:rPr>
        <w:t xml:space="preserve">, </w:t>
      </w:r>
      <w:r>
        <w:rPr>
          <w:bCs/>
          <w:i/>
          <w:color w:val="auto"/>
        </w:rPr>
        <w:t>75</w:t>
      </w:r>
      <w:r>
        <w:rPr>
          <w:bCs/>
          <w:color w:val="auto"/>
        </w:rPr>
        <w:t>, 2649–2660</w:t>
      </w:r>
      <w:r w:rsidRPr="005348B9">
        <w:rPr>
          <w:bCs/>
          <w:color w:val="auto"/>
        </w:rPr>
        <w:t>.</w:t>
      </w:r>
    </w:p>
    <w:p w14:paraId="29951222" w14:textId="77777777" w:rsidR="000B16CE" w:rsidRPr="005348B9" w:rsidRDefault="000B16CE" w:rsidP="008C619F">
      <w:pPr>
        <w:pStyle w:val="MDPI71References"/>
        <w:numPr>
          <w:ilvl w:val="0"/>
          <w:numId w:val="4"/>
        </w:numPr>
        <w:ind w:left="425" w:hanging="425"/>
        <w:rPr>
          <w:color w:val="auto"/>
        </w:rPr>
      </w:pPr>
      <w:proofErr w:type="spellStart"/>
      <w:r w:rsidRPr="005348B9">
        <w:rPr>
          <w:color w:val="auto"/>
        </w:rPr>
        <w:t>Pelliccia</w:t>
      </w:r>
      <w:proofErr w:type="spellEnd"/>
      <w:r w:rsidRPr="005348B9">
        <w:rPr>
          <w:color w:val="auto"/>
        </w:rPr>
        <w:t xml:space="preserve">, A.; Sharma, S.; </w:t>
      </w:r>
      <w:proofErr w:type="spellStart"/>
      <w:r w:rsidRPr="005348B9">
        <w:rPr>
          <w:color w:val="auto"/>
        </w:rPr>
        <w:t>Gati</w:t>
      </w:r>
      <w:proofErr w:type="spellEnd"/>
      <w:r w:rsidRPr="005348B9">
        <w:rPr>
          <w:color w:val="auto"/>
        </w:rPr>
        <w:t xml:space="preserve">, S.; </w:t>
      </w:r>
      <w:proofErr w:type="spellStart"/>
      <w:r w:rsidRPr="005348B9">
        <w:rPr>
          <w:color w:val="auto"/>
        </w:rPr>
        <w:t>Bäck</w:t>
      </w:r>
      <w:proofErr w:type="spellEnd"/>
      <w:r w:rsidRPr="005348B9">
        <w:rPr>
          <w:color w:val="auto"/>
        </w:rPr>
        <w:t xml:space="preserve">, M.; </w:t>
      </w:r>
      <w:proofErr w:type="spellStart"/>
      <w:r w:rsidRPr="005348B9">
        <w:rPr>
          <w:color w:val="auto"/>
        </w:rPr>
        <w:t>Börjesson</w:t>
      </w:r>
      <w:proofErr w:type="spellEnd"/>
      <w:r w:rsidRPr="005348B9">
        <w:rPr>
          <w:color w:val="auto"/>
        </w:rPr>
        <w:t xml:space="preserve">, M.; Caselli, S.; Collet, J.P.; </w:t>
      </w:r>
      <w:proofErr w:type="spellStart"/>
      <w:r w:rsidRPr="005348B9">
        <w:rPr>
          <w:color w:val="auto"/>
        </w:rPr>
        <w:t>Corrado</w:t>
      </w:r>
      <w:proofErr w:type="spellEnd"/>
      <w:r w:rsidRPr="005348B9">
        <w:rPr>
          <w:color w:val="auto"/>
        </w:rPr>
        <w:t xml:space="preserve">, D.; </w:t>
      </w:r>
      <w:proofErr w:type="spellStart"/>
      <w:r w:rsidRPr="005348B9">
        <w:rPr>
          <w:color w:val="auto"/>
        </w:rPr>
        <w:t>Drezner</w:t>
      </w:r>
      <w:proofErr w:type="spellEnd"/>
      <w:r w:rsidRPr="005348B9">
        <w:rPr>
          <w:color w:val="auto"/>
        </w:rPr>
        <w:t xml:space="preserve">, J.A.; Halle, M.; et al. 2020 ESC Guidelines on sports cardiology and exercise in patients with cardiovascular disease. </w:t>
      </w:r>
      <w:r w:rsidRPr="005348B9">
        <w:rPr>
          <w:i/>
          <w:color w:val="auto"/>
        </w:rPr>
        <w:t>Eur. Heart J</w:t>
      </w:r>
      <w:r w:rsidRPr="005348B9">
        <w:rPr>
          <w:color w:val="auto"/>
        </w:rPr>
        <w:t xml:space="preserve">. </w:t>
      </w:r>
      <w:r w:rsidRPr="005348B9">
        <w:rPr>
          <w:b/>
          <w:bCs/>
          <w:color w:val="auto"/>
        </w:rPr>
        <w:t>2021</w:t>
      </w:r>
      <w:r w:rsidRPr="005348B9">
        <w:rPr>
          <w:color w:val="auto"/>
        </w:rPr>
        <w:t xml:space="preserve">, </w:t>
      </w:r>
      <w:r w:rsidRPr="005348B9">
        <w:rPr>
          <w:i/>
          <w:color w:val="auto"/>
        </w:rPr>
        <w:t>42</w:t>
      </w:r>
      <w:r w:rsidRPr="005348B9">
        <w:rPr>
          <w:color w:val="auto"/>
        </w:rPr>
        <w:t>,</w:t>
      </w:r>
      <w:r>
        <w:rPr>
          <w:color w:val="auto"/>
        </w:rPr>
        <w:t xml:space="preserve"> </w:t>
      </w:r>
      <w:r w:rsidRPr="005348B9">
        <w:rPr>
          <w:color w:val="auto"/>
        </w:rPr>
        <w:t>17–96.</w:t>
      </w:r>
    </w:p>
    <w:p w14:paraId="56E56C3B" w14:textId="77777777" w:rsidR="000B16CE" w:rsidRPr="005348B9" w:rsidRDefault="000B16CE" w:rsidP="008C619F">
      <w:pPr>
        <w:pStyle w:val="MDPI71References"/>
        <w:numPr>
          <w:ilvl w:val="0"/>
          <w:numId w:val="4"/>
        </w:numPr>
        <w:ind w:left="425" w:hanging="425"/>
        <w:rPr>
          <w:color w:val="auto"/>
        </w:rPr>
      </w:pPr>
      <w:r w:rsidRPr="005348B9">
        <w:rPr>
          <w:color w:val="auto"/>
        </w:rPr>
        <w:t xml:space="preserve">Dias, K.; Link, M.S.; Levine, B.D. Exercise training for patients with hypertrophic cardiomyopathy. </w:t>
      </w:r>
      <w:r w:rsidRPr="005348B9">
        <w:rPr>
          <w:i/>
          <w:iCs/>
          <w:color w:val="auto"/>
        </w:rPr>
        <w:t xml:space="preserve">J. Am. Coll. </w:t>
      </w:r>
      <w:proofErr w:type="spellStart"/>
      <w:r w:rsidRPr="005348B9">
        <w:rPr>
          <w:i/>
          <w:iCs/>
          <w:color w:val="auto"/>
        </w:rPr>
        <w:t>Cardiol</w:t>
      </w:r>
      <w:proofErr w:type="spellEnd"/>
      <w:r w:rsidRPr="005348B9">
        <w:rPr>
          <w:color w:val="auto"/>
        </w:rPr>
        <w:t xml:space="preserve">. </w:t>
      </w:r>
      <w:r>
        <w:rPr>
          <w:b/>
          <w:bCs/>
          <w:color w:val="auto"/>
        </w:rPr>
        <w:t>2018</w:t>
      </w:r>
      <w:r>
        <w:rPr>
          <w:bCs/>
          <w:color w:val="auto"/>
        </w:rPr>
        <w:t xml:space="preserve">, </w:t>
      </w:r>
      <w:r>
        <w:rPr>
          <w:bCs/>
          <w:i/>
          <w:color w:val="auto"/>
        </w:rPr>
        <w:t>72</w:t>
      </w:r>
      <w:r>
        <w:rPr>
          <w:bCs/>
          <w:color w:val="auto"/>
        </w:rPr>
        <w:t>, 1157–1165</w:t>
      </w:r>
      <w:r w:rsidRPr="005348B9">
        <w:rPr>
          <w:bCs/>
          <w:color w:val="auto"/>
        </w:rPr>
        <w:t>.</w:t>
      </w:r>
    </w:p>
    <w:p w14:paraId="3A760806" w14:textId="77777777" w:rsidR="000B16CE" w:rsidRPr="005348B9" w:rsidRDefault="000B16CE" w:rsidP="008C619F">
      <w:pPr>
        <w:pStyle w:val="MDPI71References"/>
        <w:numPr>
          <w:ilvl w:val="0"/>
          <w:numId w:val="4"/>
        </w:numPr>
        <w:ind w:left="425" w:hanging="425"/>
        <w:rPr>
          <w:color w:val="auto"/>
        </w:rPr>
      </w:pPr>
      <w:r w:rsidRPr="004F446B">
        <w:rPr>
          <w:color w:val="auto"/>
        </w:rPr>
        <w:t>Hart, P.D.; Buck</w:t>
      </w:r>
      <w:r w:rsidRPr="005348B9">
        <w:rPr>
          <w:color w:val="auto"/>
        </w:rPr>
        <w:t xml:space="preserve">, D.J. The effect of resistance training on health-related quality of life in older adults: Systematic review and meta-analysis. </w:t>
      </w:r>
      <w:r w:rsidRPr="005348B9">
        <w:rPr>
          <w:i/>
          <w:iCs/>
          <w:color w:val="auto"/>
        </w:rPr>
        <w:t xml:space="preserve">Health </w:t>
      </w:r>
      <w:proofErr w:type="spellStart"/>
      <w:r w:rsidRPr="005348B9">
        <w:rPr>
          <w:i/>
          <w:iCs/>
          <w:color w:val="auto"/>
        </w:rPr>
        <w:t>Promot</w:t>
      </w:r>
      <w:proofErr w:type="spellEnd"/>
      <w:r w:rsidRPr="005348B9">
        <w:rPr>
          <w:i/>
          <w:iCs/>
          <w:color w:val="auto"/>
        </w:rPr>
        <w:t xml:space="preserve"> </w:t>
      </w:r>
      <w:proofErr w:type="spellStart"/>
      <w:r w:rsidRPr="005348B9">
        <w:rPr>
          <w:i/>
          <w:iCs/>
          <w:color w:val="auto"/>
        </w:rPr>
        <w:t>Perspect</w:t>
      </w:r>
      <w:proofErr w:type="spellEnd"/>
      <w:r w:rsidRPr="005348B9">
        <w:rPr>
          <w:color w:val="auto"/>
        </w:rPr>
        <w:t xml:space="preserve">. </w:t>
      </w:r>
      <w:r>
        <w:rPr>
          <w:b/>
          <w:bCs/>
          <w:color w:val="auto"/>
        </w:rPr>
        <w:t>2019</w:t>
      </w:r>
      <w:r>
        <w:rPr>
          <w:bCs/>
          <w:color w:val="auto"/>
        </w:rPr>
        <w:t xml:space="preserve">, </w:t>
      </w:r>
      <w:r>
        <w:rPr>
          <w:bCs/>
          <w:i/>
          <w:color w:val="auto"/>
        </w:rPr>
        <w:t>9</w:t>
      </w:r>
      <w:r>
        <w:rPr>
          <w:bCs/>
          <w:color w:val="auto"/>
        </w:rPr>
        <w:t>, 1–12</w:t>
      </w:r>
      <w:r w:rsidRPr="005348B9">
        <w:rPr>
          <w:color w:val="auto"/>
        </w:rPr>
        <w:t>.</w:t>
      </w:r>
    </w:p>
    <w:p w14:paraId="5D1E99EE" w14:textId="77777777" w:rsidR="000B16CE" w:rsidRPr="00580107" w:rsidRDefault="000B16CE" w:rsidP="008C619F">
      <w:pPr>
        <w:pStyle w:val="MDPI71References"/>
        <w:numPr>
          <w:ilvl w:val="0"/>
          <w:numId w:val="4"/>
        </w:numPr>
        <w:ind w:left="425" w:hanging="425"/>
        <w:rPr>
          <w:color w:val="auto"/>
        </w:rPr>
      </w:pPr>
      <w:r w:rsidRPr="005348B9">
        <w:rPr>
          <w:color w:val="auto"/>
        </w:rPr>
        <w:t>Gomes-Neto, M.; Rodrigues</w:t>
      </w:r>
      <w:r w:rsidRPr="004F446B">
        <w:rPr>
          <w:color w:val="auto"/>
        </w:rPr>
        <w:t xml:space="preserve">, A.; </w:t>
      </w:r>
      <w:proofErr w:type="spellStart"/>
      <w:r w:rsidRPr="004F446B">
        <w:rPr>
          <w:color w:val="auto"/>
        </w:rPr>
        <w:t>Conceição</w:t>
      </w:r>
      <w:proofErr w:type="spellEnd"/>
      <w:r w:rsidRPr="004F446B">
        <w:rPr>
          <w:color w:val="auto"/>
        </w:rPr>
        <w:t xml:space="preserve">, L.S.; </w:t>
      </w:r>
      <w:proofErr w:type="spellStart"/>
      <w:r w:rsidRPr="004F446B">
        <w:rPr>
          <w:color w:val="auto"/>
        </w:rPr>
        <w:t>Roever</w:t>
      </w:r>
      <w:proofErr w:type="spellEnd"/>
      <w:r w:rsidRPr="004F446B">
        <w:rPr>
          <w:color w:val="auto"/>
        </w:rPr>
        <w:t xml:space="preserve">, L.; </w:t>
      </w:r>
      <w:proofErr w:type="spellStart"/>
      <w:r w:rsidRPr="004F446B">
        <w:rPr>
          <w:color w:val="auto"/>
        </w:rPr>
        <w:t>Magalhães</w:t>
      </w:r>
      <w:proofErr w:type="spellEnd"/>
      <w:r w:rsidRPr="004F446B">
        <w:rPr>
          <w:color w:val="auto"/>
        </w:rPr>
        <w:t xml:space="preserve">, C.; Nogueira, I.G.; </w:t>
      </w:r>
      <w:proofErr w:type="spellStart"/>
      <w:r w:rsidRPr="004F446B">
        <w:rPr>
          <w:color w:val="auto"/>
        </w:rPr>
        <w:t>Ellingsen</w:t>
      </w:r>
      <w:proofErr w:type="spellEnd"/>
      <w:r w:rsidRPr="004F446B">
        <w:rPr>
          <w:color w:val="auto"/>
        </w:rPr>
        <w:t xml:space="preserve">, Ø.; Oliveira, V. Effect of combined aerobic and resistance training on peak oxygen consumption, muscle strength and health-related quality of life in patients with heart failure with reduced left ventricular </w:t>
      </w:r>
      <w:r w:rsidRPr="005348B9">
        <w:rPr>
          <w:color w:val="auto"/>
        </w:rPr>
        <w:t>ejection fraction: A systematic</w:t>
      </w:r>
      <w:r w:rsidRPr="004F446B">
        <w:rPr>
          <w:color w:val="auto"/>
        </w:rPr>
        <w:t xml:space="preserve"> review and meta-analysis. </w:t>
      </w:r>
      <w:r w:rsidRPr="004F446B">
        <w:rPr>
          <w:i/>
          <w:iCs/>
          <w:color w:val="auto"/>
        </w:rPr>
        <w:t>Int</w:t>
      </w:r>
      <w:r>
        <w:rPr>
          <w:i/>
          <w:iCs/>
          <w:color w:val="auto"/>
        </w:rPr>
        <w:t>.</w:t>
      </w:r>
      <w:r w:rsidRPr="004F446B">
        <w:rPr>
          <w:i/>
          <w:iCs/>
          <w:color w:val="auto"/>
        </w:rPr>
        <w:t xml:space="preserve"> </w:t>
      </w:r>
      <w:r>
        <w:rPr>
          <w:i/>
          <w:iCs/>
          <w:color w:val="auto"/>
        </w:rPr>
        <w:t>J.</w:t>
      </w:r>
      <w:r w:rsidRPr="004F446B">
        <w:rPr>
          <w:i/>
          <w:iCs/>
          <w:color w:val="auto"/>
        </w:rPr>
        <w:t xml:space="preserve"> </w:t>
      </w:r>
      <w:proofErr w:type="spellStart"/>
      <w:r w:rsidRPr="004F446B">
        <w:rPr>
          <w:i/>
          <w:iCs/>
          <w:color w:val="auto"/>
        </w:rPr>
        <w:t>Cardiol</w:t>
      </w:r>
      <w:proofErr w:type="spellEnd"/>
      <w:r w:rsidRPr="004F446B">
        <w:rPr>
          <w:color w:val="auto"/>
        </w:rPr>
        <w:t xml:space="preserve">. </w:t>
      </w:r>
      <w:r>
        <w:rPr>
          <w:b/>
          <w:bCs/>
          <w:color w:val="auto"/>
        </w:rPr>
        <w:t>2019</w:t>
      </w:r>
      <w:r>
        <w:rPr>
          <w:bCs/>
          <w:color w:val="auto"/>
        </w:rPr>
        <w:t xml:space="preserve">, </w:t>
      </w:r>
      <w:r>
        <w:rPr>
          <w:bCs/>
          <w:i/>
          <w:color w:val="auto"/>
        </w:rPr>
        <w:t>293</w:t>
      </w:r>
      <w:r>
        <w:rPr>
          <w:bCs/>
          <w:color w:val="auto"/>
        </w:rPr>
        <w:t>, 165–175.</w:t>
      </w:r>
    </w:p>
    <w:p w14:paraId="1B2A23BD" w14:textId="77777777" w:rsidR="00FE6943" w:rsidRPr="001B672C" w:rsidRDefault="00FE6943" w:rsidP="001B672C"/>
    <w:sectPr w:rsidR="00FE6943" w:rsidRPr="001B672C" w:rsidSect="00B54E50">
      <w:headerReference w:type="even" r:id="rId15"/>
      <w:headerReference w:type="default" r:id="rId16"/>
      <w:footerReference w:type="default" r:id="rId17"/>
      <w:headerReference w:type="first" r:id="rId18"/>
      <w:footerReference w:type="first" r:id="rId19"/>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8D69E" w14:textId="77777777" w:rsidR="00487B02" w:rsidRDefault="00487B02">
      <w:pPr>
        <w:spacing w:line="240" w:lineRule="auto"/>
      </w:pPr>
      <w:r>
        <w:separator/>
      </w:r>
    </w:p>
  </w:endnote>
  <w:endnote w:type="continuationSeparator" w:id="0">
    <w:p w14:paraId="64B32C30" w14:textId="77777777" w:rsidR="00487B02" w:rsidRDefault="00487B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CDCC" w14:textId="77777777" w:rsidR="00B54E50" w:rsidRPr="00032917" w:rsidRDefault="00B54E50"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4DAB" w14:textId="77777777" w:rsidR="00C55217" w:rsidRDefault="00C55217" w:rsidP="00C55217">
    <w:pPr>
      <w:pStyle w:val="Footer"/>
      <w:pBdr>
        <w:top w:val="single" w:sz="4" w:space="0" w:color="000000"/>
      </w:pBdr>
      <w:adjustRightInd w:val="0"/>
      <w:spacing w:before="480" w:line="100" w:lineRule="exact"/>
      <w:jc w:val="left"/>
      <w:rPr>
        <w:i/>
        <w:sz w:val="16"/>
      </w:rPr>
    </w:pPr>
  </w:p>
  <w:p w14:paraId="58D51471" w14:textId="6382598C" w:rsidR="00B54E50" w:rsidRPr="00C55217" w:rsidRDefault="00C55217" w:rsidP="00C55217">
    <w:pPr>
      <w:pStyle w:val="Footer"/>
      <w:adjustRightInd w:val="0"/>
      <w:spacing w:line="240" w:lineRule="auto"/>
      <w:rPr>
        <w:sz w:val="16"/>
      </w:rPr>
    </w:pPr>
    <w:r w:rsidRPr="00C55217">
      <w:rPr>
        <w:i/>
        <w:sz w:val="16"/>
      </w:rPr>
      <w:t>J. Clin. Med.</w:t>
    </w:r>
    <w:r>
      <w:rPr>
        <w:sz w:val="16"/>
      </w:rPr>
      <w:t xml:space="preserve"> </w:t>
    </w:r>
    <w:r w:rsidRPr="00C55217">
      <w:rPr>
        <w:b/>
        <w:sz w:val="16"/>
      </w:rPr>
      <w:t>2021</w:t>
    </w:r>
    <w:r>
      <w:rPr>
        <w:sz w:val="16"/>
      </w:rPr>
      <w:t>,</w:t>
    </w:r>
    <w:r w:rsidRPr="00C55217">
      <w:rPr>
        <w:i/>
        <w:sz w:val="16"/>
      </w:rPr>
      <w:t xml:space="preserve"> 10</w:t>
    </w:r>
    <w:r>
      <w:rPr>
        <w:sz w:val="16"/>
      </w:rPr>
      <w:t>, 2312. https://doi.org/10.3390/jcm10112312</w:t>
    </w:r>
    <w:r>
      <w:rPr>
        <w:sz w:val="16"/>
      </w:rPr>
      <w:ptab w:relativeTo="margin" w:alignment="right" w:leader="none"/>
    </w:r>
    <w:r>
      <w:rPr>
        <w:sz w:val="16"/>
      </w:rPr>
      <w:t>www.mdpi.com/journal/jcm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F4C8F" w14:textId="77777777" w:rsidR="00487B02" w:rsidRDefault="00487B02">
      <w:pPr>
        <w:spacing w:line="240" w:lineRule="auto"/>
      </w:pPr>
      <w:r>
        <w:separator/>
      </w:r>
    </w:p>
  </w:footnote>
  <w:footnote w:type="continuationSeparator" w:id="0">
    <w:p w14:paraId="15707E8A" w14:textId="77777777" w:rsidR="00487B02" w:rsidRDefault="00487B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0277" w14:textId="77777777" w:rsidR="00B54E50" w:rsidRDefault="00B54E50"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5290" w14:textId="77777777" w:rsidR="00C55217" w:rsidRDefault="00C55217" w:rsidP="00C55217">
    <w:pPr>
      <w:adjustRightInd w:val="0"/>
      <w:snapToGrid w:val="0"/>
      <w:spacing w:line="240" w:lineRule="auto"/>
      <w:rPr>
        <w:sz w:val="16"/>
      </w:rPr>
    </w:pPr>
    <w:r w:rsidRPr="00C55217">
      <w:rPr>
        <w:i/>
        <w:sz w:val="16"/>
      </w:rPr>
      <w:t>J. Clin. Med.</w:t>
    </w:r>
    <w:r>
      <w:rPr>
        <w:sz w:val="16"/>
      </w:rPr>
      <w:t xml:space="preserve"> </w:t>
    </w:r>
    <w:r w:rsidRPr="00C55217">
      <w:rPr>
        <w:b/>
        <w:sz w:val="16"/>
      </w:rPr>
      <w:t>2021</w:t>
    </w:r>
    <w:r>
      <w:rPr>
        <w:sz w:val="16"/>
      </w:rPr>
      <w:t>,</w:t>
    </w:r>
    <w:r w:rsidRPr="00C55217">
      <w:rPr>
        <w:i/>
        <w:sz w:val="16"/>
      </w:rPr>
      <w:t xml:space="preserve"> 10</w:t>
    </w:r>
    <w:r>
      <w:rPr>
        <w:sz w:val="16"/>
      </w:rPr>
      <w:t>, 2312</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24</w:t>
    </w:r>
    <w:r>
      <w:rPr>
        <w:sz w:val="16"/>
      </w:rPr>
      <w:fldChar w:fldCharType="end"/>
    </w:r>
  </w:p>
  <w:p w14:paraId="3861FA1D" w14:textId="7D786EA3" w:rsidR="00B54E50" w:rsidRPr="00C55217" w:rsidRDefault="00B54E50" w:rsidP="00C55217">
    <w:pPr>
      <w:pBdr>
        <w:bottom w:val="single" w:sz="4" w:space="0" w:color="000000"/>
      </w:pBdr>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B54E50" w:rsidRPr="00770821" w14:paraId="5A264923" w14:textId="77777777" w:rsidTr="00770821">
      <w:trPr>
        <w:trHeight w:val="686"/>
      </w:trPr>
      <w:tc>
        <w:tcPr>
          <w:tcW w:w="3679" w:type="dxa"/>
          <w:shd w:val="clear" w:color="auto" w:fill="auto"/>
          <w:vAlign w:val="center"/>
        </w:tcPr>
        <w:p w14:paraId="4FB71714" w14:textId="77777777" w:rsidR="00B54E50" w:rsidRPr="00904B95" w:rsidRDefault="00B54E50" w:rsidP="00770821">
          <w:pPr>
            <w:pStyle w:val="Header"/>
            <w:pBdr>
              <w:bottom w:val="none" w:sz="0" w:space="0" w:color="auto"/>
            </w:pBdr>
            <w:jc w:val="left"/>
            <w:rPr>
              <w:rFonts w:eastAsia="DengXian"/>
              <w:b/>
              <w:bCs/>
            </w:rPr>
          </w:pPr>
          <w:r w:rsidRPr="00904B95">
            <w:rPr>
              <w:rFonts w:eastAsia="DengXian"/>
              <w:b/>
              <w:bCs/>
            </w:rPr>
            <w:drawing>
              <wp:inline distT="0" distB="0" distL="0" distR="0" wp14:anchorId="78C04560" wp14:editId="03325E81">
                <wp:extent cx="1676400" cy="427990"/>
                <wp:effectExtent l="0" t="0" r="0" b="0"/>
                <wp:docPr id="17" name="Picture 5" descr="C:\Users\home\Desktop\logos\png\jc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jcm-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27990"/>
                        </a:xfrm>
                        <a:prstGeom prst="rect">
                          <a:avLst/>
                        </a:prstGeom>
                        <a:noFill/>
                        <a:ln>
                          <a:noFill/>
                        </a:ln>
                      </pic:spPr>
                    </pic:pic>
                  </a:graphicData>
                </a:graphic>
              </wp:inline>
            </w:drawing>
          </w:r>
        </w:p>
      </w:tc>
      <w:tc>
        <w:tcPr>
          <w:tcW w:w="4535" w:type="dxa"/>
          <w:shd w:val="clear" w:color="auto" w:fill="auto"/>
          <w:vAlign w:val="center"/>
        </w:tcPr>
        <w:p w14:paraId="3DFD36CD" w14:textId="77777777" w:rsidR="00B54E50" w:rsidRPr="00904B95" w:rsidRDefault="00B54E50" w:rsidP="00770821">
          <w:pPr>
            <w:pStyle w:val="Header"/>
            <w:pBdr>
              <w:bottom w:val="none" w:sz="0" w:space="0" w:color="auto"/>
            </w:pBdr>
            <w:rPr>
              <w:rFonts w:eastAsia="DengXian"/>
              <w:b/>
              <w:bCs/>
            </w:rPr>
          </w:pPr>
        </w:p>
      </w:tc>
      <w:tc>
        <w:tcPr>
          <w:tcW w:w="2273" w:type="dxa"/>
          <w:shd w:val="clear" w:color="auto" w:fill="auto"/>
          <w:vAlign w:val="center"/>
        </w:tcPr>
        <w:p w14:paraId="362C3CD3" w14:textId="77777777" w:rsidR="00B54E50" w:rsidRPr="00904B95" w:rsidRDefault="00B54E50" w:rsidP="00770821">
          <w:pPr>
            <w:pStyle w:val="Header"/>
            <w:pBdr>
              <w:bottom w:val="none" w:sz="0" w:space="0" w:color="auto"/>
            </w:pBdr>
            <w:jc w:val="right"/>
            <w:rPr>
              <w:rFonts w:eastAsia="DengXian"/>
              <w:b/>
              <w:bCs/>
            </w:rPr>
          </w:pPr>
          <w:r w:rsidRPr="00904B95">
            <w:rPr>
              <w:rFonts w:eastAsia="DengXian"/>
              <w:b/>
              <w:bCs/>
            </w:rPr>
            <w:drawing>
              <wp:inline distT="0" distB="0" distL="0" distR="0" wp14:anchorId="3E601A42" wp14:editId="07DC33F1">
                <wp:extent cx="539115" cy="357505"/>
                <wp:effectExtent l="0" t="0" r="0" b="4445"/>
                <wp:docPr id="18" name="Picture 18"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p>
      </w:tc>
    </w:tr>
  </w:tbl>
  <w:p w14:paraId="09D09F6E" w14:textId="77777777" w:rsidR="00B54E50" w:rsidRPr="003A2C19" w:rsidRDefault="00B54E50" w:rsidP="00065C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2"/>
  </w:num>
  <w:num w:numId="2">
    <w:abstractNumId w:val="4"/>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0"/>
  </w:num>
  <w:num w:numId="8">
    <w:abstractNumId w:val="5"/>
  </w:num>
  <w:num w:numId="9">
    <w:abstractNumId w:val="0"/>
  </w:num>
  <w:num w:numId="10">
    <w:abstractNumId w:val="5"/>
  </w:num>
  <w:num w:numId="11">
    <w:abstractNumId w:val="0"/>
  </w:num>
  <w:num w:numId="12">
    <w:abstractNumId w:val="6"/>
  </w:num>
  <w:num w:numId="13">
    <w:abstractNumId w:val="5"/>
  </w:num>
  <w:num w:numId="14">
    <w:abstractNumId w:val="0"/>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72C"/>
    <w:rsid w:val="000019D8"/>
    <w:rsid w:val="00006F9A"/>
    <w:rsid w:val="00006FAB"/>
    <w:rsid w:val="0000734F"/>
    <w:rsid w:val="000109FB"/>
    <w:rsid w:val="00026058"/>
    <w:rsid w:val="000302D9"/>
    <w:rsid w:val="00041D95"/>
    <w:rsid w:val="000460B7"/>
    <w:rsid w:val="00046866"/>
    <w:rsid w:val="00052889"/>
    <w:rsid w:val="00057CA6"/>
    <w:rsid w:val="00062FB1"/>
    <w:rsid w:val="00065CFE"/>
    <w:rsid w:val="00085770"/>
    <w:rsid w:val="00085F35"/>
    <w:rsid w:val="000A7316"/>
    <w:rsid w:val="000B16CE"/>
    <w:rsid w:val="000B5524"/>
    <w:rsid w:val="000B7CBD"/>
    <w:rsid w:val="000C0FC2"/>
    <w:rsid w:val="000C430E"/>
    <w:rsid w:val="000E23BF"/>
    <w:rsid w:val="00104947"/>
    <w:rsid w:val="00126CBE"/>
    <w:rsid w:val="0013247E"/>
    <w:rsid w:val="00144A1C"/>
    <w:rsid w:val="0014586D"/>
    <w:rsid w:val="00152F6D"/>
    <w:rsid w:val="00165ECF"/>
    <w:rsid w:val="001710B7"/>
    <w:rsid w:val="001759E3"/>
    <w:rsid w:val="001B672C"/>
    <w:rsid w:val="001C44D6"/>
    <w:rsid w:val="001C4EF2"/>
    <w:rsid w:val="001D1C27"/>
    <w:rsid w:val="001D25D3"/>
    <w:rsid w:val="001E2AEB"/>
    <w:rsid w:val="001E45C8"/>
    <w:rsid w:val="001E6B6B"/>
    <w:rsid w:val="001F462D"/>
    <w:rsid w:val="002060DC"/>
    <w:rsid w:val="00274D95"/>
    <w:rsid w:val="00280F25"/>
    <w:rsid w:val="00280FC4"/>
    <w:rsid w:val="00287BE6"/>
    <w:rsid w:val="0029303F"/>
    <w:rsid w:val="002941C0"/>
    <w:rsid w:val="002B612E"/>
    <w:rsid w:val="002C5B08"/>
    <w:rsid w:val="002C74FC"/>
    <w:rsid w:val="002D1046"/>
    <w:rsid w:val="002E235C"/>
    <w:rsid w:val="002E7173"/>
    <w:rsid w:val="00311B04"/>
    <w:rsid w:val="00314B6E"/>
    <w:rsid w:val="0031667B"/>
    <w:rsid w:val="003207B3"/>
    <w:rsid w:val="003225E6"/>
    <w:rsid w:val="00325CF8"/>
    <w:rsid w:val="00326141"/>
    <w:rsid w:val="003263FF"/>
    <w:rsid w:val="0034278A"/>
    <w:rsid w:val="0034365E"/>
    <w:rsid w:val="00357C8D"/>
    <w:rsid w:val="00362F34"/>
    <w:rsid w:val="0038441E"/>
    <w:rsid w:val="003977A3"/>
    <w:rsid w:val="003A2C19"/>
    <w:rsid w:val="003A2DA2"/>
    <w:rsid w:val="003C6E07"/>
    <w:rsid w:val="003D4857"/>
    <w:rsid w:val="003D55AB"/>
    <w:rsid w:val="003D7530"/>
    <w:rsid w:val="003F2DA1"/>
    <w:rsid w:val="00401D30"/>
    <w:rsid w:val="0040757F"/>
    <w:rsid w:val="004101CF"/>
    <w:rsid w:val="00412261"/>
    <w:rsid w:val="004142C7"/>
    <w:rsid w:val="004225B0"/>
    <w:rsid w:val="00423E0C"/>
    <w:rsid w:val="004360E1"/>
    <w:rsid w:val="00460E72"/>
    <w:rsid w:val="0046295C"/>
    <w:rsid w:val="00463640"/>
    <w:rsid w:val="00487B02"/>
    <w:rsid w:val="0049099C"/>
    <w:rsid w:val="004B1358"/>
    <w:rsid w:val="004B7429"/>
    <w:rsid w:val="004D54CC"/>
    <w:rsid w:val="004D5F4D"/>
    <w:rsid w:val="004F0E2A"/>
    <w:rsid w:val="004F30E4"/>
    <w:rsid w:val="004F5B4C"/>
    <w:rsid w:val="00500837"/>
    <w:rsid w:val="00502F57"/>
    <w:rsid w:val="005052B6"/>
    <w:rsid w:val="005123DF"/>
    <w:rsid w:val="00547A54"/>
    <w:rsid w:val="005577F2"/>
    <w:rsid w:val="005963C5"/>
    <w:rsid w:val="005A4969"/>
    <w:rsid w:val="005B2ADF"/>
    <w:rsid w:val="005C4BAB"/>
    <w:rsid w:val="005D460B"/>
    <w:rsid w:val="00604E33"/>
    <w:rsid w:val="006142CB"/>
    <w:rsid w:val="00616F82"/>
    <w:rsid w:val="00622838"/>
    <w:rsid w:val="00627C38"/>
    <w:rsid w:val="006300CB"/>
    <w:rsid w:val="00637CD2"/>
    <w:rsid w:val="006630E3"/>
    <w:rsid w:val="00667913"/>
    <w:rsid w:val="006711A8"/>
    <w:rsid w:val="00685F96"/>
    <w:rsid w:val="00691DEB"/>
    <w:rsid w:val="00692393"/>
    <w:rsid w:val="00694025"/>
    <w:rsid w:val="00697783"/>
    <w:rsid w:val="006A11B0"/>
    <w:rsid w:val="006A53FF"/>
    <w:rsid w:val="006A5D76"/>
    <w:rsid w:val="006B1BE7"/>
    <w:rsid w:val="006C3990"/>
    <w:rsid w:val="006E1776"/>
    <w:rsid w:val="007018DC"/>
    <w:rsid w:val="00705D61"/>
    <w:rsid w:val="00706045"/>
    <w:rsid w:val="00706D77"/>
    <w:rsid w:val="00717D95"/>
    <w:rsid w:val="00734344"/>
    <w:rsid w:val="0075601F"/>
    <w:rsid w:val="00766E93"/>
    <w:rsid w:val="00770821"/>
    <w:rsid w:val="00770DCB"/>
    <w:rsid w:val="00773B76"/>
    <w:rsid w:val="00783DD6"/>
    <w:rsid w:val="0079312A"/>
    <w:rsid w:val="00795E21"/>
    <w:rsid w:val="007A367A"/>
    <w:rsid w:val="007A4FCC"/>
    <w:rsid w:val="007B5DAA"/>
    <w:rsid w:val="007E31C9"/>
    <w:rsid w:val="00816BBE"/>
    <w:rsid w:val="00820AEA"/>
    <w:rsid w:val="00821AFA"/>
    <w:rsid w:val="00821EF1"/>
    <w:rsid w:val="00835518"/>
    <w:rsid w:val="00835A8F"/>
    <w:rsid w:val="0084314B"/>
    <w:rsid w:val="00851192"/>
    <w:rsid w:val="00853B85"/>
    <w:rsid w:val="00867427"/>
    <w:rsid w:val="008871FE"/>
    <w:rsid w:val="008A47DE"/>
    <w:rsid w:val="008B6A15"/>
    <w:rsid w:val="008C288B"/>
    <w:rsid w:val="008C619F"/>
    <w:rsid w:val="008D0B41"/>
    <w:rsid w:val="008E63F1"/>
    <w:rsid w:val="008F1228"/>
    <w:rsid w:val="008F24C4"/>
    <w:rsid w:val="008F6E8C"/>
    <w:rsid w:val="009035B8"/>
    <w:rsid w:val="00904B95"/>
    <w:rsid w:val="00914275"/>
    <w:rsid w:val="00915CAE"/>
    <w:rsid w:val="00943EE6"/>
    <w:rsid w:val="00945A8C"/>
    <w:rsid w:val="00970559"/>
    <w:rsid w:val="00970888"/>
    <w:rsid w:val="009709FF"/>
    <w:rsid w:val="00995F53"/>
    <w:rsid w:val="00996419"/>
    <w:rsid w:val="009A65A6"/>
    <w:rsid w:val="009C0591"/>
    <w:rsid w:val="009C5893"/>
    <w:rsid w:val="009F70E6"/>
    <w:rsid w:val="00A341C0"/>
    <w:rsid w:val="00A34A03"/>
    <w:rsid w:val="00A63103"/>
    <w:rsid w:val="00A71547"/>
    <w:rsid w:val="00A73B50"/>
    <w:rsid w:val="00A80893"/>
    <w:rsid w:val="00A878CB"/>
    <w:rsid w:val="00A97D6B"/>
    <w:rsid w:val="00AA6002"/>
    <w:rsid w:val="00AB2F7D"/>
    <w:rsid w:val="00AB42FB"/>
    <w:rsid w:val="00AC3FDF"/>
    <w:rsid w:val="00AD3640"/>
    <w:rsid w:val="00AD4E9B"/>
    <w:rsid w:val="00AF63F6"/>
    <w:rsid w:val="00AF66CF"/>
    <w:rsid w:val="00B01332"/>
    <w:rsid w:val="00B06911"/>
    <w:rsid w:val="00B12392"/>
    <w:rsid w:val="00B27BDC"/>
    <w:rsid w:val="00B42FB2"/>
    <w:rsid w:val="00B46290"/>
    <w:rsid w:val="00B54E50"/>
    <w:rsid w:val="00B84BC1"/>
    <w:rsid w:val="00BA4C52"/>
    <w:rsid w:val="00BB3571"/>
    <w:rsid w:val="00BB7AA1"/>
    <w:rsid w:val="00BC2D10"/>
    <w:rsid w:val="00BC57B3"/>
    <w:rsid w:val="00BD5379"/>
    <w:rsid w:val="00BF5D96"/>
    <w:rsid w:val="00C01C1A"/>
    <w:rsid w:val="00C06920"/>
    <w:rsid w:val="00C1439D"/>
    <w:rsid w:val="00C144B6"/>
    <w:rsid w:val="00C17D2C"/>
    <w:rsid w:val="00C25128"/>
    <w:rsid w:val="00C41463"/>
    <w:rsid w:val="00C55217"/>
    <w:rsid w:val="00C76749"/>
    <w:rsid w:val="00C92788"/>
    <w:rsid w:val="00CA3E4C"/>
    <w:rsid w:val="00CA6FBF"/>
    <w:rsid w:val="00CB5986"/>
    <w:rsid w:val="00CC087C"/>
    <w:rsid w:val="00CC4494"/>
    <w:rsid w:val="00CE3C7D"/>
    <w:rsid w:val="00CF2FC5"/>
    <w:rsid w:val="00CF554D"/>
    <w:rsid w:val="00D0452F"/>
    <w:rsid w:val="00D06DB4"/>
    <w:rsid w:val="00D07E2B"/>
    <w:rsid w:val="00D15FBD"/>
    <w:rsid w:val="00D440B0"/>
    <w:rsid w:val="00D537C4"/>
    <w:rsid w:val="00D67AC7"/>
    <w:rsid w:val="00D71CB2"/>
    <w:rsid w:val="00D72E82"/>
    <w:rsid w:val="00D76EFE"/>
    <w:rsid w:val="00D85DAF"/>
    <w:rsid w:val="00DA14F3"/>
    <w:rsid w:val="00DB5BC0"/>
    <w:rsid w:val="00DB65CB"/>
    <w:rsid w:val="00DC5308"/>
    <w:rsid w:val="00DE72E9"/>
    <w:rsid w:val="00E548E8"/>
    <w:rsid w:val="00E56B45"/>
    <w:rsid w:val="00E56E6F"/>
    <w:rsid w:val="00E62446"/>
    <w:rsid w:val="00E9417E"/>
    <w:rsid w:val="00EA24AA"/>
    <w:rsid w:val="00EA792D"/>
    <w:rsid w:val="00EB730D"/>
    <w:rsid w:val="00EC2CB7"/>
    <w:rsid w:val="00EE3264"/>
    <w:rsid w:val="00EE63D9"/>
    <w:rsid w:val="00EE6E33"/>
    <w:rsid w:val="00EE7007"/>
    <w:rsid w:val="00EF581A"/>
    <w:rsid w:val="00F078BD"/>
    <w:rsid w:val="00F079C4"/>
    <w:rsid w:val="00F159D6"/>
    <w:rsid w:val="00F20DC0"/>
    <w:rsid w:val="00F41D77"/>
    <w:rsid w:val="00F45B46"/>
    <w:rsid w:val="00F61547"/>
    <w:rsid w:val="00F63967"/>
    <w:rsid w:val="00F733DC"/>
    <w:rsid w:val="00FA2DB6"/>
    <w:rsid w:val="00FA4695"/>
    <w:rsid w:val="00FC70BF"/>
    <w:rsid w:val="00FD4789"/>
    <w:rsid w:val="00FE6943"/>
    <w:rsid w:val="00FE781A"/>
    <w:rsid w:val="00FF1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1667D"/>
  <w15:chartTrackingRefBased/>
  <w15:docId w15:val="{54EB20A9-2902-4750-90E3-3027CD98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943"/>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9"/>
    <w:qFormat/>
    <w:rsid w:val="001B672C"/>
    <w:pPr>
      <w:spacing w:before="360" w:after="360" w:line="276" w:lineRule="auto"/>
      <w:outlineLvl w:val="0"/>
    </w:pPr>
    <w:rPr>
      <w:rFonts w:ascii="Arial" w:eastAsia="Calibri" w:hAnsi="Arial" w:cs="Arial"/>
      <w:b/>
      <w:bCs/>
      <w:noProof w:val="0"/>
      <w:color w:val="auto"/>
      <w:sz w:val="24"/>
      <w:szCs w:val="24"/>
      <w:lang w:eastAsia="en-US"/>
    </w:rPr>
  </w:style>
  <w:style w:type="paragraph" w:styleId="Heading2">
    <w:name w:val="heading 2"/>
    <w:basedOn w:val="Normal"/>
    <w:next w:val="Normal"/>
    <w:link w:val="Heading2Char"/>
    <w:uiPriority w:val="99"/>
    <w:qFormat/>
    <w:rsid w:val="001B672C"/>
    <w:pPr>
      <w:spacing w:before="160" w:after="80" w:line="276" w:lineRule="auto"/>
      <w:ind w:firstLine="709"/>
      <w:outlineLvl w:val="1"/>
    </w:pPr>
    <w:rPr>
      <w:rFonts w:ascii="Arial" w:eastAsia="Calibri" w:hAnsi="Arial" w:cs="Arial"/>
      <w:b/>
      <w:bCs/>
      <w:noProof w:val="0"/>
      <w:color w:val="auto"/>
      <w:sz w:val="22"/>
      <w:szCs w:val="22"/>
      <w:lang w:eastAsia="en-US"/>
    </w:rPr>
  </w:style>
  <w:style w:type="paragraph" w:styleId="Heading3">
    <w:name w:val="heading 3"/>
    <w:aliases w:val="Figuras"/>
    <w:basedOn w:val="Normal"/>
    <w:next w:val="Normal"/>
    <w:link w:val="Heading3Char"/>
    <w:uiPriority w:val="99"/>
    <w:qFormat/>
    <w:rsid w:val="001B672C"/>
    <w:pPr>
      <w:spacing w:line="240" w:lineRule="auto"/>
      <w:ind w:firstLine="755"/>
      <w:outlineLvl w:val="2"/>
    </w:pPr>
    <w:rPr>
      <w:rFonts w:ascii="Arial" w:eastAsia="Calibri" w:hAnsi="Arial" w:cs="Arial"/>
      <w:b/>
      <w:bCs/>
      <w:i/>
      <w:iCs/>
      <w:noProof w:val="0"/>
      <w:color w:val="auto"/>
      <w:sz w:val="18"/>
      <w:szCs w:val="18"/>
      <w:lang w:val="es-ES" w:eastAsia="en-US"/>
    </w:rPr>
  </w:style>
  <w:style w:type="paragraph" w:styleId="Heading4">
    <w:name w:val="heading 4"/>
    <w:aliases w:val="77_Tablas"/>
    <w:basedOn w:val="Normal"/>
    <w:next w:val="Normal"/>
    <w:link w:val="Heading4Char"/>
    <w:uiPriority w:val="99"/>
    <w:qFormat/>
    <w:rsid w:val="001B672C"/>
    <w:pPr>
      <w:spacing w:after="40" w:line="240" w:lineRule="auto"/>
      <w:outlineLvl w:val="3"/>
    </w:pPr>
    <w:rPr>
      <w:rFonts w:ascii="Arial" w:eastAsia="Calibri" w:hAnsi="Arial" w:cs="Arial"/>
      <w:noProof w:val="0"/>
      <w:color w:val="auto"/>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54E5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54E5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54E5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54E5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54E5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54E5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54E5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54E5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FE6943"/>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E6943"/>
    <w:rPr>
      <w:rFonts w:ascii="Palatino Linotype" w:hAnsi="Palatino Linotype"/>
      <w:noProof/>
      <w:color w:val="000000"/>
      <w:szCs w:val="18"/>
    </w:rPr>
  </w:style>
  <w:style w:type="paragraph" w:styleId="Header">
    <w:name w:val="header"/>
    <w:basedOn w:val="Normal"/>
    <w:link w:val="HeaderChar"/>
    <w:uiPriority w:val="99"/>
    <w:rsid w:val="00FE6943"/>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E6943"/>
    <w:rPr>
      <w:rFonts w:ascii="Palatino Linotype" w:hAnsi="Palatino Linotype"/>
      <w:noProof/>
      <w:color w:val="000000"/>
      <w:szCs w:val="18"/>
    </w:rPr>
  </w:style>
  <w:style w:type="paragraph" w:customStyle="1" w:styleId="MDPIheaderjournallogo">
    <w:name w:val="MDPI_header_journal_logo"/>
    <w:qFormat/>
    <w:rsid w:val="00B54E5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54E50"/>
    <w:pPr>
      <w:ind w:firstLine="0"/>
    </w:pPr>
  </w:style>
  <w:style w:type="paragraph" w:customStyle="1" w:styleId="MDPI31text">
    <w:name w:val="MDPI_3.1_text"/>
    <w:qFormat/>
    <w:rsid w:val="00B54E5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54E5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54E5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54E5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54E5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54E50"/>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54E50"/>
    <w:pPr>
      <w:numPr>
        <w:numId w:val="1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54E5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54E5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54E50"/>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54E50"/>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54E50"/>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54E50"/>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54E5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B54E5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54E5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B54E5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B54E5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54E5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54E5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54E50"/>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FE6943"/>
    <w:rPr>
      <w:rFonts w:cs="Tahoma"/>
      <w:szCs w:val="18"/>
    </w:rPr>
  </w:style>
  <w:style w:type="character" w:customStyle="1" w:styleId="BalloonTextChar">
    <w:name w:val="Balloon Text Char"/>
    <w:link w:val="BalloonText"/>
    <w:uiPriority w:val="99"/>
    <w:rsid w:val="00FE6943"/>
    <w:rPr>
      <w:rFonts w:ascii="Palatino Linotype" w:hAnsi="Palatino Linotype" w:cs="Tahoma"/>
      <w:noProof/>
      <w:color w:val="000000"/>
      <w:szCs w:val="18"/>
    </w:rPr>
  </w:style>
  <w:style w:type="character" w:styleId="LineNumber">
    <w:name w:val="line number"/>
    <w:uiPriority w:val="99"/>
    <w:rsid w:val="00F20DC0"/>
    <w:rPr>
      <w:rFonts w:ascii="Palatino Linotype" w:hAnsi="Palatino Linotype"/>
      <w:sz w:val="16"/>
    </w:rPr>
  </w:style>
  <w:style w:type="table" w:customStyle="1" w:styleId="MDPI41threelinetable">
    <w:name w:val="MDPI_4.1_three_line_table"/>
    <w:basedOn w:val="TableNormal"/>
    <w:uiPriority w:val="99"/>
    <w:rsid w:val="00B54E50"/>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E6943"/>
    <w:rPr>
      <w:color w:val="0000FF"/>
      <w:u w:val="single"/>
    </w:rPr>
  </w:style>
  <w:style w:type="character" w:customStyle="1" w:styleId="UnresolvedMention1">
    <w:name w:val="Unresolved Mention1"/>
    <w:uiPriority w:val="99"/>
    <w:semiHidden/>
    <w:unhideWhenUsed/>
    <w:rsid w:val="0034278A"/>
    <w:rPr>
      <w:color w:val="605E5C"/>
      <w:shd w:val="clear" w:color="auto" w:fill="E1DFDD"/>
    </w:rPr>
  </w:style>
  <w:style w:type="table" w:styleId="TableGrid">
    <w:name w:val="Table Grid"/>
    <w:basedOn w:val="TableNormal"/>
    <w:uiPriority w:val="99"/>
    <w:rsid w:val="00FE6943"/>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54E50"/>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B54E5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54E50"/>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B54E50"/>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54E5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54E50"/>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B54E50"/>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B54E5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54E5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54E5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54E5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B54E5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54E5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54E5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54E50"/>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B54E5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54E5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E6943"/>
  </w:style>
  <w:style w:type="paragraph" w:styleId="Bibliography">
    <w:name w:val="Bibliography"/>
    <w:basedOn w:val="Normal"/>
    <w:next w:val="Normal"/>
    <w:uiPriority w:val="37"/>
    <w:semiHidden/>
    <w:unhideWhenUsed/>
    <w:rsid w:val="00FE6943"/>
  </w:style>
  <w:style w:type="paragraph" w:styleId="BodyText">
    <w:name w:val="Body Text"/>
    <w:link w:val="BodyTextChar"/>
    <w:rsid w:val="00FE6943"/>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E6943"/>
    <w:rPr>
      <w:rFonts w:ascii="Palatino Linotype" w:hAnsi="Palatino Linotype"/>
      <w:color w:val="000000"/>
      <w:sz w:val="24"/>
      <w:lang w:eastAsia="de-DE"/>
    </w:rPr>
  </w:style>
  <w:style w:type="character" w:styleId="CommentReference">
    <w:name w:val="annotation reference"/>
    <w:uiPriority w:val="99"/>
    <w:rsid w:val="00FE6943"/>
    <w:rPr>
      <w:sz w:val="21"/>
      <w:szCs w:val="21"/>
    </w:rPr>
  </w:style>
  <w:style w:type="paragraph" w:styleId="CommentText">
    <w:name w:val="annotation text"/>
    <w:basedOn w:val="Normal"/>
    <w:link w:val="CommentTextChar"/>
    <w:uiPriority w:val="99"/>
    <w:rsid w:val="00FE6943"/>
  </w:style>
  <w:style w:type="character" w:customStyle="1" w:styleId="CommentTextChar">
    <w:name w:val="Comment Text Char"/>
    <w:link w:val="CommentText"/>
    <w:uiPriority w:val="99"/>
    <w:rsid w:val="00FE6943"/>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FE6943"/>
    <w:rPr>
      <w:b/>
      <w:bCs/>
    </w:rPr>
  </w:style>
  <w:style w:type="character" w:customStyle="1" w:styleId="CommentSubjectChar">
    <w:name w:val="Comment Subject Char"/>
    <w:link w:val="CommentSubject"/>
    <w:uiPriority w:val="99"/>
    <w:rsid w:val="00FE6943"/>
    <w:rPr>
      <w:rFonts w:ascii="Palatino Linotype" w:hAnsi="Palatino Linotype"/>
      <w:b/>
      <w:bCs/>
      <w:noProof/>
      <w:color w:val="000000"/>
    </w:rPr>
  </w:style>
  <w:style w:type="character" w:styleId="EndnoteReference">
    <w:name w:val="endnote reference"/>
    <w:rsid w:val="00FE6943"/>
    <w:rPr>
      <w:vertAlign w:val="superscript"/>
    </w:rPr>
  </w:style>
  <w:style w:type="paragraph" w:styleId="EndnoteText">
    <w:name w:val="endnote text"/>
    <w:basedOn w:val="Normal"/>
    <w:link w:val="EndnoteTextChar"/>
    <w:semiHidden/>
    <w:unhideWhenUsed/>
    <w:rsid w:val="00FE6943"/>
    <w:pPr>
      <w:spacing w:line="240" w:lineRule="auto"/>
    </w:pPr>
  </w:style>
  <w:style w:type="character" w:customStyle="1" w:styleId="EndnoteTextChar">
    <w:name w:val="Endnote Text Char"/>
    <w:link w:val="EndnoteText"/>
    <w:semiHidden/>
    <w:rsid w:val="00FE6943"/>
    <w:rPr>
      <w:rFonts w:ascii="Palatino Linotype" w:hAnsi="Palatino Linotype"/>
      <w:noProof/>
      <w:color w:val="000000"/>
    </w:rPr>
  </w:style>
  <w:style w:type="character" w:styleId="FollowedHyperlink">
    <w:name w:val="FollowedHyperlink"/>
    <w:uiPriority w:val="99"/>
    <w:rsid w:val="00FE6943"/>
    <w:rPr>
      <w:color w:val="954F72"/>
      <w:u w:val="single"/>
    </w:rPr>
  </w:style>
  <w:style w:type="paragraph" w:styleId="FootnoteText">
    <w:name w:val="footnote text"/>
    <w:basedOn w:val="Normal"/>
    <w:link w:val="FootnoteTextChar"/>
    <w:semiHidden/>
    <w:unhideWhenUsed/>
    <w:rsid w:val="00FE6943"/>
    <w:pPr>
      <w:spacing w:line="240" w:lineRule="auto"/>
    </w:pPr>
  </w:style>
  <w:style w:type="character" w:customStyle="1" w:styleId="FootnoteTextChar">
    <w:name w:val="Footnote Text Char"/>
    <w:link w:val="FootnoteText"/>
    <w:semiHidden/>
    <w:rsid w:val="00FE6943"/>
    <w:rPr>
      <w:rFonts w:ascii="Palatino Linotype" w:hAnsi="Palatino Linotype"/>
      <w:noProof/>
      <w:color w:val="000000"/>
    </w:rPr>
  </w:style>
  <w:style w:type="paragraph" w:styleId="NormalWeb">
    <w:name w:val="Normal (Web)"/>
    <w:basedOn w:val="Normal"/>
    <w:uiPriority w:val="99"/>
    <w:rsid w:val="00FE6943"/>
    <w:rPr>
      <w:szCs w:val="24"/>
    </w:rPr>
  </w:style>
  <w:style w:type="paragraph" w:customStyle="1" w:styleId="MsoFootnoteText0">
    <w:name w:val="MsoFootnoteText"/>
    <w:basedOn w:val="NormalWeb"/>
    <w:qFormat/>
    <w:rsid w:val="00FE6943"/>
    <w:rPr>
      <w:rFonts w:ascii="Times New Roman" w:hAnsi="Times New Roman"/>
    </w:rPr>
  </w:style>
  <w:style w:type="character" w:styleId="PageNumber">
    <w:name w:val="page number"/>
    <w:uiPriority w:val="99"/>
    <w:rsid w:val="00FE6943"/>
  </w:style>
  <w:style w:type="character" w:styleId="PlaceholderText">
    <w:name w:val="Placeholder Text"/>
    <w:uiPriority w:val="99"/>
    <w:semiHidden/>
    <w:rsid w:val="00FE6943"/>
    <w:rPr>
      <w:color w:val="808080"/>
    </w:rPr>
  </w:style>
  <w:style w:type="character" w:customStyle="1" w:styleId="Heading1Char">
    <w:name w:val="Heading 1 Char"/>
    <w:basedOn w:val="DefaultParagraphFont"/>
    <w:link w:val="Heading1"/>
    <w:uiPriority w:val="99"/>
    <w:rsid w:val="001B672C"/>
    <w:rPr>
      <w:rFonts w:ascii="Arial" w:eastAsia="Calibri" w:hAnsi="Arial" w:cs="Arial"/>
      <w:b/>
      <w:bCs/>
      <w:sz w:val="24"/>
      <w:szCs w:val="24"/>
      <w:lang w:eastAsia="en-US"/>
    </w:rPr>
  </w:style>
  <w:style w:type="character" w:customStyle="1" w:styleId="Heading2Char">
    <w:name w:val="Heading 2 Char"/>
    <w:basedOn w:val="DefaultParagraphFont"/>
    <w:link w:val="Heading2"/>
    <w:uiPriority w:val="99"/>
    <w:rsid w:val="001B672C"/>
    <w:rPr>
      <w:rFonts w:ascii="Arial" w:eastAsia="Calibri" w:hAnsi="Arial" w:cs="Arial"/>
      <w:b/>
      <w:bCs/>
      <w:sz w:val="22"/>
      <w:szCs w:val="22"/>
      <w:lang w:eastAsia="en-US"/>
    </w:rPr>
  </w:style>
  <w:style w:type="character" w:customStyle="1" w:styleId="Heading3Char">
    <w:name w:val="Heading 3 Char"/>
    <w:aliases w:val="Figuras Char"/>
    <w:basedOn w:val="DefaultParagraphFont"/>
    <w:link w:val="Heading3"/>
    <w:uiPriority w:val="99"/>
    <w:rsid w:val="001B672C"/>
    <w:rPr>
      <w:rFonts w:ascii="Arial" w:eastAsia="Calibri" w:hAnsi="Arial" w:cs="Arial"/>
      <w:b/>
      <w:bCs/>
      <w:i/>
      <w:iCs/>
      <w:sz w:val="18"/>
      <w:szCs w:val="18"/>
      <w:lang w:val="es-ES" w:eastAsia="en-US"/>
    </w:rPr>
  </w:style>
  <w:style w:type="character" w:customStyle="1" w:styleId="Heading4Char">
    <w:name w:val="Heading 4 Char"/>
    <w:aliases w:val="77_Tablas Char"/>
    <w:basedOn w:val="DefaultParagraphFont"/>
    <w:link w:val="Heading4"/>
    <w:uiPriority w:val="99"/>
    <w:rsid w:val="001B672C"/>
    <w:rPr>
      <w:rFonts w:ascii="Arial" w:eastAsia="Calibri" w:hAnsi="Arial" w:cs="Arial"/>
      <w:lang w:val="es-ES" w:eastAsia="en-US"/>
    </w:rPr>
  </w:style>
  <w:style w:type="paragraph" w:customStyle="1" w:styleId="MDPI62Acknowledgments">
    <w:name w:val="MDPI_6.2_Acknowledgments"/>
    <w:qFormat/>
    <w:rsid w:val="00B54E50"/>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1Supplementary">
    <w:name w:val="MDPI_6.1_Supplementary"/>
    <w:basedOn w:val="MDPI62Acknowledgments"/>
    <w:qFormat/>
    <w:rsid w:val="00B54E50"/>
    <w:pPr>
      <w:spacing w:before="240"/>
    </w:pPr>
    <w:rPr>
      <w:lang w:eastAsia="en-US"/>
    </w:rPr>
  </w:style>
  <w:style w:type="paragraph" w:customStyle="1" w:styleId="MDPI63AuthorContributions">
    <w:name w:val="MDPI_6.3_AuthorContributions"/>
    <w:basedOn w:val="MDPI62Acknowledgments"/>
    <w:qFormat/>
    <w:rsid w:val="00B54E50"/>
    <w:rPr>
      <w:rFonts w:eastAsia="SimSun"/>
      <w:color w:val="auto"/>
      <w:lang w:eastAsia="en-US"/>
    </w:rPr>
  </w:style>
  <w:style w:type="paragraph" w:customStyle="1" w:styleId="MDPI64CoI">
    <w:name w:val="MDPI_6.4_CoI"/>
    <w:basedOn w:val="MDPI62Acknowledgments"/>
    <w:qFormat/>
    <w:rsid w:val="00B54E50"/>
  </w:style>
  <w:style w:type="character" w:customStyle="1" w:styleId="UnresolvedMention10">
    <w:name w:val="Unresolved Mention1"/>
    <w:uiPriority w:val="99"/>
    <w:semiHidden/>
    <w:unhideWhenUsed/>
    <w:rsid w:val="001B672C"/>
    <w:rPr>
      <w:color w:val="605E5C"/>
      <w:shd w:val="clear" w:color="auto" w:fill="E1DFDD"/>
    </w:rPr>
  </w:style>
  <w:style w:type="table" w:customStyle="1" w:styleId="Tablanormal41">
    <w:name w:val="Tabla normal 41"/>
    <w:basedOn w:val="TableNormal"/>
    <w:uiPriority w:val="44"/>
    <w:rsid w:val="001B672C"/>
    <w:rPr>
      <w:lang w:val="es-ES" w:eastAsia="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1B672C"/>
    <w:rPr>
      <w:rFonts w:ascii="Arial" w:eastAsia="Calibri" w:hAnsi="Arial" w:cs="Arial"/>
      <w:lang w:val="es-ES" w:eastAsia="en-US"/>
    </w:rPr>
  </w:style>
  <w:style w:type="paragraph" w:customStyle="1" w:styleId="MDPI74PublishersNote">
    <w:name w:val="MDPI_7.4_Publisher'sNote"/>
    <w:qFormat/>
    <w:rsid w:val="00B54E50"/>
    <w:pPr>
      <w:adjustRightInd w:val="0"/>
      <w:snapToGrid w:val="0"/>
      <w:spacing w:before="240" w:after="240" w:line="200" w:lineRule="atLeast"/>
    </w:pPr>
    <w:rPr>
      <w:rFonts w:ascii="Palatino Linotype" w:hAnsi="Palatino Linotype"/>
      <w:sz w:val="18"/>
      <w:szCs w:val="22"/>
    </w:rPr>
  </w:style>
  <w:style w:type="character" w:styleId="Strong">
    <w:name w:val="Strong"/>
    <w:basedOn w:val="DefaultParagraphFont"/>
    <w:uiPriority w:val="22"/>
    <w:qFormat/>
    <w:rsid w:val="00C251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jcm-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jcm-template.dot</Template>
  <TotalTime>59</TotalTime>
  <Pages>23</Pages>
  <Words>12884</Words>
  <Characters>69320</Characters>
  <Application>Microsoft Office Word</Application>
  <DocSecurity>0</DocSecurity>
  <Lines>2492</Lines>
  <Paragraphs>1727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Type of the Paper (Article</vt:lpstr>
      <vt:lpstr>Type of the Paper (Article</vt:lpstr>
    </vt:vector>
  </TitlesOfParts>
  <Company/>
  <LinksUpToDate>false</LinksUpToDate>
  <CharactersWithSpaces>80296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MDPI-12</cp:lastModifiedBy>
  <cp:revision>35</cp:revision>
  <cp:lastPrinted>2021-05-25T13:27:00Z</cp:lastPrinted>
  <dcterms:created xsi:type="dcterms:W3CDTF">2021-05-25T09:29:00Z</dcterms:created>
  <dcterms:modified xsi:type="dcterms:W3CDTF">2021-05-26T10:08:00Z</dcterms:modified>
</cp:coreProperties>
</file>