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3992" w:type="dxa"/>
        <w:tblLook w:val="04A0" w:firstRow="1" w:lastRow="0" w:firstColumn="1" w:lastColumn="0" w:noHBand="0" w:noVBand="1"/>
      </w:tblPr>
      <w:tblGrid>
        <w:gridCol w:w="1172"/>
        <w:gridCol w:w="940"/>
        <w:gridCol w:w="940"/>
        <w:gridCol w:w="940"/>
      </w:tblGrid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0A1323" w:rsidRDefault="00C405D2" w:rsidP="00BF781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antibiotic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0A1323" w:rsidRDefault="00C405D2" w:rsidP="00BF781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factor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0A1323" w:rsidRDefault="00C405D2" w:rsidP="00BF781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var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0A1323" w:rsidRDefault="00C405D2" w:rsidP="00BF781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A13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percent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11%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13%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Amikacin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0.086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75%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65%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Ampicillin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35%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Cefepime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100%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0.114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35%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0.033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10%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Cefotaxime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55%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14%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7%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Ceftazidime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0.168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80%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42%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Ceftriaxone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58%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76%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Cefuroxime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24%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31%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Ciprofloxacin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69%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36%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40%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Clindamycin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24%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3%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38%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Co-amoxiclav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59%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1%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25%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Gentamicin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0.068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74%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0.101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22%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Meropenem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7%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lastRenderedPageBreak/>
              <w:t>Meropenem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71%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0.069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52%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Metronidazole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48%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5%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0.055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22%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Pip-</w:t>
            </w: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taz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73%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Teicoplanin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100%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hospital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4%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country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0.047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12%</w:t>
            </w:r>
          </w:p>
        </w:tc>
      </w:tr>
      <w:tr w:rsidR="00C405D2" w:rsidRPr="000A1323" w:rsidTr="00BF7818">
        <w:trPr>
          <w:trHeight w:val="2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Vancomycin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Residual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5D2" w:rsidRPr="00BF7818" w:rsidRDefault="00C405D2" w:rsidP="00BF7818">
            <w:pP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BF7818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  <w:t>85%</w:t>
            </w:r>
          </w:p>
        </w:tc>
      </w:tr>
    </w:tbl>
    <w:p w:rsidR="00F75FE3" w:rsidRDefault="00C405D2">
      <w:bookmarkStart w:id="0" w:name="_GoBack"/>
      <w:bookmarkEnd w:id="0"/>
    </w:p>
    <w:sectPr w:rsidR="00F7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2"/>
    <w:rsid w:val="0076263D"/>
    <w:rsid w:val="0092476D"/>
    <w:rsid w:val="00C4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DD993-6FBF-47D0-9488-7BDBA037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Clements</dc:creator>
  <cp:keywords/>
  <dc:description/>
  <cp:lastModifiedBy>Michelle Clements</cp:lastModifiedBy>
  <cp:revision>1</cp:revision>
  <dcterms:created xsi:type="dcterms:W3CDTF">2021-04-21T12:54:00Z</dcterms:created>
  <dcterms:modified xsi:type="dcterms:W3CDTF">2021-04-21T12:54:00Z</dcterms:modified>
</cp:coreProperties>
</file>