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1A19E39" w14:textId="4CE13D72" w:rsidR="00770F83" w:rsidRDefault="00770F83" w:rsidP="00A32082">
      <w:pPr>
        <w:spacing w:line="480" w:lineRule="auto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Figure 1</w:t>
      </w:r>
      <w:r w:rsidR="003E22CF">
        <w:rPr>
          <w:b/>
          <w:bCs/>
          <w:sz w:val="22"/>
          <w:szCs w:val="22"/>
        </w:rPr>
        <w:t xml:space="preserve"> </w:t>
      </w:r>
    </w:p>
    <w:p w14:paraId="3EDCAE5A" w14:textId="33197BC0" w:rsidR="00095762" w:rsidRDefault="00095762" w:rsidP="00A32082">
      <w:pPr>
        <w:spacing w:line="480" w:lineRule="auto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A</w:t>
      </w:r>
    </w:p>
    <w:p w14:paraId="1571340B" w14:textId="73AD5268" w:rsidR="00770F83" w:rsidRDefault="00D37D59" w:rsidP="00A32082">
      <w:pPr>
        <w:spacing w:line="480" w:lineRule="auto"/>
        <w:rPr>
          <w:b/>
          <w:bCs/>
          <w:sz w:val="22"/>
          <w:szCs w:val="22"/>
        </w:rPr>
      </w:pPr>
      <w:r w:rsidRPr="00D37D59">
        <w:rPr>
          <w:b/>
          <w:bCs/>
          <w:noProof/>
          <w:sz w:val="22"/>
          <w:szCs w:val="22"/>
        </w:rPr>
        <w:drawing>
          <wp:inline distT="0" distB="0" distL="0" distR="0" wp14:anchorId="03B2F01D" wp14:editId="4D4329CB">
            <wp:extent cx="3598817" cy="2175843"/>
            <wp:effectExtent l="0" t="0" r="0" b="0"/>
            <wp:docPr id="1" name="Picture 1" descr="Chart,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Chart, bar chart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23558" cy="2190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3F61EE" w14:textId="0B25BB25" w:rsidR="00095762" w:rsidRDefault="00206BD1" w:rsidP="00A32082">
      <w:pPr>
        <w:spacing w:line="480" w:lineRule="auto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B</w:t>
      </w:r>
    </w:p>
    <w:p w14:paraId="41892A52" w14:textId="247FF19B" w:rsidR="00206BD1" w:rsidRDefault="00206BD1" w:rsidP="00A32082">
      <w:pPr>
        <w:spacing w:line="480" w:lineRule="auto"/>
        <w:rPr>
          <w:b/>
          <w:bCs/>
          <w:sz w:val="22"/>
          <w:szCs w:val="22"/>
        </w:rPr>
      </w:pPr>
      <w:r w:rsidRPr="00206BD1">
        <w:rPr>
          <w:b/>
          <w:bCs/>
          <w:noProof/>
          <w:sz w:val="22"/>
          <w:szCs w:val="22"/>
        </w:rPr>
        <w:drawing>
          <wp:inline distT="0" distB="0" distL="0" distR="0" wp14:anchorId="5B6480ED" wp14:editId="1355ECF7">
            <wp:extent cx="3598817" cy="1971640"/>
            <wp:effectExtent l="0" t="0" r="0" b="0"/>
            <wp:docPr id="2" name="Picture 2" descr="Chart,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hart, bar chart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721611" cy="2038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77857" w14:textId="77777777" w:rsidR="00206BD1" w:rsidRDefault="00206BD1" w:rsidP="00A32082">
      <w:pPr>
        <w:spacing w:line="480" w:lineRule="auto"/>
        <w:rPr>
          <w:b/>
          <w:bCs/>
          <w:sz w:val="22"/>
          <w:szCs w:val="22"/>
        </w:rPr>
      </w:pPr>
    </w:p>
    <w:p w14:paraId="117D39D7" w14:textId="77777777" w:rsidR="00562A12" w:rsidRDefault="00562A12">
      <w:pPr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br w:type="page"/>
      </w:r>
    </w:p>
    <w:p w14:paraId="188AD94C" w14:textId="0C2099B1" w:rsidR="000E4D6A" w:rsidRPr="00845A98" w:rsidRDefault="000E4D6A" w:rsidP="00A32082">
      <w:pPr>
        <w:spacing w:line="480" w:lineRule="auto"/>
        <w:rPr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Figure 2</w:t>
      </w:r>
      <w:r w:rsidR="00184BAE">
        <w:rPr>
          <w:b/>
          <w:bCs/>
          <w:sz w:val="22"/>
          <w:szCs w:val="22"/>
        </w:rPr>
        <w:t xml:space="preserve"> </w:t>
      </w:r>
    </w:p>
    <w:p w14:paraId="3C4A2387" w14:textId="77777777" w:rsidR="00174AD4" w:rsidRDefault="00174AD4" w:rsidP="00A32082">
      <w:pPr>
        <w:spacing w:line="480" w:lineRule="auto"/>
        <w:rPr>
          <w:b/>
          <w:bCs/>
          <w:sz w:val="22"/>
          <w:szCs w:val="22"/>
        </w:rPr>
      </w:pPr>
    </w:p>
    <w:p w14:paraId="201837E5" w14:textId="54FE5686" w:rsidR="000E4D6A" w:rsidRDefault="000E4D6A" w:rsidP="00A32082">
      <w:pPr>
        <w:spacing w:line="480" w:lineRule="auto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A</w:t>
      </w:r>
    </w:p>
    <w:p w14:paraId="465247F4" w14:textId="5CDD1E5F" w:rsidR="000E4D6A" w:rsidRDefault="00307CDB" w:rsidP="00A32082">
      <w:pPr>
        <w:spacing w:line="480" w:lineRule="auto"/>
        <w:rPr>
          <w:b/>
          <w:bCs/>
          <w:sz w:val="22"/>
          <w:szCs w:val="22"/>
        </w:rPr>
      </w:pPr>
      <w:r w:rsidRPr="00307CDB">
        <w:rPr>
          <w:b/>
          <w:bCs/>
          <w:noProof/>
          <w:sz w:val="22"/>
          <w:szCs w:val="22"/>
        </w:rPr>
        <w:drawing>
          <wp:inline distT="0" distB="0" distL="0" distR="0" wp14:anchorId="3A588EAF" wp14:editId="5011FB28">
            <wp:extent cx="3598817" cy="1966999"/>
            <wp:effectExtent l="0" t="0" r="0" b="1905"/>
            <wp:docPr id="3" name="Picture 3" descr="Chart,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Chart, bar chart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27057" cy="1982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E3117B" w14:textId="5011C6B4" w:rsidR="002D49F3" w:rsidRDefault="002D49F3" w:rsidP="00A32082">
      <w:pPr>
        <w:spacing w:line="480" w:lineRule="auto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B</w:t>
      </w:r>
    </w:p>
    <w:p w14:paraId="5500D28A" w14:textId="4DB1DE2E" w:rsidR="002D49F3" w:rsidRDefault="00DD6F26" w:rsidP="00A32082">
      <w:pPr>
        <w:spacing w:line="480" w:lineRule="auto"/>
        <w:rPr>
          <w:b/>
          <w:bCs/>
          <w:sz w:val="22"/>
          <w:szCs w:val="22"/>
        </w:rPr>
      </w:pPr>
      <w:r w:rsidRPr="00DD6F26">
        <w:rPr>
          <w:b/>
          <w:bCs/>
          <w:noProof/>
          <w:sz w:val="22"/>
          <w:szCs w:val="22"/>
        </w:rPr>
        <w:drawing>
          <wp:inline distT="0" distB="0" distL="0" distR="0" wp14:anchorId="3BA56959" wp14:editId="26CD5B38">
            <wp:extent cx="3598817" cy="1975765"/>
            <wp:effectExtent l="0" t="0" r="0" b="5715"/>
            <wp:docPr id="4" name="Picture 4" descr="Chart,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Chart, bar chart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84375" cy="2022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7BFF7" w14:textId="77777777" w:rsidR="00DD6F26" w:rsidRDefault="00DD6F26" w:rsidP="00A32082">
      <w:pPr>
        <w:spacing w:line="480" w:lineRule="auto"/>
        <w:rPr>
          <w:b/>
          <w:bCs/>
          <w:sz w:val="22"/>
          <w:szCs w:val="22"/>
        </w:rPr>
      </w:pPr>
    </w:p>
    <w:p w14:paraId="08DD94ED" w14:textId="77777777" w:rsidR="00562A12" w:rsidRDefault="00562A12">
      <w:pPr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br w:type="page"/>
      </w:r>
    </w:p>
    <w:p w14:paraId="6476A656" w14:textId="37A6F3DB" w:rsidR="005F5011" w:rsidRDefault="005F5011" w:rsidP="00A32082">
      <w:pPr>
        <w:spacing w:line="480" w:lineRule="auto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 xml:space="preserve">Figure </w:t>
      </w:r>
      <w:r w:rsidR="00D416D9">
        <w:rPr>
          <w:b/>
          <w:bCs/>
          <w:sz w:val="22"/>
          <w:szCs w:val="22"/>
        </w:rPr>
        <w:t xml:space="preserve">3 </w:t>
      </w:r>
    </w:p>
    <w:p w14:paraId="7159BE3F" w14:textId="1AE472E5" w:rsidR="005F5011" w:rsidRDefault="005F5011" w:rsidP="00A32082">
      <w:pPr>
        <w:spacing w:line="480" w:lineRule="auto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A</w:t>
      </w:r>
    </w:p>
    <w:p w14:paraId="594076AD" w14:textId="49188658" w:rsidR="005F5011" w:rsidRDefault="005F5011" w:rsidP="00A32082">
      <w:pPr>
        <w:spacing w:line="480" w:lineRule="auto"/>
        <w:rPr>
          <w:b/>
          <w:bCs/>
          <w:sz w:val="22"/>
          <w:szCs w:val="22"/>
        </w:rPr>
      </w:pPr>
      <w:r w:rsidRPr="005F5011">
        <w:rPr>
          <w:b/>
          <w:bCs/>
          <w:noProof/>
          <w:sz w:val="22"/>
          <w:szCs w:val="22"/>
        </w:rPr>
        <w:drawing>
          <wp:inline distT="0" distB="0" distL="0" distR="0" wp14:anchorId="6A0C1CCF" wp14:editId="5DB88B19">
            <wp:extent cx="3598817" cy="2386169"/>
            <wp:effectExtent l="0" t="0" r="0" b="1905"/>
            <wp:docPr id="5" name="Picture 5" descr="Chart,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Chart, bar chart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674245" cy="2436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E6BEED" w14:textId="5994F7C1" w:rsidR="005F5011" w:rsidRDefault="005F5011" w:rsidP="00A32082">
      <w:pPr>
        <w:spacing w:line="480" w:lineRule="auto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B</w:t>
      </w:r>
    </w:p>
    <w:p w14:paraId="42F19123" w14:textId="561BC5C2" w:rsidR="005F5011" w:rsidRDefault="006142A8" w:rsidP="00A32082">
      <w:pPr>
        <w:spacing w:line="480" w:lineRule="auto"/>
        <w:rPr>
          <w:b/>
          <w:bCs/>
          <w:sz w:val="22"/>
          <w:szCs w:val="22"/>
        </w:rPr>
      </w:pPr>
      <w:r w:rsidRPr="006142A8">
        <w:rPr>
          <w:b/>
          <w:bCs/>
          <w:noProof/>
          <w:sz w:val="22"/>
          <w:szCs w:val="22"/>
        </w:rPr>
        <w:drawing>
          <wp:inline distT="0" distB="0" distL="0" distR="0" wp14:anchorId="027E93E0" wp14:editId="42AAF6D3">
            <wp:extent cx="3598817" cy="1975765"/>
            <wp:effectExtent l="0" t="0" r="0" b="5715"/>
            <wp:docPr id="6" name="Picture 6" descr="Chart,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Chart, bar chart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64381" cy="201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3FF8F" w14:textId="77777777" w:rsidR="00562A12" w:rsidRDefault="00562A12">
      <w:pPr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br w:type="page"/>
      </w:r>
    </w:p>
    <w:p w14:paraId="2E6EEBC2" w14:textId="1AE5F566" w:rsidR="006142A8" w:rsidRDefault="006142A8" w:rsidP="00A32082">
      <w:pPr>
        <w:spacing w:line="480" w:lineRule="auto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Figure 4</w:t>
      </w:r>
      <w:r w:rsidR="007F4C1A" w:rsidRPr="007F4C1A">
        <w:rPr>
          <w:b/>
          <w:bCs/>
          <w:sz w:val="22"/>
          <w:szCs w:val="22"/>
        </w:rPr>
        <w:t xml:space="preserve"> </w:t>
      </w:r>
    </w:p>
    <w:p w14:paraId="005F260D" w14:textId="7F51FFC2" w:rsidR="006142A8" w:rsidRDefault="006142A8" w:rsidP="00A32082">
      <w:pPr>
        <w:spacing w:line="480" w:lineRule="auto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A</w:t>
      </w:r>
    </w:p>
    <w:p w14:paraId="07CDB502" w14:textId="2C726A80" w:rsidR="006142A8" w:rsidRDefault="000F5BE4" w:rsidP="00A32082">
      <w:pPr>
        <w:spacing w:line="480" w:lineRule="auto"/>
        <w:rPr>
          <w:b/>
          <w:bCs/>
          <w:sz w:val="22"/>
          <w:szCs w:val="22"/>
        </w:rPr>
      </w:pPr>
      <w:r w:rsidRPr="000F5BE4">
        <w:rPr>
          <w:b/>
          <w:bCs/>
          <w:noProof/>
          <w:sz w:val="22"/>
          <w:szCs w:val="22"/>
        </w:rPr>
        <w:drawing>
          <wp:inline distT="0" distB="0" distL="0" distR="0" wp14:anchorId="0EB1AC3A" wp14:editId="0FEA5959">
            <wp:extent cx="3604749" cy="1979022"/>
            <wp:effectExtent l="0" t="0" r="2540" b="2540"/>
            <wp:docPr id="7" name="Picture 7" descr="Chart,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Chart, bar chart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57000" cy="2007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C68B2" w14:textId="6998AD46" w:rsidR="000F5BE4" w:rsidRDefault="000F5BE4" w:rsidP="00A32082">
      <w:pPr>
        <w:spacing w:line="480" w:lineRule="auto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B</w:t>
      </w:r>
    </w:p>
    <w:p w14:paraId="213C3C42" w14:textId="4C09BD3B" w:rsidR="000F5BE4" w:rsidRDefault="00381EC6" w:rsidP="00A32082">
      <w:pPr>
        <w:spacing w:line="480" w:lineRule="auto"/>
        <w:rPr>
          <w:b/>
          <w:bCs/>
          <w:sz w:val="22"/>
          <w:szCs w:val="22"/>
        </w:rPr>
      </w:pPr>
      <w:r w:rsidRPr="00381EC6">
        <w:rPr>
          <w:b/>
          <w:bCs/>
          <w:noProof/>
          <w:sz w:val="22"/>
          <w:szCs w:val="22"/>
        </w:rPr>
        <w:drawing>
          <wp:inline distT="0" distB="0" distL="0" distR="0" wp14:anchorId="14708F0B" wp14:editId="7D193B6D">
            <wp:extent cx="3605349" cy="1979352"/>
            <wp:effectExtent l="0" t="0" r="1905" b="1905"/>
            <wp:docPr id="8" name="Picture 8" descr="Chart,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Chart, bar chart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627017" cy="1991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AD6B5C" w14:textId="13FC639E" w:rsidR="00381EC6" w:rsidRDefault="00381EC6" w:rsidP="00A32082">
      <w:pPr>
        <w:spacing w:line="480" w:lineRule="auto"/>
        <w:rPr>
          <w:b/>
          <w:bCs/>
          <w:sz w:val="22"/>
          <w:szCs w:val="22"/>
        </w:rPr>
      </w:pPr>
    </w:p>
    <w:p w14:paraId="696C098D" w14:textId="4FC3A0F0" w:rsidR="00E04FA7" w:rsidRDefault="00E04FA7" w:rsidP="00A32082">
      <w:pPr>
        <w:spacing w:line="480" w:lineRule="auto"/>
        <w:rPr>
          <w:b/>
          <w:bCs/>
          <w:sz w:val="22"/>
          <w:szCs w:val="22"/>
        </w:rPr>
      </w:pPr>
    </w:p>
    <w:p w14:paraId="5CF98B6F" w14:textId="77777777" w:rsidR="002B63A7" w:rsidRDefault="002B63A7" w:rsidP="00A32082">
      <w:pPr>
        <w:spacing w:line="480" w:lineRule="auto"/>
        <w:rPr>
          <w:b/>
          <w:bCs/>
          <w:sz w:val="22"/>
          <w:szCs w:val="22"/>
        </w:rPr>
      </w:pPr>
    </w:p>
    <w:p w14:paraId="557BEA86" w14:textId="77777777" w:rsidR="00DC23AE" w:rsidRDefault="00DC23AE" w:rsidP="00A32082">
      <w:pPr>
        <w:spacing w:line="480" w:lineRule="auto"/>
        <w:rPr>
          <w:b/>
          <w:bCs/>
          <w:sz w:val="22"/>
          <w:szCs w:val="22"/>
        </w:rPr>
      </w:pPr>
    </w:p>
    <w:p w14:paraId="15A37B6A" w14:textId="77777777" w:rsidR="00750957" w:rsidRDefault="00750957" w:rsidP="00A32082">
      <w:pPr>
        <w:spacing w:line="480" w:lineRule="auto"/>
        <w:rPr>
          <w:b/>
          <w:bCs/>
          <w:sz w:val="22"/>
          <w:szCs w:val="22"/>
        </w:rPr>
        <w:sectPr w:rsidR="00750957" w:rsidSect="0059223C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19428657" w14:textId="35B4475B" w:rsidR="00124096" w:rsidRPr="00124096" w:rsidRDefault="00A44CED" w:rsidP="00124096">
      <w:pPr>
        <w:spacing w:line="480" w:lineRule="auto"/>
        <w:rPr>
          <w:b/>
          <w:bCs/>
          <w:sz w:val="22"/>
          <w:szCs w:val="22"/>
        </w:rPr>
      </w:pPr>
      <w:r w:rsidRPr="00505535">
        <w:rPr>
          <w:b/>
          <w:bCs/>
          <w:sz w:val="22"/>
          <w:szCs w:val="22"/>
        </w:rPr>
        <w:lastRenderedPageBreak/>
        <w:t>Table 1</w:t>
      </w:r>
      <w:r w:rsidR="00124096" w:rsidRPr="00124096">
        <w:rPr>
          <w:b/>
          <w:bCs/>
          <w:sz w:val="22"/>
          <w:szCs w:val="22"/>
        </w:rPr>
        <w:t xml:space="preserve"> Summary of main trials in ACS comparing shorter duration DAPT (1–3 months) with longer term DAPT.</w:t>
      </w:r>
    </w:p>
    <w:p w14:paraId="1A3C1055" w14:textId="77777777" w:rsidR="007473CF" w:rsidRDefault="007473CF" w:rsidP="007473CF"/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1786"/>
        <w:gridCol w:w="2179"/>
        <w:gridCol w:w="2268"/>
        <w:gridCol w:w="2410"/>
        <w:gridCol w:w="2552"/>
        <w:gridCol w:w="2753"/>
      </w:tblGrid>
      <w:tr w:rsidR="000D53F2" w:rsidRPr="00DA4E9C" w14:paraId="5F39733B" w14:textId="7C6EFA89" w:rsidTr="00373EEE">
        <w:trPr>
          <w:trHeight w:val="583"/>
        </w:trPr>
        <w:tc>
          <w:tcPr>
            <w:tcW w:w="640" w:type="pct"/>
          </w:tcPr>
          <w:p w14:paraId="64923EDB" w14:textId="77777777" w:rsidR="000D53F2" w:rsidRDefault="000D53F2" w:rsidP="00373EEE">
            <w:pPr>
              <w:spacing w:line="480" w:lineRule="auto"/>
              <w:rPr>
                <w:sz w:val="22"/>
                <w:szCs w:val="22"/>
              </w:rPr>
            </w:pPr>
          </w:p>
          <w:p w14:paraId="4307B527" w14:textId="716C58A9" w:rsidR="00124096" w:rsidRPr="00DA4E9C" w:rsidRDefault="00124096" w:rsidP="00373EEE">
            <w:pPr>
              <w:spacing w:line="480" w:lineRule="auto"/>
              <w:rPr>
                <w:sz w:val="22"/>
                <w:szCs w:val="22"/>
              </w:rPr>
            </w:pPr>
          </w:p>
        </w:tc>
        <w:tc>
          <w:tcPr>
            <w:tcW w:w="781" w:type="pct"/>
          </w:tcPr>
          <w:p w14:paraId="19BD7435" w14:textId="279A1329" w:rsidR="000D53F2" w:rsidRPr="006A3745" w:rsidRDefault="000D53F2" w:rsidP="00373EEE">
            <w:pPr>
              <w:spacing w:line="480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TWILIGHT</w:t>
            </w:r>
          </w:p>
        </w:tc>
        <w:tc>
          <w:tcPr>
            <w:tcW w:w="813" w:type="pct"/>
          </w:tcPr>
          <w:p w14:paraId="141FE355" w14:textId="3657FCA5" w:rsidR="000D53F2" w:rsidRPr="006A3745" w:rsidRDefault="000D53F2" w:rsidP="00373EEE">
            <w:pPr>
              <w:spacing w:line="480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TICO</w:t>
            </w:r>
          </w:p>
        </w:tc>
        <w:tc>
          <w:tcPr>
            <w:tcW w:w="864" w:type="pct"/>
          </w:tcPr>
          <w:p w14:paraId="2660F1B2" w14:textId="46621346" w:rsidR="000D53F2" w:rsidRPr="006A3745" w:rsidRDefault="000D53F2" w:rsidP="00373EEE">
            <w:pPr>
              <w:spacing w:line="480" w:lineRule="auto"/>
              <w:jc w:val="center"/>
              <w:rPr>
                <w:b/>
                <w:bCs/>
                <w:sz w:val="22"/>
                <w:szCs w:val="22"/>
              </w:rPr>
            </w:pPr>
            <w:r w:rsidRPr="006A3745">
              <w:rPr>
                <w:b/>
                <w:bCs/>
                <w:sz w:val="22"/>
                <w:szCs w:val="22"/>
              </w:rPr>
              <w:t>G</w:t>
            </w:r>
            <w:r>
              <w:rPr>
                <w:b/>
                <w:bCs/>
                <w:sz w:val="22"/>
                <w:szCs w:val="22"/>
              </w:rPr>
              <w:t>LOBAL LEADERS</w:t>
            </w:r>
          </w:p>
        </w:tc>
        <w:tc>
          <w:tcPr>
            <w:tcW w:w="915" w:type="pct"/>
          </w:tcPr>
          <w:p w14:paraId="70250DE1" w14:textId="6AA39BB0" w:rsidR="000D53F2" w:rsidRPr="006A3745" w:rsidRDefault="000D53F2" w:rsidP="00373EEE">
            <w:pPr>
              <w:spacing w:line="480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STOPDAPT-2</w:t>
            </w:r>
          </w:p>
        </w:tc>
        <w:tc>
          <w:tcPr>
            <w:tcW w:w="987" w:type="pct"/>
          </w:tcPr>
          <w:p w14:paraId="5892773C" w14:textId="3E077CE3" w:rsidR="000D53F2" w:rsidRPr="006A3745" w:rsidRDefault="000D53F2" w:rsidP="00373EEE">
            <w:pPr>
              <w:spacing w:line="480" w:lineRule="auto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SMART</w:t>
            </w:r>
            <w:r w:rsidR="0070303F">
              <w:rPr>
                <w:b/>
                <w:bCs/>
                <w:sz w:val="22"/>
                <w:szCs w:val="22"/>
              </w:rPr>
              <w:t>-</w:t>
            </w:r>
            <w:r>
              <w:rPr>
                <w:b/>
                <w:bCs/>
                <w:sz w:val="22"/>
                <w:szCs w:val="22"/>
              </w:rPr>
              <w:t>CHOICE</w:t>
            </w:r>
          </w:p>
        </w:tc>
      </w:tr>
      <w:tr w:rsidR="000D53F2" w:rsidRPr="00DA4E9C" w14:paraId="287642A7" w14:textId="6E8A5D51" w:rsidTr="000D53F2">
        <w:tc>
          <w:tcPr>
            <w:tcW w:w="640" w:type="pct"/>
          </w:tcPr>
          <w:p w14:paraId="215FBD8C" w14:textId="0A84F920" w:rsidR="000D53F2" w:rsidRPr="002855E4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>P2</w:t>
            </w:r>
            <w:r>
              <w:rPr>
                <w:sz w:val="20"/>
                <w:szCs w:val="20"/>
              </w:rPr>
              <w:t>Y</w:t>
            </w:r>
            <w:r w:rsidRPr="001D03C0">
              <w:rPr>
                <w:sz w:val="20"/>
                <w:szCs w:val="20"/>
                <w:vertAlign w:val="subscript"/>
              </w:rPr>
              <w:t>12</w:t>
            </w:r>
            <w:r w:rsidR="002855E4">
              <w:rPr>
                <w:sz w:val="20"/>
                <w:szCs w:val="20"/>
                <w:vertAlign w:val="subscript"/>
              </w:rPr>
              <w:t xml:space="preserve"> </w:t>
            </w:r>
            <w:r w:rsidR="002855E4">
              <w:rPr>
                <w:sz w:val="20"/>
                <w:szCs w:val="20"/>
              </w:rPr>
              <w:t>inhibitor</w:t>
            </w:r>
          </w:p>
        </w:tc>
        <w:tc>
          <w:tcPr>
            <w:tcW w:w="781" w:type="pct"/>
          </w:tcPr>
          <w:p w14:paraId="70F7730E" w14:textId="0A746E3E" w:rsidR="000D53F2" w:rsidRPr="00316DA0" w:rsidRDefault="000D53F2" w:rsidP="00373EEE">
            <w:pPr>
              <w:spacing w:line="480" w:lineRule="auto"/>
              <w:jc w:val="center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>T</w:t>
            </w:r>
          </w:p>
        </w:tc>
        <w:tc>
          <w:tcPr>
            <w:tcW w:w="813" w:type="pct"/>
          </w:tcPr>
          <w:p w14:paraId="6005E010" w14:textId="746C7E01" w:rsidR="000D53F2" w:rsidRPr="00316DA0" w:rsidRDefault="000D53F2" w:rsidP="00373EEE">
            <w:pPr>
              <w:spacing w:line="480" w:lineRule="auto"/>
              <w:jc w:val="center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>T</w:t>
            </w:r>
          </w:p>
        </w:tc>
        <w:tc>
          <w:tcPr>
            <w:tcW w:w="864" w:type="pct"/>
          </w:tcPr>
          <w:p w14:paraId="5C71A8F1" w14:textId="62E854B4" w:rsidR="000D53F2" w:rsidRPr="00316DA0" w:rsidRDefault="000D53F2" w:rsidP="00373EEE">
            <w:pPr>
              <w:spacing w:line="480" w:lineRule="auto"/>
              <w:jc w:val="center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>T</w:t>
            </w:r>
          </w:p>
        </w:tc>
        <w:tc>
          <w:tcPr>
            <w:tcW w:w="915" w:type="pct"/>
          </w:tcPr>
          <w:p w14:paraId="0F6B0B4F" w14:textId="6C6504B9" w:rsidR="000D53F2" w:rsidRPr="00316DA0" w:rsidRDefault="000D53F2" w:rsidP="00373EEE">
            <w:pPr>
              <w:spacing w:line="480" w:lineRule="auto"/>
              <w:jc w:val="center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>C</w:t>
            </w:r>
          </w:p>
        </w:tc>
        <w:tc>
          <w:tcPr>
            <w:tcW w:w="987" w:type="pct"/>
          </w:tcPr>
          <w:p w14:paraId="189D7C71" w14:textId="07CC09FE" w:rsidR="000D53F2" w:rsidRPr="00316DA0" w:rsidRDefault="000D53F2" w:rsidP="00373EEE">
            <w:pPr>
              <w:spacing w:line="480" w:lineRule="auto"/>
              <w:jc w:val="center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>All (C, P</w:t>
            </w:r>
            <w:r>
              <w:rPr>
                <w:sz w:val="20"/>
                <w:szCs w:val="20"/>
              </w:rPr>
              <w:t>, T</w:t>
            </w:r>
            <w:r w:rsidRPr="00316DA0">
              <w:rPr>
                <w:sz w:val="20"/>
                <w:szCs w:val="20"/>
              </w:rPr>
              <w:t>)</w:t>
            </w:r>
          </w:p>
        </w:tc>
      </w:tr>
      <w:tr w:rsidR="000D53F2" w:rsidRPr="00DA4E9C" w14:paraId="604D5133" w14:textId="161AC588" w:rsidTr="00124096">
        <w:trPr>
          <w:trHeight w:val="567"/>
        </w:trPr>
        <w:tc>
          <w:tcPr>
            <w:tcW w:w="640" w:type="pct"/>
          </w:tcPr>
          <w:p w14:paraId="523E4ED6" w14:textId="11398D9A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>Trial design</w:t>
            </w:r>
          </w:p>
        </w:tc>
        <w:tc>
          <w:tcPr>
            <w:tcW w:w="781" w:type="pct"/>
          </w:tcPr>
          <w:p w14:paraId="08A0C289" w14:textId="7118C052" w:rsidR="00EF1936" w:rsidRPr="00023D16" w:rsidRDefault="00023D16" w:rsidP="00373EEE">
            <w:pPr>
              <w:spacing w:line="480" w:lineRule="auto"/>
              <w:rPr>
                <w:b/>
                <w:bCs/>
                <w:sz w:val="20"/>
                <w:szCs w:val="20"/>
              </w:rPr>
            </w:pPr>
            <w:r w:rsidRPr="00023D16">
              <w:rPr>
                <w:b/>
                <w:bCs/>
                <w:sz w:val="20"/>
                <w:szCs w:val="20"/>
              </w:rPr>
              <w:t>n=</w:t>
            </w:r>
            <w:r w:rsidR="007C4663">
              <w:rPr>
                <w:b/>
                <w:bCs/>
                <w:sz w:val="20"/>
                <w:szCs w:val="20"/>
              </w:rPr>
              <w:t>7119</w:t>
            </w:r>
          </w:p>
          <w:p w14:paraId="3B6350B8" w14:textId="5B989BE0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12 months: </w:t>
            </w:r>
            <w:r w:rsidRPr="00316DA0">
              <w:rPr>
                <w:sz w:val="20"/>
                <w:szCs w:val="20"/>
              </w:rPr>
              <w:t>Open label, randomised: Mono (T) vs DAPT</w:t>
            </w:r>
          </w:p>
        </w:tc>
        <w:tc>
          <w:tcPr>
            <w:tcW w:w="813" w:type="pct"/>
          </w:tcPr>
          <w:p w14:paraId="0B6438C4" w14:textId="38EB7DF9" w:rsidR="00374095" w:rsidRPr="00023D16" w:rsidRDefault="00023D16" w:rsidP="00373EEE">
            <w:pPr>
              <w:spacing w:line="480" w:lineRule="auto"/>
              <w:rPr>
                <w:b/>
                <w:bCs/>
                <w:sz w:val="20"/>
                <w:szCs w:val="20"/>
              </w:rPr>
            </w:pPr>
            <w:r w:rsidRPr="00023D16">
              <w:rPr>
                <w:b/>
                <w:bCs/>
                <w:sz w:val="20"/>
                <w:szCs w:val="20"/>
              </w:rPr>
              <w:t>n</w:t>
            </w:r>
            <w:r w:rsidR="00A118F0" w:rsidRPr="00023D16">
              <w:rPr>
                <w:b/>
                <w:bCs/>
                <w:sz w:val="20"/>
                <w:szCs w:val="20"/>
              </w:rPr>
              <w:t>=</w:t>
            </w:r>
            <w:r w:rsidR="0014583C" w:rsidRPr="00023D16">
              <w:rPr>
                <w:b/>
                <w:bCs/>
                <w:sz w:val="20"/>
                <w:szCs w:val="20"/>
              </w:rPr>
              <w:t>3056</w:t>
            </w:r>
          </w:p>
          <w:p w14:paraId="6C1C68AD" w14:textId="4FA1C089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12 months: </w:t>
            </w:r>
            <w:r w:rsidRPr="00316DA0">
              <w:rPr>
                <w:sz w:val="20"/>
                <w:szCs w:val="20"/>
              </w:rPr>
              <w:t>Open label, randomised: Mono (T) vs DAPT</w:t>
            </w:r>
          </w:p>
        </w:tc>
        <w:tc>
          <w:tcPr>
            <w:tcW w:w="864" w:type="pct"/>
          </w:tcPr>
          <w:p w14:paraId="0721FE8B" w14:textId="52B21037" w:rsidR="007C4663" w:rsidRPr="007C4663" w:rsidRDefault="007C4663" w:rsidP="00373EEE">
            <w:pPr>
              <w:spacing w:line="480" w:lineRule="auto"/>
              <w:rPr>
                <w:b/>
                <w:bCs/>
                <w:sz w:val="20"/>
                <w:szCs w:val="20"/>
              </w:rPr>
            </w:pPr>
            <w:r w:rsidRPr="00023D16">
              <w:rPr>
                <w:b/>
                <w:bCs/>
                <w:sz w:val="20"/>
                <w:szCs w:val="20"/>
              </w:rPr>
              <w:t>n</w:t>
            </w:r>
            <w:r w:rsidR="005A2405">
              <w:rPr>
                <w:b/>
                <w:bCs/>
                <w:sz w:val="20"/>
                <w:szCs w:val="20"/>
              </w:rPr>
              <w:t>&gt;16,000</w:t>
            </w:r>
          </w:p>
          <w:p w14:paraId="18E899C7" w14:textId="771E6FFD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24 months: </w:t>
            </w:r>
            <w:r w:rsidRPr="00316DA0">
              <w:rPr>
                <w:sz w:val="20"/>
                <w:szCs w:val="20"/>
              </w:rPr>
              <w:t>Open label, rand</w:t>
            </w:r>
            <w:r>
              <w:rPr>
                <w:sz w:val="20"/>
                <w:szCs w:val="20"/>
              </w:rPr>
              <w:t>o</w:t>
            </w:r>
            <w:r w:rsidRPr="00316DA0">
              <w:rPr>
                <w:sz w:val="20"/>
                <w:szCs w:val="20"/>
              </w:rPr>
              <w:t xml:space="preserve">mised: Mono T </w:t>
            </w:r>
            <w:r>
              <w:rPr>
                <w:sz w:val="20"/>
                <w:szCs w:val="20"/>
              </w:rPr>
              <w:t xml:space="preserve">23 months </w:t>
            </w:r>
            <w:r w:rsidRPr="00316DA0">
              <w:rPr>
                <w:sz w:val="20"/>
                <w:szCs w:val="20"/>
              </w:rPr>
              <w:t>vs DAPT (C/T)</w:t>
            </w:r>
            <w:r>
              <w:rPr>
                <w:sz w:val="20"/>
                <w:szCs w:val="20"/>
              </w:rPr>
              <w:t xml:space="preserve"> 12 months, then ASA mono 12 months</w:t>
            </w:r>
            <w:r w:rsidRPr="00316DA0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(</w:t>
            </w:r>
            <w:r w:rsidRPr="00316DA0">
              <w:rPr>
                <w:sz w:val="20"/>
                <w:szCs w:val="20"/>
              </w:rPr>
              <w:t>C only in S</w:t>
            </w:r>
            <w:r w:rsidR="006A3CAC">
              <w:rPr>
                <w:sz w:val="20"/>
                <w:szCs w:val="20"/>
              </w:rPr>
              <w:t>IH</w:t>
            </w:r>
            <w:r w:rsidRPr="00316DA0">
              <w:rPr>
                <w:sz w:val="20"/>
                <w:szCs w:val="20"/>
              </w:rPr>
              <w:t>D with elective PCI</w:t>
            </w:r>
            <w:r>
              <w:rPr>
                <w:sz w:val="20"/>
                <w:szCs w:val="20"/>
              </w:rPr>
              <w:t>)</w:t>
            </w:r>
          </w:p>
        </w:tc>
        <w:tc>
          <w:tcPr>
            <w:tcW w:w="915" w:type="pct"/>
          </w:tcPr>
          <w:p w14:paraId="4F4B3BD4" w14:textId="4507CDB1" w:rsidR="004F3228" w:rsidRPr="004F3228" w:rsidRDefault="004F3228" w:rsidP="00373EEE">
            <w:pPr>
              <w:spacing w:line="480" w:lineRule="auto"/>
              <w:rPr>
                <w:b/>
                <w:bCs/>
                <w:sz w:val="20"/>
                <w:szCs w:val="20"/>
              </w:rPr>
            </w:pPr>
            <w:r w:rsidRPr="00023D16">
              <w:rPr>
                <w:b/>
                <w:bCs/>
                <w:sz w:val="20"/>
                <w:szCs w:val="20"/>
              </w:rPr>
              <w:t>n=30</w:t>
            </w:r>
            <w:r w:rsidR="00602DCD">
              <w:rPr>
                <w:b/>
                <w:bCs/>
                <w:sz w:val="20"/>
                <w:szCs w:val="20"/>
              </w:rPr>
              <w:t>45</w:t>
            </w:r>
          </w:p>
          <w:p w14:paraId="2E60348C" w14:textId="6FA95C6A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12 months: </w:t>
            </w:r>
            <w:r w:rsidRPr="00316DA0">
              <w:rPr>
                <w:sz w:val="20"/>
                <w:szCs w:val="20"/>
              </w:rPr>
              <w:t>Open label, randomised: Mono (C) vs DAPT</w:t>
            </w:r>
          </w:p>
        </w:tc>
        <w:tc>
          <w:tcPr>
            <w:tcW w:w="987" w:type="pct"/>
          </w:tcPr>
          <w:p w14:paraId="7B54505E" w14:textId="5A77D675" w:rsidR="002D2F23" w:rsidRPr="00023D16" w:rsidRDefault="002D2F23" w:rsidP="00373EEE">
            <w:pPr>
              <w:spacing w:line="480" w:lineRule="auto"/>
              <w:rPr>
                <w:b/>
                <w:bCs/>
                <w:sz w:val="20"/>
                <w:szCs w:val="20"/>
              </w:rPr>
            </w:pPr>
            <w:r w:rsidRPr="00023D16">
              <w:rPr>
                <w:b/>
                <w:bCs/>
                <w:sz w:val="20"/>
                <w:szCs w:val="20"/>
              </w:rPr>
              <w:t>n=</w:t>
            </w:r>
            <w:r>
              <w:rPr>
                <w:b/>
                <w:bCs/>
                <w:sz w:val="20"/>
                <w:szCs w:val="20"/>
              </w:rPr>
              <w:t>2993</w:t>
            </w:r>
          </w:p>
          <w:p w14:paraId="6D705587" w14:textId="7E327F4E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12 months: </w:t>
            </w:r>
            <w:r w:rsidRPr="00316DA0">
              <w:rPr>
                <w:sz w:val="20"/>
                <w:szCs w:val="20"/>
              </w:rPr>
              <w:t>Open label, randomised: Mono vs DAPT</w:t>
            </w:r>
          </w:p>
          <w:p w14:paraId="2AE17A04" w14:textId="77777777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  <w:p w14:paraId="3BCC9CC0" w14:textId="62EDB717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 xml:space="preserve">C: 76.9–77.6%; </w:t>
            </w:r>
            <w:r w:rsidRPr="00316DA0">
              <w:rPr>
                <w:sz w:val="20"/>
                <w:szCs w:val="20"/>
              </w:rPr>
              <w:br/>
              <w:t>T/P: 22.4–23.1%</w:t>
            </w:r>
          </w:p>
        </w:tc>
      </w:tr>
      <w:tr w:rsidR="000D53F2" w:rsidRPr="00DA4E9C" w14:paraId="3AF51324" w14:textId="1D8FCAD8" w:rsidTr="000D53F2">
        <w:tc>
          <w:tcPr>
            <w:tcW w:w="5000" w:type="pct"/>
            <w:gridSpan w:val="6"/>
            <w:shd w:val="clear" w:color="auto" w:fill="ACB9CA" w:themeFill="text2" w:themeFillTint="66"/>
          </w:tcPr>
          <w:p w14:paraId="78324103" w14:textId="439D6199" w:rsidR="000D53F2" w:rsidRPr="00316DA0" w:rsidRDefault="000D53F2" w:rsidP="00373EEE">
            <w:pPr>
              <w:spacing w:line="480" w:lineRule="auto"/>
              <w:rPr>
                <w:b/>
                <w:bCs/>
                <w:sz w:val="20"/>
                <w:szCs w:val="20"/>
              </w:rPr>
            </w:pPr>
            <w:r w:rsidRPr="00316DA0">
              <w:rPr>
                <w:b/>
                <w:bCs/>
                <w:sz w:val="20"/>
                <w:szCs w:val="20"/>
              </w:rPr>
              <w:t>Outcomes and results</w:t>
            </w:r>
          </w:p>
        </w:tc>
      </w:tr>
      <w:tr w:rsidR="000D53F2" w:rsidRPr="00DA4E9C" w14:paraId="24375B0D" w14:textId="4968B3D8" w:rsidTr="000D53F2">
        <w:tc>
          <w:tcPr>
            <w:tcW w:w="640" w:type="pct"/>
          </w:tcPr>
          <w:p w14:paraId="56BA8DE8" w14:textId="158D8B16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 xml:space="preserve">Primary </w:t>
            </w:r>
          </w:p>
        </w:tc>
        <w:tc>
          <w:tcPr>
            <w:tcW w:w="781" w:type="pct"/>
          </w:tcPr>
          <w:p w14:paraId="63F1D8BB" w14:textId="77777777" w:rsidR="000D53F2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Bleeding (BARC 2, 3, 5):</w:t>
            </w:r>
          </w:p>
          <w:p w14:paraId="3C54C09B" w14:textId="77777777" w:rsidR="000D53F2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  <w:p w14:paraId="4DE2D2A0" w14:textId="3A99BA9C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8F50FE">
              <w:rPr>
                <w:b/>
                <w:bCs/>
                <w:sz w:val="20"/>
                <w:szCs w:val="20"/>
              </w:rPr>
              <w:t>Superior</w:t>
            </w:r>
            <w:r>
              <w:rPr>
                <w:b/>
                <w:bCs/>
                <w:sz w:val="20"/>
                <w:szCs w:val="20"/>
              </w:rPr>
              <w:t xml:space="preserve"> in mono-T</w:t>
            </w:r>
            <w:r w:rsidRPr="008F50FE">
              <w:rPr>
                <w:b/>
                <w:bCs/>
                <w:sz w:val="20"/>
                <w:szCs w:val="20"/>
              </w:rPr>
              <w:t xml:space="preserve"> </w:t>
            </w:r>
            <w:r>
              <w:rPr>
                <w:b/>
                <w:bCs/>
                <w:sz w:val="20"/>
                <w:szCs w:val="20"/>
              </w:rPr>
              <w:t>arm (incl. stable and acute sub-groups)</w:t>
            </w:r>
          </w:p>
        </w:tc>
        <w:tc>
          <w:tcPr>
            <w:tcW w:w="813" w:type="pct"/>
          </w:tcPr>
          <w:p w14:paraId="0AEC1BFD" w14:textId="77777777" w:rsidR="000D53F2" w:rsidRPr="000624F4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</w:t>
            </w:r>
            <w:r w:rsidRPr="000624F4">
              <w:rPr>
                <w:sz w:val="20"/>
                <w:szCs w:val="20"/>
              </w:rPr>
              <w:t>omposite major bleeding and adverse cardiac and cerebrovascular</w:t>
            </w:r>
          </w:p>
          <w:p w14:paraId="1EFA72AF" w14:textId="77777777" w:rsidR="000D53F2" w:rsidRPr="000624F4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0624F4">
              <w:rPr>
                <w:sz w:val="20"/>
                <w:szCs w:val="20"/>
              </w:rPr>
              <w:lastRenderedPageBreak/>
              <w:t>events (death, myocardial infarction, stent thrombosis, stroke, or target-vessel</w:t>
            </w:r>
          </w:p>
          <w:p w14:paraId="11B719B2" w14:textId="35D346C7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0624F4">
              <w:rPr>
                <w:sz w:val="20"/>
                <w:szCs w:val="20"/>
              </w:rPr>
              <w:t>revascularization)</w:t>
            </w:r>
            <w:r>
              <w:rPr>
                <w:sz w:val="20"/>
                <w:szCs w:val="20"/>
              </w:rPr>
              <w:t xml:space="preserve">: </w:t>
            </w:r>
            <w:r w:rsidRPr="008F50FE">
              <w:rPr>
                <w:b/>
                <w:bCs/>
                <w:sz w:val="20"/>
                <w:szCs w:val="20"/>
              </w:rPr>
              <w:t>Superior</w:t>
            </w:r>
            <w:r>
              <w:rPr>
                <w:b/>
                <w:bCs/>
                <w:sz w:val="20"/>
                <w:szCs w:val="20"/>
              </w:rPr>
              <w:t xml:space="preserve"> in mono-T</w:t>
            </w:r>
            <w:r w:rsidRPr="008F50FE">
              <w:rPr>
                <w:b/>
                <w:bCs/>
                <w:sz w:val="20"/>
                <w:szCs w:val="20"/>
              </w:rPr>
              <w:t xml:space="preserve"> </w:t>
            </w:r>
            <w:r>
              <w:rPr>
                <w:b/>
                <w:bCs/>
                <w:sz w:val="20"/>
                <w:szCs w:val="20"/>
              </w:rPr>
              <w:t xml:space="preserve">arm </w:t>
            </w:r>
            <w:r w:rsidRPr="008F50FE">
              <w:rPr>
                <w:b/>
                <w:bCs/>
                <w:sz w:val="20"/>
                <w:szCs w:val="20"/>
              </w:rPr>
              <w:t xml:space="preserve">(incl. </w:t>
            </w:r>
            <w:r>
              <w:rPr>
                <w:b/>
                <w:bCs/>
                <w:sz w:val="20"/>
                <w:szCs w:val="20"/>
              </w:rPr>
              <w:t xml:space="preserve">all </w:t>
            </w:r>
            <w:r w:rsidRPr="008F50FE">
              <w:rPr>
                <w:b/>
                <w:bCs/>
                <w:sz w:val="20"/>
                <w:szCs w:val="20"/>
              </w:rPr>
              <w:t>ACS</w:t>
            </w:r>
            <w:r>
              <w:rPr>
                <w:b/>
                <w:bCs/>
                <w:sz w:val="20"/>
                <w:szCs w:val="20"/>
              </w:rPr>
              <w:t xml:space="preserve"> sub-groups</w:t>
            </w:r>
            <w:r w:rsidRPr="008F50FE">
              <w:rPr>
                <w:b/>
                <w:bCs/>
                <w:sz w:val="20"/>
                <w:szCs w:val="20"/>
              </w:rPr>
              <w:t>).</w:t>
            </w:r>
          </w:p>
        </w:tc>
        <w:tc>
          <w:tcPr>
            <w:tcW w:w="864" w:type="pct"/>
          </w:tcPr>
          <w:p w14:paraId="6D777D73" w14:textId="1466BFDC" w:rsidR="000D53F2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 xml:space="preserve">Composite </w:t>
            </w:r>
            <w:r w:rsidRPr="00111354">
              <w:rPr>
                <w:sz w:val="20"/>
                <w:szCs w:val="20"/>
              </w:rPr>
              <w:t>all-cause mortality or nonfatal</w:t>
            </w:r>
            <w:r>
              <w:rPr>
                <w:sz w:val="20"/>
                <w:szCs w:val="20"/>
              </w:rPr>
              <w:t xml:space="preserve"> MI:</w:t>
            </w:r>
          </w:p>
          <w:p w14:paraId="347E9627" w14:textId="77777777" w:rsidR="000D53F2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  <w:p w14:paraId="6383B1B4" w14:textId="0B6BDB09" w:rsidR="000D53F2" w:rsidRPr="0038160D" w:rsidRDefault="000D53F2" w:rsidP="00373EEE">
            <w:pPr>
              <w:spacing w:line="480" w:lineRule="auto"/>
              <w:rPr>
                <w:b/>
                <w:bCs/>
                <w:sz w:val="20"/>
                <w:szCs w:val="20"/>
              </w:rPr>
            </w:pPr>
            <w:r w:rsidRPr="0038160D">
              <w:rPr>
                <w:b/>
                <w:bCs/>
                <w:sz w:val="20"/>
                <w:szCs w:val="20"/>
              </w:rPr>
              <w:t>Non</w:t>
            </w:r>
            <w:r>
              <w:rPr>
                <w:b/>
                <w:bCs/>
                <w:sz w:val="20"/>
                <w:szCs w:val="20"/>
              </w:rPr>
              <w:t>-</w:t>
            </w:r>
            <w:r w:rsidRPr="0038160D">
              <w:rPr>
                <w:b/>
                <w:bCs/>
                <w:sz w:val="20"/>
                <w:szCs w:val="20"/>
              </w:rPr>
              <w:t>significant across S</w:t>
            </w:r>
            <w:r w:rsidR="006A3CAC">
              <w:rPr>
                <w:b/>
                <w:bCs/>
                <w:sz w:val="20"/>
                <w:szCs w:val="20"/>
              </w:rPr>
              <w:t>IHD</w:t>
            </w:r>
            <w:r w:rsidRPr="0038160D">
              <w:rPr>
                <w:b/>
                <w:bCs/>
                <w:sz w:val="20"/>
                <w:szCs w:val="20"/>
              </w:rPr>
              <w:t xml:space="preserve"> and ACS groups</w:t>
            </w:r>
          </w:p>
          <w:p w14:paraId="386185C6" w14:textId="6CCEC0A0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</w:tc>
        <w:tc>
          <w:tcPr>
            <w:tcW w:w="915" w:type="pct"/>
          </w:tcPr>
          <w:p w14:paraId="09728A2D" w14:textId="78EE1F9A" w:rsidR="000D53F2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 xml:space="preserve">Composite </w:t>
            </w:r>
            <w:r w:rsidRPr="00316DA0">
              <w:rPr>
                <w:sz w:val="20"/>
                <w:szCs w:val="20"/>
              </w:rPr>
              <w:t xml:space="preserve">CV death, MI, stroke, stent thrombosis or </w:t>
            </w:r>
            <w:r>
              <w:rPr>
                <w:sz w:val="20"/>
                <w:szCs w:val="20"/>
              </w:rPr>
              <w:t xml:space="preserve">TIMI </w:t>
            </w:r>
            <w:r w:rsidRPr="00316DA0">
              <w:rPr>
                <w:sz w:val="20"/>
                <w:szCs w:val="20"/>
              </w:rPr>
              <w:t>major/minor bleed</w:t>
            </w:r>
            <w:r>
              <w:rPr>
                <w:sz w:val="20"/>
                <w:szCs w:val="20"/>
              </w:rPr>
              <w:t>:</w:t>
            </w:r>
          </w:p>
          <w:p w14:paraId="1055DB0B" w14:textId="71F17B68" w:rsidR="000D53F2" w:rsidRPr="002772C8" w:rsidRDefault="000D53F2" w:rsidP="00373EEE">
            <w:pPr>
              <w:spacing w:line="480" w:lineRule="auto"/>
              <w:rPr>
                <w:b/>
                <w:bCs/>
                <w:sz w:val="20"/>
                <w:szCs w:val="20"/>
              </w:rPr>
            </w:pPr>
            <w:r w:rsidRPr="002772C8">
              <w:rPr>
                <w:b/>
                <w:bCs/>
                <w:sz w:val="20"/>
                <w:szCs w:val="20"/>
              </w:rPr>
              <w:lastRenderedPageBreak/>
              <w:t xml:space="preserve">Superior </w:t>
            </w:r>
            <w:r>
              <w:rPr>
                <w:b/>
                <w:bCs/>
                <w:sz w:val="20"/>
                <w:szCs w:val="20"/>
              </w:rPr>
              <w:t>in mono-C arm (non-significant in ACS sub-group)</w:t>
            </w:r>
          </w:p>
        </w:tc>
        <w:tc>
          <w:tcPr>
            <w:tcW w:w="987" w:type="pct"/>
          </w:tcPr>
          <w:p w14:paraId="5D21840C" w14:textId="40DB7EAD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 xml:space="preserve">Composite </w:t>
            </w:r>
            <w:r w:rsidRPr="00316DA0">
              <w:rPr>
                <w:sz w:val="20"/>
                <w:szCs w:val="20"/>
              </w:rPr>
              <w:t>all-cause death, myocardial infarction, or stroke</w:t>
            </w:r>
            <w:r>
              <w:rPr>
                <w:sz w:val="20"/>
                <w:szCs w:val="20"/>
              </w:rPr>
              <w:t xml:space="preserve">: </w:t>
            </w:r>
            <w:r w:rsidRPr="003B3BA2">
              <w:rPr>
                <w:b/>
                <w:bCs/>
                <w:sz w:val="20"/>
                <w:szCs w:val="20"/>
              </w:rPr>
              <w:t>Non-inferior in Mono arm</w:t>
            </w:r>
          </w:p>
          <w:p w14:paraId="6EDA3256" w14:textId="77777777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  <w:p w14:paraId="48C0EDDE" w14:textId="4BA5F57E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</w:tc>
      </w:tr>
      <w:tr w:rsidR="000D53F2" w:rsidRPr="00DA4E9C" w14:paraId="7B118B4E" w14:textId="4CE65157" w:rsidTr="000D53F2">
        <w:tc>
          <w:tcPr>
            <w:tcW w:w="640" w:type="pct"/>
          </w:tcPr>
          <w:p w14:paraId="53A6354E" w14:textId="76AAD384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lastRenderedPageBreak/>
              <w:t>Secondary</w:t>
            </w:r>
          </w:p>
        </w:tc>
        <w:tc>
          <w:tcPr>
            <w:tcW w:w="781" w:type="pct"/>
          </w:tcPr>
          <w:p w14:paraId="6D8CC880" w14:textId="412C8ED0" w:rsidR="000D53F2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Death</w:t>
            </w:r>
            <w:r w:rsidRPr="008C0282">
              <w:rPr>
                <w:sz w:val="20"/>
                <w:szCs w:val="20"/>
              </w:rPr>
              <w:t xml:space="preserve"> from any cause, </w:t>
            </w:r>
            <w:r>
              <w:rPr>
                <w:sz w:val="20"/>
                <w:szCs w:val="20"/>
              </w:rPr>
              <w:t>nonfatal MI/</w:t>
            </w:r>
            <w:r w:rsidRPr="008C0282">
              <w:rPr>
                <w:sz w:val="20"/>
                <w:szCs w:val="20"/>
              </w:rPr>
              <w:t>stroke</w:t>
            </w:r>
            <w:r>
              <w:rPr>
                <w:sz w:val="20"/>
                <w:szCs w:val="20"/>
              </w:rPr>
              <w:t>:</w:t>
            </w:r>
          </w:p>
          <w:p w14:paraId="656F99C0" w14:textId="18FCF279" w:rsidR="000D53F2" w:rsidRPr="00D065D0" w:rsidRDefault="000D53F2" w:rsidP="00373EEE">
            <w:pPr>
              <w:spacing w:line="480" w:lineRule="auto"/>
              <w:rPr>
                <w:b/>
                <w:bCs/>
                <w:sz w:val="20"/>
                <w:szCs w:val="20"/>
              </w:rPr>
            </w:pPr>
            <w:r w:rsidRPr="00D065D0">
              <w:rPr>
                <w:b/>
                <w:bCs/>
                <w:sz w:val="20"/>
                <w:szCs w:val="20"/>
              </w:rPr>
              <w:t>Non-inferior in mono-T arm</w:t>
            </w:r>
          </w:p>
          <w:p w14:paraId="2868477F" w14:textId="77777777" w:rsidR="000D53F2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  <w:p w14:paraId="36072792" w14:textId="6743BA94" w:rsidR="000D53F2" w:rsidRPr="00EE636F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EE636F">
              <w:rPr>
                <w:sz w:val="20"/>
                <w:szCs w:val="20"/>
              </w:rPr>
              <w:t>BARC 3 or 5 bleeding;</w:t>
            </w:r>
            <w:r>
              <w:rPr>
                <w:sz w:val="20"/>
                <w:szCs w:val="20"/>
              </w:rPr>
              <w:t xml:space="preserve"> </w:t>
            </w:r>
            <w:r w:rsidRPr="00EE636F">
              <w:rPr>
                <w:sz w:val="20"/>
                <w:szCs w:val="20"/>
              </w:rPr>
              <w:t>TIMI</w:t>
            </w:r>
            <w:r>
              <w:rPr>
                <w:sz w:val="20"/>
                <w:szCs w:val="20"/>
              </w:rPr>
              <w:t xml:space="preserve"> </w:t>
            </w:r>
            <w:r w:rsidRPr="00EE636F">
              <w:rPr>
                <w:sz w:val="20"/>
                <w:szCs w:val="20"/>
              </w:rPr>
              <w:t xml:space="preserve">major or minor bleeding; </w:t>
            </w:r>
          </w:p>
          <w:p w14:paraId="0839E0D5" w14:textId="77777777" w:rsidR="000D53F2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EE636F">
              <w:rPr>
                <w:sz w:val="20"/>
                <w:szCs w:val="20"/>
              </w:rPr>
              <w:t>GUSTO moderate, severe, or life-</w:t>
            </w:r>
            <w:r w:rsidRPr="00EE636F">
              <w:rPr>
                <w:sz w:val="20"/>
                <w:szCs w:val="20"/>
              </w:rPr>
              <w:lastRenderedPageBreak/>
              <w:t xml:space="preserve">threatening bleeding; </w:t>
            </w:r>
            <w:r>
              <w:rPr>
                <w:sz w:val="20"/>
                <w:szCs w:val="20"/>
              </w:rPr>
              <w:t xml:space="preserve">ISTH </w:t>
            </w:r>
            <w:r w:rsidRPr="00EE636F">
              <w:rPr>
                <w:sz w:val="20"/>
                <w:szCs w:val="20"/>
              </w:rPr>
              <w:t>major bleeding</w:t>
            </w:r>
            <w:r>
              <w:rPr>
                <w:sz w:val="20"/>
                <w:szCs w:val="20"/>
              </w:rPr>
              <w:t>:</w:t>
            </w:r>
          </w:p>
          <w:p w14:paraId="2A57C5DB" w14:textId="2F72F8A3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8F50FE">
              <w:rPr>
                <w:b/>
                <w:bCs/>
                <w:sz w:val="20"/>
                <w:szCs w:val="20"/>
              </w:rPr>
              <w:t>Superior</w:t>
            </w:r>
            <w:r>
              <w:rPr>
                <w:b/>
                <w:bCs/>
                <w:sz w:val="20"/>
                <w:szCs w:val="20"/>
              </w:rPr>
              <w:t xml:space="preserve"> in mono-T</w:t>
            </w:r>
            <w:r w:rsidRPr="008F50FE">
              <w:rPr>
                <w:b/>
                <w:bCs/>
                <w:sz w:val="20"/>
                <w:szCs w:val="20"/>
              </w:rPr>
              <w:t xml:space="preserve"> </w:t>
            </w:r>
            <w:r>
              <w:rPr>
                <w:b/>
                <w:bCs/>
                <w:sz w:val="20"/>
                <w:szCs w:val="20"/>
              </w:rPr>
              <w:t>arm</w:t>
            </w:r>
          </w:p>
        </w:tc>
        <w:tc>
          <w:tcPr>
            <w:tcW w:w="813" w:type="pct"/>
          </w:tcPr>
          <w:p w14:paraId="044E3835" w14:textId="5D5AEC2C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M</w:t>
            </w:r>
            <w:r w:rsidRPr="00A24095">
              <w:rPr>
                <w:sz w:val="20"/>
                <w:szCs w:val="20"/>
              </w:rPr>
              <w:t>ajor bleeding and major</w:t>
            </w:r>
            <w:r>
              <w:rPr>
                <w:sz w:val="20"/>
                <w:szCs w:val="20"/>
              </w:rPr>
              <w:t xml:space="preserve"> </w:t>
            </w:r>
            <w:r w:rsidRPr="00A24095">
              <w:rPr>
                <w:sz w:val="20"/>
                <w:szCs w:val="20"/>
              </w:rPr>
              <w:t>adverse cardiac and cerebrovascular events</w:t>
            </w:r>
            <w:r>
              <w:rPr>
                <w:sz w:val="20"/>
                <w:szCs w:val="20"/>
              </w:rPr>
              <w:t xml:space="preserve">: </w:t>
            </w:r>
            <w:r w:rsidRPr="00394562">
              <w:rPr>
                <w:b/>
                <w:bCs/>
                <w:sz w:val="20"/>
                <w:szCs w:val="20"/>
              </w:rPr>
              <w:t xml:space="preserve">8 of 10 </w:t>
            </w:r>
            <w:r>
              <w:rPr>
                <w:b/>
                <w:bCs/>
                <w:sz w:val="20"/>
                <w:szCs w:val="20"/>
              </w:rPr>
              <w:t>endpoints had</w:t>
            </w:r>
            <w:r w:rsidRPr="00394562">
              <w:rPr>
                <w:b/>
                <w:bCs/>
                <w:sz w:val="20"/>
                <w:szCs w:val="20"/>
              </w:rPr>
              <w:t xml:space="preserve"> no significant difference; major bleeding significantly lower in mono</w:t>
            </w:r>
            <w:r>
              <w:rPr>
                <w:b/>
                <w:bCs/>
                <w:sz w:val="20"/>
                <w:szCs w:val="20"/>
              </w:rPr>
              <w:t>-T</w:t>
            </w:r>
            <w:r w:rsidRPr="00394562">
              <w:rPr>
                <w:b/>
                <w:bCs/>
                <w:sz w:val="20"/>
                <w:szCs w:val="20"/>
              </w:rPr>
              <w:t xml:space="preserve"> arm</w:t>
            </w:r>
            <w:r>
              <w:rPr>
                <w:b/>
                <w:bCs/>
                <w:sz w:val="20"/>
                <w:szCs w:val="20"/>
              </w:rPr>
              <w:t>.</w:t>
            </w:r>
          </w:p>
        </w:tc>
        <w:tc>
          <w:tcPr>
            <w:tcW w:w="864" w:type="pct"/>
          </w:tcPr>
          <w:p w14:paraId="4EB5A3CD" w14:textId="5BF6FAF0" w:rsidR="000D53F2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Bleeding (</w:t>
            </w:r>
            <w:r w:rsidRPr="00316DA0">
              <w:rPr>
                <w:sz w:val="20"/>
                <w:szCs w:val="20"/>
              </w:rPr>
              <w:t>BARC3/5</w:t>
            </w:r>
            <w:r>
              <w:rPr>
                <w:sz w:val="20"/>
                <w:szCs w:val="20"/>
              </w:rPr>
              <w:t>):</w:t>
            </w:r>
          </w:p>
          <w:p w14:paraId="47CEEDF8" w14:textId="5A75D378" w:rsidR="000D53F2" w:rsidRPr="00C651BC" w:rsidRDefault="000D53F2" w:rsidP="00373EEE">
            <w:pPr>
              <w:spacing w:line="480" w:lineRule="auto"/>
              <w:rPr>
                <w:b/>
                <w:bCs/>
                <w:sz w:val="20"/>
                <w:szCs w:val="20"/>
              </w:rPr>
            </w:pPr>
            <w:r w:rsidRPr="00C651BC">
              <w:rPr>
                <w:b/>
                <w:bCs/>
                <w:sz w:val="20"/>
                <w:szCs w:val="20"/>
              </w:rPr>
              <w:t>Non-significant</w:t>
            </w:r>
          </w:p>
        </w:tc>
        <w:tc>
          <w:tcPr>
            <w:tcW w:w="915" w:type="pct"/>
          </w:tcPr>
          <w:p w14:paraId="16570D90" w14:textId="5130BF19" w:rsidR="000D53F2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Composite thrombotic endpoint: </w:t>
            </w:r>
            <w:r w:rsidRPr="000F145D">
              <w:rPr>
                <w:b/>
                <w:bCs/>
                <w:sz w:val="20"/>
                <w:szCs w:val="20"/>
              </w:rPr>
              <w:t>Non-inferior in mono-C arm</w:t>
            </w:r>
          </w:p>
          <w:p w14:paraId="109F2599" w14:textId="77777777" w:rsidR="000D53F2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  <w:p w14:paraId="688C1D15" w14:textId="142E5768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TIMI major/minor bleed: </w:t>
            </w:r>
            <w:r>
              <w:rPr>
                <w:b/>
                <w:bCs/>
                <w:sz w:val="20"/>
                <w:szCs w:val="20"/>
              </w:rPr>
              <w:t>Superior</w:t>
            </w:r>
            <w:r w:rsidRPr="000F145D">
              <w:rPr>
                <w:b/>
                <w:bCs/>
                <w:sz w:val="20"/>
                <w:szCs w:val="20"/>
              </w:rPr>
              <w:t xml:space="preserve"> in mono-C arm</w:t>
            </w:r>
          </w:p>
        </w:tc>
        <w:tc>
          <w:tcPr>
            <w:tcW w:w="987" w:type="pct"/>
          </w:tcPr>
          <w:p w14:paraId="7C68359C" w14:textId="3D355999" w:rsidR="000D53F2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Individual c</w:t>
            </w:r>
            <w:r w:rsidRPr="00316DA0">
              <w:rPr>
                <w:sz w:val="20"/>
                <w:szCs w:val="20"/>
              </w:rPr>
              <w:t xml:space="preserve">omponents of the primary </w:t>
            </w:r>
            <w:r>
              <w:rPr>
                <w:sz w:val="20"/>
                <w:szCs w:val="20"/>
              </w:rPr>
              <w:t xml:space="preserve">composite </w:t>
            </w:r>
            <w:r w:rsidRPr="00316DA0">
              <w:rPr>
                <w:sz w:val="20"/>
                <w:szCs w:val="20"/>
              </w:rPr>
              <w:t>end point</w:t>
            </w:r>
            <w:r>
              <w:rPr>
                <w:sz w:val="20"/>
                <w:szCs w:val="20"/>
              </w:rPr>
              <w:t xml:space="preserve">: </w:t>
            </w:r>
            <w:r w:rsidRPr="00B23FF5">
              <w:rPr>
                <w:b/>
                <w:bCs/>
                <w:sz w:val="20"/>
                <w:szCs w:val="20"/>
              </w:rPr>
              <w:t>Non-significant</w:t>
            </w:r>
          </w:p>
          <w:p w14:paraId="03955733" w14:textId="77777777" w:rsidR="000D53F2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  <w:p w14:paraId="62448E3C" w14:textId="6B3DE9F1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BARC 2–5: </w:t>
            </w:r>
            <w:r w:rsidRPr="00C62035">
              <w:rPr>
                <w:b/>
                <w:bCs/>
                <w:sz w:val="20"/>
                <w:szCs w:val="20"/>
              </w:rPr>
              <w:t>Significantly lower with mono (</w:t>
            </w:r>
            <w:r>
              <w:rPr>
                <w:b/>
                <w:bCs/>
                <w:sz w:val="20"/>
                <w:szCs w:val="20"/>
              </w:rPr>
              <w:t>non-significant</w:t>
            </w:r>
            <w:r w:rsidRPr="00C62035">
              <w:rPr>
                <w:b/>
                <w:bCs/>
                <w:sz w:val="20"/>
                <w:szCs w:val="20"/>
              </w:rPr>
              <w:t xml:space="preserve"> </w:t>
            </w:r>
            <w:r>
              <w:rPr>
                <w:b/>
                <w:bCs/>
                <w:sz w:val="20"/>
                <w:szCs w:val="20"/>
              </w:rPr>
              <w:t>in the</w:t>
            </w:r>
            <w:r w:rsidRPr="00C62035">
              <w:rPr>
                <w:b/>
                <w:bCs/>
                <w:sz w:val="20"/>
                <w:szCs w:val="20"/>
              </w:rPr>
              <w:t xml:space="preserve"> C</w:t>
            </w:r>
            <w:r>
              <w:rPr>
                <w:b/>
                <w:bCs/>
                <w:sz w:val="20"/>
                <w:szCs w:val="20"/>
              </w:rPr>
              <w:t xml:space="preserve"> sub-group</w:t>
            </w:r>
            <w:r w:rsidRPr="00C62035">
              <w:rPr>
                <w:b/>
                <w:bCs/>
                <w:sz w:val="20"/>
                <w:szCs w:val="20"/>
              </w:rPr>
              <w:t>)</w:t>
            </w:r>
          </w:p>
        </w:tc>
      </w:tr>
      <w:tr w:rsidR="000D53F2" w:rsidRPr="00DA4E9C" w14:paraId="3ABA6891" w14:textId="303AC0B4" w:rsidTr="000D53F2">
        <w:tc>
          <w:tcPr>
            <w:tcW w:w="5000" w:type="pct"/>
            <w:gridSpan w:val="6"/>
            <w:shd w:val="clear" w:color="auto" w:fill="ACB9CA" w:themeFill="text2" w:themeFillTint="66"/>
          </w:tcPr>
          <w:p w14:paraId="2C4A5562" w14:textId="233028A9" w:rsidR="000D53F2" w:rsidRPr="00316DA0" w:rsidRDefault="000D53F2" w:rsidP="00373EEE">
            <w:pPr>
              <w:spacing w:line="480" w:lineRule="auto"/>
              <w:rPr>
                <w:b/>
                <w:bCs/>
                <w:sz w:val="20"/>
                <w:szCs w:val="20"/>
              </w:rPr>
            </w:pPr>
            <w:r w:rsidRPr="00316DA0">
              <w:rPr>
                <w:b/>
                <w:bCs/>
                <w:sz w:val="20"/>
                <w:szCs w:val="20"/>
              </w:rPr>
              <w:t>PCI indication</w:t>
            </w:r>
          </w:p>
        </w:tc>
      </w:tr>
      <w:tr w:rsidR="000D53F2" w:rsidRPr="00DA4E9C" w14:paraId="45835749" w14:textId="53F92388" w:rsidTr="000D53F2">
        <w:tc>
          <w:tcPr>
            <w:tcW w:w="640" w:type="pct"/>
          </w:tcPr>
          <w:p w14:paraId="3A0675A7" w14:textId="58F68C08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>All PCI</w:t>
            </w:r>
          </w:p>
        </w:tc>
        <w:tc>
          <w:tcPr>
            <w:tcW w:w="781" w:type="pct"/>
          </w:tcPr>
          <w:p w14:paraId="24DC4BA1" w14:textId="23633A5D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</w:tc>
        <w:tc>
          <w:tcPr>
            <w:tcW w:w="813" w:type="pct"/>
          </w:tcPr>
          <w:p w14:paraId="324E2FAA" w14:textId="77777777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</w:tc>
        <w:tc>
          <w:tcPr>
            <w:tcW w:w="864" w:type="pct"/>
          </w:tcPr>
          <w:p w14:paraId="7C874DDE" w14:textId="16EE309F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>Y (S</w:t>
            </w:r>
            <w:r w:rsidR="006A3CAC">
              <w:rPr>
                <w:sz w:val="20"/>
                <w:szCs w:val="20"/>
              </w:rPr>
              <w:t>IH</w:t>
            </w:r>
            <w:r w:rsidRPr="00316DA0">
              <w:rPr>
                <w:sz w:val="20"/>
                <w:szCs w:val="20"/>
              </w:rPr>
              <w:t>D or ACS)</w:t>
            </w:r>
          </w:p>
        </w:tc>
        <w:tc>
          <w:tcPr>
            <w:tcW w:w="915" w:type="pct"/>
          </w:tcPr>
          <w:p w14:paraId="6DC337EE" w14:textId="7B2FC90E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>Y (S</w:t>
            </w:r>
            <w:r w:rsidR="003D25EE">
              <w:rPr>
                <w:sz w:val="20"/>
                <w:szCs w:val="20"/>
              </w:rPr>
              <w:t>IH</w:t>
            </w:r>
            <w:r w:rsidRPr="00316DA0">
              <w:rPr>
                <w:sz w:val="20"/>
                <w:szCs w:val="20"/>
              </w:rPr>
              <w:t>D or ACS)</w:t>
            </w:r>
          </w:p>
        </w:tc>
        <w:tc>
          <w:tcPr>
            <w:tcW w:w="987" w:type="pct"/>
          </w:tcPr>
          <w:p w14:paraId="75459015" w14:textId="1D8E1D22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>Y (S</w:t>
            </w:r>
            <w:r w:rsidR="003D25EE">
              <w:rPr>
                <w:sz w:val="20"/>
                <w:szCs w:val="20"/>
              </w:rPr>
              <w:t>IH</w:t>
            </w:r>
            <w:r w:rsidRPr="00316DA0">
              <w:rPr>
                <w:sz w:val="20"/>
                <w:szCs w:val="20"/>
              </w:rPr>
              <w:t>D or ACS)</w:t>
            </w:r>
          </w:p>
        </w:tc>
      </w:tr>
      <w:tr w:rsidR="000D53F2" w:rsidRPr="00DA4E9C" w14:paraId="541F1EC8" w14:textId="20F06C66" w:rsidTr="000D53F2">
        <w:tc>
          <w:tcPr>
            <w:tcW w:w="640" w:type="pct"/>
          </w:tcPr>
          <w:p w14:paraId="5AB8644F" w14:textId="60838644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>All ACS</w:t>
            </w:r>
            <w:r>
              <w:rPr>
                <w:sz w:val="20"/>
                <w:szCs w:val="20"/>
              </w:rPr>
              <w:t xml:space="preserve"> (NSTEMI, unstable angina, STEMI)</w:t>
            </w:r>
          </w:p>
        </w:tc>
        <w:tc>
          <w:tcPr>
            <w:tcW w:w="781" w:type="pct"/>
          </w:tcPr>
          <w:p w14:paraId="6EED0DE7" w14:textId="77777777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</w:tc>
        <w:tc>
          <w:tcPr>
            <w:tcW w:w="813" w:type="pct"/>
          </w:tcPr>
          <w:p w14:paraId="173B43A4" w14:textId="3764111F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>Y (incl. 36% STEMI)</w:t>
            </w:r>
          </w:p>
        </w:tc>
        <w:tc>
          <w:tcPr>
            <w:tcW w:w="864" w:type="pct"/>
          </w:tcPr>
          <w:p w14:paraId="579EB3A2" w14:textId="77777777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</w:tc>
        <w:tc>
          <w:tcPr>
            <w:tcW w:w="915" w:type="pct"/>
          </w:tcPr>
          <w:p w14:paraId="7E5E2B82" w14:textId="77777777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</w:tc>
        <w:tc>
          <w:tcPr>
            <w:tcW w:w="987" w:type="pct"/>
          </w:tcPr>
          <w:p w14:paraId="7DB81C60" w14:textId="77777777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</w:tc>
      </w:tr>
      <w:tr w:rsidR="000D53F2" w:rsidRPr="00DA4E9C" w14:paraId="47512CEE" w14:textId="36ED627F" w:rsidTr="000D53F2">
        <w:tc>
          <w:tcPr>
            <w:tcW w:w="640" w:type="pct"/>
          </w:tcPr>
          <w:p w14:paraId="48ECBE31" w14:textId="680BB05A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>NSTE-ACS only (NSTEMIS/unstable angina)</w:t>
            </w:r>
          </w:p>
        </w:tc>
        <w:tc>
          <w:tcPr>
            <w:tcW w:w="781" w:type="pct"/>
          </w:tcPr>
          <w:p w14:paraId="3D4927FB" w14:textId="77777777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</w:tc>
        <w:tc>
          <w:tcPr>
            <w:tcW w:w="813" w:type="pct"/>
          </w:tcPr>
          <w:p w14:paraId="3A8F9B48" w14:textId="77777777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</w:tc>
        <w:tc>
          <w:tcPr>
            <w:tcW w:w="864" w:type="pct"/>
          </w:tcPr>
          <w:p w14:paraId="3244DD7E" w14:textId="77777777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</w:tc>
        <w:tc>
          <w:tcPr>
            <w:tcW w:w="915" w:type="pct"/>
          </w:tcPr>
          <w:p w14:paraId="16F1F76E" w14:textId="77777777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</w:tc>
        <w:tc>
          <w:tcPr>
            <w:tcW w:w="987" w:type="pct"/>
          </w:tcPr>
          <w:p w14:paraId="5BADE378" w14:textId="77777777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</w:tc>
      </w:tr>
      <w:tr w:rsidR="000D53F2" w:rsidRPr="00DA4E9C" w14:paraId="7FE125AA" w14:textId="1F83C3A7" w:rsidTr="000D53F2">
        <w:tc>
          <w:tcPr>
            <w:tcW w:w="640" w:type="pct"/>
          </w:tcPr>
          <w:p w14:paraId="103586D2" w14:textId="15924632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>NSTE-ACS + stable angina</w:t>
            </w:r>
          </w:p>
        </w:tc>
        <w:tc>
          <w:tcPr>
            <w:tcW w:w="781" w:type="pct"/>
          </w:tcPr>
          <w:p w14:paraId="7081F064" w14:textId="15CFD5B6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>Y</w:t>
            </w:r>
          </w:p>
        </w:tc>
        <w:tc>
          <w:tcPr>
            <w:tcW w:w="813" w:type="pct"/>
          </w:tcPr>
          <w:p w14:paraId="43F01ED2" w14:textId="77777777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</w:tc>
        <w:tc>
          <w:tcPr>
            <w:tcW w:w="864" w:type="pct"/>
          </w:tcPr>
          <w:p w14:paraId="6DDB26BE" w14:textId="77777777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</w:tc>
        <w:tc>
          <w:tcPr>
            <w:tcW w:w="915" w:type="pct"/>
          </w:tcPr>
          <w:p w14:paraId="0B6A39AB" w14:textId="77777777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</w:tc>
        <w:tc>
          <w:tcPr>
            <w:tcW w:w="987" w:type="pct"/>
          </w:tcPr>
          <w:p w14:paraId="0533054E" w14:textId="77777777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</w:tc>
      </w:tr>
      <w:tr w:rsidR="000D53F2" w:rsidRPr="00DA4E9C" w14:paraId="67BFB853" w14:textId="70F1064C" w:rsidTr="000D53F2">
        <w:tc>
          <w:tcPr>
            <w:tcW w:w="5000" w:type="pct"/>
            <w:gridSpan w:val="6"/>
            <w:shd w:val="clear" w:color="auto" w:fill="ACB9CA" w:themeFill="text2" w:themeFillTint="66"/>
          </w:tcPr>
          <w:p w14:paraId="479D6209" w14:textId="56ECEBFF" w:rsidR="000D53F2" w:rsidRPr="00316DA0" w:rsidRDefault="000D53F2" w:rsidP="00373EEE">
            <w:pPr>
              <w:spacing w:line="480" w:lineRule="auto"/>
              <w:rPr>
                <w:b/>
                <w:bCs/>
                <w:sz w:val="20"/>
                <w:szCs w:val="20"/>
              </w:rPr>
            </w:pPr>
            <w:r w:rsidRPr="00316DA0">
              <w:rPr>
                <w:b/>
                <w:bCs/>
                <w:sz w:val="20"/>
                <w:szCs w:val="20"/>
              </w:rPr>
              <w:t>Risk stratification</w:t>
            </w:r>
          </w:p>
        </w:tc>
      </w:tr>
      <w:tr w:rsidR="000D53F2" w:rsidRPr="00DA4E9C" w14:paraId="5BD73D31" w14:textId="33912569" w:rsidTr="000D53F2">
        <w:tc>
          <w:tcPr>
            <w:tcW w:w="640" w:type="pct"/>
          </w:tcPr>
          <w:p w14:paraId="4DFF379D" w14:textId="419352C0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 xml:space="preserve">Bleeding risk: </w:t>
            </w:r>
            <w:r w:rsidR="004E51AF">
              <w:rPr>
                <w:sz w:val="20"/>
                <w:szCs w:val="20"/>
              </w:rPr>
              <w:br/>
            </w:r>
            <w:r w:rsidRPr="00316DA0">
              <w:rPr>
                <w:sz w:val="20"/>
                <w:szCs w:val="20"/>
              </w:rPr>
              <w:t>V</w:t>
            </w:r>
            <w:r w:rsidR="004E51AF">
              <w:rPr>
                <w:sz w:val="20"/>
                <w:szCs w:val="20"/>
              </w:rPr>
              <w:t>ery</w:t>
            </w:r>
            <w:r w:rsidRPr="00316DA0">
              <w:rPr>
                <w:sz w:val="20"/>
                <w:szCs w:val="20"/>
              </w:rPr>
              <w:t xml:space="preserve"> high</w:t>
            </w:r>
          </w:p>
        </w:tc>
        <w:tc>
          <w:tcPr>
            <w:tcW w:w="781" w:type="pct"/>
          </w:tcPr>
          <w:p w14:paraId="53055F05" w14:textId="77777777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</w:tc>
        <w:tc>
          <w:tcPr>
            <w:tcW w:w="813" w:type="pct"/>
          </w:tcPr>
          <w:p w14:paraId="101B2C9E" w14:textId="77777777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</w:tc>
        <w:tc>
          <w:tcPr>
            <w:tcW w:w="864" w:type="pct"/>
          </w:tcPr>
          <w:p w14:paraId="7D8B6F27" w14:textId="77777777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</w:tc>
        <w:tc>
          <w:tcPr>
            <w:tcW w:w="915" w:type="pct"/>
          </w:tcPr>
          <w:p w14:paraId="69342F7D" w14:textId="77777777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</w:tc>
        <w:tc>
          <w:tcPr>
            <w:tcW w:w="987" w:type="pct"/>
          </w:tcPr>
          <w:p w14:paraId="120EC639" w14:textId="77777777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</w:tc>
      </w:tr>
      <w:tr w:rsidR="000D53F2" w:rsidRPr="00DA4E9C" w14:paraId="0A0942E7" w14:textId="6BDF514E" w:rsidTr="000D53F2">
        <w:tc>
          <w:tcPr>
            <w:tcW w:w="640" w:type="pct"/>
          </w:tcPr>
          <w:p w14:paraId="3C8694D2" w14:textId="36A79C4A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lastRenderedPageBreak/>
              <w:t>Bleeding risk: High</w:t>
            </w:r>
          </w:p>
        </w:tc>
        <w:tc>
          <w:tcPr>
            <w:tcW w:w="781" w:type="pct"/>
          </w:tcPr>
          <w:p w14:paraId="12081B73" w14:textId="1F865EA5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 xml:space="preserve">Y: </w:t>
            </w:r>
            <w:r w:rsidRPr="00210F6A">
              <w:rPr>
                <w:sz w:val="20"/>
                <w:szCs w:val="20"/>
              </w:rPr>
              <w:t xml:space="preserve">≥ </w:t>
            </w:r>
            <w:r>
              <w:rPr>
                <w:sz w:val="20"/>
                <w:szCs w:val="20"/>
              </w:rPr>
              <w:t xml:space="preserve">1 </w:t>
            </w:r>
            <w:r w:rsidRPr="00316DA0">
              <w:rPr>
                <w:sz w:val="20"/>
                <w:szCs w:val="20"/>
              </w:rPr>
              <w:t>additional clinical feature and one angiographic feature associated with a high risk of ischemic or bleeding events</w:t>
            </w:r>
            <w:r>
              <w:rPr>
                <w:sz w:val="20"/>
                <w:szCs w:val="20"/>
              </w:rPr>
              <w:t xml:space="preserve"> (</w:t>
            </w:r>
            <w:r w:rsidRPr="000D6447">
              <w:rPr>
                <w:sz w:val="20"/>
                <w:szCs w:val="20"/>
              </w:rPr>
              <w:t>PRECISE-DAPT</w:t>
            </w:r>
            <w:r>
              <w:rPr>
                <w:sz w:val="20"/>
                <w:szCs w:val="20"/>
              </w:rPr>
              <w:t>/PARIS)</w:t>
            </w:r>
          </w:p>
        </w:tc>
        <w:tc>
          <w:tcPr>
            <w:tcW w:w="813" w:type="pct"/>
          </w:tcPr>
          <w:p w14:paraId="5C11D87A" w14:textId="568C754E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</w:tc>
        <w:tc>
          <w:tcPr>
            <w:tcW w:w="864" w:type="pct"/>
          </w:tcPr>
          <w:p w14:paraId="33AAA806" w14:textId="5AB2CA8F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</w:tc>
        <w:tc>
          <w:tcPr>
            <w:tcW w:w="915" w:type="pct"/>
          </w:tcPr>
          <w:p w14:paraId="34FCB0A4" w14:textId="4750A415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>Y: PARIS (19.3-20.1%)</w:t>
            </w:r>
            <w:r w:rsidR="00410258">
              <w:rPr>
                <w:sz w:val="20"/>
                <w:szCs w:val="20"/>
              </w:rPr>
              <w:t xml:space="preserve">; </w:t>
            </w:r>
            <w:r w:rsidRPr="00316DA0">
              <w:rPr>
                <w:sz w:val="20"/>
                <w:szCs w:val="20"/>
              </w:rPr>
              <w:t>CREDO (7.1-7.4%)</w:t>
            </w:r>
          </w:p>
        </w:tc>
        <w:tc>
          <w:tcPr>
            <w:tcW w:w="987" w:type="pct"/>
          </w:tcPr>
          <w:p w14:paraId="5D1161D6" w14:textId="23DC95D7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</w:tc>
      </w:tr>
      <w:tr w:rsidR="000D53F2" w:rsidRPr="00DA4E9C" w14:paraId="45F16109" w14:textId="3BAEAE78" w:rsidTr="000D53F2">
        <w:tc>
          <w:tcPr>
            <w:tcW w:w="640" w:type="pct"/>
          </w:tcPr>
          <w:p w14:paraId="033A77CB" w14:textId="2A62869C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>Bleeding risk: Med</w:t>
            </w:r>
            <w:r w:rsidR="004E51AF">
              <w:rPr>
                <w:sz w:val="20"/>
                <w:szCs w:val="20"/>
              </w:rPr>
              <w:t>ium</w:t>
            </w:r>
          </w:p>
        </w:tc>
        <w:tc>
          <w:tcPr>
            <w:tcW w:w="781" w:type="pct"/>
          </w:tcPr>
          <w:p w14:paraId="75125A85" w14:textId="77777777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</w:tc>
        <w:tc>
          <w:tcPr>
            <w:tcW w:w="813" w:type="pct"/>
          </w:tcPr>
          <w:p w14:paraId="5C278DDD" w14:textId="77777777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</w:tc>
        <w:tc>
          <w:tcPr>
            <w:tcW w:w="864" w:type="pct"/>
          </w:tcPr>
          <w:p w14:paraId="747A3744" w14:textId="77777777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</w:tc>
        <w:tc>
          <w:tcPr>
            <w:tcW w:w="915" w:type="pct"/>
          </w:tcPr>
          <w:p w14:paraId="0FA71FB2" w14:textId="58D86520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>Y: PARIS (50.5-53.1%)</w:t>
            </w:r>
            <w:r w:rsidR="00410258">
              <w:rPr>
                <w:sz w:val="20"/>
                <w:szCs w:val="20"/>
              </w:rPr>
              <w:t xml:space="preserve">; </w:t>
            </w:r>
            <w:r w:rsidRPr="00316DA0">
              <w:rPr>
                <w:sz w:val="20"/>
                <w:szCs w:val="20"/>
              </w:rPr>
              <w:t>CREDO (26.5-26.6%)</w:t>
            </w:r>
          </w:p>
        </w:tc>
        <w:tc>
          <w:tcPr>
            <w:tcW w:w="987" w:type="pct"/>
          </w:tcPr>
          <w:p w14:paraId="1977AA09" w14:textId="77777777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</w:tc>
      </w:tr>
      <w:tr w:rsidR="000D53F2" w:rsidRPr="00DA4E9C" w14:paraId="75F37061" w14:textId="1E9BB9B6" w:rsidTr="000D53F2">
        <w:tc>
          <w:tcPr>
            <w:tcW w:w="640" w:type="pct"/>
          </w:tcPr>
          <w:p w14:paraId="2058507E" w14:textId="5EC9444F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>Bleeding risk: Low</w:t>
            </w:r>
          </w:p>
        </w:tc>
        <w:tc>
          <w:tcPr>
            <w:tcW w:w="781" w:type="pct"/>
          </w:tcPr>
          <w:p w14:paraId="7714AA91" w14:textId="15B7DCB8" w:rsidR="000D53F2" w:rsidRPr="00316DA0" w:rsidRDefault="000D53F2" w:rsidP="00373EEE">
            <w:pPr>
              <w:tabs>
                <w:tab w:val="center" w:pos="800"/>
              </w:tabs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ab/>
            </w:r>
          </w:p>
        </w:tc>
        <w:tc>
          <w:tcPr>
            <w:tcW w:w="813" w:type="pct"/>
          </w:tcPr>
          <w:p w14:paraId="6EE070BD" w14:textId="657D2865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>Y: without increased risk of bleeding</w:t>
            </w:r>
          </w:p>
        </w:tc>
        <w:tc>
          <w:tcPr>
            <w:tcW w:w="864" w:type="pct"/>
          </w:tcPr>
          <w:p w14:paraId="3351EA70" w14:textId="1811A359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>Y: no known overt major bleeding, history intracranial haemorrhage, stroke within previous 30 days</w:t>
            </w:r>
          </w:p>
        </w:tc>
        <w:tc>
          <w:tcPr>
            <w:tcW w:w="915" w:type="pct"/>
          </w:tcPr>
          <w:p w14:paraId="1F67D010" w14:textId="537152A4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>Y: PARIS (27.6-29.4%)</w:t>
            </w:r>
            <w:r w:rsidR="00410258">
              <w:rPr>
                <w:sz w:val="20"/>
                <w:szCs w:val="20"/>
              </w:rPr>
              <w:t xml:space="preserve">; </w:t>
            </w:r>
            <w:r w:rsidRPr="00316DA0">
              <w:rPr>
                <w:sz w:val="20"/>
                <w:szCs w:val="20"/>
              </w:rPr>
              <w:t>CREDO (66-66.4%)</w:t>
            </w:r>
          </w:p>
          <w:p w14:paraId="2A92EB19" w14:textId="77777777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  <w:p w14:paraId="689B9431" w14:textId="061520E6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</w:tc>
        <w:tc>
          <w:tcPr>
            <w:tcW w:w="987" w:type="pct"/>
          </w:tcPr>
          <w:p w14:paraId="3390FCE9" w14:textId="606D31D2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>Y</w:t>
            </w:r>
          </w:p>
        </w:tc>
      </w:tr>
      <w:tr w:rsidR="000D53F2" w:rsidRPr="00DA4E9C" w14:paraId="5DD55EC3" w14:textId="6FBEDFD0" w:rsidTr="000D53F2">
        <w:tc>
          <w:tcPr>
            <w:tcW w:w="5000" w:type="pct"/>
            <w:gridSpan w:val="6"/>
            <w:shd w:val="clear" w:color="auto" w:fill="auto"/>
          </w:tcPr>
          <w:p w14:paraId="6F451BD8" w14:textId="3F2E2B5D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</w:tc>
      </w:tr>
      <w:tr w:rsidR="000D53F2" w:rsidRPr="00DA4E9C" w14:paraId="2C572EEE" w14:textId="30A716B9" w:rsidTr="000D53F2">
        <w:tc>
          <w:tcPr>
            <w:tcW w:w="640" w:type="pct"/>
          </w:tcPr>
          <w:p w14:paraId="3982D5AE" w14:textId="27AD2176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>Thrombotic risk: High</w:t>
            </w:r>
          </w:p>
        </w:tc>
        <w:tc>
          <w:tcPr>
            <w:tcW w:w="781" w:type="pct"/>
          </w:tcPr>
          <w:p w14:paraId="6B4C528B" w14:textId="5F198B72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Y</w:t>
            </w:r>
          </w:p>
        </w:tc>
        <w:tc>
          <w:tcPr>
            <w:tcW w:w="813" w:type="pct"/>
          </w:tcPr>
          <w:p w14:paraId="6A0792A2" w14:textId="77777777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</w:tc>
        <w:tc>
          <w:tcPr>
            <w:tcW w:w="864" w:type="pct"/>
          </w:tcPr>
          <w:p w14:paraId="3F913FAC" w14:textId="77777777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</w:tc>
        <w:tc>
          <w:tcPr>
            <w:tcW w:w="915" w:type="pct"/>
          </w:tcPr>
          <w:p w14:paraId="424475C3" w14:textId="62D8A6C2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>Y: PARIS (14.1-14.3%)</w:t>
            </w:r>
            <w:r w:rsidR="00410258">
              <w:rPr>
                <w:sz w:val="20"/>
                <w:szCs w:val="20"/>
              </w:rPr>
              <w:t xml:space="preserve">; </w:t>
            </w:r>
            <w:r w:rsidRPr="00316DA0">
              <w:rPr>
                <w:sz w:val="20"/>
                <w:szCs w:val="20"/>
              </w:rPr>
              <w:t>CREDO (7.5-8.1)</w:t>
            </w:r>
          </w:p>
        </w:tc>
        <w:tc>
          <w:tcPr>
            <w:tcW w:w="987" w:type="pct"/>
          </w:tcPr>
          <w:p w14:paraId="5766903B" w14:textId="2E571E8A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>Low</w:t>
            </w:r>
          </w:p>
        </w:tc>
      </w:tr>
      <w:tr w:rsidR="000D53F2" w:rsidRPr="00DA4E9C" w14:paraId="4227FEBC" w14:textId="4A2DCE17" w:rsidTr="000D53F2">
        <w:tc>
          <w:tcPr>
            <w:tcW w:w="640" w:type="pct"/>
          </w:tcPr>
          <w:p w14:paraId="5123E0E6" w14:textId="58F11BBD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lastRenderedPageBreak/>
              <w:t>Thrombotic risk: Med</w:t>
            </w:r>
            <w:r w:rsidR="004E51AF">
              <w:rPr>
                <w:sz w:val="20"/>
                <w:szCs w:val="20"/>
              </w:rPr>
              <w:t>ium</w:t>
            </w:r>
          </w:p>
        </w:tc>
        <w:tc>
          <w:tcPr>
            <w:tcW w:w="781" w:type="pct"/>
          </w:tcPr>
          <w:p w14:paraId="6877A866" w14:textId="77777777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</w:tc>
        <w:tc>
          <w:tcPr>
            <w:tcW w:w="813" w:type="pct"/>
          </w:tcPr>
          <w:p w14:paraId="518450E2" w14:textId="77777777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</w:tc>
        <w:tc>
          <w:tcPr>
            <w:tcW w:w="864" w:type="pct"/>
          </w:tcPr>
          <w:p w14:paraId="5C1FC34B" w14:textId="77777777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</w:tc>
        <w:tc>
          <w:tcPr>
            <w:tcW w:w="915" w:type="pct"/>
          </w:tcPr>
          <w:p w14:paraId="4994023E" w14:textId="3D7C320C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>Y: PARIS (35.5-37.3%)</w:t>
            </w:r>
            <w:r w:rsidR="00410258">
              <w:rPr>
                <w:sz w:val="20"/>
                <w:szCs w:val="20"/>
              </w:rPr>
              <w:t xml:space="preserve">; </w:t>
            </w:r>
            <w:r w:rsidRPr="00316DA0">
              <w:rPr>
                <w:sz w:val="20"/>
                <w:szCs w:val="20"/>
              </w:rPr>
              <w:t>CREDO (21.2-23.7%)</w:t>
            </w:r>
          </w:p>
        </w:tc>
        <w:tc>
          <w:tcPr>
            <w:tcW w:w="987" w:type="pct"/>
          </w:tcPr>
          <w:p w14:paraId="4E26D0E0" w14:textId="77777777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</w:tc>
      </w:tr>
      <w:tr w:rsidR="000D53F2" w:rsidRPr="00DA4E9C" w14:paraId="256B5A7A" w14:textId="3A2CEA6E" w:rsidTr="000D53F2">
        <w:tc>
          <w:tcPr>
            <w:tcW w:w="640" w:type="pct"/>
          </w:tcPr>
          <w:p w14:paraId="501E814E" w14:textId="147E8BB1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>Thrombotic risk: Low</w:t>
            </w:r>
          </w:p>
        </w:tc>
        <w:tc>
          <w:tcPr>
            <w:tcW w:w="781" w:type="pct"/>
          </w:tcPr>
          <w:p w14:paraId="3D535A83" w14:textId="77777777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</w:tc>
        <w:tc>
          <w:tcPr>
            <w:tcW w:w="813" w:type="pct"/>
          </w:tcPr>
          <w:p w14:paraId="41C430E0" w14:textId="77777777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</w:tc>
        <w:tc>
          <w:tcPr>
            <w:tcW w:w="864" w:type="pct"/>
          </w:tcPr>
          <w:p w14:paraId="1E93E0B0" w14:textId="77777777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</w:tc>
        <w:tc>
          <w:tcPr>
            <w:tcW w:w="915" w:type="pct"/>
          </w:tcPr>
          <w:p w14:paraId="2A1F7537" w14:textId="3DD36AE2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>Y: PARIS (48.6-50.2%)</w:t>
            </w:r>
            <w:r w:rsidR="00410258">
              <w:rPr>
                <w:sz w:val="20"/>
                <w:szCs w:val="20"/>
              </w:rPr>
              <w:t xml:space="preserve">; </w:t>
            </w:r>
            <w:r w:rsidRPr="00316DA0">
              <w:rPr>
                <w:sz w:val="20"/>
                <w:szCs w:val="20"/>
              </w:rPr>
              <w:t>CREDO (68.2-71.3)</w:t>
            </w:r>
          </w:p>
        </w:tc>
        <w:tc>
          <w:tcPr>
            <w:tcW w:w="987" w:type="pct"/>
          </w:tcPr>
          <w:p w14:paraId="13E07814" w14:textId="77777777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</w:tc>
      </w:tr>
      <w:tr w:rsidR="000D53F2" w:rsidRPr="00DA4E9C" w14:paraId="30D19FE8" w14:textId="31923F0C" w:rsidTr="000D53F2">
        <w:tc>
          <w:tcPr>
            <w:tcW w:w="5000" w:type="pct"/>
            <w:gridSpan w:val="6"/>
            <w:shd w:val="clear" w:color="auto" w:fill="ACB9CA" w:themeFill="text2" w:themeFillTint="66"/>
          </w:tcPr>
          <w:p w14:paraId="3F88F03C" w14:textId="22A0D3F4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b/>
                <w:bCs/>
                <w:sz w:val="20"/>
                <w:szCs w:val="20"/>
              </w:rPr>
              <w:t>Stent type</w:t>
            </w:r>
          </w:p>
        </w:tc>
      </w:tr>
      <w:tr w:rsidR="000D53F2" w:rsidRPr="00DA4E9C" w14:paraId="2F1CEA87" w14:textId="7B84239A" w:rsidTr="000D53F2">
        <w:tc>
          <w:tcPr>
            <w:tcW w:w="640" w:type="pct"/>
          </w:tcPr>
          <w:p w14:paraId="74F04924" w14:textId="120CE6ED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>DES</w:t>
            </w:r>
          </w:p>
        </w:tc>
        <w:tc>
          <w:tcPr>
            <w:tcW w:w="781" w:type="pct"/>
          </w:tcPr>
          <w:p w14:paraId="4132DD51" w14:textId="4AC37DAD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>Y</w:t>
            </w:r>
          </w:p>
        </w:tc>
        <w:tc>
          <w:tcPr>
            <w:tcW w:w="813" w:type="pct"/>
          </w:tcPr>
          <w:p w14:paraId="5761545A" w14:textId="4F8940EC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>Y</w:t>
            </w:r>
          </w:p>
        </w:tc>
        <w:tc>
          <w:tcPr>
            <w:tcW w:w="864" w:type="pct"/>
          </w:tcPr>
          <w:p w14:paraId="4BEDD810" w14:textId="15820A06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>Y</w:t>
            </w:r>
          </w:p>
        </w:tc>
        <w:tc>
          <w:tcPr>
            <w:tcW w:w="915" w:type="pct"/>
          </w:tcPr>
          <w:p w14:paraId="7E86AFB5" w14:textId="42105505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>Y</w:t>
            </w:r>
          </w:p>
        </w:tc>
        <w:tc>
          <w:tcPr>
            <w:tcW w:w="987" w:type="pct"/>
          </w:tcPr>
          <w:p w14:paraId="100FA10D" w14:textId="286CB492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>Y</w:t>
            </w:r>
          </w:p>
        </w:tc>
      </w:tr>
      <w:tr w:rsidR="000D53F2" w:rsidRPr="00DA4E9C" w14:paraId="374AE301" w14:textId="00B7E8F7" w:rsidTr="000D53F2">
        <w:tc>
          <w:tcPr>
            <w:tcW w:w="640" w:type="pct"/>
          </w:tcPr>
          <w:p w14:paraId="035E1730" w14:textId="1403DFA7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>BMS/other</w:t>
            </w:r>
          </w:p>
        </w:tc>
        <w:tc>
          <w:tcPr>
            <w:tcW w:w="781" w:type="pct"/>
          </w:tcPr>
          <w:p w14:paraId="4BAC2D41" w14:textId="77777777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</w:tc>
        <w:tc>
          <w:tcPr>
            <w:tcW w:w="813" w:type="pct"/>
          </w:tcPr>
          <w:p w14:paraId="275105E2" w14:textId="77777777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</w:tc>
        <w:tc>
          <w:tcPr>
            <w:tcW w:w="864" w:type="pct"/>
          </w:tcPr>
          <w:p w14:paraId="6A5B7ED3" w14:textId="77777777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</w:tc>
        <w:tc>
          <w:tcPr>
            <w:tcW w:w="915" w:type="pct"/>
          </w:tcPr>
          <w:p w14:paraId="531D48AE" w14:textId="77777777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</w:tc>
        <w:tc>
          <w:tcPr>
            <w:tcW w:w="987" w:type="pct"/>
          </w:tcPr>
          <w:p w14:paraId="257A27DC" w14:textId="77777777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</w:tc>
      </w:tr>
      <w:tr w:rsidR="000D53F2" w:rsidRPr="00DA4E9C" w14:paraId="6C9FECE2" w14:textId="20231A12" w:rsidTr="000D53F2">
        <w:tc>
          <w:tcPr>
            <w:tcW w:w="5000" w:type="pct"/>
            <w:gridSpan w:val="6"/>
            <w:shd w:val="clear" w:color="auto" w:fill="ACB9CA" w:themeFill="text2" w:themeFillTint="66"/>
          </w:tcPr>
          <w:p w14:paraId="630FB502" w14:textId="6CD12841" w:rsidR="000D53F2" w:rsidRPr="00316DA0" w:rsidRDefault="000D53F2" w:rsidP="00373EEE">
            <w:pPr>
              <w:spacing w:line="480" w:lineRule="auto"/>
              <w:rPr>
                <w:b/>
                <w:bCs/>
                <w:sz w:val="20"/>
                <w:szCs w:val="20"/>
              </w:rPr>
            </w:pPr>
            <w:r w:rsidRPr="00316DA0">
              <w:rPr>
                <w:b/>
                <w:bCs/>
                <w:sz w:val="20"/>
                <w:szCs w:val="20"/>
              </w:rPr>
              <w:t>Treatment duration post-PCI</w:t>
            </w:r>
          </w:p>
        </w:tc>
      </w:tr>
      <w:tr w:rsidR="000D53F2" w:rsidRPr="00DA4E9C" w14:paraId="52E235B3" w14:textId="62150C31" w:rsidTr="000D53F2">
        <w:tc>
          <w:tcPr>
            <w:tcW w:w="640" w:type="pct"/>
          </w:tcPr>
          <w:p w14:paraId="4EF3776D" w14:textId="73B5C947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proofErr w:type="gramStart"/>
            <w:r w:rsidRPr="00316DA0">
              <w:rPr>
                <w:sz w:val="20"/>
                <w:szCs w:val="20"/>
              </w:rPr>
              <w:t>1 month</w:t>
            </w:r>
            <w:proofErr w:type="gramEnd"/>
            <w:r w:rsidRPr="00316DA0">
              <w:rPr>
                <w:sz w:val="20"/>
                <w:szCs w:val="20"/>
              </w:rPr>
              <w:t xml:space="preserve"> DAPT</w:t>
            </w:r>
          </w:p>
        </w:tc>
        <w:tc>
          <w:tcPr>
            <w:tcW w:w="781" w:type="pct"/>
          </w:tcPr>
          <w:p w14:paraId="6D39772C" w14:textId="77777777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</w:tc>
        <w:tc>
          <w:tcPr>
            <w:tcW w:w="813" w:type="pct"/>
          </w:tcPr>
          <w:p w14:paraId="509DC660" w14:textId="77777777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</w:tc>
        <w:tc>
          <w:tcPr>
            <w:tcW w:w="864" w:type="pct"/>
          </w:tcPr>
          <w:p w14:paraId="4FD02039" w14:textId="7E8DC592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>Y</w:t>
            </w:r>
          </w:p>
        </w:tc>
        <w:tc>
          <w:tcPr>
            <w:tcW w:w="915" w:type="pct"/>
          </w:tcPr>
          <w:p w14:paraId="7E711241" w14:textId="7F50210C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>Y</w:t>
            </w:r>
          </w:p>
        </w:tc>
        <w:tc>
          <w:tcPr>
            <w:tcW w:w="987" w:type="pct"/>
          </w:tcPr>
          <w:p w14:paraId="52D648DD" w14:textId="77777777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</w:tc>
      </w:tr>
      <w:tr w:rsidR="000D53F2" w:rsidRPr="00DA4E9C" w14:paraId="6B30284A" w14:textId="00A3CA18" w:rsidTr="000D53F2">
        <w:tc>
          <w:tcPr>
            <w:tcW w:w="640" w:type="pct"/>
          </w:tcPr>
          <w:p w14:paraId="0108CE01" w14:textId="2093C57C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>3 months DAPT</w:t>
            </w:r>
          </w:p>
        </w:tc>
        <w:tc>
          <w:tcPr>
            <w:tcW w:w="781" w:type="pct"/>
          </w:tcPr>
          <w:p w14:paraId="49D3AB58" w14:textId="6D051C22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>Y</w:t>
            </w:r>
          </w:p>
        </w:tc>
        <w:tc>
          <w:tcPr>
            <w:tcW w:w="813" w:type="pct"/>
          </w:tcPr>
          <w:p w14:paraId="58612489" w14:textId="6DA78AEB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>Y</w:t>
            </w:r>
          </w:p>
        </w:tc>
        <w:tc>
          <w:tcPr>
            <w:tcW w:w="864" w:type="pct"/>
          </w:tcPr>
          <w:p w14:paraId="21C391B5" w14:textId="77777777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</w:tc>
        <w:tc>
          <w:tcPr>
            <w:tcW w:w="915" w:type="pct"/>
          </w:tcPr>
          <w:p w14:paraId="66B9A2D8" w14:textId="77777777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</w:tc>
        <w:tc>
          <w:tcPr>
            <w:tcW w:w="987" w:type="pct"/>
          </w:tcPr>
          <w:p w14:paraId="7AA92D5B" w14:textId="15881DA8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>Y</w:t>
            </w:r>
          </w:p>
        </w:tc>
      </w:tr>
      <w:tr w:rsidR="000D53F2" w:rsidRPr="00DA4E9C" w14:paraId="7C20DE07" w14:textId="5A09B545" w:rsidTr="000D53F2">
        <w:tc>
          <w:tcPr>
            <w:tcW w:w="640" w:type="pct"/>
          </w:tcPr>
          <w:p w14:paraId="330E943B" w14:textId="6608CC29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>Comparative period (mono vs DAPT)</w:t>
            </w:r>
          </w:p>
        </w:tc>
        <w:tc>
          <w:tcPr>
            <w:tcW w:w="781" w:type="pct"/>
          </w:tcPr>
          <w:p w14:paraId="515975CC" w14:textId="4228FEF6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  <w:r w:rsidRPr="00316DA0">
              <w:rPr>
                <w:sz w:val="20"/>
                <w:szCs w:val="20"/>
              </w:rPr>
              <w:t xml:space="preserve"> months</w:t>
            </w:r>
          </w:p>
        </w:tc>
        <w:tc>
          <w:tcPr>
            <w:tcW w:w="813" w:type="pct"/>
          </w:tcPr>
          <w:p w14:paraId="7008EF32" w14:textId="2D1509D3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  <w:r w:rsidRPr="00316DA0">
              <w:rPr>
                <w:sz w:val="20"/>
                <w:szCs w:val="20"/>
              </w:rPr>
              <w:t xml:space="preserve"> months</w:t>
            </w:r>
          </w:p>
        </w:tc>
        <w:tc>
          <w:tcPr>
            <w:tcW w:w="864" w:type="pct"/>
          </w:tcPr>
          <w:p w14:paraId="21CD3412" w14:textId="5886B8AA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>23 months (T or C)</w:t>
            </w:r>
          </w:p>
        </w:tc>
        <w:tc>
          <w:tcPr>
            <w:tcW w:w="915" w:type="pct"/>
          </w:tcPr>
          <w:p w14:paraId="58536763" w14:textId="099CB44F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987" w:type="pct"/>
          </w:tcPr>
          <w:p w14:paraId="12B21A6F" w14:textId="1D72F93A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</w:tr>
      <w:tr w:rsidR="000D53F2" w:rsidRPr="00DA4E9C" w14:paraId="7A616721" w14:textId="00A969CD" w:rsidTr="000D53F2">
        <w:tc>
          <w:tcPr>
            <w:tcW w:w="5000" w:type="pct"/>
            <w:gridSpan w:val="6"/>
            <w:shd w:val="clear" w:color="auto" w:fill="ACB9CA" w:themeFill="text2" w:themeFillTint="66"/>
          </w:tcPr>
          <w:p w14:paraId="78FF6F65" w14:textId="6C6B9389" w:rsidR="000D53F2" w:rsidRPr="00316DA0" w:rsidRDefault="000D53F2" w:rsidP="00373EEE">
            <w:pPr>
              <w:spacing w:line="480" w:lineRule="auto"/>
              <w:rPr>
                <w:b/>
                <w:bCs/>
                <w:sz w:val="20"/>
                <w:szCs w:val="20"/>
              </w:rPr>
            </w:pPr>
            <w:r w:rsidRPr="00316DA0">
              <w:rPr>
                <w:b/>
                <w:bCs/>
                <w:sz w:val="20"/>
                <w:szCs w:val="20"/>
              </w:rPr>
              <w:t>Other differ</w:t>
            </w:r>
            <w:r w:rsidR="000E73E2">
              <w:rPr>
                <w:b/>
                <w:bCs/>
                <w:sz w:val="20"/>
                <w:szCs w:val="20"/>
              </w:rPr>
              <w:t>ences</w:t>
            </w:r>
          </w:p>
        </w:tc>
      </w:tr>
      <w:tr w:rsidR="000D53F2" w:rsidRPr="00DA4E9C" w14:paraId="55F968A5" w14:textId="54E7B29F" w:rsidTr="000D53F2">
        <w:tc>
          <w:tcPr>
            <w:tcW w:w="640" w:type="pct"/>
          </w:tcPr>
          <w:p w14:paraId="61CDB206" w14:textId="257D4813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>Ethnicity</w:t>
            </w:r>
          </w:p>
        </w:tc>
        <w:tc>
          <w:tcPr>
            <w:tcW w:w="781" w:type="pct"/>
          </w:tcPr>
          <w:p w14:paraId="2B338D89" w14:textId="655A42A2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>N America, Europe, Asia</w:t>
            </w:r>
          </w:p>
        </w:tc>
        <w:tc>
          <w:tcPr>
            <w:tcW w:w="813" w:type="pct"/>
          </w:tcPr>
          <w:p w14:paraId="73C9962F" w14:textId="4721B1CD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>S Korea</w:t>
            </w:r>
          </w:p>
        </w:tc>
        <w:tc>
          <w:tcPr>
            <w:tcW w:w="864" w:type="pct"/>
          </w:tcPr>
          <w:p w14:paraId="17938BFA" w14:textId="61AE4ADC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>WW (18 countries)</w:t>
            </w:r>
          </w:p>
        </w:tc>
        <w:tc>
          <w:tcPr>
            <w:tcW w:w="915" w:type="pct"/>
          </w:tcPr>
          <w:p w14:paraId="126DB5E3" w14:textId="2D34BBC9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>Japan</w:t>
            </w:r>
          </w:p>
        </w:tc>
        <w:tc>
          <w:tcPr>
            <w:tcW w:w="987" w:type="pct"/>
          </w:tcPr>
          <w:p w14:paraId="15E7848F" w14:textId="12C30317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>Korea</w:t>
            </w:r>
          </w:p>
        </w:tc>
      </w:tr>
      <w:tr w:rsidR="000D53F2" w:rsidRPr="00DA4E9C" w14:paraId="64334158" w14:textId="3B5D12C1" w:rsidTr="000D53F2">
        <w:tc>
          <w:tcPr>
            <w:tcW w:w="640" w:type="pct"/>
          </w:tcPr>
          <w:p w14:paraId="461C1831" w14:textId="7D1724F3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>Key exclusion criteria</w:t>
            </w:r>
          </w:p>
        </w:tc>
        <w:tc>
          <w:tcPr>
            <w:tcW w:w="781" w:type="pct"/>
          </w:tcPr>
          <w:p w14:paraId="3ED8E333" w14:textId="6023223B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 xml:space="preserve">STEMI, cardiogenic shock, ongoing long-term treatment with </w:t>
            </w:r>
            <w:r w:rsidRPr="00316DA0">
              <w:rPr>
                <w:sz w:val="20"/>
                <w:szCs w:val="20"/>
              </w:rPr>
              <w:lastRenderedPageBreak/>
              <w:t>oral anticoagulants, contraindication</w:t>
            </w:r>
          </w:p>
        </w:tc>
        <w:tc>
          <w:tcPr>
            <w:tcW w:w="813" w:type="pct"/>
          </w:tcPr>
          <w:p w14:paraId="0AE0DFE1" w14:textId="1EFD5E4B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rFonts w:ascii="Source Sans Pro" w:hAnsi="Source Sans Pro"/>
                <w:color w:val="000000"/>
                <w:sz w:val="20"/>
                <w:szCs w:val="20"/>
                <w:shd w:val="clear" w:color="auto" w:fill="FFFFFF"/>
              </w:rPr>
              <w:lastRenderedPageBreak/>
              <w:t>Increased risk of bleeding, an</w:t>
            </w:r>
            <w:r>
              <w:rPr>
                <w:rFonts w:ascii="Source Sans Pro" w:hAnsi="Source Sans Pro"/>
                <w:color w:val="000000"/>
                <w:sz w:val="20"/>
                <w:szCs w:val="20"/>
                <w:shd w:val="clear" w:color="auto" w:fill="FFFFFF"/>
              </w:rPr>
              <w:t>a</w:t>
            </w:r>
            <w:r w:rsidRPr="00316DA0">
              <w:rPr>
                <w:rFonts w:ascii="Source Sans Pro" w:hAnsi="Source Sans Pro"/>
                <w:color w:val="000000"/>
                <w:sz w:val="20"/>
                <w:szCs w:val="20"/>
                <w:shd w:val="clear" w:color="auto" w:fill="FFFFFF"/>
              </w:rPr>
              <w:t>emia, thrombocytopenia</w:t>
            </w:r>
          </w:p>
          <w:p w14:paraId="2190EC61" w14:textId="77777777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</w:tc>
        <w:tc>
          <w:tcPr>
            <w:tcW w:w="864" w:type="pct"/>
          </w:tcPr>
          <w:p w14:paraId="4FC8F857" w14:textId="7879805C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lastRenderedPageBreak/>
              <w:t xml:space="preserve">Known overt major bleeding, history intracranial haemorrhage, </w:t>
            </w:r>
            <w:r w:rsidRPr="00316DA0">
              <w:rPr>
                <w:sz w:val="20"/>
                <w:szCs w:val="20"/>
              </w:rPr>
              <w:lastRenderedPageBreak/>
              <w:t>stroke within previous 30 days</w:t>
            </w:r>
          </w:p>
        </w:tc>
        <w:tc>
          <w:tcPr>
            <w:tcW w:w="915" w:type="pct"/>
          </w:tcPr>
          <w:p w14:paraId="6BEBF6CC" w14:textId="77777777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</w:tc>
        <w:tc>
          <w:tcPr>
            <w:tcW w:w="987" w:type="pct"/>
          </w:tcPr>
          <w:p w14:paraId="7D3B1362" w14:textId="2031E89F" w:rsidR="000D53F2" w:rsidRPr="00316DA0" w:rsidRDefault="00410258" w:rsidP="00373EEE">
            <w:pPr>
              <w:spacing w:line="48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H</w:t>
            </w:r>
            <w:r w:rsidR="000D53F2" w:rsidRPr="00316DA0">
              <w:rPr>
                <w:sz w:val="20"/>
                <w:szCs w:val="20"/>
              </w:rPr>
              <w:t xml:space="preserve">emodynamic instability or cardiogenic shock; active pathologic bleeding, including </w:t>
            </w:r>
            <w:r w:rsidR="000D53F2" w:rsidRPr="00316DA0">
              <w:rPr>
                <w:sz w:val="20"/>
                <w:szCs w:val="20"/>
              </w:rPr>
              <w:lastRenderedPageBreak/>
              <w:t>gastrointestinal or genitourinary bleeding</w:t>
            </w:r>
          </w:p>
          <w:p w14:paraId="5667DE1A" w14:textId="77777777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</w:p>
        </w:tc>
      </w:tr>
      <w:tr w:rsidR="000D53F2" w:rsidRPr="00DA4E9C" w14:paraId="07D5D020" w14:textId="1DE111AC" w:rsidTr="000D53F2">
        <w:trPr>
          <w:trHeight w:val="55"/>
        </w:trPr>
        <w:tc>
          <w:tcPr>
            <w:tcW w:w="640" w:type="pct"/>
          </w:tcPr>
          <w:p w14:paraId="5E75A4CD" w14:textId="53D0391E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lastRenderedPageBreak/>
              <w:t>Bleeding criteria</w:t>
            </w:r>
          </w:p>
        </w:tc>
        <w:tc>
          <w:tcPr>
            <w:tcW w:w="781" w:type="pct"/>
          </w:tcPr>
          <w:p w14:paraId="6240349F" w14:textId="4F001373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>Primary: BARC 2-5; secondary: TIMI, GUSTO, ISTH, BARC 3/5</w:t>
            </w:r>
          </w:p>
        </w:tc>
        <w:tc>
          <w:tcPr>
            <w:tcW w:w="813" w:type="pct"/>
          </w:tcPr>
          <w:p w14:paraId="542FA408" w14:textId="7FEC9C41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TIMI</w:t>
            </w:r>
          </w:p>
        </w:tc>
        <w:tc>
          <w:tcPr>
            <w:tcW w:w="864" w:type="pct"/>
          </w:tcPr>
          <w:p w14:paraId="42B4B2CE" w14:textId="710B52DC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BARC</w:t>
            </w:r>
          </w:p>
        </w:tc>
        <w:tc>
          <w:tcPr>
            <w:tcW w:w="915" w:type="pct"/>
          </w:tcPr>
          <w:p w14:paraId="293C51E5" w14:textId="04800E84" w:rsidR="000D53F2" w:rsidRPr="00316DA0" w:rsidRDefault="000D53F2" w:rsidP="00373EEE">
            <w:pPr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>GUSTO</w:t>
            </w:r>
          </w:p>
        </w:tc>
        <w:tc>
          <w:tcPr>
            <w:tcW w:w="987" w:type="pct"/>
          </w:tcPr>
          <w:p w14:paraId="0A1E757E" w14:textId="5A76B250" w:rsidR="000D53F2" w:rsidRPr="00316DA0" w:rsidRDefault="000D53F2" w:rsidP="00373EEE">
            <w:pPr>
              <w:tabs>
                <w:tab w:val="left" w:pos="506"/>
              </w:tabs>
              <w:spacing w:line="480" w:lineRule="auto"/>
              <w:rPr>
                <w:sz w:val="20"/>
                <w:szCs w:val="20"/>
              </w:rPr>
            </w:pPr>
            <w:r w:rsidRPr="00316DA0">
              <w:rPr>
                <w:sz w:val="20"/>
                <w:szCs w:val="20"/>
              </w:rPr>
              <w:t>BARC</w:t>
            </w:r>
          </w:p>
        </w:tc>
      </w:tr>
    </w:tbl>
    <w:p w14:paraId="6172AD7A" w14:textId="77777777" w:rsidR="00124096" w:rsidRDefault="00124096" w:rsidP="00124096"/>
    <w:p w14:paraId="6D878966" w14:textId="3D89F1E4" w:rsidR="00124096" w:rsidRPr="00124096" w:rsidRDefault="00124096" w:rsidP="00124096">
      <w:pPr>
        <w:spacing w:line="480" w:lineRule="auto"/>
      </w:pPr>
      <w:r w:rsidRPr="00505535">
        <w:rPr>
          <w:sz w:val="22"/>
          <w:szCs w:val="22"/>
        </w:rPr>
        <w:t>ACS, acute coronary syndrome; BARC, Bleeding Academic Research Consortium; BMS, bare metal stent; C, clopidogrel; CREDO-K</w:t>
      </w:r>
      <w:r>
        <w:rPr>
          <w:sz w:val="22"/>
          <w:szCs w:val="22"/>
        </w:rPr>
        <w:t>yoto</w:t>
      </w:r>
      <w:r w:rsidRPr="00505535">
        <w:rPr>
          <w:sz w:val="22"/>
          <w:szCs w:val="22"/>
        </w:rPr>
        <w:t>, Coronary Revascularization Demonstrating Outcome Study in Kyoto; DAPT, dual antiplatelet therapy; DES, drug-eluting stent; GUSTO, Global Utilization of Streptokinase and T</w:t>
      </w:r>
      <w:r w:rsidR="00D1674A">
        <w:rPr>
          <w:sz w:val="22"/>
          <w:szCs w:val="22"/>
        </w:rPr>
        <w:t>PA</w:t>
      </w:r>
      <w:r w:rsidRPr="00505535">
        <w:rPr>
          <w:sz w:val="22"/>
          <w:szCs w:val="22"/>
        </w:rPr>
        <w:t xml:space="preserve"> for Occluded arteries; ISTH, International Society on Thrombosis and Haemostasis; MI, myocardial infarction; Mono, monotherapy; P, prasugrel; PARIS, Patterns of Non-Adherence to Anti-Platelet Regimens in Stented Patients; PCI, percutaneous </w:t>
      </w:r>
      <w:r w:rsidR="00B1497F">
        <w:rPr>
          <w:sz w:val="22"/>
          <w:szCs w:val="22"/>
        </w:rPr>
        <w:t xml:space="preserve">coronary </w:t>
      </w:r>
      <w:r w:rsidRPr="00505535">
        <w:rPr>
          <w:sz w:val="22"/>
          <w:szCs w:val="22"/>
        </w:rPr>
        <w:t>intervention; PRECISE-DAPT, Predicting Bleeding Complications in Patients Undergoing Stent Implantation and Subsequent Dual Antiplatelet Therapy; S</w:t>
      </w:r>
      <w:r w:rsidR="000C08A2">
        <w:rPr>
          <w:sz w:val="22"/>
          <w:szCs w:val="22"/>
        </w:rPr>
        <w:t>IH</w:t>
      </w:r>
      <w:r w:rsidRPr="00505535">
        <w:rPr>
          <w:sz w:val="22"/>
          <w:szCs w:val="22"/>
        </w:rPr>
        <w:t xml:space="preserve">D, stable </w:t>
      </w:r>
      <w:r w:rsidR="00791CE9">
        <w:rPr>
          <w:sz w:val="22"/>
          <w:szCs w:val="22"/>
        </w:rPr>
        <w:t>ischaemic heart</w:t>
      </w:r>
      <w:r w:rsidRPr="00505535">
        <w:rPr>
          <w:sz w:val="22"/>
          <w:szCs w:val="22"/>
        </w:rPr>
        <w:t xml:space="preserve"> disease; STEMI, ST-elevation myocardial infarction; T, ticagrelor; TIMI, Thrombolysis In Myocardial Infarction</w:t>
      </w:r>
      <w:r w:rsidR="00373EEE">
        <w:rPr>
          <w:sz w:val="22"/>
          <w:szCs w:val="22"/>
        </w:rPr>
        <w:t>.</w:t>
      </w:r>
    </w:p>
    <w:p w14:paraId="317EF049" w14:textId="377946CE" w:rsidR="00124096" w:rsidRDefault="00124096" w:rsidP="007473CF">
      <w:pPr>
        <w:sectPr w:rsidR="00124096" w:rsidSect="00750957">
          <w:pgSz w:w="16838" w:h="11906" w:orient="landscape"/>
          <w:pgMar w:top="1440" w:right="1440" w:bottom="1440" w:left="1440" w:header="708" w:footer="708" w:gutter="0"/>
          <w:cols w:space="708"/>
          <w:docGrid w:linePitch="360"/>
        </w:sectPr>
      </w:pPr>
    </w:p>
    <w:p w14:paraId="6DD4FBB4" w14:textId="267A7D24" w:rsidR="00426BD8" w:rsidRDefault="00426BD8" w:rsidP="00426BD8">
      <w:pPr>
        <w:spacing w:line="480" w:lineRule="auto"/>
        <w:rPr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Figure 1 Optimal monotherapy use after initial period of DAPT in NSTE-ACS patients at HBR:</w:t>
      </w:r>
      <w:r>
        <w:rPr>
          <w:sz w:val="22"/>
          <w:szCs w:val="22"/>
        </w:rPr>
        <w:t xml:space="preserve"> Respondents were asked whether they (A) agreed with the use of monotherapy following an initial period of DAPT (Yes, 94%; No, 6%), and (B) for those who agreed with the use of monotherapy, what they felt the optimal duration of monotherapy was after initial duration of DAPT (&gt;12 months, 72%; 1–12 months, 22%; Other, 6%).</w:t>
      </w:r>
    </w:p>
    <w:p w14:paraId="441FA30C" w14:textId="0CBEDC74" w:rsidR="00426BD8" w:rsidRDefault="00426BD8" w:rsidP="00426BD8">
      <w:pPr>
        <w:spacing w:line="480" w:lineRule="auto"/>
        <w:rPr>
          <w:sz w:val="22"/>
          <w:szCs w:val="22"/>
        </w:rPr>
      </w:pPr>
    </w:p>
    <w:p w14:paraId="7A4BBE02" w14:textId="77777777" w:rsidR="00426BD8" w:rsidRPr="00845A98" w:rsidRDefault="00426BD8" w:rsidP="00426BD8">
      <w:pPr>
        <w:spacing w:line="480" w:lineRule="auto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Figure 2 Optimal monotherapy choice in DAPT duration in NSTE-ACS patients at HBR: </w:t>
      </w:r>
      <w:r>
        <w:rPr>
          <w:sz w:val="22"/>
          <w:szCs w:val="22"/>
        </w:rPr>
        <w:t>Respondents were asked to select (A) ideal monotherapy choice irrespective of any current barriers to access (ASA, 46%; clopidogrel, 26%; ticagrelor, 22%; prasugrel, 4%; Other, 2%); (B) optimal period of DAPT (3 months, 39%; 12 months, 22%; 6 months, 18%; 1 month, 11%; &gt;12 months, 5%; Other, 2%).</w:t>
      </w:r>
    </w:p>
    <w:p w14:paraId="111C007F" w14:textId="77777777" w:rsidR="00426BD8" w:rsidRDefault="00426BD8" w:rsidP="00426BD8">
      <w:pPr>
        <w:spacing w:line="480" w:lineRule="auto"/>
        <w:rPr>
          <w:b/>
          <w:bCs/>
          <w:sz w:val="22"/>
          <w:szCs w:val="22"/>
        </w:rPr>
      </w:pPr>
    </w:p>
    <w:p w14:paraId="7C537400" w14:textId="74338B25" w:rsidR="00562A12" w:rsidRDefault="00562A12" w:rsidP="00562A12">
      <w:pPr>
        <w:spacing w:line="480" w:lineRule="auto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Figure 3 Bleeding and thrombotic risk assessment practices: </w:t>
      </w:r>
      <w:r>
        <w:rPr>
          <w:sz w:val="22"/>
          <w:szCs w:val="22"/>
        </w:rPr>
        <w:t>Respondents were asked which method they most frequently used for assessing (A) bleeding risk and (B) thrombotic risk in NSTE-ACS patients following PCI.</w:t>
      </w:r>
      <w:r>
        <w:rPr>
          <w:b/>
          <w:bCs/>
          <w:sz w:val="22"/>
          <w:szCs w:val="22"/>
        </w:rPr>
        <w:t xml:space="preserve">  </w:t>
      </w:r>
    </w:p>
    <w:p w14:paraId="786DEDB8" w14:textId="77777777" w:rsidR="00562A12" w:rsidRDefault="00562A12" w:rsidP="00562A12">
      <w:pPr>
        <w:spacing w:line="480" w:lineRule="auto"/>
        <w:rPr>
          <w:b/>
          <w:bCs/>
          <w:sz w:val="22"/>
          <w:szCs w:val="22"/>
        </w:rPr>
      </w:pPr>
    </w:p>
    <w:p w14:paraId="20263107" w14:textId="77777777" w:rsidR="00562A12" w:rsidRDefault="00562A12" w:rsidP="00562A12">
      <w:pPr>
        <w:spacing w:line="480" w:lineRule="auto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Figure 4</w:t>
      </w:r>
      <w:r w:rsidRPr="007F4C1A">
        <w:rPr>
          <w:b/>
          <w:bCs/>
          <w:sz w:val="22"/>
          <w:szCs w:val="22"/>
        </w:rPr>
        <w:t xml:space="preserve"> </w:t>
      </w:r>
      <w:r>
        <w:rPr>
          <w:b/>
          <w:bCs/>
          <w:sz w:val="22"/>
          <w:szCs w:val="22"/>
        </w:rPr>
        <w:t xml:space="preserve">Routine practice alignment with clinical practice guidelines: </w:t>
      </w:r>
      <w:r>
        <w:rPr>
          <w:sz w:val="22"/>
          <w:szCs w:val="22"/>
        </w:rPr>
        <w:t>Respondents were asked how often their routine practice, with respect to the use of antiplatelet therapy in NSTE-ACS patients at HBR post-PCI, aligned with (A) current ESC recommendations and (B) ACC/AHA recommendations.</w:t>
      </w:r>
    </w:p>
    <w:p w14:paraId="603935DE" w14:textId="0608EF94" w:rsidR="007473CF" w:rsidRDefault="007473CF" w:rsidP="007473CF"/>
    <w:p w14:paraId="1FDBB452" w14:textId="05983EB0" w:rsidR="00562A12" w:rsidRDefault="00562A12" w:rsidP="007473CF"/>
    <w:p w14:paraId="3CA99D4F" w14:textId="77777777" w:rsidR="00562A12" w:rsidRDefault="00562A12" w:rsidP="007473CF"/>
    <w:sectPr w:rsidR="00562A12" w:rsidSect="00426BD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Source Sans Pro">
    <w:panose1 w:val="020B0503030403020204"/>
    <w:charset w:val="00"/>
    <w:family w:val="swiss"/>
    <w:pitch w:val="variable"/>
    <w:sig w:usb0="600002F7" w:usb1="02000001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5CB15A7"/>
    <w:multiLevelType w:val="hybridMultilevel"/>
    <w:tmpl w:val="ABF2FFC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363296C"/>
    <w:multiLevelType w:val="hybridMultilevel"/>
    <w:tmpl w:val="A6E89C8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D1D3DFA"/>
    <w:multiLevelType w:val="hybridMultilevel"/>
    <w:tmpl w:val="E4B6BE30"/>
    <w:lvl w:ilvl="0" w:tplc="D5384BA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EFA1C2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D1AC71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3EC9D3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742B06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500E67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94243E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46877C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A12529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 w15:restartNumberingAfterBreak="0">
    <w:nsid w:val="3EDE794B"/>
    <w:multiLevelType w:val="hybridMultilevel"/>
    <w:tmpl w:val="23967FA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EE6614E"/>
    <w:multiLevelType w:val="hybridMultilevel"/>
    <w:tmpl w:val="90EC1A4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0"/>
  </w:num>
  <w:num w:numId="3">
    <w:abstractNumId w:val="1"/>
  </w:num>
  <w:num w:numId="4">
    <w:abstractNumId w:val="3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1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1335D"/>
    <w:rsid w:val="000001C6"/>
    <w:rsid w:val="00005165"/>
    <w:rsid w:val="0001617E"/>
    <w:rsid w:val="000201C5"/>
    <w:rsid w:val="00020D98"/>
    <w:rsid w:val="00023D16"/>
    <w:rsid w:val="00025403"/>
    <w:rsid w:val="000258C7"/>
    <w:rsid w:val="00034271"/>
    <w:rsid w:val="00052625"/>
    <w:rsid w:val="000543D1"/>
    <w:rsid w:val="000624F4"/>
    <w:rsid w:val="00071FE2"/>
    <w:rsid w:val="000770F7"/>
    <w:rsid w:val="000820BA"/>
    <w:rsid w:val="00083D18"/>
    <w:rsid w:val="00095762"/>
    <w:rsid w:val="00095822"/>
    <w:rsid w:val="00095BB8"/>
    <w:rsid w:val="000A3593"/>
    <w:rsid w:val="000A715C"/>
    <w:rsid w:val="000B047A"/>
    <w:rsid w:val="000B3E50"/>
    <w:rsid w:val="000B7A63"/>
    <w:rsid w:val="000C08A2"/>
    <w:rsid w:val="000D53F2"/>
    <w:rsid w:val="000D6447"/>
    <w:rsid w:val="000E4D6A"/>
    <w:rsid w:val="000E73E2"/>
    <w:rsid w:val="000F145D"/>
    <w:rsid w:val="000F5BE4"/>
    <w:rsid w:val="001112A9"/>
    <w:rsid w:val="00111354"/>
    <w:rsid w:val="00113DCB"/>
    <w:rsid w:val="00124096"/>
    <w:rsid w:val="001419BD"/>
    <w:rsid w:val="0014583C"/>
    <w:rsid w:val="001503BD"/>
    <w:rsid w:val="001550A8"/>
    <w:rsid w:val="00167498"/>
    <w:rsid w:val="0016752A"/>
    <w:rsid w:val="00170516"/>
    <w:rsid w:val="00174AD4"/>
    <w:rsid w:val="00182F03"/>
    <w:rsid w:val="00184BAE"/>
    <w:rsid w:val="00185B0B"/>
    <w:rsid w:val="001867F5"/>
    <w:rsid w:val="001872DF"/>
    <w:rsid w:val="00196979"/>
    <w:rsid w:val="001A1054"/>
    <w:rsid w:val="001A528B"/>
    <w:rsid w:val="001A7812"/>
    <w:rsid w:val="001C69AF"/>
    <w:rsid w:val="001D03C0"/>
    <w:rsid w:val="001D7CDB"/>
    <w:rsid w:val="001E442C"/>
    <w:rsid w:val="001F1CB3"/>
    <w:rsid w:val="001F726E"/>
    <w:rsid w:val="00202E8A"/>
    <w:rsid w:val="00206BD1"/>
    <w:rsid w:val="00210F6A"/>
    <w:rsid w:val="00214081"/>
    <w:rsid w:val="002160C6"/>
    <w:rsid w:val="00232B94"/>
    <w:rsid w:val="0023505F"/>
    <w:rsid w:val="00250521"/>
    <w:rsid w:val="00253739"/>
    <w:rsid w:val="00255398"/>
    <w:rsid w:val="00255C01"/>
    <w:rsid w:val="00257372"/>
    <w:rsid w:val="00266878"/>
    <w:rsid w:val="00270450"/>
    <w:rsid w:val="00272C16"/>
    <w:rsid w:val="002772C8"/>
    <w:rsid w:val="002804DE"/>
    <w:rsid w:val="002855E4"/>
    <w:rsid w:val="002873BE"/>
    <w:rsid w:val="002A21AD"/>
    <w:rsid w:val="002A46AB"/>
    <w:rsid w:val="002A48C0"/>
    <w:rsid w:val="002A4D59"/>
    <w:rsid w:val="002B069F"/>
    <w:rsid w:val="002B29F3"/>
    <w:rsid w:val="002B63A7"/>
    <w:rsid w:val="002D13F6"/>
    <w:rsid w:val="002D2A0F"/>
    <w:rsid w:val="002D2F23"/>
    <w:rsid w:val="002D49F3"/>
    <w:rsid w:val="002E7FE3"/>
    <w:rsid w:val="002F78D2"/>
    <w:rsid w:val="003008BD"/>
    <w:rsid w:val="00306012"/>
    <w:rsid w:val="00307CDB"/>
    <w:rsid w:val="00313063"/>
    <w:rsid w:val="00316DA0"/>
    <w:rsid w:val="00332FE4"/>
    <w:rsid w:val="00335A36"/>
    <w:rsid w:val="003419D7"/>
    <w:rsid w:val="00345457"/>
    <w:rsid w:val="00353D9C"/>
    <w:rsid w:val="003557D5"/>
    <w:rsid w:val="00357680"/>
    <w:rsid w:val="0035789A"/>
    <w:rsid w:val="00364253"/>
    <w:rsid w:val="003726D2"/>
    <w:rsid w:val="00373EEE"/>
    <w:rsid w:val="00374095"/>
    <w:rsid w:val="00374BBD"/>
    <w:rsid w:val="0038160D"/>
    <w:rsid w:val="00381EC6"/>
    <w:rsid w:val="00385431"/>
    <w:rsid w:val="00387242"/>
    <w:rsid w:val="00391DED"/>
    <w:rsid w:val="00394562"/>
    <w:rsid w:val="00395B6F"/>
    <w:rsid w:val="003A08CD"/>
    <w:rsid w:val="003A6CCB"/>
    <w:rsid w:val="003B3BA2"/>
    <w:rsid w:val="003B58F1"/>
    <w:rsid w:val="003D1923"/>
    <w:rsid w:val="003D25EE"/>
    <w:rsid w:val="003D2AA3"/>
    <w:rsid w:val="003D7A9F"/>
    <w:rsid w:val="003E06C8"/>
    <w:rsid w:val="003E22CF"/>
    <w:rsid w:val="003F06E8"/>
    <w:rsid w:val="003F2389"/>
    <w:rsid w:val="003F29E9"/>
    <w:rsid w:val="003F667D"/>
    <w:rsid w:val="00401DFB"/>
    <w:rsid w:val="00406086"/>
    <w:rsid w:val="00410258"/>
    <w:rsid w:val="00416E95"/>
    <w:rsid w:val="00421D1F"/>
    <w:rsid w:val="00425BD7"/>
    <w:rsid w:val="00426BD8"/>
    <w:rsid w:val="004273BB"/>
    <w:rsid w:val="00437C16"/>
    <w:rsid w:val="00441CDD"/>
    <w:rsid w:val="00442535"/>
    <w:rsid w:val="00443251"/>
    <w:rsid w:val="00452213"/>
    <w:rsid w:val="00463504"/>
    <w:rsid w:val="00473CD7"/>
    <w:rsid w:val="00477348"/>
    <w:rsid w:val="00485078"/>
    <w:rsid w:val="00486A83"/>
    <w:rsid w:val="0049421B"/>
    <w:rsid w:val="00494C7A"/>
    <w:rsid w:val="004A1925"/>
    <w:rsid w:val="004A5F64"/>
    <w:rsid w:val="004B297E"/>
    <w:rsid w:val="004B48B8"/>
    <w:rsid w:val="004B61F4"/>
    <w:rsid w:val="004B6495"/>
    <w:rsid w:val="004D0CC9"/>
    <w:rsid w:val="004D13C5"/>
    <w:rsid w:val="004E51AF"/>
    <w:rsid w:val="004F3228"/>
    <w:rsid w:val="005040B7"/>
    <w:rsid w:val="00505535"/>
    <w:rsid w:val="00513591"/>
    <w:rsid w:val="00516165"/>
    <w:rsid w:val="00534108"/>
    <w:rsid w:val="005352F5"/>
    <w:rsid w:val="005367AA"/>
    <w:rsid w:val="005425E5"/>
    <w:rsid w:val="00543881"/>
    <w:rsid w:val="005456DB"/>
    <w:rsid w:val="005511AC"/>
    <w:rsid w:val="005569EF"/>
    <w:rsid w:val="00562A12"/>
    <w:rsid w:val="00564532"/>
    <w:rsid w:val="0057653B"/>
    <w:rsid w:val="0058184B"/>
    <w:rsid w:val="00584F1B"/>
    <w:rsid w:val="005909B3"/>
    <w:rsid w:val="00591194"/>
    <w:rsid w:val="0059223C"/>
    <w:rsid w:val="00592EB1"/>
    <w:rsid w:val="0059795C"/>
    <w:rsid w:val="005A1233"/>
    <w:rsid w:val="005A2405"/>
    <w:rsid w:val="005A60DA"/>
    <w:rsid w:val="005A70D9"/>
    <w:rsid w:val="005B50AA"/>
    <w:rsid w:val="005B5DD9"/>
    <w:rsid w:val="005C56A7"/>
    <w:rsid w:val="005D3D85"/>
    <w:rsid w:val="005D73C2"/>
    <w:rsid w:val="005E03A7"/>
    <w:rsid w:val="005F3CA0"/>
    <w:rsid w:val="005F5011"/>
    <w:rsid w:val="00602DCD"/>
    <w:rsid w:val="00610C0F"/>
    <w:rsid w:val="006142A8"/>
    <w:rsid w:val="00616A94"/>
    <w:rsid w:val="00617047"/>
    <w:rsid w:val="0061731A"/>
    <w:rsid w:val="0062332D"/>
    <w:rsid w:val="006245F4"/>
    <w:rsid w:val="0063655B"/>
    <w:rsid w:val="006610D4"/>
    <w:rsid w:val="00662083"/>
    <w:rsid w:val="00663F96"/>
    <w:rsid w:val="00665565"/>
    <w:rsid w:val="00671AC2"/>
    <w:rsid w:val="0068073B"/>
    <w:rsid w:val="00683BF9"/>
    <w:rsid w:val="006941CE"/>
    <w:rsid w:val="006A3745"/>
    <w:rsid w:val="006A3CAC"/>
    <w:rsid w:val="006A4B39"/>
    <w:rsid w:val="006B5EC5"/>
    <w:rsid w:val="006C5605"/>
    <w:rsid w:val="006D2EAC"/>
    <w:rsid w:val="006D5B5B"/>
    <w:rsid w:val="006E2747"/>
    <w:rsid w:val="0070089B"/>
    <w:rsid w:val="0070303F"/>
    <w:rsid w:val="00720990"/>
    <w:rsid w:val="00720B06"/>
    <w:rsid w:val="007300A4"/>
    <w:rsid w:val="00747316"/>
    <w:rsid w:val="007473CF"/>
    <w:rsid w:val="00750957"/>
    <w:rsid w:val="00752C33"/>
    <w:rsid w:val="00755303"/>
    <w:rsid w:val="00755523"/>
    <w:rsid w:val="007702AB"/>
    <w:rsid w:val="00770F83"/>
    <w:rsid w:val="00772317"/>
    <w:rsid w:val="00774753"/>
    <w:rsid w:val="00777D2A"/>
    <w:rsid w:val="0078075D"/>
    <w:rsid w:val="007818FF"/>
    <w:rsid w:val="00791844"/>
    <w:rsid w:val="00791CE9"/>
    <w:rsid w:val="00792F77"/>
    <w:rsid w:val="007A2AD0"/>
    <w:rsid w:val="007A4793"/>
    <w:rsid w:val="007A5353"/>
    <w:rsid w:val="007A68F4"/>
    <w:rsid w:val="007A7680"/>
    <w:rsid w:val="007B0EDC"/>
    <w:rsid w:val="007B28E4"/>
    <w:rsid w:val="007B5D81"/>
    <w:rsid w:val="007C1272"/>
    <w:rsid w:val="007C4663"/>
    <w:rsid w:val="007D0F91"/>
    <w:rsid w:val="007D1E48"/>
    <w:rsid w:val="007D430F"/>
    <w:rsid w:val="007F0FE8"/>
    <w:rsid w:val="007F4C1A"/>
    <w:rsid w:val="007F5776"/>
    <w:rsid w:val="00801845"/>
    <w:rsid w:val="00830CEC"/>
    <w:rsid w:val="00834464"/>
    <w:rsid w:val="00845A98"/>
    <w:rsid w:val="00846339"/>
    <w:rsid w:val="008503BA"/>
    <w:rsid w:val="00861B1A"/>
    <w:rsid w:val="00864F78"/>
    <w:rsid w:val="00872B21"/>
    <w:rsid w:val="00882FAF"/>
    <w:rsid w:val="008913B5"/>
    <w:rsid w:val="00892316"/>
    <w:rsid w:val="00894F1A"/>
    <w:rsid w:val="008A2490"/>
    <w:rsid w:val="008B6BAB"/>
    <w:rsid w:val="008C0282"/>
    <w:rsid w:val="008C2B2E"/>
    <w:rsid w:val="008C767E"/>
    <w:rsid w:val="008D239B"/>
    <w:rsid w:val="008D39A1"/>
    <w:rsid w:val="008E2743"/>
    <w:rsid w:val="008E565B"/>
    <w:rsid w:val="008E62FD"/>
    <w:rsid w:val="008F508F"/>
    <w:rsid w:val="008F50FE"/>
    <w:rsid w:val="008F585F"/>
    <w:rsid w:val="00901E04"/>
    <w:rsid w:val="0090400B"/>
    <w:rsid w:val="00917539"/>
    <w:rsid w:val="00921152"/>
    <w:rsid w:val="00927BE9"/>
    <w:rsid w:val="00927EB4"/>
    <w:rsid w:val="00945B43"/>
    <w:rsid w:val="009477D3"/>
    <w:rsid w:val="009507E8"/>
    <w:rsid w:val="00986EED"/>
    <w:rsid w:val="00987636"/>
    <w:rsid w:val="00990DC5"/>
    <w:rsid w:val="00990F5C"/>
    <w:rsid w:val="00997CCE"/>
    <w:rsid w:val="009A582B"/>
    <w:rsid w:val="009B1857"/>
    <w:rsid w:val="009B69F2"/>
    <w:rsid w:val="009B71BE"/>
    <w:rsid w:val="009B7287"/>
    <w:rsid w:val="009D0289"/>
    <w:rsid w:val="009D36C0"/>
    <w:rsid w:val="009D6BAC"/>
    <w:rsid w:val="009D7836"/>
    <w:rsid w:val="009E4A71"/>
    <w:rsid w:val="009F721E"/>
    <w:rsid w:val="009F7D2F"/>
    <w:rsid w:val="00A063C9"/>
    <w:rsid w:val="00A118F0"/>
    <w:rsid w:val="00A1335D"/>
    <w:rsid w:val="00A15520"/>
    <w:rsid w:val="00A23F5F"/>
    <w:rsid w:val="00A24095"/>
    <w:rsid w:val="00A32082"/>
    <w:rsid w:val="00A3702E"/>
    <w:rsid w:val="00A44CED"/>
    <w:rsid w:val="00A61AA1"/>
    <w:rsid w:val="00A77E3B"/>
    <w:rsid w:val="00AA026A"/>
    <w:rsid w:val="00AA6BCA"/>
    <w:rsid w:val="00AB3690"/>
    <w:rsid w:val="00AC1C1A"/>
    <w:rsid w:val="00AD0944"/>
    <w:rsid w:val="00AD4283"/>
    <w:rsid w:val="00AE1CB9"/>
    <w:rsid w:val="00AF013C"/>
    <w:rsid w:val="00AF75F5"/>
    <w:rsid w:val="00B00EC4"/>
    <w:rsid w:val="00B02830"/>
    <w:rsid w:val="00B05A2C"/>
    <w:rsid w:val="00B1497F"/>
    <w:rsid w:val="00B17886"/>
    <w:rsid w:val="00B23FF5"/>
    <w:rsid w:val="00B3424C"/>
    <w:rsid w:val="00B34A35"/>
    <w:rsid w:val="00B41AF3"/>
    <w:rsid w:val="00B4349F"/>
    <w:rsid w:val="00B4482D"/>
    <w:rsid w:val="00B64540"/>
    <w:rsid w:val="00B77419"/>
    <w:rsid w:val="00B84FEF"/>
    <w:rsid w:val="00B859A2"/>
    <w:rsid w:val="00B87F6C"/>
    <w:rsid w:val="00BA0322"/>
    <w:rsid w:val="00BA06AB"/>
    <w:rsid w:val="00BB0F19"/>
    <w:rsid w:val="00BB54C2"/>
    <w:rsid w:val="00BC386A"/>
    <w:rsid w:val="00BC7BE3"/>
    <w:rsid w:val="00BC7D64"/>
    <w:rsid w:val="00BD13CE"/>
    <w:rsid w:val="00BD1B87"/>
    <w:rsid w:val="00BD4B0E"/>
    <w:rsid w:val="00BD6157"/>
    <w:rsid w:val="00BE1D12"/>
    <w:rsid w:val="00BE6C40"/>
    <w:rsid w:val="00BF0003"/>
    <w:rsid w:val="00BF2329"/>
    <w:rsid w:val="00C01819"/>
    <w:rsid w:val="00C120F0"/>
    <w:rsid w:val="00C1640A"/>
    <w:rsid w:val="00C24312"/>
    <w:rsid w:val="00C31422"/>
    <w:rsid w:val="00C3318D"/>
    <w:rsid w:val="00C350D4"/>
    <w:rsid w:val="00C35A58"/>
    <w:rsid w:val="00C37245"/>
    <w:rsid w:val="00C45C5A"/>
    <w:rsid w:val="00C47DDC"/>
    <w:rsid w:val="00C523AD"/>
    <w:rsid w:val="00C62035"/>
    <w:rsid w:val="00C651BC"/>
    <w:rsid w:val="00C6608F"/>
    <w:rsid w:val="00C67239"/>
    <w:rsid w:val="00C710A1"/>
    <w:rsid w:val="00C81667"/>
    <w:rsid w:val="00C84D48"/>
    <w:rsid w:val="00C85133"/>
    <w:rsid w:val="00C87CFC"/>
    <w:rsid w:val="00C941E0"/>
    <w:rsid w:val="00CB02CD"/>
    <w:rsid w:val="00CC4267"/>
    <w:rsid w:val="00CD0BF4"/>
    <w:rsid w:val="00D04AEA"/>
    <w:rsid w:val="00D065D0"/>
    <w:rsid w:val="00D07A76"/>
    <w:rsid w:val="00D11260"/>
    <w:rsid w:val="00D1674A"/>
    <w:rsid w:val="00D1712B"/>
    <w:rsid w:val="00D33830"/>
    <w:rsid w:val="00D33D2B"/>
    <w:rsid w:val="00D37D59"/>
    <w:rsid w:val="00D416D9"/>
    <w:rsid w:val="00D42BB9"/>
    <w:rsid w:val="00D439C1"/>
    <w:rsid w:val="00D44379"/>
    <w:rsid w:val="00D444F0"/>
    <w:rsid w:val="00D45079"/>
    <w:rsid w:val="00D4609C"/>
    <w:rsid w:val="00D507B0"/>
    <w:rsid w:val="00D51C56"/>
    <w:rsid w:val="00D60655"/>
    <w:rsid w:val="00D63F6C"/>
    <w:rsid w:val="00D73224"/>
    <w:rsid w:val="00D77140"/>
    <w:rsid w:val="00D8255B"/>
    <w:rsid w:val="00D87B40"/>
    <w:rsid w:val="00D9252F"/>
    <w:rsid w:val="00DA4E9C"/>
    <w:rsid w:val="00DA59D0"/>
    <w:rsid w:val="00DC02AF"/>
    <w:rsid w:val="00DC1F2E"/>
    <w:rsid w:val="00DC23AE"/>
    <w:rsid w:val="00DC3CF2"/>
    <w:rsid w:val="00DD038C"/>
    <w:rsid w:val="00DD0BA1"/>
    <w:rsid w:val="00DD2DFB"/>
    <w:rsid w:val="00DD6F26"/>
    <w:rsid w:val="00DE7726"/>
    <w:rsid w:val="00DF0048"/>
    <w:rsid w:val="00DF0317"/>
    <w:rsid w:val="00DF204C"/>
    <w:rsid w:val="00DF4D1C"/>
    <w:rsid w:val="00DF72DE"/>
    <w:rsid w:val="00DF7B36"/>
    <w:rsid w:val="00E02180"/>
    <w:rsid w:val="00E0395C"/>
    <w:rsid w:val="00E043C2"/>
    <w:rsid w:val="00E04FA7"/>
    <w:rsid w:val="00E11951"/>
    <w:rsid w:val="00E12C28"/>
    <w:rsid w:val="00E16830"/>
    <w:rsid w:val="00E43099"/>
    <w:rsid w:val="00E47B9E"/>
    <w:rsid w:val="00E50569"/>
    <w:rsid w:val="00E54C93"/>
    <w:rsid w:val="00E67CE6"/>
    <w:rsid w:val="00E7303C"/>
    <w:rsid w:val="00E77378"/>
    <w:rsid w:val="00E83061"/>
    <w:rsid w:val="00E91D01"/>
    <w:rsid w:val="00E92BF0"/>
    <w:rsid w:val="00EA0299"/>
    <w:rsid w:val="00EA5929"/>
    <w:rsid w:val="00EA7391"/>
    <w:rsid w:val="00EC20C9"/>
    <w:rsid w:val="00EC5AAD"/>
    <w:rsid w:val="00EC659E"/>
    <w:rsid w:val="00ED2249"/>
    <w:rsid w:val="00ED6820"/>
    <w:rsid w:val="00EE19D6"/>
    <w:rsid w:val="00EE2468"/>
    <w:rsid w:val="00EE636F"/>
    <w:rsid w:val="00EF1936"/>
    <w:rsid w:val="00F00B34"/>
    <w:rsid w:val="00F11B8F"/>
    <w:rsid w:val="00F12B16"/>
    <w:rsid w:val="00F136EF"/>
    <w:rsid w:val="00F41E89"/>
    <w:rsid w:val="00F42655"/>
    <w:rsid w:val="00F45453"/>
    <w:rsid w:val="00F4581A"/>
    <w:rsid w:val="00F56BEB"/>
    <w:rsid w:val="00F5726D"/>
    <w:rsid w:val="00F57288"/>
    <w:rsid w:val="00F61716"/>
    <w:rsid w:val="00F96FBD"/>
    <w:rsid w:val="00FA0031"/>
    <w:rsid w:val="00FA0B83"/>
    <w:rsid w:val="00FA1F87"/>
    <w:rsid w:val="00FA5305"/>
    <w:rsid w:val="00FA691C"/>
    <w:rsid w:val="00FB2414"/>
    <w:rsid w:val="00FB63D9"/>
    <w:rsid w:val="00FD6249"/>
    <w:rsid w:val="00FE2E46"/>
    <w:rsid w:val="00FE482C"/>
    <w:rsid w:val="00FF13A3"/>
    <w:rsid w:val="00FF75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9BF3234"/>
  <w15:chartTrackingRefBased/>
  <w15:docId w15:val="{6C48A4B2-0D21-0C46-8880-9A01E0E7FA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01E04"/>
    <w:pPr>
      <w:ind w:left="720"/>
      <w:contextualSpacing/>
    </w:pPr>
  </w:style>
  <w:style w:type="table" w:styleId="TableGrid">
    <w:name w:val="Table Grid"/>
    <w:basedOn w:val="TableNormal"/>
    <w:uiPriority w:val="39"/>
    <w:rsid w:val="007473C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D8255B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8255B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2492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63372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28867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06676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93791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7755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70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555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48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412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812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534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41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22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836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91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15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63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10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487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6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5.tiff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4.tiff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8.tiff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3.tiff"/><Relationship Id="rId5" Type="http://schemas.openxmlformats.org/officeDocument/2006/relationships/numbering" Target="numbering.xml"/><Relationship Id="rId15" Type="http://schemas.openxmlformats.org/officeDocument/2006/relationships/image" Target="media/image7.tiff"/><Relationship Id="rId10" Type="http://schemas.openxmlformats.org/officeDocument/2006/relationships/image" Target="media/image2.tiff"/><Relationship Id="rId4" Type="http://schemas.openxmlformats.org/officeDocument/2006/relationships/customXml" Target="../customXml/item4.xml"/><Relationship Id="rId9" Type="http://schemas.openxmlformats.org/officeDocument/2006/relationships/image" Target="media/image1.tiff"/><Relationship Id="rId14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igrationWizId xmlns="4efe895d-199d-4dd4-acdc-9f83e9c08568" xsi:nil="true"/>
    <MigrationWizIdDocumentLibraryPermissions xmlns="4efe895d-199d-4dd4-acdc-9f83e9c08568" xsi:nil="true"/>
    <MigrationWizIdPermissionLevels xmlns="4efe895d-199d-4dd4-acdc-9f83e9c08568" xsi:nil="true"/>
    <MigrationWizIdPermissions xmlns="4efe895d-199d-4dd4-acdc-9f83e9c08568" xsi:nil="true"/>
    <MigrationWizIdSecurityGroups xmlns="4efe895d-199d-4dd4-acdc-9f83e9c08568" xsi:nil="true"/>
    <_dlc_DocId xmlns="c7cc2a15-cb35-4b30-a89b-7c645391e49f">7QYV6XFVMMPF-167323429-150114</_dlc_DocId>
    <_dlc_DocIdUrl xmlns="c7cc2a15-cb35-4b30-a89b-7c645391e49f">
      <Url>https://radcliffecardiology.sharepoint.com/sites/Data/_layouts/15/DocIdRedir.aspx?ID=7QYV6XFVMMPF-167323429-150114</Url>
      <Description>7QYV6XFVMMPF-167323429-150114</Description>
    </_dlc_DocIdUrl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47AAF5D0B355D43A75F7E5209A98958" ma:contentTypeVersion="177" ma:contentTypeDescription="Create a new document." ma:contentTypeScope="" ma:versionID="c30f83a5ac25de89a66dca979c0721e3">
  <xsd:schema xmlns:xsd="http://www.w3.org/2001/XMLSchema" xmlns:xs="http://www.w3.org/2001/XMLSchema" xmlns:p="http://schemas.microsoft.com/office/2006/metadata/properties" xmlns:ns2="c7cc2a15-cb35-4b30-a89b-7c645391e49f" xmlns:ns3="4efe895d-199d-4dd4-acdc-9f83e9c08568" targetNamespace="http://schemas.microsoft.com/office/2006/metadata/properties" ma:root="true" ma:fieldsID="1a87dd072e7423c33c581972a8132ce4" ns2:_="" ns3:_="">
    <xsd:import namespace="c7cc2a15-cb35-4b30-a89b-7c645391e49f"/>
    <xsd:import namespace="4efe895d-199d-4dd4-acdc-9f83e9c08568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MigrationWizId" minOccurs="0"/>
                <xsd:element ref="ns3:MigrationWizIdPermissions" minOccurs="0"/>
                <xsd:element ref="ns3:MigrationWizIdPermissionLevels" minOccurs="0"/>
                <xsd:element ref="ns3:MigrationWizIdDocumentLibraryPermissions" minOccurs="0"/>
                <xsd:element ref="ns3:MigrationWizIdSecurityGroup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OCR" minOccurs="0"/>
                <xsd:element ref="ns2:SharedWithUsers" minOccurs="0"/>
                <xsd:element ref="ns2:SharedWithDetails" minOccurs="0"/>
                <xsd:element ref="ns3:MediaServiceLocation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3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7cc2a15-cb35-4b30-a89b-7c645391e49f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2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efe895d-199d-4dd4-acdc-9f83e9c08568" elementFormDefault="qualified">
    <xsd:import namespace="http://schemas.microsoft.com/office/2006/documentManagement/types"/>
    <xsd:import namespace="http://schemas.microsoft.com/office/infopath/2007/PartnerControls"/>
    <xsd:element name="MigrationWizId" ma:index="11" nillable="true" ma:displayName="MigrationWizId" ma:internalName="MigrationWizId">
      <xsd:simpleType>
        <xsd:restriction base="dms:Text"/>
      </xsd:simpleType>
    </xsd:element>
    <xsd:element name="MigrationWizIdPermissions" ma:index="12" nillable="true" ma:displayName="MigrationWizIdPermissions" ma:internalName="MigrationWizIdPermissions">
      <xsd:simpleType>
        <xsd:restriction base="dms:Text"/>
      </xsd:simpleType>
    </xsd:element>
    <xsd:element name="MigrationWizIdPermissionLevels" ma:index="13" nillable="true" ma:displayName="MigrationWizIdPermissionLevels" ma:internalName="MigrationWizIdPermissionLevels">
      <xsd:simpleType>
        <xsd:restriction base="dms:Text"/>
      </xsd:simpleType>
    </xsd:element>
    <xsd:element name="MigrationWizIdDocumentLibraryPermissions" ma:index="14" nillable="true" ma:displayName="MigrationWizIdDocumentLibraryPermissions" ma:internalName="MigrationWizIdDocumentLibraryPermissions">
      <xsd:simpleType>
        <xsd:restriction base="dms:Text"/>
      </xsd:simpleType>
    </xsd:element>
    <xsd:element name="MigrationWizIdSecurityGroups" ma:index="15" nillable="true" ma:displayName="MigrationWizIdSecurityGroups" ma:internalName="MigrationWizIdSecurityGroups">
      <xsd:simpleType>
        <xsd:restriction base="dms:Text"/>
      </xsd:simpleType>
    </xsd:element>
    <xsd:element name="MediaServiceMetadata" ma:index="16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7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9" nillable="true" ma:displayName="Tags" ma:internalName="MediaServiceAutoTags" ma:readOnly="true">
      <xsd:simpleType>
        <xsd:restriction base="dms:Text"/>
      </xsd:simpleType>
    </xsd:element>
    <xsd:element name="MediaServiceOCR" ma:index="2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3" nillable="true" ma:displayName="Location" ma:internalName="MediaServiceLocation" ma:readOnly="true">
      <xsd:simpleType>
        <xsd:restriction base="dms:Text"/>
      </xsd:simpleType>
    </xsd:element>
    <xsd:element name="MediaServiceGenerationTime" ma:index="2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2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8" nillable="true" ma:displayName="Length (seconds)" ma:internalName="MediaLengthInSeconds" ma:readOnly="tru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74E0C379-5D46-4CD9-8AA8-F18E3BDA436D}">
  <ds:schemaRefs>
    <ds:schemaRef ds:uri="http://schemas.microsoft.com/office/2006/metadata/properties"/>
    <ds:schemaRef ds:uri="http://schemas.microsoft.com/office/infopath/2007/PartnerControls"/>
    <ds:schemaRef ds:uri="4efe895d-199d-4dd4-acdc-9f83e9c08568"/>
    <ds:schemaRef ds:uri="c7cc2a15-cb35-4b30-a89b-7c645391e49f"/>
  </ds:schemaRefs>
</ds:datastoreItem>
</file>

<file path=customXml/itemProps2.xml><?xml version="1.0" encoding="utf-8"?>
<ds:datastoreItem xmlns:ds="http://schemas.openxmlformats.org/officeDocument/2006/customXml" ds:itemID="{93AC5794-DD4F-4D5E-9813-C7EA5D52FE20}"/>
</file>

<file path=customXml/itemProps3.xml><?xml version="1.0" encoding="utf-8"?>
<ds:datastoreItem xmlns:ds="http://schemas.openxmlformats.org/officeDocument/2006/customXml" ds:itemID="{65733766-E163-4C02-BAFD-2059D22FC82B}">
  <ds:schemaRefs>
    <ds:schemaRef ds:uri="http://schemas.microsoft.com/sharepoint/events"/>
  </ds:schemaRefs>
</ds:datastoreItem>
</file>

<file path=customXml/itemProps4.xml><?xml version="1.0" encoding="utf-8"?>
<ds:datastoreItem xmlns:ds="http://schemas.openxmlformats.org/officeDocument/2006/customXml" ds:itemID="{2F097D0D-0492-4AA7-98DE-96303A17D83C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11</Pages>
  <Words>858</Words>
  <Characters>5084</Characters>
  <Application>Microsoft Office Word</Application>
  <DocSecurity>0</DocSecurity>
  <Lines>67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Sean Delaney</dc:creator>
  <cp:keywords/>
  <dc:description/>
  <cp:lastModifiedBy>Sean Delaney</cp:lastModifiedBy>
  <cp:revision>11</cp:revision>
  <dcterms:created xsi:type="dcterms:W3CDTF">2021-04-20T14:57:00Z</dcterms:created>
  <dcterms:modified xsi:type="dcterms:W3CDTF">2021-05-04T14:24:00Z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0x010100447AAF5D0B355D43A75F7E5209A98958</vt:lpwstr>
  </property>
  <property fmtid="{D5CDD505-2E9C-101B-9397-08002B2CF9AE}" pid="3" name="_dlc_DocIdItemGuid">
    <vt:lpwstr>6f477553-9c6e-4584-8b5c-a22003146c75</vt:lpwstr>
  </property>
</Properties>
</file>