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82B9" w14:textId="77B90247" w:rsidR="00444F34" w:rsidRPr="00444F34" w:rsidRDefault="00444F34" w:rsidP="00B67081">
      <w:pPr>
        <w:spacing w:after="0" w:line="480" w:lineRule="auto"/>
        <w:rPr>
          <w:rFonts w:cstheme="minorHAnsi"/>
          <w:b/>
          <w:bCs/>
        </w:rPr>
      </w:pPr>
      <w:bookmarkStart w:id="0" w:name="_Hlk52484681"/>
      <w:r w:rsidRPr="00444F34">
        <w:rPr>
          <w:rFonts w:cstheme="minorHAnsi"/>
          <w:b/>
          <w:bCs/>
        </w:rPr>
        <w:t xml:space="preserve">Results of an international crowdsourcing </w:t>
      </w:r>
      <w:r w:rsidR="00A43FE4">
        <w:rPr>
          <w:rFonts w:cstheme="minorHAnsi"/>
          <w:b/>
          <w:bCs/>
        </w:rPr>
        <w:t>survey</w:t>
      </w:r>
      <w:r w:rsidRPr="00444F34">
        <w:rPr>
          <w:rFonts w:cstheme="minorHAnsi"/>
          <w:b/>
          <w:bCs/>
        </w:rPr>
        <w:t xml:space="preserve"> o</w:t>
      </w:r>
      <w:r w:rsidR="00DA4B6C">
        <w:rPr>
          <w:rFonts w:cstheme="minorHAnsi"/>
          <w:b/>
          <w:bCs/>
        </w:rPr>
        <w:t>n</w:t>
      </w:r>
      <w:r w:rsidRPr="00444F34">
        <w:rPr>
          <w:rFonts w:cstheme="minorHAnsi"/>
          <w:b/>
          <w:bCs/>
        </w:rPr>
        <w:t xml:space="preserve"> the treatment of </w:t>
      </w:r>
      <w:r w:rsidR="00192C18">
        <w:rPr>
          <w:rFonts w:cstheme="minorHAnsi"/>
          <w:b/>
          <w:bCs/>
        </w:rPr>
        <w:t>non-ST</w:t>
      </w:r>
      <w:r w:rsidR="00F273E0">
        <w:rPr>
          <w:rFonts w:cstheme="minorHAnsi"/>
          <w:b/>
          <w:bCs/>
        </w:rPr>
        <w:t xml:space="preserve"> segment</w:t>
      </w:r>
      <w:r w:rsidR="00F5421B">
        <w:rPr>
          <w:rFonts w:cstheme="minorHAnsi"/>
          <w:b/>
          <w:bCs/>
        </w:rPr>
        <w:t xml:space="preserve"> </w:t>
      </w:r>
      <w:r w:rsidR="005F46F8">
        <w:rPr>
          <w:rFonts w:cstheme="minorHAnsi"/>
          <w:b/>
          <w:bCs/>
        </w:rPr>
        <w:t xml:space="preserve">elevation </w:t>
      </w:r>
      <w:r w:rsidRPr="00444F34">
        <w:rPr>
          <w:rFonts w:cstheme="minorHAnsi"/>
          <w:b/>
          <w:bCs/>
        </w:rPr>
        <w:t>ACS patients at high-bleeding risk</w:t>
      </w:r>
      <w:r w:rsidR="00674E89">
        <w:rPr>
          <w:rFonts w:cstheme="minorHAnsi"/>
          <w:b/>
          <w:bCs/>
        </w:rPr>
        <w:t xml:space="preserve"> undergoing</w:t>
      </w:r>
      <w:r w:rsidRPr="00444F34">
        <w:rPr>
          <w:rFonts w:cstheme="minorHAnsi"/>
          <w:b/>
          <w:bCs/>
        </w:rPr>
        <w:t xml:space="preserve"> percutaneous intervention</w:t>
      </w:r>
    </w:p>
    <w:bookmarkEnd w:id="0"/>
    <w:p w14:paraId="6B91BB5B" w14:textId="50CD7DE1" w:rsidR="003E757F" w:rsidRDefault="003E757F" w:rsidP="00B67081">
      <w:pPr>
        <w:spacing w:after="0" w:line="480" w:lineRule="auto"/>
        <w:rPr>
          <w:rFonts w:cstheme="minorHAnsi"/>
        </w:rPr>
      </w:pPr>
    </w:p>
    <w:p w14:paraId="23864A66" w14:textId="0A4C20FC" w:rsidR="00781780" w:rsidRDefault="00781780" w:rsidP="00781780">
      <w:pPr>
        <w:spacing w:after="0" w:line="480" w:lineRule="auto"/>
        <w:rPr>
          <w:rFonts w:cstheme="minorHAnsi"/>
        </w:rPr>
      </w:pPr>
      <w:r>
        <w:rPr>
          <w:rFonts w:cstheme="minorHAnsi"/>
        </w:rPr>
        <w:t>Bhatt, Deepak L</w:t>
      </w:r>
      <w:r w:rsidR="0051693B">
        <w:rPr>
          <w:rFonts w:cstheme="minorHAnsi"/>
        </w:rPr>
        <w:t>.</w:t>
      </w:r>
      <w:r w:rsidRPr="00136756">
        <w:rPr>
          <w:rFonts w:cstheme="minorHAnsi"/>
          <w:vertAlign w:val="superscript"/>
        </w:rPr>
        <w:t>*</w:t>
      </w:r>
      <w:r>
        <w:rPr>
          <w:rFonts w:cstheme="minorHAnsi"/>
        </w:rPr>
        <w:t xml:space="preserve"> </w:t>
      </w:r>
      <w:r w:rsidRPr="00436A9E">
        <w:rPr>
          <w:rFonts w:cstheme="minorHAnsi"/>
        </w:rPr>
        <w:t xml:space="preserve">Brigham and Women’s Hospital Heart &amp; Vascular </w:t>
      </w:r>
      <w:proofErr w:type="spellStart"/>
      <w:r w:rsidRPr="00436A9E">
        <w:rPr>
          <w:rFonts w:cstheme="minorHAnsi"/>
        </w:rPr>
        <w:t>Center</w:t>
      </w:r>
      <w:proofErr w:type="spellEnd"/>
      <w:r w:rsidRPr="00436A9E">
        <w:rPr>
          <w:rFonts w:cstheme="minorHAnsi"/>
        </w:rPr>
        <w:t>, Harvard Medical School</w:t>
      </w:r>
      <w:r>
        <w:rPr>
          <w:rFonts w:cstheme="minorHAnsi"/>
        </w:rPr>
        <w:t xml:space="preserve">, </w:t>
      </w:r>
      <w:r w:rsidRPr="00436A9E">
        <w:rPr>
          <w:rFonts w:cstheme="minorHAnsi"/>
        </w:rPr>
        <w:t>75 Francis Street, Boston, MA 02115</w:t>
      </w:r>
      <w:r>
        <w:rPr>
          <w:rFonts w:cstheme="minorHAnsi"/>
        </w:rPr>
        <w:t xml:space="preserve">, USA; </w:t>
      </w:r>
      <w:hyperlink r:id="rId12" w:history="1">
        <w:r w:rsidRPr="00F22AB6">
          <w:rPr>
            <w:rStyle w:val="Hyperlink"/>
            <w:rFonts w:cstheme="minorHAnsi"/>
          </w:rPr>
          <w:t>dlbhattmd@post.harvard.edu</w:t>
        </w:r>
      </w:hyperlink>
      <w:r>
        <w:rPr>
          <w:rFonts w:cstheme="minorHAnsi"/>
        </w:rPr>
        <w:t xml:space="preserve"> </w:t>
      </w:r>
    </w:p>
    <w:p w14:paraId="5F3545FE" w14:textId="77777777" w:rsidR="00781780" w:rsidRDefault="00781780" w:rsidP="00B67081">
      <w:pPr>
        <w:spacing w:after="0" w:line="480" w:lineRule="auto"/>
        <w:rPr>
          <w:rFonts w:cstheme="minorHAnsi"/>
        </w:rPr>
      </w:pPr>
    </w:p>
    <w:p w14:paraId="5962B9B0" w14:textId="524C98AB" w:rsidR="00EF3E05" w:rsidRDefault="008F1D3A" w:rsidP="00B67081">
      <w:pPr>
        <w:spacing w:after="0" w:line="480" w:lineRule="auto"/>
        <w:rPr>
          <w:rFonts w:cstheme="minorHAnsi"/>
        </w:rPr>
      </w:pPr>
      <w:r>
        <w:rPr>
          <w:rFonts w:cstheme="minorHAnsi"/>
        </w:rPr>
        <w:t>Kaski</w:t>
      </w:r>
      <w:r w:rsidR="000B26B2">
        <w:rPr>
          <w:rFonts w:cstheme="minorHAnsi"/>
        </w:rPr>
        <w:t>,</w:t>
      </w:r>
      <w:r w:rsidR="0098589E">
        <w:rPr>
          <w:rFonts w:cstheme="minorHAnsi"/>
        </w:rPr>
        <w:t xml:space="preserve"> Juan </w:t>
      </w:r>
      <w:proofErr w:type="gramStart"/>
      <w:r w:rsidR="0098589E">
        <w:rPr>
          <w:rFonts w:cstheme="minorHAnsi"/>
        </w:rPr>
        <w:t>Carlos</w:t>
      </w:r>
      <w:r w:rsidR="0051693B">
        <w:rPr>
          <w:rFonts w:cstheme="minorHAnsi"/>
        </w:rPr>
        <w:t>.</w:t>
      </w:r>
      <w:r w:rsidR="00781780" w:rsidRPr="00136756">
        <w:rPr>
          <w:rFonts w:cstheme="minorHAnsi"/>
          <w:vertAlign w:val="superscript"/>
        </w:rPr>
        <w:t>*</w:t>
      </w:r>
      <w:proofErr w:type="gramEnd"/>
      <w:r w:rsidR="00482819">
        <w:rPr>
          <w:rFonts w:cstheme="minorHAnsi"/>
          <w:vertAlign w:val="superscript"/>
        </w:rPr>
        <w:t>^</w:t>
      </w:r>
      <w:r w:rsidR="00A87F6C">
        <w:rPr>
          <w:rFonts w:cstheme="minorHAnsi"/>
        </w:rPr>
        <w:t xml:space="preserve"> Molecular</w:t>
      </w:r>
      <w:r w:rsidR="00900524">
        <w:rPr>
          <w:rFonts w:cstheme="minorHAnsi"/>
        </w:rPr>
        <w:t xml:space="preserve"> and Clinical Sciences Research Institute,</w:t>
      </w:r>
      <w:r w:rsidR="0098589E">
        <w:rPr>
          <w:rFonts w:cstheme="minorHAnsi"/>
        </w:rPr>
        <w:t xml:space="preserve"> </w:t>
      </w:r>
      <w:r w:rsidR="0073485F" w:rsidRPr="0073485F">
        <w:rPr>
          <w:rFonts w:cstheme="minorHAnsi"/>
        </w:rPr>
        <w:t>St George’s, University of London, London, UK</w:t>
      </w:r>
      <w:r w:rsidR="001B1EF3">
        <w:rPr>
          <w:rFonts w:cstheme="minorHAnsi"/>
        </w:rPr>
        <w:t>;</w:t>
      </w:r>
      <w:r w:rsidR="00B33EA3">
        <w:rPr>
          <w:rFonts w:cstheme="minorHAnsi"/>
        </w:rPr>
        <w:t xml:space="preserve"> </w:t>
      </w:r>
      <w:hyperlink r:id="rId13" w:history="1">
        <w:r w:rsidR="00B33EA3" w:rsidRPr="00F22AB6">
          <w:rPr>
            <w:rStyle w:val="Hyperlink"/>
            <w:rFonts w:cstheme="minorHAnsi"/>
          </w:rPr>
          <w:t>jkaski@sgul.ac.uk</w:t>
        </w:r>
      </w:hyperlink>
      <w:r w:rsidR="00B33EA3">
        <w:rPr>
          <w:rFonts w:cstheme="minorHAnsi"/>
        </w:rPr>
        <w:t xml:space="preserve"> </w:t>
      </w:r>
    </w:p>
    <w:p w14:paraId="42435D94" w14:textId="77777777" w:rsidR="007534E0" w:rsidRDefault="007534E0" w:rsidP="007534E0">
      <w:pPr>
        <w:spacing w:after="0" w:line="480" w:lineRule="auto"/>
        <w:rPr>
          <w:rFonts w:cstheme="minorHAnsi"/>
        </w:rPr>
      </w:pPr>
    </w:p>
    <w:p w14:paraId="40541513" w14:textId="027E4C57" w:rsidR="007534E0" w:rsidRDefault="007534E0" w:rsidP="007534E0">
      <w:pPr>
        <w:spacing w:after="0" w:line="480" w:lineRule="auto"/>
        <w:rPr>
          <w:rFonts w:cstheme="minorHAnsi"/>
        </w:rPr>
      </w:pPr>
      <w:r>
        <w:rPr>
          <w:rFonts w:cstheme="minorHAnsi"/>
        </w:rPr>
        <w:t xml:space="preserve">Delaney, Sean. Radcliffe Cardiology </w:t>
      </w:r>
      <w:proofErr w:type="spellStart"/>
      <w:r w:rsidRPr="00CA25B0">
        <w:rPr>
          <w:rFonts w:cstheme="minorHAnsi"/>
        </w:rPr>
        <w:t>Bourne</w:t>
      </w:r>
      <w:proofErr w:type="spellEnd"/>
      <w:r w:rsidRPr="00CA25B0">
        <w:rPr>
          <w:rFonts w:cstheme="minorHAnsi"/>
        </w:rPr>
        <w:t xml:space="preserve"> End Business Park, Cores End Rd, </w:t>
      </w:r>
      <w:proofErr w:type="spellStart"/>
      <w:r w:rsidRPr="00CA25B0">
        <w:rPr>
          <w:rFonts w:cstheme="minorHAnsi"/>
        </w:rPr>
        <w:t>Wooburn</w:t>
      </w:r>
      <w:proofErr w:type="spellEnd"/>
      <w:r w:rsidRPr="00CA25B0">
        <w:rPr>
          <w:rFonts w:cstheme="minorHAnsi"/>
        </w:rPr>
        <w:t xml:space="preserve"> Green, </w:t>
      </w:r>
      <w:proofErr w:type="spellStart"/>
      <w:r w:rsidRPr="00CA25B0">
        <w:rPr>
          <w:rFonts w:cstheme="minorHAnsi"/>
        </w:rPr>
        <w:t>Bourne</w:t>
      </w:r>
      <w:proofErr w:type="spellEnd"/>
      <w:r w:rsidRPr="00CA25B0">
        <w:rPr>
          <w:rFonts w:cstheme="minorHAnsi"/>
        </w:rPr>
        <w:t xml:space="preserve"> End SL8 5AS</w:t>
      </w:r>
      <w:r>
        <w:rPr>
          <w:rFonts w:cstheme="minorHAnsi"/>
        </w:rPr>
        <w:t xml:space="preserve">; </w:t>
      </w:r>
      <w:hyperlink r:id="rId14" w:history="1">
        <w:r w:rsidRPr="00157D5E">
          <w:rPr>
            <w:rStyle w:val="Hyperlink"/>
            <w:rFonts w:cstheme="minorHAnsi"/>
          </w:rPr>
          <w:t>sean.delaney@radcliffe-cardioogy.com</w:t>
        </w:r>
      </w:hyperlink>
      <w:r>
        <w:rPr>
          <w:rFonts w:cstheme="minorHAnsi"/>
        </w:rPr>
        <w:t xml:space="preserve"> </w:t>
      </w:r>
    </w:p>
    <w:p w14:paraId="5E170BE9" w14:textId="77777777" w:rsidR="00B67081" w:rsidRDefault="00B67081" w:rsidP="00B67081">
      <w:pPr>
        <w:spacing w:after="0" w:line="480" w:lineRule="auto"/>
        <w:rPr>
          <w:rFonts w:cstheme="minorHAnsi"/>
        </w:rPr>
      </w:pPr>
    </w:p>
    <w:p w14:paraId="5C68CDCD" w14:textId="3BC5BB5F" w:rsidR="00776D0C" w:rsidRDefault="00776D0C" w:rsidP="00B67081">
      <w:pPr>
        <w:spacing w:after="0" w:line="480" w:lineRule="auto"/>
        <w:rPr>
          <w:rFonts w:cstheme="minorHAnsi"/>
        </w:rPr>
      </w:pPr>
      <w:proofErr w:type="spellStart"/>
      <w:r>
        <w:rPr>
          <w:rFonts w:cstheme="minorHAnsi"/>
        </w:rPr>
        <w:t>Alas</w:t>
      </w:r>
      <w:r w:rsidR="000B26B2">
        <w:rPr>
          <w:rFonts w:cstheme="minorHAnsi"/>
        </w:rPr>
        <w:t>nag</w:t>
      </w:r>
      <w:proofErr w:type="spellEnd"/>
      <w:r w:rsidR="000B26B2">
        <w:rPr>
          <w:rFonts w:cstheme="minorHAnsi"/>
        </w:rPr>
        <w:t xml:space="preserve">, </w:t>
      </w:r>
      <w:proofErr w:type="spellStart"/>
      <w:r w:rsidR="000B26B2">
        <w:rPr>
          <w:rFonts w:cstheme="minorHAnsi"/>
        </w:rPr>
        <w:t>Mirvat</w:t>
      </w:r>
      <w:proofErr w:type="spellEnd"/>
      <w:r w:rsidR="000B26B2">
        <w:rPr>
          <w:rFonts w:cstheme="minorHAnsi"/>
        </w:rPr>
        <w:t xml:space="preserve">. </w:t>
      </w:r>
      <w:r w:rsidR="00E15DE4" w:rsidRPr="00E15DE4">
        <w:rPr>
          <w:rFonts w:cstheme="minorHAnsi"/>
        </w:rPr>
        <w:t>King Fahd Armed Forces Hospital, Jeddah-KSA</w:t>
      </w:r>
      <w:r w:rsidR="009C41B7">
        <w:rPr>
          <w:rFonts w:cstheme="minorHAnsi"/>
        </w:rPr>
        <w:t>,</w:t>
      </w:r>
      <w:r w:rsidR="00971F88">
        <w:rPr>
          <w:rFonts w:cstheme="minorHAnsi"/>
        </w:rPr>
        <w:t xml:space="preserve"> </w:t>
      </w:r>
      <w:r w:rsidR="00971F88" w:rsidRPr="00971F88">
        <w:rPr>
          <w:rFonts w:cstheme="minorHAnsi"/>
        </w:rPr>
        <w:t xml:space="preserve">Al </w:t>
      </w:r>
      <w:proofErr w:type="spellStart"/>
      <w:r w:rsidR="00971F88" w:rsidRPr="00971F88">
        <w:rPr>
          <w:rFonts w:cstheme="minorHAnsi"/>
        </w:rPr>
        <w:t>Kurnaysh</w:t>
      </w:r>
      <w:proofErr w:type="spellEnd"/>
      <w:r w:rsidR="00971F88" w:rsidRPr="00971F88">
        <w:rPr>
          <w:rFonts w:cstheme="minorHAnsi"/>
        </w:rPr>
        <w:t xml:space="preserve"> Rd, Al </w:t>
      </w:r>
      <w:proofErr w:type="spellStart"/>
      <w:r w:rsidR="00971F88" w:rsidRPr="00971F88">
        <w:rPr>
          <w:rFonts w:cstheme="minorHAnsi"/>
        </w:rPr>
        <w:t>Andalus</w:t>
      </w:r>
      <w:proofErr w:type="spellEnd"/>
      <w:r w:rsidR="00971F88" w:rsidRPr="00971F88">
        <w:rPr>
          <w:rFonts w:cstheme="minorHAnsi"/>
        </w:rPr>
        <w:t>, Jeddah 23311</w:t>
      </w:r>
      <w:r w:rsidR="009C41B7">
        <w:rPr>
          <w:rFonts w:cstheme="minorHAnsi"/>
        </w:rPr>
        <w:t xml:space="preserve"> Saudi Arabia; </w:t>
      </w:r>
      <w:hyperlink r:id="rId15" w:history="1">
        <w:r w:rsidR="0037462C" w:rsidRPr="00F22AB6">
          <w:rPr>
            <w:rStyle w:val="Hyperlink"/>
            <w:rFonts w:cstheme="minorHAnsi"/>
          </w:rPr>
          <w:t>mirvat@jeddacath.com</w:t>
        </w:r>
      </w:hyperlink>
      <w:r w:rsidR="0037462C">
        <w:rPr>
          <w:rFonts w:cstheme="minorHAnsi"/>
        </w:rPr>
        <w:t xml:space="preserve"> </w:t>
      </w:r>
    </w:p>
    <w:p w14:paraId="3BB13A78" w14:textId="77777777" w:rsidR="00095B1A" w:rsidRDefault="00095B1A" w:rsidP="00B67081">
      <w:pPr>
        <w:spacing w:after="0" w:line="480" w:lineRule="auto"/>
        <w:rPr>
          <w:rFonts w:cstheme="minorHAnsi"/>
          <w:lang w:val="it-IT"/>
        </w:rPr>
      </w:pPr>
    </w:p>
    <w:p w14:paraId="5B19756D" w14:textId="2EBA49E2" w:rsidR="00F0595C" w:rsidRDefault="008D57DB" w:rsidP="00B67081">
      <w:pPr>
        <w:spacing w:after="0" w:line="480" w:lineRule="auto"/>
        <w:rPr>
          <w:rFonts w:cstheme="minorHAnsi"/>
          <w:lang w:val="it-IT"/>
        </w:rPr>
      </w:pPr>
      <w:r w:rsidRPr="00C018DE">
        <w:rPr>
          <w:rFonts w:cstheme="minorHAnsi"/>
          <w:lang w:val="it-IT"/>
        </w:rPr>
        <w:t>Andreotti</w:t>
      </w:r>
      <w:r w:rsidR="000B26B2" w:rsidRPr="00C018DE">
        <w:rPr>
          <w:rFonts w:cstheme="minorHAnsi"/>
          <w:lang w:val="it-IT"/>
        </w:rPr>
        <w:t xml:space="preserve">, </w:t>
      </w:r>
      <w:r w:rsidR="006E6AF1" w:rsidRPr="00C018DE">
        <w:rPr>
          <w:rFonts w:cstheme="minorHAnsi"/>
          <w:lang w:val="it-IT"/>
        </w:rPr>
        <w:t>Felicita.</w:t>
      </w:r>
      <w:r w:rsidR="005E4EBB" w:rsidRPr="00C018DE">
        <w:rPr>
          <w:rFonts w:cstheme="minorHAnsi"/>
          <w:lang w:val="it-IT"/>
        </w:rPr>
        <w:t xml:space="preserve"> </w:t>
      </w:r>
      <w:r w:rsidR="00674E89" w:rsidRPr="00C018DE">
        <w:rPr>
          <w:rFonts w:cstheme="minorHAnsi"/>
          <w:vertAlign w:val="superscript"/>
          <w:lang w:val="it-IT"/>
        </w:rPr>
        <w:t>1</w:t>
      </w:r>
      <w:r w:rsidR="00674E89">
        <w:rPr>
          <w:rFonts w:cstheme="minorHAnsi"/>
          <w:lang w:val="it-IT"/>
        </w:rPr>
        <w:t>Scientific</w:t>
      </w:r>
      <w:r w:rsidR="00804CD5">
        <w:rPr>
          <w:rFonts w:cstheme="minorHAnsi"/>
          <w:lang w:val="it-IT"/>
        </w:rPr>
        <w:t xml:space="preserve"> </w:t>
      </w:r>
      <w:proofErr w:type="spellStart"/>
      <w:r w:rsidR="00804CD5">
        <w:rPr>
          <w:rFonts w:cstheme="minorHAnsi"/>
          <w:lang w:val="it-IT"/>
        </w:rPr>
        <w:t>Directorate</w:t>
      </w:r>
      <w:proofErr w:type="spellEnd"/>
      <w:r w:rsidR="00674E89">
        <w:rPr>
          <w:rFonts w:cstheme="minorHAnsi"/>
          <w:lang w:val="it-IT"/>
        </w:rPr>
        <w:t xml:space="preserve">, </w:t>
      </w:r>
      <w:r w:rsidR="00674E89" w:rsidRPr="00C018DE">
        <w:rPr>
          <w:rFonts w:cstheme="minorHAnsi"/>
          <w:lang w:val="it-IT"/>
        </w:rPr>
        <w:t xml:space="preserve">FPUG IRCCS; </w:t>
      </w:r>
      <w:r w:rsidR="00674E89" w:rsidRPr="00C018DE">
        <w:rPr>
          <w:rFonts w:cstheme="minorHAnsi"/>
          <w:vertAlign w:val="superscript"/>
          <w:lang w:val="it-IT"/>
        </w:rPr>
        <w:t>2</w:t>
      </w:r>
      <w:r w:rsidR="005E4EBB" w:rsidRPr="00C018DE">
        <w:rPr>
          <w:rFonts w:cstheme="minorHAnsi"/>
          <w:lang w:val="it-IT"/>
        </w:rPr>
        <w:t xml:space="preserve">Cardio-Thoracic </w:t>
      </w:r>
      <w:proofErr w:type="spellStart"/>
      <w:r w:rsidR="005E4EBB" w:rsidRPr="00C018DE">
        <w:rPr>
          <w:rFonts w:cstheme="minorHAnsi"/>
          <w:lang w:val="it-IT"/>
        </w:rPr>
        <w:t>Dept</w:t>
      </w:r>
      <w:proofErr w:type="spellEnd"/>
      <w:r w:rsidR="005E4EBB" w:rsidRPr="00C018DE">
        <w:rPr>
          <w:rFonts w:cstheme="minorHAnsi"/>
          <w:lang w:val="it-IT"/>
        </w:rPr>
        <w:t xml:space="preserve"> - Università Cattolica del Sacro Cuore</w:t>
      </w:r>
      <w:r w:rsidR="00674E89">
        <w:rPr>
          <w:rFonts w:cstheme="minorHAnsi"/>
          <w:lang w:val="it-IT"/>
        </w:rPr>
        <w:t>,</w:t>
      </w:r>
      <w:r w:rsidR="00812241" w:rsidRPr="00C018DE">
        <w:rPr>
          <w:rFonts w:cstheme="minorHAnsi"/>
          <w:lang w:val="it-IT"/>
        </w:rPr>
        <w:t xml:space="preserve"> </w:t>
      </w:r>
      <w:proofErr w:type="gramStart"/>
      <w:r w:rsidR="005E4EBB" w:rsidRPr="00C018DE">
        <w:rPr>
          <w:rFonts w:cstheme="minorHAnsi"/>
          <w:lang w:val="it-IT"/>
        </w:rPr>
        <w:t>L.go</w:t>
      </w:r>
      <w:proofErr w:type="gramEnd"/>
      <w:r w:rsidR="005E4EBB" w:rsidRPr="00C018DE">
        <w:rPr>
          <w:rFonts w:cstheme="minorHAnsi"/>
          <w:lang w:val="it-IT"/>
        </w:rPr>
        <w:t xml:space="preserve"> Francesco Vito 1 - 00168 ROMA</w:t>
      </w:r>
      <w:r w:rsidR="001B1EF3" w:rsidRPr="00C018DE">
        <w:rPr>
          <w:rFonts w:cstheme="minorHAnsi"/>
          <w:lang w:val="it-IT"/>
        </w:rPr>
        <w:t xml:space="preserve">, </w:t>
      </w:r>
      <w:proofErr w:type="spellStart"/>
      <w:r w:rsidR="001B1EF3" w:rsidRPr="00C018DE">
        <w:rPr>
          <w:rFonts w:cstheme="minorHAnsi"/>
          <w:lang w:val="it-IT"/>
        </w:rPr>
        <w:t>Italy</w:t>
      </w:r>
      <w:proofErr w:type="spellEnd"/>
      <w:r w:rsidR="001B1EF3" w:rsidRPr="00C018DE">
        <w:rPr>
          <w:rFonts w:cstheme="minorHAnsi"/>
          <w:lang w:val="it-IT"/>
        </w:rPr>
        <w:t xml:space="preserve">; </w:t>
      </w:r>
      <w:hyperlink r:id="rId16" w:history="1">
        <w:r w:rsidR="001B1EF3" w:rsidRPr="00C018DE">
          <w:rPr>
            <w:rStyle w:val="Hyperlink"/>
            <w:rFonts w:cstheme="minorHAnsi"/>
            <w:lang w:val="it-IT"/>
          </w:rPr>
          <w:t>felicita.andreotti@unicatt.it</w:t>
        </w:r>
      </w:hyperlink>
      <w:r w:rsidR="001B1EF3" w:rsidRPr="00C018DE">
        <w:rPr>
          <w:rFonts w:cstheme="minorHAnsi"/>
          <w:lang w:val="it-IT"/>
        </w:rPr>
        <w:t xml:space="preserve"> </w:t>
      </w:r>
    </w:p>
    <w:p w14:paraId="2E0CB816" w14:textId="77777777" w:rsidR="00B67081" w:rsidRPr="00C018DE" w:rsidRDefault="00B67081" w:rsidP="00B67081">
      <w:pPr>
        <w:spacing w:after="0" w:line="480" w:lineRule="auto"/>
        <w:rPr>
          <w:rFonts w:cstheme="minorHAnsi"/>
          <w:vertAlign w:val="superscript"/>
          <w:lang w:val="it-IT"/>
        </w:rPr>
      </w:pPr>
    </w:p>
    <w:p w14:paraId="6A3795F1" w14:textId="30152234" w:rsidR="00B33EA3" w:rsidRDefault="003209EC" w:rsidP="00B67081">
      <w:pPr>
        <w:spacing w:after="0" w:line="480" w:lineRule="auto"/>
        <w:rPr>
          <w:rFonts w:cstheme="minorHAnsi"/>
        </w:rPr>
      </w:pPr>
      <w:proofErr w:type="spellStart"/>
      <w:r>
        <w:rPr>
          <w:rFonts w:cstheme="minorHAnsi"/>
        </w:rPr>
        <w:t>Angiolillo</w:t>
      </w:r>
      <w:proofErr w:type="spellEnd"/>
      <w:r>
        <w:rPr>
          <w:rFonts w:cstheme="minorHAnsi"/>
        </w:rPr>
        <w:t xml:space="preserve">, Dominick </w:t>
      </w:r>
      <w:r w:rsidR="00C44CAD">
        <w:rPr>
          <w:rFonts w:cstheme="minorHAnsi"/>
        </w:rPr>
        <w:t xml:space="preserve">J. </w:t>
      </w:r>
      <w:r w:rsidR="005535B6" w:rsidRPr="005535B6">
        <w:rPr>
          <w:rFonts w:cstheme="minorHAnsi"/>
        </w:rPr>
        <w:t>University of Florida College of Medicine-Jacksonville</w:t>
      </w:r>
      <w:r w:rsidR="005535B6">
        <w:rPr>
          <w:rFonts w:cstheme="minorHAnsi"/>
        </w:rPr>
        <w:t xml:space="preserve">, </w:t>
      </w:r>
      <w:r w:rsidR="005535B6" w:rsidRPr="005535B6">
        <w:rPr>
          <w:rFonts w:cstheme="minorHAnsi"/>
        </w:rPr>
        <w:t>Division of Cardiology-ACC Building 5th floor</w:t>
      </w:r>
      <w:r w:rsidR="005535B6">
        <w:rPr>
          <w:rFonts w:cstheme="minorHAnsi"/>
        </w:rPr>
        <w:t xml:space="preserve"> </w:t>
      </w:r>
      <w:r w:rsidR="005535B6" w:rsidRPr="005535B6">
        <w:rPr>
          <w:rFonts w:cstheme="minorHAnsi"/>
        </w:rPr>
        <w:t>655 West 8th Street</w:t>
      </w:r>
      <w:r w:rsidR="005535B6">
        <w:rPr>
          <w:rFonts w:cstheme="minorHAnsi"/>
        </w:rPr>
        <w:t xml:space="preserve">, </w:t>
      </w:r>
      <w:r w:rsidR="005535B6" w:rsidRPr="005535B6">
        <w:rPr>
          <w:rFonts w:cstheme="minorHAnsi"/>
        </w:rPr>
        <w:t xml:space="preserve">Jacksonville, FL </w:t>
      </w:r>
      <w:r w:rsidR="00795A99">
        <w:rPr>
          <w:rFonts w:cstheme="minorHAnsi"/>
        </w:rPr>
        <w:t>–</w:t>
      </w:r>
      <w:r w:rsidR="005535B6" w:rsidRPr="005535B6">
        <w:rPr>
          <w:rFonts w:cstheme="minorHAnsi"/>
        </w:rPr>
        <w:t xml:space="preserve"> 32209</w:t>
      </w:r>
      <w:r w:rsidR="00795A99">
        <w:rPr>
          <w:rFonts w:cstheme="minorHAnsi"/>
        </w:rPr>
        <w:t xml:space="preserve">, USA; </w:t>
      </w:r>
      <w:hyperlink r:id="rId17" w:history="1">
        <w:r w:rsidR="00795A99" w:rsidRPr="00F22AB6">
          <w:rPr>
            <w:rStyle w:val="Hyperlink"/>
            <w:rFonts w:cstheme="minorHAnsi"/>
          </w:rPr>
          <w:t>Dominick.angiolillo@jax.ufl.edu</w:t>
        </w:r>
      </w:hyperlink>
      <w:r w:rsidR="00795A99">
        <w:rPr>
          <w:rFonts w:cstheme="minorHAnsi"/>
        </w:rPr>
        <w:t xml:space="preserve"> </w:t>
      </w:r>
    </w:p>
    <w:p w14:paraId="35CE04E0" w14:textId="77777777" w:rsidR="00B67081" w:rsidRDefault="00B67081" w:rsidP="00B67081">
      <w:pPr>
        <w:spacing w:after="0" w:line="480" w:lineRule="auto"/>
        <w:rPr>
          <w:rFonts w:cstheme="minorHAnsi"/>
        </w:rPr>
      </w:pPr>
    </w:p>
    <w:p w14:paraId="468C41F0" w14:textId="407673A6" w:rsidR="00795A99" w:rsidRDefault="00CE02C4" w:rsidP="00B67081">
      <w:pPr>
        <w:spacing w:after="0" w:line="480" w:lineRule="auto"/>
        <w:rPr>
          <w:rFonts w:cstheme="minorHAnsi"/>
        </w:rPr>
      </w:pPr>
      <w:r>
        <w:rPr>
          <w:rFonts w:cstheme="minorHAnsi"/>
        </w:rPr>
        <w:t xml:space="preserve">Ferro, Albert. </w:t>
      </w:r>
      <w:r w:rsidR="00974A1E" w:rsidRPr="00974A1E">
        <w:rPr>
          <w:rFonts w:cstheme="minorHAnsi"/>
        </w:rPr>
        <w:t xml:space="preserve">King’s College London, </w:t>
      </w:r>
      <w:r w:rsidR="00944597">
        <w:rPr>
          <w:rFonts w:cstheme="minorHAnsi"/>
        </w:rPr>
        <w:t xml:space="preserve">School of Cardiovascular Medicine and Sciences, British Heart Foundation Centre of Research Excellence, </w:t>
      </w:r>
      <w:r w:rsidR="00A33487" w:rsidRPr="00A33487">
        <w:rPr>
          <w:rFonts w:cstheme="minorHAnsi"/>
        </w:rPr>
        <w:t xml:space="preserve">Franklin-Wilkins Building, </w:t>
      </w:r>
      <w:r w:rsidR="00944597">
        <w:rPr>
          <w:rFonts w:cstheme="minorHAnsi"/>
        </w:rPr>
        <w:t xml:space="preserve">150 </w:t>
      </w:r>
      <w:r w:rsidR="00A33487" w:rsidRPr="00A33487">
        <w:rPr>
          <w:rFonts w:cstheme="minorHAnsi"/>
        </w:rPr>
        <w:t>Stamford Street</w:t>
      </w:r>
      <w:r w:rsidR="00882944">
        <w:rPr>
          <w:rFonts w:cstheme="minorHAnsi"/>
        </w:rPr>
        <w:t>,</w:t>
      </w:r>
      <w:r w:rsidR="00A33487" w:rsidRPr="00A33487">
        <w:rPr>
          <w:rFonts w:cstheme="minorHAnsi"/>
        </w:rPr>
        <w:t xml:space="preserve"> London, SE1 9NH</w:t>
      </w:r>
      <w:r w:rsidR="00974A1E" w:rsidRPr="00974A1E">
        <w:rPr>
          <w:rFonts w:cstheme="minorHAnsi"/>
        </w:rPr>
        <w:t>, UK</w:t>
      </w:r>
      <w:r w:rsidR="00A33487">
        <w:rPr>
          <w:rFonts w:cstheme="minorHAnsi"/>
        </w:rPr>
        <w:t xml:space="preserve">; </w:t>
      </w:r>
      <w:hyperlink r:id="rId18" w:history="1">
        <w:r w:rsidR="00990458" w:rsidRPr="00F22AB6">
          <w:rPr>
            <w:rStyle w:val="Hyperlink"/>
            <w:rFonts w:cstheme="minorHAnsi"/>
          </w:rPr>
          <w:t>albert.ferro@kcl.ac.uk</w:t>
        </w:r>
      </w:hyperlink>
      <w:r w:rsidR="00990458">
        <w:rPr>
          <w:rFonts w:cstheme="minorHAnsi"/>
        </w:rPr>
        <w:t xml:space="preserve"> </w:t>
      </w:r>
    </w:p>
    <w:p w14:paraId="30B487BC" w14:textId="77777777" w:rsidR="00B67081" w:rsidRDefault="00B67081" w:rsidP="00B67081">
      <w:pPr>
        <w:spacing w:after="0" w:line="480" w:lineRule="auto"/>
        <w:rPr>
          <w:rFonts w:cstheme="minorHAnsi"/>
        </w:rPr>
      </w:pPr>
    </w:p>
    <w:p w14:paraId="730119BE" w14:textId="4F058A40" w:rsidR="00990458" w:rsidRDefault="00AF55E0" w:rsidP="00B67081">
      <w:pPr>
        <w:spacing w:after="0" w:line="480" w:lineRule="auto"/>
        <w:rPr>
          <w:rFonts w:cstheme="minorHAnsi"/>
        </w:rPr>
      </w:pPr>
      <w:proofErr w:type="spellStart"/>
      <w:r>
        <w:rPr>
          <w:rFonts w:cstheme="minorHAnsi"/>
        </w:rPr>
        <w:lastRenderedPageBreak/>
        <w:t>Gorog</w:t>
      </w:r>
      <w:proofErr w:type="spellEnd"/>
      <w:r>
        <w:rPr>
          <w:rFonts w:cstheme="minorHAnsi"/>
        </w:rPr>
        <w:t>, Diana</w:t>
      </w:r>
      <w:r w:rsidR="00CC6538">
        <w:rPr>
          <w:rFonts w:cstheme="minorHAnsi"/>
        </w:rPr>
        <w:t xml:space="preserve"> A</w:t>
      </w:r>
      <w:r w:rsidR="003C3DB2">
        <w:rPr>
          <w:rFonts w:cstheme="minorHAnsi"/>
        </w:rPr>
        <w:t xml:space="preserve">. </w:t>
      </w:r>
      <w:r w:rsidR="00CC6538" w:rsidRPr="00C018DE">
        <w:rPr>
          <w:rFonts w:cstheme="minorHAnsi"/>
          <w:vertAlign w:val="superscript"/>
        </w:rPr>
        <w:t>1</w:t>
      </w:r>
      <w:r w:rsidR="00B23E10" w:rsidRPr="00B23E10">
        <w:rPr>
          <w:rFonts w:cstheme="minorHAnsi"/>
        </w:rPr>
        <w:t>Faculty of Medicine, National Heart &amp; Lung Institute</w:t>
      </w:r>
      <w:r w:rsidR="00B23E10">
        <w:rPr>
          <w:rFonts w:cstheme="minorHAnsi"/>
        </w:rPr>
        <w:t>,</w:t>
      </w:r>
      <w:r w:rsidR="00B30C6F">
        <w:rPr>
          <w:rFonts w:cstheme="minorHAnsi"/>
        </w:rPr>
        <w:t xml:space="preserve"> </w:t>
      </w:r>
      <w:r w:rsidR="00CC6538">
        <w:rPr>
          <w:rFonts w:cstheme="minorHAnsi"/>
        </w:rPr>
        <w:t xml:space="preserve">Imperial College, </w:t>
      </w:r>
      <w:proofErr w:type="spellStart"/>
      <w:r w:rsidR="00CC6538">
        <w:rPr>
          <w:rFonts w:cstheme="minorHAnsi"/>
        </w:rPr>
        <w:t>Dovehouse</w:t>
      </w:r>
      <w:proofErr w:type="spellEnd"/>
      <w:r w:rsidR="00CC6538">
        <w:rPr>
          <w:rFonts w:cstheme="minorHAnsi"/>
        </w:rPr>
        <w:t xml:space="preserve"> Street, London, SW3 6LY, UK and </w:t>
      </w:r>
      <w:r w:rsidR="00CC6538" w:rsidRPr="00C018DE">
        <w:rPr>
          <w:rFonts w:cstheme="minorHAnsi"/>
          <w:vertAlign w:val="superscript"/>
        </w:rPr>
        <w:t>2</w:t>
      </w:r>
      <w:r w:rsidR="00CC6538" w:rsidRPr="00CC6538">
        <w:rPr>
          <w:rFonts w:ascii="Calibri" w:eastAsia="Times New Roman" w:hAnsi="Calibri" w:cs="Calibri"/>
          <w:color w:val="000000"/>
          <w:shd w:val="clear" w:color="auto" w:fill="FFFFFF"/>
          <w:lang w:eastAsia="en-GB"/>
        </w:rPr>
        <w:t>School of Life and Medical Sciences</w:t>
      </w:r>
      <w:r w:rsidR="00CC6538">
        <w:rPr>
          <w:rFonts w:ascii="Calibri" w:eastAsia="Times New Roman" w:hAnsi="Calibri" w:cs="Calibri"/>
          <w:color w:val="000000"/>
          <w:shd w:val="clear" w:color="auto" w:fill="FFFFFF"/>
          <w:lang w:eastAsia="en-GB"/>
        </w:rPr>
        <w:t>, University of Hertfordshire, Hatfield, AL10 9AB, UK</w:t>
      </w:r>
      <w:r w:rsidR="002F145E">
        <w:rPr>
          <w:rFonts w:cstheme="minorHAnsi"/>
        </w:rPr>
        <w:t xml:space="preserve">; </w:t>
      </w:r>
      <w:hyperlink r:id="rId19" w:history="1">
        <w:r w:rsidR="00BA5F79" w:rsidRPr="00F22AB6">
          <w:rPr>
            <w:rStyle w:val="Hyperlink"/>
            <w:rFonts w:cstheme="minorHAnsi"/>
          </w:rPr>
          <w:t>d.gorog@imperial.ac.uk</w:t>
        </w:r>
      </w:hyperlink>
      <w:r w:rsidR="00BA5F79">
        <w:rPr>
          <w:rFonts w:cstheme="minorHAnsi"/>
        </w:rPr>
        <w:t xml:space="preserve"> </w:t>
      </w:r>
    </w:p>
    <w:p w14:paraId="014DCBDB" w14:textId="77777777" w:rsidR="00B80C08" w:rsidRPr="00C018DE" w:rsidRDefault="00B80C08" w:rsidP="00B67081">
      <w:pPr>
        <w:spacing w:after="0" w:line="480" w:lineRule="auto"/>
        <w:rPr>
          <w:rFonts w:ascii="Times New Roman" w:eastAsia="Times New Roman" w:hAnsi="Times New Roman" w:cs="Times New Roman"/>
          <w:sz w:val="24"/>
          <w:szCs w:val="24"/>
          <w:lang w:eastAsia="en-GB"/>
        </w:rPr>
      </w:pPr>
    </w:p>
    <w:p w14:paraId="1C1F0198" w14:textId="18C7FDE2" w:rsidR="00BA5F79" w:rsidRDefault="00BE73D6" w:rsidP="00B67081">
      <w:pPr>
        <w:spacing w:after="0" w:line="480" w:lineRule="auto"/>
        <w:rPr>
          <w:rFonts w:cstheme="minorHAnsi"/>
        </w:rPr>
      </w:pPr>
      <w:proofErr w:type="spellStart"/>
      <w:r w:rsidRPr="00674E89">
        <w:rPr>
          <w:rFonts w:cstheme="minorHAnsi"/>
          <w:lang w:val="it-IT"/>
        </w:rPr>
        <w:t>Lorenzatti</w:t>
      </w:r>
      <w:proofErr w:type="spellEnd"/>
      <w:r w:rsidRPr="00674E89">
        <w:rPr>
          <w:rFonts w:cstheme="minorHAnsi"/>
          <w:lang w:val="it-IT"/>
        </w:rPr>
        <w:t xml:space="preserve">, </w:t>
      </w:r>
      <w:r w:rsidR="00066E5F" w:rsidRPr="00674E89">
        <w:rPr>
          <w:rFonts w:cstheme="minorHAnsi"/>
          <w:lang w:val="it-IT"/>
        </w:rPr>
        <w:t>Alberto</w:t>
      </w:r>
      <w:r w:rsidR="003C07DA" w:rsidRPr="003C07DA">
        <w:rPr>
          <w:rFonts w:cstheme="minorHAnsi"/>
          <w:lang w:val="it-IT"/>
        </w:rPr>
        <w:t xml:space="preserve"> </w:t>
      </w:r>
      <w:r w:rsidR="003C07DA">
        <w:rPr>
          <w:rFonts w:cstheme="minorHAnsi"/>
          <w:lang w:val="it-IT"/>
        </w:rPr>
        <w:t>J</w:t>
      </w:r>
      <w:r w:rsidR="003C07DA" w:rsidRPr="00674E89">
        <w:rPr>
          <w:rFonts w:cstheme="minorHAnsi"/>
          <w:lang w:val="it-IT"/>
        </w:rPr>
        <w:t xml:space="preserve">. </w:t>
      </w:r>
      <w:proofErr w:type="spellStart"/>
      <w:r w:rsidR="003C07DA">
        <w:rPr>
          <w:rFonts w:cstheme="minorHAnsi"/>
          <w:lang w:val="it-IT"/>
        </w:rPr>
        <w:t>Instituto</w:t>
      </w:r>
      <w:proofErr w:type="spellEnd"/>
      <w:r w:rsidR="003C07DA">
        <w:rPr>
          <w:rFonts w:cstheme="minorHAnsi"/>
          <w:lang w:val="it-IT"/>
        </w:rPr>
        <w:t xml:space="preserve"> Medico DAMIC, </w:t>
      </w:r>
      <w:proofErr w:type="spellStart"/>
      <w:r w:rsidR="003C07DA">
        <w:rPr>
          <w:rFonts w:cstheme="minorHAnsi"/>
          <w:lang w:val="it-IT"/>
        </w:rPr>
        <w:t>Av</w:t>
      </w:r>
      <w:proofErr w:type="spellEnd"/>
      <w:r w:rsidR="003C07DA">
        <w:rPr>
          <w:rFonts w:cstheme="minorHAnsi"/>
          <w:lang w:val="it-IT"/>
        </w:rPr>
        <w:t xml:space="preserve">. Colon 2057, </w:t>
      </w:r>
      <w:r w:rsidR="00885773">
        <w:rPr>
          <w:rFonts w:cstheme="minorHAnsi"/>
          <w:lang w:val="it-IT"/>
        </w:rPr>
        <w:t>C</w:t>
      </w:r>
      <w:r w:rsidR="003C07DA">
        <w:rPr>
          <w:rFonts w:cstheme="minorHAnsi"/>
          <w:lang w:val="it-IT"/>
        </w:rPr>
        <w:t xml:space="preserve">ordoba, Argentina. </w:t>
      </w:r>
      <w:proofErr w:type="spellStart"/>
      <w:r w:rsidR="003C07DA">
        <w:rPr>
          <w:rFonts w:cstheme="minorHAnsi"/>
          <w:lang w:val="it-IT"/>
        </w:rPr>
        <w:t>Departamento</w:t>
      </w:r>
      <w:proofErr w:type="spellEnd"/>
      <w:r w:rsidR="003C07DA">
        <w:rPr>
          <w:rFonts w:cstheme="minorHAnsi"/>
          <w:lang w:val="it-IT"/>
        </w:rPr>
        <w:t xml:space="preserve"> de Cardiologia,</w:t>
      </w:r>
      <w:r w:rsidR="00066E5F" w:rsidRPr="00674E89">
        <w:rPr>
          <w:rFonts w:cstheme="minorHAnsi"/>
          <w:lang w:val="it-IT"/>
        </w:rPr>
        <w:t xml:space="preserve"> </w:t>
      </w:r>
      <w:r w:rsidR="003505C6" w:rsidRPr="00674E89">
        <w:rPr>
          <w:rFonts w:cstheme="minorHAnsi"/>
          <w:lang w:val="it-IT"/>
        </w:rPr>
        <w:t xml:space="preserve">Hospital Córdoba, </w:t>
      </w:r>
      <w:proofErr w:type="spellStart"/>
      <w:r w:rsidR="00F31CA6" w:rsidRPr="00674E89">
        <w:rPr>
          <w:rFonts w:cstheme="minorHAnsi"/>
          <w:lang w:val="it-IT"/>
        </w:rPr>
        <w:t>Av</w:t>
      </w:r>
      <w:proofErr w:type="spellEnd"/>
      <w:r w:rsidR="00F31CA6" w:rsidRPr="00674E89">
        <w:rPr>
          <w:rFonts w:cstheme="minorHAnsi"/>
          <w:lang w:val="it-IT"/>
        </w:rPr>
        <w:t xml:space="preserve">. </w:t>
      </w:r>
      <w:r w:rsidR="00F31CA6" w:rsidRPr="00491DDC">
        <w:rPr>
          <w:rFonts w:cstheme="minorHAnsi"/>
        </w:rPr>
        <w:t xml:space="preserve">Patria 656, Córdoba, Argentina; </w:t>
      </w:r>
      <w:hyperlink r:id="rId20" w:history="1">
        <w:r w:rsidR="00AD2436" w:rsidRPr="00491DDC">
          <w:rPr>
            <w:rStyle w:val="Hyperlink"/>
            <w:rFonts w:cstheme="minorHAnsi"/>
          </w:rPr>
          <w:t>alberto.lorenzatti@gmail.com</w:t>
        </w:r>
      </w:hyperlink>
      <w:r w:rsidR="00AD2436" w:rsidRPr="00491DDC">
        <w:rPr>
          <w:rFonts w:cstheme="minorHAnsi"/>
        </w:rPr>
        <w:t xml:space="preserve"> </w:t>
      </w:r>
    </w:p>
    <w:p w14:paraId="4B637EA0" w14:textId="77777777" w:rsidR="00B67081" w:rsidRPr="00491DDC" w:rsidRDefault="00B67081" w:rsidP="00B67081">
      <w:pPr>
        <w:spacing w:after="0" w:line="480" w:lineRule="auto"/>
        <w:rPr>
          <w:rFonts w:cstheme="minorHAnsi"/>
        </w:rPr>
      </w:pPr>
    </w:p>
    <w:p w14:paraId="6873325D" w14:textId="23FCCFEC" w:rsidR="00AD2436" w:rsidRDefault="004F7389" w:rsidP="00B67081">
      <w:pPr>
        <w:spacing w:after="0" w:line="480" w:lineRule="auto"/>
        <w:rPr>
          <w:rFonts w:cstheme="minorHAnsi"/>
        </w:rPr>
      </w:pPr>
      <w:r>
        <w:rPr>
          <w:rFonts w:cstheme="minorHAnsi"/>
        </w:rPr>
        <w:t>Mama</w:t>
      </w:r>
      <w:r w:rsidR="00623337">
        <w:rPr>
          <w:rFonts w:cstheme="minorHAnsi"/>
        </w:rPr>
        <w:t>s</w:t>
      </w:r>
      <w:r w:rsidR="001451F7">
        <w:rPr>
          <w:rFonts w:cstheme="minorHAnsi"/>
        </w:rPr>
        <w:t>,</w:t>
      </w:r>
      <w:r w:rsidR="00623337">
        <w:rPr>
          <w:rFonts w:cstheme="minorHAnsi"/>
        </w:rPr>
        <w:t xml:space="preserve"> Mamas. </w:t>
      </w:r>
      <w:r w:rsidR="006B5B62">
        <w:rPr>
          <w:rFonts w:cstheme="minorHAnsi"/>
        </w:rPr>
        <w:t>University Hospitals of North Midlands NHS Trust</w:t>
      </w:r>
      <w:r w:rsidR="00FB2963">
        <w:rPr>
          <w:rFonts w:cstheme="minorHAnsi"/>
        </w:rPr>
        <w:t>, Keel University,</w:t>
      </w:r>
      <w:r w:rsidR="00FB2963" w:rsidRPr="00FB2963">
        <w:t xml:space="preserve"> </w:t>
      </w:r>
      <w:r w:rsidR="00FB2963" w:rsidRPr="00FB2963">
        <w:rPr>
          <w:rFonts w:cstheme="minorHAnsi"/>
        </w:rPr>
        <w:t>Staffordshire, UK,</w:t>
      </w:r>
      <w:r w:rsidR="00CA7C26">
        <w:rPr>
          <w:rFonts w:cstheme="minorHAnsi"/>
        </w:rPr>
        <w:t xml:space="preserve"> </w:t>
      </w:r>
      <w:r w:rsidR="00FB2963" w:rsidRPr="00FB2963">
        <w:rPr>
          <w:rFonts w:cstheme="minorHAnsi"/>
        </w:rPr>
        <w:t>ST5 5BG</w:t>
      </w:r>
      <w:r w:rsidR="00B77400">
        <w:rPr>
          <w:rFonts w:cstheme="minorHAnsi"/>
        </w:rPr>
        <w:t xml:space="preserve">; </w:t>
      </w:r>
      <w:hyperlink r:id="rId21" w:history="1">
        <w:r w:rsidR="00205274" w:rsidRPr="00BA1F3C">
          <w:rPr>
            <w:rStyle w:val="Hyperlink"/>
          </w:rPr>
          <w:t>mamasmamas1@yahoo.co.uk</w:t>
        </w:r>
      </w:hyperlink>
      <w:r w:rsidR="00205274">
        <w:t xml:space="preserve"> </w:t>
      </w:r>
    </w:p>
    <w:p w14:paraId="13B5652D" w14:textId="77777777" w:rsidR="00B67081" w:rsidRDefault="00B67081" w:rsidP="00B67081">
      <w:pPr>
        <w:spacing w:after="0" w:line="480" w:lineRule="auto"/>
        <w:rPr>
          <w:rFonts w:cstheme="minorHAnsi"/>
        </w:rPr>
      </w:pPr>
    </w:p>
    <w:p w14:paraId="0AD0763A" w14:textId="30F72B71" w:rsidR="009033CB" w:rsidRDefault="00945232" w:rsidP="00B67081">
      <w:pPr>
        <w:spacing w:after="0" w:line="480" w:lineRule="auto"/>
        <w:rPr>
          <w:rFonts w:cstheme="minorHAnsi"/>
        </w:rPr>
      </w:pPr>
      <w:r>
        <w:rPr>
          <w:rFonts w:cstheme="minorHAnsi"/>
        </w:rPr>
        <w:t>McNeil</w:t>
      </w:r>
      <w:r w:rsidR="001451F7">
        <w:rPr>
          <w:rFonts w:cstheme="minorHAnsi"/>
        </w:rPr>
        <w:t>,</w:t>
      </w:r>
      <w:r w:rsidR="00C456AC">
        <w:rPr>
          <w:rFonts w:cstheme="minorHAnsi"/>
        </w:rPr>
        <w:t xml:space="preserve"> John. </w:t>
      </w:r>
      <w:r w:rsidR="00596EC4" w:rsidRPr="00596EC4">
        <w:rPr>
          <w:rFonts w:cstheme="minorHAnsi"/>
        </w:rPr>
        <w:t>School of Public Health and Preventive Medicine</w:t>
      </w:r>
      <w:r w:rsidR="00596EC4">
        <w:rPr>
          <w:rFonts w:cstheme="minorHAnsi"/>
        </w:rPr>
        <w:t xml:space="preserve">, </w:t>
      </w:r>
      <w:r w:rsidR="00596EC4" w:rsidRPr="00596EC4">
        <w:rPr>
          <w:rFonts w:cstheme="minorHAnsi"/>
        </w:rPr>
        <w:t xml:space="preserve">Monash University, </w:t>
      </w:r>
      <w:r w:rsidR="00914C76" w:rsidRPr="00914C76">
        <w:rPr>
          <w:rFonts w:cstheme="minorHAnsi"/>
        </w:rPr>
        <w:t xml:space="preserve">Wellington Rd, Clayton VIC 3800, </w:t>
      </w:r>
      <w:r w:rsidR="00596EC4" w:rsidRPr="00596EC4">
        <w:rPr>
          <w:rFonts w:cstheme="minorHAnsi"/>
        </w:rPr>
        <w:t>Melbourne</w:t>
      </w:r>
      <w:r w:rsidR="004F6C72">
        <w:rPr>
          <w:rFonts w:cstheme="minorHAnsi"/>
        </w:rPr>
        <w:t>, Australia</w:t>
      </w:r>
      <w:r w:rsidR="004E3737">
        <w:rPr>
          <w:rFonts w:cstheme="minorHAnsi"/>
        </w:rPr>
        <w:t xml:space="preserve">; </w:t>
      </w:r>
      <w:hyperlink r:id="rId22" w:history="1">
        <w:r w:rsidR="004E3737" w:rsidRPr="00F22AB6">
          <w:rPr>
            <w:rStyle w:val="Hyperlink"/>
            <w:rFonts w:cstheme="minorHAnsi"/>
          </w:rPr>
          <w:t>john.mcneil@monash.edu</w:t>
        </w:r>
      </w:hyperlink>
      <w:r w:rsidR="004E3737">
        <w:rPr>
          <w:rFonts w:cstheme="minorHAnsi"/>
        </w:rPr>
        <w:t xml:space="preserve"> </w:t>
      </w:r>
    </w:p>
    <w:p w14:paraId="154A5B74" w14:textId="77777777" w:rsidR="00B67081" w:rsidRPr="0024232B" w:rsidRDefault="00B67081" w:rsidP="00B67081">
      <w:pPr>
        <w:spacing w:after="0" w:line="480" w:lineRule="auto"/>
        <w:rPr>
          <w:rStyle w:val="Hyperlink"/>
          <w:rFonts w:cstheme="minorHAnsi"/>
          <w:color w:val="auto"/>
          <w:u w:val="none"/>
        </w:rPr>
      </w:pPr>
    </w:p>
    <w:p w14:paraId="474BB149" w14:textId="59294A33" w:rsidR="009033CB" w:rsidRDefault="009033CB" w:rsidP="00B67081">
      <w:pPr>
        <w:spacing w:after="0" w:line="480" w:lineRule="auto"/>
        <w:rPr>
          <w:rFonts w:cstheme="minorHAnsi"/>
          <w:lang w:val="pt-BR"/>
        </w:rPr>
      </w:pPr>
      <w:r w:rsidRPr="009033CB">
        <w:rPr>
          <w:rFonts w:cstheme="minorHAnsi"/>
          <w:lang w:val="pt-BR"/>
        </w:rPr>
        <w:t xml:space="preserve">Nicolau, José C. </w:t>
      </w:r>
      <w:r w:rsidRPr="009033CB">
        <w:rPr>
          <w:rFonts w:eastAsia="TN_web_use_only" w:cstheme="minorHAnsi"/>
          <w:color w:val="000000" w:themeColor="text1"/>
          <w:lang w:val="pt-BR"/>
        </w:rPr>
        <w:t xml:space="preserve">Instituto do </w:t>
      </w:r>
      <w:proofErr w:type="spellStart"/>
      <w:r w:rsidRPr="009033CB">
        <w:rPr>
          <w:rFonts w:eastAsia="TN_web_use_only" w:cstheme="minorHAnsi"/>
          <w:color w:val="000000" w:themeColor="text1"/>
          <w:lang w:val="pt-BR"/>
        </w:rPr>
        <w:t>Coracao</w:t>
      </w:r>
      <w:proofErr w:type="spellEnd"/>
      <w:r w:rsidRPr="009033CB">
        <w:rPr>
          <w:rFonts w:eastAsia="TN_web_use_only" w:cstheme="minorHAnsi"/>
          <w:color w:val="000000" w:themeColor="text1"/>
          <w:lang w:val="pt-BR"/>
        </w:rPr>
        <w:t xml:space="preserve"> (InCor), Hospital das </w:t>
      </w:r>
      <w:proofErr w:type="gramStart"/>
      <w:r w:rsidRPr="009033CB">
        <w:rPr>
          <w:rFonts w:eastAsia="TN_web_use_only" w:cstheme="minorHAnsi"/>
          <w:color w:val="000000" w:themeColor="text1"/>
          <w:lang w:val="pt-BR"/>
        </w:rPr>
        <w:t>Clinicas</w:t>
      </w:r>
      <w:proofErr w:type="gramEnd"/>
      <w:r w:rsidRPr="009033CB">
        <w:rPr>
          <w:rFonts w:eastAsia="TN_web_use_only" w:cstheme="minorHAnsi"/>
          <w:color w:val="000000" w:themeColor="text1"/>
          <w:lang w:val="pt-BR"/>
        </w:rPr>
        <w:t xml:space="preserve"> HCFMUSP, Faculdade de Medicina, Universidade de </w:t>
      </w:r>
      <w:proofErr w:type="spellStart"/>
      <w:r w:rsidRPr="009033CB">
        <w:rPr>
          <w:rFonts w:eastAsia="TN_web_use_only" w:cstheme="minorHAnsi"/>
          <w:color w:val="000000" w:themeColor="text1"/>
          <w:lang w:val="pt-BR"/>
        </w:rPr>
        <w:t>Sao</w:t>
      </w:r>
      <w:proofErr w:type="spellEnd"/>
      <w:r w:rsidRPr="009033CB">
        <w:rPr>
          <w:rFonts w:eastAsia="TN_web_use_only" w:cstheme="minorHAnsi"/>
          <w:color w:val="000000" w:themeColor="text1"/>
          <w:lang w:val="pt-BR"/>
        </w:rPr>
        <w:t xml:space="preserve"> Paulo, </w:t>
      </w:r>
      <w:proofErr w:type="spellStart"/>
      <w:r w:rsidRPr="009033CB">
        <w:rPr>
          <w:rFonts w:eastAsia="TN_web_use_only" w:cstheme="minorHAnsi"/>
          <w:color w:val="000000" w:themeColor="text1"/>
          <w:lang w:val="pt-BR"/>
        </w:rPr>
        <w:t>Sao</w:t>
      </w:r>
      <w:proofErr w:type="spellEnd"/>
      <w:r w:rsidRPr="009033CB">
        <w:rPr>
          <w:rFonts w:eastAsia="TN_web_use_only" w:cstheme="minorHAnsi"/>
          <w:color w:val="000000" w:themeColor="text1"/>
          <w:lang w:val="pt-BR"/>
        </w:rPr>
        <w:t xml:space="preserve"> Paulo, </w:t>
      </w:r>
      <w:proofErr w:type="spellStart"/>
      <w:r w:rsidRPr="009033CB">
        <w:rPr>
          <w:rFonts w:eastAsia="TN_web_use_only" w:cstheme="minorHAnsi"/>
          <w:color w:val="000000" w:themeColor="text1"/>
          <w:lang w:val="pt-BR"/>
        </w:rPr>
        <w:t>Brazil</w:t>
      </w:r>
      <w:proofErr w:type="spellEnd"/>
      <w:r w:rsidRPr="009033CB">
        <w:rPr>
          <w:rFonts w:eastAsia="TN_web_use_only" w:cstheme="minorHAnsi"/>
          <w:color w:val="000000" w:themeColor="text1"/>
          <w:lang w:val="pt-BR"/>
        </w:rPr>
        <w:t>.</w:t>
      </w:r>
      <w:r w:rsidR="00D91023">
        <w:rPr>
          <w:rFonts w:cstheme="minorHAnsi"/>
          <w:color w:val="000000" w:themeColor="text1"/>
          <w:lang w:val="pt-BR"/>
        </w:rPr>
        <w:t xml:space="preserve"> </w:t>
      </w:r>
      <w:r w:rsidRPr="009033CB">
        <w:rPr>
          <w:rFonts w:cstheme="minorHAnsi"/>
          <w:lang w:val="pt-BR"/>
        </w:rPr>
        <w:t xml:space="preserve">Av. Dr. Arnaldo, 455 - Cerqueira César, São Paulo, </w:t>
      </w:r>
      <w:proofErr w:type="spellStart"/>
      <w:r w:rsidRPr="009033CB">
        <w:rPr>
          <w:rFonts w:cstheme="minorHAnsi"/>
          <w:lang w:val="pt-BR"/>
        </w:rPr>
        <w:t>Brazil</w:t>
      </w:r>
      <w:proofErr w:type="spellEnd"/>
      <w:r w:rsidRPr="009033CB">
        <w:rPr>
          <w:rFonts w:cstheme="minorHAnsi"/>
          <w:lang w:val="pt-BR"/>
        </w:rPr>
        <w:t xml:space="preserve">; </w:t>
      </w:r>
      <w:hyperlink r:id="rId23" w:history="1">
        <w:r w:rsidR="00B67081" w:rsidRPr="00FB4A7E">
          <w:rPr>
            <w:rStyle w:val="Hyperlink"/>
            <w:rFonts w:cstheme="minorHAnsi"/>
            <w:lang w:val="pt-BR"/>
          </w:rPr>
          <w:t>jose.nicolau@incor.usp.br</w:t>
        </w:r>
      </w:hyperlink>
    </w:p>
    <w:p w14:paraId="7166C909" w14:textId="77777777" w:rsidR="00B67081" w:rsidRPr="00D91023" w:rsidRDefault="00B67081" w:rsidP="00B67081">
      <w:pPr>
        <w:spacing w:after="0" w:line="480" w:lineRule="auto"/>
        <w:rPr>
          <w:rFonts w:cstheme="minorHAnsi"/>
          <w:color w:val="000000" w:themeColor="text1"/>
          <w:lang w:val="pt-BR"/>
        </w:rPr>
      </w:pPr>
    </w:p>
    <w:p w14:paraId="0D19956F" w14:textId="0C7B0B2D" w:rsidR="00A46E0A" w:rsidRDefault="00B81586" w:rsidP="00B67081">
      <w:pPr>
        <w:spacing w:after="0" w:line="480" w:lineRule="auto"/>
        <w:rPr>
          <w:rFonts w:cstheme="minorHAnsi"/>
        </w:rPr>
      </w:pPr>
      <w:r w:rsidRPr="00B81586">
        <w:rPr>
          <w:rFonts w:cstheme="minorHAnsi"/>
        </w:rPr>
        <w:t xml:space="preserve">Steg, Philippe Gabriel. </w:t>
      </w:r>
      <w:proofErr w:type="spellStart"/>
      <w:r w:rsidRPr="00B81586">
        <w:rPr>
          <w:rFonts w:cstheme="minorHAnsi"/>
        </w:rPr>
        <w:t>Université</w:t>
      </w:r>
      <w:proofErr w:type="spellEnd"/>
      <w:r w:rsidRPr="00B81586">
        <w:rPr>
          <w:rFonts w:cstheme="minorHAnsi"/>
        </w:rPr>
        <w:t xml:space="preserve"> de Paris, Assistance </w:t>
      </w:r>
      <w:proofErr w:type="spellStart"/>
      <w:r w:rsidRPr="00B81586">
        <w:rPr>
          <w:rFonts w:cstheme="minorHAnsi"/>
        </w:rPr>
        <w:t>Publique-Hôpitaux</w:t>
      </w:r>
      <w:proofErr w:type="spellEnd"/>
      <w:r w:rsidRPr="00B81586">
        <w:rPr>
          <w:rFonts w:cstheme="minorHAnsi"/>
        </w:rPr>
        <w:t xml:space="preserve"> de Paris, </w:t>
      </w:r>
      <w:proofErr w:type="spellStart"/>
      <w:r w:rsidRPr="00B81586">
        <w:rPr>
          <w:rFonts w:cstheme="minorHAnsi"/>
        </w:rPr>
        <w:t>Hôpital</w:t>
      </w:r>
      <w:proofErr w:type="spellEnd"/>
      <w:r w:rsidRPr="00B81586">
        <w:rPr>
          <w:rFonts w:cstheme="minorHAnsi"/>
        </w:rPr>
        <w:t xml:space="preserve"> Bichat, FACT (French Alliance for Cardiovascular Trials), INSERM U1148, Paris, France; </w:t>
      </w:r>
      <w:hyperlink r:id="rId24" w:history="1">
        <w:r w:rsidR="00A46E0A" w:rsidRPr="00F22AB6">
          <w:rPr>
            <w:rStyle w:val="Hyperlink"/>
            <w:rFonts w:cstheme="minorHAnsi"/>
          </w:rPr>
          <w:t>gabriel.steg@bch.aphp.fr</w:t>
        </w:r>
      </w:hyperlink>
      <w:r w:rsidRPr="00B81586">
        <w:rPr>
          <w:rFonts w:cstheme="minorHAnsi"/>
        </w:rPr>
        <w:t xml:space="preserve"> </w:t>
      </w:r>
    </w:p>
    <w:p w14:paraId="6768807B" w14:textId="77777777" w:rsidR="00B67081" w:rsidRDefault="00B67081" w:rsidP="00B67081">
      <w:pPr>
        <w:spacing w:after="0" w:line="480" w:lineRule="auto"/>
        <w:rPr>
          <w:rFonts w:cstheme="minorHAnsi"/>
        </w:rPr>
      </w:pPr>
    </w:p>
    <w:p w14:paraId="3C1E2C03" w14:textId="2F15E54C" w:rsidR="009033CB" w:rsidRDefault="009033CB" w:rsidP="00B67081">
      <w:pPr>
        <w:spacing w:after="0" w:line="480" w:lineRule="auto"/>
        <w:rPr>
          <w:rStyle w:val="Hyperlink"/>
          <w:rFonts w:cstheme="minorHAnsi"/>
        </w:rPr>
      </w:pPr>
      <w:proofErr w:type="spellStart"/>
      <w:r w:rsidRPr="009033CB">
        <w:rPr>
          <w:rFonts w:cstheme="minorHAnsi"/>
        </w:rPr>
        <w:t>Tamargo</w:t>
      </w:r>
      <w:proofErr w:type="spellEnd"/>
      <w:r w:rsidRPr="009033CB">
        <w:rPr>
          <w:rFonts w:cstheme="minorHAnsi"/>
        </w:rPr>
        <w:t xml:space="preserve">, Juan. Faculty of Medicine of the </w:t>
      </w:r>
      <w:proofErr w:type="spellStart"/>
      <w:r w:rsidRPr="009033CB">
        <w:rPr>
          <w:rFonts w:cstheme="minorHAnsi"/>
        </w:rPr>
        <w:t>Complutense</w:t>
      </w:r>
      <w:proofErr w:type="spellEnd"/>
      <w:r w:rsidRPr="009033CB">
        <w:rPr>
          <w:rFonts w:cstheme="minorHAnsi"/>
        </w:rPr>
        <w:t xml:space="preserve"> University of Madrid, Instituto </w:t>
      </w:r>
      <w:r w:rsidRPr="009033CB">
        <w:rPr>
          <w:rFonts w:cstheme="minorHAnsi"/>
          <w:lang w:eastAsia="es-ES"/>
        </w:rPr>
        <w:t xml:space="preserve">de </w:t>
      </w:r>
      <w:proofErr w:type="spellStart"/>
      <w:r w:rsidRPr="009033CB">
        <w:rPr>
          <w:rFonts w:cstheme="minorHAnsi"/>
          <w:lang w:eastAsia="es-ES"/>
        </w:rPr>
        <w:t>Investigación</w:t>
      </w:r>
      <w:proofErr w:type="spellEnd"/>
      <w:r w:rsidRPr="009033CB">
        <w:rPr>
          <w:rFonts w:cstheme="minorHAnsi"/>
          <w:lang w:eastAsia="es-ES"/>
        </w:rPr>
        <w:t xml:space="preserve"> Sanitaria Gregorio </w:t>
      </w:r>
      <w:proofErr w:type="spellStart"/>
      <w:r w:rsidRPr="009033CB">
        <w:rPr>
          <w:rFonts w:cstheme="minorHAnsi"/>
          <w:lang w:eastAsia="es-ES"/>
        </w:rPr>
        <w:t>Marañón</w:t>
      </w:r>
      <w:proofErr w:type="spellEnd"/>
      <w:r w:rsidRPr="009033CB">
        <w:rPr>
          <w:rFonts w:cstheme="minorHAnsi"/>
        </w:rPr>
        <w:t xml:space="preserve">, Madrid, Spain; </w:t>
      </w:r>
      <w:hyperlink r:id="rId25" w:history="1">
        <w:r w:rsidRPr="009033CB">
          <w:rPr>
            <w:rStyle w:val="Hyperlink"/>
            <w:rFonts w:cstheme="minorHAnsi"/>
          </w:rPr>
          <w:t>jtamargo@med.ucm.es</w:t>
        </w:r>
      </w:hyperlink>
    </w:p>
    <w:p w14:paraId="760A5CB0" w14:textId="77777777" w:rsidR="00B67081" w:rsidRDefault="00B67081" w:rsidP="00B67081">
      <w:pPr>
        <w:spacing w:after="0" w:line="480" w:lineRule="auto"/>
        <w:rPr>
          <w:rFonts w:cstheme="minorHAnsi"/>
        </w:rPr>
      </w:pPr>
    </w:p>
    <w:p w14:paraId="1AFF7706" w14:textId="0692C21A" w:rsidR="00686FD4" w:rsidRDefault="00686FD4" w:rsidP="00B67081">
      <w:pPr>
        <w:spacing w:after="0" w:line="480" w:lineRule="auto"/>
        <w:rPr>
          <w:rFonts w:cstheme="minorHAnsi"/>
        </w:rPr>
      </w:pPr>
      <w:r>
        <w:rPr>
          <w:rFonts w:cstheme="minorHAnsi"/>
        </w:rPr>
        <w:t xml:space="preserve">Tan, Doreen. </w:t>
      </w:r>
      <w:r w:rsidR="009D0E1C" w:rsidRPr="009D0E1C">
        <w:rPr>
          <w:rFonts w:cstheme="minorHAnsi"/>
        </w:rPr>
        <w:t>Dept of Pharmacy, N</w:t>
      </w:r>
      <w:r w:rsidR="009D0E1C">
        <w:rPr>
          <w:rFonts w:cstheme="minorHAnsi"/>
        </w:rPr>
        <w:t xml:space="preserve">ational </w:t>
      </w:r>
      <w:r w:rsidR="009D0E1C" w:rsidRPr="009D0E1C">
        <w:rPr>
          <w:rFonts w:cstheme="minorHAnsi"/>
        </w:rPr>
        <w:t>U</w:t>
      </w:r>
      <w:r w:rsidR="009D0E1C">
        <w:rPr>
          <w:rFonts w:cstheme="minorHAnsi"/>
        </w:rPr>
        <w:t xml:space="preserve">niversity of </w:t>
      </w:r>
      <w:r w:rsidR="009D0E1C" w:rsidRPr="009D0E1C">
        <w:rPr>
          <w:rFonts w:cstheme="minorHAnsi"/>
        </w:rPr>
        <w:t>S</w:t>
      </w:r>
      <w:r w:rsidR="004742BD">
        <w:rPr>
          <w:rFonts w:cstheme="minorHAnsi"/>
        </w:rPr>
        <w:t>ingapore</w:t>
      </w:r>
      <w:r w:rsidR="0077365A">
        <w:rPr>
          <w:rFonts w:cstheme="minorHAnsi"/>
        </w:rPr>
        <w:t xml:space="preserve">, </w:t>
      </w:r>
      <w:r w:rsidR="0077365A" w:rsidRPr="0077365A">
        <w:rPr>
          <w:rFonts w:cstheme="minorHAnsi"/>
        </w:rPr>
        <w:t>8 Science Drive 4, Singapore 117543</w:t>
      </w:r>
      <w:r w:rsidR="0077365A">
        <w:rPr>
          <w:rFonts w:cstheme="minorHAnsi"/>
        </w:rPr>
        <w:t xml:space="preserve">; </w:t>
      </w:r>
      <w:hyperlink r:id="rId26" w:history="1">
        <w:r w:rsidR="0077365A" w:rsidRPr="00F22AB6">
          <w:rPr>
            <w:rStyle w:val="Hyperlink"/>
            <w:rFonts w:cstheme="minorHAnsi"/>
          </w:rPr>
          <w:t>doreen.tan.sy@nus.edu.sg</w:t>
        </w:r>
      </w:hyperlink>
      <w:r w:rsidR="0077365A">
        <w:rPr>
          <w:rFonts w:cstheme="minorHAnsi"/>
        </w:rPr>
        <w:t xml:space="preserve"> </w:t>
      </w:r>
    </w:p>
    <w:p w14:paraId="472D2428" w14:textId="77777777" w:rsidR="00B67081" w:rsidRDefault="00B67081" w:rsidP="00B67081">
      <w:pPr>
        <w:spacing w:after="0" w:line="480" w:lineRule="auto"/>
        <w:rPr>
          <w:rFonts w:cstheme="minorHAnsi"/>
        </w:rPr>
      </w:pPr>
    </w:p>
    <w:p w14:paraId="693D0029" w14:textId="76A7B609" w:rsidR="00024B8A" w:rsidRDefault="00D45FF3" w:rsidP="00B67081">
      <w:pPr>
        <w:spacing w:after="0" w:line="480" w:lineRule="auto"/>
        <w:rPr>
          <w:rFonts w:cstheme="minorHAnsi"/>
        </w:rPr>
      </w:pPr>
      <w:proofErr w:type="spellStart"/>
      <w:r>
        <w:rPr>
          <w:rFonts w:cstheme="minorHAnsi"/>
        </w:rPr>
        <w:t>Valgimigli</w:t>
      </w:r>
      <w:proofErr w:type="spellEnd"/>
      <w:r>
        <w:rPr>
          <w:rFonts w:cstheme="minorHAnsi"/>
        </w:rPr>
        <w:t xml:space="preserve">, Marco. </w:t>
      </w:r>
      <w:proofErr w:type="spellStart"/>
      <w:r w:rsidR="00A004C0" w:rsidRPr="00A004C0">
        <w:rPr>
          <w:rFonts w:cstheme="minorHAnsi"/>
        </w:rPr>
        <w:t>Inselspital</w:t>
      </w:r>
      <w:proofErr w:type="spellEnd"/>
      <w:r w:rsidR="00A004C0" w:rsidRPr="00A004C0">
        <w:rPr>
          <w:rFonts w:cstheme="minorHAnsi"/>
        </w:rPr>
        <w:t>, University Hospital Bern, Bern, Switzerland</w:t>
      </w:r>
      <w:r w:rsidR="00542DBB">
        <w:rPr>
          <w:rFonts w:cstheme="minorHAnsi"/>
        </w:rPr>
        <w:t xml:space="preserve">; </w:t>
      </w:r>
      <w:hyperlink r:id="rId27" w:history="1">
        <w:r w:rsidR="00542DBB" w:rsidRPr="00F22AB6">
          <w:rPr>
            <w:rStyle w:val="Hyperlink"/>
            <w:rFonts w:cstheme="minorHAnsi"/>
          </w:rPr>
          <w:t>Marco.Valgimigli@cardiocentro.org</w:t>
        </w:r>
      </w:hyperlink>
      <w:r w:rsidR="00542DBB">
        <w:rPr>
          <w:rFonts w:cstheme="minorHAnsi"/>
        </w:rPr>
        <w:t xml:space="preserve"> </w:t>
      </w:r>
    </w:p>
    <w:p w14:paraId="0145340C" w14:textId="77777777" w:rsidR="00021D44" w:rsidRDefault="00021D44" w:rsidP="00B67081">
      <w:pPr>
        <w:spacing w:after="0" w:line="480" w:lineRule="auto"/>
        <w:rPr>
          <w:b/>
          <w:bCs/>
          <w:color w:val="000000" w:themeColor="text1"/>
          <w:sz w:val="28"/>
          <w:szCs w:val="28"/>
        </w:rPr>
      </w:pPr>
    </w:p>
    <w:p w14:paraId="03A05EF3" w14:textId="6BDF0606" w:rsidR="003E757F" w:rsidRDefault="00021D44" w:rsidP="00B67081">
      <w:pPr>
        <w:spacing w:after="0" w:line="480" w:lineRule="auto"/>
        <w:rPr>
          <w:b/>
          <w:bCs/>
          <w:color w:val="000000" w:themeColor="text1"/>
        </w:rPr>
      </w:pPr>
      <w:r w:rsidRPr="00136756">
        <w:rPr>
          <w:b/>
          <w:bCs/>
          <w:color w:val="000000" w:themeColor="text1"/>
          <w:vertAlign w:val="superscript"/>
        </w:rPr>
        <w:t>*</w:t>
      </w:r>
      <w:r w:rsidRPr="00021D44">
        <w:rPr>
          <w:b/>
          <w:bCs/>
          <w:color w:val="000000" w:themeColor="text1"/>
        </w:rPr>
        <w:t>Joint first authors</w:t>
      </w:r>
    </w:p>
    <w:p w14:paraId="65F70C36" w14:textId="782860F1" w:rsidR="00383028" w:rsidRPr="00021D44" w:rsidRDefault="00482819" w:rsidP="00B67081">
      <w:pPr>
        <w:spacing w:after="0" w:line="480" w:lineRule="auto"/>
        <w:rPr>
          <w:b/>
          <w:bCs/>
          <w:color w:val="000000" w:themeColor="text1"/>
        </w:rPr>
      </w:pPr>
      <w:r>
        <w:rPr>
          <w:rFonts w:ascii="Calibri" w:hAnsi="Calibri"/>
          <w:b/>
          <w:bCs/>
          <w:color w:val="000000" w:themeColor="text1"/>
          <w:vertAlign w:val="superscript"/>
        </w:rPr>
        <w:t>^</w:t>
      </w:r>
      <w:r w:rsidR="00136756">
        <w:rPr>
          <w:rFonts w:ascii="Calibri" w:hAnsi="Calibri"/>
          <w:b/>
          <w:bCs/>
          <w:color w:val="000000" w:themeColor="text1"/>
        </w:rPr>
        <w:t>For correspondence</w:t>
      </w:r>
    </w:p>
    <w:p w14:paraId="7A90CF96" w14:textId="52C7469B" w:rsidR="003E757F" w:rsidRPr="007A2A44" w:rsidRDefault="007A2A44" w:rsidP="00B67081">
      <w:pPr>
        <w:spacing w:after="0" w:line="480" w:lineRule="auto"/>
        <w:rPr>
          <w:rFonts w:ascii="Calibri" w:hAnsi="Calibri"/>
          <w:b/>
          <w:bCs/>
          <w:color w:val="000000" w:themeColor="text1"/>
        </w:rPr>
      </w:pPr>
      <w:r>
        <w:rPr>
          <w:rFonts w:ascii="Calibri" w:hAnsi="Calibri"/>
          <w:b/>
          <w:bCs/>
          <w:color w:val="000000" w:themeColor="text1"/>
        </w:rPr>
        <w:t>All</w:t>
      </w:r>
      <w:r w:rsidR="005E1C05" w:rsidRPr="007A2A44">
        <w:rPr>
          <w:rFonts w:ascii="Calibri" w:hAnsi="Calibri"/>
          <w:b/>
          <w:bCs/>
          <w:color w:val="000000" w:themeColor="text1"/>
        </w:rPr>
        <w:t xml:space="preserve"> author</w:t>
      </w:r>
      <w:r>
        <w:rPr>
          <w:rFonts w:ascii="Calibri" w:hAnsi="Calibri"/>
          <w:b/>
          <w:bCs/>
          <w:color w:val="000000" w:themeColor="text1"/>
        </w:rPr>
        <w:t>s</w:t>
      </w:r>
      <w:r w:rsidR="005E1C05" w:rsidRPr="007A2A44">
        <w:rPr>
          <w:rFonts w:ascii="Calibri" w:hAnsi="Calibri"/>
          <w:b/>
          <w:bCs/>
          <w:color w:val="000000" w:themeColor="text1"/>
        </w:rPr>
        <w:t xml:space="preserve"> take responsibility for all aspects of the reliability and freedom from bias of the data presented and their discussed interpretation</w:t>
      </w:r>
      <w:r w:rsidR="00D278C1">
        <w:rPr>
          <w:rFonts w:ascii="Calibri" w:hAnsi="Calibri"/>
          <w:b/>
          <w:bCs/>
          <w:color w:val="000000" w:themeColor="text1"/>
        </w:rPr>
        <w:t>.</w:t>
      </w:r>
    </w:p>
    <w:p w14:paraId="73F4973E" w14:textId="77777777" w:rsidR="006D757A" w:rsidRDefault="006D757A" w:rsidP="00B67081">
      <w:pPr>
        <w:spacing w:after="0" w:line="480" w:lineRule="auto"/>
        <w:rPr>
          <w:b/>
          <w:bCs/>
          <w:sz w:val="28"/>
          <w:szCs w:val="28"/>
        </w:rPr>
      </w:pPr>
      <w:r>
        <w:rPr>
          <w:b/>
          <w:bCs/>
          <w:sz w:val="28"/>
          <w:szCs w:val="28"/>
        </w:rPr>
        <w:br w:type="page"/>
      </w:r>
    </w:p>
    <w:p w14:paraId="658F1016" w14:textId="77777777" w:rsidR="006D757A" w:rsidRPr="00B67081" w:rsidRDefault="006D757A" w:rsidP="00B67081">
      <w:pPr>
        <w:spacing w:after="0" w:line="480" w:lineRule="auto"/>
        <w:rPr>
          <w:b/>
          <w:bCs/>
        </w:rPr>
      </w:pPr>
      <w:r w:rsidRPr="00B67081">
        <w:rPr>
          <w:b/>
          <w:bCs/>
        </w:rPr>
        <w:lastRenderedPageBreak/>
        <w:t>Abstract</w:t>
      </w:r>
    </w:p>
    <w:p w14:paraId="71BAD3BB" w14:textId="0EFE1F34" w:rsidR="007B1FDD" w:rsidRDefault="00444F34" w:rsidP="00B67081">
      <w:pPr>
        <w:spacing w:after="0" w:line="480" w:lineRule="auto"/>
      </w:pPr>
      <w:r w:rsidRPr="00DE7498">
        <w:rPr>
          <w:b/>
          <w:bCs/>
          <w:i/>
          <w:iCs/>
        </w:rPr>
        <w:t>Aims</w:t>
      </w:r>
      <w:r w:rsidRPr="00DE7498">
        <w:t>.</w:t>
      </w:r>
      <w:r w:rsidR="00E335DB" w:rsidRPr="00DE7498">
        <w:t xml:space="preserve"> </w:t>
      </w:r>
      <w:r w:rsidR="00815590" w:rsidRPr="00DE7498">
        <w:t>Choosing an</w:t>
      </w:r>
      <w:r w:rsidR="00677B35" w:rsidRPr="00DE7498">
        <w:t xml:space="preserve"> antiplatelet </w:t>
      </w:r>
      <w:r w:rsidR="00815590" w:rsidRPr="00DE7498">
        <w:t xml:space="preserve">strategy </w:t>
      </w:r>
      <w:r w:rsidR="00FB5BC4" w:rsidRPr="00DE7498">
        <w:t xml:space="preserve">in patients </w:t>
      </w:r>
      <w:r w:rsidR="00677B35" w:rsidRPr="00DE7498">
        <w:t xml:space="preserve">with </w:t>
      </w:r>
      <w:r w:rsidR="00677B35" w:rsidRPr="00DE7498">
        <w:rPr>
          <w:color w:val="000000" w:themeColor="text1"/>
        </w:rPr>
        <w:t>n</w:t>
      </w:r>
      <w:r w:rsidR="00677B35" w:rsidRPr="00DE7498">
        <w:rPr>
          <w:rFonts w:cstheme="minorHAnsi"/>
        </w:rPr>
        <w:t>on-ST segment elevation acute coronary syndrome</w:t>
      </w:r>
      <w:r w:rsidR="00B06001" w:rsidRPr="00DE7498">
        <w:rPr>
          <w:rFonts w:cstheme="minorHAnsi"/>
        </w:rPr>
        <w:t xml:space="preserve"> (NSTE-ACS)</w:t>
      </w:r>
      <w:r w:rsidR="00677B35" w:rsidRPr="00DE7498">
        <w:rPr>
          <w:rFonts w:cstheme="minorHAnsi"/>
        </w:rPr>
        <w:t xml:space="preserve"> at high bleeding risk</w:t>
      </w:r>
      <w:r w:rsidR="000B15B9" w:rsidRPr="00DE7498">
        <w:rPr>
          <w:rFonts w:cstheme="minorHAnsi"/>
        </w:rPr>
        <w:t xml:space="preserve"> (HBR)</w:t>
      </w:r>
      <w:r w:rsidR="002C51EC" w:rsidRPr="00DE7498">
        <w:rPr>
          <w:rFonts w:cstheme="minorHAnsi"/>
        </w:rPr>
        <w:t xml:space="preserve">, </w:t>
      </w:r>
      <w:r w:rsidR="002C51EC" w:rsidRPr="00DE7498">
        <w:t xml:space="preserve">undergoing </w:t>
      </w:r>
      <w:r w:rsidR="002C51EC" w:rsidRPr="00DE7498">
        <w:rPr>
          <w:rFonts w:cstheme="minorHAnsi"/>
        </w:rPr>
        <w:t>post-percutaneous coronary intervention (PCI)</w:t>
      </w:r>
      <w:r w:rsidR="00CE66D7" w:rsidRPr="00DE7498">
        <w:rPr>
          <w:rFonts w:cstheme="minorHAnsi"/>
        </w:rPr>
        <w:t>,</w:t>
      </w:r>
      <w:r w:rsidR="002C51EC" w:rsidRPr="00DE7498">
        <w:t xml:space="preserve"> </w:t>
      </w:r>
      <w:r w:rsidR="002C51EC" w:rsidRPr="00DE7498">
        <w:rPr>
          <w:rFonts w:cstheme="minorHAnsi"/>
        </w:rPr>
        <w:t xml:space="preserve">is </w:t>
      </w:r>
      <w:r w:rsidR="00BD14DC" w:rsidRPr="00DE7498">
        <w:rPr>
          <w:rFonts w:cstheme="minorHAnsi"/>
        </w:rPr>
        <w:t>complex</w:t>
      </w:r>
      <w:r w:rsidR="002C51EC" w:rsidRPr="00DE7498">
        <w:rPr>
          <w:rFonts w:cstheme="minorHAnsi"/>
        </w:rPr>
        <w:t xml:space="preserve">. </w:t>
      </w:r>
      <w:r w:rsidR="00E335DB" w:rsidRPr="00DE7498">
        <w:rPr>
          <w:rFonts w:cstheme="minorHAnsi"/>
        </w:rPr>
        <w:t xml:space="preserve">We </w:t>
      </w:r>
      <w:r w:rsidR="00384239" w:rsidRPr="00DE7498">
        <w:rPr>
          <w:rFonts w:cstheme="minorHAnsi"/>
        </w:rPr>
        <w:t xml:space="preserve">used a unique </w:t>
      </w:r>
      <w:r w:rsidR="002C09AB" w:rsidRPr="00DE7498">
        <w:rPr>
          <w:rFonts w:cstheme="minorHAnsi"/>
        </w:rPr>
        <w:t>open-source</w:t>
      </w:r>
      <w:r w:rsidR="00384239" w:rsidRPr="00DE7498">
        <w:rPr>
          <w:rFonts w:cstheme="minorHAnsi"/>
        </w:rPr>
        <w:t xml:space="preserve"> approach </w:t>
      </w:r>
      <w:r w:rsidR="00BB1DAF" w:rsidRPr="00DE7498">
        <w:rPr>
          <w:rFonts w:cstheme="minorHAnsi"/>
        </w:rPr>
        <w:t xml:space="preserve">(crowdsourcing) </w:t>
      </w:r>
      <w:r w:rsidR="00E335DB" w:rsidRPr="00DE7498">
        <w:rPr>
          <w:rFonts w:cstheme="minorHAnsi"/>
        </w:rPr>
        <w:t xml:space="preserve">to </w:t>
      </w:r>
      <w:r w:rsidR="009958AC" w:rsidRPr="00DE7498">
        <w:rPr>
          <w:rFonts w:cstheme="minorHAnsi"/>
        </w:rPr>
        <w:t xml:space="preserve">document </w:t>
      </w:r>
      <w:r w:rsidR="00BB1DAF" w:rsidRPr="00DE7498">
        <w:rPr>
          <w:rFonts w:cstheme="minorHAnsi"/>
        </w:rPr>
        <w:t>if</w:t>
      </w:r>
      <w:r w:rsidR="002B1763" w:rsidRPr="00DE7498">
        <w:rPr>
          <w:rFonts w:cstheme="minorHAnsi"/>
        </w:rPr>
        <w:t xml:space="preserve"> </w:t>
      </w:r>
      <w:r w:rsidR="002843DC" w:rsidRPr="00DE7498">
        <w:rPr>
          <w:rFonts w:cstheme="minorHAnsi"/>
        </w:rPr>
        <w:t xml:space="preserve">practices varied </w:t>
      </w:r>
      <w:r w:rsidR="00FB6FCF" w:rsidRPr="00DE7498">
        <w:rPr>
          <w:rFonts w:cstheme="minorHAnsi"/>
        </w:rPr>
        <w:t>across a small</w:t>
      </w:r>
      <w:r w:rsidR="002B1763" w:rsidRPr="00DE7498">
        <w:rPr>
          <w:rFonts w:cstheme="minorHAnsi"/>
        </w:rPr>
        <w:t>, global</w:t>
      </w:r>
      <w:r w:rsidR="00FB6FCF" w:rsidRPr="00DE7498">
        <w:rPr>
          <w:rFonts w:cstheme="minorHAnsi"/>
        </w:rPr>
        <w:t xml:space="preserve"> cross-section </w:t>
      </w:r>
      <w:r w:rsidR="002B1763" w:rsidRPr="00DE7498">
        <w:rPr>
          <w:rFonts w:cstheme="minorHAnsi"/>
        </w:rPr>
        <w:t xml:space="preserve">of antiplatelet </w:t>
      </w:r>
      <w:r w:rsidR="00B32D94" w:rsidRPr="00DE7498">
        <w:rPr>
          <w:rFonts w:cstheme="minorHAnsi"/>
        </w:rPr>
        <w:t>prescribers</w:t>
      </w:r>
      <w:r w:rsidR="00E335DB" w:rsidRPr="00DE7498">
        <w:rPr>
          <w:rFonts w:cstheme="minorHAnsi"/>
        </w:rPr>
        <w:t xml:space="preserve"> </w:t>
      </w:r>
      <w:r w:rsidR="00C9352A" w:rsidRPr="00DE7498">
        <w:rPr>
          <w:rFonts w:cstheme="minorHAnsi"/>
        </w:rPr>
        <w:t>in th</w:t>
      </w:r>
      <w:r w:rsidR="00976172" w:rsidRPr="00DE7498">
        <w:rPr>
          <w:rFonts w:cstheme="minorHAnsi"/>
        </w:rPr>
        <w:t>e</w:t>
      </w:r>
      <w:r w:rsidR="00C9352A" w:rsidRPr="00DE7498">
        <w:rPr>
          <w:rFonts w:cstheme="minorHAnsi"/>
        </w:rPr>
        <w:t xml:space="preserve"> p</w:t>
      </w:r>
      <w:r w:rsidR="00976172" w:rsidRPr="00DE7498">
        <w:rPr>
          <w:rFonts w:cstheme="minorHAnsi"/>
        </w:rPr>
        <w:t>ost-PCI</w:t>
      </w:r>
      <w:r w:rsidR="00C9352A" w:rsidRPr="00DE7498">
        <w:rPr>
          <w:rFonts w:cstheme="minorHAnsi"/>
        </w:rPr>
        <w:t xml:space="preserve"> setting</w:t>
      </w:r>
      <w:r w:rsidR="00E335DB" w:rsidRPr="00DE7498">
        <w:t>.</w:t>
      </w:r>
      <w:r w:rsidR="00E335DB">
        <w:t xml:space="preserve"> </w:t>
      </w:r>
      <w:r w:rsidRPr="00E335DB">
        <w:rPr>
          <w:b/>
          <w:bCs/>
          <w:i/>
          <w:iCs/>
        </w:rPr>
        <w:t xml:space="preserve">Methods and </w:t>
      </w:r>
      <w:r w:rsidR="003F2AFF">
        <w:rPr>
          <w:b/>
          <w:bCs/>
          <w:i/>
          <w:iCs/>
        </w:rPr>
        <w:t>R</w:t>
      </w:r>
      <w:r w:rsidRPr="00E335DB">
        <w:rPr>
          <w:b/>
          <w:bCs/>
          <w:i/>
          <w:iCs/>
        </w:rPr>
        <w:t>esults</w:t>
      </w:r>
      <w:r w:rsidRPr="00E335DB">
        <w:t>.</w:t>
      </w:r>
      <w:r w:rsidR="00384239">
        <w:t xml:space="preserve"> </w:t>
      </w:r>
      <w:r w:rsidR="004431B4">
        <w:t>Five-hundred and fifty-nine</w:t>
      </w:r>
      <w:r w:rsidR="00EA3D38">
        <w:t xml:space="preserve"> professionals from 70 countries (the ‘crowd</w:t>
      </w:r>
      <w:r w:rsidR="008669E1">
        <w:t>’</w:t>
      </w:r>
      <w:r w:rsidR="00EA3D38">
        <w:t xml:space="preserve">) </w:t>
      </w:r>
      <w:r w:rsidR="00F91B2A">
        <w:t>completed</w:t>
      </w:r>
      <w:r w:rsidR="00EA3D38">
        <w:t xml:space="preserve"> questionnaires containing single-</w:t>
      </w:r>
      <w:r w:rsidR="007E59C8">
        <w:t xml:space="preserve"> </w:t>
      </w:r>
      <w:r w:rsidR="00116E86">
        <w:t>or</w:t>
      </w:r>
      <w:r w:rsidR="00EA3D38">
        <w:t xml:space="preserve"> multi-option and free form questions regarding </w:t>
      </w:r>
      <w:r w:rsidR="0014223D">
        <w:t xml:space="preserve">antiplatelet clinical </w:t>
      </w:r>
      <w:r w:rsidR="00727D25">
        <w:t>practice in</w:t>
      </w:r>
      <w:r w:rsidR="00A66B55">
        <w:t xml:space="preserve"> </w:t>
      </w:r>
      <w:r w:rsidR="00727D25">
        <w:t xml:space="preserve">post-PCI </w:t>
      </w:r>
      <w:r w:rsidR="00A66B55">
        <w:t>NSTE-ACS patients at HBR</w:t>
      </w:r>
      <w:r w:rsidR="00727D25">
        <w:t>.</w:t>
      </w:r>
      <w:r w:rsidR="00654A42" w:rsidRPr="00654A42">
        <w:t xml:space="preserve"> </w:t>
      </w:r>
      <w:r w:rsidR="00654A42">
        <w:t xml:space="preserve">A threshold of 75% defined ‘agreement’. </w:t>
      </w:r>
      <w:r w:rsidR="00D276B9">
        <w:t xml:space="preserve"> </w:t>
      </w:r>
      <w:r w:rsidR="00727D25">
        <w:t>T</w:t>
      </w:r>
      <w:r w:rsidR="005850C3">
        <w:t xml:space="preserve">here </w:t>
      </w:r>
      <w:r w:rsidR="00092EA8">
        <w:t>was strong agreement</w:t>
      </w:r>
      <w:r w:rsidR="006E58D5">
        <w:t xml:space="preserve"> </w:t>
      </w:r>
      <w:r w:rsidR="00092EA8">
        <w:t>favouring</w:t>
      </w:r>
      <w:r w:rsidR="007640FB">
        <w:t xml:space="preserve"> monotherapy </w:t>
      </w:r>
      <w:r w:rsidR="00EC670C">
        <w:t>with either aspirin</w:t>
      </w:r>
      <w:r w:rsidR="00633CEF">
        <w:t xml:space="preserve"> or a P2Y</w:t>
      </w:r>
      <w:r w:rsidR="00633CEF" w:rsidRPr="00633CEF">
        <w:rPr>
          <w:vertAlign w:val="subscript"/>
        </w:rPr>
        <w:t>12</w:t>
      </w:r>
      <w:r w:rsidR="00633CEF">
        <w:t xml:space="preserve"> inhibitor </w:t>
      </w:r>
      <w:r w:rsidR="00057364">
        <w:t>following initial D</w:t>
      </w:r>
      <w:r w:rsidR="007075E8">
        <w:t xml:space="preserve">APT, </w:t>
      </w:r>
      <w:r w:rsidR="006E58D5">
        <w:t xml:space="preserve">within the first year </w:t>
      </w:r>
      <w:r w:rsidR="007075E8">
        <w:t>(94%)</w:t>
      </w:r>
      <w:r w:rsidR="00C81A87">
        <w:t xml:space="preserve">. </w:t>
      </w:r>
      <w:r w:rsidR="00635C14">
        <w:t>No agreement was reached on the optimal duration of DAPT</w:t>
      </w:r>
      <w:r w:rsidR="00206DB7">
        <w:t xml:space="preserve"> or choice of monotherapy</w:t>
      </w:r>
      <w:r w:rsidR="00635C14">
        <w:t>:</w:t>
      </w:r>
      <w:r w:rsidR="001E3B3E">
        <w:t xml:space="preserve"> </w:t>
      </w:r>
      <w:r w:rsidR="00003B46">
        <w:t xml:space="preserve">responses were in </w:t>
      </w:r>
      <w:r w:rsidR="00017531">
        <w:t>equipoise</w:t>
      </w:r>
      <w:r w:rsidR="001E3B3E">
        <w:t xml:space="preserve"> for shorter (</w:t>
      </w:r>
      <w:r w:rsidR="001E3B3E" w:rsidRPr="00C018DE">
        <w:rPr>
          <w:u w:val="single"/>
        </w:rPr>
        <w:t>&lt;</w:t>
      </w:r>
      <w:r w:rsidR="001E3B3E">
        <w:t>3 month</w:t>
      </w:r>
      <w:r w:rsidR="00003B46">
        <w:t>s</w:t>
      </w:r>
      <w:r w:rsidR="00E10F3F">
        <w:t xml:space="preserve">, </w:t>
      </w:r>
      <w:r w:rsidR="00003B46">
        <w:t>5</w:t>
      </w:r>
      <w:r w:rsidR="00E10F3F">
        <w:t>1</w:t>
      </w:r>
      <w:r w:rsidR="00003B46">
        <w:t>%</w:t>
      </w:r>
      <w:r w:rsidR="001E3B3E">
        <w:t xml:space="preserve">) </w:t>
      </w:r>
      <w:r w:rsidR="00003B46">
        <w:t>or</w:t>
      </w:r>
      <w:r w:rsidR="001E3B3E">
        <w:t xml:space="preserve"> longer (</w:t>
      </w:r>
      <w:r w:rsidR="001E3B3E" w:rsidRPr="00C018DE">
        <w:rPr>
          <w:u w:val="single"/>
        </w:rPr>
        <w:t>&gt;</w:t>
      </w:r>
      <w:r w:rsidR="001E3B3E">
        <w:t>6 month</w:t>
      </w:r>
      <w:r w:rsidR="00003B46">
        <w:t>s</w:t>
      </w:r>
      <w:r w:rsidR="00E10F3F">
        <w:t xml:space="preserve">, </w:t>
      </w:r>
      <w:r w:rsidR="00FF2F0B">
        <w:t>46</w:t>
      </w:r>
      <w:r w:rsidR="00003B46">
        <w:t>%</w:t>
      </w:r>
      <w:r w:rsidR="001E3B3E">
        <w:t>)</w:t>
      </w:r>
      <w:r w:rsidR="000C4830">
        <w:t xml:space="preserve"> </w:t>
      </w:r>
      <w:r w:rsidR="0089619C">
        <w:t xml:space="preserve">duration, </w:t>
      </w:r>
      <w:r w:rsidR="001E3B3E">
        <w:t>and</w:t>
      </w:r>
      <w:r w:rsidR="00017531">
        <w:t xml:space="preserve"> monotherapy choice</w:t>
      </w:r>
      <w:r w:rsidR="001E3B3E">
        <w:t xml:space="preserve"> (</w:t>
      </w:r>
      <w:r w:rsidR="000679DF">
        <w:t>4</w:t>
      </w:r>
      <w:r w:rsidR="00547D54">
        <w:t>5</w:t>
      </w:r>
      <w:r w:rsidR="001E3B3E">
        <w:t>% aspirin</w:t>
      </w:r>
      <w:r w:rsidR="004325E3">
        <w:t>;</w:t>
      </w:r>
      <w:r w:rsidR="001E3B3E">
        <w:t xml:space="preserve"> 5</w:t>
      </w:r>
      <w:r w:rsidR="0026718F">
        <w:t>3</w:t>
      </w:r>
      <w:r w:rsidR="001E3B3E">
        <w:t>% P2Y</w:t>
      </w:r>
      <w:r w:rsidR="001E3B3E" w:rsidRPr="00206DB7">
        <w:rPr>
          <w:vertAlign w:val="subscript"/>
        </w:rPr>
        <w:t>12</w:t>
      </w:r>
      <w:r w:rsidR="00206DB7">
        <w:t xml:space="preserve"> </w:t>
      </w:r>
      <w:r w:rsidR="001E3B3E">
        <w:t>inhibitor</w:t>
      </w:r>
      <w:r w:rsidR="004325E3">
        <w:t>)</w:t>
      </w:r>
      <w:r w:rsidR="006B2820">
        <w:t>.</w:t>
      </w:r>
      <w:r w:rsidR="009033CB">
        <w:t xml:space="preserve"> </w:t>
      </w:r>
      <w:r w:rsidR="0074102F" w:rsidRPr="0074102F">
        <w:t xml:space="preserve">Most respondents </w:t>
      </w:r>
      <w:r w:rsidR="002D1455">
        <w:t xml:space="preserve">stated </w:t>
      </w:r>
      <w:r w:rsidR="001462D6">
        <w:t>use</w:t>
      </w:r>
      <w:r w:rsidR="002D1455">
        <w:t xml:space="preserve"> of</w:t>
      </w:r>
      <w:r w:rsidR="0074102F" w:rsidRPr="0074102F">
        <w:t xml:space="preserve"> guideline-directed </w:t>
      </w:r>
      <w:r w:rsidR="001462D6">
        <w:t xml:space="preserve">tools to assess </w:t>
      </w:r>
      <w:r w:rsidR="0074102F" w:rsidRPr="0074102F">
        <w:t xml:space="preserve">risk, although clinical judgement was preferred by 32% for </w:t>
      </w:r>
      <w:r w:rsidR="000A229B">
        <w:t>assessing</w:t>
      </w:r>
      <w:r w:rsidR="0074102F" w:rsidRPr="0074102F">
        <w:t xml:space="preserve"> bleeding risk and by 46% for thrombotic risk. </w:t>
      </w:r>
      <w:r w:rsidRPr="00DE7498">
        <w:rPr>
          <w:b/>
          <w:bCs/>
          <w:i/>
          <w:iCs/>
        </w:rPr>
        <w:t>Conclusion</w:t>
      </w:r>
      <w:r w:rsidRPr="00DE7498">
        <w:t>.</w:t>
      </w:r>
      <w:r w:rsidR="00A84937" w:rsidRPr="00DE7498">
        <w:t xml:space="preserve"> </w:t>
      </w:r>
      <w:r w:rsidR="00F42379" w:rsidRPr="00DE7498">
        <w:t>The c</w:t>
      </w:r>
      <w:r w:rsidR="002F3B6B" w:rsidRPr="00DE7498">
        <w:t xml:space="preserve">rowdsourcing </w:t>
      </w:r>
      <w:r w:rsidR="00F42379" w:rsidRPr="00DE7498">
        <w:t xml:space="preserve">methodology </w:t>
      </w:r>
      <w:r w:rsidR="00246CEF" w:rsidRPr="00DE7498">
        <w:t xml:space="preserve">showed potential as </w:t>
      </w:r>
      <w:r w:rsidR="00F42379" w:rsidRPr="00DE7498">
        <w:t xml:space="preserve">a </w:t>
      </w:r>
      <w:r w:rsidR="004F5772" w:rsidRPr="00DE7498">
        <w:t xml:space="preserve">tool to assess current practice and variation </w:t>
      </w:r>
      <w:r w:rsidR="00AE78D0" w:rsidRPr="00DE7498">
        <w:t xml:space="preserve">on a global scale and to </w:t>
      </w:r>
      <w:r w:rsidR="005F244B" w:rsidRPr="00DE7498">
        <w:t>achieve a broad</w:t>
      </w:r>
      <w:r w:rsidR="007F0817" w:rsidRPr="00DE7498">
        <w:t xml:space="preserve"> demographic </w:t>
      </w:r>
      <w:r w:rsidR="00362922" w:rsidRPr="00DE7498">
        <w:t>representation</w:t>
      </w:r>
      <w:r w:rsidR="00DA2E70" w:rsidRPr="00DE7498">
        <w:t xml:space="preserve">. </w:t>
      </w:r>
      <w:r w:rsidR="00E36A4C" w:rsidRPr="00DE7498">
        <w:t>These p</w:t>
      </w:r>
      <w:r w:rsidR="000C7BBB" w:rsidRPr="00DE7498">
        <w:t xml:space="preserve">reliminary results indicate </w:t>
      </w:r>
      <w:r w:rsidR="00091DF9" w:rsidRPr="00DE7498">
        <w:t xml:space="preserve">a high degree of variation </w:t>
      </w:r>
      <w:r w:rsidR="00670CFA" w:rsidRPr="00DE7498">
        <w:t>with respect to</w:t>
      </w:r>
      <w:r w:rsidR="000069AF" w:rsidRPr="00DE7498">
        <w:t xml:space="preserve"> duration of DAPT</w:t>
      </w:r>
      <w:r w:rsidR="00413EAF" w:rsidRPr="00DE7498">
        <w:t xml:space="preserve">, </w:t>
      </w:r>
      <w:r w:rsidR="000069AF" w:rsidRPr="00DE7498">
        <w:t>monotherapy</w:t>
      </w:r>
      <w:r w:rsidR="00413EAF" w:rsidRPr="00DE7498">
        <w:t xml:space="preserve"> drug of choice</w:t>
      </w:r>
      <w:r w:rsidR="00FD0B24" w:rsidRPr="00DE7498">
        <w:t xml:space="preserve"> </w:t>
      </w:r>
      <w:r w:rsidR="000B22E9" w:rsidRPr="00DE7498">
        <w:t>following</w:t>
      </w:r>
      <w:r w:rsidR="00FD0B24" w:rsidRPr="00DE7498">
        <w:t xml:space="preserve"> DAPT and </w:t>
      </w:r>
      <w:r w:rsidR="00320C7F" w:rsidRPr="00DE7498">
        <w:t xml:space="preserve">how </w:t>
      </w:r>
      <w:r w:rsidR="000069AF" w:rsidRPr="00DE7498">
        <w:t xml:space="preserve">thrombotic and </w:t>
      </w:r>
      <w:r w:rsidR="004B3B20" w:rsidRPr="00DE7498">
        <w:t>bleeding risk</w:t>
      </w:r>
      <w:r w:rsidR="007E3697" w:rsidRPr="00DE7498">
        <w:t xml:space="preserve"> </w:t>
      </w:r>
      <w:r w:rsidR="00320C7F" w:rsidRPr="00DE7498">
        <w:t xml:space="preserve">are assessed. </w:t>
      </w:r>
      <w:r w:rsidR="00A93F36" w:rsidRPr="00DE7498">
        <w:t xml:space="preserve">Further investigations should concentrate on interrogating </w:t>
      </w:r>
      <w:r w:rsidR="00636320" w:rsidRPr="00DE7498">
        <w:t xml:space="preserve">practice </w:t>
      </w:r>
      <w:r w:rsidR="00A723E2" w:rsidRPr="00DE7498">
        <w:t>variation</w:t>
      </w:r>
      <w:r w:rsidR="00636320" w:rsidRPr="00DE7498">
        <w:t xml:space="preserve"> between key demographic groups.</w:t>
      </w:r>
    </w:p>
    <w:p w14:paraId="5D158071" w14:textId="77777777" w:rsidR="00174F3C" w:rsidRDefault="00174F3C" w:rsidP="00B67081">
      <w:pPr>
        <w:spacing w:after="0" w:line="480" w:lineRule="auto"/>
        <w:rPr>
          <w:b/>
          <w:bCs/>
          <w:color w:val="000000" w:themeColor="text1"/>
        </w:rPr>
      </w:pPr>
    </w:p>
    <w:p w14:paraId="5D79A1DA" w14:textId="055D0856" w:rsidR="006D757A" w:rsidRPr="00B67081" w:rsidRDefault="006D757A" w:rsidP="00B67081">
      <w:pPr>
        <w:spacing w:after="0" w:line="480" w:lineRule="auto"/>
        <w:rPr>
          <w:b/>
          <w:bCs/>
          <w:color w:val="000000" w:themeColor="text1"/>
        </w:rPr>
      </w:pPr>
      <w:r w:rsidRPr="00B67081">
        <w:rPr>
          <w:b/>
          <w:bCs/>
          <w:color w:val="000000" w:themeColor="text1"/>
        </w:rPr>
        <w:t>Keywords</w:t>
      </w:r>
    </w:p>
    <w:p w14:paraId="151027F2" w14:textId="5EA93D8B" w:rsidR="006D757A" w:rsidRPr="00444F34" w:rsidRDefault="006D757A" w:rsidP="00B67081">
      <w:pPr>
        <w:spacing w:after="0" w:line="480" w:lineRule="auto"/>
        <w:rPr>
          <w:color w:val="000000" w:themeColor="text1"/>
        </w:rPr>
      </w:pPr>
      <w:r>
        <w:rPr>
          <w:rFonts w:cstheme="minorHAnsi"/>
        </w:rPr>
        <w:t xml:space="preserve">Antiplatelet therapy; crowdsourcing; high bleeding risk; </w:t>
      </w:r>
      <w:r w:rsidR="00192C18">
        <w:rPr>
          <w:color w:val="000000" w:themeColor="text1"/>
        </w:rPr>
        <w:t>n</w:t>
      </w:r>
      <w:r w:rsidR="00192C18" w:rsidRPr="006D757A">
        <w:rPr>
          <w:rFonts w:cstheme="minorHAnsi"/>
        </w:rPr>
        <w:t>on-ST</w:t>
      </w:r>
      <w:r w:rsidR="00A75ADF">
        <w:rPr>
          <w:rFonts w:cstheme="minorHAnsi"/>
        </w:rPr>
        <w:t xml:space="preserve"> segment </w:t>
      </w:r>
      <w:r w:rsidRPr="006D757A">
        <w:rPr>
          <w:rFonts w:cstheme="minorHAnsi"/>
        </w:rPr>
        <w:t>elevation acute coronary syndrome</w:t>
      </w:r>
      <w:r w:rsidR="00444F34">
        <w:rPr>
          <w:rFonts w:cstheme="minorHAnsi"/>
        </w:rPr>
        <w:t>; P2Y</w:t>
      </w:r>
      <w:r w:rsidR="00444F34" w:rsidRPr="00444F34">
        <w:rPr>
          <w:rFonts w:cstheme="minorHAnsi"/>
          <w:vertAlign w:val="subscript"/>
        </w:rPr>
        <w:t>12</w:t>
      </w:r>
      <w:r w:rsidR="00444F34">
        <w:rPr>
          <w:rFonts w:cstheme="minorHAnsi"/>
        </w:rPr>
        <w:t xml:space="preserve"> </w:t>
      </w:r>
      <w:r w:rsidR="00190297">
        <w:rPr>
          <w:rFonts w:cstheme="minorHAnsi"/>
        </w:rPr>
        <w:t xml:space="preserve">receptor </w:t>
      </w:r>
      <w:r w:rsidR="00444F34">
        <w:rPr>
          <w:rFonts w:cstheme="minorHAnsi"/>
        </w:rPr>
        <w:t>inhibitor</w:t>
      </w:r>
      <w:r w:rsidR="004947CE">
        <w:rPr>
          <w:rFonts w:cstheme="minorHAnsi"/>
        </w:rPr>
        <w:t>s</w:t>
      </w:r>
      <w:r w:rsidR="00E335DB">
        <w:rPr>
          <w:rFonts w:cstheme="minorHAnsi"/>
        </w:rPr>
        <w:t xml:space="preserve">; </w:t>
      </w:r>
      <w:r w:rsidR="007A4ED8">
        <w:rPr>
          <w:rFonts w:cstheme="minorHAnsi"/>
        </w:rPr>
        <w:t>percutaneous coronary intervention</w:t>
      </w:r>
    </w:p>
    <w:p w14:paraId="232A0CDA" w14:textId="7379A1AF" w:rsidR="006D757A" w:rsidRDefault="006D757A" w:rsidP="00B67081">
      <w:pPr>
        <w:spacing w:after="0" w:line="480" w:lineRule="auto"/>
        <w:rPr>
          <w:b/>
          <w:bCs/>
          <w:sz w:val="28"/>
          <w:szCs w:val="28"/>
        </w:rPr>
      </w:pPr>
      <w:r>
        <w:rPr>
          <w:b/>
          <w:bCs/>
          <w:sz w:val="28"/>
          <w:szCs w:val="28"/>
        </w:rPr>
        <w:br w:type="page"/>
      </w:r>
    </w:p>
    <w:p w14:paraId="5C7A1BC3" w14:textId="5DC4274A" w:rsidR="00F37C3F" w:rsidRPr="004B7F80" w:rsidRDefault="00F37C3F" w:rsidP="00B67081">
      <w:pPr>
        <w:spacing w:after="0" w:line="480" w:lineRule="auto"/>
        <w:rPr>
          <w:b/>
          <w:bCs/>
        </w:rPr>
      </w:pPr>
      <w:r w:rsidRPr="004B7F80">
        <w:rPr>
          <w:b/>
          <w:bCs/>
        </w:rPr>
        <w:lastRenderedPageBreak/>
        <w:t>Highlights</w:t>
      </w:r>
    </w:p>
    <w:p w14:paraId="7DA770D0" w14:textId="355EC8FD" w:rsidR="00F37C3F" w:rsidRPr="004B7F80" w:rsidRDefault="00F37C3F" w:rsidP="00F37C3F">
      <w:pPr>
        <w:pStyle w:val="ListParagraph"/>
        <w:numPr>
          <w:ilvl w:val="0"/>
          <w:numId w:val="19"/>
        </w:numPr>
        <w:spacing w:after="0" w:line="480" w:lineRule="auto"/>
      </w:pPr>
      <w:r w:rsidRPr="004B7F80">
        <w:t>Antiplatelet choice is complex in NSTE-ACS patients at high bleeding risk</w:t>
      </w:r>
    </w:p>
    <w:p w14:paraId="1B9FC750" w14:textId="0EB72F26" w:rsidR="00F37C3F" w:rsidRPr="004B7F80" w:rsidRDefault="00F37C3F" w:rsidP="00F37C3F">
      <w:pPr>
        <w:pStyle w:val="ListParagraph"/>
        <w:numPr>
          <w:ilvl w:val="0"/>
          <w:numId w:val="19"/>
        </w:numPr>
        <w:spacing w:after="0" w:line="480" w:lineRule="auto"/>
      </w:pPr>
      <w:r w:rsidRPr="004B7F80">
        <w:t>Practice is expected to vary and may deviate from guidelines</w:t>
      </w:r>
    </w:p>
    <w:p w14:paraId="5BAE0354" w14:textId="0E92A113" w:rsidR="00F37C3F" w:rsidRPr="004B7F80" w:rsidRDefault="00F37C3F" w:rsidP="00F37C3F">
      <w:pPr>
        <w:pStyle w:val="ListParagraph"/>
        <w:numPr>
          <w:ilvl w:val="0"/>
          <w:numId w:val="19"/>
        </w:numPr>
        <w:spacing w:after="0" w:line="480" w:lineRule="auto"/>
      </w:pPr>
      <w:r w:rsidRPr="004B7F80">
        <w:t>A crowdsourcing approach was used to assess current practices</w:t>
      </w:r>
    </w:p>
    <w:p w14:paraId="3DC2A15B" w14:textId="0FB3B427" w:rsidR="00F37C3F" w:rsidRPr="004B7F80" w:rsidRDefault="00F37C3F" w:rsidP="00F37C3F">
      <w:pPr>
        <w:pStyle w:val="ListParagraph"/>
        <w:numPr>
          <w:ilvl w:val="0"/>
          <w:numId w:val="19"/>
        </w:numPr>
        <w:spacing w:after="0" w:line="480" w:lineRule="auto"/>
      </w:pPr>
      <w:r w:rsidRPr="004B7F80">
        <w:t>We noted high practice variation across a global cohort of prescribers</w:t>
      </w:r>
    </w:p>
    <w:p w14:paraId="0D504B74" w14:textId="0280D6FC" w:rsidR="00F37C3F" w:rsidRPr="004B7F80" w:rsidRDefault="00F37C3F" w:rsidP="00F37C3F">
      <w:pPr>
        <w:pStyle w:val="ListParagraph"/>
        <w:numPr>
          <w:ilvl w:val="0"/>
          <w:numId w:val="19"/>
        </w:numPr>
        <w:spacing w:after="0" w:line="480" w:lineRule="auto"/>
      </w:pPr>
      <w:r w:rsidRPr="004B7F80">
        <w:t>Crowdsourcing may be an effective tool to monitor practice variation</w:t>
      </w:r>
    </w:p>
    <w:p w14:paraId="141684C4" w14:textId="77777777" w:rsidR="00F37C3F" w:rsidRPr="004B7F80" w:rsidRDefault="00F37C3F" w:rsidP="00F37C3F">
      <w:pPr>
        <w:spacing w:after="0" w:line="480" w:lineRule="auto"/>
      </w:pPr>
    </w:p>
    <w:p w14:paraId="79251BEF" w14:textId="056DB309" w:rsidR="00DC562D" w:rsidRPr="004B7F80" w:rsidRDefault="00824617" w:rsidP="00B67081">
      <w:pPr>
        <w:spacing w:after="0" w:line="480" w:lineRule="auto"/>
        <w:rPr>
          <w:b/>
          <w:bCs/>
        </w:rPr>
      </w:pPr>
      <w:r w:rsidRPr="004B7F80">
        <w:rPr>
          <w:b/>
          <w:bCs/>
        </w:rPr>
        <w:t xml:space="preserve">1.0 </w:t>
      </w:r>
      <w:r w:rsidR="00DC562D" w:rsidRPr="004B7F80">
        <w:rPr>
          <w:b/>
          <w:bCs/>
        </w:rPr>
        <w:t>Introduction</w:t>
      </w:r>
    </w:p>
    <w:p w14:paraId="516C32F5" w14:textId="60DB384A" w:rsidR="00377225" w:rsidRPr="004B7F80" w:rsidRDefault="00C65A79" w:rsidP="00B67081">
      <w:pPr>
        <w:spacing w:after="0" w:line="480" w:lineRule="auto"/>
        <w:rPr>
          <w:rFonts w:cstheme="minorHAnsi"/>
        </w:rPr>
      </w:pPr>
      <w:bookmarkStart w:id="1" w:name="_Hlk54602292"/>
      <w:r w:rsidRPr="004B7F80">
        <w:rPr>
          <w:rFonts w:cstheme="minorHAnsi"/>
        </w:rPr>
        <w:t xml:space="preserve">In </w:t>
      </w:r>
      <w:r w:rsidR="001770C3" w:rsidRPr="004B7F80">
        <w:rPr>
          <w:rFonts w:cstheme="minorHAnsi"/>
        </w:rPr>
        <w:t xml:space="preserve">patients with </w:t>
      </w:r>
      <w:r w:rsidR="006A25B1" w:rsidRPr="004B7F80">
        <w:rPr>
          <w:rFonts w:cstheme="minorHAnsi"/>
        </w:rPr>
        <w:t>non-ST segment elevation acute coronary syndrome (NSTE-ACS)</w:t>
      </w:r>
      <w:r w:rsidR="006F3E78" w:rsidRPr="004B7F80">
        <w:rPr>
          <w:rFonts w:cstheme="minorHAnsi"/>
        </w:rPr>
        <w:t xml:space="preserve"> </w:t>
      </w:r>
      <w:r w:rsidRPr="004B7F80">
        <w:rPr>
          <w:rFonts w:cstheme="minorHAnsi"/>
        </w:rPr>
        <w:t>at high bleeding risk (HBR)</w:t>
      </w:r>
      <w:r w:rsidR="007058CC" w:rsidRPr="004B7F80">
        <w:rPr>
          <w:rFonts w:cstheme="minorHAnsi"/>
        </w:rPr>
        <w:t>,</w:t>
      </w:r>
      <w:r w:rsidR="00FC1E76" w:rsidRPr="004B7F80">
        <w:rPr>
          <w:rFonts w:cstheme="minorHAnsi"/>
        </w:rPr>
        <w:t xml:space="preserve"> </w:t>
      </w:r>
      <w:r w:rsidR="00F93454" w:rsidRPr="004B7F80">
        <w:rPr>
          <w:rFonts w:cstheme="minorHAnsi"/>
        </w:rPr>
        <w:t xml:space="preserve">current </w:t>
      </w:r>
      <w:r w:rsidR="00FC1E76" w:rsidRPr="004B7F80">
        <w:rPr>
          <w:rFonts w:cstheme="minorHAnsi"/>
        </w:rPr>
        <w:t>guidelines</w:t>
      </w:r>
      <w:r w:rsidR="00F93454" w:rsidRPr="004B7F80">
        <w:rPr>
          <w:rFonts w:cstheme="minorHAnsi"/>
        </w:rPr>
        <w:t xml:space="preserve"> recommend</w:t>
      </w:r>
      <w:r w:rsidR="007C7F80" w:rsidRPr="004B7F80">
        <w:rPr>
          <w:rFonts w:cstheme="minorHAnsi"/>
        </w:rPr>
        <w:t xml:space="preserve"> </w:t>
      </w:r>
      <w:r w:rsidR="003D5350" w:rsidRPr="004B7F80">
        <w:rPr>
          <w:rFonts w:cstheme="minorHAnsi"/>
        </w:rPr>
        <w:t xml:space="preserve">short duration </w:t>
      </w:r>
      <w:r w:rsidR="007C7F80" w:rsidRPr="004B7F80">
        <w:rPr>
          <w:rFonts w:cstheme="minorHAnsi"/>
        </w:rPr>
        <w:t xml:space="preserve">of </w:t>
      </w:r>
      <w:r w:rsidR="00EC602E" w:rsidRPr="004B7F80">
        <w:rPr>
          <w:rFonts w:cstheme="minorHAnsi"/>
        </w:rPr>
        <w:t>dual antiplatelet therapy (DAPT) with</w:t>
      </w:r>
      <w:r w:rsidR="0055104D" w:rsidRPr="004B7F80">
        <w:rPr>
          <w:rFonts w:cstheme="minorHAnsi"/>
        </w:rPr>
        <w:t xml:space="preserve"> aspirin (ASA) and</w:t>
      </w:r>
      <w:r w:rsidR="00CC2D8B" w:rsidRPr="004B7F80">
        <w:rPr>
          <w:rFonts w:cstheme="minorHAnsi"/>
        </w:rPr>
        <w:t xml:space="preserve"> the P2Y</w:t>
      </w:r>
      <w:r w:rsidR="00CC2D8B" w:rsidRPr="004B7F80">
        <w:rPr>
          <w:rFonts w:cstheme="minorHAnsi"/>
          <w:vertAlign w:val="subscript"/>
        </w:rPr>
        <w:t>12</w:t>
      </w:r>
      <w:r w:rsidR="00CC2D8B" w:rsidRPr="004B7F80">
        <w:rPr>
          <w:rFonts w:cstheme="minorHAnsi"/>
        </w:rPr>
        <w:t xml:space="preserve"> inhibitor</w:t>
      </w:r>
      <w:r w:rsidR="0051696D" w:rsidRPr="004B7F80">
        <w:rPr>
          <w:rFonts w:cstheme="minorHAnsi"/>
        </w:rPr>
        <w:t xml:space="preserve"> clopidogrel</w:t>
      </w:r>
      <w:r w:rsidR="007C7F80" w:rsidRPr="004B7F80">
        <w:rPr>
          <w:rFonts w:cstheme="minorHAnsi"/>
        </w:rPr>
        <w:t>, followed by</w:t>
      </w:r>
      <w:r w:rsidR="0051696D" w:rsidRPr="004B7F80">
        <w:rPr>
          <w:rFonts w:cstheme="minorHAnsi"/>
        </w:rPr>
        <w:t xml:space="preserve"> monotherapy with ASA thereafter</w:t>
      </w:r>
      <w:r w:rsidR="00292C22" w:rsidRPr="004B7F80">
        <w:rPr>
          <w:rFonts w:cstheme="minorHAnsi"/>
        </w:rPr>
        <w:t>, in the post percutaneous coronary intervention (PCI) setting</w:t>
      </w:r>
      <w:r w:rsidR="0051696D" w:rsidRPr="004B7F80">
        <w:rPr>
          <w:rFonts w:cstheme="minorHAnsi"/>
        </w:rPr>
        <w:t>.</w:t>
      </w:r>
      <w:r w:rsidR="0090447C">
        <w:rPr>
          <w:rFonts w:cstheme="minorHAnsi"/>
          <w:vertAlign w:val="superscript"/>
        </w:rPr>
        <w:t>1,2</w:t>
      </w:r>
      <w:r w:rsidR="0098303A" w:rsidRPr="004B7F80">
        <w:rPr>
          <w:rFonts w:cstheme="minorHAnsi"/>
          <w:vertAlign w:val="superscript"/>
        </w:rPr>
        <w:t xml:space="preserve"> </w:t>
      </w:r>
      <w:r w:rsidR="0025554E" w:rsidRPr="004B7F80">
        <w:rPr>
          <w:rFonts w:cstheme="minorHAnsi"/>
        </w:rPr>
        <w:t>Randomi</w:t>
      </w:r>
      <w:r w:rsidR="000E0CF6" w:rsidRPr="004B7F80">
        <w:rPr>
          <w:rFonts w:cstheme="minorHAnsi"/>
        </w:rPr>
        <w:t>s</w:t>
      </w:r>
      <w:r w:rsidR="0025554E" w:rsidRPr="004B7F80">
        <w:rPr>
          <w:rFonts w:cstheme="minorHAnsi"/>
        </w:rPr>
        <w:t>ed data from the CAPRIE trial,</w:t>
      </w:r>
      <w:r w:rsidR="005018BC" w:rsidRPr="004B7F80">
        <w:rPr>
          <w:rFonts w:cstheme="minorHAnsi"/>
        </w:rPr>
        <w:t xml:space="preserve"> </w:t>
      </w:r>
      <w:r w:rsidR="002F0F8D" w:rsidRPr="004B7F80">
        <w:rPr>
          <w:rFonts w:cstheme="minorHAnsi"/>
        </w:rPr>
        <w:t xml:space="preserve">however, </w:t>
      </w:r>
      <w:r w:rsidR="005018BC" w:rsidRPr="004B7F80">
        <w:rPr>
          <w:rFonts w:cstheme="minorHAnsi"/>
        </w:rPr>
        <w:t xml:space="preserve">show that clopidogrel monotherapy </w:t>
      </w:r>
      <w:r w:rsidR="0025554E" w:rsidRPr="004B7F80">
        <w:rPr>
          <w:rFonts w:cstheme="minorHAnsi"/>
        </w:rPr>
        <w:t>reduces hospitali</w:t>
      </w:r>
      <w:r w:rsidR="00BC31C2" w:rsidRPr="004B7F80">
        <w:rPr>
          <w:rFonts w:cstheme="minorHAnsi"/>
        </w:rPr>
        <w:t>s</w:t>
      </w:r>
      <w:r w:rsidR="0025554E" w:rsidRPr="004B7F80">
        <w:rPr>
          <w:rFonts w:cstheme="minorHAnsi"/>
        </w:rPr>
        <w:t>ation for</w:t>
      </w:r>
      <w:r w:rsidR="005018BC" w:rsidRPr="004B7F80">
        <w:rPr>
          <w:rFonts w:cstheme="minorHAnsi"/>
        </w:rPr>
        <w:t xml:space="preserve"> gastrointestinal bleeding compared with ASA 325 mg daily</w:t>
      </w:r>
      <w:r w:rsidR="0025554E" w:rsidRPr="004B7F80">
        <w:rPr>
          <w:rFonts w:cstheme="minorHAnsi"/>
        </w:rPr>
        <w:t>,</w:t>
      </w:r>
      <w:r w:rsidR="005018BC" w:rsidRPr="004B7F80">
        <w:rPr>
          <w:rFonts w:cstheme="minorHAnsi"/>
        </w:rPr>
        <w:t xml:space="preserve"> and that gastrointestinal bleeding is the most prevalent bleeding occurrence after PCI in the outpatient setting.</w:t>
      </w:r>
      <w:r w:rsidR="005018BC" w:rsidRPr="004B7F80">
        <w:rPr>
          <w:rFonts w:cstheme="minorHAnsi"/>
          <w:vertAlign w:val="superscript"/>
        </w:rPr>
        <w:t>3</w:t>
      </w:r>
      <w:r w:rsidR="005018BC" w:rsidRPr="004B7F80">
        <w:rPr>
          <w:rFonts w:cstheme="minorHAnsi"/>
        </w:rPr>
        <w:t xml:space="preserve"> </w:t>
      </w:r>
      <w:r w:rsidR="00F8525E" w:rsidRPr="004B7F80">
        <w:rPr>
          <w:rFonts w:cstheme="minorHAnsi"/>
        </w:rPr>
        <w:t>In addition, s</w:t>
      </w:r>
      <w:r w:rsidR="00455C49" w:rsidRPr="004B7F80">
        <w:rPr>
          <w:rFonts w:cstheme="minorHAnsi"/>
        </w:rPr>
        <w:t>ince the publication of</w:t>
      </w:r>
      <w:r w:rsidR="00B85153" w:rsidRPr="004B7F80">
        <w:rPr>
          <w:rFonts w:cstheme="minorHAnsi"/>
        </w:rPr>
        <w:t xml:space="preserve"> the most recent </w:t>
      </w:r>
      <w:r w:rsidR="00AA6983" w:rsidRPr="004B7F80">
        <w:rPr>
          <w:rFonts w:cstheme="minorHAnsi"/>
        </w:rPr>
        <w:t xml:space="preserve">set of </w:t>
      </w:r>
      <w:r w:rsidR="0003470C" w:rsidRPr="004B7F80">
        <w:rPr>
          <w:rFonts w:cstheme="minorHAnsi"/>
        </w:rPr>
        <w:t>guidelines</w:t>
      </w:r>
      <w:r w:rsidR="00AA6983" w:rsidRPr="004B7F80">
        <w:rPr>
          <w:rFonts w:cstheme="minorHAnsi"/>
        </w:rPr>
        <w:t xml:space="preserve"> (ESC in 2020), </w:t>
      </w:r>
      <w:r w:rsidR="009C5B9E" w:rsidRPr="004B7F80">
        <w:rPr>
          <w:rFonts w:cstheme="minorHAnsi"/>
        </w:rPr>
        <w:t>at least two independent meta-analyses</w:t>
      </w:r>
      <w:r w:rsidR="00D427F7" w:rsidRPr="004B7F80">
        <w:rPr>
          <w:rFonts w:cstheme="minorHAnsi"/>
        </w:rPr>
        <w:t xml:space="preserve"> </w:t>
      </w:r>
      <w:r w:rsidR="009C5B9E" w:rsidRPr="004B7F80">
        <w:rPr>
          <w:rFonts w:cstheme="minorHAnsi"/>
        </w:rPr>
        <w:t>suggest that</w:t>
      </w:r>
      <w:r w:rsidR="00CA17F4" w:rsidRPr="004B7F80">
        <w:rPr>
          <w:rFonts w:cstheme="minorHAnsi"/>
        </w:rPr>
        <w:t xml:space="preserve"> discontinuing ASA and</w:t>
      </w:r>
      <w:r w:rsidR="00B840A4" w:rsidRPr="004B7F80">
        <w:rPr>
          <w:rFonts w:cstheme="minorHAnsi"/>
        </w:rPr>
        <w:t xml:space="preserve"> continuing P</w:t>
      </w:r>
      <w:r w:rsidR="00DA0740" w:rsidRPr="004B7F80">
        <w:rPr>
          <w:rFonts w:cstheme="minorHAnsi"/>
        </w:rPr>
        <w:t>2</w:t>
      </w:r>
      <w:r w:rsidR="00B840A4" w:rsidRPr="004B7F80">
        <w:rPr>
          <w:rFonts w:cstheme="minorHAnsi"/>
        </w:rPr>
        <w:t>Y</w:t>
      </w:r>
      <w:r w:rsidR="00B840A4" w:rsidRPr="004B7F80">
        <w:rPr>
          <w:rFonts w:cstheme="minorHAnsi"/>
          <w:vertAlign w:val="subscript"/>
        </w:rPr>
        <w:t>12</w:t>
      </w:r>
      <w:r w:rsidR="00B840A4" w:rsidRPr="004B7F80">
        <w:rPr>
          <w:rFonts w:cstheme="minorHAnsi"/>
        </w:rPr>
        <w:t xml:space="preserve"> inhibitor monotherapy</w:t>
      </w:r>
      <w:r w:rsidR="00BB0731" w:rsidRPr="004B7F80">
        <w:rPr>
          <w:rFonts w:cstheme="minorHAnsi"/>
        </w:rPr>
        <w:t xml:space="preserve"> after short </w:t>
      </w:r>
      <w:r w:rsidR="00463D0D" w:rsidRPr="004B7F80">
        <w:rPr>
          <w:rFonts w:cstheme="minorHAnsi"/>
        </w:rPr>
        <w:t>duration</w:t>
      </w:r>
      <w:r w:rsidR="00BB0731" w:rsidRPr="004B7F80">
        <w:rPr>
          <w:rFonts w:cstheme="minorHAnsi"/>
        </w:rPr>
        <w:t xml:space="preserve"> DAPT, provides</w:t>
      </w:r>
      <w:r w:rsidR="00AE77DD" w:rsidRPr="004B7F80">
        <w:rPr>
          <w:rFonts w:cstheme="minorHAnsi"/>
        </w:rPr>
        <w:t xml:space="preserve"> additional protection against bleeding</w:t>
      </w:r>
      <w:r w:rsidR="002A1CC4" w:rsidRPr="004B7F80">
        <w:rPr>
          <w:rFonts w:cstheme="minorHAnsi"/>
        </w:rPr>
        <w:t xml:space="preserve">, without increasing thrombotic </w:t>
      </w:r>
      <w:r w:rsidR="00463D0D" w:rsidRPr="004B7F80">
        <w:rPr>
          <w:rFonts w:cstheme="minorHAnsi"/>
        </w:rPr>
        <w:t>risk</w:t>
      </w:r>
      <w:r w:rsidR="002A1CC4" w:rsidRPr="004B7F80">
        <w:rPr>
          <w:rFonts w:cstheme="minorHAnsi"/>
        </w:rPr>
        <w:t>.</w:t>
      </w:r>
      <w:r w:rsidR="000C3DB8">
        <w:rPr>
          <w:rFonts w:cstheme="minorHAnsi"/>
          <w:vertAlign w:val="superscript"/>
        </w:rPr>
        <w:t>4,5</w:t>
      </w:r>
      <w:r w:rsidR="00996C71" w:rsidRPr="004B7F80">
        <w:rPr>
          <w:rFonts w:cstheme="minorHAnsi"/>
        </w:rPr>
        <w:t xml:space="preserve"> </w:t>
      </w:r>
      <w:r w:rsidR="00602E51" w:rsidRPr="004B7F80">
        <w:rPr>
          <w:rFonts w:cstheme="minorHAnsi"/>
        </w:rPr>
        <w:t xml:space="preserve">The choice of antiplatelet </w:t>
      </w:r>
      <w:r w:rsidR="00B828D7" w:rsidRPr="004B7F80">
        <w:rPr>
          <w:rFonts w:cstheme="minorHAnsi"/>
        </w:rPr>
        <w:t>strategy</w:t>
      </w:r>
      <w:r w:rsidR="00602E51" w:rsidRPr="004B7F80">
        <w:rPr>
          <w:rFonts w:cstheme="minorHAnsi"/>
        </w:rPr>
        <w:t xml:space="preserve"> in </w:t>
      </w:r>
      <w:r w:rsidR="00193548" w:rsidRPr="004B7F80">
        <w:rPr>
          <w:rFonts w:cstheme="minorHAnsi"/>
        </w:rPr>
        <w:t>the HBR</w:t>
      </w:r>
      <w:r w:rsidR="00D862D5" w:rsidRPr="004B7F80">
        <w:rPr>
          <w:rFonts w:cstheme="minorHAnsi"/>
        </w:rPr>
        <w:t xml:space="preserve"> population </w:t>
      </w:r>
      <w:r w:rsidR="00602E51" w:rsidRPr="004B7F80">
        <w:rPr>
          <w:rFonts w:cstheme="minorHAnsi"/>
        </w:rPr>
        <w:t xml:space="preserve">is </w:t>
      </w:r>
      <w:r w:rsidR="00DA6AAE" w:rsidRPr="004B7F80">
        <w:rPr>
          <w:rFonts w:cstheme="minorHAnsi"/>
        </w:rPr>
        <w:t xml:space="preserve">therefore </w:t>
      </w:r>
      <w:r w:rsidR="00394AF3" w:rsidRPr="004B7F80">
        <w:rPr>
          <w:rFonts w:cstheme="minorHAnsi"/>
        </w:rPr>
        <w:t xml:space="preserve">complicated </w:t>
      </w:r>
      <w:r w:rsidR="00582065" w:rsidRPr="004B7F80">
        <w:rPr>
          <w:rFonts w:cstheme="minorHAnsi"/>
        </w:rPr>
        <w:t>and</w:t>
      </w:r>
      <w:r w:rsidR="00FE5D06" w:rsidRPr="004B7F80">
        <w:rPr>
          <w:rFonts w:cstheme="minorHAnsi"/>
        </w:rPr>
        <w:t xml:space="preserve"> despite</w:t>
      </w:r>
      <w:r w:rsidR="00C058ED" w:rsidRPr="004B7F80">
        <w:rPr>
          <w:rFonts w:cstheme="minorHAnsi"/>
        </w:rPr>
        <w:t xml:space="preserve"> </w:t>
      </w:r>
      <w:r w:rsidR="00337A1A" w:rsidRPr="004B7F80">
        <w:rPr>
          <w:rFonts w:cstheme="minorHAnsi"/>
        </w:rPr>
        <w:t xml:space="preserve">growing evidence supporting </w:t>
      </w:r>
      <w:r w:rsidR="00F54E80" w:rsidRPr="004B7F80">
        <w:rPr>
          <w:rFonts w:cstheme="minorHAnsi"/>
        </w:rPr>
        <w:t xml:space="preserve">the use of </w:t>
      </w:r>
      <w:r w:rsidR="00337A1A" w:rsidRPr="004B7F80">
        <w:rPr>
          <w:rFonts w:cstheme="minorHAnsi"/>
        </w:rPr>
        <w:t>P2Y</w:t>
      </w:r>
      <w:r w:rsidR="00337A1A" w:rsidRPr="004B7F80">
        <w:rPr>
          <w:rFonts w:cstheme="minorHAnsi"/>
          <w:vertAlign w:val="subscript"/>
        </w:rPr>
        <w:t>12</w:t>
      </w:r>
      <w:r w:rsidR="00337A1A" w:rsidRPr="004B7F80">
        <w:rPr>
          <w:rFonts w:cstheme="minorHAnsi"/>
        </w:rPr>
        <w:t xml:space="preserve"> monotherapy</w:t>
      </w:r>
      <w:r w:rsidR="00F54E80" w:rsidRPr="004B7F80">
        <w:rPr>
          <w:rFonts w:cstheme="minorHAnsi"/>
        </w:rPr>
        <w:t xml:space="preserve"> following initial DAPT</w:t>
      </w:r>
      <w:r w:rsidR="00FE5D06" w:rsidRPr="004B7F80">
        <w:rPr>
          <w:rFonts w:cstheme="minorHAnsi"/>
        </w:rPr>
        <w:t>,</w:t>
      </w:r>
      <w:r w:rsidR="00B96865">
        <w:rPr>
          <w:rFonts w:cstheme="minorHAnsi"/>
          <w:vertAlign w:val="superscript"/>
        </w:rPr>
        <w:t>4</w:t>
      </w:r>
      <w:r w:rsidR="00B96865" w:rsidRPr="00B96865">
        <w:rPr>
          <w:rFonts w:cstheme="minorHAnsi"/>
          <w:vertAlign w:val="superscript"/>
        </w:rPr>
        <w:t>–11</w:t>
      </w:r>
      <w:r w:rsidR="000C3681" w:rsidRPr="004B7F80">
        <w:rPr>
          <w:rFonts w:cstheme="minorHAnsi"/>
        </w:rPr>
        <w:t xml:space="preserve"> </w:t>
      </w:r>
      <w:r w:rsidR="00FE5D06" w:rsidRPr="004B7F80">
        <w:rPr>
          <w:rFonts w:cstheme="minorHAnsi"/>
        </w:rPr>
        <w:t xml:space="preserve"> </w:t>
      </w:r>
      <w:r w:rsidR="008F3DEE" w:rsidRPr="004B7F80">
        <w:rPr>
          <w:rFonts w:cstheme="minorHAnsi"/>
        </w:rPr>
        <w:t>it is reasonable to</w:t>
      </w:r>
      <w:r w:rsidR="000E1160" w:rsidRPr="004B7F80">
        <w:rPr>
          <w:rFonts w:cstheme="minorHAnsi"/>
        </w:rPr>
        <w:t xml:space="preserve"> expect </w:t>
      </w:r>
      <w:r w:rsidR="00242FA3" w:rsidRPr="004B7F80">
        <w:rPr>
          <w:rFonts w:cstheme="minorHAnsi"/>
        </w:rPr>
        <w:t xml:space="preserve">that </w:t>
      </w:r>
      <w:r w:rsidR="00F54E80" w:rsidRPr="004B7F80">
        <w:rPr>
          <w:rFonts w:cstheme="minorHAnsi"/>
        </w:rPr>
        <w:t>practic</w:t>
      </w:r>
      <w:r w:rsidR="009034EF" w:rsidRPr="004B7F80">
        <w:rPr>
          <w:rFonts w:cstheme="minorHAnsi"/>
        </w:rPr>
        <w:t xml:space="preserve">e </w:t>
      </w:r>
      <w:r w:rsidR="00B334F7" w:rsidRPr="004B7F80">
        <w:rPr>
          <w:rFonts w:cstheme="minorHAnsi"/>
        </w:rPr>
        <w:t>may</w:t>
      </w:r>
      <w:r w:rsidR="009034EF" w:rsidRPr="004B7F80">
        <w:rPr>
          <w:rFonts w:cstheme="minorHAnsi"/>
        </w:rPr>
        <w:t xml:space="preserve"> vary. </w:t>
      </w:r>
    </w:p>
    <w:p w14:paraId="55DE66D4" w14:textId="77777777" w:rsidR="00174F3C" w:rsidRPr="004B7F80" w:rsidRDefault="00174F3C" w:rsidP="00B67081">
      <w:pPr>
        <w:spacing w:after="0" w:line="480" w:lineRule="auto"/>
        <w:rPr>
          <w:rFonts w:cstheme="minorHAnsi"/>
        </w:rPr>
      </w:pPr>
    </w:p>
    <w:p w14:paraId="3136E3BB" w14:textId="54D3402A" w:rsidR="00174F3C" w:rsidRDefault="00B82014" w:rsidP="00B67081">
      <w:pPr>
        <w:spacing w:after="0" w:line="480" w:lineRule="auto"/>
        <w:rPr>
          <w:rFonts w:cstheme="minorHAnsi"/>
        </w:rPr>
      </w:pPr>
      <w:r w:rsidRPr="004B7F80">
        <w:rPr>
          <w:rFonts w:cstheme="minorHAnsi"/>
        </w:rPr>
        <w:t xml:space="preserve">To gain insight into </w:t>
      </w:r>
      <w:r w:rsidR="00137B61" w:rsidRPr="004B7F80">
        <w:rPr>
          <w:rFonts w:cstheme="minorHAnsi"/>
        </w:rPr>
        <w:t xml:space="preserve">current </w:t>
      </w:r>
      <w:r w:rsidR="00BC6413" w:rsidRPr="004B7F80">
        <w:rPr>
          <w:rFonts w:cstheme="minorHAnsi"/>
        </w:rPr>
        <w:t>practice</w:t>
      </w:r>
      <w:r w:rsidR="00B60C50" w:rsidRPr="004B7F80">
        <w:rPr>
          <w:rFonts w:cstheme="minorHAnsi"/>
        </w:rPr>
        <w:t>s</w:t>
      </w:r>
      <w:r w:rsidR="00C0462A" w:rsidRPr="004B7F80">
        <w:rPr>
          <w:rFonts w:cstheme="minorHAnsi"/>
        </w:rPr>
        <w:t xml:space="preserve"> </w:t>
      </w:r>
      <w:r w:rsidR="00D64B3C" w:rsidRPr="004B7F80">
        <w:rPr>
          <w:rFonts w:cstheme="minorHAnsi"/>
        </w:rPr>
        <w:t xml:space="preserve">and variation </w:t>
      </w:r>
      <w:r w:rsidR="00137B61" w:rsidRPr="004B7F80">
        <w:rPr>
          <w:rFonts w:cstheme="minorHAnsi"/>
        </w:rPr>
        <w:t xml:space="preserve">with respect to </w:t>
      </w:r>
      <w:r w:rsidR="00AF59EC" w:rsidRPr="004B7F80">
        <w:rPr>
          <w:rFonts w:cstheme="minorHAnsi"/>
        </w:rPr>
        <w:t>antiplatelet therapy</w:t>
      </w:r>
      <w:r w:rsidR="00390C53" w:rsidRPr="004B7F80">
        <w:rPr>
          <w:rFonts w:cstheme="minorHAnsi"/>
        </w:rPr>
        <w:t xml:space="preserve">, </w:t>
      </w:r>
      <w:r w:rsidR="00906E62" w:rsidRPr="004B7F80">
        <w:rPr>
          <w:rFonts w:cstheme="minorHAnsi"/>
        </w:rPr>
        <w:t xml:space="preserve">we </w:t>
      </w:r>
      <w:r w:rsidR="006840E0" w:rsidRPr="004B7F80">
        <w:rPr>
          <w:rFonts w:cstheme="minorHAnsi"/>
        </w:rPr>
        <w:t>soli</w:t>
      </w:r>
      <w:r w:rsidR="006C40BE" w:rsidRPr="004B7F80">
        <w:rPr>
          <w:rFonts w:cstheme="minorHAnsi"/>
        </w:rPr>
        <w:t>cited</w:t>
      </w:r>
      <w:r w:rsidR="006840E0" w:rsidRPr="004B7F80">
        <w:rPr>
          <w:rFonts w:cstheme="minorHAnsi"/>
        </w:rPr>
        <w:t xml:space="preserve"> in</w:t>
      </w:r>
      <w:r w:rsidR="005F7751" w:rsidRPr="004B7F80">
        <w:rPr>
          <w:rFonts w:cstheme="minorHAnsi"/>
        </w:rPr>
        <w:t xml:space="preserve">put </w:t>
      </w:r>
      <w:r w:rsidR="006840E0" w:rsidRPr="004B7F80">
        <w:rPr>
          <w:rFonts w:cstheme="minorHAnsi"/>
        </w:rPr>
        <w:t xml:space="preserve">from </w:t>
      </w:r>
      <w:r w:rsidR="00596B42" w:rsidRPr="004B7F80">
        <w:rPr>
          <w:rFonts w:cstheme="minorHAnsi"/>
        </w:rPr>
        <w:t xml:space="preserve">a </w:t>
      </w:r>
      <w:r w:rsidR="004D570B" w:rsidRPr="004B7F80">
        <w:rPr>
          <w:rFonts w:cstheme="minorHAnsi"/>
        </w:rPr>
        <w:t xml:space="preserve">global </w:t>
      </w:r>
      <w:r w:rsidR="00486024" w:rsidRPr="004B7F80">
        <w:rPr>
          <w:rFonts w:cstheme="minorHAnsi"/>
        </w:rPr>
        <w:t xml:space="preserve">audience </w:t>
      </w:r>
      <w:r w:rsidR="004D570B" w:rsidRPr="004B7F80">
        <w:rPr>
          <w:rFonts w:cstheme="minorHAnsi"/>
        </w:rPr>
        <w:t>of cardiolog</w:t>
      </w:r>
      <w:r w:rsidR="00486024" w:rsidRPr="004B7F80">
        <w:rPr>
          <w:rFonts w:cstheme="minorHAnsi"/>
        </w:rPr>
        <w:t>y professionals</w:t>
      </w:r>
      <w:r w:rsidR="004D570B" w:rsidRPr="004B7F80">
        <w:rPr>
          <w:rFonts w:cstheme="minorHAnsi"/>
        </w:rPr>
        <w:t xml:space="preserve">. </w:t>
      </w:r>
      <w:r w:rsidR="00117849" w:rsidRPr="004B7F80">
        <w:rPr>
          <w:rFonts w:cstheme="minorHAnsi"/>
        </w:rPr>
        <w:t xml:space="preserve">Given the </w:t>
      </w:r>
      <w:r w:rsidR="001B29B7" w:rsidRPr="004B7F80">
        <w:rPr>
          <w:rFonts w:cstheme="minorHAnsi"/>
        </w:rPr>
        <w:t xml:space="preserve">inherent </w:t>
      </w:r>
      <w:r w:rsidR="00000EE9" w:rsidRPr="004B7F80">
        <w:rPr>
          <w:rFonts w:cstheme="minorHAnsi"/>
        </w:rPr>
        <w:t>selectivity of more traditional survey methods</w:t>
      </w:r>
      <w:r w:rsidR="00103C0F" w:rsidRPr="004B7F80">
        <w:rPr>
          <w:rFonts w:cstheme="minorHAnsi"/>
        </w:rPr>
        <w:t>,</w:t>
      </w:r>
      <w:r w:rsidR="00000EE9" w:rsidRPr="004B7F80">
        <w:rPr>
          <w:rFonts w:cstheme="minorHAnsi"/>
        </w:rPr>
        <w:t xml:space="preserve"> </w:t>
      </w:r>
      <w:r w:rsidR="00EF45E3" w:rsidRPr="004B7F80">
        <w:rPr>
          <w:rFonts w:cstheme="minorHAnsi"/>
        </w:rPr>
        <w:t>wh</w:t>
      </w:r>
      <w:r w:rsidR="002507BE" w:rsidRPr="004B7F80">
        <w:rPr>
          <w:rFonts w:cstheme="minorHAnsi"/>
        </w:rPr>
        <w:t>ere</w:t>
      </w:r>
      <w:r w:rsidR="006A2437" w:rsidRPr="004B7F80">
        <w:rPr>
          <w:rFonts w:cstheme="minorHAnsi"/>
        </w:rPr>
        <w:t xml:space="preserve"> participants are </w:t>
      </w:r>
      <w:r w:rsidR="003A7155" w:rsidRPr="004B7F80">
        <w:rPr>
          <w:rFonts w:cstheme="minorHAnsi"/>
        </w:rPr>
        <w:t>often</w:t>
      </w:r>
      <w:r w:rsidR="0072656C" w:rsidRPr="004B7F80">
        <w:rPr>
          <w:rFonts w:cstheme="minorHAnsi"/>
        </w:rPr>
        <w:t xml:space="preserve"> </w:t>
      </w:r>
      <w:r w:rsidR="00022A83" w:rsidRPr="004B7F80">
        <w:rPr>
          <w:rFonts w:cstheme="minorHAnsi"/>
        </w:rPr>
        <w:t>predetermined</w:t>
      </w:r>
      <w:r w:rsidR="005709D1" w:rsidRPr="004B7F80">
        <w:rPr>
          <w:rFonts w:cstheme="minorHAnsi"/>
        </w:rPr>
        <w:t>, we</w:t>
      </w:r>
      <w:r w:rsidR="00D81D6A" w:rsidRPr="004B7F80">
        <w:rPr>
          <w:rFonts w:cstheme="minorHAnsi"/>
        </w:rPr>
        <w:t xml:space="preserve"> utilised </w:t>
      </w:r>
      <w:r w:rsidR="00C43D34" w:rsidRPr="004B7F80">
        <w:rPr>
          <w:rFonts w:cstheme="minorHAnsi"/>
        </w:rPr>
        <w:t xml:space="preserve">an open-source approach, driven primarily through </w:t>
      </w:r>
      <w:r w:rsidR="005709D1" w:rsidRPr="004B7F80">
        <w:rPr>
          <w:rFonts w:cstheme="minorHAnsi"/>
        </w:rPr>
        <w:t>social media</w:t>
      </w:r>
      <w:r w:rsidR="00C43D34" w:rsidRPr="004B7F80">
        <w:rPr>
          <w:rFonts w:cstheme="minorHAnsi"/>
        </w:rPr>
        <w:t xml:space="preserve">. </w:t>
      </w:r>
      <w:r w:rsidR="00DF225A" w:rsidRPr="004B7F80">
        <w:rPr>
          <w:rFonts w:cstheme="minorHAnsi"/>
        </w:rPr>
        <w:t xml:space="preserve">This </w:t>
      </w:r>
      <w:r w:rsidR="00403752" w:rsidRPr="004B7F80">
        <w:rPr>
          <w:rFonts w:cstheme="minorHAnsi"/>
        </w:rPr>
        <w:t xml:space="preserve">novel </w:t>
      </w:r>
      <w:r w:rsidR="00231BFB" w:rsidRPr="004B7F80">
        <w:rPr>
          <w:rFonts w:cstheme="minorHAnsi"/>
        </w:rPr>
        <w:t xml:space="preserve">‘crowdsourcing’ </w:t>
      </w:r>
      <w:r w:rsidR="00345BA9" w:rsidRPr="004B7F80">
        <w:rPr>
          <w:rFonts w:cstheme="minorHAnsi"/>
        </w:rPr>
        <w:t xml:space="preserve">methodology </w:t>
      </w:r>
      <w:r w:rsidR="00403752" w:rsidRPr="004B7F80">
        <w:rPr>
          <w:rFonts w:cstheme="minorHAnsi"/>
        </w:rPr>
        <w:t xml:space="preserve">was chosen for its potential to reach </w:t>
      </w:r>
      <w:r w:rsidR="00C7544D" w:rsidRPr="004B7F80">
        <w:rPr>
          <w:rFonts w:cstheme="minorHAnsi"/>
        </w:rPr>
        <w:t xml:space="preserve">a broad audience of </w:t>
      </w:r>
      <w:r w:rsidR="00FD3CCB" w:rsidRPr="004B7F80">
        <w:rPr>
          <w:rFonts w:cstheme="minorHAnsi"/>
        </w:rPr>
        <w:t xml:space="preserve">antiplatelet </w:t>
      </w:r>
      <w:r w:rsidR="00AC369D" w:rsidRPr="004B7F80">
        <w:rPr>
          <w:rFonts w:cstheme="minorHAnsi"/>
        </w:rPr>
        <w:t>prescribers</w:t>
      </w:r>
      <w:r w:rsidR="003E6CC0" w:rsidRPr="004B7F80">
        <w:rPr>
          <w:rFonts w:cstheme="minorHAnsi"/>
        </w:rPr>
        <w:t>. Here</w:t>
      </w:r>
      <w:r w:rsidR="00FD3CCB" w:rsidRPr="004B7F80">
        <w:rPr>
          <w:rFonts w:cstheme="minorHAnsi"/>
        </w:rPr>
        <w:t>,</w:t>
      </w:r>
      <w:r w:rsidR="003E6CC0" w:rsidRPr="004B7F80">
        <w:rPr>
          <w:rFonts w:cstheme="minorHAnsi"/>
        </w:rPr>
        <w:t xml:space="preserve"> we describe</w:t>
      </w:r>
      <w:r w:rsidR="00FD3CCB" w:rsidRPr="004B7F80">
        <w:rPr>
          <w:rFonts w:cstheme="minorHAnsi"/>
        </w:rPr>
        <w:t xml:space="preserve"> the</w:t>
      </w:r>
      <w:r w:rsidR="003E6CC0" w:rsidRPr="004B7F80">
        <w:rPr>
          <w:rFonts w:cstheme="minorHAnsi"/>
        </w:rPr>
        <w:t xml:space="preserve"> </w:t>
      </w:r>
      <w:r w:rsidR="003E6CC0" w:rsidRPr="004B7F80">
        <w:rPr>
          <w:rFonts w:cstheme="minorHAnsi"/>
        </w:rPr>
        <w:lastRenderedPageBreak/>
        <w:t xml:space="preserve">findings </w:t>
      </w:r>
      <w:r w:rsidR="00C725F4" w:rsidRPr="004B7F80">
        <w:rPr>
          <w:rFonts w:cstheme="minorHAnsi"/>
        </w:rPr>
        <w:t>of this p</w:t>
      </w:r>
      <w:r w:rsidR="0029781A" w:rsidRPr="004B7F80">
        <w:rPr>
          <w:rFonts w:cstheme="minorHAnsi"/>
        </w:rPr>
        <w:t>reliminary</w:t>
      </w:r>
      <w:r w:rsidR="00C725F4" w:rsidRPr="004B7F80">
        <w:rPr>
          <w:rFonts w:cstheme="minorHAnsi"/>
        </w:rPr>
        <w:t xml:space="preserve"> study</w:t>
      </w:r>
      <w:r w:rsidR="00F63E49" w:rsidRPr="004B7F80">
        <w:rPr>
          <w:rFonts w:cstheme="minorHAnsi"/>
        </w:rPr>
        <w:t xml:space="preserve"> </w:t>
      </w:r>
      <w:r w:rsidR="003E6CC0" w:rsidRPr="004B7F80">
        <w:rPr>
          <w:rFonts w:cstheme="minorHAnsi"/>
        </w:rPr>
        <w:t>with respect to</w:t>
      </w:r>
      <w:r w:rsidR="00F63E49" w:rsidRPr="004B7F80">
        <w:rPr>
          <w:rFonts w:cstheme="minorHAnsi"/>
        </w:rPr>
        <w:t xml:space="preserve"> </w:t>
      </w:r>
      <w:r w:rsidR="0096510B" w:rsidRPr="004B7F80">
        <w:rPr>
          <w:rFonts w:cstheme="minorHAnsi"/>
        </w:rPr>
        <w:t>adherence to guideline-directed care</w:t>
      </w:r>
      <w:r w:rsidR="003F0A90" w:rsidRPr="004B7F80">
        <w:rPr>
          <w:rFonts w:cstheme="minorHAnsi"/>
        </w:rPr>
        <w:t xml:space="preserve"> in NSTE-ACS patients at HBR, post-PCI, from a small, global</w:t>
      </w:r>
      <w:r w:rsidR="00F96337" w:rsidRPr="004B7F80">
        <w:rPr>
          <w:rFonts w:cstheme="minorHAnsi"/>
        </w:rPr>
        <w:t xml:space="preserve"> cohort of professionals.</w:t>
      </w:r>
      <w:r w:rsidR="00F96337">
        <w:rPr>
          <w:rFonts w:cstheme="minorHAnsi"/>
        </w:rPr>
        <w:t xml:space="preserve"> </w:t>
      </w:r>
      <w:r w:rsidR="00F63E49">
        <w:rPr>
          <w:rFonts w:cstheme="minorHAnsi"/>
        </w:rPr>
        <w:t xml:space="preserve"> </w:t>
      </w:r>
    </w:p>
    <w:bookmarkEnd w:id="1"/>
    <w:p w14:paraId="5A0BAC35" w14:textId="77777777" w:rsidR="00293204" w:rsidRDefault="00293204" w:rsidP="00B67081">
      <w:pPr>
        <w:spacing w:after="0" w:line="480" w:lineRule="auto"/>
      </w:pPr>
    </w:p>
    <w:p w14:paraId="3D67D380" w14:textId="77777777" w:rsidR="0010661B" w:rsidRDefault="0010661B" w:rsidP="00B67081">
      <w:pPr>
        <w:spacing w:after="0" w:line="480" w:lineRule="auto"/>
        <w:rPr>
          <w:b/>
          <w:bCs/>
          <w:sz w:val="28"/>
          <w:szCs w:val="28"/>
        </w:rPr>
      </w:pPr>
      <w:r>
        <w:rPr>
          <w:b/>
          <w:bCs/>
          <w:sz w:val="28"/>
          <w:szCs w:val="28"/>
        </w:rPr>
        <w:br w:type="page"/>
      </w:r>
    </w:p>
    <w:p w14:paraId="4D39C1DF" w14:textId="00C72CF2" w:rsidR="00DC562D" w:rsidRDefault="00824617" w:rsidP="00B67081">
      <w:pPr>
        <w:spacing w:after="0" w:line="480" w:lineRule="auto"/>
        <w:rPr>
          <w:b/>
          <w:bCs/>
        </w:rPr>
      </w:pPr>
      <w:r>
        <w:rPr>
          <w:b/>
          <w:bCs/>
        </w:rPr>
        <w:lastRenderedPageBreak/>
        <w:t xml:space="preserve">2.0 </w:t>
      </w:r>
      <w:r w:rsidR="00DC562D" w:rsidRPr="00B67081">
        <w:rPr>
          <w:b/>
          <w:bCs/>
        </w:rPr>
        <w:t>Methods</w:t>
      </w:r>
    </w:p>
    <w:p w14:paraId="52FCBE0B" w14:textId="391CFB37" w:rsidR="00913FC4" w:rsidRDefault="00482819" w:rsidP="00913FC4">
      <w:pPr>
        <w:spacing w:after="0" w:line="480" w:lineRule="auto"/>
        <w:rPr>
          <w:rFonts w:cstheme="minorHAnsi"/>
        </w:rPr>
      </w:pPr>
      <w:r>
        <w:rPr>
          <w:rFonts w:eastAsia="Cambria" w:cstheme="minorHAnsi"/>
          <w:color w:val="000000"/>
          <w:lang w:val="en-US"/>
        </w:rPr>
        <w:t xml:space="preserve">The </w:t>
      </w:r>
      <w:r w:rsidR="00D32943">
        <w:rPr>
          <w:rFonts w:eastAsia="Cambria" w:cstheme="minorHAnsi"/>
          <w:color w:val="000000"/>
          <w:lang w:val="en-US"/>
        </w:rPr>
        <w:t xml:space="preserve">International Society of Cardiovascular Pharmacotherapy (ISCP) </w:t>
      </w:r>
      <w:r>
        <w:rPr>
          <w:rFonts w:eastAsia="Cambria" w:cstheme="minorHAnsi"/>
          <w:color w:val="000000"/>
          <w:lang w:val="en-US"/>
        </w:rPr>
        <w:t xml:space="preserve">and Radcliffe Medical Education </w:t>
      </w:r>
      <w:r w:rsidR="00D32943">
        <w:rPr>
          <w:rFonts w:eastAsia="Cambria" w:cstheme="minorHAnsi"/>
          <w:color w:val="000000"/>
          <w:lang w:val="en-US"/>
        </w:rPr>
        <w:t>developed a pro</w:t>
      </w:r>
      <w:r w:rsidR="004C4111">
        <w:rPr>
          <w:rFonts w:eastAsia="Cambria" w:cstheme="minorHAnsi"/>
          <w:color w:val="000000"/>
          <w:lang w:val="en-US"/>
        </w:rPr>
        <w:t>ject</w:t>
      </w:r>
      <w:r w:rsidR="00D32943">
        <w:rPr>
          <w:rFonts w:eastAsia="Cambria" w:cstheme="minorHAnsi"/>
          <w:color w:val="000000"/>
          <w:lang w:val="en-US"/>
        </w:rPr>
        <w:t xml:space="preserve"> </w:t>
      </w:r>
      <w:r w:rsidR="008029A5">
        <w:rPr>
          <w:rFonts w:eastAsia="Cambria" w:cstheme="minorHAnsi"/>
          <w:color w:val="000000"/>
          <w:lang w:val="en-US"/>
        </w:rPr>
        <w:t>to assess</w:t>
      </w:r>
      <w:r w:rsidR="00D32943">
        <w:rPr>
          <w:rFonts w:eastAsia="Cambria" w:cstheme="minorHAnsi"/>
          <w:color w:val="000000"/>
          <w:lang w:val="en-US"/>
        </w:rPr>
        <w:t xml:space="preserve"> current clinical practice</w:t>
      </w:r>
      <w:r w:rsidR="004A716D">
        <w:rPr>
          <w:rFonts w:eastAsia="Cambria" w:cstheme="minorHAnsi"/>
          <w:color w:val="000000"/>
          <w:lang w:val="en-US"/>
        </w:rPr>
        <w:t>s</w:t>
      </w:r>
      <w:r w:rsidR="00D32943">
        <w:rPr>
          <w:rFonts w:eastAsia="Cambria" w:cstheme="minorHAnsi"/>
          <w:color w:val="000000"/>
          <w:lang w:val="en-US"/>
        </w:rPr>
        <w:t xml:space="preserve"> in different World regions regarding </w:t>
      </w:r>
      <w:r w:rsidR="00D32943">
        <w:rPr>
          <w:rFonts w:cstheme="minorHAnsi"/>
        </w:rPr>
        <w:t xml:space="preserve">the treatment of NSTE-ACS patients </w:t>
      </w:r>
      <w:r w:rsidR="00D32943" w:rsidRPr="00424E5F">
        <w:rPr>
          <w:rFonts w:cstheme="minorHAnsi"/>
        </w:rPr>
        <w:t xml:space="preserve">at </w:t>
      </w:r>
      <w:r w:rsidR="00D32943">
        <w:rPr>
          <w:rFonts w:cstheme="minorHAnsi"/>
        </w:rPr>
        <w:t>HBR,</w:t>
      </w:r>
      <w:r w:rsidR="00D32943" w:rsidRPr="00424E5F">
        <w:rPr>
          <w:rFonts w:cstheme="minorHAnsi"/>
        </w:rPr>
        <w:t xml:space="preserve"> </w:t>
      </w:r>
      <w:r w:rsidR="00D32943">
        <w:rPr>
          <w:rFonts w:cstheme="minorHAnsi"/>
        </w:rPr>
        <w:t xml:space="preserve">post-PCI. </w:t>
      </w:r>
      <w:r>
        <w:rPr>
          <w:rFonts w:cstheme="minorHAnsi"/>
        </w:rPr>
        <w:t>To this end we appointed</w:t>
      </w:r>
      <w:r w:rsidR="00D32943">
        <w:rPr>
          <w:rFonts w:cstheme="minorHAnsi"/>
        </w:rPr>
        <w:t xml:space="preserve"> an expert Steering Committee (SC)</w:t>
      </w:r>
      <w:r w:rsidR="00913FC4">
        <w:rPr>
          <w:rFonts w:cstheme="minorHAnsi"/>
        </w:rPr>
        <w:t xml:space="preserve"> to preside over: </w:t>
      </w:r>
    </w:p>
    <w:p w14:paraId="45137AF8" w14:textId="4CAB6EA0" w:rsidR="00913FC4" w:rsidRPr="008D2C9B" w:rsidRDefault="00880681" w:rsidP="00913FC4">
      <w:pPr>
        <w:pStyle w:val="ListParagraph"/>
        <w:numPr>
          <w:ilvl w:val="0"/>
          <w:numId w:val="9"/>
        </w:numPr>
        <w:spacing w:after="0" w:line="480" w:lineRule="auto"/>
        <w:rPr>
          <w:rFonts w:cstheme="minorHAnsi"/>
        </w:rPr>
      </w:pPr>
      <w:r>
        <w:rPr>
          <w:rFonts w:cstheme="minorHAnsi"/>
        </w:rPr>
        <w:t>t</w:t>
      </w:r>
      <w:r w:rsidR="00913FC4" w:rsidRPr="008D2C9B">
        <w:rPr>
          <w:rFonts w:cstheme="minorHAnsi"/>
        </w:rPr>
        <w:t xml:space="preserve">he desired characteristics of the </w:t>
      </w:r>
      <w:proofErr w:type="gramStart"/>
      <w:r w:rsidR="00913FC4" w:rsidRPr="008D2C9B">
        <w:rPr>
          <w:rFonts w:cstheme="minorHAnsi"/>
        </w:rPr>
        <w:t>crowd;</w:t>
      </w:r>
      <w:proofErr w:type="gramEnd"/>
      <w:r w:rsidR="00913FC4" w:rsidRPr="008D2C9B">
        <w:rPr>
          <w:rFonts w:cstheme="minorHAnsi"/>
        </w:rPr>
        <w:t xml:space="preserve"> </w:t>
      </w:r>
    </w:p>
    <w:p w14:paraId="1761672B" w14:textId="46461CC9" w:rsidR="00913FC4" w:rsidRDefault="00880681" w:rsidP="00913FC4">
      <w:pPr>
        <w:pStyle w:val="ListParagraph"/>
        <w:numPr>
          <w:ilvl w:val="0"/>
          <w:numId w:val="9"/>
        </w:numPr>
        <w:spacing w:after="0" w:line="480" w:lineRule="auto"/>
        <w:rPr>
          <w:rFonts w:cstheme="minorHAnsi"/>
        </w:rPr>
      </w:pPr>
      <w:r>
        <w:rPr>
          <w:rFonts w:cstheme="minorHAnsi"/>
        </w:rPr>
        <w:t>t</w:t>
      </w:r>
      <w:r w:rsidR="00913FC4" w:rsidRPr="008D2C9B">
        <w:rPr>
          <w:rFonts w:cstheme="minorHAnsi"/>
        </w:rPr>
        <w:t xml:space="preserve">he design of the </w:t>
      </w:r>
      <w:proofErr w:type="gramStart"/>
      <w:r w:rsidR="00913FC4" w:rsidRPr="008D2C9B">
        <w:rPr>
          <w:rFonts w:cstheme="minorHAnsi"/>
        </w:rPr>
        <w:t>questions</w:t>
      </w:r>
      <w:r w:rsidR="00913FC4">
        <w:rPr>
          <w:rFonts w:cstheme="minorHAnsi"/>
        </w:rPr>
        <w:t>;</w:t>
      </w:r>
      <w:proofErr w:type="gramEnd"/>
      <w:r w:rsidR="00913FC4" w:rsidRPr="008D2C9B">
        <w:rPr>
          <w:rFonts w:cstheme="minorHAnsi"/>
        </w:rPr>
        <w:t xml:space="preserve"> </w:t>
      </w:r>
    </w:p>
    <w:p w14:paraId="0EBFA5C1" w14:textId="308DE3DC" w:rsidR="00913FC4" w:rsidRPr="008D2C9B" w:rsidRDefault="00880681" w:rsidP="00913FC4">
      <w:pPr>
        <w:pStyle w:val="ListParagraph"/>
        <w:numPr>
          <w:ilvl w:val="0"/>
          <w:numId w:val="9"/>
        </w:numPr>
        <w:spacing w:after="0" w:line="480" w:lineRule="auto"/>
        <w:rPr>
          <w:rFonts w:cstheme="minorHAnsi"/>
        </w:rPr>
      </w:pPr>
      <w:r>
        <w:rPr>
          <w:rFonts w:cstheme="minorHAnsi"/>
        </w:rPr>
        <w:t>t</w:t>
      </w:r>
      <w:r w:rsidR="00913FC4">
        <w:rPr>
          <w:rFonts w:cstheme="minorHAnsi"/>
        </w:rPr>
        <w:t xml:space="preserve">he </w:t>
      </w:r>
      <w:r w:rsidR="00913FC4" w:rsidRPr="008D2C9B">
        <w:rPr>
          <w:rFonts w:cstheme="minorHAnsi"/>
        </w:rPr>
        <w:t>interpretation of the results</w:t>
      </w:r>
      <w:r w:rsidR="00913FC4">
        <w:rPr>
          <w:rFonts w:cstheme="minorHAnsi"/>
        </w:rPr>
        <w:t>.</w:t>
      </w:r>
    </w:p>
    <w:p w14:paraId="4C73EA31" w14:textId="69469B60" w:rsidR="00D32943" w:rsidRPr="00D32943" w:rsidRDefault="00D32943" w:rsidP="00D32943">
      <w:pPr>
        <w:spacing w:line="480" w:lineRule="auto"/>
        <w:rPr>
          <w:rFonts w:eastAsia="Times New Roman" w:cstheme="minorHAnsi"/>
          <w:b/>
          <w:bCs/>
          <w:color w:val="000000"/>
        </w:rPr>
      </w:pPr>
    </w:p>
    <w:p w14:paraId="1A7AEC94" w14:textId="7C722028" w:rsidR="007A0044" w:rsidRPr="00CA38A2" w:rsidRDefault="00824617" w:rsidP="00CA38A2">
      <w:pPr>
        <w:spacing w:after="0" w:line="480" w:lineRule="auto"/>
        <w:rPr>
          <w:rFonts w:eastAsia="Times New Roman" w:cstheme="minorHAnsi"/>
          <w:b/>
          <w:bCs/>
          <w:color w:val="000000"/>
          <w:lang w:eastAsia="en-GB"/>
        </w:rPr>
      </w:pPr>
      <w:r>
        <w:rPr>
          <w:rFonts w:eastAsia="Times New Roman" w:cstheme="minorHAnsi"/>
          <w:b/>
          <w:bCs/>
          <w:color w:val="000000"/>
        </w:rPr>
        <w:t xml:space="preserve">2.1 </w:t>
      </w:r>
      <w:r w:rsidR="002579CC" w:rsidRPr="009E2694">
        <w:rPr>
          <w:rFonts w:eastAsia="Times New Roman" w:cstheme="minorHAnsi"/>
          <w:b/>
          <w:bCs/>
          <w:color w:val="000000"/>
        </w:rPr>
        <w:t xml:space="preserve">Selection of </w:t>
      </w:r>
      <w:r w:rsidR="00B4783D">
        <w:rPr>
          <w:rFonts w:eastAsia="Times New Roman" w:cstheme="minorHAnsi"/>
          <w:b/>
          <w:bCs/>
          <w:color w:val="000000"/>
        </w:rPr>
        <w:t>s</w:t>
      </w:r>
      <w:r w:rsidR="002579CC" w:rsidRPr="009E2694">
        <w:rPr>
          <w:rFonts w:eastAsia="Times New Roman" w:cstheme="minorHAnsi"/>
          <w:b/>
          <w:bCs/>
          <w:color w:val="000000"/>
        </w:rPr>
        <w:t xml:space="preserve">teering </w:t>
      </w:r>
      <w:r w:rsidR="00B4783D">
        <w:rPr>
          <w:rFonts w:eastAsia="Times New Roman" w:cstheme="minorHAnsi"/>
          <w:b/>
          <w:bCs/>
          <w:color w:val="000000"/>
        </w:rPr>
        <w:t>c</w:t>
      </w:r>
      <w:r w:rsidR="002579CC" w:rsidRPr="009E2694">
        <w:rPr>
          <w:rFonts w:eastAsia="Times New Roman" w:cstheme="minorHAnsi"/>
          <w:b/>
          <w:bCs/>
          <w:color w:val="000000"/>
        </w:rPr>
        <w:t>ommittee</w:t>
      </w:r>
      <w:r w:rsidR="009B72DD">
        <w:rPr>
          <w:rFonts w:eastAsia="Times New Roman" w:cstheme="minorHAnsi"/>
          <w:b/>
          <w:bCs/>
          <w:color w:val="000000"/>
        </w:rPr>
        <w:t xml:space="preserve"> members and the </w:t>
      </w:r>
      <w:r w:rsidR="00D14B87">
        <w:rPr>
          <w:rFonts w:eastAsia="Times New Roman" w:cstheme="minorHAnsi"/>
          <w:b/>
          <w:bCs/>
          <w:color w:val="000000"/>
        </w:rPr>
        <w:t>c</w:t>
      </w:r>
      <w:r w:rsidR="009B72DD">
        <w:rPr>
          <w:rFonts w:eastAsia="Times New Roman" w:cstheme="minorHAnsi"/>
          <w:b/>
          <w:bCs/>
          <w:color w:val="000000"/>
        </w:rPr>
        <w:t>rowd</w:t>
      </w:r>
    </w:p>
    <w:p w14:paraId="3D1521FD" w14:textId="19CE488B" w:rsidR="007A0044" w:rsidRDefault="00F11C6E" w:rsidP="00B67081">
      <w:pPr>
        <w:shd w:val="clear" w:color="auto" w:fill="FFFFFF"/>
        <w:spacing w:after="0" w:line="480" w:lineRule="auto"/>
        <w:rPr>
          <w:rFonts w:cstheme="minorHAnsi"/>
        </w:rPr>
      </w:pPr>
      <w:r>
        <w:rPr>
          <w:rFonts w:eastAsia="Cambria" w:cstheme="minorHAnsi"/>
          <w:color w:val="000000"/>
          <w:lang w:val="en-US"/>
        </w:rPr>
        <w:t xml:space="preserve">Fifteen </w:t>
      </w:r>
      <w:r w:rsidR="00D70C89">
        <w:rPr>
          <w:rFonts w:eastAsia="Cambria" w:cstheme="minorHAnsi"/>
          <w:color w:val="000000"/>
          <w:lang w:val="en-US"/>
        </w:rPr>
        <w:t>SC</w:t>
      </w:r>
      <w:r w:rsidR="007A0044" w:rsidRPr="002579CC">
        <w:rPr>
          <w:rFonts w:eastAsia="Cambria" w:cstheme="minorHAnsi"/>
          <w:color w:val="000000"/>
          <w:lang w:val="en-US"/>
        </w:rPr>
        <w:t xml:space="preserve"> members </w:t>
      </w:r>
      <w:r w:rsidR="00706CF6">
        <w:rPr>
          <w:rFonts w:eastAsia="Cambria" w:cstheme="minorHAnsi"/>
          <w:color w:val="000000"/>
          <w:lang w:val="en-US"/>
        </w:rPr>
        <w:t xml:space="preserve">were invited to take part, </w:t>
      </w:r>
      <w:r w:rsidR="007A0044" w:rsidRPr="002579CC">
        <w:rPr>
          <w:rFonts w:eastAsia="Cambria" w:cstheme="minorHAnsi"/>
          <w:color w:val="000000"/>
          <w:lang w:val="en-US"/>
        </w:rPr>
        <w:t>based on their expertise in the treatment of ACS</w:t>
      </w:r>
      <w:r w:rsidR="00706CF6">
        <w:rPr>
          <w:rFonts w:eastAsia="Cambria" w:cstheme="minorHAnsi"/>
          <w:color w:val="000000"/>
          <w:lang w:val="en-US"/>
        </w:rPr>
        <w:t xml:space="preserve"> and their contribution to medical literature in th</w:t>
      </w:r>
      <w:r w:rsidR="0028373A">
        <w:rPr>
          <w:rFonts w:eastAsia="Cambria" w:cstheme="minorHAnsi"/>
          <w:color w:val="000000"/>
          <w:lang w:val="en-US"/>
        </w:rPr>
        <w:t>is field</w:t>
      </w:r>
      <w:r w:rsidR="007A0044" w:rsidRPr="002579CC">
        <w:rPr>
          <w:rFonts w:eastAsia="Cambria" w:cstheme="minorHAnsi"/>
          <w:color w:val="000000"/>
          <w:lang w:val="en-US"/>
        </w:rPr>
        <w:t xml:space="preserve">. </w:t>
      </w:r>
      <w:r w:rsidR="00436887">
        <w:rPr>
          <w:rFonts w:eastAsia="Cambria" w:cstheme="minorHAnsi"/>
          <w:color w:val="000000"/>
          <w:lang w:val="en-US"/>
        </w:rPr>
        <w:t>T</w:t>
      </w:r>
      <w:r w:rsidR="007A0044" w:rsidRPr="002579CC">
        <w:rPr>
          <w:rFonts w:eastAsia="Cambria" w:cstheme="minorHAnsi"/>
          <w:color w:val="000000"/>
          <w:lang w:val="en-US"/>
        </w:rPr>
        <w:t xml:space="preserve">he following criteria were </w:t>
      </w:r>
      <w:r w:rsidR="007A0044">
        <w:rPr>
          <w:rFonts w:eastAsia="Cambria" w:cstheme="minorHAnsi"/>
          <w:color w:val="000000"/>
          <w:lang w:val="en-US"/>
        </w:rPr>
        <w:t xml:space="preserve">established </w:t>
      </w:r>
      <w:r w:rsidR="007A0044" w:rsidRPr="002579CC">
        <w:rPr>
          <w:rFonts w:eastAsia="Cambria" w:cstheme="minorHAnsi"/>
          <w:color w:val="000000"/>
          <w:lang w:val="en-US"/>
        </w:rPr>
        <w:t xml:space="preserve">to identify potential </w:t>
      </w:r>
      <w:r w:rsidR="007A0044">
        <w:rPr>
          <w:rFonts w:eastAsia="Cambria" w:cstheme="minorHAnsi"/>
          <w:color w:val="000000"/>
          <w:lang w:val="en-US"/>
        </w:rPr>
        <w:t xml:space="preserve">SC </w:t>
      </w:r>
      <w:r w:rsidR="007A0044" w:rsidRPr="002579CC">
        <w:rPr>
          <w:rFonts w:eastAsia="Cambria" w:cstheme="minorHAnsi"/>
          <w:color w:val="000000"/>
          <w:lang w:val="en-US"/>
        </w:rPr>
        <w:t>members: known expertise in ACS patient management</w:t>
      </w:r>
      <w:r w:rsidR="007A0044">
        <w:rPr>
          <w:rFonts w:eastAsia="Cambria" w:cstheme="minorHAnsi"/>
          <w:color w:val="000000"/>
          <w:lang w:val="en-US"/>
        </w:rPr>
        <w:t>, PCI and use of antiplatelet agents</w:t>
      </w:r>
      <w:r w:rsidR="007A0044" w:rsidRPr="002579CC">
        <w:rPr>
          <w:rFonts w:eastAsia="Cambria" w:cstheme="minorHAnsi"/>
          <w:color w:val="000000"/>
          <w:lang w:val="en-US"/>
        </w:rPr>
        <w:t xml:space="preserve">; </w:t>
      </w:r>
      <w:r w:rsidR="00874534">
        <w:rPr>
          <w:rFonts w:eastAsia="Cambria" w:cstheme="minorHAnsi"/>
          <w:color w:val="000000"/>
          <w:lang w:val="en-US"/>
        </w:rPr>
        <w:t xml:space="preserve">&gt;5 </w:t>
      </w:r>
      <w:r w:rsidR="00873534">
        <w:rPr>
          <w:rFonts w:eastAsia="Cambria" w:cstheme="minorHAnsi"/>
          <w:color w:val="000000"/>
          <w:lang w:val="en-US"/>
        </w:rPr>
        <w:t>years</w:t>
      </w:r>
      <w:r w:rsidR="00873534" w:rsidRPr="002579CC">
        <w:rPr>
          <w:rFonts w:eastAsia="Cambria" w:cstheme="minorHAnsi"/>
          <w:color w:val="000000"/>
          <w:lang w:val="en-US"/>
        </w:rPr>
        <w:t>’ experience</w:t>
      </w:r>
      <w:r w:rsidR="007A0044" w:rsidRPr="002579CC">
        <w:rPr>
          <w:rFonts w:eastAsia="Cambria" w:cstheme="minorHAnsi"/>
          <w:color w:val="000000"/>
          <w:lang w:val="en-US"/>
        </w:rPr>
        <w:t xml:space="preserve"> managing </w:t>
      </w:r>
      <w:r w:rsidR="00F300A9">
        <w:rPr>
          <w:rFonts w:eastAsia="Cambria" w:cstheme="minorHAnsi"/>
          <w:color w:val="000000"/>
          <w:lang w:val="en-US"/>
        </w:rPr>
        <w:t xml:space="preserve">high volume </w:t>
      </w:r>
      <w:r w:rsidR="007A0044" w:rsidRPr="002579CC">
        <w:rPr>
          <w:rFonts w:eastAsia="Cambria" w:cstheme="minorHAnsi"/>
          <w:color w:val="000000"/>
          <w:lang w:val="en-US"/>
        </w:rPr>
        <w:t>ACS patients; contribution to ACS</w:t>
      </w:r>
      <w:r w:rsidR="007A0044">
        <w:rPr>
          <w:rFonts w:eastAsia="Cambria" w:cstheme="minorHAnsi"/>
          <w:color w:val="000000"/>
          <w:lang w:val="en-US"/>
        </w:rPr>
        <w:t xml:space="preserve"> and antithrombotic literature (at least one co-authorship in a top</w:t>
      </w:r>
      <w:r w:rsidR="004A4773">
        <w:rPr>
          <w:rFonts w:eastAsia="Cambria" w:cstheme="minorHAnsi"/>
          <w:color w:val="000000"/>
          <w:lang w:val="en-US"/>
        </w:rPr>
        <w:t>-</w:t>
      </w:r>
      <w:r w:rsidR="007A0044">
        <w:rPr>
          <w:rFonts w:eastAsia="Cambria" w:cstheme="minorHAnsi"/>
          <w:color w:val="000000"/>
          <w:lang w:val="en-US"/>
        </w:rPr>
        <w:t>tier journal on the subject)</w:t>
      </w:r>
      <w:r w:rsidR="007A0044" w:rsidRPr="002579CC">
        <w:rPr>
          <w:rFonts w:eastAsia="Cambria" w:cstheme="minorHAnsi"/>
          <w:color w:val="000000"/>
          <w:lang w:val="en-US"/>
        </w:rPr>
        <w:t xml:space="preserve">, </w:t>
      </w:r>
      <w:r w:rsidR="007A0044">
        <w:rPr>
          <w:rFonts w:eastAsia="Cambria" w:cstheme="minorHAnsi"/>
          <w:color w:val="000000"/>
          <w:lang w:val="en-US"/>
        </w:rPr>
        <w:t>and/</w:t>
      </w:r>
      <w:r w:rsidR="007A0044" w:rsidRPr="002579CC">
        <w:rPr>
          <w:rFonts w:eastAsia="Cambria" w:cstheme="minorHAnsi"/>
          <w:color w:val="000000"/>
          <w:lang w:val="en-US"/>
        </w:rPr>
        <w:t xml:space="preserve">or input </w:t>
      </w:r>
      <w:r w:rsidR="00D70C89">
        <w:rPr>
          <w:rFonts w:eastAsia="Cambria" w:cstheme="minorHAnsi"/>
          <w:color w:val="000000"/>
          <w:lang w:val="en-US"/>
        </w:rPr>
        <w:t>in</w:t>
      </w:r>
      <w:r w:rsidR="007A0044" w:rsidRPr="002579CC">
        <w:rPr>
          <w:rFonts w:eastAsia="Cambria" w:cstheme="minorHAnsi"/>
          <w:color w:val="000000"/>
          <w:lang w:val="en-US"/>
        </w:rPr>
        <w:t xml:space="preserve">to </w:t>
      </w:r>
      <w:r w:rsidR="007A0044">
        <w:rPr>
          <w:rFonts w:eastAsia="Cambria" w:cstheme="minorHAnsi"/>
          <w:color w:val="000000"/>
          <w:lang w:val="en-US"/>
        </w:rPr>
        <w:t xml:space="preserve">national or international </w:t>
      </w:r>
      <w:r w:rsidR="007A0044" w:rsidRPr="002579CC">
        <w:rPr>
          <w:rFonts w:eastAsia="Cambria" w:cstheme="minorHAnsi"/>
          <w:color w:val="000000"/>
          <w:lang w:val="en-US"/>
        </w:rPr>
        <w:t xml:space="preserve">clinical guidelines. Final selection was made based on the willingness to take part in </w:t>
      </w:r>
      <w:r w:rsidR="007A0044">
        <w:rPr>
          <w:rFonts w:eastAsia="Cambria" w:cstheme="minorHAnsi"/>
          <w:color w:val="000000"/>
          <w:lang w:val="en-US"/>
        </w:rPr>
        <w:t xml:space="preserve">the </w:t>
      </w:r>
      <w:r w:rsidR="007A0044" w:rsidRPr="002579CC">
        <w:rPr>
          <w:rFonts w:eastAsia="Cambria" w:cstheme="minorHAnsi"/>
          <w:color w:val="000000"/>
          <w:lang w:val="en-US"/>
        </w:rPr>
        <w:t xml:space="preserve">creation of the survey and the resulting </w:t>
      </w:r>
      <w:r w:rsidR="007A0044">
        <w:rPr>
          <w:rFonts w:eastAsia="Cambria" w:cstheme="minorHAnsi"/>
          <w:color w:val="000000"/>
          <w:lang w:val="en-US"/>
        </w:rPr>
        <w:t>publication</w:t>
      </w:r>
      <w:r w:rsidR="007A0044" w:rsidRPr="002579CC">
        <w:rPr>
          <w:rFonts w:eastAsia="Cambria" w:cstheme="minorHAnsi"/>
          <w:color w:val="000000"/>
          <w:lang w:val="en-US"/>
        </w:rPr>
        <w:t xml:space="preserve">. </w:t>
      </w:r>
    </w:p>
    <w:p w14:paraId="31F96903" w14:textId="77777777" w:rsidR="007A0044" w:rsidRDefault="007A0044" w:rsidP="00B67081">
      <w:pPr>
        <w:spacing w:after="0" w:line="480" w:lineRule="auto"/>
        <w:rPr>
          <w:rFonts w:cstheme="minorHAnsi"/>
        </w:rPr>
      </w:pPr>
    </w:p>
    <w:p w14:paraId="4CC8652D" w14:textId="77777777" w:rsidR="002579CC" w:rsidRPr="002579CC" w:rsidRDefault="002579CC" w:rsidP="00B67081">
      <w:pPr>
        <w:shd w:val="clear" w:color="auto" w:fill="FFFFFF"/>
        <w:spacing w:after="0" w:line="480" w:lineRule="auto"/>
        <w:rPr>
          <w:rFonts w:eastAsia="Cambria" w:cstheme="minorHAnsi"/>
          <w:color w:val="000000"/>
          <w:lang w:val="en-US" w:eastAsia="en-GB"/>
        </w:rPr>
      </w:pPr>
    </w:p>
    <w:p w14:paraId="3EDE406C" w14:textId="7CBA7315" w:rsidR="002579CC" w:rsidRPr="00797A7E" w:rsidRDefault="005712E4" w:rsidP="00B67081">
      <w:pPr>
        <w:spacing w:after="0" w:line="480" w:lineRule="auto"/>
        <w:rPr>
          <w:rFonts w:eastAsia="Times New Roman" w:cstheme="minorHAnsi"/>
          <w:b/>
          <w:bCs/>
          <w:color w:val="000000"/>
          <w:lang w:eastAsia="en-GB"/>
        </w:rPr>
      </w:pPr>
      <w:r>
        <w:rPr>
          <w:rFonts w:eastAsia="Times New Roman" w:cstheme="minorHAnsi"/>
          <w:b/>
          <w:bCs/>
          <w:color w:val="000000"/>
          <w:lang w:eastAsia="en-GB"/>
        </w:rPr>
        <w:t xml:space="preserve">2.2 </w:t>
      </w:r>
      <w:r w:rsidR="000146E8">
        <w:rPr>
          <w:rFonts w:eastAsia="Times New Roman" w:cstheme="minorHAnsi"/>
          <w:b/>
          <w:bCs/>
          <w:color w:val="000000"/>
          <w:lang w:eastAsia="en-GB"/>
        </w:rPr>
        <w:t>Crowd characteristics</w:t>
      </w:r>
    </w:p>
    <w:p w14:paraId="6F5A373D" w14:textId="6C5A925E" w:rsidR="002579CC" w:rsidRDefault="002579CC" w:rsidP="00B67081">
      <w:pPr>
        <w:spacing w:after="0" w:line="480" w:lineRule="auto"/>
        <w:rPr>
          <w:rFonts w:eastAsia="Cambria" w:cstheme="minorHAnsi"/>
          <w:lang w:val="en-US" w:eastAsia="en-GB"/>
        </w:rPr>
      </w:pPr>
      <w:r w:rsidRPr="002579CC">
        <w:rPr>
          <w:rFonts w:eastAsia="Cambria" w:cstheme="minorHAnsi"/>
          <w:lang w:val="en-US" w:eastAsia="en-GB"/>
        </w:rPr>
        <w:t>The selection process was designed to achieve representation across geographies, practice seniority, nature of primary practice</w:t>
      </w:r>
      <w:r w:rsidR="00CE3427">
        <w:rPr>
          <w:rFonts w:eastAsia="Cambria" w:cstheme="minorHAnsi"/>
          <w:lang w:val="en-US" w:eastAsia="en-GB"/>
        </w:rPr>
        <w:t>, specialty</w:t>
      </w:r>
      <w:r w:rsidR="00703D55">
        <w:rPr>
          <w:rFonts w:eastAsia="Cambria" w:cstheme="minorHAnsi"/>
          <w:lang w:val="en-US" w:eastAsia="en-GB"/>
        </w:rPr>
        <w:t xml:space="preserve"> and </w:t>
      </w:r>
      <w:r w:rsidR="0025554E">
        <w:rPr>
          <w:rFonts w:eastAsia="Cambria" w:cstheme="minorHAnsi"/>
          <w:lang w:val="en-US" w:eastAsia="en-GB"/>
        </w:rPr>
        <w:t>sex</w:t>
      </w:r>
      <w:r w:rsidR="00EB5543">
        <w:rPr>
          <w:rFonts w:eastAsia="Cambria" w:cstheme="minorHAnsi"/>
          <w:lang w:val="en-US" w:eastAsia="en-GB"/>
        </w:rPr>
        <w:t>. Pre</w:t>
      </w:r>
      <w:r w:rsidRPr="002579CC">
        <w:rPr>
          <w:rFonts w:eastAsia="Cambria" w:cstheme="minorHAnsi"/>
          <w:lang w:val="en-US" w:eastAsia="en-GB"/>
        </w:rPr>
        <w:t xml:space="preserve">requisite experience </w:t>
      </w:r>
      <w:r w:rsidR="001F6041">
        <w:rPr>
          <w:rFonts w:eastAsia="Cambria" w:cstheme="minorHAnsi"/>
          <w:lang w:val="en-US" w:eastAsia="en-GB"/>
        </w:rPr>
        <w:t xml:space="preserve">in </w:t>
      </w:r>
      <w:r w:rsidR="00703D55">
        <w:rPr>
          <w:rFonts w:eastAsia="Cambria" w:cstheme="minorHAnsi"/>
          <w:lang w:val="en-US" w:eastAsia="en-GB"/>
        </w:rPr>
        <w:t xml:space="preserve">prescribing antiplatelet therapy </w:t>
      </w:r>
      <w:r w:rsidRPr="002579CC">
        <w:rPr>
          <w:rFonts w:eastAsia="Cambria" w:cstheme="minorHAnsi"/>
          <w:lang w:val="en-US" w:eastAsia="en-GB"/>
        </w:rPr>
        <w:t xml:space="preserve">and familiarity </w:t>
      </w:r>
      <w:r w:rsidR="001F6041">
        <w:rPr>
          <w:rFonts w:eastAsia="Cambria" w:cstheme="minorHAnsi"/>
          <w:lang w:val="en-US" w:eastAsia="en-GB"/>
        </w:rPr>
        <w:t xml:space="preserve">with </w:t>
      </w:r>
      <w:r w:rsidRPr="002579CC">
        <w:rPr>
          <w:rFonts w:eastAsia="Cambria" w:cstheme="minorHAnsi"/>
          <w:lang w:val="en-US" w:eastAsia="en-GB"/>
        </w:rPr>
        <w:t xml:space="preserve">the topic </w:t>
      </w:r>
      <w:r w:rsidR="00F41DA6">
        <w:rPr>
          <w:rFonts w:eastAsia="Cambria" w:cstheme="minorHAnsi"/>
          <w:lang w:val="en-US" w:eastAsia="en-GB"/>
        </w:rPr>
        <w:t xml:space="preserve">was required </w:t>
      </w:r>
      <w:r w:rsidRPr="002579CC">
        <w:rPr>
          <w:rFonts w:eastAsia="Cambria" w:cstheme="minorHAnsi"/>
          <w:lang w:val="en-US" w:eastAsia="en-GB"/>
        </w:rPr>
        <w:t xml:space="preserve">to provide informed insight. </w:t>
      </w:r>
    </w:p>
    <w:p w14:paraId="0D296752" w14:textId="77777777" w:rsidR="008E199D" w:rsidRDefault="008E199D" w:rsidP="00B67081">
      <w:pPr>
        <w:spacing w:after="0" w:line="480" w:lineRule="auto"/>
        <w:rPr>
          <w:rFonts w:eastAsia="Cambria" w:cstheme="minorHAnsi"/>
          <w:lang w:val="en-US" w:eastAsia="en-GB"/>
        </w:rPr>
      </w:pPr>
    </w:p>
    <w:p w14:paraId="436D6383" w14:textId="0EC25BB0" w:rsidR="008E199D" w:rsidRPr="002579CC" w:rsidRDefault="008E199D" w:rsidP="00B67081">
      <w:pPr>
        <w:spacing w:after="0" w:line="480" w:lineRule="auto"/>
        <w:rPr>
          <w:rFonts w:eastAsia="Cambria" w:cstheme="minorHAnsi"/>
          <w:lang w:val="en-US" w:eastAsia="en-GB"/>
        </w:rPr>
      </w:pPr>
      <w:r w:rsidRPr="002579CC">
        <w:rPr>
          <w:rFonts w:eastAsia="Cambria" w:cstheme="minorHAnsi"/>
          <w:lang w:val="en-US" w:eastAsia="en-GB"/>
        </w:rPr>
        <w:t xml:space="preserve">In line with the above, the </w:t>
      </w:r>
      <w:r w:rsidR="00703D55">
        <w:rPr>
          <w:rFonts w:eastAsia="Cambria" w:cstheme="minorHAnsi"/>
          <w:lang w:val="en-US" w:eastAsia="en-GB"/>
        </w:rPr>
        <w:t>SC</w:t>
      </w:r>
      <w:r w:rsidRPr="002579CC">
        <w:rPr>
          <w:rFonts w:eastAsia="Cambria" w:cstheme="minorHAnsi"/>
          <w:lang w:val="en-US" w:eastAsia="en-GB"/>
        </w:rPr>
        <w:t xml:space="preserve"> provided the following guidance for selecting individuals to take part:</w:t>
      </w:r>
    </w:p>
    <w:p w14:paraId="568F7520" w14:textId="77777777" w:rsidR="008E199D" w:rsidRPr="00014F42" w:rsidRDefault="008E199D" w:rsidP="00B67081">
      <w:pPr>
        <w:spacing w:after="0" w:line="480" w:lineRule="auto"/>
        <w:rPr>
          <w:rFonts w:eastAsia="Cambria" w:cstheme="minorHAnsi"/>
          <w:i/>
          <w:iCs/>
          <w:lang w:val="en-US" w:eastAsia="en-GB"/>
        </w:rPr>
      </w:pPr>
      <w:r w:rsidRPr="00014F42">
        <w:rPr>
          <w:rFonts w:eastAsia="Cambria" w:cstheme="minorHAnsi"/>
          <w:i/>
          <w:iCs/>
          <w:lang w:val="en-US" w:eastAsia="en-GB"/>
        </w:rPr>
        <w:t>Obligatory criteria</w:t>
      </w:r>
    </w:p>
    <w:p w14:paraId="588D32FA" w14:textId="074E3C0D"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lang w:eastAsia="en-GB"/>
        </w:rPr>
        <w:lastRenderedPageBreak/>
        <w:t>C</w:t>
      </w:r>
      <w:r w:rsidR="008E199D" w:rsidRPr="002579CC">
        <w:rPr>
          <w:rFonts w:eastAsia="Times New Roman" w:cstheme="minorHAnsi"/>
          <w:lang w:eastAsia="en-GB"/>
        </w:rPr>
        <w:t>urrently manag</w:t>
      </w:r>
      <w:r w:rsidR="00D70C89">
        <w:rPr>
          <w:rFonts w:eastAsia="Times New Roman" w:cstheme="minorHAnsi"/>
          <w:lang w:eastAsia="en-GB"/>
        </w:rPr>
        <w:t>ing</w:t>
      </w:r>
      <w:r w:rsidR="008E199D" w:rsidRPr="002579CC">
        <w:rPr>
          <w:rFonts w:eastAsia="Times New Roman" w:cstheme="minorHAnsi"/>
          <w:lang w:eastAsia="en-GB"/>
        </w:rPr>
        <w:t xml:space="preserve"> ACS patients</w:t>
      </w:r>
    </w:p>
    <w:p w14:paraId="3BE97F4E" w14:textId="3E9B4629"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lang w:eastAsia="en-GB"/>
        </w:rPr>
        <w:t>B</w:t>
      </w:r>
      <w:r w:rsidR="008E199D" w:rsidRPr="002579CC">
        <w:rPr>
          <w:rFonts w:eastAsia="Times New Roman" w:cstheme="minorHAnsi"/>
          <w:lang w:eastAsia="en-GB"/>
        </w:rPr>
        <w:t xml:space="preserve">e a </w:t>
      </w:r>
      <w:r w:rsidR="009B72DD">
        <w:rPr>
          <w:rFonts w:eastAsia="Times New Roman" w:cstheme="minorHAnsi"/>
          <w:lang w:eastAsia="en-GB"/>
        </w:rPr>
        <w:t xml:space="preserve">knowledgeable </w:t>
      </w:r>
      <w:r w:rsidR="008E199D" w:rsidRPr="002579CC">
        <w:rPr>
          <w:rFonts w:eastAsia="Times New Roman" w:cstheme="minorHAnsi"/>
          <w:lang w:eastAsia="en-GB"/>
        </w:rPr>
        <w:t>prescriber of antiplatelet therapy</w:t>
      </w:r>
      <w:r w:rsidR="009B72DD">
        <w:rPr>
          <w:rFonts w:eastAsia="Times New Roman" w:cstheme="minorHAnsi"/>
          <w:lang w:eastAsia="en-GB"/>
        </w:rPr>
        <w:t xml:space="preserve"> </w:t>
      </w:r>
    </w:p>
    <w:p w14:paraId="07C5AF0D" w14:textId="65DF7952"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lang w:eastAsia="en-GB"/>
        </w:rPr>
        <w:t>B</w:t>
      </w:r>
      <w:r w:rsidR="008E199D" w:rsidRPr="002579CC">
        <w:rPr>
          <w:rFonts w:eastAsia="Times New Roman" w:cstheme="minorHAnsi"/>
          <w:lang w:eastAsia="en-GB"/>
        </w:rPr>
        <w:t>e deemed to have a sound understanding of ACS/antiplatelet</w:t>
      </w:r>
      <w:r w:rsidR="009B72DD">
        <w:rPr>
          <w:rFonts w:eastAsia="Times New Roman" w:cstheme="minorHAnsi"/>
          <w:lang w:eastAsia="en-GB"/>
        </w:rPr>
        <w:t xml:space="preserve"> treatment</w:t>
      </w:r>
      <w:r w:rsidR="008E199D" w:rsidRPr="002579CC">
        <w:rPr>
          <w:rFonts w:eastAsia="Times New Roman" w:cstheme="minorHAnsi"/>
          <w:lang w:eastAsia="en-GB"/>
        </w:rPr>
        <w:t xml:space="preserve"> literature</w:t>
      </w:r>
    </w:p>
    <w:p w14:paraId="6C25F5A0" w14:textId="77777777" w:rsidR="00014F42" w:rsidRDefault="00014F42" w:rsidP="00B67081">
      <w:pPr>
        <w:shd w:val="clear" w:color="auto" w:fill="FFFFFF"/>
        <w:spacing w:after="0" w:line="480" w:lineRule="auto"/>
        <w:rPr>
          <w:rFonts w:eastAsia="Times New Roman" w:cstheme="minorHAnsi"/>
          <w:i/>
          <w:iCs/>
          <w:lang w:eastAsia="en-GB"/>
        </w:rPr>
      </w:pPr>
    </w:p>
    <w:p w14:paraId="45D945C9" w14:textId="5C0FFB3B" w:rsidR="008E199D" w:rsidRPr="00014F42" w:rsidRDefault="008E199D" w:rsidP="00B67081">
      <w:pPr>
        <w:shd w:val="clear" w:color="auto" w:fill="FFFFFF"/>
        <w:spacing w:after="0" w:line="480" w:lineRule="auto"/>
        <w:rPr>
          <w:rFonts w:eastAsia="Times New Roman" w:cstheme="minorHAnsi"/>
          <w:i/>
          <w:iCs/>
          <w:lang w:eastAsia="en-GB"/>
        </w:rPr>
      </w:pPr>
      <w:r w:rsidRPr="00014F42">
        <w:rPr>
          <w:rFonts w:eastAsia="Times New Roman" w:cstheme="minorHAnsi"/>
          <w:i/>
          <w:iCs/>
          <w:lang w:eastAsia="en-GB"/>
        </w:rPr>
        <w:t>Desirable criteria</w:t>
      </w:r>
    </w:p>
    <w:p w14:paraId="3B571579" w14:textId="493E243E"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lang w:eastAsia="en-GB"/>
        </w:rPr>
        <w:t>B</w:t>
      </w:r>
      <w:r w:rsidR="008E199D" w:rsidRPr="002579CC">
        <w:rPr>
          <w:rFonts w:eastAsia="Times New Roman" w:cstheme="minorHAnsi"/>
          <w:lang w:eastAsia="en-GB"/>
        </w:rPr>
        <w:t>e experienced in PCI procedures and post-PCI management</w:t>
      </w:r>
    </w:p>
    <w:p w14:paraId="16DF9A8D" w14:textId="7001361D"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lang w:eastAsia="en-GB"/>
        </w:rPr>
        <w:t>H</w:t>
      </w:r>
      <w:r w:rsidR="008E199D" w:rsidRPr="002579CC">
        <w:rPr>
          <w:rFonts w:eastAsia="Times New Roman" w:cstheme="minorHAnsi"/>
          <w:lang w:eastAsia="en-GB"/>
        </w:rPr>
        <w:t xml:space="preserve">ave involvement in clinical trials for </w:t>
      </w:r>
      <w:r w:rsidR="008E199D" w:rsidRPr="002579CC">
        <w:rPr>
          <w:rFonts w:cstheme="minorHAnsi"/>
          <w:shd w:val="clear" w:color="auto" w:fill="FFFFFF"/>
        </w:rPr>
        <w:t>antiplatelet therapy or related therapy areas</w:t>
      </w:r>
    </w:p>
    <w:p w14:paraId="1B38D3AA" w14:textId="2AF3A501"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eastAsia="Times New Roman" w:cstheme="minorHAnsi"/>
          <w:color w:val="222222"/>
          <w:lang w:eastAsia="en-GB"/>
        </w:rPr>
        <w:t>B</w:t>
      </w:r>
      <w:r w:rsidR="008E199D" w:rsidRPr="002579CC">
        <w:rPr>
          <w:rFonts w:eastAsia="Times New Roman" w:cstheme="minorHAnsi"/>
          <w:color w:val="222222"/>
          <w:lang w:eastAsia="en-GB"/>
        </w:rPr>
        <w:t xml:space="preserve">e </w:t>
      </w:r>
      <w:r w:rsidR="003760C4">
        <w:rPr>
          <w:rFonts w:eastAsia="Times New Roman" w:cstheme="minorHAnsi"/>
          <w:color w:val="222222"/>
          <w:lang w:eastAsia="en-GB"/>
        </w:rPr>
        <w:t xml:space="preserve">a </w:t>
      </w:r>
      <w:r w:rsidR="008E199D" w:rsidRPr="002579CC">
        <w:rPr>
          <w:rFonts w:eastAsia="Times New Roman" w:cstheme="minorHAnsi"/>
          <w:color w:val="222222"/>
          <w:lang w:eastAsia="en-GB"/>
        </w:rPr>
        <w:t>local clinical decision maker/clinical policy shaper</w:t>
      </w:r>
    </w:p>
    <w:p w14:paraId="6E1CDC53" w14:textId="1F890E2D" w:rsidR="008E199D" w:rsidRPr="002579CC" w:rsidRDefault="00703D55" w:rsidP="00B67081">
      <w:pPr>
        <w:numPr>
          <w:ilvl w:val="0"/>
          <w:numId w:val="2"/>
        </w:numPr>
        <w:shd w:val="clear" w:color="auto" w:fill="FFFFFF"/>
        <w:spacing w:after="0" w:line="480" w:lineRule="auto"/>
        <w:ind w:left="714" w:hanging="357"/>
        <w:rPr>
          <w:rFonts w:eastAsia="Times New Roman" w:cstheme="minorHAnsi"/>
          <w:lang w:eastAsia="en-GB"/>
        </w:rPr>
      </w:pPr>
      <w:r>
        <w:rPr>
          <w:rFonts w:cstheme="minorHAnsi"/>
          <w:shd w:val="clear" w:color="auto" w:fill="FFFFFF"/>
        </w:rPr>
        <w:t>B</w:t>
      </w:r>
      <w:r w:rsidR="008E199D" w:rsidRPr="002579CC">
        <w:rPr>
          <w:rFonts w:cstheme="minorHAnsi"/>
          <w:shd w:val="clear" w:color="auto" w:fill="FFFFFF"/>
        </w:rPr>
        <w:t xml:space="preserve">e regarded as a key opinion leader in this field </w:t>
      </w:r>
    </w:p>
    <w:p w14:paraId="643D4580" w14:textId="77777777" w:rsidR="008E199D" w:rsidRPr="002579CC" w:rsidRDefault="008E199D" w:rsidP="00B67081">
      <w:pPr>
        <w:spacing w:after="0" w:line="480" w:lineRule="auto"/>
        <w:rPr>
          <w:rFonts w:eastAsia="Cambria" w:cstheme="minorHAnsi"/>
          <w:color w:val="333333"/>
          <w:shd w:val="clear" w:color="auto" w:fill="FFFFFF"/>
          <w:lang w:val="en-US"/>
        </w:rPr>
      </w:pPr>
    </w:p>
    <w:p w14:paraId="1DA02854" w14:textId="16AB8400" w:rsidR="008E199D" w:rsidRDefault="00DA4B05" w:rsidP="00B67081">
      <w:pPr>
        <w:spacing w:after="0" w:line="480" w:lineRule="auto"/>
        <w:rPr>
          <w:rFonts w:eastAsia="Cambria" w:cstheme="minorHAnsi"/>
          <w:color w:val="000000"/>
          <w:lang w:val="en-US" w:eastAsia="en-GB"/>
        </w:rPr>
      </w:pPr>
      <w:r>
        <w:rPr>
          <w:rFonts w:eastAsia="Cambria" w:cstheme="minorHAnsi"/>
          <w:color w:val="000000"/>
          <w:lang w:val="en-US" w:eastAsia="en-GB"/>
        </w:rPr>
        <w:t>Demographic</w:t>
      </w:r>
      <w:r w:rsidR="008E199D" w:rsidRPr="002579CC">
        <w:rPr>
          <w:rFonts w:eastAsia="Cambria" w:cstheme="minorHAnsi"/>
          <w:color w:val="000000"/>
          <w:lang w:val="en-US" w:eastAsia="en-GB"/>
        </w:rPr>
        <w:t xml:space="preserve"> questions </w:t>
      </w:r>
      <w:r w:rsidR="00B27D0F">
        <w:rPr>
          <w:rFonts w:eastAsia="Cambria" w:cstheme="minorHAnsi"/>
          <w:color w:val="000000"/>
          <w:lang w:val="en-US" w:eastAsia="en-GB"/>
        </w:rPr>
        <w:t>were used to screen candidates</w:t>
      </w:r>
      <w:r w:rsidR="008E199D" w:rsidRPr="002579CC">
        <w:rPr>
          <w:rFonts w:eastAsia="Cambria" w:cstheme="minorHAnsi"/>
          <w:color w:val="000000"/>
          <w:lang w:val="en-US" w:eastAsia="en-GB"/>
        </w:rPr>
        <w:t xml:space="preserve"> </w:t>
      </w:r>
      <w:r w:rsidR="006F7B76">
        <w:rPr>
          <w:rFonts w:eastAsia="Cambria" w:cstheme="minorHAnsi"/>
          <w:color w:val="000000"/>
          <w:lang w:val="en-US" w:eastAsia="en-GB"/>
        </w:rPr>
        <w:t xml:space="preserve">for eligibility </w:t>
      </w:r>
      <w:r w:rsidR="008E199D" w:rsidRPr="002579CC">
        <w:rPr>
          <w:rFonts w:eastAsia="Cambria" w:cstheme="minorHAnsi"/>
          <w:color w:val="000000"/>
          <w:lang w:val="en-US" w:eastAsia="en-GB"/>
        </w:rPr>
        <w:t xml:space="preserve">(see </w:t>
      </w:r>
      <w:r w:rsidR="00494129">
        <w:rPr>
          <w:rFonts w:eastAsia="Cambria" w:cstheme="minorHAnsi"/>
          <w:color w:val="000000"/>
          <w:lang w:val="en-US" w:eastAsia="en-GB"/>
        </w:rPr>
        <w:t>‘Crowd registration</w:t>
      </w:r>
      <w:r w:rsidR="00283E5D">
        <w:rPr>
          <w:rFonts w:eastAsia="Cambria" w:cstheme="minorHAnsi"/>
          <w:color w:val="000000"/>
          <w:lang w:val="en-US" w:eastAsia="en-GB"/>
        </w:rPr>
        <w:t>’</w:t>
      </w:r>
      <w:r w:rsidR="008E199D" w:rsidRPr="002579CC">
        <w:rPr>
          <w:rFonts w:eastAsia="Cambria" w:cstheme="minorHAnsi"/>
          <w:color w:val="000000"/>
          <w:lang w:val="en-US" w:eastAsia="en-GB"/>
        </w:rPr>
        <w:t xml:space="preserve"> for more detail)</w:t>
      </w:r>
      <w:r w:rsidR="008E020D">
        <w:rPr>
          <w:rFonts w:eastAsia="Cambria" w:cstheme="minorHAnsi"/>
          <w:color w:val="000000"/>
          <w:lang w:val="en-US" w:eastAsia="en-GB"/>
        </w:rPr>
        <w:t>;</w:t>
      </w:r>
      <w:r w:rsidR="008E199D" w:rsidRPr="002579CC">
        <w:rPr>
          <w:rFonts w:eastAsia="Cambria" w:cstheme="minorHAnsi"/>
          <w:color w:val="000000"/>
          <w:lang w:val="en-US" w:eastAsia="en-GB"/>
        </w:rPr>
        <w:t xml:space="preserve"> registrants were granted access to the crowdsourcing platform if they satisfied the first two clauses of the above obligatory criteria</w:t>
      </w:r>
      <w:r w:rsidR="00C35E5B">
        <w:rPr>
          <w:rFonts w:eastAsia="Cambria" w:cstheme="minorHAnsi"/>
          <w:color w:val="000000"/>
          <w:lang w:val="en-US" w:eastAsia="en-GB"/>
        </w:rPr>
        <w:t xml:space="preserve"> as a minimum</w:t>
      </w:r>
      <w:r w:rsidR="009A337E">
        <w:rPr>
          <w:rFonts w:eastAsia="Cambria" w:cstheme="minorHAnsi"/>
          <w:color w:val="000000"/>
          <w:lang w:val="en-US" w:eastAsia="en-GB"/>
        </w:rPr>
        <w:t>; o</w:t>
      </w:r>
      <w:r w:rsidR="008E199D" w:rsidRPr="002579CC">
        <w:rPr>
          <w:rFonts w:eastAsia="Cambria" w:cstheme="minorHAnsi"/>
          <w:color w:val="000000"/>
          <w:lang w:val="en-US" w:eastAsia="en-GB"/>
        </w:rPr>
        <w:t xml:space="preserve">ther criteria (seniority, geography, nature of primary practice) were used </w:t>
      </w:r>
      <w:r w:rsidR="00E461D2">
        <w:rPr>
          <w:rFonts w:eastAsia="Cambria" w:cstheme="minorHAnsi"/>
          <w:color w:val="000000"/>
          <w:lang w:val="en-US" w:eastAsia="en-GB"/>
        </w:rPr>
        <w:t xml:space="preserve">to </w:t>
      </w:r>
      <w:r w:rsidR="00A47779">
        <w:rPr>
          <w:rFonts w:eastAsia="Cambria" w:cstheme="minorHAnsi"/>
          <w:color w:val="000000"/>
          <w:lang w:val="en-US" w:eastAsia="en-GB"/>
        </w:rPr>
        <w:t>estimate how broad</w:t>
      </w:r>
      <w:r w:rsidR="00DC1CB7">
        <w:rPr>
          <w:rFonts w:eastAsia="Cambria" w:cstheme="minorHAnsi"/>
          <w:color w:val="000000"/>
          <w:lang w:val="en-US" w:eastAsia="en-GB"/>
        </w:rPr>
        <w:t xml:space="preserve"> participation</w:t>
      </w:r>
      <w:r w:rsidR="00B2289E">
        <w:rPr>
          <w:rFonts w:eastAsia="Cambria" w:cstheme="minorHAnsi"/>
          <w:color w:val="000000"/>
          <w:lang w:val="en-US" w:eastAsia="en-GB"/>
        </w:rPr>
        <w:t xml:space="preserve"> was.</w:t>
      </w:r>
    </w:p>
    <w:p w14:paraId="508F8E58" w14:textId="77777777" w:rsidR="009C5C7A" w:rsidRPr="002579CC" w:rsidRDefault="009C5C7A" w:rsidP="00B67081">
      <w:pPr>
        <w:spacing w:after="0" w:line="480" w:lineRule="auto"/>
        <w:rPr>
          <w:rFonts w:eastAsia="Cambria" w:cstheme="minorHAnsi"/>
          <w:color w:val="000000"/>
          <w:lang w:val="en-US" w:eastAsia="en-GB"/>
        </w:rPr>
      </w:pPr>
    </w:p>
    <w:p w14:paraId="3EE1C7C8" w14:textId="4846ECE0" w:rsidR="002B7CB3" w:rsidRDefault="005712E4" w:rsidP="00B67081">
      <w:pPr>
        <w:spacing w:after="0" w:line="480" w:lineRule="auto"/>
        <w:rPr>
          <w:rFonts w:eastAsia="Cambria" w:cstheme="minorHAnsi"/>
          <w:color w:val="000000"/>
          <w:lang w:val="en-US" w:eastAsia="en-GB"/>
        </w:rPr>
      </w:pPr>
      <w:r>
        <w:rPr>
          <w:rFonts w:eastAsia="Cambria" w:cstheme="minorHAnsi"/>
          <w:b/>
          <w:bCs/>
          <w:color w:val="000000"/>
          <w:lang w:val="en-US" w:eastAsia="en-GB"/>
        </w:rPr>
        <w:t xml:space="preserve">2.3 </w:t>
      </w:r>
      <w:r w:rsidR="00B87DF8">
        <w:rPr>
          <w:rFonts w:eastAsia="Cambria" w:cstheme="minorHAnsi"/>
          <w:b/>
          <w:bCs/>
          <w:color w:val="000000"/>
          <w:lang w:val="en-US" w:eastAsia="en-GB"/>
        </w:rPr>
        <w:t>Crowd recruitment</w:t>
      </w:r>
    </w:p>
    <w:p w14:paraId="04A8D67A" w14:textId="7494D097" w:rsidR="00E6363A" w:rsidRDefault="00F6187E" w:rsidP="00B67081">
      <w:pPr>
        <w:spacing w:after="0" w:line="480" w:lineRule="auto"/>
        <w:rPr>
          <w:rFonts w:eastAsia="Cambria" w:cstheme="minorHAnsi"/>
          <w:color w:val="000000"/>
          <w:lang w:val="en-US" w:eastAsia="en-GB"/>
        </w:rPr>
      </w:pPr>
      <w:r>
        <w:rPr>
          <w:rFonts w:eastAsia="Cambria" w:cstheme="minorHAnsi"/>
          <w:color w:val="000000"/>
          <w:lang w:val="en-US" w:eastAsia="en-GB"/>
        </w:rPr>
        <w:t xml:space="preserve">The crowd </w:t>
      </w:r>
      <w:r w:rsidR="001F6041">
        <w:rPr>
          <w:rFonts w:eastAsia="Cambria" w:cstheme="minorHAnsi"/>
          <w:color w:val="000000"/>
          <w:lang w:val="en-US" w:eastAsia="en-GB"/>
        </w:rPr>
        <w:t xml:space="preserve">was </w:t>
      </w:r>
      <w:r>
        <w:rPr>
          <w:rFonts w:eastAsia="Cambria" w:cstheme="minorHAnsi"/>
          <w:color w:val="000000"/>
          <w:lang w:val="en-US" w:eastAsia="en-GB"/>
        </w:rPr>
        <w:t>recruited to take part</w:t>
      </w:r>
      <w:r w:rsidR="00955F4B">
        <w:rPr>
          <w:rFonts w:eastAsia="Cambria" w:cstheme="minorHAnsi"/>
          <w:color w:val="000000"/>
          <w:lang w:val="en-US" w:eastAsia="en-GB"/>
        </w:rPr>
        <w:t xml:space="preserve"> both directly (</w:t>
      </w:r>
      <w:r w:rsidR="00E6363A">
        <w:rPr>
          <w:rFonts w:eastAsia="Cambria" w:cstheme="minorHAnsi"/>
          <w:color w:val="000000"/>
          <w:lang w:val="en-US" w:eastAsia="en-GB"/>
        </w:rPr>
        <w:t>through</w:t>
      </w:r>
      <w:r w:rsidR="00955F4B">
        <w:rPr>
          <w:rFonts w:eastAsia="Cambria" w:cstheme="minorHAnsi"/>
          <w:color w:val="000000"/>
          <w:lang w:val="en-US" w:eastAsia="en-GB"/>
        </w:rPr>
        <w:t xml:space="preserve"> direct </w:t>
      </w:r>
      <w:r w:rsidR="00E6363A">
        <w:rPr>
          <w:rFonts w:eastAsia="Cambria" w:cstheme="minorHAnsi"/>
          <w:color w:val="000000"/>
          <w:lang w:val="en-US" w:eastAsia="en-GB"/>
        </w:rPr>
        <w:t>email)</w:t>
      </w:r>
      <w:r w:rsidR="00955F4B">
        <w:rPr>
          <w:rFonts w:eastAsia="Cambria" w:cstheme="minorHAnsi"/>
          <w:color w:val="000000"/>
          <w:lang w:val="en-US" w:eastAsia="en-GB"/>
        </w:rPr>
        <w:t xml:space="preserve"> and indirectly </w:t>
      </w:r>
      <w:r w:rsidR="00E6363A">
        <w:rPr>
          <w:rFonts w:eastAsia="Cambria" w:cstheme="minorHAnsi"/>
          <w:color w:val="000000"/>
          <w:lang w:val="en-US" w:eastAsia="en-GB"/>
        </w:rPr>
        <w:t>(</w:t>
      </w:r>
      <w:r w:rsidR="00955F4B">
        <w:rPr>
          <w:rFonts w:eastAsia="Cambria" w:cstheme="minorHAnsi"/>
          <w:color w:val="000000"/>
          <w:lang w:val="en-US" w:eastAsia="en-GB"/>
        </w:rPr>
        <w:t>through social medi</w:t>
      </w:r>
      <w:r w:rsidR="00E6363A">
        <w:rPr>
          <w:rFonts w:eastAsia="Cambria" w:cstheme="minorHAnsi"/>
          <w:color w:val="000000"/>
          <w:lang w:val="en-US" w:eastAsia="en-GB"/>
        </w:rPr>
        <w:t>a channels)</w:t>
      </w:r>
      <w:r w:rsidR="00703D55">
        <w:rPr>
          <w:rFonts w:eastAsia="Cambria" w:cstheme="minorHAnsi"/>
          <w:color w:val="000000"/>
          <w:lang w:val="en-US" w:eastAsia="en-GB"/>
        </w:rPr>
        <w:t>.</w:t>
      </w:r>
    </w:p>
    <w:p w14:paraId="0C132992" w14:textId="77777777" w:rsidR="00174F3C" w:rsidRDefault="00174F3C" w:rsidP="00B67081">
      <w:pPr>
        <w:spacing w:after="0" w:line="480" w:lineRule="auto"/>
        <w:rPr>
          <w:rFonts w:eastAsia="Cambria" w:cstheme="minorHAnsi"/>
          <w:color w:val="000000"/>
          <w:lang w:val="en-US" w:eastAsia="en-GB"/>
        </w:rPr>
      </w:pPr>
    </w:p>
    <w:p w14:paraId="3BF94D18" w14:textId="3C99EB72" w:rsidR="00A56F40" w:rsidRDefault="00E6363A" w:rsidP="00B67081">
      <w:pPr>
        <w:spacing w:after="0" w:line="480" w:lineRule="auto"/>
        <w:rPr>
          <w:rFonts w:eastAsia="Cambria" w:cstheme="minorHAnsi"/>
          <w:color w:val="000000"/>
          <w:lang w:val="en-US" w:eastAsia="en-GB"/>
        </w:rPr>
      </w:pPr>
      <w:r w:rsidRPr="00444F34">
        <w:rPr>
          <w:rFonts w:eastAsia="Cambria" w:cstheme="minorHAnsi"/>
          <w:i/>
          <w:iCs/>
          <w:color w:val="000000"/>
          <w:lang w:val="en-US" w:eastAsia="en-GB"/>
        </w:rPr>
        <w:t>Direct</w:t>
      </w:r>
      <w:r w:rsidR="00777E6F" w:rsidRPr="00444F34">
        <w:rPr>
          <w:rFonts w:eastAsia="Cambria" w:cstheme="minorHAnsi"/>
          <w:i/>
          <w:iCs/>
          <w:color w:val="000000"/>
          <w:lang w:val="en-US" w:eastAsia="en-GB"/>
        </w:rPr>
        <w:t xml:space="preserve"> recruitment</w:t>
      </w:r>
      <w:r w:rsidR="00777E6F" w:rsidRPr="00444F34">
        <w:rPr>
          <w:rFonts w:eastAsia="Cambria" w:cstheme="minorHAnsi"/>
          <w:color w:val="000000"/>
          <w:lang w:val="en-US" w:eastAsia="en-GB"/>
        </w:rPr>
        <w:t>:</w:t>
      </w:r>
      <w:r w:rsidR="00777E6F">
        <w:rPr>
          <w:rFonts w:eastAsia="Cambria" w:cstheme="minorHAnsi"/>
          <w:color w:val="000000"/>
          <w:lang w:val="en-US" w:eastAsia="en-GB"/>
        </w:rPr>
        <w:t xml:space="preserve"> </w:t>
      </w:r>
      <w:r w:rsidR="002579CC" w:rsidRPr="002579CC">
        <w:rPr>
          <w:rFonts w:eastAsia="Cambria" w:cstheme="minorHAnsi"/>
          <w:color w:val="000000"/>
          <w:lang w:val="en-US" w:eastAsia="en-GB"/>
        </w:rPr>
        <w:t xml:space="preserve">Contributions were </w:t>
      </w:r>
      <w:r w:rsidR="00E13497">
        <w:rPr>
          <w:rFonts w:eastAsia="Cambria" w:cstheme="minorHAnsi"/>
          <w:color w:val="000000"/>
          <w:lang w:val="en-US" w:eastAsia="en-GB"/>
        </w:rPr>
        <w:t>sought from those</w:t>
      </w:r>
      <w:r w:rsidR="002579CC" w:rsidRPr="002579CC">
        <w:rPr>
          <w:rFonts w:eastAsia="Cambria" w:cstheme="minorHAnsi"/>
          <w:color w:val="000000"/>
          <w:lang w:val="en-US" w:eastAsia="en-GB"/>
        </w:rPr>
        <w:t xml:space="preserve"> who met the defined criteria, directly by </w:t>
      </w:r>
      <w:r w:rsidR="00C24BB9">
        <w:rPr>
          <w:rFonts w:eastAsia="Cambria" w:cstheme="minorHAnsi"/>
          <w:color w:val="000000"/>
          <w:lang w:val="en-US" w:eastAsia="en-GB"/>
        </w:rPr>
        <w:t>members of</w:t>
      </w:r>
      <w:r w:rsidR="002579CC" w:rsidRPr="002579CC">
        <w:rPr>
          <w:rFonts w:eastAsia="Cambria" w:cstheme="minorHAnsi"/>
          <w:color w:val="000000"/>
          <w:lang w:val="en-US" w:eastAsia="en-GB"/>
        </w:rPr>
        <w:t xml:space="preserve"> the </w:t>
      </w:r>
      <w:r w:rsidR="00703D55">
        <w:rPr>
          <w:rFonts w:eastAsia="Cambria" w:cstheme="minorHAnsi"/>
          <w:color w:val="000000"/>
          <w:lang w:val="en-US" w:eastAsia="en-GB"/>
        </w:rPr>
        <w:t>SC</w:t>
      </w:r>
      <w:r w:rsidR="002579CC" w:rsidRPr="002579CC">
        <w:rPr>
          <w:rFonts w:eastAsia="Cambria" w:cstheme="minorHAnsi"/>
          <w:color w:val="000000"/>
          <w:lang w:val="en-US" w:eastAsia="en-GB"/>
        </w:rPr>
        <w:t xml:space="preserve"> and </w:t>
      </w:r>
      <w:r w:rsidR="00922616">
        <w:rPr>
          <w:rFonts w:eastAsia="Cambria" w:cstheme="minorHAnsi"/>
          <w:color w:val="000000"/>
          <w:lang w:val="en-US" w:eastAsia="en-GB"/>
        </w:rPr>
        <w:t xml:space="preserve">representatives of </w:t>
      </w:r>
      <w:r w:rsidR="00813023">
        <w:rPr>
          <w:rFonts w:eastAsia="Cambria" w:cstheme="minorHAnsi"/>
          <w:color w:val="000000"/>
          <w:lang w:val="en-US" w:eastAsia="en-GB"/>
        </w:rPr>
        <w:t xml:space="preserve">the </w:t>
      </w:r>
      <w:r w:rsidR="002579CC" w:rsidRPr="002579CC">
        <w:rPr>
          <w:rFonts w:eastAsia="Cambria" w:cstheme="minorHAnsi"/>
          <w:color w:val="000000"/>
          <w:lang w:val="en-US" w:eastAsia="en-GB"/>
        </w:rPr>
        <w:t xml:space="preserve">ISCP. </w:t>
      </w:r>
      <w:r w:rsidR="00CC0837">
        <w:rPr>
          <w:rFonts w:eastAsia="Cambria" w:cstheme="minorHAnsi"/>
          <w:color w:val="000000"/>
          <w:lang w:val="en-US" w:eastAsia="en-GB"/>
        </w:rPr>
        <w:t xml:space="preserve">The </w:t>
      </w:r>
      <w:r w:rsidR="00813023">
        <w:rPr>
          <w:rFonts w:eastAsia="Cambria" w:cstheme="minorHAnsi"/>
          <w:color w:val="000000"/>
          <w:lang w:val="en-US" w:eastAsia="en-GB"/>
        </w:rPr>
        <w:t xml:space="preserve">ISCP </w:t>
      </w:r>
      <w:r w:rsidR="00CC0837">
        <w:rPr>
          <w:rFonts w:eastAsia="Cambria" w:cstheme="minorHAnsi"/>
          <w:color w:val="000000"/>
          <w:lang w:val="en-US" w:eastAsia="en-GB"/>
        </w:rPr>
        <w:t xml:space="preserve">is represented by </w:t>
      </w:r>
      <w:r w:rsidR="00C71B95">
        <w:rPr>
          <w:rFonts w:eastAsia="Cambria" w:cstheme="minorHAnsi"/>
          <w:color w:val="000000"/>
          <w:lang w:val="en-US" w:eastAsia="en-GB"/>
        </w:rPr>
        <w:t xml:space="preserve">an executive </w:t>
      </w:r>
      <w:r w:rsidR="00CC0837">
        <w:rPr>
          <w:rFonts w:eastAsia="Cambria" w:cstheme="minorHAnsi"/>
          <w:color w:val="000000"/>
          <w:lang w:val="en-US" w:eastAsia="en-GB"/>
        </w:rPr>
        <w:t>committee</w:t>
      </w:r>
      <w:r w:rsidR="00C71B95">
        <w:rPr>
          <w:rFonts w:eastAsia="Cambria" w:cstheme="minorHAnsi"/>
          <w:color w:val="000000"/>
          <w:lang w:val="en-US" w:eastAsia="en-GB"/>
        </w:rPr>
        <w:t xml:space="preserve"> and board of directors</w:t>
      </w:r>
      <w:r w:rsidR="00BB74E0">
        <w:rPr>
          <w:rFonts w:eastAsia="Cambria" w:cstheme="minorHAnsi"/>
          <w:color w:val="000000"/>
          <w:lang w:val="en-US" w:eastAsia="en-GB"/>
        </w:rPr>
        <w:t xml:space="preserve">, </w:t>
      </w:r>
      <w:r w:rsidR="00FE55B5">
        <w:rPr>
          <w:rFonts w:eastAsia="Cambria" w:cstheme="minorHAnsi"/>
          <w:color w:val="000000"/>
          <w:lang w:val="en-US" w:eastAsia="en-GB"/>
        </w:rPr>
        <w:t xml:space="preserve">representing </w:t>
      </w:r>
      <w:r w:rsidR="00D64A6A">
        <w:rPr>
          <w:rFonts w:eastAsia="Cambria" w:cstheme="minorHAnsi"/>
          <w:color w:val="000000"/>
          <w:lang w:val="en-US" w:eastAsia="en-GB"/>
        </w:rPr>
        <w:t xml:space="preserve">countries </w:t>
      </w:r>
      <w:r w:rsidR="00394138">
        <w:rPr>
          <w:rFonts w:eastAsia="Cambria" w:cstheme="minorHAnsi"/>
          <w:color w:val="000000"/>
          <w:lang w:val="en-US" w:eastAsia="en-GB"/>
        </w:rPr>
        <w:t>from</w:t>
      </w:r>
      <w:r w:rsidR="00D64A6A">
        <w:rPr>
          <w:rFonts w:eastAsia="Cambria" w:cstheme="minorHAnsi"/>
          <w:color w:val="000000"/>
          <w:lang w:val="en-US" w:eastAsia="en-GB"/>
        </w:rPr>
        <w:t xml:space="preserve"> each major continent.</w:t>
      </w:r>
      <w:r w:rsidR="00CC0837">
        <w:rPr>
          <w:rFonts w:eastAsia="Cambria" w:cstheme="minorHAnsi"/>
          <w:color w:val="000000"/>
          <w:lang w:val="en-US" w:eastAsia="en-GB"/>
        </w:rPr>
        <w:t xml:space="preserve"> </w:t>
      </w:r>
      <w:r w:rsidR="00394138">
        <w:rPr>
          <w:rFonts w:eastAsia="Cambria" w:cstheme="minorHAnsi"/>
          <w:color w:val="000000"/>
          <w:lang w:val="en-US" w:eastAsia="en-GB"/>
        </w:rPr>
        <w:t>Therefore</w:t>
      </w:r>
      <w:r w:rsidR="00557321">
        <w:rPr>
          <w:rFonts w:eastAsia="Cambria" w:cstheme="minorHAnsi"/>
          <w:color w:val="000000"/>
          <w:lang w:val="en-US" w:eastAsia="en-GB"/>
        </w:rPr>
        <w:t xml:space="preserve">, ISCP members were encouraged to promote the project </w:t>
      </w:r>
      <w:r w:rsidR="00703D55">
        <w:rPr>
          <w:rFonts w:eastAsia="Cambria" w:cstheme="minorHAnsi"/>
          <w:color w:val="000000"/>
          <w:lang w:val="en-US" w:eastAsia="en-GB"/>
        </w:rPr>
        <w:t xml:space="preserve">directly </w:t>
      </w:r>
      <w:r w:rsidR="00557321">
        <w:rPr>
          <w:rFonts w:eastAsia="Cambria" w:cstheme="minorHAnsi"/>
          <w:color w:val="000000"/>
          <w:lang w:val="en-US" w:eastAsia="en-GB"/>
        </w:rPr>
        <w:t xml:space="preserve">to known </w:t>
      </w:r>
      <w:r w:rsidR="00E85F78">
        <w:rPr>
          <w:rFonts w:eastAsia="Cambria" w:cstheme="minorHAnsi"/>
          <w:color w:val="000000"/>
          <w:lang w:val="en-US" w:eastAsia="en-GB"/>
        </w:rPr>
        <w:t xml:space="preserve">professionals </w:t>
      </w:r>
      <w:r w:rsidR="00B90CA7">
        <w:rPr>
          <w:rFonts w:eastAsia="Cambria" w:cstheme="minorHAnsi"/>
          <w:color w:val="000000"/>
          <w:lang w:val="en-US" w:eastAsia="en-GB"/>
        </w:rPr>
        <w:t>from their region</w:t>
      </w:r>
      <w:r w:rsidR="00703D55">
        <w:rPr>
          <w:rFonts w:eastAsia="Cambria" w:cstheme="minorHAnsi"/>
          <w:color w:val="000000"/>
          <w:lang w:val="en-US" w:eastAsia="en-GB"/>
        </w:rPr>
        <w:t>.</w:t>
      </w:r>
    </w:p>
    <w:p w14:paraId="77EA5A3D" w14:textId="77777777" w:rsidR="00174F3C" w:rsidRDefault="00174F3C" w:rsidP="00B67081">
      <w:pPr>
        <w:spacing w:after="0" w:line="480" w:lineRule="auto"/>
        <w:rPr>
          <w:rFonts w:eastAsia="Cambria" w:cstheme="minorHAnsi"/>
          <w:color w:val="000000"/>
          <w:lang w:val="en-US" w:eastAsia="en-GB"/>
        </w:rPr>
      </w:pPr>
    </w:p>
    <w:p w14:paraId="65894F9C" w14:textId="7C0D613B" w:rsidR="000D4F26" w:rsidRDefault="00216B01" w:rsidP="00B67081">
      <w:pPr>
        <w:spacing w:after="0" w:line="480" w:lineRule="auto"/>
        <w:rPr>
          <w:rFonts w:eastAsia="Cambria" w:cstheme="minorHAnsi"/>
          <w:color w:val="000000"/>
          <w:lang w:val="en-US" w:eastAsia="en-GB"/>
        </w:rPr>
      </w:pPr>
      <w:r>
        <w:rPr>
          <w:rFonts w:eastAsia="Cambria" w:cstheme="minorHAnsi"/>
          <w:color w:val="000000"/>
          <w:lang w:val="en-US" w:eastAsia="en-GB"/>
        </w:rPr>
        <w:lastRenderedPageBreak/>
        <w:t xml:space="preserve">In addition, Radcliffe </w:t>
      </w:r>
      <w:r w:rsidR="000279FC">
        <w:rPr>
          <w:rFonts w:eastAsia="Cambria" w:cstheme="minorHAnsi"/>
          <w:color w:val="000000"/>
          <w:lang w:val="en-US" w:eastAsia="en-GB"/>
        </w:rPr>
        <w:t>Medical Education</w:t>
      </w:r>
      <w:r w:rsidR="00921D6F">
        <w:rPr>
          <w:rFonts w:eastAsia="Cambria" w:cstheme="minorHAnsi"/>
          <w:color w:val="000000"/>
          <w:lang w:val="en-US" w:eastAsia="en-GB"/>
        </w:rPr>
        <w:t xml:space="preserve"> sent</w:t>
      </w:r>
      <w:r w:rsidR="00FB07EE">
        <w:rPr>
          <w:rFonts w:eastAsia="Cambria" w:cstheme="minorHAnsi"/>
          <w:color w:val="000000"/>
          <w:lang w:val="en-US" w:eastAsia="en-GB"/>
        </w:rPr>
        <w:t xml:space="preserve"> </w:t>
      </w:r>
      <w:r w:rsidR="002842B0">
        <w:rPr>
          <w:rFonts w:eastAsia="Cambria" w:cstheme="minorHAnsi"/>
          <w:color w:val="000000"/>
          <w:lang w:val="en-US" w:eastAsia="en-GB"/>
        </w:rPr>
        <w:t xml:space="preserve">direct </w:t>
      </w:r>
      <w:r w:rsidR="00921D6F">
        <w:rPr>
          <w:rFonts w:eastAsia="Cambria" w:cstheme="minorHAnsi"/>
          <w:color w:val="000000"/>
          <w:lang w:val="en-US" w:eastAsia="en-GB"/>
        </w:rPr>
        <w:t xml:space="preserve">emails </w:t>
      </w:r>
      <w:r w:rsidR="00CB4F26">
        <w:rPr>
          <w:rFonts w:eastAsia="Cambria" w:cstheme="minorHAnsi"/>
          <w:color w:val="000000"/>
          <w:lang w:val="en-US" w:eastAsia="en-GB"/>
        </w:rPr>
        <w:t>(</w:t>
      </w:r>
      <w:r w:rsidR="00C74DC4">
        <w:rPr>
          <w:rFonts w:eastAsia="Cambria" w:cstheme="minorHAnsi"/>
          <w:color w:val="000000"/>
          <w:lang w:val="en-US" w:eastAsia="en-GB"/>
        </w:rPr>
        <w:t xml:space="preserve">total 269) </w:t>
      </w:r>
      <w:r w:rsidR="00921D6F">
        <w:rPr>
          <w:rFonts w:eastAsia="Cambria" w:cstheme="minorHAnsi"/>
          <w:color w:val="000000"/>
          <w:lang w:val="en-US" w:eastAsia="en-GB"/>
        </w:rPr>
        <w:t>to</w:t>
      </w:r>
      <w:r w:rsidR="002842B0">
        <w:rPr>
          <w:rFonts w:eastAsia="Cambria" w:cstheme="minorHAnsi"/>
          <w:color w:val="000000"/>
          <w:lang w:val="en-US" w:eastAsia="en-GB"/>
        </w:rPr>
        <w:t xml:space="preserve"> </w:t>
      </w:r>
      <w:r w:rsidR="0014314E">
        <w:rPr>
          <w:rFonts w:eastAsia="Cambria" w:cstheme="minorHAnsi"/>
          <w:color w:val="000000"/>
          <w:lang w:val="en-US" w:eastAsia="en-GB"/>
        </w:rPr>
        <w:t>relevant</w:t>
      </w:r>
      <w:r w:rsidR="002842B0">
        <w:rPr>
          <w:rFonts w:eastAsia="Cambria" w:cstheme="minorHAnsi"/>
          <w:color w:val="000000"/>
          <w:lang w:val="en-US" w:eastAsia="en-GB"/>
        </w:rPr>
        <w:t xml:space="preserve"> </w:t>
      </w:r>
      <w:r w:rsidR="005E60E4">
        <w:rPr>
          <w:rFonts w:eastAsia="Cambria" w:cstheme="minorHAnsi"/>
          <w:color w:val="000000"/>
          <w:lang w:val="en-US" w:eastAsia="en-GB"/>
        </w:rPr>
        <w:t>particip</w:t>
      </w:r>
      <w:r w:rsidR="00C47D9F">
        <w:rPr>
          <w:rFonts w:eastAsia="Cambria" w:cstheme="minorHAnsi"/>
          <w:color w:val="000000"/>
          <w:lang w:val="en-US" w:eastAsia="en-GB"/>
        </w:rPr>
        <w:t>a</w:t>
      </w:r>
      <w:r w:rsidR="005E60E4">
        <w:rPr>
          <w:rFonts w:eastAsia="Cambria" w:cstheme="minorHAnsi"/>
          <w:color w:val="000000"/>
          <w:lang w:val="en-US" w:eastAsia="en-GB"/>
        </w:rPr>
        <w:t>nts from</w:t>
      </w:r>
      <w:r w:rsidR="002579CC" w:rsidRPr="002579CC">
        <w:rPr>
          <w:rFonts w:eastAsia="Cambria" w:cstheme="minorHAnsi"/>
          <w:color w:val="000000"/>
          <w:lang w:val="en-US" w:eastAsia="en-GB"/>
        </w:rPr>
        <w:t xml:space="preserve"> </w:t>
      </w:r>
      <w:r w:rsidR="001C7B21">
        <w:rPr>
          <w:rFonts w:eastAsia="Cambria" w:cstheme="minorHAnsi"/>
          <w:color w:val="000000"/>
          <w:lang w:val="en-US" w:eastAsia="en-GB"/>
        </w:rPr>
        <w:t>Radcliffe Cardiology’s</w:t>
      </w:r>
      <w:r w:rsidR="005E60E4">
        <w:rPr>
          <w:rFonts w:eastAsia="Cambria" w:cstheme="minorHAnsi"/>
          <w:color w:val="000000"/>
          <w:lang w:val="en-US" w:eastAsia="en-GB"/>
        </w:rPr>
        <w:t xml:space="preserve"> </w:t>
      </w:r>
      <w:r w:rsidR="002579CC" w:rsidRPr="002579CC">
        <w:rPr>
          <w:rFonts w:eastAsia="Cambria" w:cstheme="minorHAnsi"/>
          <w:color w:val="000000"/>
          <w:lang w:val="en-US" w:eastAsia="en-GB"/>
        </w:rPr>
        <w:t xml:space="preserve">global database of </w:t>
      </w:r>
      <w:r w:rsidR="00C41154">
        <w:rPr>
          <w:rFonts w:eastAsia="Cambria" w:cstheme="minorHAnsi"/>
          <w:color w:val="000000"/>
          <w:lang w:val="en-US" w:eastAsia="en-GB"/>
        </w:rPr>
        <w:t>health care pro</w:t>
      </w:r>
      <w:r w:rsidR="007500D9">
        <w:rPr>
          <w:rFonts w:eastAsia="Cambria" w:cstheme="minorHAnsi"/>
          <w:color w:val="000000"/>
          <w:lang w:val="en-US" w:eastAsia="en-GB"/>
        </w:rPr>
        <w:t>fessionals (</w:t>
      </w:r>
      <w:r w:rsidR="002579CC" w:rsidRPr="002579CC">
        <w:rPr>
          <w:rFonts w:eastAsia="Cambria" w:cstheme="minorHAnsi"/>
          <w:color w:val="000000"/>
          <w:lang w:val="en-US" w:eastAsia="en-GB"/>
        </w:rPr>
        <w:t>HCPs</w:t>
      </w:r>
      <w:r w:rsidR="007500D9">
        <w:rPr>
          <w:rFonts w:eastAsia="Cambria" w:cstheme="minorHAnsi"/>
          <w:color w:val="000000"/>
          <w:lang w:val="en-US" w:eastAsia="en-GB"/>
        </w:rPr>
        <w:t>)</w:t>
      </w:r>
      <w:r w:rsidR="002579CC" w:rsidRPr="002579CC">
        <w:rPr>
          <w:rFonts w:eastAsia="Cambria" w:cstheme="minorHAnsi"/>
          <w:color w:val="000000"/>
          <w:lang w:val="en-US" w:eastAsia="en-GB"/>
        </w:rPr>
        <w:t>; this</w:t>
      </w:r>
      <w:r w:rsidR="00E20759">
        <w:rPr>
          <w:rFonts w:eastAsia="Cambria" w:cstheme="minorHAnsi"/>
          <w:color w:val="000000"/>
          <w:lang w:val="en-US" w:eastAsia="en-GB"/>
        </w:rPr>
        <w:t xml:space="preserve"> approach</w:t>
      </w:r>
      <w:r w:rsidR="002579CC" w:rsidRPr="002579CC">
        <w:rPr>
          <w:rFonts w:eastAsia="Cambria" w:cstheme="minorHAnsi"/>
          <w:color w:val="000000"/>
          <w:lang w:val="en-US" w:eastAsia="en-GB"/>
        </w:rPr>
        <w:t xml:space="preserve"> was used as a secondary tool to recruit from geographic regions </w:t>
      </w:r>
      <w:r w:rsidR="002069D4">
        <w:rPr>
          <w:rFonts w:eastAsia="Cambria" w:cstheme="minorHAnsi"/>
          <w:color w:val="000000"/>
          <w:lang w:val="en-US" w:eastAsia="en-GB"/>
        </w:rPr>
        <w:t xml:space="preserve">where </w:t>
      </w:r>
      <w:r w:rsidR="00921D6F">
        <w:rPr>
          <w:rFonts w:eastAsia="Cambria" w:cstheme="minorHAnsi"/>
          <w:color w:val="000000"/>
          <w:lang w:val="en-US" w:eastAsia="en-GB"/>
        </w:rPr>
        <w:t>the SC</w:t>
      </w:r>
      <w:r w:rsidR="002069D4">
        <w:rPr>
          <w:rFonts w:eastAsia="Cambria" w:cstheme="minorHAnsi"/>
          <w:color w:val="000000"/>
          <w:lang w:val="en-US" w:eastAsia="en-GB"/>
        </w:rPr>
        <w:t xml:space="preserve"> or ISCP members </w:t>
      </w:r>
      <w:r w:rsidR="009B4A92">
        <w:rPr>
          <w:rFonts w:eastAsia="Cambria" w:cstheme="minorHAnsi"/>
          <w:color w:val="000000"/>
          <w:lang w:val="en-US" w:eastAsia="en-GB"/>
        </w:rPr>
        <w:t>had no or low traction</w:t>
      </w:r>
      <w:r w:rsidR="002579CC" w:rsidRPr="002579CC">
        <w:rPr>
          <w:rFonts w:eastAsia="Cambria" w:cstheme="minorHAnsi"/>
          <w:color w:val="000000"/>
          <w:lang w:val="en-US" w:eastAsia="en-GB"/>
        </w:rPr>
        <w:t xml:space="preserve">. </w:t>
      </w:r>
      <w:r w:rsidR="00921D6F" w:rsidRPr="002579CC">
        <w:rPr>
          <w:rFonts w:eastAsia="Cambria" w:cstheme="minorHAnsi"/>
          <w:color w:val="000000"/>
          <w:lang w:val="en-US" w:eastAsia="en-GB"/>
        </w:rPr>
        <w:t xml:space="preserve">Members of the editorial boards of </w:t>
      </w:r>
      <w:r w:rsidR="00921D6F">
        <w:rPr>
          <w:rFonts w:eastAsia="Cambria" w:cstheme="minorHAnsi"/>
          <w:color w:val="000000"/>
          <w:lang w:val="en-US" w:eastAsia="en-GB"/>
        </w:rPr>
        <w:t xml:space="preserve">the </w:t>
      </w:r>
      <w:r w:rsidR="00921D6F" w:rsidRPr="002579CC">
        <w:rPr>
          <w:rFonts w:eastAsia="Cambria" w:cstheme="minorHAnsi"/>
          <w:color w:val="000000"/>
          <w:lang w:val="en-US" w:eastAsia="en-GB"/>
        </w:rPr>
        <w:t>Interventional Cardiology Review and European Cardiology Review journals</w:t>
      </w:r>
      <w:r w:rsidR="00921D6F">
        <w:rPr>
          <w:rFonts w:eastAsia="Cambria" w:cstheme="minorHAnsi"/>
          <w:color w:val="000000"/>
          <w:lang w:val="en-US" w:eastAsia="en-GB"/>
        </w:rPr>
        <w:t xml:space="preserve"> (both owned by Radcliffe Cardiology)</w:t>
      </w:r>
      <w:r w:rsidR="002579CC" w:rsidRPr="002579CC">
        <w:rPr>
          <w:rFonts w:eastAsia="Cambria" w:cstheme="minorHAnsi"/>
          <w:color w:val="000000"/>
          <w:lang w:val="en-US" w:eastAsia="en-GB"/>
        </w:rPr>
        <w:t xml:space="preserve"> were also invited to identify suitable crowd members</w:t>
      </w:r>
      <w:r w:rsidR="00C65B64">
        <w:rPr>
          <w:rFonts w:eastAsia="Cambria" w:cstheme="minorHAnsi"/>
          <w:color w:val="000000"/>
          <w:lang w:val="en-US" w:eastAsia="en-GB"/>
        </w:rPr>
        <w:t xml:space="preserve"> (total 131 emails sent)</w:t>
      </w:r>
      <w:r w:rsidR="002579CC" w:rsidRPr="002579CC">
        <w:rPr>
          <w:rFonts w:eastAsia="Cambria" w:cstheme="minorHAnsi"/>
          <w:color w:val="000000"/>
          <w:lang w:val="en-US" w:eastAsia="en-GB"/>
        </w:rPr>
        <w:t xml:space="preserve">. </w:t>
      </w:r>
      <w:r w:rsidR="006A45BD">
        <w:rPr>
          <w:rFonts w:eastAsia="Cambria" w:cstheme="minorHAnsi"/>
          <w:color w:val="000000"/>
          <w:lang w:val="en-US" w:eastAsia="en-GB"/>
        </w:rPr>
        <w:t xml:space="preserve">Members of the </w:t>
      </w:r>
      <w:r w:rsidR="00921D6F">
        <w:rPr>
          <w:rFonts w:eastAsia="Cambria" w:cstheme="minorHAnsi"/>
          <w:color w:val="000000"/>
          <w:lang w:val="en-US" w:eastAsia="en-GB"/>
        </w:rPr>
        <w:t>SC</w:t>
      </w:r>
      <w:r w:rsidR="006A45BD">
        <w:rPr>
          <w:rFonts w:eastAsia="Cambria" w:cstheme="minorHAnsi"/>
          <w:color w:val="000000"/>
          <w:lang w:val="en-US" w:eastAsia="en-GB"/>
        </w:rPr>
        <w:t xml:space="preserve"> and the ISCP with </w:t>
      </w:r>
      <w:r w:rsidR="00984831">
        <w:rPr>
          <w:rFonts w:eastAsia="Cambria" w:cstheme="minorHAnsi"/>
          <w:color w:val="000000"/>
          <w:lang w:val="en-US" w:eastAsia="en-GB"/>
        </w:rPr>
        <w:t>social media profiles</w:t>
      </w:r>
      <w:r w:rsidR="00880237">
        <w:rPr>
          <w:rFonts w:eastAsia="Cambria" w:cstheme="minorHAnsi"/>
          <w:color w:val="000000"/>
          <w:lang w:val="en-US" w:eastAsia="en-GB"/>
        </w:rPr>
        <w:t xml:space="preserve"> were </w:t>
      </w:r>
      <w:r w:rsidR="00984831">
        <w:rPr>
          <w:rFonts w:eastAsia="Cambria" w:cstheme="minorHAnsi"/>
          <w:color w:val="000000"/>
          <w:lang w:val="en-US" w:eastAsia="en-GB"/>
        </w:rPr>
        <w:t xml:space="preserve">encouraged to actively </w:t>
      </w:r>
      <w:r w:rsidR="00880237">
        <w:rPr>
          <w:rFonts w:eastAsia="Cambria" w:cstheme="minorHAnsi"/>
          <w:color w:val="000000"/>
          <w:lang w:val="en-US" w:eastAsia="en-GB"/>
        </w:rPr>
        <w:t>promote posts to their followers.</w:t>
      </w:r>
      <w:r w:rsidR="00DB5F57">
        <w:rPr>
          <w:rFonts w:eastAsia="Cambria" w:cstheme="minorHAnsi"/>
          <w:color w:val="000000"/>
          <w:vertAlign w:val="superscript"/>
          <w:lang w:val="en-US" w:eastAsia="en-GB"/>
        </w:rPr>
        <w:t>1</w:t>
      </w:r>
      <w:r w:rsidR="003D21CF" w:rsidRPr="003D21CF">
        <w:rPr>
          <w:rFonts w:eastAsia="Cambria" w:cstheme="minorHAnsi"/>
          <w:color w:val="000000"/>
          <w:vertAlign w:val="superscript"/>
          <w:lang w:val="en-US" w:eastAsia="en-GB"/>
        </w:rPr>
        <w:t>2</w:t>
      </w:r>
    </w:p>
    <w:p w14:paraId="22C15D37" w14:textId="77777777" w:rsidR="002579CC" w:rsidRPr="002579CC" w:rsidRDefault="002579CC" w:rsidP="00B67081">
      <w:pPr>
        <w:spacing w:after="0" w:line="480" w:lineRule="auto"/>
        <w:rPr>
          <w:rFonts w:eastAsia="Cambria" w:cstheme="minorHAnsi"/>
          <w:color w:val="000000"/>
          <w:lang w:val="en-US" w:eastAsia="en-GB"/>
        </w:rPr>
      </w:pPr>
    </w:p>
    <w:p w14:paraId="6FCBC94D" w14:textId="6237F443" w:rsidR="002579CC" w:rsidRPr="002579CC" w:rsidRDefault="008B32B0" w:rsidP="00B67081">
      <w:pPr>
        <w:spacing w:after="0" w:line="480" w:lineRule="auto"/>
        <w:rPr>
          <w:rFonts w:eastAsia="Cambria" w:cstheme="minorHAnsi"/>
          <w:color w:val="000000"/>
          <w:lang w:val="en-US" w:eastAsia="en-GB"/>
        </w:rPr>
      </w:pPr>
      <w:r>
        <w:rPr>
          <w:rFonts w:eastAsia="Cambria" w:cstheme="minorHAnsi"/>
          <w:b/>
          <w:bCs/>
          <w:color w:val="000000"/>
          <w:lang w:val="en-US" w:eastAsia="en-GB"/>
        </w:rPr>
        <w:t xml:space="preserve">2.4 </w:t>
      </w:r>
      <w:r w:rsidR="00776FF3">
        <w:rPr>
          <w:rFonts w:eastAsia="Cambria" w:cstheme="minorHAnsi"/>
          <w:b/>
          <w:bCs/>
          <w:color w:val="000000"/>
          <w:lang w:val="en-US" w:eastAsia="en-GB"/>
        </w:rPr>
        <w:t>Crowd r</w:t>
      </w:r>
      <w:r w:rsidR="002579CC" w:rsidRPr="002579CC">
        <w:rPr>
          <w:rFonts w:eastAsia="Cambria" w:cstheme="minorHAnsi"/>
          <w:b/>
          <w:bCs/>
          <w:color w:val="000000"/>
          <w:lang w:val="en-US" w:eastAsia="en-GB"/>
        </w:rPr>
        <w:t>egistration</w:t>
      </w:r>
      <w:r w:rsidR="00776FF3">
        <w:rPr>
          <w:rFonts w:eastAsia="Cambria" w:cstheme="minorHAnsi"/>
          <w:b/>
          <w:bCs/>
          <w:color w:val="000000"/>
          <w:lang w:val="en-US" w:eastAsia="en-GB"/>
        </w:rPr>
        <w:br/>
      </w:r>
      <w:r w:rsidR="004F5FC9">
        <w:rPr>
          <w:rFonts w:eastAsia="Cambria" w:cstheme="minorHAnsi"/>
          <w:color w:val="000000"/>
          <w:lang w:val="en-US" w:eastAsia="en-GB"/>
        </w:rPr>
        <w:t>S</w:t>
      </w:r>
      <w:r w:rsidR="0040650F">
        <w:rPr>
          <w:rFonts w:eastAsia="Cambria" w:cstheme="minorHAnsi"/>
          <w:color w:val="000000"/>
          <w:lang w:val="en-US" w:eastAsia="en-GB"/>
        </w:rPr>
        <w:t xml:space="preserve">ee </w:t>
      </w:r>
      <w:r w:rsidR="0040650F" w:rsidRPr="00EE4A07">
        <w:rPr>
          <w:rFonts w:eastAsia="Cambria" w:cstheme="minorHAnsi"/>
          <w:b/>
          <w:bCs/>
          <w:color w:val="000000"/>
          <w:lang w:val="en-US" w:eastAsia="en-GB"/>
        </w:rPr>
        <w:t>supplementary materials</w:t>
      </w:r>
      <w:r w:rsidR="009B5C7A">
        <w:rPr>
          <w:rFonts w:eastAsia="Cambria" w:cstheme="minorHAnsi"/>
          <w:b/>
          <w:bCs/>
          <w:color w:val="000000"/>
          <w:lang w:val="en-US" w:eastAsia="en-GB"/>
        </w:rPr>
        <w:t>,</w:t>
      </w:r>
      <w:r w:rsidR="00EE4A07" w:rsidRPr="00EE4A07">
        <w:rPr>
          <w:rFonts w:eastAsia="Cambria" w:cstheme="minorHAnsi"/>
          <w:b/>
          <w:bCs/>
          <w:color w:val="000000"/>
          <w:lang w:val="en-US" w:eastAsia="en-GB"/>
        </w:rPr>
        <w:t xml:space="preserve"> S</w:t>
      </w:r>
      <w:r w:rsidR="0007721D">
        <w:rPr>
          <w:rFonts w:eastAsia="Cambria" w:cstheme="minorHAnsi"/>
          <w:b/>
          <w:bCs/>
          <w:color w:val="000000"/>
          <w:lang w:val="en-US" w:eastAsia="en-GB"/>
        </w:rPr>
        <w:t>1</w:t>
      </w:r>
      <w:r w:rsidR="0040650F">
        <w:rPr>
          <w:rFonts w:eastAsia="Cambria" w:cstheme="minorHAnsi"/>
          <w:color w:val="000000"/>
          <w:lang w:val="en-US" w:eastAsia="en-GB"/>
        </w:rPr>
        <w:t xml:space="preserve"> for details of the registration process and</w:t>
      </w:r>
      <w:r w:rsidR="00B6575F">
        <w:rPr>
          <w:rFonts w:eastAsia="Cambria" w:cstheme="minorHAnsi"/>
          <w:color w:val="000000"/>
          <w:lang w:val="en-US" w:eastAsia="en-GB"/>
        </w:rPr>
        <w:t xml:space="preserve"> demographic questions used for eligibility screening.</w:t>
      </w:r>
    </w:p>
    <w:p w14:paraId="77F67672" w14:textId="3D25FB04" w:rsidR="002579CC" w:rsidRDefault="002579CC" w:rsidP="00B67081">
      <w:pPr>
        <w:spacing w:after="0" w:line="480" w:lineRule="auto"/>
        <w:rPr>
          <w:rFonts w:eastAsia="Cambria" w:cstheme="minorHAnsi"/>
          <w:color w:val="000000"/>
          <w:lang w:val="en-US" w:eastAsia="en-GB"/>
        </w:rPr>
      </w:pPr>
    </w:p>
    <w:p w14:paraId="42C9644B" w14:textId="557C06BF" w:rsidR="005F0E2B" w:rsidRDefault="008B32B0" w:rsidP="00B67081">
      <w:pPr>
        <w:spacing w:after="0" w:line="480" w:lineRule="auto"/>
        <w:rPr>
          <w:rFonts w:eastAsia="Cambria" w:cstheme="minorHAnsi"/>
          <w:b/>
          <w:bCs/>
          <w:color w:val="000000"/>
          <w:lang w:val="en-US" w:eastAsia="en-GB"/>
        </w:rPr>
      </w:pPr>
      <w:r>
        <w:rPr>
          <w:rFonts w:eastAsia="Cambria" w:cstheme="minorHAnsi"/>
          <w:b/>
          <w:bCs/>
          <w:color w:val="000000"/>
          <w:lang w:val="en-US" w:eastAsia="en-GB"/>
        </w:rPr>
        <w:t xml:space="preserve">2.5 </w:t>
      </w:r>
      <w:r w:rsidR="008A450E" w:rsidRPr="008A450E">
        <w:rPr>
          <w:rFonts w:eastAsia="Cambria" w:cstheme="minorHAnsi"/>
          <w:b/>
          <w:bCs/>
          <w:color w:val="000000"/>
          <w:lang w:val="en-US" w:eastAsia="en-GB"/>
        </w:rPr>
        <w:t>Sample size</w:t>
      </w:r>
      <w:r w:rsidR="005F0E2B">
        <w:rPr>
          <w:rFonts w:eastAsia="Cambria" w:cstheme="minorHAnsi"/>
          <w:b/>
          <w:bCs/>
          <w:color w:val="000000"/>
          <w:lang w:val="en-US" w:eastAsia="en-GB"/>
        </w:rPr>
        <w:t xml:space="preserve"> and represen</w:t>
      </w:r>
      <w:r w:rsidR="00154ECE">
        <w:rPr>
          <w:rFonts w:eastAsia="Cambria" w:cstheme="minorHAnsi"/>
          <w:b/>
          <w:bCs/>
          <w:color w:val="000000"/>
          <w:lang w:val="en-US" w:eastAsia="en-GB"/>
        </w:rPr>
        <w:t>t</w:t>
      </w:r>
      <w:r w:rsidR="005F0E2B">
        <w:rPr>
          <w:rFonts w:eastAsia="Cambria" w:cstheme="minorHAnsi"/>
          <w:b/>
          <w:bCs/>
          <w:color w:val="000000"/>
          <w:lang w:val="en-US" w:eastAsia="en-GB"/>
        </w:rPr>
        <w:t>ation</w:t>
      </w:r>
    </w:p>
    <w:p w14:paraId="0AFE1155" w14:textId="186D2DC3" w:rsidR="00E70869" w:rsidRPr="00E70869" w:rsidRDefault="000E0E0B" w:rsidP="00B67081">
      <w:pPr>
        <w:spacing w:after="0" w:line="480" w:lineRule="auto"/>
        <w:rPr>
          <w:rFonts w:eastAsia="Cambria" w:cstheme="minorHAnsi"/>
          <w:color w:val="000000"/>
          <w:lang w:val="en-US" w:eastAsia="en-GB"/>
        </w:rPr>
      </w:pPr>
      <w:r>
        <w:rPr>
          <w:rFonts w:eastAsia="Cambria" w:cstheme="minorHAnsi"/>
          <w:color w:val="000000"/>
          <w:lang w:val="en-US" w:eastAsia="en-GB"/>
        </w:rPr>
        <w:t>No upper limit was defined</w:t>
      </w:r>
      <w:r w:rsidR="00154ECE">
        <w:rPr>
          <w:rFonts w:eastAsia="Cambria" w:cstheme="minorHAnsi"/>
          <w:color w:val="000000"/>
          <w:lang w:val="en-US" w:eastAsia="en-GB"/>
        </w:rPr>
        <w:t xml:space="preserve"> in line with</w:t>
      </w:r>
      <w:r w:rsidR="005978D5">
        <w:rPr>
          <w:rFonts w:eastAsia="Cambria" w:cstheme="minorHAnsi"/>
          <w:color w:val="000000"/>
          <w:lang w:val="en-US" w:eastAsia="en-GB"/>
        </w:rPr>
        <w:t xml:space="preserve"> the overall ambition </w:t>
      </w:r>
      <w:r w:rsidR="008529AF">
        <w:rPr>
          <w:rFonts w:eastAsia="Cambria" w:cstheme="minorHAnsi"/>
          <w:color w:val="000000"/>
          <w:lang w:val="en-US" w:eastAsia="en-GB"/>
        </w:rPr>
        <w:t xml:space="preserve">of </w:t>
      </w:r>
      <w:r w:rsidR="007F1DEB">
        <w:rPr>
          <w:rFonts w:eastAsia="Cambria" w:cstheme="minorHAnsi"/>
          <w:color w:val="000000"/>
          <w:lang w:val="en-US" w:eastAsia="en-GB"/>
        </w:rPr>
        <w:t>capturing the prevailing</w:t>
      </w:r>
      <w:r w:rsidR="000C6F75">
        <w:rPr>
          <w:rFonts w:eastAsia="Cambria" w:cstheme="minorHAnsi"/>
          <w:color w:val="000000"/>
          <w:lang w:val="en-US" w:eastAsia="en-GB"/>
        </w:rPr>
        <w:t xml:space="preserve"> insight</w:t>
      </w:r>
      <w:r w:rsidR="00B97EF1">
        <w:rPr>
          <w:rFonts w:eastAsia="Cambria" w:cstheme="minorHAnsi"/>
          <w:color w:val="000000"/>
          <w:lang w:val="en-US" w:eastAsia="en-GB"/>
        </w:rPr>
        <w:t xml:space="preserve"> and practices</w:t>
      </w:r>
      <w:r w:rsidR="000C6F75">
        <w:rPr>
          <w:rFonts w:eastAsia="Cambria" w:cstheme="minorHAnsi"/>
          <w:color w:val="000000"/>
          <w:lang w:val="en-US" w:eastAsia="en-GB"/>
        </w:rPr>
        <w:t xml:space="preserve"> from </w:t>
      </w:r>
      <w:r w:rsidR="004C1446">
        <w:rPr>
          <w:rFonts w:eastAsia="Cambria" w:cstheme="minorHAnsi"/>
          <w:color w:val="000000"/>
          <w:lang w:val="en-US" w:eastAsia="en-GB"/>
        </w:rPr>
        <w:t>a crowd representative of a</w:t>
      </w:r>
      <w:r w:rsidR="00B97EF1">
        <w:rPr>
          <w:rFonts w:eastAsia="Cambria" w:cstheme="minorHAnsi"/>
          <w:color w:val="000000"/>
          <w:lang w:val="en-US" w:eastAsia="en-GB"/>
        </w:rPr>
        <w:t xml:space="preserve"> </w:t>
      </w:r>
      <w:r w:rsidR="004C1446">
        <w:rPr>
          <w:rFonts w:eastAsia="Cambria" w:cstheme="minorHAnsi"/>
          <w:color w:val="000000"/>
          <w:lang w:val="en-US" w:eastAsia="en-GB"/>
        </w:rPr>
        <w:t>wide range of geographi</w:t>
      </w:r>
      <w:r w:rsidR="004D1867">
        <w:rPr>
          <w:rFonts w:eastAsia="Cambria" w:cstheme="minorHAnsi"/>
          <w:color w:val="000000"/>
          <w:lang w:val="en-US" w:eastAsia="en-GB"/>
        </w:rPr>
        <w:t xml:space="preserve">es and </w:t>
      </w:r>
      <w:r w:rsidR="00BD6D89">
        <w:rPr>
          <w:rFonts w:eastAsia="Cambria" w:cstheme="minorHAnsi"/>
          <w:color w:val="000000"/>
          <w:lang w:val="en-US" w:eastAsia="en-GB"/>
        </w:rPr>
        <w:t>experience.</w:t>
      </w:r>
      <w:r w:rsidR="00AF715C">
        <w:rPr>
          <w:rFonts w:eastAsia="Cambria" w:cstheme="minorHAnsi"/>
          <w:color w:val="000000"/>
          <w:lang w:val="en-US" w:eastAsia="en-GB"/>
        </w:rPr>
        <w:t xml:space="preserve"> </w:t>
      </w:r>
    </w:p>
    <w:p w14:paraId="2C33B32B" w14:textId="77777777" w:rsidR="00E70869" w:rsidRPr="002579CC" w:rsidRDefault="00E70869" w:rsidP="00B67081">
      <w:pPr>
        <w:spacing w:after="0" w:line="480" w:lineRule="auto"/>
        <w:rPr>
          <w:rFonts w:eastAsia="Cambria" w:cstheme="minorHAnsi"/>
          <w:color w:val="000000"/>
          <w:lang w:val="en-US" w:eastAsia="en-GB"/>
        </w:rPr>
      </w:pPr>
    </w:p>
    <w:p w14:paraId="2F375F4D" w14:textId="4ACE5642" w:rsidR="00AB2A71" w:rsidRPr="005F46F8" w:rsidRDefault="008B32B0" w:rsidP="00B67081">
      <w:pPr>
        <w:spacing w:after="0" w:line="480" w:lineRule="auto"/>
        <w:rPr>
          <w:rFonts w:eastAsia="Cambria" w:cstheme="minorHAnsi"/>
          <w:b/>
          <w:bCs/>
          <w:color w:val="000000"/>
          <w:lang w:val="en-US" w:eastAsia="en-GB"/>
        </w:rPr>
      </w:pPr>
      <w:r>
        <w:rPr>
          <w:rFonts w:eastAsia="Cambria" w:cstheme="minorHAnsi"/>
          <w:b/>
          <w:bCs/>
          <w:color w:val="000000"/>
          <w:lang w:val="en-US" w:eastAsia="en-GB"/>
        </w:rPr>
        <w:t xml:space="preserve">2.6 </w:t>
      </w:r>
      <w:r w:rsidR="000E5E3E">
        <w:rPr>
          <w:rFonts w:eastAsia="Cambria" w:cstheme="minorHAnsi"/>
          <w:b/>
          <w:bCs/>
          <w:color w:val="000000"/>
          <w:lang w:val="en-US" w:eastAsia="en-GB"/>
        </w:rPr>
        <w:t>Data collection and s</w:t>
      </w:r>
      <w:r w:rsidR="00BE363F" w:rsidRPr="009F724B">
        <w:rPr>
          <w:rFonts w:eastAsia="Cambria" w:cstheme="minorHAnsi"/>
          <w:b/>
          <w:bCs/>
          <w:color w:val="000000"/>
          <w:lang w:val="en-US" w:eastAsia="en-GB"/>
        </w:rPr>
        <w:t xml:space="preserve">tatistical analysis </w:t>
      </w:r>
    </w:p>
    <w:p w14:paraId="37574A3D" w14:textId="6BE0BFA3" w:rsidR="00AB2A71" w:rsidRDefault="00AB2A71" w:rsidP="00B67081">
      <w:p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Participants </w:t>
      </w:r>
      <w:r w:rsidR="00712826">
        <w:rPr>
          <w:rFonts w:eastAsia="Times New Roman" w:cstheme="minorHAnsi"/>
          <w:color w:val="222222"/>
          <w:lang w:eastAsia="en-GB"/>
        </w:rPr>
        <w:t>answered</w:t>
      </w:r>
      <w:r w:rsidR="00562BE5">
        <w:rPr>
          <w:rFonts w:eastAsia="Times New Roman" w:cstheme="minorHAnsi"/>
          <w:color w:val="222222"/>
          <w:lang w:eastAsia="en-GB"/>
        </w:rPr>
        <w:t xml:space="preserve"> questions housed on</w:t>
      </w:r>
      <w:r>
        <w:rPr>
          <w:rFonts w:eastAsia="Times New Roman" w:cstheme="minorHAnsi"/>
          <w:color w:val="222222"/>
          <w:lang w:eastAsia="en-GB"/>
        </w:rPr>
        <w:t xml:space="preserve"> the crowdsourcing platform</w:t>
      </w:r>
      <w:r w:rsidR="00BA6F83">
        <w:rPr>
          <w:rFonts w:eastAsia="Times New Roman" w:cstheme="minorHAnsi"/>
          <w:color w:val="222222"/>
          <w:lang w:eastAsia="en-GB"/>
        </w:rPr>
        <w:t>,</w:t>
      </w:r>
      <w:r>
        <w:rPr>
          <w:rFonts w:eastAsia="Times New Roman" w:cstheme="minorHAnsi"/>
          <w:color w:val="222222"/>
          <w:lang w:eastAsia="en-GB"/>
        </w:rPr>
        <w:t xml:space="preserve"> </w:t>
      </w:r>
      <w:r w:rsidR="00BA6F83">
        <w:rPr>
          <w:rFonts w:eastAsia="Times New Roman" w:cstheme="minorHAnsi"/>
          <w:color w:val="222222"/>
          <w:lang w:eastAsia="en-GB"/>
        </w:rPr>
        <w:t xml:space="preserve">accessible </w:t>
      </w:r>
      <w:r w:rsidR="00DA1724">
        <w:rPr>
          <w:rFonts w:eastAsia="Times New Roman" w:cstheme="minorHAnsi"/>
          <w:color w:val="222222"/>
          <w:lang w:eastAsia="en-GB"/>
        </w:rPr>
        <w:t>via</w:t>
      </w:r>
      <w:r>
        <w:rPr>
          <w:rFonts w:eastAsia="Times New Roman" w:cstheme="minorHAnsi"/>
          <w:color w:val="222222"/>
          <w:lang w:eastAsia="en-GB"/>
        </w:rPr>
        <w:t xml:space="preserve"> </w:t>
      </w:r>
      <w:r w:rsidR="00283A0F">
        <w:rPr>
          <w:rFonts w:eastAsia="Times New Roman" w:cstheme="minorHAnsi"/>
          <w:color w:val="222222"/>
          <w:lang w:eastAsia="en-GB"/>
        </w:rPr>
        <w:t xml:space="preserve">Google Chrome browser. </w:t>
      </w:r>
      <w:r w:rsidR="00AA5404">
        <w:rPr>
          <w:rFonts w:eastAsia="Times New Roman" w:cstheme="minorHAnsi"/>
          <w:color w:val="222222"/>
          <w:lang w:eastAsia="en-GB"/>
        </w:rPr>
        <w:t>Data</w:t>
      </w:r>
      <w:r w:rsidR="008031A9">
        <w:rPr>
          <w:rFonts w:eastAsia="Times New Roman" w:cstheme="minorHAnsi"/>
          <w:color w:val="222222"/>
          <w:lang w:eastAsia="en-GB"/>
        </w:rPr>
        <w:t xml:space="preserve"> analysis was performed</w:t>
      </w:r>
      <w:r w:rsidR="00AA5404">
        <w:rPr>
          <w:rFonts w:eastAsia="Times New Roman" w:cstheme="minorHAnsi"/>
          <w:color w:val="222222"/>
          <w:lang w:eastAsia="en-GB"/>
        </w:rPr>
        <w:t xml:space="preserve"> blinded</w:t>
      </w:r>
      <w:r w:rsidR="008031A9">
        <w:rPr>
          <w:rFonts w:eastAsia="Times New Roman" w:cstheme="minorHAnsi"/>
          <w:color w:val="222222"/>
          <w:lang w:eastAsia="en-GB"/>
        </w:rPr>
        <w:t xml:space="preserve"> </w:t>
      </w:r>
      <w:r w:rsidR="008C07ED">
        <w:rPr>
          <w:rFonts w:eastAsia="Times New Roman" w:cstheme="minorHAnsi"/>
          <w:color w:val="222222"/>
          <w:lang w:eastAsia="en-GB"/>
        </w:rPr>
        <w:t>to the respondents</w:t>
      </w:r>
      <w:r w:rsidR="00FF4DC1">
        <w:rPr>
          <w:rFonts w:eastAsia="Times New Roman" w:cstheme="minorHAnsi"/>
          <w:color w:val="222222"/>
          <w:lang w:eastAsia="en-GB"/>
        </w:rPr>
        <w:t>’</w:t>
      </w:r>
      <w:r w:rsidR="008C07ED">
        <w:rPr>
          <w:rFonts w:eastAsia="Times New Roman" w:cstheme="minorHAnsi"/>
          <w:color w:val="222222"/>
          <w:lang w:eastAsia="en-GB"/>
        </w:rPr>
        <w:t xml:space="preserve"> demographics</w:t>
      </w:r>
      <w:r w:rsidR="00E7411B">
        <w:rPr>
          <w:rFonts w:eastAsia="Times New Roman" w:cstheme="minorHAnsi"/>
          <w:color w:val="222222"/>
          <w:lang w:eastAsia="en-GB"/>
        </w:rPr>
        <w:t>.</w:t>
      </w:r>
      <w:r w:rsidR="0022165C">
        <w:rPr>
          <w:rFonts w:eastAsia="Times New Roman" w:cstheme="minorHAnsi"/>
          <w:color w:val="222222"/>
          <w:lang w:eastAsia="en-GB"/>
        </w:rPr>
        <w:t xml:space="preserve"> </w:t>
      </w:r>
      <w:r w:rsidR="00E7411B">
        <w:rPr>
          <w:rFonts w:eastAsia="Times New Roman" w:cstheme="minorHAnsi"/>
          <w:color w:val="222222"/>
          <w:lang w:eastAsia="en-GB"/>
        </w:rPr>
        <w:t>Questions</w:t>
      </w:r>
      <w:r w:rsidR="003C5245">
        <w:rPr>
          <w:rFonts w:eastAsia="Times New Roman" w:cstheme="minorHAnsi"/>
          <w:color w:val="222222"/>
          <w:lang w:eastAsia="en-GB"/>
        </w:rPr>
        <w:t xml:space="preserve"> were</w:t>
      </w:r>
      <w:r w:rsidR="008031A9">
        <w:rPr>
          <w:rFonts w:eastAsia="Times New Roman" w:cstheme="minorHAnsi"/>
          <w:color w:val="222222"/>
          <w:lang w:eastAsia="en-GB"/>
        </w:rPr>
        <w:t xml:space="preserve"> </w:t>
      </w:r>
      <w:r w:rsidR="00FF4DC1">
        <w:rPr>
          <w:rFonts w:eastAsia="Times New Roman" w:cstheme="minorHAnsi"/>
          <w:color w:val="222222"/>
          <w:lang w:eastAsia="en-GB"/>
        </w:rPr>
        <w:t>of three types:</w:t>
      </w:r>
      <w:r w:rsidR="008031A9">
        <w:rPr>
          <w:rFonts w:eastAsia="Times New Roman" w:cstheme="minorHAnsi"/>
          <w:color w:val="222222"/>
          <w:lang w:eastAsia="en-GB"/>
        </w:rPr>
        <w:t xml:space="preserve"> </w:t>
      </w:r>
    </w:p>
    <w:p w14:paraId="13C72F25" w14:textId="15C0B72A" w:rsidR="00AB2A71" w:rsidRDefault="00AB2A71" w:rsidP="00B67081">
      <w:pPr>
        <w:pStyle w:val="ListParagraph"/>
        <w:numPr>
          <w:ilvl w:val="0"/>
          <w:numId w:val="10"/>
        </w:num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Radio buttons or drop down </w:t>
      </w:r>
      <w:r w:rsidR="000E5E3E">
        <w:rPr>
          <w:rFonts w:eastAsia="Times New Roman" w:cstheme="minorHAnsi"/>
          <w:color w:val="222222"/>
          <w:lang w:eastAsia="en-GB"/>
        </w:rPr>
        <w:t xml:space="preserve">for single </w:t>
      </w:r>
      <w:r w:rsidR="006D6798">
        <w:rPr>
          <w:rFonts w:eastAsia="Times New Roman" w:cstheme="minorHAnsi"/>
          <w:color w:val="222222"/>
          <w:lang w:eastAsia="en-GB"/>
        </w:rPr>
        <w:t>option</w:t>
      </w:r>
      <w:r w:rsidR="000E5E3E">
        <w:rPr>
          <w:rFonts w:eastAsia="Times New Roman" w:cstheme="minorHAnsi"/>
          <w:color w:val="222222"/>
          <w:lang w:eastAsia="en-GB"/>
        </w:rPr>
        <w:t xml:space="preserve"> questions</w:t>
      </w:r>
    </w:p>
    <w:p w14:paraId="433307CF" w14:textId="668814AF" w:rsidR="00AB2A71" w:rsidRDefault="00AB2A71" w:rsidP="00B67081">
      <w:pPr>
        <w:pStyle w:val="ListParagraph"/>
        <w:numPr>
          <w:ilvl w:val="0"/>
          <w:numId w:val="10"/>
        </w:num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Multiple choice checkboxes </w:t>
      </w:r>
      <w:r w:rsidR="000E5E3E">
        <w:rPr>
          <w:rFonts w:eastAsia="Times New Roman" w:cstheme="minorHAnsi"/>
          <w:color w:val="222222"/>
          <w:lang w:eastAsia="en-GB"/>
        </w:rPr>
        <w:t>for multi-select</w:t>
      </w:r>
      <w:r w:rsidR="00C942B7">
        <w:rPr>
          <w:rFonts w:eastAsia="Times New Roman" w:cstheme="minorHAnsi"/>
          <w:color w:val="222222"/>
          <w:lang w:eastAsia="en-GB"/>
        </w:rPr>
        <w:t>ion</w:t>
      </w:r>
      <w:r w:rsidR="000E5E3E">
        <w:rPr>
          <w:rFonts w:eastAsia="Times New Roman" w:cstheme="minorHAnsi"/>
          <w:color w:val="222222"/>
          <w:lang w:eastAsia="en-GB"/>
        </w:rPr>
        <w:t xml:space="preserve"> questions</w:t>
      </w:r>
    </w:p>
    <w:p w14:paraId="5EFB18A9" w14:textId="0D8E7517" w:rsidR="00AB2A71" w:rsidRPr="00444F34" w:rsidRDefault="00AB2A71" w:rsidP="00B67081">
      <w:pPr>
        <w:pStyle w:val="ListParagraph"/>
        <w:numPr>
          <w:ilvl w:val="0"/>
          <w:numId w:val="10"/>
        </w:num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Free form</w:t>
      </w:r>
      <w:r w:rsidR="000E5E3E">
        <w:rPr>
          <w:rFonts w:eastAsia="Times New Roman" w:cstheme="minorHAnsi"/>
          <w:color w:val="222222"/>
          <w:lang w:eastAsia="en-GB"/>
        </w:rPr>
        <w:t>, where the respondent</w:t>
      </w:r>
      <w:r w:rsidR="00C942B7">
        <w:rPr>
          <w:rFonts w:eastAsia="Times New Roman" w:cstheme="minorHAnsi"/>
          <w:color w:val="222222"/>
          <w:lang w:eastAsia="en-GB"/>
        </w:rPr>
        <w:t>s</w:t>
      </w:r>
      <w:r w:rsidR="000E5E3E">
        <w:rPr>
          <w:rFonts w:eastAsia="Times New Roman" w:cstheme="minorHAnsi"/>
          <w:color w:val="222222"/>
          <w:lang w:eastAsia="en-GB"/>
        </w:rPr>
        <w:t xml:space="preserve"> could type their answer.</w:t>
      </w:r>
    </w:p>
    <w:p w14:paraId="65A43F01" w14:textId="4D7E9BC2" w:rsidR="008031A9" w:rsidRDefault="008031A9" w:rsidP="00B67081">
      <w:p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 </w:t>
      </w:r>
    </w:p>
    <w:p w14:paraId="0D2A50D3" w14:textId="4B330603" w:rsidR="00AB2A71" w:rsidRDefault="00AB2A71" w:rsidP="00B67081">
      <w:p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For free form questions, all answers were </w:t>
      </w:r>
      <w:r w:rsidR="001F6041">
        <w:rPr>
          <w:rFonts w:eastAsia="Times New Roman" w:cstheme="minorHAnsi"/>
          <w:color w:val="222222"/>
          <w:lang w:eastAsia="en-GB"/>
        </w:rPr>
        <w:t xml:space="preserve">combined </w:t>
      </w:r>
      <w:r>
        <w:rPr>
          <w:rFonts w:eastAsia="Times New Roman" w:cstheme="minorHAnsi"/>
          <w:color w:val="222222"/>
          <w:lang w:eastAsia="en-GB"/>
        </w:rPr>
        <w:t xml:space="preserve">into one for simultaneous review without statistical analysis. </w:t>
      </w:r>
      <w:r w:rsidR="000E5E3E">
        <w:rPr>
          <w:rFonts w:eastAsia="Times New Roman" w:cstheme="minorHAnsi"/>
          <w:color w:val="222222"/>
          <w:lang w:eastAsia="en-GB"/>
        </w:rPr>
        <w:t xml:space="preserve">These were therefore analysed manually. </w:t>
      </w:r>
      <w:r>
        <w:rPr>
          <w:rFonts w:eastAsia="Times New Roman" w:cstheme="minorHAnsi"/>
          <w:color w:val="222222"/>
          <w:lang w:eastAsia="en-GB"/>
        </w:rPr>
        <w:t xml:space="preserve">For the remaining two types of </w:t>
      </w:r>
      <w:r>
        <w:rPr>
          <w:rFonts w:eastAsia="Times New Roman" w:cstheme="minorHAnsi"/>
          <w:color w:val="222222"/>
          <w:lang w:eastAsia="en-GB"/>
        </w:rPr>
        <w:lastRenderedPageBreak/>
        <w:t>question</w:t>
      </w:r>
      <w:r w:rsidR="001F6041">
        <w:rPr>
          <w:rFonts w:eastAsia="Times New Roman" w:cstheme="minorHAnsi"/>
          <w:color w:val="222222"/>
          <w:lang w:eastAsia="en-GB"/>
        </w:rPr>
        <w:t>s</w:t>
      </w:r>
      <w:r>
        <w:rPr>
          <w:rFonts w:eastAsia="Times New Roman" w:cstheme="minorHAnsi"/>
          <w:color w:val="222222"/>
          <w:lang w:eastAsia="en-GB"/>
        </w:rPr>
        <w:t xml:space="preserve">, the server computed the top voted answer, frequency of </w:t>
      </w:r>
      <w:r w:rsidR="00E53062">
        <w:rPr>
          <w:rFonts w:eastAsia="Times New Roman" w:cstheme="minorHAnsi"/>
          <w:color w:val="222222"/>
          <w:lang w:eastAsia="en-GB"/>
        </w:rPr>
        <w:t xml:space="preserve">each </w:t>
      </w:r>
      <w:r>
        <w:rPr>
          <w:rFonts w:eastAsia="Times New Roman" w:cstheme="minorHAnsi"/>
          <w:color w:val="222222"/>
          <w:lang w:eastAsia="en-GB"/>
        </w:rPr>
        <w:t xml:space="preserve">chosen solution and if the answer </w:t>
      </w:r>
      <w:r w:rsidR="00C073AA">
        <w:rPr>
          <w:rFonts w:eastAsia="Times New Roman" w:cstheme="minorHAnsi"/>
          <w:color w:val="222222"/>
          <w:lang w:eastAsia="en-GB"/>
        </w:rPr>
        <w:t>was</w:t>
      </w:r>
      <w:r>
        <w:rPr>
          <w:rFonts w:eastAsia="Times New Roman" w:cstheme="minorHAnsi"/>
          <w:color w:val="222222"/>
          <w:lang w:eastAsia="en-GB"/>
        </w:rPr>
        <w:t xml:space="preserve"> a number, it computed: count, mean, </w:t>
      </w:r>
      <w:r w:rsidR="00190297">
        <w:rPr>
          <w:rFonts w:eastAsia="Times New Roman" w:cstheme="minorHAnsi"/>
          <w:color w:val="222222"/>
          <w:lang w:eastAsia="en-GB"/>
        </w:rPr>
        <w:t>standard deviation (SD)</w:t>
      </w:r>
      <w:r>
        <w:rPr>
          <w:rFonts w:eastAsia="Times New Roman" w:cstheme="minorHAnsi"/>
          <w:color w:val="222222"/>
          <w:lang w:eastAsia="en-GB"/>
        </w:rPr>
        <w:t xml:space="preserve">, min, 25%, 50%, 75% and max. </w:t>
      </w:r>
    </w:p>
    <w:p w14:paraId="32949440" w14:textId="77777777" w:rsidR="00174F3C" w:rsidRDefault="00174F3C" w:rsidP="00B67081">
      <w:pPr>
        <w:shd w:val="clear" w:color="auto" w:fill="FFFFFF"/>
        <w:spacing w:after="0" w:line="480" w:lineRule="auto"/>
        <w:rPr>
          <w:rFonts w:eastAsia="Times New Roman" w:cstheme="minorHAnsi"/>
          <w:color w:val="222222"/>
          <w:lang w:eastAsia="en-GB"/>
        </w:rPr>
      </w:pPr>
    </w:p>
    <w:p w14:paraId="14E883BE" w14:textId="0908189F" w:rsidR="004F5FC9" w:rsidRDefault="004F5FC9" w:rsidP="00B67081">
      <w:pPr>
        <w:shd w:val="clear" w:color="auto" w:fill="FFFFFF"/>
        <w:spacing w:after="0" w:line="480" w:lineRule="auto"/>
        <w:rPr>
          <w:rFonts w:eastAsia="Times New Roman" w:cstheme="minorHAnsi"/>
          <w:color w:val="222222"/>
          <w:lang w:eastAsia="en-GB"/>
        </w:rPr>
      </w:pPr>
      <w:r>
        <w:rPr>
          <w:rFonts w:eastAsia="Times New Roman" w:cstheme="minorHAnsi"/>
          <w:color w:val="222222"/>
          <w:lang w:eastAsia="en-GB"/>
        </w:rPr>
        <w:t xml:space="preserve">To see the questions, see </w:t>
      </w:r>
      <w:r w:rsidRPr="00290D4E">
        <w:rPr>
          <w:rFonts w:eastAsia="Times New Roman" w:cstheme="minorHAnsi"/>
          <w:b/>
          <w:bCs/>
          <w:color w:val="222222"/>
          <w:lang w:eastAsia="en-GB"/>
        </w:rPr>
        <w:t>supplementary materials</w:t>
      </w:r>
      <w:r w:rsidR="009B5C7A">
        <w:rPr>
          <w:rFonts w:eastAsia="Times New Roman" w:cstheme="minorHAnsi"/>
          <w:b/>
          <w:bCs/>
          <w:color w:val="222222"/>
          <w:lang w:eastAsia="en-GB"/>
        </w:rPr>
        <w:t>, S</w:t>
      </w:r>
      <w:r w:rsidR="009D6221">
        <w:rPr>
          <w:rFonts w:eastAsia="Times New Roman" w:cstheme="minorHAnsi"/>
          <w:b/>
          <w:bCs/>
          <w:color w:val="222222"/>
          <w:lang w:eastAsia="en-GB"/>
        </w:rPr>
        <w:t>2</w:t>
      </w:r>
      <w:r>
        <w:rPr>
          <w:rFonts w:eastAsia="Times New Roman" w:cstheme="minorHAnsi"/>
          <w:color w:val="222222"/>
          <w:lang w:eastAsia="en-GB"/>
        </w:rPr>
        <w:t>.</w:t>
      </w:r>
    </w:p>
    <w:p w14:paraId="16A5362D" w14:textId="77777777" w:rsidR="00174F3C" w:rsidRPr="002579CC" w:rsidRDefault="00174F3C" w:rsidP="00B67081">
      <w:pPr>
        <w:shd w:val="clear" w:color="auto" w:fill="FFFFFF"/>
        <w:spacing w:after="0" w:line="480" w:lineRule="auto"/>
        <w:rPr>
          <w:rFonts w:eastAsia="Times New Roman" w:cstheme="minorHAnsi"/>
          <w:color w:val="222222"/>
          <w:lang w:eastAsia="en-GB"/>
        </w:rPr>
      </w:pPr>
    </w:p>
    <w:p w14:paraId="28A79AC6" w14:textId="0CF26381" w:rsidR="00C073AA" w:rsidRPr="00873534" w:rsidRDefault="00C073AA" w:rsidP="00B67081">
      <w:pPr>
        <w:pStyle w:val="ip"/>
        <w:shd w:val="clear" w:color="auto" w:fill="FFFFFF"/>
        <w:spacing w:before="0" w:beforeAutospacing="0" w:after="0" w:afterAutospacing="0" w:line="480" w:lineRule="auto"/>
        <w:rPr>
          <w:rFonts w:asciiTheme="minorHAnsi" w:hAnsiTheme="minorHAnsi" w:cstheme="minorHAnsi"/>
          <w:spacing w:val="-1"/>
          <w:sz w:val="22"/>
          <w:szCs w:val="22"/>
        </w:rPr>
      </w:pPr>
      <w:r w:rsidRPr="00873534">
        <w:rPr>
          <w:rFonts w:asciiTheme="minorHAnsi" w:hAnsiTheme="minorHAnsi" w:cstheme="minorHAnsi"/>
          <w:spacing w:val="-1"/>
          <w:sz w:val="22"/>
          <w:szCs w:val="22"/>
        </w:rPr>
        <w:t xml:space="preserve">Features from the </w:t>
      </w:r>
      <w:proofErr w:type="spellStart"/>
      <w:r w:rsidR="003B4852" w:rsidRPr="00873534">
        <w:rPr>
          <w:rFonts w:asciiTheme="minorHAnsi" w:hAnsiTheme="minorHAnsi" w:cstheme="minorHAnsi"/>
          <w:sz w:val="22"/>
          <w:szCs w:val="22"/>
          <w:shd w:val="clear" w:color="auto" w:fill="FFFFFF"/>
        </w:rPr>
        <w:t>HyperText</w:t>
      </w:r>
      <w:proofErr w:type="spellEnd"/>
      <w:r w:rsidR="003B4852" w:rsidRPr="00873534">
        <w:rPr>
          <w:rFonts w:asciiTheme="minorHAnsi" w:hAnsiTheme="minorHAnsi" w:cstheme="minorHAnsi"/>
          <w:sz w:val="22"/>
          <w:szCs w:val="22"/>
          <w:shd w:val="clear" w:color="auto" w:fill="FFFFFF"/>
        </w:rPr>
        <w:t xml:space="preserve"> Markup Language</w:t>
      </w:r>
      <w:r w:rsidR="003B4852" w:rsidRPr="00873534">
        <w:rPr>
          <w:rFonts w:asciiTheme="minorHAnsi" w:hAnsiTheme="minorHAnsi" w:cstheme="minorHAnsi"/>
          <w:spacing w:val="-1"/>
          <w:sz w:val="22"/>
          <w:szCs w:val="22"/>
        </w:rPr>
        <w:t xml:space="preserve"> (</w:t>
      </w:r>
      <w:r w:rsidRPr="00873534">
        <w:rPr>
          <w:rFonts w:asciiTheme="minorHAnsi" w:hAnsiTheme="minorHAnsi" w:cstheme="minorHAnsi"/>
          <w:spacing w:val="-1"/>
          <w:sz w:val="22"/>
          <w:szCs w:val="22"/>
        </w:rPr>
        <w:t>HTML</w:t>
      </w:r>
      <w:r w:rsidR="003B4852" w:rsidRPr="00873534">
        <w:rPr>
          <w:rFonts w:asciiTheme="minorHAnsi" w:hAnsiTheme="minorHAnsi" w:cstheme="minorHAnsi"/>
          <w:spacing w:val="-1"/>
          <w:sz w:val="22"/>
          <w:szCs w:val="22"/>
        </w:rPr>
        <w:t>)</w:t>
      </w:r>
      <w:r w:rsidRPr="00873534">
        <w:rPr>
          <w:rFonts w:asciiTheme="minorHAnsi" w:hAnsiTheme="minorHAnsi" w:cstheme="minorHAnsi"/>
          <w:spacing w:val="-1"/>
          <w:sz w:val="22"/>
          <w:szCs w:val="22"/>
        </w:rPr>
        <w:t xml:space="preserve"> source</w:t>
      </w:r>
      <w:r w:rsidR="007856A4" w:rsidRPr="00873534">
        <w:rPr>
          <w:rFonts w:asciiTheme="minorHAnsi" w:hAnsiTheme="minorHAnsi" w:cstheme="minorHAnsi"/>
          <w:spacing w:val="-1"/>
          <w:sz w:val="22"/>
          <w:szCs w:val="22"/>
        </w:rPr>
        <w:t>,</w:t>
      </w:r>
      <w:r w:rsidRPr="00873534">
        <w:rPr>
          <w:rFonts w:asciiTheme="minorHAnsi" w:hAnsiTheme="minorHAnsi" w:cstheme="minorHAnsi"/>
          <w:spacing w:val="-1"/>
          <w:sz w:val="22"/>
          <w:szCs w:val="22"/>
        </w:rPr>
        <w:t xml:space="preserve"> as well as other raw data attributes</w:t>
      </w:r>
      <w:r w:rsidR="00B4337E" w:rsidRPr="00873534">
        <w:rPr>
          <w:rFonts w:asciiTheme="minorHAnsi" w:hAnsiTheme="minorHAnsi" w:cstheme="minorHAnsi"/>
          <w:spacing w:val="-1"/>
          <w:sz w:val="22"/>
          <w:szCs w:val="22"/>
        </w:rPr>
        <w:t>,</w:t>
      </w:r>
      <w:r w:rsidRPr="00873534">
        <w:rPr>
          <w:rFonts w:asciiTheme="minorHAnsi" w:hAnsiTheme="minorHAnsi" w:cstheme="minorHAnsi"/>
          <w:spacing w:val="-1"/>
          <w:sz w:val="22"/>
          <w:szCs w:val="22"/>
        </w:rPr>
        <w:t xml:space="preserve"> were extracted to perform quantitative analyses on the responses.</w:t>
      </w:r>
    </w:p>
    <w:p w14:paraId="43E38D16" w14:textId="366C92AE" w:rsidR="000E5E3E" w:rsidRPr="00873534" w:rsidRDefault="000E5E3E" w:rsidP="00B67081">
      <w:pPr>
        <w:pStyle w:val="ip"/>
        <w:shd w:val="clear" w:color="auto" w:fill="FFFFFF"/>
        <w:spacing w:before="0" w:beforeAutospacing="0" w:after="0" w:afterAutospacing="0" w:line="480" w:lineRule="auto"/>
        <w:rPr>
          <w:rFonts w:asciiTheme="minorHAnsi" w:hAnsiTheme="minorHAnsi" w:cstheme="minorHAnsi"/>
          <w:spacing w:val="-1"/>
          <w:sz w:val="22"/>
          <w:szCs w:val="22"/>
        </w:rPr>
      </w:pPr>
      <w:r w:rsidRPr="00873534">
        <w:rPr>
          <w:rFonts w:asciiTheme="minorHAnsi" w:hAnsiTheme="minorHAnsi" w:cstheme="minorHAnsi"/>
          <w:spacing w:val="-1"/>
          <w:sz w:val="22"/>
          <w:szCs w:val="22"/>
        </w:rPr>
        <w:t>In line with general accepted practice, a threshold of 7</w:t>
      </w:r>
      <w:r w:rsidR="00C9390E" w:rsidRPr="00873534">
        <w:rPr>
          <w:rFonts w:asciiTheme="minorHAnsi" w:hAnsiTheme="minorHAnsi" w:cstheme="minorHAnsi"/>
          <w:spacing w:val="-1"/>
          <w:sz w:val="22"/>
          <w:szCs w:val="22"/>
        </w:rPr>
        <w:t>5</w:t>
      </w:r>
      <w:r w:rsidRPr="00873534">
        <w:rPr>
          <w:rFonts w:asciiTheme="minorHAnsi" w:hAnsiTheme="minorHAnsi" w:cstheme="minorHAnsi"/>
          <w:spacing w:val="-1"/>
          <w:sz w:val="22"/>
          <w:szCs w:val="22"/>
        </w:rPr>
        <w:t xml:space="preserve">% was defined as consensus on all single </w:t>
      </w:r>
      <w:r w:rsidR="00B460E7" w:rsidRPr="00873534">
        <w:rPr>
          <w:rFonts w:asciiTheme="minorHAnsi" w:hAnsiTheme="minorHAnsi" w:cstheme="minorHAnsi"/>
          <w:spacing w:val="-1"/>
          <w:sz w:val="22"/>
          <w:szCs w:val="22"/>
        </w:rPr>
        <w:t xml:space="preserve">option </w:t>
      </w:r>
      <w:r w:rsidRPr="00873534">
        <w:rPr>
          <w:rFonts w:asciiTheme="minorHAnsi" w:hAnsiTheme="minorHAnsi" w:cstheme="minorHAnsi"/>
          <w:spacing w:val="-1"/>
          <w:sz w:val="22"/>
          <w:szCs w:val="22"/>
        </w:rPr>
        <w:t>questions.</w:t>
      </w:r>
      <w:r w:rsidR="00897EF6">
        <w:rPr>
          <w:rFonts w:asciiTheme="minorHAnsi" w:hAnsiTheme="minorHAnsi" w:cstheme="minorHAnsi"/>
          <w:spacing w:val="-1"/>
          <w:sz w:val="22"/>
          <w:szCs w:val="22"/>
          <w:vertAlign w:val="superscript"/>
        </w:rPr>
        <w:t>1</w:t>
      </w:r>
      <w:r w:rsidR="0031581E">
        <w:rPr>
          <w:rFonts w:asciiTheme="minorHAnsi" w:hAnsiTheme="minorHAnsi" w:cstheme="minorHAnsi"/>
          <w:spacing w:val="-1"/>
          <w:sz w:val="22"/>
          <w:szCs w:val="22"/>
          <w:vertAlign w:val="superscript"/>
        </w:rPr>
        <w:t>3</w:t>
      </w:r>
    </w:p>
    <w:p w14:paraId="484CC7B0" w14:textId="32576257" w:rsidR="00CA3271" w:rsidRDefault="00CA3271" w:rsidP="00B67081">
      <w:pPr>
        <w:spacing w:after="0" w:line="480" w:lineRule="auto"/>
        <w:rPr>
          <w:rFonts w:eastAsia="Times New Roman" w:cstheme="minorHAnsi"/>
          <w:color w:val="292929"/>
          <w:spacing w:val="-1"/>
          <w:lang w:eastAsia="en-GB"/>
        </w:rPr>
      </w:pPr>
    </w:p>
    <w:p w14:paraId="3E9A29F5" w14:textId="7B72228D" w:rsidR="00F5702D" w:rsidRPr="00B67081" w:rsidRDefault="008B32B0" w:rsidP="00B67081">
      <w:pPr>
        <w:spacing w:after="0" w:line="480" w:lineRule="auto"/>
        <w:rPr>
          <w:b/>
          <w:bCs/>
        </w:rPr>
      </w:pPr>
      <w:r>
        <w:rPr>
          <w:b/>
          <w:bCs/>
        </w:rPr>
        <w:t xml:space="preserve">3.0 </w:t>
      </w:r>
      <w:r w:rsidR="00F5702D" w:rsidRPr="00B67081">
        <w:rPr>
          <w:b/>
          <w:bCs/>
        </w:rPr>
        <w:t>Results</w:t>
      </w:r>
    </w:p>
    <w:p w14:paraId="3B486895" w14:textId="2D7BF0E8" w:rsidR="00F5702D" w:rsidRPr="00A45532" w:rsidRDefault="008B32B0" w:rsidP="00B67081">
      <w:pPr>
        <w:spacing w:after="0" w:line="480" w:lineRule="auto"/>
        <w:rPr>
          <w:b/>
          <w:bCs/>
        </w:rPr>
      </w:pPr>
      <w:r>
        <w:rPr>
          <w:b/>
          <w:bCs/>
        </w:rPr>
        <w:t xml:space="preserve">3.1 </w:t>
      </w:r>
      <w:r w:rsidR="00F5702D" w:rsidRPr="00271F18">
        <w:rPr>
          <w:b/>
          <w:bCs/>
        </w:rPr>
        <w:t>Crowd demographics</w:t>
      </w:r>
    </w:p>
    <w:p w14:paraId="13ECD4EF" w14:textId="6FA0AE40" w:rsidR="00F5702D" w:rsidRDefault="00F5702D" w:rsidP="00B67081">
      <w:pPr>
        <w:spacing w:after="0" w:line="480" w:lineRule="auto"/>
        <w:rPr>
          <w:rFonts w:ascii="AdvOTb7819099" w:hAnsi="AdvOTb7819099" w:cs="AdvOTb7819099"/>
          <w:sz w:val="18"/>
          <w:szCs w:val="18"/>
        </w:rPr>
      </w:pPr>
      <w:r w:rsidRPr="00A45532">
        <w:rPr>
          <w:rFonts w:cstheme="minorHAnsi"/>
        </w:rPr>
        <w:t>A total of 840 individuals registered to participate in the program, 55</w:t>
      </w:r>
      <w:r w:rsidR="002707C7">
        <w:rPr>
          <w:rFonts w:cstheme="minorHAnsi"/>
        </w:rPr>
        <w:t>9</w:t>
      </w:r>
      <w:r w:rsidRPr="00A45532">
        <w:rPr>
          <w:rFonts w:cstheme="minorHAnsi"/>
        </w:rPr>
        <w:t xml:space="preserve"> of whom proceeded to complete the survey.</w:t>
      </w:r>
      <w:r w:rsidR="00A57106">
        <w:rPr>
          <w:rFonts w:cstheme="minorHAnsi"/>
        </w:rPr>
        <w:t xml:space="preserve"> Names and affiliations of all collaborators are listed in </w:t>
      </w:r>
      <w:r w:rsidR="00A57106" w:rsidRPr="00A57106">
        <w:rPr>
          <w:rFonts w:cstheme="minorHAnsi"/>
          <w:b/>
          <w:bCs/>
        </w:rPr>
        <w:t>Supplementary materials, S</w:t>
      </w:r>
      <w:r w:rsidR="009224F8">
        <w:rPr>
          <w:rFonts w:cstheme="minorHAnsi"/>
          <w:b/>
          <w:bCs/>
        </w:rPr>
        <w:t>3</w:t>
      </w:r>
      <w:r w:rsidR="00A57106">
        <w:rPr>
          <w:rFonts w:cstheme="minorHAnsi"/>
        </w:rPr>
        <w:t>.</w:t>
      </w:r>
      <w:r w:rsidRPr="00A45532">
        <w:rPr>
          <w:rFonts w:cstheme="minorHAnsi"/>
        </w:rPr>
        <w:t xml:space="preserve"> Among registrants, five were rejected for failure to fulfil the eligibility criteria. Completed surveys were submitted from individuals representing six geographical regions and from across 70 countries. Country representation varied (range 1</w:t>
      </w:r>
      <w:r w:rsidR="006C6605">
        <w:rPr>
          <w:rFonts w:cstheme="minorHAnsi"/>
        </w:rPr>
        <w:t>–</w:t>
      </w:r>
      <w:r w:rsidRPr="00A45532">
        <w:rPr>
          <w:rFonts w:cstheme="minorHAnsi"/>
        </w:rPr>
        <w:t xml:space="preserve">47; </w:t>
      </w:r>
      <w:r w:rsidR="00073FE7" w:rsidRPr="00B73E54">
        <w:rPr>
          <w:rFonts w:cstheme="minorHAnsi"/>
          <w:b/>
          <w:bCs/>
        </w:rPr>
        <w:t>S</w:t>
      </w:r>
      <w:r w:rsidRPr="00B73E54">
        <w:rPr>
          <w:rFonts w:cstheme="minorHAnsi"/>
          <w:b/>
          <w:bCs/>
        </w:rPr>
        <w:t>upplementary material</w:t>
      </w:r>
      <w:r w:rsidR="00B73E54" w:rsidRPr="00B73E54">
        <w:rPr>
          <w:rFonts w:cstheme="minorHAnsi"/>
          <w:b/>
          <w:bCs/>
        </w:rPr>
        <w:t>, S</w:t>
      </w:r>
      <w:r w:rsidR="009224F8">
        <w:rPr>
          <w:rFonts w:cstheme="minorHAnsi"/>
          <w:b/>
          <w:bCs/>
        </w:rPr>
        <w:t>4</w:t>
      </w:r>
      <w:r w:rsidRPr="005F46F8">
        <w:rPr>
          <w:rFonts w:cstheme="minorHAnsi"/>
        </w:rPr>
        <w:t>).</w:t>
      </w:r>
      <w:r w:rsidR="00190297">
        <w:rPr>
          <w:rFonts w:cstheme="minorHAnsi"/>
        </w:rPr>
        <w:t xml:space="preserve"> </w:t>
      </w:r>
      <w:r w:rsidRPr="00A45532">
        <w:rPr>
          <w:rFonts w:cstheme="minorHAnsi"/>
        </w:rPr>
        <w:t xml:space="preserve">The experience of respondents was measured by the number of </w:t>
      </w:r>
      <w:r w:rsidR="00A31345">
        <w:rPr>
          <w:rFonts w:cstheme="minorHAnsi"/>
        </w:rPr>
        <w:t xml:space="preserve">reported </w:t>
      </w:r>
      <w:r w:rsidRPr="00A45532">
        <w:rPr>
          <w:rFonts w:cstheme="minorHAnsi"/>
        </w:rPr>
        <w:t>ACS patients treat</w:t>
      </w:r>
      <w:r w:rsidR="00B86AC4">
        <w:rPr>
          <w:rFonts w:cstheme="minorHAnsi"/>
        </w:rPr>
        <w:t>ed/</w:t>
      </w:r>
      <w:r w:rsidRPr="00A45532">
        <w:rPr>
          <w:rFonts w:cstheme="minorHAnsi"/>
        </w:rPr>
        <w:t xml:space="preserve">year with 13% </w:t>
      </w:r>
      <w:r w:rsidR="00D26E79">
        <w:rPr>
          <w:rFonts w:cstheme="minorHAnsi"/>
        </w:rPr>
        <w:t xml:space="preserve">reporting </w:t>
      </w:r>
      <w:r w:rsidR="007A7D29">
        <w:rPr>
          <w:rFonts w:cstheme="minorHAnsi"/>
        </w:rPr>
        <w:t>&lt;</w:t>
      </w:r>
      <w:r w:rsidRPr="00A45532">
        <w:rPr>
          <w:rFonts w:cstheme="minorHAnsi"/>
        </w:rPr>
        <w:t>50, 34% 50</w:t>
      </w:r>
      <w:r w:rsidR="007A7D29">
        <w:rPr>
          <w:rFonts w:cstheme="minorHAnsi"/>
        </w:rPr>
        <w:t>–</w:t>
      </w:r>
      <w:r w:rsidRPr="00A45532">
        <w:rPr>
          <w:rFonts w:cstheme="minorHAnsi"/>
        </w:rPr>
        <w:t>200, 34% 200</w:t>
      </w:r>
      <w:r w:rsidR="007A7D29">
        <w:rPr>
          <w:rFonts w:cstheme="minorHAnsi"/>
        </w:rPr>
        <w:t>–</w:t>
      </w:r>
      <w:r w:rsidRPr="00A45532">
        <w:rPr>
          <w:rFonts w:cstheme="minorHAnsi"/>
        </w:rPr>
        <w:t xml:space="preserve">500 and 19% </w:t>
      </w:r>
      <w:r w:rsidR="007A7D29">
        <w:rPr>
          <w:rFonts w:cstheme="minorHAnsi"/>
        </w:rPr>
        <w:t>&gt;</w:t>
      </w:r>
      <w:r w:rsidRPr="00A45532">
        <w:rPr>
          <w:rFonts w:cstheme="minorHAnsi"/>
        </w:rPr>
        <w:t>500.</w:t>
      </w:r>
      <w:r w:rsidRPr="00271F18">
        <w:rPr>
          <w:rFonts w:cstheme="minorHAnsi"/>
        </w:rPr>
        <w:t xml:space="preserve"> </w:t>
      </w:r>
      <w:r w:rsidR="00705A10" w:rsidRPr="00D86AF8">
        <w:rPr>
          <w:rFonts w:cstheme="minorHAnsi"/>
        </w:rPr>
        <w:t xml:space="preserve">Among the individuals who completed the survey, 52% identified </w:t>
      </w:r>
      <w:r w:rsidR="00282995">
        <w:rPr>
          <w:rFonts w:cstheme="minorHAnsi"/>
        </w:rPr>
        <w:t xml:space="preserve">themselves </w:t>
      </w:r>
      <w:r w:rsidR="00705A10" w:rsidRPr="00D86AF8">
        <w:rPr>
          <w:rFonts w:cstheme="minorHAnsi"/>
        </w:rPr>
        <w:t xml:space="preserve">as </w:t>
      </w:r>
      <w:r w:rsidR="00705A10" w:rsidRPr="00271F18">
        <w:rPr>
          <w:rFonts w:cstheme="minorHAnsi"/>
        </w:rPr>
        <w:t>interventional cardiologist</w:t>
      </w:r>
      <w:r w:rsidR="00A3439B">
        <w:rPr>
          <w:rFonts w:cstheme="minorHAnsi"/>
        </w:rPr>
        <w:t>s</w:t>
      </w:r>
      <w:r w:rsidR="00705A10" w:rsidRPr="00271F18">
        <w:rPr>
          <w:rFonts w:cstheme="minorHAnsi"/>
        </w:rPr>
        <w:t>, 42% as general cardiologist</w:t>
      </w:r>
      <w:r w:rsidR="00A3439B">
        <w:rPr>
          <w:rFonts w:cstheme="minorHAnsi"/>
        </w:rPr>
        <w:t>s</w:t>
      </w:r>
      <w:r w:rsidR="00705A10" w:rsidRPr="00271F18">
        <w:rPr>
          <w:rFonts w:cstheme="minorHAnsi"/>
        </w:rPr>
        <w:t>, 3% as other prescriber and 3% as ‘</w:t>
      </w:r>
      <w:r w:rsidR="00705A10">
        <w:rPr>
          <w:rFonts w:cstheme="minorHAnsi"/>
        </w:rPr>
        <w:t>O</w:t>
      </w:r>
      <w:r w:rsidR="00705A10" w:rsidRPr="00271F18">
        <w:rPr>
          <w:rFonts w:cstheme="minorHAnsi"/>
        </w:rPr>
        <w:t>ther’</w:t>
      </w:r>
      <w:r w:rsidR="00705A10">
        <w:rPr>
          <w:rFonts w:cstheme="minorHAnsi"/>
        </w:rPr>
        <w:t xml:space="preserve"> (catheter laboratory director, CCU cardiologist, general physician/doctor, head of cardiac and vascular surgery, intensive care specialist)</w:t>
      </w:r>
      <w:r w:rsidR="00F45D3B">
        <w:rPr>
          <w:rFonts w:cstheme="minorHAnsi"/>
        </w:rPr>
        <w:t>;</w:t>
      </w:r>
      <w:r w:rsidR="00705A10" w:rsidRPr="00271F18">
        <w:rPr>
          <w:rFonts w:cstheme="minorHAnsi"/>
        </w:rPr>
        <w:t xml:space="preserve"> </w:t>
      </w:r>
      <w:r w:rsidR="00705A10" w:rsidRPr="00D86AF8">
        <w:rPr>
          <w:rFonts w:cs="Calibri"/>
          <w:iCs/>
        </w:rPr>
        <w:t xml:space="preserve">64% of responders </w:t>
      </w:r>
      <w:r w:rsidR="00A3439B">
        <w:rPr>
          <w:rFonts w:cs="Calibri"/>
          <w:iCs/>
        </w:rPr>
        <w:t>reported</w:t>
      </w:r>
      <w:r w:rsidR="00A3439B" w:rsidRPr="00D86AF8">
        <w:rPr>
          <w:rFonts w:cs="Calibri"/>
          <w:iCs/>
        </w:rPr>
        <w:t xml:space="preserve"> </w:t>
      </w:r>
      <w:r w:rsidR="00705A10" w:rsidRPr="00D86AF8">
        <w:rPr>
          <w:rFonts w:cs="Calibri"/>
          <w:iCs/>
        </w:rPr>
        <w:t>more than 10 years’ experience in practice and 59% work</w:t>
      </w:r>
      <w:r w:rsidR="00F71869">
        <w:rPr>
          <w:rFonts w:cs="Calibri"/>
          <w:iCs/>
        </w:rPr>
        <w:t>ing</w:t>
      </w:r>
      <w:r w:rsidR="00705A10" w:rsidRPr="00D86AF8">
        <w:rPr>
          <w:rFonts w:cs="Calibri"/>
          <w:iCs/>
        </w:rPr>
        <w:t xml:space="preserve"> in a </w:t>
      </w:r>
      <w:r w:rsidR="00192C18">
        <w:rPr>
          <w:rFonts w:cs="Calibri"/>
          <w:iCs/>
        </w:rPr>
        <w:t>u</w:t>
      </w:r>
      <w:r w:rsidR="00192C18" w:rsidRPr="00D86AF8">
        <w:rPr>
          <w:rFonts w:cs="Calibri"/>
          <w:iCs/>
        </w:rPr>
        <w:t>niversity</w:t>
      </w:r>
      <w:r w:rsidR="00705A10" w:rsidRPr="00D86AF8">
        <w:rPr>
          <w:rFonts w:cs="Calibri"/>
          <w:iCs/>
        </w:rPr>
        <w:t>/teaching hospital</w:t>
      </w:r>
      <w:r w:rsidR="00A02528">
        <w:rPr>
          <w:rFonts w:cs="Calibri"/>
          <w:iCs/>
        </w:rPr>
        <w:t xml:space="preserve"> (</w:t>
      </w:r>
      <w:r w:rsidR="00A02528" w:rsidRPr="00A57106">
        <w:rPr>
          <w:rFonts w:cstheme="minorHAnsi"/>
          <w:b/>
          <w:bCs/>
        </w:rPr>
        <w:t>Supplementary materials, S</w:t>
      </w:r>
      <w:r w:rsidR="00166748">
        <w:rPr>
          <w:rFonts w:cstheme="minorHAnsi"/>
          <w:b/>
          <w:bCs/>
        </w:rPr>
        <w:t>5</w:t>
      </w:r>
      <w:r w:rsidR="00166748" w:rsidRPr="00166748">
        <w:rPr>
          <w:rFonts w:cstheme="minorHAnsi"/>
        </w:rPr>
        <w:t>)</w:t>
      </w:r>
      <w:r w:rsidR="00705A10" w:rsidRPr="00D86AF8">
        <w:rPr>
          <w:rFonts w:cs="Calibri"/>
          <w:iCs/>
        </w:rPr>
        <w:t xml:space="preserve">. </w:t>
      </w:r>
      <w:r w:rsidRPr="00271F18">
        <w:rPr>
          <w:rFonts w:cstheme="minorHAnsi"/>
        </w:rPr>
        <w:t xml:space="preserve">All </w:t>
      </w:r>
      <w:r w:rsidR="00C94C7C">
        <w:rPr>
          <w:rFonts w:cstheme="minorHAnsi"/>
        </w:rPr>
        <w:t>respondents</w:t>
      </w:r>
      <w:r w:rsidRPr="00A45532">
        <w:rPr>
          <w:rFonts w:cstheme="minorHAnsi"/>
        </w:rPr>
        <w:t xml:space="preserve"> </w:t>
      </w:r>
      <w:r w:rsidRPr="00271F18">
        <w:rPr>
          <w:rFonts w:cstheme="minorHAnsi"/>
        </w:rPr>
        <w:t>met the criteria of antiplatelet therapy prescriber.</w:t>
      </w:r>
      <w:r w:rsidR="005F46F8" w:rsidRPr="005F46F8">
        <w:rPr>
          <w:rFonts w:ascii="AdvOTb7819099" w:hAnsi="AdvOTb7819099" w:cs="AdvOTb7819099"/>
          <w:sz w:val="18"/>
          <w:szCs w:val="18"/>
        </w:rPr>
        <w:t xml:space="preserve"> </w:t>
      </w:r>
    </w:p>
    <w:p w14:paraId="5D7E2FFF" w14:textId="77777777" w:rsidR="00174F3C" w:rsidRPr="009A5301" w:rsidRDefault="00174F3C" w:rsidP="00B67081">
      <w:pPr>
        <w:spacing w:after="0" w:line="480" w:lineRule="auto"/>
        <w:rPr>
          <w:rFonts w:cstheme="minorHAnsi"/>
          <w:i/>
          <w:iCs/>
        </w:rPr>
      </w:pPr>
    </w:p>
    <w:p w14:paraId="7FB183BA" w14:textId="7AB60CCD" w:rsidR="00F5702D" w:rsidRPr="00271F18" w:rsidRDefault="008B32B0" w:rsidP="00B67081">
      <w:pPr>
        <w:spacing w:after="0" w:line="480" w:lineRule="auto"/>
        <w:rPr>
          <w:b/>
          <w:bCs/>
        </w:rPr>
      </w:pPr>
      <w:r>
        <w:rPr>
          <w:b/>
          <w:bCs/>
        </w:rPr>
        <w:t xml:space="preserve">3.2 </w:t>
      </w:r>
      <w:r w:rsidR="00F5702D" w:rsidRPr="00271F18">
        <w:rPr>
          <w:b/>
          <w:bCs/>
        </w:rPr>
        <w:t xml:space="preserve">Ideal </w:t>
      </w:r>
      <w:r w:rsidR="00F5702D">
        <w:rPr>
          <w:b/>
          <w:bCs/>
        </w:rPr>
        <w:t xml:space="preserve">and current </w:t>
      </w:r>
      <w:r w:rsidR="00F5702D" w:rsidRPr="00271F18">
        <w:rPr>
          <w:b/>
          <w:bCs/>
        </w:rPr>
        <w:t>practice</w:t>
      </w:r>
    </w:p>
    <w:p w14:paraId="58176B88" w14:textId="6F51C0C0" w:rsidR="00F5702D" w:rsidRPr="00A45532" w:rsidRDefault="0037366F" w:rsidP="00B67081">
      <w:pPr>
        <w:spacing w:after="0" w:line="480" w:lineRule="auto"/>
      </w:pPr>
      <w:r>
        <w:t>R</w:t>
      </w:r>
      <w:r w:rsidR="00F5702D" w:rsidRPr="00A45532">
        <w:t>espondents were</w:t>
      </w:r>
      <w:r>
        <w:t xml:space="preserve"> initially</w:t>
      </w:r>
      <w:r w:rsidR="00F5702D" w:rsidRPr="00A45532">
        <w:t xml:space="preserve"> </w:t>
      </w:r>
      <w:r w:rsidR="006C7675">
        <w:t xml:space="preserve">asked </w:t>
      </w:r>
      <w:r w:rsidR="00F5702D" w:rsidRPr="00A45532">
        <w:t xml:space="preserve">about </w:t>
      </w:r>
      <w:r w:rsidR="006C7675">
        <w:t xml:space="preserve">their </w:t>
      </w:r>
      <w:r w:rsidR="00F5702D" w:rsidRPr="00A45532">
        <w:t>ideal practice, irrespective of barriers to treatment such as access or reimbursement, local operating procedures or recommendations from international or local guidelines. Five-hundred and twenty-f</w:t>
      </w:r>
      <w:r w:rsidR="00A2700D">
        <w:t>ive</w:t>
      </w:r>
      <w:r w:rsidR="00F5702D" w:rsidRPr="00A45532">
        <w:t xml:space="preserve"> (94%) respondents were in favour of monotherapy following an initial period of DAPT in patients assessed to be at HBR following PCI (</w:t>
      </w:r>
      <w:r w:rsidR="00F5702D" w:rsidRPr="005F46F8">
        <w:rPr>
          <w:i/>
          <w:iCs/>
        </w:rPr>
        <w:t>Fig</w:t>
      </w:r>
      <w:r w:rsidR="005F46F8" w:rsidRPr="005F46F8">
        <w:rPr>
          <w:i/>
          <w:iCs/>
        </w:rPr>
        <w:t>ure</w:t>
      </w:r>
      <w:r w:rsidR="00F5702D" w:rsidRPr="005F46F8">
        <w:rPr>
          <w:i/>
          <w:iCs/>
        </w:rPr>
        <w:t xml:space="preserve"> </w:t>
      </w:r>
      <w:r w:rsidR="00D4036B">
        <w:rPr>
          <w:i/>
          <w:iCs/>
        </w:rPr>
        <w:t>1</w:t>
      </w:r>
      <w:r w:rsidR="00562092">
        <w:rPr>
          <w:i/>
          <w:iCs/>
        </w:rPr>
        <w:t>a</w:t>
      </w:r>
      <w:r w:rsidR="00F5702D" w:rsidRPr="00271F18">
        <w:rPr>
          <w:i/>
          <w:iCs/>
        </w:rPr>
        <w:t>).</w:t>
      </w:r>
      <w:r w:rsidR="00F5702D" w:rsidRPr="00A45532">
        <w:t xml:space="preserve"> </w:t>
      </w:r>
      <w:r w:rsidR="00101438">
        <w:t>In t</w:t>
      </w:r>
      <w:r w:rsidR="00562092">
        <w:t>hose who agreed with the use of monotherapy in this context</w:t>
      </w:r>
      <w:r w:rsidR="009D34ED">
        <w:t xml:space="preserve"> (monotherapy advocates)</w:t>
      </w:r>
      <w:r w:rsidR="00101438">
        <w:t>, t</w:t>
      </w:r>
      <w:r w:rsidR="00F5702D" w:rsidRPr="00A45532">
        <w:t>he</w:t>
      </w:r>
      <w:r w:rsidR="00891ED5">
        <w:t xml:space="preserve"> majority </w:t>
      </w:r>
      <w:r w:rsidR="00F5702D" w:rsidRPr="00A45532">
        <w:t>(n=</w:t>
      </w:r>
      <w:r w:rsidR="003A5898">
        <w:t>328</w:t>
      </w:r>
      <w:r w:rsidR="00F5702D" w:rsidRPr="00A45532">
        <w:t xml:space="preserve">, 72%) </w:t>
      </w:r>
      <w:r w:rsidR="00091550">
        <w:t>selected</w:t>
      </w:r>
      <w:r w:rsidR="00091550" w:rsidRPr="00A45532">
        <w:t xml:space="preserve"> </w:t>
      </w:r>
      <w:r w:rsidR="00F5702D" w:rsidRPr="00A45532">
        <w:t>monotherapy use for longer than 12 months (</w:t>
      </w:r>
      <w:r w:rsidR="00F5702D" w:rsidRPr="005F46F8">
        <w:rPr>
          <w:i/>
          <w:iCs/>
        </w:rPr>
        <w:t>Fig</w:t>
      </w:r>
      <w:r w:rsidR="005F46F8" w:rsidRPr="005F46F8">
        <w:rPr>
          <w:i/>
          <w:iCs/>
        </w:rPr>
        <w:t>ure</w:t>
      </w:r>
      <w:r w:rsidR="00F5702D" w:rsidRPr="005F46F8">
        <w:rPr>
          <w:i/>
          <w:iCs/>
        </w:rPr>
        <w:t xml:space="preserve"> </w:t>
      </w:r>
      <w:r w:rsidR="00D4036B">
        <w:rPr>
          <w:i/>
          <w:iCs/>
        </w:rPr>
        <w:t>1</w:t>
      </w:r>
      <w:r w:rsidR="00562092">
        <w:rPr>
          <w:i/>
          <w:iCs/>
        </w:rPr>
        <w:t>b</w:t>
      </w:r>
      <w:r w:rsidR="00F5702D" w:rsidRPr="00271F18">
        <w:rPr>
          <w:i/>
          <w:iCs/>
        </w:rPr>
        <w:t>).</w:t>
      </w:r>
      <w:r w:rsidR="00F5702D" w:rsidRPr="00A45532">
        <w:t xml:space="preserve"> </w:t>
      </w:r>
      <w:r w:rsidR="0044753D">
        <w:t>Monotherapy advocate</w:t>
      </w:r>
      <w:r w:rsidR="000F45AB">
        <w:t>s’</w:t>
      </w:r>
      <w:r w:rsidR="0044753D">
        <w:t xml:space="preserve"> </w:t>
      </w:r>
      <w:r w:rsidR="00F5702D" w:rsidRPr="00A45532">
        <w:t>preferred agent was split</w:t>
      </w:r>
      <w:r w:rsidR="002F0B34">
        <w:t xml:space="preserve"> </w:t>
      </w:r>
      <w:r w:rsidR="00655DC5">
        <w:t xml:space="preserve">roughly </w:t>
      </w:r>
      <w:r w:rsidR="002F0B34">
        <w:t>equally</w:t>
      </w:r>
      <w:r w:rsidR="00F5702D" w:rsidRPr="00A45532">
        <w:t xml:space="preserve"> between ASA (n=2</w:t>
      </w:r>
      <w:r w:rsidR="005E76D7">
        <w:t>1</w:t>
      </w:r>
      <w:r w:rsidR="007F646D">
        <w:t>2</w:t>
      </w:r>
      <w:r w:rsidR="00F5702D" w:rsidRPr="00A45532">
        <w:t>, 4</w:t>
      </w:r>
      <w:r w:rsidR="00985EEC">
        <w:t>5</w:t>
      </w:r>
      <w:r w:rsidR="00F5702D" w:rsidRPr="00A45532">
        <w:t>%) and a P2Y</w:t>
      </w:r>
      <w:r w:rsidR="00F5702D" w:rsidRPr="00A45532">
        <w:rPr>
          <w:vertAlign w:val="subscript"/>
        </w:rPr>
        <w:t>12</w:t>
      </w:r>
      <w:r w:rsidR="00F5702D" w:rsidRPr="00A45532">
        <w:t xml:space="preserve"> inhibitor (n=2</w:t>
      </w:r>
      <w:r w:rsidR="00D3367F">
        <w:t>50</w:t>
      </w:r>
      <w:r w:rsidR="00F5702D" w:rsidRPr="00A45532">
        <w:t>, 5</w:t>
      </w:r>
      <w:r w:rsidR="00DD359A">
        <w:t>3</w:t>
      </w:r>
      <w:r w:rsidR="00F5702D" w:rsidRPr="00A45532">
        <w:t xml:space="preserve">%). </w:t>
      </w:r>
      <w:r w:rsidR="00F5702D" w:rsidRPr="002840D7">
        <w:t>Respondents’ choice of P2Y</w:t>
      </w:r>
      <w:r w:rsidR="00F5702D" w:rsidRPr="002840D7">
        <w:rPr>
          <w:vertAlign w:val="subscript"/>
        </w:rPr>
        <w:t>12</w:t>
      </w:r>
      <w:r w:rsidR="00F5702D" w:rsidRPr="002840D7">
        <w:t xml:space="preserve"> inhibitor as their ideal monotherapy agent was </w:t>
      </w:r>
      <w:r w:rsidR="00307813">
        <w:t xml:space="preserve">further </w:t>
      </w:r>
      <w:r w:rsidR="00F5702D" w:rsidRPr="002840D7">
        <w:t>split as follows: 1</w:t>
      </w:r>
      <w:r w:rsidR="00243E67" w:rsidRPr="002840D7">
        <w:t>27</w:t>
      </w:r>
      <w:r w:rsidR="00F5702D" w:rsidRPr="002840D7">
        <w:t xml:space="preserve"> (2</w:t>
      </w:r>
      <w:r w:rsidR="00D7591F" w:rsidRPr="002840D7">
        <w:t>7</w:t>
      </w:r>
      <w:r w:rsidR="00F5702D" w:rsidRPr="002840D7">
        <w:t>%)</w:t>
      </w:r>
      <w:r w:rsidR="0010168F" w:rsidRPr="002840D7">
        <w:t xml:space="preserve"> </w:t>
      </w:r>
      <w:r w:rsidR="00F5702D" w:rsidRPr="002840D7">
        <w:t>clopidogrel</w:t>
      </w:r>
      <w:r w:rsidR="0010168F" w:rsidRPr="002840D7">
        <w:t>;</w:t>
      </w:r>
      <w:r w:rsidR="00F5702D" w:rsidRPr="002840D7">
        <w:t xml:space="preserve"> 1</w:t>
      </w:r>
      <w:r w:rsidR="00243E67" w:rsidRPr="002840D7">
        <w:t>04</w:t>
      </w:r>
      <w:r w:rsidR="00F5702D" w:rsidRPr="002840D7">
        <w:t xml:space="preserve"> (22%) ticagrelor</w:t>
      </w:r>
      <w:r w:rsidR="0010168F" w:rsidRPr="002840D7">
        <w:t>;</w:t>
      </w:r>
      <w:r w:rsidR="00F5702D" w:rsidRPr="002840D7">
        <w:t xml:space="preserve"> </w:t>
      </w:r>
      <w:r w:rsidR="00225406" w:rsidRPr="002840D7">
        <w:t>19</w:t>
      </w:r>
      <w:r w:rsidR="00F5702D" w:rsidRPr="002840D7">
        <w:t xml:space="preserve"> (4%) prasugrel (</w:t>
      </w:r>
      <w:r w:rsidR="00F5702D" w:rsidRPr="002840D7">
        <w:rPr>
          <w:i/>
          <w:iCs/>
        </w:rPr>
        <w:t>Fi</w:t>
      </w:r>
      <w:r w:rsidR="005F46F8" w:rsidRPr="002840D7">
        <w:rPr>
          <w:i/>
          <w:iCs/>
        </w:rPr>
        <w:t>gure</w:t>
      </w:r>
      <w:r w:rsidR="00F5702D" w:rsidRPr="002840D7">
        <w:rPr>
          <w:i/>
          <w:iCs/>
        </w:rPr>
        <w:t xml:space="preserve"> </w:t>
      </w:r>
      <w:r w:rsidR="00D4036B" w:rsidRPr="002840D7">
        <w:rPr>
          <w:i/>
          <w:iCs/>
        </w:rPr>
        <w:t>2</w:t>
      </w:r>
      <w:r w:rsidR="00ED5488" w:rsidRPr="002840D7">
        <w:rPr>
          <w:i/>
          <w:iCs/>
        </w:rPr>
        <w:t>a</w:t>
      </w:r>
      <w:r w:rsidR="00F5702D" w:rsidRPr="002840D7">
        <w:rPr>
          <w:i/>
          <w:iCs/>
        </w:rPr>
        <w:t>).</w:t>
      </w:r>
      <w:r w:rsidR="00F5702D" w:rsidRPr="002840D7">
        <w:t xml:space="preserve"> </w:t>
      </w:r>
      <w:r w:rsidR="00F5702D" w:rsidRPr="002840D7">
        <w:rPr>
          <w:color w:val="000000" w:themeColor="text1"/>
        </w:rPr>
        <w:t>Regional variation displayed generally the same equipoise for ASA vs P2Y</w:t>
      </w:r>
      <w:r w:rsidR="00F5702D" w:rsidRPr="002840D7">
        <w:rPr>
          <w:color w:val="000000" w:themeColor="text1"/>
          <w:vertAlign w:val="subscript"/>
        </w:rPr>
        <w:t>12</w:t>
      </w:r>
      <w:r w:rsidR="00F5702D" w:rsidRPr="002840D7">
        <w:rPr>
          <w:color w:val="000000" w:themeColor="text1"/>
        </w:rPr>
        <w:t xml:space="preserve"> receptor inhibitor as observed at the global level, </w:t>
      </w:r>
      <w:r w:rsidR="001F6041" w:rsidRPr="002840D7">
        <w:rPr>
          <w:color w:val="000000" w:themeColor="text1"/>
        </w:rPr>
        <w:t>and</w:t>
      </w:r>
      <w:r w:rsidR="00F5702D" w:rsidRPr="002840D7">
        <w:rPr>
          <w:color w:val="000000" w:themeColor="text1"/>
        </w:rPr>
        <w:t xml:space="preserve"> across the experience level of respondents (namely, length of time post-qualification [&lt;5 years; 5–10 years; &gt;10 years]).</w:t>
      </w:r>
    </w:p>
    <w:p w14:paraId="15852F14" w14:textId="77777777" w:rsidR="00F5702D" w:rsidRPr="00271F18" w:rsidRDefault="00F5702D" w:rsidP="00B67081">
      <w:pPr>
        <w:spacing w:after="0" w:line="480" w:lineRule="auto"/>
      </w:pPr>
    </w:p>
    <w:p w14:paraId="316BD09B" w14:textId="66A64702" w:rsidR="00F5702D" w:rsidRPr="00A45532" w:rsidRDefault="008A2098" w:rsidP="00B67081">
      <w:pPr>
        <w:spacing w:after="0" w:line="480" w:lineRule="auto"/>
      </w:pPr>
      <w:r>
        <w:t xml:space="preserve">Monotherapy advocates </w:t>
      </w:r>
      <w:r w:rsidR="00F209BF">
        <w:t>did not</w:t>
      </w:r>
      <w:r w:rsidR="00F5702D" w:rsidRPr="00A45532">
        <w:t xml:space="preserve"> </w:t>
      </w:r>
      <w:r w:rsidR="00F209BF">
        <w:t>agree</w:t>
      </w:r>
      <w:r w:rsidR="00F5702D" w:rsidRPr="00A45532">
        <w:t xml:space="preserve"> on </w:t>
      </w:r>
      <w:r w:rsidR="00F209BF">
        <w:t xml:space="preserve">an </w:t>
      </w:r>
      <w:r w:rsidR="00F5702D" w:rsidRPr="00A45532">
        <w:t>optimal period of DAPT following PCI, although 3 months (</w:t>
      </w:r>
      <w:r w:rsidR="00CE2F6E">
        <w:t>n=</w:t>
      </w:r>
      <w:r w:rsidR="00F5702D" w:rsidRPr="00A45532">
        <w:t>2</w:t>
      </w:r>
      <w:r w:rsidR="004A1582">
        <w:t>0</w:t>
      </w:r>
      <w:r w:rsidR="00D465AD">
        <w:t>4</w:t>
      </w:r>
      <w:r w:rsidR="00F5702D" w:rsidRPr="00A45532">
        <w:t>, 39%) was the most frequently selected option (</w:t>
      </w:r>
      <w:r w:rsidR="00F5702D" w:rsidRPr="00A45532">
        <w:rPr>
          <w:color w:val="000000" w:themeColor="text1"/>
        </w:rPr>
        <w:t>12 months [</w:t>
      </w:r>
      <w:r w:rsidR="00837F1A">
        <w:rPr>
          <w:color w:val="000000" w:themeColor="text1"/>
        </w:rPr>
        <w:t>n=</w:t>
      </w:r>
      <w:r w:rsidR="00F5702D" w:rsidRPr="00A45532">
        <w:rPr>
          <w:color w:val="000000" w:themeColor="text1"/>
        </w:rPr>
        <w:t>1</w:t>
      </w:r>
      <w:r w:rsidR="005168FA">
        <w:rPr>
          <w:color w:val="000000" w:themeColor="text1"/>
        </w:rPr>
        <w:t>15</w:t>
      </w:r>
      <w:r w:rsidR="00F5702D" w:rsidRPr="00A45532">
        <w:rPr>
          <w:color w:val="000000" w:themeColor="text1"/>
        </w:rPr>
        <w:t>, 22%]; 6 months [</w:t>
      </w:r>
      <w:r w:rsidR="00837F1A">
        <w:rPr>
          <w:color w:val="000000" w:themeColor="text1"/>
        </w:rPr>
        <w:t>n=</w:t>
      </w:r>
      <w:r w:rsidR="00167614">
        <w:rPr>
          <w:color w:val="000000" w:themeColor="text1"/>
        </w:rPr>
        <w:t>94</w:t>
      </w:r>
      <w:r w:rsidR="00F5702D" w:rsidRPr="00A45532">
        <w:rPr>
          <w:color w:val="000000" w:themeColor="text1"/>
        </w:rPr>
        <w:t>, 18%]; 1 month [</w:t>
      </w:r>
      <w:r w:rsidR="00837F1A">
        <w:rPr>
          <w:color w:val="000000" w:themeColor="text1"/>
        </w:rPr>
        <w:t>n=</w:t>
      </w:r>
      <w:r w:rsidR="00F5702D" w:rsidRPr="00A45532">
        <w:rPr>
          <w:color w:val="000000" w:themeColor="text1"/>
        </w:rPr>
        <w:t>6</w:t>
      </w:r>
      <w:r w:rsidR="0003254E">
        <w:rPr>
          <w:color w:val="000000" w:themeColor="text1"/>
        </w:rPr>
        <w:t>3</w:t>
      </w:r>
      <w:r w:rsidR="00F5702D" w:rsidRPr="00A45532">
        <w:rPr>
          <w:color w:val="000000" w:themeColor="text1"/>
        </w:rPr>
        <w:t>,</w:t>
      </w:r>
      <w:r w:rsidR="00705A10">
        <w:rPr>
          <w:color w:val="000000" w:themeColor="text1"/>
        </w:rPr>
        <w:t xml:space="preserve"> </w:t>
      </w:r>
      <w:r w:rsidR="00F5702D" w:rsidRPr="00A45532">
        <w:rPr>
          <w:color w:val="000000" w:themeColor="text1"/>
        </w:rPr>
        <w:t>1</w:t>
      </w:r>
      <w:r w:rsidR="005168FA">
        <w:rPr>
          <w:color w:val="000000" w:themeColor="text1"/>
        </w:rPr>
        <w:t>2</w:t>
      </w:r>
      <w:r w:rsidR="00F5702D" w:rsidRPr="00A45532">
        <w:rPr>
          <w:color w:val="000000" w:themeColor="text1"/>
        </w:rPr>
        <w:t>%]; &gt;12 months [</w:t>
      </w:r>
      <w:r w:rsidR="00837F1A">
        <w:rPr>
          <w:color w:val="000000" w:themeColor="text1"/>
        </w:rPr>
        <w:t>n=</w:t>
      </w:r>
      <w:r w:rsidR="00B674F4">
        <w:rPr>
          <w:color w:val="000000" w:themeColor="text1"/>
        </w:rPr>
        <w:t>31</w:t>
      </w:r>
      <w:r w:rsidR="00F5702D" w:rsidRPr="00A45532">
        <w:rPr>
          <w:color w:val="000000" w:themeColor="text1"/>
        </w:rPr>
        <w:t xml:space="preserve">, </w:t>
      </w:r>
      <w:r w:rsidR="008B1751">
        <w:rPr>
          <w:color w:val="000000" w:themeColor="text1"/>
        </w:rPr>
        <w:t>6</w:t>
      </w:r>
      <w:r w:rsidR="00F5702D" w:rsidRPr="00A45532">
        <w:rPr>
          <w:color w:val="000000" w:themeColor="text1"/>
        </w:rPr>
        <w:t>%]; other [</w:t>
      </w:r>
      <w:r w:rsidR="00837F1A">
        <w:rPr>
          <w:color w:val="000000" w:themeColor="text1"/>
        </w:rPr>
        <w:t>n=</w:t>
      </w:r>
      <w:r w:rsidR="00F5702D" w:rsidRPr="00A45532">
        <w:rPr>
          <w:color w:val="000000" w:themeColor="text1"/>
        </w:rPr>
        <w:t>1</w:t>
      </w:r>
      <w:r w:rsidR="00B674F4">
        <w:rPr>
          <w:color w:val="000000" w:themeColor="text1"/>
        </w:rPr>
        <w:t>6</w:t>
      </w:r>
      <w:r w:rsidR="00F5702D" w:rsidRPr="00A45532">
        <w:rPr>
          <w:color w:val="000000" w:themeColor="text1"/>
        </w:rPr>
        <w:t xml:space="preserve">, </w:t>
      </w:r>
      <w:r w:rsidR="00B674F4">
        <w:rPr>
          <w:color w:val="000000" w:themeColor="text1"/>
        </w:rPr>
        <w:t>3</w:t>
      </w:r>
      <w:r w:rsidR="00F5702D" w:rsidRPr="00A45532">
        <w:rPr>
          <w:color w:val="000000" w:themeColor="text1"/>
        </w:rPr>
        <w:t>%])</w:t>
      </w:r>
      <w:r w:rsidR="00735DED">
        <w:rPr>
          <w:color w:val="000000" w:themeColor="text1"/>
        </w:rPr>
        <w:t>,</w:t>
      </w:r>
      <w:r w:rsidR="00F5702D" w:rsidRPr="00A45532">
        <w:rPr>
          <w:color w:val="000000" w:themeColor="text1"/>
        </w:rPr>
        <w:t xml:space="preserve"> (</w:t>
      </w:r>
      <w:r w:rsidR="00F5702D" w:rsidRPr="005F46F8">
        <w:rPr>
          <w:i/>
          <w:iCs/>
          <w:color w:val="000000" w:themeColor="text1"/>
        </w:rPr>
        <w:t>Fig</w:t>
      </w:r>
      <w:r w:rsidR="005F46F8" w:rsidRPr="005F46F8">
        <w:rPr>
          <w:i/>
          <w:iCs/>
          <w:color w:val="000000" w:themeColor="text1"/>
        </w:rPr>
        <w:t>ure</w:t>
      </w:r>
      <w:r w:rsidR="00F5702D" w:rsidRPr="005F46F8">
        <w:rPr>
          <w:i/>
          <w:iCs/>
          <w:color w:val="000000" w:themeColor="text1"/>
        </w:rPr>
        <w:t xml:space="preserve"> </w:t>
      </w:r>
      <w:r w:rsidR="00891848">
        <w:rPr>
          <w:i/>
          <w:iCs/>
          <w:color w:val="000000" w:themeColor="text1"/>
        </w:rPr>
        <w:t>2b</w:t>
      </w:r>
      <w:r w:rsidR="00F5702D" w:rsidRPr="00271F18">
        <w:rPr>
          <w:i/>
          <w:iCs/>
          <w:color w:val="000000" w:themeColor="text1"/>
        </w:rPr>
        <w:t>).</w:t>
      </w:r>
      <w:r w:rsidR="00F5702D" w:rsidRPr="00A45532">
        <w:t xml:space="preserve"> </w:t>
      </w:r>
      <w:r w:rsidR="002C4B60">
        <w:t>Stated differently</w:t>
      </w:r>
      <w:r w:rsidR="00FF57D5">
        <w:t xml:space="preserve">, 51% opted for </w:t>
      </w:r>
      <w:r w:rsidR="00834512" w:rsidRPr="00834512">
        <w:t>≤</w:t>
      </w:r>
      <w:r w:rsidR="00FF57D5">
        <w:t>3 months, a</w:t>
      </w:r>
      <w:r w:rsidR="007835F9">
        <w:t>nd 49%</w:t>
      </w:r>
      <w:r w:rsidR="0022278A">
        <w:t xml:space="preserve"> opt</w:t>
      </w:r>
      <w:r w:rsidR="00F86B1A">
        <w:t>ed for</w:t>
      </w:r>
      <w:r w:rsidR="007835F9">
        <w:t xml:space="preserve"> </w:t>
      </w:r>
      <w:r w:rsidR="0039256A" w:rsidRPr="0039256A">
        <w:t>≥</w:t>
      </w:r>
      <w:r w:rsidR="007835F9">
        <w:t>6 months</w:t>
      </w:r>
      <w:r w:rsidR="00465564">
        <w:t xml:space="preserve"> DAPT duration</w:t>
      </w:r>
      <w:r w:rsidR="007835F9">
        <w:t>.</w:t>
      </w:r>
      <w:r w:rsidR="00FF57D5">
        <w:t xml:space="preserve"> </w:t>
      </w:r>
    </w:p>
    <w:p w14:paraId="102EA8F2" w14:textId="77777777" w:rsidR="00F5702D" w:rsidRPr="00A45532" w:rsidRDefault="00F5702D" w:rsidP="00B67081">
      <w:pPr>
        <w:spacing w:after="0" w:line="480" w:lineRule="auto"/>
      </w:pPr>
    </w:p>
    <w:p w14:paraId="69140F33" w14:textId="20DABD5C" w:rsidR="00F5702D" w:rsidRPr="00A45532" w:rsidRDefault="00F5702D" w:rsidP="00B67081">
      <w:pPr>
        <w:spacing w:after="0" w:line="480" w:lineRule="auto"/>
      </w:pPr>
      <w:r w:rsidRPr="00A45532">
        <w:t>The second section of the survey asked about current practices and empirical use of guidelines. Of all respondents, 4</w:t>
      </w:r>
      <w:r w:rsidR="00926D7D">
        <w:t>8</w:t>
      </w:r>
      <w:r w:rsidRPr="00A45532">
        <w:t>6 (87%) confirmed that they carry out the approach that they had advocated as their perceived ideal practice.</w:t>
      </w:r>
    </w:p>
    <w:p w14:paraId="4197F5B6" w14:textId="77777777" w:rsidR="00F5702D" w:rsidRDefault="00F5702D" w:rsidP="00B67081">
      <w:pPr>
        <w:spacing w:after="0" w:line="480" w:lineRule="auto"/>
      </w:pPr>
    </w:p>
    <w:p w14:paraId="7DBA2D51" w14:textId="58476F31" w:rsidR="00F5702D" w:rsidRDefault="008B32B0" w:rsidP="00B67081">
      <w:pPr>
        <w:spacing w:after="0" w:line="480" w:lineRule="auto"/>
        <w:rPr>
          <w:b/>
          <w:bCs/>
        </w:rPr>
      </w:pPr>
      <w:r>
        <w:rPr>
          <w:b/>
          <w:bCs/>
        </w:rPr>
        <w:t xml:space="preserve">3.3 </w:t>
      </w:r>
      <w:r w:rsidR="00F5702D" w:rsidRPr="00271F18">
        <w:rPr>
          <w:b/>
          <w:bCs/>
        </w:rPr>
        <w:t>Influences on current practice</w:t>
      </w:r>
    </w:p>
    <w:p w14:paraId="6A697356" w14:textId="20B47D04" w:rsidR="00F5702D" w:rsidRPr="00A45532" w:rsidRDefault="00F5702D" w:rsidP="00B67081">
      <w:pPr>
        <w:spacing w:after="0" w:line="480" w:lineRule="auto"/>
        <w:rPr>
          <w:rFonts w:cstheme="minorHAnsi"/>
        </w:rPr>
      </w:pPr>
      <w:r w:rsidRPr="00A45532">
        <w:lastRenderedPageBreak/>
        <w:t xml:space="preserve">Respondents were asked to select the factors that influenced their antiplatelet preferences, </w:t>
      </w:r>
      <w:r w:rsidR="00F54C18">
        <w:t xml:space="preserve">including </w:t>
      </w:r>
      <w:r w:rsidRPr="00A45532">
        <w:t>published guidelines and RCTs. R</w:t>
      </w:r>
      <w:r w:rsidRPr="00A45532">
        <w:rPr>
          <w:rFonts w:cstheme="minorHAnsi"/>
        </w:rPr>
        <w:t xml:space="preserve">espondents were asked to make </w:t>
      </w:r>
      <w:r w:rsidR="005C7415">
        <w:rPr>
          <w:rFonts w:cstheme="minorHAnsi"/>
        </w:rPr>
        <w:t>multiple</w:t>
      </w:r>
      <w:r w:rsidR="0088436F">
        <w:rPr>
          <w:rFonts w:cstheme="minorHAnsi"/>
        </w:rPr>
        <w:t xml:space="preserve"> </w:t>
      </w:r>
      <w:r w:rsidRPr="00A45532">
        <w:rPr>
          <w:rFonts w:cstheme="minorHAnsi"/>
        </w:rPr>
        <w:t xml:space="preserve">selections from a list identified by the SC that were relevant to their decision-making. The </w:t>
      </w:r>
      <w:r w:rsidR="007D4506">
        <w:rPr>
          <w:rFonts w:cstheme="minorHAnsi"/>
        </w:rPr>
        <w:t>ESC and ACC/AHA</w:t>
      </w:r>
      <w:r w:rsidRPr="00A45532">
        <w:rPr>
          <w:rFonts w:cstheme="minorHAnsi"/>
        </w:rPr>
        <w:t xml:space="preserve"> guidelines were the most highly selected </w:t>
      </w:r>
      <w:r w:rsidRPr="00A45532">
        <w:rPr>
          <w:rFonts w:cstheme="minorHAnsi"/>
          <w:color w:val="000000" w:themeColor="text1"/>
        </w:rPr>
        <w:t>(</w:t>
      </w:r>
      <w:r w:rsidR="00F12DFE">
        <w:rPr>
          <w:rFonts w:cstheme="minorHAnsi"/>
          <w:color w:val="000000" w:themeColor="text1"/>
        </w:rPr>
        <w:t>n=</w:t>
      </w:r>
      <w:r w:rsidRPr="00A45532">
        <w:rPr>
          <w:rFonts w:cstheme="minorHAnsi"/>
          <w:color w:val="000000" w:themeColor="text1"/>
        </w:rPr>
        <w:t xml:space="preserve">306, 61% and </w:t>
      </w:r>
      <w:r w:rsidR="00F12DFE">
        <w:rPr>
          <w:rFonts w:cstheme="minorHAnsi"/>
          <w:color w:val="000000" w:themeColor="text1"/>
        </w:rPr>
        <w:t>n=</w:t>
      </w:r>
      <w:r w:rsidRPr="00A45532">
        <w:rPr>
          <w:rFonts w:cstheme="minorHAnsi"/>
          <w:color w:val="000000" w:themeColor="text1"/>
        </w:rPr>
        <w:t>166, 33%, respectively)</w:t>
      </w:r>
      <w:r w:rsidR="003F096D">
        <w:rPr>
          <w:rFonts w:cstheme="minorHAnsi"/>
          <w:color w:val="000000" w:themeColor="text1"/>
        </w:rPr>
        <w:t>.</w:t>
      </w:r>
      <w:r w:rsidR="00897EF6">
        <w:rPr>
          <w:rFonts w:cstheme="minorHAnsi"/>
          <w:color w:val="000000" w:themeColor="text1"/>
          <w:vertAlign w:val="superscript"/>
        </w:rPr>
        <w:t>1,2</w:t>
      </w:r>
      <w:r w:rsidRPr="00A45532">
        <w:rPr>
          <w:rFonts w:cstheme="minorHAnsi"/>
          <w:color w:val="000000" w:themeColor="text1"/>
        </w:rPr>
        <w:t xml:space="preserve"> This was followed by TWILIGHT (</w:t>
      </w:r>
      <w:r w:rsidR="007E34C8">
        <w:rPr>
          <w:rFonts w:cstheme="minorHAnsi"/>
          <w:color w:val="000000" w:themeColor="text1"/>
        </w:rPr>
        <w:t>n=</w:t>
      </w:r>
      <w:r w:rsidRPr="00A45532">
        <w:rPr>
          <w:rFonts w:cstheme="minorHAnsi"/>
          <w:color w:val="000000" w:themeColor="text1"/>
        </w:rPr>
        <w:t>121, 24%), STOP-DAPT 2 (</w:t>
      </w:r>
      <w:r w:rsidR="007E34C8">
        <w:rPr>
          <w:rFonts w:cstheme="minorHAnsi"/>
          <w:color w:val="000000" w:themeColor="text1"/>
        </w:rPr>
        <w:t>n=</w:t>
      </w:r>
      <w:r w:rsidRPr="00A45532">
        <w:rPr>
          <w:rFonts w:cstheme="minorHAnsi"/>
          <w:color w:val="000000" w:themeColor="text1"/>
        </w:rPr>
        <w:t>111, 22%) and GLOBAL LEADERS (</w:t>
      </w:r>
      <w:r w:rsidR="007E34C8">
        <w:rPr>
          <w:rFonts w:cstheme="minorHAnsi"/>
          <w:color w:val="000000" w:themeColor="text1"/>
        </w:rPr>
        <w:t>n=</w:t>
      </w:r>
      <w:r w:rsidRPr="00A45532">
        <w:rPr>
          <w:rFonts w:cstheme="minorHAnsi"/>
          <w:color w:val="000000" w:themeColor="text1"/>
        </w:rPr>
        <w:t>106, 21</w:t>
      </w:r>
      <w:r w:rsidRPr="003F096D">
        <w:rPr>
          <w:rFonts w:cstheme="minorHAnsi"/>
          <w:color w:val="000000" w:themeColor="text1"/>
        </w:rPr>
        <w:t>%)</w:t>
      </w:r>
      <w:r w:rsidR="008D30AF" w:rsidRPr="003F096D">
        <w:rPr>
          <w:rFonts w:cstheme="minorHAnsi"/>
          <w:color w:val="000000" w:themeColor="text1"/>
        </w:rPr>
        <w:t xml:space="preserve"> trials</w:t>
      </w:r>
      <w:r w:rsidR="003F096D">
        <w:rPr>
          <w:rFonts w:cstheme="minorHAnsi"/>
          <w:color w:val="000000" w:themeColor="text1"/>
        </w:rPr>
        <w:t>.</w:t>
      </w:r>
      <w:r w:rsidR="00D92A52">
        <w:rPr>
          <w:rFonts w:cstheme="minorHAnsi"/>
          <w:color w:val="000000" w:themeColor="text1"/>
          <w:vertAlign w:val="superscript"/>
        </w:rPr>
        <w:t>6,7</w:t>
      </w:r>
      <w:r w:rsidR="00467102" w:rsidRPr="003F096D">
        <w:rPr>
          <w:rFonts w:cstheme="minorHAnsi"/>
          <w:color w:val="000000" w:themeColor="text1"/>
          <w:vertAlign w:val="superscript"/>
        </w:rPr>
        <w:t>,</w:t>
      </w:r>
      <w:r w:rsidR="00902999">
        <w:rPr>
          <w:rFonts w:cstheme="minorHAnsi"/>
          <w:color w:val="000000" w:themeColor="text1"/>
          <w:vertAlign w:val="superscript"/>
        </w:rPr>
        <w:t>14</w:t>
      </w:r>
      <w:r w:rsidRPr="003F096D">
        <w:rPr>
          <w:rFonts w:cstheme="minorHAnsi"/>
          <w:color w:val="000000" w:themeColor="text1"/>
        </w:rPr>
        <w:t xml:space="preserve"> </w:t>
      </w:r>
      <w:r w:rsidRPr="00A45532">
        <w:rPr>
          <w:rFonts w:cstheme="minorHAnsi"/>
          <w:color w:val="000000" w:themeColor="text1"/>
        </w:rPr>
        <w:t>Other influential literature cited included the Japanese Circulation Society guidance (</w:t>
      </w:r>
      <w:r w:rsidR="007E34C8">
        <w:rPr>
          <w:rFonts w:cstheme="minorHAnsi"/>
          <w:color w:val="000000" w:themeColor="text1"/>
        </w:rPr>
        <w:t>n=</w:t>
      </w:r>
      <w:r w:rsidRPr="00A45532">
        <w:rPr>
          <w:rFonts w:cstheme="minorHAnsi"/>
          <w:color w:val="000000" w:themeColor="text1"/>
        </w:rPr>
        <w:t>30, 6%) and the Brazilian Society of Cardiology guidelines (</w:t>
      </w:r>
      <w:r w:rsidR="007E34C8">
        <w:rPr>
          <w:rFonts w:cstheme="minorHAnsi"/>
          <w:color w:val="000000" w:themeColor="text1"/>
        </w:rPr>
        <w:t>n=</w:t>
      </w:r>
      <w:r w:rsidRPr="00A45532">
        <w:rPr>
          <w:rFonts w:cstheme="minorHAnsi"/>
          <w:color w:val="000000" w:themeColor="text1"/>
        </w:rPr>
        <w:t>10, 2%)</w:t>
      </w:r>
      <w:r w:rsidR="0007344C">
        <w:rPr>
          <w:rFonts w:cstheme="minorHAnsi"/>
          <w:color w:val="000000" w:themeColor="text1"/>
        </w:rPr>
        <w:t>.</w:t>
      </w:r>
    </w:p>
    <w:p w14:paraId="6A7A8E45" w14:textId="77777777" w:rsidR="00F5702D" w:rsidRPr="00A45532" w:rsidRDefault="00F5702D" w:rsidP="00B67081">
      <w:pPr>
        <w:spacing w:after="0" w:line="480" w:lineRule="auto"/>
        <w:rPr>
          <w:b/>
          <w:bCs/>
        </w:rPr>
      </w:pPr>
    </w:p>
    <w:p w14:paraId="6D9D037D" w14:textId="50C1FC5F" w:rsidR="00F5702D" w:rsidRPr="00A45532" w:rsidRDefault="00F5702D" w:rsidP="00B67081">
      <w:pPr>
        <w:spacing w:after="0" w:line="480" w:lineRule="auto"/>
      </w:pPr>
      <w:r w:rsidRPr="00271F18">
        <w:t>R</w:t>
      </w:r>
      <w:r w:rsidRPr="00A45532">
        <w:t xml:space="preserve">espondents </w:t>
      </w:r>
      <w:r w:rsidR="00F54C18">
        <w:t xml:space="preserve">were asked to </w:t>
      </w:r>
      <w:r w:rsidRPr="00A45532">
        <w:t xml:space="preserve">rank factors </w:t>
      </w:r>
      <w:r w:rsidR="00751EDF">
        <w:t>impacting</w:t>
      </w:r>
      <w:r w:rsidRPr="00A45532">
        <w:t xml:space="preserve"> their choice of P2Y</w:t>
      </w:r>
      <w:r w:rsidRPr="00A45532">
        <w:rPr>
          <w:vertAlign w:val="subscript"/>
        </w:rPr>
        <w:t>12</w:t>
      </w:r>
      <w:r w:rsidRPr="00A45532">
        <w:t xml:space="preserve"> inhibitor on a Likert scale (scale 1–5: 1</w:t>
      </w:r>
      <w:r w:rsidR="001E7A57">
        <w:t xml:space="preserve">, </w:t>
      </w:r>
      <w:r w:rsidRPr="00A45532">
        <w:t>least influential</w:t>
      </w:r>
      <w:r w:rsidR="001E7A57">
        <w:t>;</w:t>
      </w:r>
      <w:r w:rsidRPr="00A45532">
        <w:t xml:space="preserve"> 5</w:t>
      </w:r>
      <w:r w:rsidR="001E7A57">
        <w:t xml:space="preserve">, </w:t>
      </w:r>
      <w:r w:rsidRPr="00A45532">
        <w:t xml:space="preserve">most influential). RCT evidence of safety </w:t>
      </w:r>
      <w:r w:rsidR="00E77B63">
        <w:t>w</w:t>
      </w:r>
      <w:r w:rsidRPr="00A45532">
        <w:t xml:space="preserve">as the most influential factor (mean score 4.6 [SD 0.6]), followed by RCT evidence of efficacy, bleeding risk, thrombotic risk and patient related factors </w:t>
      </w:r>
      <w:r w:rsidR="00647181">
        <w:t>(</w:t>
      </w:r>
      <w:r w:rsidRPr="00A45532">
        <w:t xml:space="preserve">all mean score 4.4 [SD 0.7]). This was followed by guideline recommendations (mean 4.2 [SD 0.7]), </w:t>
      </w:r>
      <w:r w:rsidR="0071711F">
        <w:t xml:space="preserve">and </w:t>
      </w:r>
      <w:r w:rsidRPr="00A45532">
        <w:t>then compliance with local protocols (mean 3.6 [SD 1.0]). The least influential factor was cost/availability (mean 3.5 [SD 1.2]).</w:t>
      </w:r>
    </w:p>
    <w:p w14:paraId="3B9BD3A9" w14:textId="77777777" w:rsidR="00F5702D" w:rsidRPr="00A45532" w:rsidRDefault="00F5702D" w:rsidP="00B67081">
      <w:pPr>
        <w:spacing w:after="0" w:line="480" w:lineRule="auto"/>
      </w:pPr>
    </w:p>
    <w:p w14:paraId="6413E0F8" w14:textId="3B8FBC4D" w:rsidR="00F5702D" w:rsidRPr="00A45532" w:rsidRDefault="00286A73" w:rsidP="00B67081">
      <w:pPr>
        <w:spacing w:after="0" w:line="480" w:lineRule="auto"/>
      </w:pPr>
      <w:r>
        <w:rPr>
          <w:rFonts w:ascii="Calibri" w:hAnsi="Calibri" w:cs="Calibri"/>
          <w:color w:val="000000" w:themeColor="text1"/>
        </w:rPr>
        <w:t>C</w:t>
      </w:r>
      <w:r w:rsidR="00F5702D" w:rsidRPr="00271F18">
        <w:rPr>
          <w:rFonts w:ascii="Calibri" w:hAnsi="Calibri" w:cs="Calibri"/>
          <w:color w:val="000000" w:themeColor="text1"/>
        </w:rPr>
        <w:t xml:space="preserve">linical judgement over any </w:t>
      </w:r>
      <w:r w:rsidR="00D910F3">
        <w:rPr>
          <w:rFonts w:ascii="Calibri" w:hAnsi="Calibri" w:cs="Calibri"/>
          <w:color w:val="000000" w:themeColor="text1"/>
        </w:rPr>
        <w:t xml:space="preserve">single </w:t>
      </w:r>
      <w:r w:rsidR="00F5702D" w:rsidRPr="00271F18">
        <w:rPr>
          <w:rFonts w:ascii="Calibri" w:hAnsi="Calibri" w:cs="Calibri"/>
          <w:color w:val="000000" w:themeColor="text1"/>
        </w:rPr>
        <w:t xml:space="preserve">standardised </w:t>
      </w:r>
      <w:r w:rsidR="00FC3A0B">
        <w:rPr>
          <w:rFonts w:ascii="Calibri" w:hAnsi="Calibri" w:cs="Calibri"/>
          <w:color w:val="000000" w:themeColor="text1"/>
        </w:rPr>
        <w:t>score</w:t>
      </w:r>
      <w:r w:rsidR="00FC3A0B" w:rsidRPr="00A45532">
        <w:rPr>
          <w:rFonts w:ascii="Calibri" w:hAnsi="Calibri" w:cs="Calibri"/>
          <w:color w:val="000000" w:themeColor="text1"/>
        </w:rPr>
        <w:t xml:space="preserve"> </w:t>
      </w:r>
      <w:r w:rsidR="00EE5CA2">
        <w:rPr>
          <w:rFonts w:ascii="Calibri" w:hAnsi="Calibri" w:cs="Calibri"/>
          <w:color w:val="000000" w:themeColor="text1"/>
        </w:rPr>
        <w:t xml:space="preserve">was the most common way </w:t>
      </w:r>
      <w:r w:rsidR="00F5702D" w:rsidRPr="00A45532">
        <w:rPr>
          <w:rFonts w:ascii="Calibri" w:hAnsi="Calibri" w:cs="Calibri"/>
          <w:color w:val="000000" w:themeColor="text1"/>
        </w:rPr>
        <w:t>to assess bleeding and thrombotic risk (</w:t>
      </w:r>
      <w:r w:rsidR="0041735C">
        <w:rPr>
          <w:rFonts w:ascii="Calibri" w:hAnsi="Calibri" w:cs="Calibri"/>
          <w:color w:val="000000" w:themeColor="text1"/>
        </w:rPr>
        <w:t>n=</w:t>
      </w:r>
      <w:r w:rsidR="00F5702D" w:rsidRPr="00A45532">
        <w:rPr>
          <w:rFonts w:ascii="Calibri" w:hAnsi="Calibri" w:cs="Calibri"/>
          <w:color w:val="000000" w:themeColor="text1"/>
        </w:rPr>
        <w:t>178 [</w:t>
      </w:r>
      <w:r w:rsidR="00F5702D" w:rsidRPr="00271F18">
        <w:rPr>
          <w:rFonts w:ascii="Calibri" w:hAnsi="Calibri" w:cs="Calibri"/>
          <w:color w:val="000000" w:themeColor="text1"/>
        </w:rPr>
        <w:t>32%</w:t>
      </w:r>
      <w:r w:rsidR="00F5702D" w:rsidRPr="00A45532">
        <w:rPr>
          <w:rFonts w:ascii="Calibri" w:hAnsi="Calibri" w:cs="Calibri"/>
          <w:color w:val="000000" w:themeColor="text1"/>
        </w:rPr>
        <w:t xml:space="preserve">] </w:t>
      </w:r>
      <w:r w:rsidR="00F5702D" w:rsidRPr="00271F18">
        <w:rPr>
          <w:rFonts w:ascii="Calibri" w:hAnsi="Calibri" w:cs="Calibri"/>
          <w:color w:val="000000" w:themeColor="text1"/>
        </w:rPr>
        <w:t xml:space="preserve">and </w:t>
      </w:r>
      <w:r w:rsidR="0041735C">
        <w:rPr>
          <w:rFonts w:ascii="Calibri" w:hAnsi="Calibri" w:cs="Calibri"/>
          <w:color w:val="000000" w:themeColor="text1"/>
        </w:rPr>
        <w:t>n=</w:t>
      </w:r>
      <w:r w:rsidR="00F5702D" w:rsidRPr="00A45532">
        <w:rPr>
          <w:rFonts w:ascii="Calibri" w:hAnsi="Calibri" w:cs="Calibri"/>
          <w:color w:val="000000" w:themeColor="text1"/>
        </w:rPr>
        <w:t>256 [</w:t>
      </w:r>
      <w:r w:rsidR="00F5702D" w:rsidRPr="00271F18">
        <w:rPr>
          <w:rFonts w:ascii="Calibri" w:hAnsi="Calibri" w:cs="Calibri"/>
          <w:color w:val="000000" w:themeColor="text1"/>
        </w:rPr>
        <w:t>46%</w:t>
      </w:r>
      <w:r w:rsidR="00F5702D" w:rsidRPr="00A45532">
        <w:rPr>
          <w:rFonts w:ascii="Calibri" w:hAnsi="Calibri" w:cs="Calibri"/>
          <w:color w:val="000000" w:themeColor="text1"/>
        </w:rPr>
        <w:t>],</w:t>
      </w:r>
      <w:r w:rsidR="00F5702D" w:rsidRPr="00271F18">
        <w:rPr>
          <w:rFonts w:ascii="Calibri" w:hAnsi="Calibri" w:cs="Calibri"/>
          <w:color w:val="000000" w:themeColor="text1"/>
        </w:rPr>
        <w:t xml:space="preserve"> respectively</w:t>
      </w:r>
      <w:r w:rsidR="00F2772B">
        <w:rPr>
          <w:rFonts w:ascii="Calibri" w:hAnsi="Calibri" w:cs="Calibri"/>
          <w:color w:val="000000" w:themeColor="text1"/>
        </w:rPr>
        <w:t xml:space="preserve">, </w:t>
      </w:r>
      <w:r w:rsidR="00F5702D" w:rsidRPr="005F46F8">
        <w:rPr>
          <w:rFonts w:ascii="Calibri" w:hAnsi="Calibri" w:cs="Calibri"/>
          <w:i/>
          <w:iCs/>
          <w:color w:val="000000" w:themeColor="text1"/>
        </w:rPr>
        <w:t>Fig</w:t>
      </w:r>
      <w:r w:rsidR="005F46F8" w:rsidRPr="005F46F8">
        <w:rPr>
          <w:rFonts w:ascii="Calibri" w:hAnsi="Calibri" w:cs="Calibri"/>
          <w:i/>
          <w:iCs/>
          <w:color w:val="000000" w:themeColor="text1"/>
        </w:rPr>
        <w:t>ure</w:t>
      </w:r>
      <w:r w:rsidR="00F5702D" w:rsidRPr="005F46F8">
        <w:rPr>
          <w:rFonts w:ascii="Calibri" w:hAnsi="Calibri" w:cs="Calibri"/>
          <w:i/>
          <w:iCs/>
          <w:color w:val="000000" w:themeColor="text1"/>
        </w:rPr>
        <w:t xml:space="preserve"> </w:t>
      </w:r>
      <w:r w:rsidR="000B482E">
        <w:rPr>
          <w:rFonts w:ascii="Calibri" w:hAnsi="Calibri" w:cs="Calibri"/>
          <w:i/>
          <w:iCs/>
          <w:color w:val="000000" w:themeColor="text1"/>
        </w:rPr>
        <w:t>3</w:t>
      </w:r>
      <w:r w:rsidR="00F5702D" w:rsidRPr="00A45532">
        <w:rPr>
          <w:rFonts w:ascii="Calibri" w:hAnsi="Calibri" w:cs="Calibri"/>
          <w:color w:val="000000" w:themeColor="text1"/>
        </w:rPr>
        <w:t>).</w:t>
      </w:r>
      <w:r w:rsidR="00F5702D" w:rsidRPr="00271F18">
        <w:rPr>
          <w:rFonts w:ascii="Calibri" w:hAnsi="Calibri" w:cs="Calibri"/>
          <w:color w:val="000000" w:themeColor="text1"/>
        </w:rPr>
        <w:t xml:space="preserve"> </w:t>
      </w:r>
      <w:bookmarkStart w:id="2" w:name="_Hlk67169248"/>
      <w:r w:rsidR="00FE1241">
        <w:rPr>
          <w:rFonts w:ascii="Calibri" w:hAnsi="Calibri" w:cs="Calibri"/>
          <w:color w:val="000000" w:themeColor="text1"/>
        </w:rPr>
        <w:t xml:space="preserve">Among the risk scores, </w:t>
      </w:r>
      <w:r w:rsidR="00F5702D" w:rsidRPr="00271F18">
        <w:rPr>
          <w:rFonts w:cstheme="minorHAnsi"/>
          <w:color w:val="000000" w:themeColor="text1"/>
        </w:rPr>
        <w:t>PRECISE-DAPT was the method most commonly used by respondents to measure bleeding risk (</w:t>
      </w:r>
      <w:r w:rsidR="00165E00">
        <w:rPr>
          <w:rFonts w:cstheme="minorHAnsi"/>
          <w:color w:val="000000" w:themeColor="text1"/>
        </w:rPr>
        <w:t>n=</w:t>
      </w:r>
      <w:r w:rsidR="00F5702D" w:rsidRPr="00A45532">
        <w:rPr>
          <w:rFonts w:cstheme="minorHAnsi"/>
          <w:color w:val="000000" w:themeColor="text1"/>
        </w:rPr>
        <w:t>122</w:t>
      </w:r>
      <w:r w:rsidR="00F5702D" w:rsidRPr="00271F18">
        <w:rPr>
          <w:rFonts w:cstheme="minorHAnsi"/>
          <w:color w:val="000000" w:themeColor="text1"/>
        </w:rPr>
        <w:t>, 22%)</w:t>
      </w:r>
      <w:bookmarkEnd w:id="2"/>
      <w:r w:rsidR="000B482E">
        <w:rPr>
          <w:rFonts w:cstheme="minorHAnsi"/>
          <w:color w:val="000000" w:themeColor="text1"/>
        </w:rPr>
        <w:t xml:space="preserve">. </w:t>
      </w:r>
      <w:r w:rsidR="00F5702D" w:rsidRPr="00271F18">
        <w:rPr>
          <w:rFonts w:eastAsiaTheme="minorEastAsia" w:cstheme="minorHAnsi"/>
          <w:color w:val="000000" w:themeColor="text1"/>
          <w:kern w:val="24"/>
        </w:rPr>
        <w:t xml:space="preserve">This was followed by </w:t>
      </w:r>
      <w:r w:rsidR="00F5702D" w:rsidRPr="00271F18">
        <w:rPr>
          <w:rFonts w:cstheme="minorHAnsi"/>
          <w:color w:val="000000" w:themeColor="text1"/>
        </w:rPr>
        <w:t>DAPT score (</w:t>
      </w:r>
      <w:r w:rsidR="00165E00">
        <w:rPr>
          <w:rFonts w:cstheme="minorHAnsi"/>
          <w:color w:val="000000" w:themeColor="text1"/>
        </w:rPr>
        <w:t>n=</w:t>
      </w:r>
      <w:r w:rsidR="00F5702D" w:rsidRPr="00A45532">
        <w:rPr>
          <w:rFonts w:cstheme="minorHAnsi"/>
          <w:color w:val="000000" w:themeColor="text1"/>
        </w:rPr>
        <w:t xml:space="preserve">89, </w:t>
      </w:r>
      <w:r w:rsidR="00F5702D" w:rsidRPr="00271F18">
        <w:rPr>
          <w:rFonts w:cstheme="minorHAnsi"/>
          <w:color w:val="000000" w:themeColor="text1"/>
        </w:rPr>
        <w:t>16%), CRUSADE (</w:t>
      </w:r>
      <w:r w:rsidR="00165E00">
        <w:rPr>
          <w:rFonts w:cstheme="minorHAnsi"/>
          <w:color w:val="000000" w:themeColor="text1"/>
        </w:rPr>
        <w:t>n=</w:t>
      </w:r>
      <w:r w:rsidR="00F5702D" w:rsidRPr="00A45532">
        <w:rPr>
          <w:rFonts w:cstheme="minorHAnsi"/>
          <w:color w:val="000000" w:themeColor="text1"/>
        </w:rPr>
        <w:t xml:space="preserve">78, </w:t>
      </w:r>
      <w:r w:rsidR="00F5702D" w:rsidRPr="00271F18">
        <w:rPr>
          <w:rFonts w:cstheme="minorHAnsi"/>
          <w:color w:val="000000" w:themeColor="text1"/>
        </w:rPr>
        <w:t>14%)</w:t>
      </w:r>
      <w:r w:rsidR="0025554E">
        <w:rPr>
          <w:rFonts w:cstheme="minorHAnsi"/>
          <w:color w:val="000000" w:themeColor="text1"/>
        </w:rPr>
        <w:t>,</w:t>
      </w:r>
      <w:r w:rsidR="00F5702D" w:rsidRPr="00271F18">
        <w:rPr>
          <w:rFonts w:cstheme="minorHAnsi"/>
          <w:color w:val="000000" w:themeColor="text1"/>
        </w:rPr>
        <w:t xml:space="preserve"> and AR</w:t>
      </w:r>
      <w:r w:rsidR="00F5702D" w:rsidRPr="00A45532">
        <w:rPr>
          <w:rFonts w:cstheme="minorHAnsi"/>
          <w:color w:val="000000" w:themeColor="text1"/>
        </w:rPr>
        <w:t>C</w:t>
      </w:r>
      <w:r w:rsidR="00F5702D" w:rsidRPr="00271F18">
        <w:rPr>
          <w:rFonts w:cstheme="minorHAnsi"/>
          <w:color w:val="000000" w:themeColor="text1"/>
        </w:rPr>
        <w:t xml:space="preserve">-HBR </w:t>
      </w:r>
      <w:r w:rsidR="00F5702D" w:rsidRPr="00467102">
        <w:rPr>
          <w:rFonts w:cstheme="minorHAnsi"/>
        </w:rPr>
        <w:t>(</w:t>
      </w:r>
      <w:r w:rsidR="00165E00">
        <w:rPr>
          <w:rFonts w:cstheme="minorHAnsi"/>
        </w:rPr>
        <w:t>n=</w:t>
      </w:r>
      <w:r w:rsidR="00F5702D" w:rsidRPr="00467102">
        <w:rPr>
          <w:rFonts w:cstheme="minorHAnsi"/>
        </w:rPr>
        <w:t>50, 9%)</w:t>
      </w:r>
      <w:r w:rsidR="00467102" w:rsidRPr="00467102">
        <w:rPr>
          <w:rFonts w:cstheme="minorHAnsi"/>
        </w:rPr>
        <w:t>.</w:t>
      </w:r>
      <w:r w:rsidR="00467102" w:rsidRPr="00467102">
        <w:rPr>
          <w:rFonts w:cs="Calibri"/>
        </w:rPr>
        <w:t xml:space="preserve"> </w:t>
      </w:r>
    </w:p>
    <w:p w14:paraId="69AA7D7B" w14:textId="77777777" w:rsidR="00F5702D" w:rsidRPr="00A45532" w:rsidRDefault="00F5702D" w:rsidP="00B67081">
      <w:pPr>
        <w:spacing w:after="0" w:line="480" w:lineRule="auto"/>
      </w:pPr>
    </w:p>
    <w:p w14:paraId="4C9CCD65" w14:textId="7A862F80" w:rsidR="00F5702D" w:rsidRPr="00A45532" w:rsidRDefault="00F5702D" w:rsidP="00B67081">
      <w:pPr>
        <w:spacing w:after="0" w:line="480" w:lineRule="auto"/>
      </w:pPr>
      <w:r w:rsidRPr="00A45532">
        <w:t>When asked to what extent their routine practice aligns with that of the two major international guidelines on NSTE-ACS, 32</w:t>
      </w:r>
      <w:r w:rsidR="000B6BB0">
        <w:t>4</w:t>
      </w:r>
      <w:r w:rsidRPr="00A45532">
        <w:t xml:space="preserve"> (58%) respondents said their clinical practice ‘often’ followed ESC guidelines (</w:t>
      </w:r>
      <w:r w:rsidR="00014904">
        <w:t>the remaining stated ‘</w:t>
      </w:r>
      <w:r w:rsidRPr="00A45532">
        <w:t>always</w:t>
      </w:r>
      <w:r w:rsidR="00014904">
        <w:t>’</w:t>
      </w:r>
      <w:r w:rsidRPr="00A45532">
        <w:t xml:space="preserve"> </w:t>
      </w:r>
      <w:r w:rsidR="001E42EF">
        <w:t>n=</w:t>
      </w:r>
      <w:r w:rsidRPr="00A45532">
        <w:t xml:space="preserve">61, 11%; </w:t>
      </w:r>
      <w:r w:rsidR="00014904">
        <w:t>‘</w:t>
      </w:r>
      <w:r w:rsidRPr="00A45532">
        <w:t>sometimes</w:t>
      </w:r>
      <w:r w:rsidR="00014904">
        <w:t>’</w:t>
      </w:r>
      <w:r w:rsidRPr="00A45532">
        <w:t xml:space="preserve"> </w:t>
      </w:r>
      <w:r w:rsidR="001E42EF">
        <w:t>n=</w:t>
      </w:r>
      <w:r w:rsidRPr="00A45532">
        <w:t xml:space="preserve">139, 25%; </w:t>
      </w:r>
      <w:r w:rsidR="00014904">
        <w:t>‘</w:t>
      </w:r>
      <w:r w:rsidRPr="00A45532">
        <w:t>rarely</w:t>
      </w:r>
      <w:r w:rsidR="00014904">
        <w:t>’</w:t>
      </w:r>
      <w:r w:rsidRPr="00A45532">
        <w:t xml:space="preserve"> </w:t>
      </w:r>
      <w:r w:rsidR="001E42EF">
        <w:t>n=</w:t>
      </w:r>
      <w:r w:rsidRPr="00A45532">
        <w:t xml:space="preserve">28, 5%; </w:t>
      </w:r>
      <w:r w:rsidR="00014904">
        <w:t>‘</w:t>
      </w:r>
      <w:r w:rsidRPr="00A45532">
        <w:t>never</w:t>
      </w:r>
      <w:r w:rsidR="00014904">
        <w:t>’</w:t>
      </w:r>
      <w:r w:rsidRPr="00A45532">
        <w:t xml:space="preserve"> </w:t>
      </w:r>
      <w:r w:rsidR="001E42EF">
        <w:t>n=</w:t>
      </w:r>
      <w:r w:rsidRPr="00A45532">
        <w:t xml:space="preserve">6, 1%; </w:t>
      </w:r>
      <w:r w:rsidRPr="005F46F8">
        <w:rPr>
          <w:i/>
          <w:iCs/>
        </w:rPr>
        <w:t>Fig</w:t>
      </w:r>
      <w:r w:rsidR="005F46F8" w:rsidRPr="005F46F8">
        <w:rPr>
          <w:i/>
          <w:iCs/>
        </w:rPr>
        <w:t>ure</w:t>
      </w:r>
      <w:r w:rsidRPr="005F46F8">
        <w:rPr>
          <w:i/>
          <w:iCs/>
        </w:rPr>
        <w:t xml:space="preserve"> </w:t>
      </w:r>
      <w:r w:rsidR="000124D2">
        <w:rPr>
          <w:i/>
          <w:iCs/>
        </w:rPr>
        <w:t>4</w:t>
      </w:r>
      <w:r w:rsidR="007F5028">
        <w:rPr>
          <w:i/>
          <w:iCs/>
        </w:rPr>
        <w:t>a</w:t>
      </w:r>
      <w:r w:rsidRPr="005F46F8">
        <w:t>).</w:t>
      </w:r>
      <w:r w:rsidRPr="00A45532">
        <w:rPr>
          <w:b/>
          <w:bCs/>
        </w:rPr>
        <w:t xml:space="preserve"> </w:t>
      </w:r>
      <w:r w:rsidRPr="00A45532">
        <w:t xml:space="preserve">Two-hundred and forty (43%) respondents said their clinical practice </w:t>
      </w:r>
      <w:r w:rsidRPr="00A45532">
        <w:lastRenderedPageBreak/>
        <w:t>‘often’ followed ACC/AHA guidelines (</w:t>
      </w:r>
      <w:r w:rsidR="00CF40B2">
        <w:t>the remaining stated ‘</w:t>
      </w:r>
      <w:r w:rsidRPr="00A45532">
        <w:t>always</w:t>
      </w:r>
      <w:r w:rsidR="00CF40B2">
        <w:t>’</w:t>
      </w:r>
      <w:r w:rsidRPr="00A45532">
        <w:t xml:space="preserve"> </w:t>
      </w:r>
      <w:r w:rsidR="00E70158">
        <w:t>n=</w:t>
      </w:r>
      <w:r w:rsidRPr="00A45532">
        <w:t xml:space="preserve">45, 8%; </w:t>
      </w:r>
      <w:r w:rsidR="00CF40B2">
        <w:t>‘</w:t>
      </w:r>
      <w:r w:rsidRPr="00A45532">
        <w:t>sometimes</w:t>
      </w:r>
      <w:r w:rsidR="00CF40B2">
        <w:t>’</w:t>
      </w:r>
      <w:r w:rsidRPr="00A45532">
        <w:t xml:space="preserve"> </w:t>
      </w:r>
      <w:r w:rsidR="00E70158">
        <w:t>n=</w:t>
      </w:r>
      <w:r w:rsidRPr="00A45532">
        <w:t xml:space="preserve">178, 32%; </w:t>
      </w:r>
      <w:r w:rsidR="00CF40B2">
        <w:t>‘</w:t>
      </w:r>
      <w:r w:rsidRPr="00A45532">
        <w:t>rarely</w:t>
      </w:r>
      <w:r w:rsidR="00CF40B2">
        <w:t>’</w:t>
      </w:r>
      <w:r w:rsidRPr="00A45532">
        <w:t xml:space="preserve"> </w:t>
      </w:r>
      <w:r w:rsidR="00E70158">
        <w:t>n=</w:t>
      </w:r>
      <w:r w:rsidRPr="00A45532">
        <w:t xml:space="preserve">72, 13%; </w:t>
      </w:r>
      <w:r w:rsidR="00CF40B2">
        <w:t>‘</w:t>
      </w:r>
      <w:r w:rsidRPr="00A45532">
        <w:t>never</w:t>
      </w:r>
      <w:r w:rsidR="00CF40B2">
        <w:t>’</w:t>
      </w:r>
      <w:r w:rsidRPr="00A45532">
        <w:t xml:space="preserve"> </w:t>
      </w:r>
      <w:r w:rsidR="00E70158">
        <w:t>n=</w:t>
      </w:r>
      <w:r w:rsidRPr="00A45532">
        <w:t xml:space="preserve">22, 4%; </w:t>
      </w:r>
      <w:r w:rsidRPr="005F46F8">
        <w:rPr>
          <w:i/>
          <w:iCs/>
        </w:rPr>
        <w:t>Fig</w:t>
      </w:r>
      <w:r w:rsidR="005F46F8" w:rsidRPr="005F46F8">
        <w:rPr>
          <w:i/>
          <w:iCs/>
        </w:rPr>
        <w:t>ure</w:t>
      </w:r>
      <w:r w:rsidRPr="005F46F8">
        <w:rPr>
          <w:i/>
          <w:iCs/>
        </w:rPr>
        <w:t xml:space="preserve"> </w:t>
      </w:r>
      <w:r w:rsidR="000124D2">
        <w:rPr>
          <w:i/>
          <w:iCs/>
        </w:rPr>
        <w:t>4</w:t>
      </w:r>
      <w:r w:rsidR="007F5028">
        <w:rPr>
          <w:i/>
          <w:iCs/>
        </w:rPr>
        <w:t>b</w:t>
      </w:r>
      <w:r w:rsidRPr="005F46F8">
        <w:t>).</w:t>
      </w:r>
    </w:p>
    <w:p w14:paraId="3680833E" w14:textId="77777777" w:rsidR="00F5702D" w:rsidRPr="00A45532" w:rsidRDefault="00F5702D" w:rsidP="00B67081">
      <w:pPr>
        <w:spacing w:after="0" w:line="480" w:lineRule="auto"/>
        <w:rPr>
          <w:b/>
          <w:bCs/>
        </w:rPr>
      </w:pPr>
    </w:p>
    <w:p w14:paraId="542277CA" w14:textId="55FF18E7" w:rsidR="00F5702D" w:rsidRPr="00B67081" w:rsidRDefault="008B32B0" w:rsidP="00B67081">
      <w:pPr>
        <w:spacing w:after="0" w:line="480" w:lineRule="auto"/>
        <w:rPr>
          <w:b/>
          <w:bCs/>
        </w:rPr>
      </w:pPr>
      <w:r>
        <w:rPr>
          <w:b/>
          <w:bCs/>
        </w:rPr>
        <w:t xml:space="preserve">4.0 </w:t>
      </w:r>
      <w:r w:rsidR="00F5702D" w:rsidRPr="00B67081">
        <w:rPr>
          <w:b/>
          <w:bCs/>
        </w:rPr>
        <w:t>Discussion</w:t>
      </w:r>
    </w:p>
    <w:p w14:paraId="495A5ECB" w14:textId="3B2B4B7A" w:rsidR="00F5702D" w:rsidRPr="000A291D" w:rsidRDefault="008B32B0" w:rsidP="00B67081">
      <w:pPr>
        <w:spacing w:after="0" w:line="480" w:lineRule="auto"/>
        <w:rPr>
          <w:b/>
          <w:bCs/>
        </w:rPr>
      </w:pPr>
      <w:r>
        <w:rPr>
          <w:b/>
          <w:bCs/>
        </w:rPr>
        <w:t xml:space="preserve">4.1 </w:t>
      </w:r>
      <w:r w:rsidR="00F5702D" w:rsidRPr="000A291D">
        <w:rPr>
          <w:b/>
          <w:bCs/>
        </w:rPr>
        <w:t>Crowdsourcing methodology</w:t>
      </w:r>
    </w:p>
    <w:p w14:paraId="2D97A315" w14:textId="5517523F" w:rsidR="00F5702D" w:rsidRPr="00A45532" w:rsidRDefault="00F5702D" w:rsidP="00B67081">
      <w:pPr>
        <w:spacing w:after="0" w:line="480" w:lineRule="auto"/>
      </w:pPr>
      <w:r w:rsidRPr="00A45532">
        <w:t xml:space="preserve">To our knowledge, this is the first use of a crowdsourcing methodology to assess practices with respect to antiplatelet therapy in </w:t>
      </w:r>
      <w:r w:rsidR="0082751C">
        <w:t>NSTE-</w:t>
      </w:r>
      <w:r>
        <w:t xml:space="preserve">ACS. </w:t>
      </w:r>
      <w:r w:rsidR="000F715A" w:rsidRPr="00A45532">
        <w:t xml:space="preserve">It provides insight </w:t>
      </w:r>
      <w:r w:rsidR="000F715A">
        <w:t>in an era whe</w:t>
      </w:r>
      <w:r w:rsidR="003546EE">
        <w:t>re</w:t>
      </w:r>
      <w:r w:rsidR="000F715A">
        <w:t xml:space="preserve"> </w:t>
      </w:r>
      <w:r w:rsidRPr="00A45532">
        <w:t>management of patients after ACS is becoming increasingly complex, not least because of the rapidly advancing field of antithrombotic treatment</w:t>
      </w:r>
      <w:r w:rsidR="0016089F">
        <w:t xml:space="preserve"> and</w:t>
      </w:r>
      <w:r w:rsidRPr="00A45532">
        <w:t xml:space="preserve"> </w:t>
      </w:r>
      <w:r w:rsidR="00A56195">
        <w:t>the lack of strong</w:t>
      </w:r>
      <w:r w:rsidR="00072944">
        <w:t xml:space="preserve"> (class I)</w:t>
      </w:r>
      <w:r w:rsidR="00A56195">
        <w:t xml:space="preserve"> guidance from guideline documents</w:t>
      </w:r>
      <w:r w:rsidR="00C17A9B">
        <w:t xml:space="preserve"> regarding the specific challenges that HBR</w:t>
      </w:r>
      <w:r w:rsidR="00A60DCE">
        <w:t xml:space="preserve"> patients present to practitioners</w:t>
      </w:r>
      <w:r w:rsidRPr="00A45532">
        <w:t>.</w:t>
      </w:r>
      <w:r w:rsidR="005B393A">
        <w:rPr>
          <w:vertAlign w:val="superscript"/>
        </w:rPr>
        <w:t>1,2</w:t>
      </w:r>
      <w:r w:rsidRPr="00A45532">
        <w:t xml:space="preserve"> </w:t>
      </w:r>
      <w:r w:rsidR="00F977E5">
        <w:t>W</w:t>
      </w:r>
      <w:r w:rsidRPr="00A45532">
        <w:t xml:space="preserve">e document current practices from a global </w:t>
      </w:r>
      <w:r>
        <w:t>‘</w:t>
      </w:r>
      <w:r w:rsidRPr="00A45532">
        <w:t>crowd</w:t>
      </w:r>
      <w:r>
        <w:t>’ of</w:t>
      </w:r>
      <w:r w:rsidRPr="00A45532">
        <w:t xml:space="preserve"> </w:t>
      </w:r>
      <w:r w:rsidR="00467102">
        <w:t xml:space="preserve">practicing </w:t>
      </w:r>
      <w:r w:rsidR="00192C18">
        <w:t>physicians</w:t>
      </w:r>
      <w:r>
        <w:t>,</w:t>
      </w:r>
      <w:r w:rsidRPr="00A45532">
        <w:t xml:space="preserve"> to derive </w:t>
      </w:r>
      <w:r w:rsidR="00FC31FE">
        <w:t>insight</w:t>
      </w:r>
      <w:r>
        <w:t xml:space="preserve"> on </w:t>
      </w:r>
      <w:r w:rsidR="00A60DCE">
        <w:t xml:space="preserve">the treatment of </w:t>
      </w:r>
      <w:r w:rsidR="00DE6A52">
        <w:t>NSTE-ACS patients at HBR undergoing PCI.</w:t>
      </w:r>
    </w:p>
    <w:p w14:paraId="2D5837BE" w14:textId="77777777" w:rsidR="00F5702D" w:rsidRPr="00A45532" w:rsidRDefault="00F5702D" w:rsidP="00B67081">
      <w:pPr>
        <w:spacing w:after="0" w:line="480" w:lineRule="auto"/>
      </w:pPr>
    </w:p>
    <w:p w14:paraId="2C5F4912" w14:textId="45C11A9A" w:rsidR="00F5702D" w:rsidRPr="00A45532" w:rsidRDefault="00F5702D" w:rsidP="00B67081">
      <w:pPr>
        <w:spacing w:after="0" w:line="480" w:lineRule="auto"/>
      </w:pPr>
      <w:r w:rsidRPr="00A45532">
        <w:t xml:space="preserve">Compared with a traditional prospective survey, where respondents are typically identified in advance and their participation solicited, </w:t>
      </w:r>
      <w:r w:rsidR="0009615A">
        <w:t>this</w:t>
      </w:r>
      <w:r w:rsidRPr="00A45532">
        <w:t xml:space="preserve"> methodology provides a more </w:t>
      </w:r>
      <w:r w:rsidR="003432BD">
        <w:t xml:space="preserve">democratic </w:t>
      </w:r>
      <w:r w:rsidRPr="00A45532">
        <w:t>approach and thus a broad view of current practice</w:t>
      </w:r>
      <w:r w:rsidR="00647BC4">
        <w:t>s</w:t>
      </w:r>
      <w:r w:rsidRPr="00A45532">
        <w:t xml:space="preserve">. </w:t>
      </w:r>
      <w:r w:rsidR="000F715A">
        <w:t xml:space="preserve">Our </w:t>
      </w:r>
      <w:r w:rsidRPr="00A45532">
        <w:t xml:space="preserve">respondents included practitioners from </w:t>
      </w:r>
      <w:r>
        <w:t>six</w:t>
      </w:r>
      <w:r w:rsidRPr="00A45532">
        <w:t xml:space="preserve"> </w:t>
      </w:r>
      <w:r w:rsidR="00192C18">
        <w:t>continents</w:t>
      </w:r>
      <w:r w:rsidRPr="00A45532">
        <w:t>, 70 countries and represented a broad spectrum of experience and institution type</w:t>
      </w:r>
      <w:r w:rsidR="00C71625">
        <w:t xml:space="preserve"> (see </w:t>
      </w:r>
      <w:r w:rsidR="00C71625" w:rsidRPr="00A57106">
        <w:rPr>
          <w:rFonts w:cstheme="minorHAnsi"/>
          <w:b/>
          <w:bCs/>
        </w:rPr>
        <w:t>Supplementary materials, S</w:t>
      </w:r>
      <w:r w:rsidR="00C71625">
        <w:rPr>
          <w:rFonts w:cstheme="minorHAnsi"/>
          <w:b/>
          <w:bCs/>
        </w:rPr>
        <w:t>5</w:t>
      </w:r>
      <w:r w:rsidR="00C71625" w:rsidRPr="00432FFA">
        <w:rPr>
          <w:rFonts w:cstheme="minorHAnsi"/>
        </w:rPr>
        <w:t>)</w:t>
      </w:r>
      <w:r w:rsidRPr="00A45532">
        <w:t xml:space="preserve">. </w:t>
      </w:r>
      <w:r w:rsidR="00BE1283">
        <w:t>W</w:t>
      </w:r>
      <w:r w:rsidRPr="00A45532">
        <w:t>e believe this methodology</w:t>
      </w:r>
      <w:r w:rsidR="000301F9">
        <w:t>,</w:t>
      </w:r>
      <w:r w:rsidRPr="00A45532">
        <w:t xml:space="preserve"> </w:t>
      </w:r>
      <w:r w:rsidR="00CE1E19">
        <w:t>with</w:t>
      </w:r>
      <w:r w:rsidR="00314A15" w:rsidRPr="00A45532">
        <w:t xml:space="preserve"> </w:t>
      </w:r>
      <w:r w:rsidR="000301F9">
        <w:t>its</w:t>
      </w:r>
      <w:r w:rsidR="00314A15" w:rsidRPr="00A45532">
        <w:t xml:space="preserve"> wide-ranging demographic</w:t>
      </w:r>
      <w:r w:rsidR="00CE1E19">
        <w:t xml:space="preserve"> uptake</w:t>
      </w:r>
      <w:r w:rsidR="000301F9">
        <w:t>,</w:t>
      </w:r>
      <w:r w:rsidR="00314A15" w:rsidRPr="00A45532">
        <w:t xml:space="preserve"> </w:t>
      </w:r>
      <w:r w:rsidR="004B286F">
        <w:t>is a valuable tool</w:t>
      </w:r>
      <w:r w:rsidR="00707B5D">
        <w:t>, given</w:t>
      </w:r>
      <w:r w:rsidR="005D65E1">
        <w:t xml:space="preserve"> </w:t>
      </w:r>
      <w:r w:rsidR="00D60DF7">
        <w:t>its ability</w:t>
      </w:r>
      <w:r w:rsidR="005D65E1">
        <w:t xml:space="preserve"> to </w:t>
      </w:r>
      <w:r w:rsidR="00D60DF7">
        <w:t xml:space="preserve">rapidly </w:t>
      </w:r>
      <w:r w:rsidR="005D65E1">
        <w:t xml:space="preserve">map </w:t>
      </w:r>
      <w:r w:rsidR="001D2DC9">
        <w:t>the degree of consensus or</w:t>
      </w:r>
      <w:r w:rsidR="00C94799">
        <w:t xml:space="preserve"> controversy</w:t>
      </w:r>
      <w:r w:rsidR="00372347">
        <w:t xml:space="preserve"> on</w:t>
      </w:r>
      <w:r w:rsidR="00CE1E19">
        <w:t xml:space="preserve"> clinically complex </w:t>
      </w:r>
      <w:r w:rsidR="005F7251">
        <w:t>questions</w:t>
      </w:r>
      <w:r w:rsidR="009D2EA1">
        <w:t xml:space="preserve"> across the globe</w:t>
      </w:r>
      <w:r w:rsidRPr="00A45532">
        <w:t>.</w:t>
      </w:r>
    </w:p>
    <w:p w14:paraId="5E82F13B" w14:textId="77777777" w:rsidR="00F5702D" w:rsidRDefault="00F5702D" w:rsidP="00B67081">
      <w:pPr>
        <w:spacing w:after="0" w:line="480" w:lineRule="auto"/>
      </w:pPr>
    </w:p>
    <w:p w14:paraId="606D5F64" w14:textId="6BA7E6BE" w:rsidR="00F5702D" w:rsidRPr="000A291D" w:rsidRDefault="00EE4ACB" w:rsidP="00B67081">
      <w:pPr>
        <w:spacing w:after="0" w:line="480" w:lineRule="auto"/>
        <w:rPr>
          <w:b/>
          <w:bCs/>
        </w:rPr>
      </w:pPr>
      <w:r>
        <w:rPr>
          <w:b/>
          <w:bCs/>
        </w:rPr>
        <w:t xml:space="preserve">4.2 </w:t>
      </w:r>
      <w:r w:rsidR="00F5702D" w:rsidRPr="00271F18">
        <w:rPr>
          <w:b/>
          <w:bCs/>
        </w:rPr>
        <w:t xml:space="preserve">Use of monotherapy and </w:t>
      </w:r>
      <w:r w:rsidR="00BF019B">
        <w:rPr>
          <w:b/>
          <w:bCs/>
        </w:rPr>
        <w:t xml:space="preserve">determining </w:t>
      </w:r>
      <w:r w:rsidR="00F5702D" w:rsidRPr="00271F18">
        <w:rPr>
          <w:b/>
          <w:bCs/>
        </w:rPr>
        <w:t>duration of DAP</w:t>
      </w:r>
      <w:r w:rsidR="00F5702D" w:rsidRPr="000A291D">
        <w:rPr>
          <w:b/>
          <w:bCs/>
        </w:rPr>
        <w:t>T</w:t>
      </w:r>
    </w:p>
    <w:p w14:paraId="6C60F381" w14:textId="50F3E4CD" w:rsidR="00F5702D" w:rsidRDefault="00F5702D" w:rsidP="00B67081">
      <w:pPr>
        <w:spacing w:after="0" w:line="480" w:lineRule="auto"/>
      </w:pPr>
      <w:r w:rsidRPr="00AB161D">
        <w:t xml:space="preserve">With respect to the use of monotherapy after an initial period of DAPT in individuals at HBR, </w:t>
      </w:r>
      <w:r w:rsidR="003C1163">
        <w:t xml:space="preserve">there was </w:t>
      </w:r>
      <w:r w:rsidR="00D75E07">
        <w:t xml:space="preserve">agreement </w:t>
      </w:r>
      <w:r w:rsidR="00F25E61">
        <w:t>on</w:t>
      </w:r>
      <w:r w:rsidRPr="00AB161D">
        <w:t xml:space="preserve"> the use of monotherapy </w:t>
      </w:r>
      <w:r w:rsidR="001129A3">
        <w:t xml:space="preserve">within 12 months, </w:t>
      </w:r>
      <w:r w:rsidR="00432468">
        <w:t>with most respondents</w:t>
      </w:r>
      <w:r w:rsidR="00117713">
        <w:t xml:space="preserve"> favouring a</w:t>
      </w:r>
      <w:r w:rsidR="00602606">
        <w:t xml:space="preserve"> duration</w:t>
      </w:r>
      <w:r w:rsidRPr="00AB161D">
        <w:t xml:space="preserve"> </w:t>
      </w:r>
      <w:r w:rsidR="00AA583A">
        <w:t>beyond</w:t>
      </w:r>
      <w:r w:rsidRPr="00AB161D">
        <w:t xml:space="preserve"> 12 months. </w:t>
      </w:r>
      <w:r w:rsidR="00B3539A">
        <w:t>T</w:t>
      </w:r>
      <w:r w:rsidRPr="00AB161D">
        <w:t>he crowd</w:t>
      </w:r>
      <w:r w:rsidR="00AA583A">
        <w:t>, however,</w:t>
      </w:r>
      <w:r w:rsidRPr="00AB161D">
        <w:t xml:space="preserve"> did not </w:t>
      </w:r>
      <w:r w:rsidR="006F247D">
        <w:t>agree</w:t>
      </w:r>
      <w:r w:rsidR="00AD7EFF">
        <w:t xml:space="preserve"> </w:t>
      </w:r>
      <w:r w:rsidRPr="00AB161D">
        <w:t xml:space="preserve">on </w:t>
      </w:r>
      <w:r w:rsidR="000316B6">
        <w:t>optimal</w:t>
      </w:r>
      <w:r w:rsidRPr="00AB161D">
        <w:t xml:space="preserve"> duration of DAPT</w:t>
      </w:r>
      <w:r w:rsidR="00C505C9">
        <w:t xml:space="preserve">, although most </w:t>
      </w:r>
      <w:r w:rsidR="00660753">
        <w:t xml:space="preserve">(51%) </w:t>
      </w:r>
      <w:r w:rsidR="00C505C9">
        <w:t>did agree</w:t>
      </w:r>
      <w:r w:rsidRPr="00AB161D">
        <w:t xml:space="preserve"> with </w:t>
      </w:r>
      <w:r w:rsidR="00B92F7C">
        <w:t>treating</w:t>
      </w:r>
      <w:r w:rsidR="000C3465">
        <w:t xml:space="preserve"> for 1–3 months</w:t>
      </w:r>
      <w:r w:rsidR="00B92F7C">
        <w:t xml:space="preserve"> </w:t>
      </w:r>
      <w:r w:rsidR="008A51D9">
        <w:t>(</w:t>
      </w:r>
      <w:r w:rsidR="000C3465">
        <w:t xml:space="preserve">aligning with </w:t>
      </w:r>
      <w:r w:rsidRPr="00AB161D">
        <w:t xml:space="preserve">current ESC </w:t>
      </w:r>
      <w:r w:rsidRPr="00AB161D">
        <w:lastRenderedPageBreak/>
        <w:t>recommendation</w:t>
      </w:r>
      <w:r w:rsidR="000C3465">
        <w:t>s</w:t>
      </w:r>
      <w:r w:rsidR="008A51D9">
        <w:t>)</w:t>
      </w:r>
      <w:r w:rsidR="002C469E">
        <w:t>;</w:t>
      </w:r>
      <w:r w:rsidR="005C340F">
        <w:rPr>
          <w:vertAlign w:val="superscript"/>
        </w:rPr>
        <w:t>1</w:t>
      </w:r>
      <w:r w:rsidR="002C469E">
        <w:t xml:space="preserve"> </w:t>
      </w:r>
      <w:r w:rsidR="008A51D9">
        <w:t>t</w:t>
      </w:r>
      <w:r w:rsidRPr="00AB161D">
        <w:t xml:space="preserve">here was </w:t>
      </w:r>
      <w:r w:rsidR="002F3085">
        <w:t xml:space="preserve">also </w:t>
      </w:r>
      <w:r w:rsidRPr="00AB161D">
        <w:t>substantial support for 12 months DAPT</w:t>
      </w:r>
      <w:r w:rsidR="003B6F29">
        <w:t xml:space="preserve"> </w:t>
      </w:r>
      <w:r w:rsidR="008A51D9">
        <w:t>(</w:t>
      </w:r>
      <w:r w:rsidRPr="00AB161D">
        <w:t>perhaps reflecting a</w:t>
      </w:r>
      <w:r w:rsidR="003A151C">
        <w:t xml:space="preserve"> </w:t>
      </w:r>
      <w:r w:rsidR="00091ECD">
        <w:t>c</w:t>
      </w:r>
      <w:r w:rsidR="003A151C">
        <w:t>lass</w:t>
      </w:r>
      <w:r w:rsidRPr="00AB161D">
        <w:t xml:space="preserve"> IIb, </w:t>
      </w:r>
      <w:r w:rsidR="003A151C">
        <w:t xml:space="preserve">level of evidence </w:t>
      </w:r>
      <w:r w:rsidRPr="00AB161D">
        <w:t xml:space="preserve">C </w:t>
      </w:r>
      <w:bookmarkStart w:id="3" w:name="_Hlk67939380"/>
      <w:r w:rsidRPr="00AB161D">
        <w:t>recommendation from the ACC/AHA guidelines</w:t>
      </w:r>
      <w:r w:rsidR="007A2171">
        <w:t>, albeit with no reference to HBR</w:t>
      </w:r>
      <w:r w:rsidR="008A51D9">
        <w:t>)</w:t>
      </w:r>
      <w:r w:rsidRPr="00AB161D">
        <w:t>.</w:t>
      </w:r>
      <w:r w:rsidR="005C340F">
        <w:rPr>
          <w:vertAlign w:val="superscript"/>
        </w:rPr>
        <w:t>2</w:t>
      </w:r>
      <w:r w:rsidRPr="00AB161D">
        <w:rPr>
          <w:b/>
          <w:bCs/>
        </w:rPr>
        <w:t xml:space="preserve"> </w:t>
      </w:r>
      <w:r w:rsidR="002637DE" w:rsidRPr="002637DE">
        <w:t>This variation</w:t>
      </w:r>
      <w:r w:rsidR="0072215C">
        <w:t xml:space="preserve"> in practice</w:t>
      </w:r>
      <w:r w:rsidR="002637DE" w:rsidRPr="002637DE">
        <w:t xml:space="preserve"> is not entirely surprising given that neither </w:t>
      </w:r>
      <w:r w:rsidR="00DB1478">
        <w:t xml:space="preserve">the ESC </w:t>
      </w:r>
      <w:r w:rsidR="00FE34BD">
        <w:t>n</w:t>
      </w:r>
      <w:r w:rsidR="00DB1478">
        <w:t xml:space="preserve">or </w:t>
      </w:r>
      <w:r w:rsidR="00FE34BD">
        <w:t xml:space="preserve">the </w:t>
      </w:r>
      <w:r w:rsidR="00DB1478">
        <w:t xml:space="preserve">ACC/AHA </w:t>
      </w:r>
      <w:r w:rsidR="002637DE" w:rsidRPr="002637DE">
        <w:t>guideline</w:t>
      </w:r>
      <w:r w:rsidR="00DB1478">
        <w:t>s</w:t>
      </w:r>
      <w:r w:rsidR="002637DE" w:rsidRPr="002637DE">
        <w:t xml:space="preserve"> provide </w:t>
      </w:r>
      <w:r w:rsidR="00FE34BD">
        <w:t>c</w:t>
      </w:r>
      <w:r w:rsidR="002637DE" w:rsidRPr="002637DE">
        <w:t>lass I recommendations in HBR patients, leaving practitioners to determine DAPT duration based on their own estimation of bleeding and thrombotic risk. Thus, determining risk is a critical step in deciding the duration and choice of DAPT.</w:t>
      </w:r>
    </w:p>
    <w:bookmarkEnd w:id="3"/>
    <w:p w14:paraId="7C7A7E31" w14:textId="77777777" w:rsidR="00AA36A7" w:rsidRPr="00AB161D" w:rsidRDefault="00AA36A7" w:rsidP="00B67081">
      <w:pPr>
        <w:spacing w:after="0" w:line="480" w:lineRule="auto"/>
      </w:pPr>
    </w:p>
    <w:p w14:paraId="5E6A9C97" w14:textId="102CD649" w:rsidR="00F5702D" w:rsidRPr="00AB161D" w:rsidRDefault="00F5702D" w:rsidP="00B67081">
      <w:pPr>
        <w:spacing w:after="0" w:line="480" w:lineRule="auto"/>
      </w:pPr>
      <w:r w:rsidRPr="00482742">
        <w:t>It is noteworthy that the European guidelines recommend PRECISE-DAPT or ARC-HBR criteria to estimate bleeding risk.</w:t>
      </w:r>
      <w:r w:rsidR="00C142D0">
        <w:rPr>
          <w:vertAlign w:val="superscript"/>
        </w:rPr>
        <w:t>15</w:t>
      </w:r>
      <w:r w:rsidR="00663339" w:rsidRPr="00482742">
        <w:rPr>
          <w:vertAlign w:val="superscript"/>
        </w:rPr>
        <w:t>–</w:t>
      </w:r>
      <w:r w:rsidR="00C142D0">
        <w:rPr>
          <w:vertAlign w:val="superscript"/>
        </w:rPr>
        <w:t>17</w:t>
      </w:r>
      <w:r w:rsidRPr="00482742">
        <w:t xml:space="preserve"> </w:t>
      </w:r>
      <w:r w:rsidRPr="00AB161D">
        <w:t>Interestingly, our results indicate that ARC-HBR was used by only 9%</w:t>
      </w:r>
      <w:r w:rsidR="003A151C">
        <w:t xml:space="preserve"> of responde</w:t>
      </w:r>
      <w:r w:rsidR="001841EA">
        <w:t>nts</w:t>
      </w:r>
      <w:r w:rsidRPr="00AB161D">
        <w:t>, p</w:t>
      </w:r>
      <w:r w:rsidR="007405DD">
        <w:t xml:space="preserve">ossibly </w:t>
      </w:r>
      <w:r w:rsidRPr="00AB161D">
        <w:t>reflecting</w:t>
      </w:r>
      <w:r w:rsidR="009228AE">
        <w:t xml:space="preserve"> </w:t>
      </w:r>
      <w:r w:rsidRPr="00AB161D">
        <w:t xml:space="preserve">hesitancy to use a dichotomous scoring </w:t>
      </w:r>
      <w:r w:rsidR="00D230A9">
        <w:t xml:space="preserve">approach </w:t>
      </w:r>
      <w:r w:rsidRPr="00AB161D">
        <w:t>or the relative novelty of this system. A standout observation in our data was the degree to which respondents did</w:t>
      </w:r>
      <w:r w:rsidR="003A151C">
        <w:t xml:space="preserve"> not</w:t>
      </w:r>
      <w:r w:rsidRPr="00AB161D">
        <w:t xml:space="preserve"> use the recommended bleeding or thrombotic risk assessments –</w:t>
      </w:r>
      <w:r w:rsidR="004F68F0">
        <w:t xml:space="preserve"> </w:t>
      </w:r>
      <w:r w:rsidRPr="00AB161D">
        <w:t>clinical judgement</w:t>
      </w:r>
      <w:r w:rsidR="004F68F0">
        <w:t xml:space="preserve"> being used preferentially</w:t>
      </w:r>
      <w:r w:rsidR="000765E2">
        <w:t xml:space="preserve"> (</w:t>
      </w:r>
      <w:r w:rsidR="000765E2" w:rsidRPr="00873534">
        <w:rPr>
          <w:i/>
          <w:iCs/>
        </w:rPr>
        <w:t>Figure 3</w:t>
      </w:r>
      <w:r w:rsidR="000765E2">
        <w:t>)</w:t>
      </w:r>
      <w:r w:rsidRPr="00AB161D">
        <w:t xml:space="preserve">. This </w:t>
      </w:r>
      <w:r w:rsidR="00B17F42">
        <w:t>approach may reflect</w:t>
      </w:r>
      <w:r w:rsidRPr="00AB161D">
        <w:t xml:space="preserve"> the diversity of bleeding and thrombotic risk scores and the lack of a universal, validated tool. </w:t>
      </w:r>
      <w:r w:rsidR="00605F40">
        <w:t>Of note</w:t>
      </w:r>
      <w:r w:rsidRPr="00AB161D">
        <w:t>, practice varied</w:t>
      </w:r>
      <w:r w:rsidR="004F68F0">
        <w:t xml:space="preserve"> considerably in relation to guideline documents</w:t>
      </w:r>
      <w:r w:rsidRPr="00AB161D">
        <w:t xml:space="preserve"> (</w:t>
      </w:r>
      <w:r w:rsidRPr="005F46F8">
        <w:rPr>
          <w:i/>
          <w:iCs/>
        </w:rPr>
        <w:t>Fig</w:t>
      </w:r>
      <w:r w:rsidR="005F46F8" w:rsidRPr="005F46F8">
        <w:rPr>
          <w:i/>
          <w:iCs/>
        </w:rPr>
        <w:t>ure</w:t>
      </w:r>
      <w:r w:rsidRPr="005F46F8">
        <w:rPr>
          <w:i/>
          <w:iCs/>
        </w:rPr>
        <w:t xml:space="preserve"> 4).</w:t>
      </w:r>
    </w:p>
    <w:p w14:paraId="59D59522" w14:textId="77777777" w:rsidR="00F5702D" w:rsidRDefault="00F5702D" w:rsidP="00B67081">
      <w:pPr>
        <w:spacing w:after="0" w:line="480" w:lineRule="auto"/>
      </w:pPr>
    </w:p>
    <w:p w14:paraId="71C713A3" w14:textId="25C78226" w:rsidR="00F5702D" w:rsidRPr="00271F18" w:rsidRDefault="00B625DB" w:rsidP="00B67081">
      <w:pPr>
        <w:spacing w:after="0" w:line="480" w:lineRule="auto"/>
        <w:rPr>
          <w:b/>
          <w:bCs/>
        </w:rPr>
      </w:pPr>
      <w:r>
        <w:rPr>
          <w:b/>
          <w:bCs/>
        </w:rPr>
        <w:t xml:space="preserve">4.3 </w:t>
      </w:r>
      <w:r w:rsidR="00F5702D" w:rsidRPr="00271F18">
        <w:rPr>
          <w:b/>
          <w:bCs/>
        </w:rPr>
        <w:t>Monotherapy choice</w:t>
      </w:r>
      <w:r w:rsidR="00E142EE">
        <w:rPr>
          <w:b/>
          <w:bCs/>
        </w:rPr>
        <w:t xml:space="preserve"> a</w:t>
      </w:r>
      <w:r w:rsidR="0069748C">
        <w:rPr>
          <w:b/>
          <w:bCs/>
        </w:rPr>
        <w:t>nd impact of clinical guidelines</w:t>
      </w:r>
    </w:p>
    <w:p w14:paraId="62A7DA09" w14:textId="12CD54AF" w:rsidR="00F5702D" w:rsidRPr="001C619E" w:rsidRDefault="00F5702D" w:rsidP="00B67081">
      <w:pPr>
        <w:spacing w:after="0" w:line="480" w:lineRule="auto"/>
        <w:rPr>
          <w:rFonts w:cstheme="minorHAnsi"/>
        </w:rPr>
      </w:pPr>
      <w:r w:rsidRPr="001C619E">
        <w:rPr>
          <w:rFonts w:cstheme="minorHAnsi"/>
        </w:rPr>
        <w:t xml:space="preserve">Our findings also showed variation with respect to monotherapy choice. Overall, respondents were equally likely to choose ASA </w:t>
      </w:r>
      <w:r w:rsidR="00F93E6C" w:rsidRPr="001C619E">
        <w:rPr>
          <w:rFonts w:cstheme="minorHAnsi"/>
        </w:rPr>
        <w:t>or</w:t>
      </w:r>
      <w:r w:rsidRPr="001C619E">
        <w:rPr>
          <w:rFonts w:cstheme="minorHAnsi"/>
        </w:rPr>
        <w:t xml:space="preserve"> a P2Y</w:t>
      </w:r>
      <w:r w:rsidRPr="001C619E">
        <w:rPr>
          <w:rFonts w:cstheme="minorHAnsi"/>
          <w:vertAlign w:val="subscript"/>
        </w:rPr>
        <w:t>12</w:t>
      </w:r>
      <w:r w:rsidRPr="001C619E">
        <w:rPr>
          <w:rFonts w:cstheme="minorHAnsi"/>
        </w:rPr>
        <w:t xml:space="preserve"> inhibitor. </w:t>
      </w:r>
      <w:r w:rsidR="004F2950" w:rsidRPr="001C619E">
        <w:rPr>
          <w:rFonts w:cstheme="minorHAnsi"/>
        </w:rPr>
        <w:t>Interestingly, this equipoise may reflect the coexistence of two similar ECS 2020 guideline recommendations for either P2Y</w:t>
      </w:r>
      <w:r w:rsidR="004F2950" w:rsidRPr="00873534">
        <w:rPr>
          <w:rFonts w:cstheme="minorHAnsi"/>
          <w:vertAlign w:val="subscript"/>
        </w:rPr>
        <w:t>12</w:t>
      </w:r>
      <w:r w:rsidR="00873534">
        <w:rPr>
          <w:rFonts w:cstheme="minorHAnsi"/>
        </w:rPr>
        <w:t xml:space="preserve"> i</w:t>
      </w:r>
      <w:r w:rsidR="004F2950" w:rsidRPr="001C619E">
        <w:rPr>
          <w:rFonts w:cstheme="minorHAnsi"/>
        </w:rPr>
        <w:t>nh</w:t>
      </w:r>
      <w:r w:rsidR="00873534">
        <w:rPr>
          <w:rFonts w:cstheme="minorHAnsi"/>
        </w:rPr>
        <w:t>ibitor</w:t>
      </w:r>
      <w:r w:rsidR="004F2950" w:rsidRPr="001C619E">
        <w:rPr>
          <w:rFonts w:cstheme="minorHAnsi"/>
        </w:rPr>
        <w:t xml:space="preserve"> discontinuation (</w:t>
      </w:r>
      <w:proofErr w:type="spellStart"/>
      <w:r w:rsidR="004F2950" w:rsidRPr="001C619E">
        <w:rPr>
          <w:rFonts w:cstheme="minorHAnsi"/>
        </w:rPr>
        <w:t>IIa</w:t>
      </w:r>
      <w:proofErr w:type="spellEnd"/>
      <w:r w:rsidR="004F2950" w:rsidRPr="001C619E">
        <w:rPr>
          <w:rFonts w:cstheme="minorHAnsi"/>
        </w:rPr>
        <w:t xml:space="preserve"> B) or </w:t>
      </w:r>
      <w:r w:rsidR="002B660D">
        <w:rPr>
          <w:rFonts w:cstheme="minorHAnsi"/>
        </w:rPr>
        <w:t>ASA</w:t>
      </w:r>
      <w:r w:rsidR="004F2950" w:rsidRPr="001C619E">
        <w:rPr>
          <w:rFonts w:cstheme="minorHAnsi"/>
        </w:rPr>
        <w:t xml:space="preserve"> discontinuation (</w:t>
      </w:r>
      <w:proofErr w:type="spellStart"/>
      <w:r w:rsidR="004F2950" w:rsidRPr="001C619E">
        <w:rPr>
          <w:rFonts w:cstheme="minorHAnsi"/>
        </w:rPr>
        <w:t>IIa</w:t>
      </w:r>
      <w:proofErr w:type="spellEnd"/>
      <w:r w:rsidR="004F2950" w:rsidRPr="001C619E">
        <w:rPr>
          <w:rFonts w:cstheme="minorHAnsi"/>
        </w:rPr>
        <w:t xml:space="preserve"> A).</w:t>
      </w:r>
      <w:r w:rsidR="00A14396">
        <w:rPr>
          <w:rFonts w:cstheme="minorHAnsi"/>
          <w:vertAlign w:val="superscript"/>
        </w:rPr>
        <w:t>1</w:t>
      </w:r>
      <w:r w:rsidR="004F68F0">
        <w:rPr>
          <w:rFonts w:cstheme="minorHAnsi"/>
          <w:vertAlign w:val="superscript"/>
        </w:rPr>
        <w:t xml:space="preserve"> </w:t>
      </w:r>
      <w:r w:rsidRPr="004F68F0">
        <w:rPr>
          <w:rFonts w:cstheme="minorHAnsi"/>
        </w:rPr>
        <w:t>ASA</w:t>
      </w:r>
      <w:r w:rsidR="00BE035F" w:rsidRPr="004F68F0">
        <w:rPr>
          <w:rFonts w:cstheme="minorHAnsi"/>
        </w:rPr>
        <w:t>,</w:t>
      </w:r>
      <w:r w:rsidRPr="004F68F0">
        <w:rPr>
          <w:rFonts w:cstheme="minorHAnsi"/>
        </w:rPr>
        <w:t xml:space="preserve"> however, was the </w:t>
      </w:r>
      <w:r w:rsidR="004F68F0">
        <w:rPr>
          <w:rFonts w:cstheme="minorHAnsi"/>
        </w:rPr>
        <w:t xml:space="preserve">single </w:t>
      </w:r>
      <w:r w:rsidRPr="004F68F0">
        <w:rPr>
          <w:rFonts w:cstheme="minorHAnsi"/>
        </w:rPr>
        <w:t xml:space="preserve">most used </w:t>
      </w:r>
      <w:r w:rsidR="004F68F0">
        <w:rPr>
          <w:rFonts w:cstheme="minorHAnsi"/>
        </w:rPr>
        <w:t>antiplatelet</w:t>
      </w:r>
      <w:r w:rsidR="004F68F0" w:rsidRPr="004F68F0">
        <w:rPr>
          <w:rFonts w:cstheme="minorHAnsi"/>
        </w:rPr>
        <w:t xml:space="preserve"> </w:t>
      </w:r>
      <w:r w:rsidRPr="004F68F0">
        <w:rPr>
          <w:rFonts w:cstheme="minorHAnsi"/>
        </w:rPr>
        <w:t>agent overall</w:t>
      </w:r>
      <w:r w:rsidRPr="001C619E">
        <w:rPr>
          <w:rFonts w:cstheme="minorHAnsi"/>
        </w:rPr>
        <w:t>.</w:t>
      </w:r>
      <w:r w:rsidRPr="001C619E">
        <w:rPr>
          <w:rFonts w:cstheme="minorHAnsi"/>
          <w:color w:val="000000" w:themeColor="text1"/>
        </w:rPr>
        <w:t xml:space="preserve"> </w:t>
      </w:r>
    </w:p>
    <w:p w14:paraId="6AADC830" w14:textId="35BB3F3D" w:rsidR="00F5702D" w:rsidRPr="00702E45" w:rsidRDefault="00F5702D" w:rsidP="00B67081">
      <w:pPr>
        <w:autoSpaceDE w:val="0"/>
        <w:autoSpaceDN w:val="0"/>
        <w:adjustRightInd w:val="0"/>
        <w:spacing w:after="0" w:line="480" w:lineRule="auto"/>
        <w:rPr>
          <w:rFonts w:cstheme="minorHAnsi"/>
        </w:rPr>
      </w:pPr>
      <w:r w:rsidRPr="001C619E">
        <w:rPr>
          <w:rFonts w:cstheme="minorHAnsi"/>
        </w:rPr>
        <w:t>In the</w:t>
      </w:r>
      <w:r w:rsidR="00DD4CA6" w:rsidRPr="001C619E">
        <w:rPr>
          <w:rFonts w:cstheme="minorHAnsi"/>
        </w:rPr>
        <w:t xml:space="preserve"> </w:t>
      </w:r>
      <w:r w:rsidR="003D01D3" w:rsidRPr="001C619E">
        <w:rPr>
          <w:rFonts w:cstheme="minorHAnsi"/>
        </w:rPr>
        <w:t xml:space="preserve">2020 </w:t>
      </w:r>
      <w:r w:rsidR="00DD4CA6" w:rsidRPr="001C619E">
        <w:rPr>
          <w:rFonts w:cstheme="minorHAnsi"/>
        </w:rPr>
        <w:t>ESC</w:t>
      </w:r>
      <w:r w:rsidRPr="001C619E">
        <w:rPr>
          <w:rFonts w:cstheme="minorHAnsi"/>
        </w:rPr>
        <w:t xml:space="preserve"> guidelines, several recent publications are considered in making the recommendation for shortening DAPT to 1–3 months.</w:t>
      </w:r>
      <w:r w:rsidR="00532AEC">
        <w:rPr>
          <w:rFonts w:cstheme="minorHAnsi"/>
          <w:vertAlign w:val="superscript"/>
        </w:rPr>
        <w:t>6,8</w:t>
      </w:r>
      <w:r w:rsidR="00C31442" w:rsidRPr="001C619E">
        <w:rPr>
          <w:rFonts w:cstheme="minorHAnsi"/>
          <w:vertAlign w:val="superscript"/>
        </w:rPr>
        <w:t>,1</w:t>
      </w:r>
      <w:r w:rsidR="002D7E0A">
        <w:rPr>
          <w:rFonts w:cstheme="minorHAnsi"/>
          <w:vertAlign w:val="superscript"/>
        </w:rPr>
        <w:t>0</w:t>
      </w:r>
      <w:r w:rsidR="00C31442" w:rsidRPr="001C619E">
        <w:rPr>
          <w:rFonts w:cstheme="minorHAnsi"/>
          <w:vertAlign w:val="superscript"/>
        </w:rPr>
        <w:t>,</w:t>
      </w:r>
      <w:r w:rsidR="002D7E0A">
        <w:rPr>
          <w:rFonts w:cstheme="minorHAnsi"/>
          <w:vertAlign w:val="superscript"/>
        </w:rPr>
        <w:t>14</w:t>
      </w:r>
      <w:r w:rsidRPr="001C619E">
        <w:rPr>
          <w:rFonts w:cstheme="minorHAnsi"/>
          <w:vertAlign w:val="superscript"/>
        </w:rPr>
        <w:t xml:space="preserve"> </w:t>
      </w:r>
      <w:r w:rsidR="00F557CE" w:rsidRPr="001C619E">
        <w:rPr>
          <w:rFonts w:cstheme="minorHAnsi"/>
        </w:rPr>
        <w:t>T</w:t>
      </w:r>
      <w:r w:rsidR="004F3018" w:rsidRPr="001C619E">
        <w:rPr>
          <w:rFonts w:cstheme="minorHAnsi"/>
        </w:rPr>
        <w:t xml:space="preserve">he </w:t>
      </w:r>
      <w:r w:rsidR="00927FBB" w:rsidRPr="001C619E">
        <w:rPr>
          <w:rFonts w:cstheme="minorHAnsi"/>
        </w:rPr>
        <w:t>guidelines considered t</w:t>
      </w:r>
      <w:r w:rsidR="00F557CE" w:rsidRPr="001C619E">
        <w:rPr>
          <w:rFonts w:cstheme="minorHAnsi"/>
        </w:rPr>
        <w:t>hese study</w:t>
      </w:r>
      <w:r w:rsidRPr="001C619E">
        <w:rPr>
          <w:rFonts w:cstheme="minorHAnsi"/>
        </w:rPr>
        <w:t xml:space="preserve"> populations </w:t>
      </w:r>
      <w:r w:rsidR="00927FBB" w:rsidRPr="001C619E">
        <w:rPr>
          <w:rFonts w:cstheme="minorHAnsi"/>
        </w:rPr>
        <w:t xml:space="preserve">to be </w:t>
      </w:r>
      <w:r w:rsidRPr="001C619E">
        <w:rPr>
          <w:rFonts w:cstheme="minorHAnsi"/>
        </w:rPr>
        <w:t>low bleeding risk and low-to-intermediate ischaemic risk</w:t>
      </w:r>
      <w:r w:rsidR="00F4012C" w:rsidRPr="001C619E">
        <w:rPr>
          <w:rFonts w:cstheme="minorHAnsi"/>
        </w:rPr>
        <w:t xml:space="preserve">; </w:t>
      </w:r>
      <w:r w:rsidR="007B7211" w:rsidRPr="001C619E">
        <w:rPr>
          <w:rFonts w:cstheme="minorHAnsi"/>
        </w:rPr>
        <w:t>for them</w:t>
      </w:r>
      <w:r w:rsidRPr="001C619E">
        <w:rPr>
          <w:rFonts w:cstheme="minorHAnsi"/>
        </w:rPr>
        <w:t xml:space="preserve">, a </w:t>
      </w:r>
      <w:r w:rsidR="009C5A31" w:rsidRPr="001C619E">
        <w:rPr>
          <w:rFonts w:cstheme="minorHAnsi"/>
        </w:rPr>
        <w:t>c</w:t>
      </w:r>
      <w:r w:rsidRPr="001C619E">
        <w:rPr>
          <w:rFonts w:cstheme="minorHAnsi"/>
        </w:rPr>
        <w:t xml:space="preserve">lass I recommendation was made for the use of ticagrelor monotherapy in low bleeding risk patients after </w:t>
      </w:r>
      <w:r w:rsidRPr="001C619E">
        <w:rPr>
          <w:rFonts w:cstheme="minorHAnsi"/>
        </w:rPr>
        <w:lastRenderedPageBreak/>
        <w:t>3 months DAPT</w:t>
      </w:r>
      <w:r w:rsidR="007E113D" w:rsidRPr="001C619E">
        <w:rPr>
          <w:rFonts w:cstheme="minorHAnsi"/>
        </w:rPr>
        <w:t>,</w:t>
      </w:r>
      <w:r w:rsidRPr="001C619E">
        <w:rPr>
          <w:rFonts w:cstheme="minorHAnsi"/>
        </w:rPr>
        <w:t xml:space="preserve"> on the basis of TWILIGHT.</w:t>
      </w:r>
      <w:r w:rsidR="00A45A72">
        <w:rPr>
          <w:rFonts w:cstheme="minorHAnsi"/>
          <w:vertAlign w:val="superscript"/>
        </w:rPr>
        <w:t>6</w:t>
      </w:r>
      <w:r w:rsidR="0083484A" w:rsidRPr="001C619E">
        <w:rPr>
          <w:rFonts w:cstheme="minorHAnsi"/>
        </w:rPr>
        <w:t xml:space="preserve"> </w:t>
      </w:r>
      <w:r w:rsidR="00B42D41" w:rsidRPr="001C619E">
        <w:rPr>
          <w:rFonts w:cstheme="minorHAnsi"/>
        </w:rPr>
        <w:t xml:space="preserve"> </w:t>
      </w:r>
      <w:r w:rsidR="0081104A" w:rsidRPr="001C619E">
        <w:rPr>
          <w:rFonts w:cstheme="minorHAnsi"/>
        </w:rPr>
        <w:t>In actual fact</w:t>
      </w:r>
      <w:r w:rsidR="007E113D" w:rsidRPr="001C619E">
        <w:rPr>
          <w:rFonts w:cstheme="minorHAnsi"/>
        </w:rPr>
        <w:t xml:space="preserve">, the </w:t>
      </w:r>
      <w:r w:rsidRPr="001C619E">
        <w:rPr>
          <w:rFonts w:cstheme="minorHAnsi"/>
        </w:rPr>
        <w:t>TWILIGHT</w:t>
      </w:r>
      <w:r w:rsidR="007E113D" w:rsidRPr="001C619E">
        <w:rPr>
          <w:rFonts w:cstheme="minorHAnsi"/>
        </w:rPr>
        <w:t xml:space="preserve"> study</w:t>
      </w:r>
      <w:r w:rsidRPr="001C619E">
        <w:rPr>
          <w:rFonts w:cstheme="minorHAnsi"/>
        </w:rPr>
        <w:t xml:space="preserve"> patients were designated </w:t>
      </w:r>
      <w:r w:rsidR="0022165C" w:rsidRPr="001C619E">
        <w:rPr>
          <w:rFonts w:cstheme="minorHAnsi"/>
        </w:rPr>
        <w:t xml:space="preserve">as either </w:t>
      </w:r>
      <w:r w:rsidRPr="001C619E">
        <w:rPr>
          <w:rFonts w:cstheme="minorHAnsi"/>
        </w:rPr>
        <w:t>HBR</w:t>
      </w:r>
      <w:r w:rsidR="0022165C" w:rsidRPr="001C619E">
        <w:rPr>
          <w:rFonts w:cstheme="minorHAnsi"/>
        </w:rPr>
        <w:t xml:space="preserve"> or high isch</w:t>
      </w:r>
      <w:r w:rsidR="00E6271F" w:rsidRPr="001C619E">
        <w:rPr>
          <w:rFonts w:cstheme="minorHAnsi"/>
        </w:rPr>
        <w:t>a</w:t>
      </w:r>
      <w:r w:rsidR="0022165C" w:rsidRPr="001C619E">
        <w:rPr>
          <w:rFonts w:cstheme="minorHAnsi"/>
        </w:rPr>
        <w:t>emic</w:t>
      </w:r>
      <w:r w:rsidR="00290265" w:rsidRPr="001C619E">
        <w:rPr>
          <w:rFonts w:cstheme="minorHAnsi"/>
        </w:rPr>
        <w:t xml:space="preserve"> risk</w:t>
      </w:r>
      <w:r w:rsidR="00384ED5" w:rsidRPr="001C619E">
        <w:rPr>
          <w:rFonts w:cstheme="minorHAnsi"/>
        </w:rPr>
        <w:t xml:space="preserve">; this </w:t>
      </w:r>
      <w:r w:rsidRPr="001C619E">
        <w:rPr>
          <w:rFonts w:cstheme="minorHAnsi"/>
        </w:rPr>
        <w:t>was defined as the presence of at least one additional clinical feature and</w:t>
      </w:r>
      <w:r w:rsidR="0022165C" w:rsidRPr="001C619E">
        <w:rPr>
          <w:rFonts w:cstheme="minorHAnsi"/>
        </w:rPr>
        <w:t xml:space="preserve"> </w:t>
      </w:r>
      <w:r w:rsidRPr="001C619E">
        <w:rPr>
          <w:rFonts w:cstheme="minorHAnsi"/>
        </w:rPr>
        <w:t xml:space="preserve">one angiographic feature </w:t>
      </w:r>
      <w:r w:rsidR="00916791" w:rsidRPr="001C619E">
        <w:rPr>
          <w:rFonts w:cstheme="minorHAnsi"/>
        </w:rPr>
        <w:t xml:space="preserve">(see </w:t>
      </w:r>
      <w:r w:rsidR="00991EA3" w:rsidRPr="001C619E">
        <w:rPr>
          <w:rFonts w:cstheme="minorHAnsi"/>
        </w:rPr>
        <w:t>T</w:t>
      </w:r>
      <w:r w:rsidR="00916791" w:rsidRPr="001C619E">
        <w:rPr>
          <w:rFonts w:cstheme="minorHAnsi"/>
        </w:rPr>
        <w:t>able 1 for study design details).</w:t>
      </w:r>
      <w:r w:rsidRPr="001C619E">
        <w:rPr>
          <w:rFonts w:cstheme="minorHAnsi"/>
        </w:rPr>
        <w:t xml:space="preserve"> </w:t>
      </w:r>
      <w:bookmarkStart w:id="4" w:name="_Hlk67169674"/>
      <w:r w:rsidRPr="001C619E">
        <w:rPr>
          <w:rFonts w:cstheme="minorHAnsi"/>
        </w:rPr>
        <w:t>However, the TWILIGHT cohort w</w:t>
      </w:r>
      <w:r w:rsidR="000E30C8" w:rsidRPr="001C619E">
        <w:rPr>
          <w:rFonts w:cstheme="minorHAnsi"/>
        </w:rPr>
        <w:t>as</w:t>
      </w:r>
      <w:r w:rsidRPr="001C619E">
        <w:rPr>
          <w:rFonts w:cstheme="minorHAnsi"/>
        </w:rPr>
        <w:t xml:space="preserve"> not considered HBR in the ESC guidelines</w:t>
      </w:r>
      <w:bookmarkEnd w:id="4"/>
      <w:r w:rsidR="009349BC" w:rsidRPr="001C619E">
        <w:rPr>
          <w:rFonts w:cstheme="minorHAnsi"/>
        </w:rPr>
        <w:t xml:space="preserve">, </w:t>
      </w:r>
      <w:r w:rsidR="00FB2FAA" w:rsidRPr="001C619E">
        <w:rPr>
          <w:rFonts w:cstheme="minorHAnsi"/>
        </w:rPr>
        <w:t xml:space="preserve">in </w:t>
      </w:r>
      <w:r w:rsidR="007E57EF" w:rsidRPr="001C619E">
        <w:rPr>
          <w:rFonts w:cstheme="minorHAnsi"/>
        </w:rPr>
        <w:t>part</w:t>
      </w:r>
      <w:r w:rsidR="009B0CBF" w:rsidRPr="001C619E">
        <w:rPr>
          <w:rFonts w:cstheme="minorHAnsi"/>
        </w:rPr>
        <w:t>,</w:t>
      </w:r>
      <w:r w:rsidR="007E57EF" w:rsidRPr="001C619E">
        <w:rPr>
          <w:rFonts w:cstheme="minorHAnsi"/>
        </w:rPr>
        <w:t xml:space="preserve"> </w:t>
      </w:r>
      <w:r w:rsidR="00702E45">
        <w:rPr>
          <w:rFonts w:cstheme="minorHAnsi"/>
        </w:rPr>
        <w:t>owing</w:t>
      </w:r>
      <w:r w:rsidR="00702E45" w:rsidRPr="001C619E">
        <w:rPr>
          <w:rFonts w:cstheme="minorHAnsi"/>
        </w:rPr>
        <w:t xml:space="preserve"> </w:t>
      </w:r>
      <w:r w:rsidR="00A36DE5" w:rsidRPr="001C619E">
        <w:rPr>
          <w:rFonts w:cstheme="minorHAnsi"/>
        </w:rPr>
        <w:t xml:space="preserve">to </w:t>
      </w:r>
      <w:r w:rsidR="00087962" w:rsidRPr="001C619E">
        <w:rPr>
          <w:rFonts w:cstheme="minorHAnsi"/>
        </w:rPr>
        <w:t xml:space="preserve">the </w:t>
      </w:r>
      <w:r w:rsidR="00A36DE5" w:rsidRPr="001C619E">
        <w:rPr>
          <w:rFonts w:cstheme="minorHAnsi"/>
        </w:rPr>
        <w:t>one</w:t>
      </w:r>
      <w:r w:rsidR="00E42F6D" w:rsidRPr="001C619E">
        <w:rPr>
          <w:rFonts w:cstheme="minorHAnsi"/>
        </w:rPr>
        <w:t>-</w:t>
      </w:r>
      <w:r w:rsidR="00A36DE5" w:rsidRPr="001C619E">
        <w:rPr>
          <w:rFonts w:cstheme="minorHAnsi"/>
        </w:rPr>
        <w:t xml:space="preserve">year BARC 3 or 5 </w:t>
      </w:r>
      <w:r w:rsidR="00640180" w:rsidRPr="001C619E">
        <w:rPr>
          <w:rFonts w:cstheme="minorHAnsi"/>
        </w:rPr>
        <w:t>bleeding rate</w:t>
      </w:r>
      <w:r w:rsidR="00C47D2B" w:rsidRPr="001C619E">
        <w:rPr>
          <w:rFonts w:cstheme="minorHAnsi"/>
        </w:rPr>
        <w:t>s</w:t>
      </w:r>
      <w:r w:rsidR="00550919" w:rsidRPr="001C619E">
        <w:rPr>
          <w:rFonts w:cstheme="minorHAnsi"/>
        </w:rPr>
        <w:t xml:space="preserve"> being below </w:t>
      </w:r>
      <w:r w:rsidR="0076282C" w:rsidRPr="001C619E">
        <w:rPr>
          <w:rFonts w:cstheme="minorHAnsi"/>
        </w:rPr>
        <w:t xml:space="preserve">the </w:t>
      </w:r>
      <w:r w:rsidR="00550919" w:rsidRPr="001C619E">
        <w:rPr>
          <w:rFonts w:cstheme="minorHAnsi"/>
        </w:rPr>
        <w:t xml:space="preserve">4% </w:t>
      </w:r>
      <w:r w:rsidR="00896D1B" w:rsidRPr="001C619E">
        <w:rPr>
          <w:rFonts w:cstheme="minorHAnsi"/>
        </w:rPr>
        <w:t>cut-off (</w:t>
      </w:r>
      <w:r w:rsidR="00C529C0" w:rsidRPr="001C619E">
        <w:rPr>
          <w:rFonts w:cstheme="minorHAnsi"/>
        </w:rPr>
        <w:t xml:space="preserve">as </w:t>
      </w:r>
      <w:r w:rsidR="00896D1B" w:rsidRPr="001C619E">
        <w:rPr>
          <w:rFonts w:cstheme="minorHAnsi"/>
        </w:rPr>
        <w:t>defined in</w:t>
      </w:r>
      <w:r w:rsidR="0091091B" w:rsidRPr="001C619E">
        <w:rPr>
          <w:rFonts w:cstheme="minorHAnsi"/>
        </w:rPr>
        <w:t xml:space="preserve"> recent ARC-HBR criteria)</w:t>
      </w:r>
      <w:r w:rsidR="006A1C2F">
        <w:rPr>
          <w:rFonts w:cstheme="minorHAnsi"/>
          <w:vertAlign w:val="superscript"/>
        </w:rPr>
        <w:t>15</w:t>
      </w:r>
      <w:r w:rsidR="00896D1B" w:rsidRPr="001C619E">
        <w:rPr>
          <w:rFonts w:cstheme="minorHAnsi"/>
        </w:rPr>
        <w:t xml:space="preserve"> </w:t>
      </w:r>
      <w:r w:rsidR="00550919" w:rsidRPr="001C619E">
        <w:rPr>
          <w:rFonts w:cstheme="minorHAnsi"/>
        </w:rPr>
        <w:t xml:space="preserve">in both monotherapy and </w:t>
      </w:r>
      <w:r w:rsidR="00285F2B" w:rsidRPr="001C619E">
        <w:rPr>
          <w:rFonts w:cstheme="minorHAnsi"/>
        </w:rPr>
        <w:t xml:space="preserve">DAPT </w:t>
      </w:r>
      <w:r w:rsidR="00550919" w:rsidRPr="001C619E">
        <w:rPr>
          <w:rFonts w:cstheme="minorHAnsi"/>
        </w:rPr>
        <w:t>arms</w:t>
      </w:r>
      <w:r w:rsidR="0071711F" w:rsidRPr="001C619E">
        <w:rPr>
          <w:rFonts w:cstheme="minorHAnsi"/>
        </w:rPr>
        <w:t>.</w:t>
      </w:r>
      <w:r w:rsidRPr="001C619E">
        <w:rPr>
          <w:rFonts w:cstheme="minorHAnsi"/>
        </w:rPr>
        <w:t xml:space="preserve"> Thus,</w:t>
      </w:r>
      <w:r w:rsidR="00C34FC8" w:rsidRPr="001C619E">
        <w:rPr>
          <w:rFonts w:cstheme="minorHAnsi"/>
        </w:rPr>
        <w:t xml:space="preserve"> according to the 2020 ESC guideline</w:t>
      </w:r>
      <w:r w:rsidR="00F421B6" w:rsidRPr="001C619E">
        <w:rPr>
          <w:rFonts w:cstheme="minorHAnsi"/>
        </w:rPr>
        <w:t>s</w:t>
      </w:r>
      <w:r w:rsidR="00C34FC8" w:rsidRPr="001C619E">
        <w:rPr>
          <w:rFonts w:cstheme="minorHAnsi"/>
        </w:rPr>
        <w:t>,</w:t>
      </w:r>
      <w:r w:rsidRPr="001C619E">
        <w:rPr>
          <w:rFonts w:cstheme="minorHAnsi"/>
        </w:rPr>
        <w:t xml:space="preserve"> </w:t>
      </w:r>
      <w:r w:rsidR="00F23584" w:rsidRPr="001C619E">
        <w:rPr>
          <w:rFonts w:cstheme="minorHAnsi"/>
        </w:rPr>
        <w:t>in</w:t>
      </w:r>
      <w:r w:rsidRPr="001C619E">
        <w:rPr>
          <w:rFonts w:cstheme="minorHAnsi"/>
        </w:rPr>
        <w:t xml:space="preserve"> </w:t>
      </w:r>
      <w:r w:rsidR="00B304D1" w:rsidRPr="001C619E">
        <w:rPr>
          <w:rFonts w:cstheme="minorHAnsi"/>
        </w:rPr>
        <w:t>high or very high bleeding risk patients</w:t>
      </w:r>
      <w:r w:rsidR="008757CC" w:rsidRPr="001C619E">
        <w:rPr>
          <w:rFonts w:cstheme="minorHAnsi"/>
        </w:rPr>
        <w:t>, monotherapy</w:t>
      </w:r>
      <w:r w:rsidRPr="001C619E">
        <w:rPr>
          <w:rFonts w:cstheme="minorHAnsi"/>
        </w:rPr>
        <w:t xml:space="preserve"> </w:t>
      </w:r>
      <w:r w:rsidR="009C7F87" w:rsidRPr="001C619E">
        <w:rPr>
          <w:rFonts w:cstheme="minorHAnsi"/>
        </w:rPr>
        <w:t>after 1</w:t>
      </w:r>
      <w:r w:rsidR="001D60DA">
        <w:rPr>
          <w:rFonts w:cstheme="minorHAnsi"/>
        </w:rPr>
        <w:t>–</w:t>
      </w:r>
      <w:r w:rsidR="009C7F87" w:rsidRPr="001C619E">
        <w:rPr>
          <w:rFonts w:cstheme="minorHAnsi"/>
        </w:rPr>
        <w:t>3 month</w:t>
      </w:r>
      <w:r w:rsidR="00F91680" w:rsidRPr="001C619E">
        <w:rPr>
          <w:rFonts w:cstheme="minorHAnsi"/>
        </w:rPr>
        <w:t xml:space="preserve"> DAPT</w:t>
      </w:r>
      <w:r w:rsidR="009C7F87" w:rsidRPr="001C619E">
        <w:rPr>
          <w:rFonts w:cstheme="minorHAnsi"/>
        </w:rPr>
        <w:t xml:space="preserve"> </w:t>
      </w:r>
      <w:r w:rsidR="00C06C8B" w:rsidRPr="001C619E">
        <w:rPr>
          <w:rFonts w:cstheme="minorHAnsi"/>
        </w:rPr>
        <w:t>is either</w:t>
      </w:r>
      <w:r w:rsidR="00BB7C98" w:rsidRPr="001C619E">
        <w:rPr>
          <w:rFonts w:cstheme="minorHAnsi"/>
        </w:rPr>
        <w:t xml:space="preserve"> via </w:t>
      </w:r>
      <w:r w:rsidR="00744732">
        <w:rPr>
          <w:rFonts w:cstheme="minorHAnsi"/>
        </w:rPr>
        <w:t>ASA</w:t>
      </w:r>
      <w:r w:rsidR="00BB7C98" w:rsidRPr="001C619E">
        <w:rPr>
          <w:rFonts w:cstheme="minorHAnsi"/>
        </w:rPr>
        <w:t xml:space="preserve"> or clopidogrel</w:t>
      </w:r>
      <w:r w:rsidR="00176429" w:rsidRPr="001C619E">
        <w:rPr>
          <w:rFonts w:cstheme="minorHAnsi"/>
        </w:rPr>
        <w:t xml:space="preserve"> (class </w:t>
      </w:r>
      <w:proofErr w:type="spellStart"/>
      <w:r w:rsidR="00176429" w:rsidRPr="001C619E">
        <w:rPr>
          <w:rFonts w:cstheme="minorHAnsi"/>
        </w:rPr>
        <w:t>IIa</w:t>
      </w:r>
      <w:proofErr w:type="spellEnd"/>
      <w:r w:rsidR="00B03FFF" w:rsidRPr="001C619E">
        <w:rPr>
          <w:rFonts w:cstheme="minorHAnsi"/>
        </w:rPr>
        <w:t xml:space="preserve"> for </w:t>
      </w:r>
      <w:r w:rsidR="00702E45">
        <w:rPr>
          <w:rFonts w:cstheme="minorHAnsi"/>
        </w:rPr>
        <w:t>either</w:t>
      </w:r>
      <w:r w:rsidR="00B03FFF" w:rsidRPr="001C619E">
        <w:rPr>
          <w:rFonts w:cstheme="minorHAnsi"/>
        </w:rPr>
        <w:t xml:space="preserve"> options </w:t>
      </w:r>
      <w:r w:rsidR="00B505FC" w:rsidRPr="001C619E">
        <w:rPr>
          <w:rFonts w:cstheme="minorHAnsi"/>
        </w:rPr>
        <w:t>as per</w:t>
      </w:r>
      <w:r w:rsidR="00B03FFF" w:rsidRPr="001C619E">
        <w:rPr>
          <w:rFonts w:cstheme="minorHAnsi"/>
        </w:rPr>
        <w:t xml:space="preserve"> guideline Figure </w:t>
      </w:r>
      <w:r w:rsidR="00B505FC" w:rsidRPr="001C619E">
        <w:rPr>
          <w:rFonts w:cstheme="minorHAnsi"/>
        </w:rPr>
        <w:t>7</w:t>
      </w:r>
      <w:r w:rsidR="00D662B6" w:rsidRPr="001C619E">
        <w:rPr>
          <w:rFonts w:cstheme="minorHAnsi"/>
        </w:rPr>
        <w:t>)</w:t>
      </w:r>
      <w:r w:rsidR="00F91680" w:rsidRPr="001C619E">
        <w:rPr>
          <w:rFonts w:cstheme="minorHAnsi"/>
        </w:rPr>
        <w:t>.</w:t>
      </w:r>
      <w:r w:rsidR="00A42947">
        <w:rPr>
          <w:rFonts w:cstheme="minorHAnsi"/>
          <w:vertAlign w:val="superscript"/>
        </w:rPr>
        <w:t>1</w:t>
      </w:r>
      <w:r w:rsidR="00F91680" w:rsidRPr="001C619E">
        <w:rPr>
          <w:rFonts w:cstheme="minorHAnsi"/>
        </w:rPr>
        <w:t xml:space="preserve"> </w:t>
      </w:r>
      <w:r w:rsidR="00A409C0" w:rsidRPr="00702E45">
        <w:rPr>
          <w:rFonts w:cstheme="minorHAnsi"/>
        </w:rPr>
        <w:t xml:space="preserve">Interestingly, </w:t>
      </w:r>
      <w:r w:rsidR="00B80FDF" w:rsidRPr="00702E45">
        <w:rPr>
          <w:rFonts w:cstheme="minorHAnsi"/>
        </w:rPr>
        <w:t xml:space="preserve">monotherapy with clopidogrel or ticagrelor </w:t>
      </w:r>
      <w:r w:rsidR="0084729E" w:rsidRPr="00702E45">
        <w:rPr>
          <w:rFonts w:cstheme="minorHAnsi"/>
        </w:rPr>
        <w:t>after 3</w:t>
      </w:r>
      <w:r w:rsidR="002E2F34">
        <w:rPr>
          <w:rFonts w:cstheme="minorHAnsi"/>
        </w:rPr>
        <w:t>–</w:t>
      </w:r>
      <w:r w:rsidR="0084729E" w:rsidRPr="00702E45">
        <w:rPr>
          <w:rFonts w:cstheme="minorHAnsi"/>
        </w:rPr>
        <w:t>6 month DAPT is</w:t>
      </w:r>
      <w:r w:rsidR="00B80FDF" w:rsidRPr="00702E45">
        <w:rPr>
          <w:rFonts w:cstheme="minorHAnsi"/>
        </w:rPr>
        <w:t xml:space="preserve"> recommended </w:t>
      </w:r>
      <w:r w:rsidR="00867D66" w:rsidRPr="00702E45">
        <w:rPr>
          <w:rFonts w:cstheme="minorHAnsi"/>
        </w:rPr>
        <w:t xml:space="preserve">with equal strength (class </w:t>
      </w:r>
      <w:proofErr w:type="spellStart"/>
      <w:r w:rsidR="00867D66" w:rsidRPr="00702E45">
        <w:rPr>
          <w:rFonts w:cstheme="minorHAnsi"/>
        </w:rPr>
        <w:t>IIa</w:t>
      </w:r>
      <w:proofErr w:type="spellEnd"/>
      <w:r w:rsidR="00867D66" w:rsidRPr="00702E45">
        <w:rPr>
          <w:rFonts w:cstheme="minorHAnsi"/>
        </w:rPr>
        <w:t>)</w:t>
      </w:r>
      <w:r w:rsidR="00A25833" w:rsidRPr="00702E45">
        <w:rPr>
          <w:rFonts w:cstheme="minorHAnsi"/>
        </w:rPr>
        <w:t xml:space="preserve"> </w:t>
      </w:r>
      <w:r w:rsidR="00EB7169">
        <w:rPr>
          <w:rFonts w:cstheme="minorHAnsi"/>
        </w:rPr>
        <w:t>“</w:t>
      </w:r>
      <w:r w:rsidR="004F080F">
        <w:rPr>
          <w:rFonts w:cstheme="minorHAnsi"/>
        </w:rPr>
        <w:t>…</w:t>
      </w:r>
      <w:r w:rsidR="00A25833" w:rsidRPr="00702E45">
        <w:rPr>
          <w:rFonts w:cstheme="minorHAnsi"/>
        </w:rPr>
        <w:t xml:space="preserve">depending on the balance between </w:t>
      </w:r>
      <w:r w:rsidR="000773B8">
        <w:rPr>
          <w:rFonts w:cstheme="minorHAnsi"/>
        </w:rPr>
        <w:t xml:space="preserve">the </w:t>
      </w:r>
      <w:r w:rsidR="00A25833" w:rsidRPr="00702E45">
        <w:rPr>
          <w:rFonts w:cstheme="minorHAnsi"/>
        </w:rPr>
        <w:t>ischaemic and bleeding ris</w:t>
      </w:r>
      <w:r w:rsidR="00660FA8">
        <w:rPr>
          <w:rFonts w:cstheme="minorHAnsi"/>
        </w:rPr>
        <w:t>k</w:t>
      </w:r>
      <w:r w:rsidR="00A25833" w:rsidRPr="00702E45">
        <w:rPr>
          <w:rFonts w:cstheme="minorHAnsi"/>
        </w:rPr>
        <w:t>”</w:t>
      </w:r>
      <w:r w:rsidR="00815F31">
        <w:rPr>
          <w:rFonts w:cstheme="minorHAnsi"/>
        </w:rPr>
        <w:t xml:space="preserve"> </w:t>
      </w:r>
      <w:r w:rsidR="005F42B1">
        <w:rPr>
          <w:rFonts w:cstheme="minorHAnsi"/>
        </w:rPr>
        <w:t>(</w:t>
      </w:r>
      <w:r w:rsidR="00A25833" w:rsidRPr="00702E45">
        <w:rPr>
          <w:rFonts w:cstheme="minorHAnsi"/>
        </w:rPr>
        <w:t xml:space="preserve">as per </w:t>
      </w:r>
      <w:r w:rsidR="004A629F">
        <w:rPr>
          <w:rFonts w:cstheme="minorHAnsi"/>
        </w:rPr>
        <w:t xml:space="preserve">ESC </w:t>
      </w:r>
      <w:r w:rsidR="00A25833" w:rsidRPr="00702E45">
        <w:rPr>
          <w:rFonts w:cstheme="minorHAnsi"/>
        </w:rPr>
        <w:t xml:space="preserve">guideline </w:t>
      </w:r>
      <w:r w:rsidR="005F42B1">
        <w:rPr>
          <w:rFonts w:cstheme="minorHAnsi"/>
        </w:rPr>
        <w:t>table</w:t>
      </w:r>
      <w:r w:rsidR="000773B8">
        <w:rPr>
          <w:rFonts w:cstheme="minorHAnsi"/>
        </w:rPr>
        <w:t xml:space="preserve"> entitled</w:t>
      </w:r>
      <w:r w:rsidR="00E978C7" w:rsidRPr="00702E45">
        <w:rPr>
          <w:rFonts w:cstheme="minorHAnsi"/>
        </w:rPr>
        <w:t xml:space="preserve"> </w:t>
      </w:r>
      <w:r w:rsidR="00E978C7" w:rsidRPr="00367D7E">
        <w:rPr>
          <w:rFonts w:cstheme="minorHAnsi"/>
          <w:i/>
          <w:iCs/>
        </w:rPr>
        <w:t>Recommendations for post-interventional and</w:t>
      </w:r>
      <w:r w:rsidR="00702E45" w:rsidRPr="00367D7E">
        <w:rPr>
          <w:rFonts w:cstheme="minorHAnsi"/>
          <w:i/>
          <w:iCs/>
        </w:rPr>
        <w:t xml:space="preserve"> </w:t>
      </w:r>
      <w:r w:rsidR="00E978C7" w:rsidRPr="00367D7E">
        <w:rPr>
          <w:rFonts w:cstheme="minorHAnsi"/>
          <w:i/>
          <w:iCs/>
        </w:rPr>
        <w:t>maintenance treatment in patients with</w:t>
      </w:r>
      <w:r w:rsidR="001C619E" w:rsidRPr="00367D7E">
        <w:rPr>
          <w:rFonts w:cstheme="minorHAnsi"/>
          <w:i/>
          <w:iCs/>
        </w:rPr>
        <w:t xml:space="preserve"> </w:t>
      </w:r>
      <w:r w:rsidR="00E978C7" w:rsidRPr="00367D7E">
        <w:rPr>
          <w:rFonts w:cstheme="minorHAnsi"/>
          <w:i/>
          <w:iCs/>
        </w:rPr>
        <w:t>non-ST-segment elevation acute coronary syndrome</w:t>
      </w:r>
      <w:r w:rsidR="00A25833" w:rsidRPr="00702E45">
        <w:rPr>
          <w:rFonts w:cstheme="minorHAnsi"/>
        </w:rPr>
        <w:t>).</w:t>
      </w:r>
      <w:r w:rsidR="00A42947">
        <w:rPr>
          <w:rFonts w:cstheme="minorHAnsi"/>
          <w:vertAlign w:val="superscript"/>
        </w:rPr>
        <w:t>1</w:t>
      </w:r>
    </w:p>
    <w:p w14:paraId="27E5BD2B" w14:textId="77777777" w:rsidR="00F5702D" w:rsidRPr="00702E45" w:rsidRDefault="00F5702D" w:rsidP="00B67081">
      <w:pPr>
        <w:spacing w:after="0" w:line="480" w:lineRule="auto"/>
        <w:rPr>
          <w:rFonts w:cstheme="minorHAnsi"/>
        </w:rPr>
      </w:pPr>
    </w:p>
    <w:p w14:paraId="08EAF3E6" w14:textId="2F09EB5A" w:rsidR="006811A9" w:rsidRPr="00C12352" w:rsidRDefault="00702E45" w:rsidP="00B67081">
      <w:pPr>
        <w:spacing w:after="0" w:line="480" w:lineRule="auto"/>
        <w:rPr>
          <w:rFonts w:cstheme="minorHAnsi"/>
        </w:rPr>
      </w:pPr>
      <w:r>
        <w:rPr>
          <w:rFonts w:cstheme="minorHAnsi"/>
        </w:rPr>
        <w:t>S</w:t>
      </w:r>
      <w:r w:rsidR="00F5702D" w:rsidRPr="001C619E">
        <w:rPr>
          <w:rFonts w:cstheme="minorHAnsi"/>
        </w:rPr>
        <w:t xml:space="preserve">ince the publication of the </w:t>
      </w:r>
      <w:r w:rsidR="00FC5252" w:rsidRPr="001C619E">
        <w:rPr>
          <w:rFonts w:cstheme="minorHAnsi"/>
        </w:rPr>
        <w:t xml:space="preserve">2020 </w:t>
      </w:r>
      <w:r w:rsidR="00F5702D" w:rsidRPr="001C619E">
        <w:rPr>
          <w:rFonts w:cstheme="minorHAnsi"/>
        </w:rPr>
        <w:t xml:space="preserve">ESC guidelines, there </w:t>
      </w:r>
      <w:r w:rsidR="00DE2482" w:rsidRPr="001C619E">
        <w:rPr>
          <w:rFonts w:cstheme="minorHAnsi"/>
        </w:rPr>
        <w:t xml:space="preserve">has been growing </w:t>
      </w:r>
      <w:r w:rsidR="00CB4C90" w:rsidRPr="001C619E">
        <w:rPr>
          <w:rFonts w:cstheme="minorHAnsi"/>
        </w:rPr>
        <w:t>support for</w:t>
      </w:r>
      <w:r w:rsidR="000E30C8" w:rsidRPr="001C619E">
        <w:rPr>
          <w:rFonts w:cstheme="minorHAnsi"/>
        </w:rPr>
        <w:t xml:space="preserve"> </w:t>
      </w:r>
      <w:r w:rsidR="00F5702D" w:rsidRPr="001C619E">
        <w:rPr>
          <w:rFonts w:cstheme="minorHAnsi"/>
        </w:rPr>
        <w:t>the continuation of P2Y</w:t>
      </w:r>
      <w:r w:rsidR="00F5702D" w:rsidRPr="001C619E">
        <w:rPr>
          <w:rFonts w:cstheme="minorHAnsi"/>
          <w:vertAlign w:val="subscript"/>
        </w:rPr>
        <w:t>12</w:t>
      </w:r>
      <w:r w:rsidR="00F5702D" w:rsidRPr="001C619E">
        <w:rPr>
          <w:rFonts w:cstheme="minorHAnsi"/>
        </w:rPr>
        <w:t xml:space="preserve"> receptor inhibitors as monotherapy in HBR patients.</w:t>
      </w:r>
      <w:r w:rsidR="00E91F95">
        <w:rPr>
          <w:rFonts w:cstheme="minorHAnsi"/>
          <w:vertAlign w:val="superscript"/>
        </w:rPr>
        <w:t>4,5</w:t>
      </w:r>
      <w:r w:rsidR="000878C9" w:rsidRPr="001C619E">
        <w:rPr>
          <w:rFonts w:cstheme="minorHAnsi"/>
          <w:vertAlign w:val="superscript"/>
        </w:rPr>
        <w:t>,</w:t>
      </w:r>
      <w:r w:rsidR="005643F7">
        <w:rPr>
          <w:rFonts w:cstheme="minorHAnsi"/>
          <w:vertAlign w:val="superscript"/>
        </w:rPr>
        <w:t>18</w:t>
      </w:r>
      <w:r w:rsidR="00F5702D" w:rsidRPr="001C619E">
        <w:rPr>
          <w:rFonts w:cstheme="minorHAnsi"/>
        </w:rPr>
        <w:t xml:space="preserve"> </w:t>
      </w:r>
      <w:r w:rsidR="00EC476F">
        <w:rPr>
          <w:rFonts w:cstheme="minorHAnsi"/>
        </w:rPr>
        <w:t>T</w:t>
      </w:r>
      <w:r w:rsidR="00EC476F" w:rsidRPr="004B0B9B">
        <w:rPr>
          <w:rFonts w:cstheme="minorHAnsi"/>
        </w:rPr>
        <w:t xml:space="preserve">he </w:t>
      </w:r>
      <w:r w:rsidR="00F5702D" w:rsidRPr="004B0B9B">
        <w:rPr>
          <w:rFonts w:cstheme="minorHAnsi"/>
        </w:rPr>
        <w:t>only large RCT evaluating a potent P2Y</w:t>
      </w:r>
      <w:r w:rsidR="00F5702D" w:rsidRPr="004B0B9B">
        <w:rPr>
          <w:rFonts w:cstheme="minorHAnsi"/>
          <w:vertAlign w:val="subscript"/>
        </w:rPr>
        <w:t xml:space="preserve">12 </w:t>
      </w:r>
      <w:r w:rsidR="00F5702D" w:rsidRPr="004B0B9B">
        <w:rPr>
          <w:rFonts w:cstheme="minorHAnsi"/>
        </w:rPr>
        <w:t xml:space="preserve">inhibitor as monotherapy in a global population </w:t>
      </w:r>
      <w:r w:rsidR="00EC476F">
        <w:rPr>
          <w:rFonts w:cstheme="minorHAnsi"/>
        </w:rPr>
        <w:t xml:space="preserve">that included some </w:t>
      </w:r>
      <w:r w:rsidR="007F0609">
        <w:rPr>
          <w:rFonts w:cstheme="minorHAnsi"/>
        </w:rPr>
        <w:t xml:space="preserve">patients at HBR </w:t>
      </w:r>
      <w:r w:rsidR="00F5702D" w:rsidRPr="004B0B9B">
        <w:rPr>
          <w:rFonts w:cstheme="minorHAnsi"/>
        </w:rPr>
        <w:t>is TWILIGHT.</w:t>
      </w:r>
      <w:r w:rsidR="005643F7">
        <w:rPr>
          <w:rFonts w:cstheme="minorHAnsi"/>
          <w:vertAlign w:val="superscript"/>
        </w:rPr>
        <w:t>6</w:t>
      </w:r>
      <w:r w:rsidR="00F5702D" w:rsidRPr="004B0B9B">
        <w:rPr>
          <w:rFonts w:cstheme="minorHAnsi"/>
        </w:rPr>
        <w:t xml:space="preserve"> </w:t>
      </w:r>
      <w:r w:rsidR="00744682">
        <w:rPr>
          <w:rFonts w:cstheme="minorHAnsi"/>
        </w:rPr>
        <w:t>STOPDAPT</w:t>
      </w:r>
      <w:r w:rsidR="00D72983">
        <w:rPr>
          <w:rFonts w:cstheme="minorHAnsi"/>
        </w:rPr>
        <w:t>-</w:t>
      </w:r>
      <w:r w:rsidR="00744682">
        <w:rPr>
          <w:rFonts w:cstheme="minorHAnsi"/>
        </w:rPr>
        <w:t>2</w:t>
      </w:r>
      <w:r w:rsidR="00C12352">
        <w:rPr>
          <w:rFonts w:cstheme="minorHAnsi"/>
        </w:rPr>
        <w:t xml:space="preserve"> </w:t>
      </w:r>
      <w:r w:rsidR="00F5702D" w:rsidRPr="004B0B9B">
        <w:rPr>
          <w:rFonts w:cstheme="minorHAnsi"/>
        </w:rPr>
        <w:t xml:space="preserve">included </w:t>
      </w:r>
      <w:r w:rsidR="00EF0070">
        <w:rPr>
          <w:rFonts w:cstheme="minorHAnsi"/>
        </w:rPr>
        <w:t xml:space="preserve">a share of </w:t>
      </w:r>
      <w:r w:rsidR="0009592E">
        <w:rPr>
          <w:rFonts w:cstheme="minorHAnsi"/>
        </w:rPr>
        <w:t>HBR</w:t>
      </w:r>
      <w:r w:rsidR="00F5702D" w:rsidRPr="004B0B9B">
        <w:rPr>
          <w:rFonts w:cstheme="minorHAnsi"/>
        </w:rPr>
        <w:t xml:space="preserve"> patients</w:t>
      </w:r>
      <w:r w:rsidR="0058632D">
        <w:rPr>
          <w:rFonts w:cstheme="minorHAnsi"/>
        </w:rPr>
        <w:t>, but</w:t>
      </w:r>
      <w:r w:rsidR="00F5702D" w:rsidRPr="004B0B9B">
        <w:rPr>
          <w:rFonts w:cstheme="minorHAnsi"/>
        </w:rPr>
        <w:t xml:space="preserve"> </w:t>
      </w:r>
      <w:r w:rsidR="00EF0070">
        <w:rPr>
          <w:rFonts w:cstheme="minorHAnsi"/>
        </w:rPr>
        <w:t>most were</w:t>
      </w:r>
      <w:r w:rsidR="008072B2">
        <w:rPr>
          <w:rFonts w:cstheme="minorHAnsi"/>
        </w:rPr>
        <w:t xml:space="preserve"> </w:t>
      </w:r>
      <w:r w:rsidR="007D6312">
        <w:rPr>
          <w:rFonts w:cstheme="minorHAnsi"/>
        </w:rPr>
        <w:t xml:space="preserve">at </w:t>
      </w:r>
      <w:r w:rsidR="00F5702D" w:rsidRPr="004B0B9B">
        <w:rPr>
          <w:rFonts w:cstheme="minorHAnsi"/>
        </w:rPr>
        <w:t>low to intermediate thrombotic and bleeding risk</w:t>
      </w:r>
      <w:r w:rsidR="003A4AD3" w:rsidRPr="004B0B9B">
        <w:rPr>
          <w:rFonts w:cstheme="minorHAnsi"/>
        </w:rPr>
        <w:t>, s</w:t>
      </w:r>
      <w:r w:rsidR="00183A1F" w:rsidRPr="004B0B9B">
        <w:rPr>
          <w:rFonts w:cstheme="minorHAnsi"/>
        </w:rPr>
        <w:t>o</w:t>
      </w:r>
      <w:r w:rsidR="00F5702D" w:rsidRPr="004B0B9B">
        <w:rPr>
          <w:rFonts w:cstheme="minorHAnsi"/>
        </w:rPr>
        <w:t xml:space="preserve"> </w:t>
      </w:r>
      <w:r w:rsidR="005D7C0E">
        <w:rPr>
          <w:rFonts w:cstheme="minorHAnsi"/>
        </w:rPr>
        <w:t xml:space="preserve">the </w:t>
      </w:r>
      <w:r w:rsidR="007D6312">
        <w:rPr>
          <w:rFonts w:cstheme="minorHAnsi"/>
        </w:rPr>
        <w:t xml:space="preserve">overall </w:t>
      </w:r>
      <w:r w:rsidR="00F5702D" w:rsidRPr="004B0B9B">
        <w:rPr>
          <w:rFonts w:cstheme="minorHAnsi"/>
        </w:rPr>
        <w:t>significantly lower</w:t>
      </w:r>
      <w:r w:rsidR="00A413E0">
        <w:rPr>
          <w:rFonts w:cstheme="minorHAnsi"/>
        </w:rPr>
        <w:t xml:space="preserve"> </w:t>
      </w:r>
      <w:r w:rsidR="00F5702D" w:rsidRPr="004B0B9B">
        <w:rPr>
          <w:rFonts w:cstheme="minorHAnsi"/>
        </w:rPr>
        <w:t>cardiovascular and bleeding event</w:t>
      </w:r>
      <w:r w:rsidR="00577862">
        <w:rPr>
          <w:rFonts w:cstheme="minorHAnsi"/>
        </w:rPr>
        <w:t xml:space="preserve"> </w:t>
      </w:r>
      <w:r w:rsidR="00A413E0">
        <w:rPr>
          <w:rFonts w:cstheme="minorHAnsi"/>
        </w:rPr>
        <w:t>rate</w:t>
      </w:r>
      <w:r w:rsidR="00577862">
        <w:rPr>
          <w:rFonts w:cstheme="minorHAnsi"/>
        </w:rPr>
        <w:t xml:space="preserve"> </w:t>
      </w:r>
      <w:r w:rsidR="002641F4">
        <w:rPr>
          <w:rFonts w:cstheme="minorHAnsi"/>
        </w:rPr>
        <w:t>with P2Y</w:t>
      </w:r>
      <w:r w:rsidR="002641F4" w:rsidRPr="00F4134D">
        <w:rPr>
          <w:rFonts w:cstheme="minorHAnsi"/>
          <w:vertAlign w:val="subscript"/>
        </w:rPr>
        <w:t>12</w:t>
      </w:r>
      <w:r w:rsidR="002641F4">
        <w:rPr>
          <w:rFonts w:cstheme="minorHAnsi"/>
        </w:rPr>
        <w:t xml:space="preserve"> monotherapy compared with DAPT can</w:t>
      </w:r>
      <w:r w:rsidR="00F5702D" w:rsidRPr="004B0B9B">
        <w:rPr>
          <w:rFonts w:cstheme="minorHAnsi"/>
        </w:rPr>
        <w:t xml:space="preserve">not be extrapolated to </w:t>
      </w:r>
      <w:r w:rsidR="00F4134D">
        <w:rPr>
          <w:rFonts w:cstheme="minorHAnsi"/>
        </w:rPr>
        <w:t>entirely HBR</w:t>
      </w:r>
      <w:r w:rsidR="00F5702D" w:rsidRPr="004B0B9B">
        <w:rPr>
          <w:rFonts w:cstheme="minorHAnsi"/>
        </w:rPr>
        <w:t xml:space="preserve"> </w:t>
      </w:r>
      <w:r w:rsidR="00F5702D" w:rsidRPr="00873534">
        <w:rPr>
          <w:rFonts w:cstheme="minorHAnsi"/>
        </w:rPr>
        <w:t>populations</w:t>
      </w:r>
      <w:r w:rsidR="005643F7">
        <w:rPr>
          <w:rFonts w:cstheme="minorHAnsi"/>
          <w:vertAlign w:val="superscript"/>
        </w:rPr>
        <w:t>7</w:t>
      </w:r>
      <w:r w:rsidR="00F5702D" w:rsidRPr="00873534">
        <w:rPr>
          <w:rFonts w:cstheme="minorHAnsi"/>
        </w:rPr>
        <w:t xml:space="preserve"> (</w:t>
      </w:r>
      <w:r>
        <w:rPr>
          <w:rFonts w:cstheme="minorHAnsi"/>
        </w:rPr>
        <w:t>s</w:t>
      </w:r>
      <w:r w:rsidR="00F5702D" w:rsidRPr="00873534">
        <w:rPr>
          <w:rFonts w:cstheme="minorHAnsi"/>
        </w:rPr>
        <w:t xml:space="preserve">ee </w:t>
      </w:r>
      <w:r w:rsidR="00F5702D" w:rsidRPr="00873534">
        <w:rPr>
          <w:rFonts w:cstheme="minorHAnsi"/>
          <w:i/>
          <w:iCs/>
        </w:rPr>
        <w:t>Table 1</w:t>
      </w:r>
      <w:r w:rsidR="00F5702D" w:rsidRPr="00873534">
        <w:rPr>
          <w:rFonts w:cstheme="minorHAnsi"/>
        </w:rPr>
        <w:t xml:space="preserve"> for a comparison of </w:t>
      </w:r>
      <w:r w:rsidR="00222842">
        <w:rPr>
          <w:rFonts w:cstheme="minorHAnsi"/>
        </w:rPr>
        <w:t xml:space="preserve">ACS </w:t>
      </w:r>
      <w:r w:rsidR="00F5702D" w:rsidRPr="00873534">
        <w:rPr>
          <w:rFonts w:cstheme="minorHAnsi"/>
        </w:rPr>
        <w:t>trials</w:t>
      </w:r>
      <w:r w:rsidR="00222842">
        <w:rPr>
          <w:rFonts w:cstheme="minorHAnsi"/>
        </w:rPr>
        <w:t xml:space="preserve"> </w:t>
      </w:r>
      <w:r w:rsidR="00516BDB">
        <w:rPr>
          <w:rFonts w:cstheme="minorHAnsi"/>
        </w:rPr>
        <w:t xml:space="preserve">with </w:t>
      </w:r>
      <w:r w:rsidR="008C7704">
        <w:rPr>
          <w:rFonts w:cstheme="minorHAnsi"/>
        </w:rPr>
        <w:t>short and long-term DAPT</w:t>
      </w:r>
      <w:r w:rsidR="00516BDB">
        <w:rPr>
          <w:rFonts w:cstheme="minorHAnsi"/>
        </w:rPr>
        <w:t xml:space="preserve"> arms</w:t>
      </w:r>
      <w:r w:rsidR="00F5702D" w:rsidRPr="00873534">
        <w:rPr>
          <w:rFonts w:cstheme="minorHAnsi"/>
        </w:rPr>
        <w:t>)</w:t>
      </w:r>
      <w:r w:rsidR="008C7704">
        <w:rPr>
          <w:rFonts w:cstheme="minorHAnsi"/>
        </w:rPr>
        <w:t>.</w:t>
      </w:r>
      <w:r w:rsidR="00A413E0">
        <w:rPr>
          <w:rFonts w:cstheme="minorHAnsi"/>
        </w:rPr>
        <w:t xml:space="preserve"> </w:t>
      </w:r>
      <w:r w:rsidR="002271C9">
        <w:rPr>
          <w:rFonts w:cstheme="minorHAnsi"/>
        </w:rPr>
        <w:t>Overall</w:t>
      </w:r>
      <w:r w:rsidR="005B6E28">
        <w:rPr>
          <w:rFonts w:cstheme="minorHAnsi"/>
        </w:rPr>
        <w:t>, r</w:t>
      </w:r>
      <w:r w:rsidR="00D25B59" w:rsidRPr="001C619E">
        <w:rPr>
          <w:rFonts w:cstheme="minorHAnsi"/>
        </w:rPr>
        <w:t>ecent meta-analyses</w:t>
      </w:r>
      <w:r w:rsidR="00B038FC" w:rsidRPr="001C619E">
        <w:rPr>
          <w:rFonts w:cstheme="minorHAnsi"/>
        </w:rPr>
        <w:t xml:space="preserve"> </w:t>
      </w:r>
      <w:r w:rsidR="002F1922" w:rsidRPr="001C619E">
        <w:rPr>
          <w:rFonts w:cstheme="minorHAnsi"/>
        </w:rPr>
        <w:t>and RCT data i</w:t>
      </w:r>
      <w:r w:rsidR="00B038FC" w:rsidRPr="001C619E">
        <w:rPr>
          <w:rFonts w:cstheme="minorHAnsi"/>
        </w:rPr>
        <w:t>ndicate that</w:t>
      </w:r>
      <w:r w:rsidR="005361B4">
        <w:rPr>
          <w:rFonts w:cstheme="minorHAnsi"/>
        </w:rPr>
        <w:t xml:space="preserve"> </w:t>
      </w:r>
      <w:r w:rsidR="00F5702D" w:rsidRPr="001C619E">
        <w:rPr>
          <w:rFonts w:cstheme="minorHAnsi"/>
        </w:rPr>
        <w:t>P2Y</w:t>
      </w:r>
      <w:r w:rsidR="00F5702D" w:rsidRPr="001C619E">
        <w:rPr>
          <w:rFonts w:cstheme="minorHAnsi"/>
          <w:vertAlign w:val="subscript"/>
        </w:rPr>
        <w:t>12</w:t>
      </w:r>
      <w:r w:rsidR="00F5702D" w:rsidRPr="001C619E">
        <w:rPr>
          <w:rFonts w:cstheme="minorHAnsi"/>
        </w:rPr>
        <w:t xml:space="preserve"> inhibitor monotherapy offer</w:t>
      </w:r>
      <w:r w:rsidR="00B038FC" w:rsidRPr="001C619E">
        <w:rPr>
          <w:rFonts w:cstheme="minorHAnsi"/>
        </w:rPr>
        <w:t>s</w:t>
      </w:r>
      <w:r w:rsidR="00F5702D" w:rsidRPr="001C619E">
        <w:rPr>
          <w:rFonts w:cstheme="minorHAnsi"/>
        </w:rPr>
        <w:t xml:space="preserve"> safety advantages over DAPT</w:t>
      </w:r>
      <w:r w:rsidR="00233F4C" w:rsidRPr="001C619E">
        <w:rPr>
          <w:rFonts w:cstheme="minorHAnsi"/>
          <w:vertAlign w:val="superscript"/>
        </w:rPr>
        <w:t xml:space="preserve"> </w:t>
      </w:r>
      <w:r w:rsidR="00393808">
        <w:rPr>
          <w:rFonts w:cstheme="minorHAnsi"/>
          <w:vertAlign w:val="superscript"/>
        </w:rPr>
        <w:t>4</w:t>
      </w:r>
      <w:r w:rsidR="00393808" w:rsidRPr="00393808">
        <w:rPr>
          <w:rFonts w:cstheme="minorHAnsi"/>
          <w:vertAlign w:val="superscript"/>
        </w:rPr>
        <w:t>–6</w:t>
      </w:r>
      <w:r w:rsidR="00881D85" w:rsidRPr="001C619E">
        <w:rPr>
          <w:rFonts w:cstheme="minorHAnsi"/>
        </w:rPr>
        <w:t xml:space="preserve"> </w:t>
      </w:r>
      <w:r w:rsidR="00C25B7D">
        <w:rPr>
          <w:rFonts w:cstheme="minorHAnsi"/>
        </w:rPr>
        <w:t>and o</w:t>
      </w:r>
      <w:r w:rsidR="00EB4CF2" w:rsidRPr="001C619E">
        <w:rPr>
          <w:rFonts w:cstheme="minorHAnsi"/>
        </w:rPr>
        <w:t>lder data indicate</w:t>
      </w:r>
      <w:r w:rsidR="00F5702D" w:rsidRPr="001C619E">
        <w:rPr>
          <w:rFonts w:cstheme="minorHAnsi"/>
        </w:rPr>
        <w:t xml:space="preserve"> some ischaemic benefit </w:t>
      </w:r>
      <w:r w:rsidR="00214E75" w:rsidRPr="001C619E">
        <w:rPr>
          <w:rFonts w:cstheme="minorHAnsi"/>
        </w:rPr>
        <w:t xml:space="preserve">of a P2Y12 inhibitor </w:t>
      </w:r>
      <w:r w:rsidR="00F5702D" w:rsidRPr="001C619E">
        <w:rPr>
          <w:rFonts w:cstheme="minorHAnsi"/>
        </w:rPr>
        <w:t>over ASA alone.</w:t>
      </w:r>
      <w:r w:rsidR="005D6B4A">
        <w:rPr>
          <w:rFonts w:cstheme="minorHAnsi"/>
          <w:vertAlign w:val="superscript"/>
        </w:rPr>
        <w:t>3</w:t>
      </w:r>
      <w:r w:rsidR="00C53474">
        <w:rPr>
          <w:rFonts w:cstheme="minorHAnsi"/>
          <w:vertAlign w:val="superscript"/>
        </w:rPr>
        <w:t>,</w:t>
      </w:r>
      <w:r w:rsidR="006B3DA8">
        <w:rPr>
          <w:rFonts w:cstheme="minorHAnsi"/>
          <w:vertAlign w:val="superscript"/>
        </w:rPr>
        <w:t>19</w:t>
      </w:r>
      <w:r w:rsidR="00F5702D" w:rsidRPr="001C619E">
        <w:rPr>
          <w:rFonts w:cstheme="minorHAnsi"/>
        </w:rPr>
        <w:t xml:space="preserve"> Currently, there is a lack of prospective </w:t>
      </w:r>
      <w:r w:rsidR="002C3CD9" w:rsidRPr="001C619E">
        <w:rPr>
          <w:rFonts w:cstheme="minorHAnsi"/>
        </w:rPr>
        <w:t xml:space="preserve">head-to-head </w:t>
      </w:r>
      <w:r>
        <w:t>monotherapy</w:t>
      </w:r>
      <w:r w:rsidRPr="001C619E" w:rsidDel="00702E45">
        <w:rPr>
          <w:rFonts w:cstheme="minorHAnsi"/>
        </w:rPr>
        <w:t xml:space="preserve"> </w:t>
      </w:r>
      <w:r>
        <w:rPr>
          <w:rFonts w:cstheme="minorHAnsi"/>
        </w:rPr>
        <w:t xml:space="preserve">comparison </w:t>
      </w:r>
      <w:r w:rsidR="00F5702D" w:rsidRPr="001C619E">
        <w:rPr>
          <w:rFonts w:cstheme="minorHAnsi"/>
        </w:rPr>
        <w:t xml:space="preserve">in HBR patients (as judged by universally adopted criteria) to recommend a specific </w:t>
      </w:r>
      <w:r>
        <w:rPr>
          <w:rFonts w:cstheme="minorHAnsi"/>
        </w:rPr>
        <w:t>antiplatelet agent</w:t>
      </w:r>
      <w:r w:rsidR="000867BB">
        <w:rPr>
          <w:rFonts w:cstheme="minorHAnsi"/>
        </w:rPr>
        <w:t xml:space="preserve"> over another</w:t>
      </w:r>
      <w:r w:rsidR="0022687F" w:rsidRPr="001C619E">
        <w:rPr>
          <w:rFonts w:cstheme="minorHAnsi"/>
        </w:rPr>
        <w:t>.</w:t>
      </w:r>
      <w:r w:rsidR="00110646" w:rsidRPr="001C619E">
        <w:rPr>
          <w:rFonts w:cstheme="minorHAnsi"/>
        </w:rPr>
        <w:t xml:space="preserve"> </w:t>
      </w:r>
      <w:r w:rsidR="006811A9" w:rsidRPr="001C619E">
        <w:rPr>
          <w:rFonts w:cstheme="minorHAnsi"/>
        </w:rPr>
        <w:t xml:space="preserve">Hence, for now, practicing clinicians should be guided by the strongest </w:t>
      </w:r>
      <w:r w:rsidR="006811A9" w:rsidRPr="001C619E">
        <w:rPr>
          <w:rFonts w:cstheme="minorHAnsi"/>
        </w:rPr>
        <w:lastRenderedPageBreak/>
        <w:t>randomised data</w:t>
      </w:r>
      <w:r>
        <w:rPr>
          <w:rFonts w:cstheme="minorHAnsi"/>
        </w:rPr>
        <w:t>,</w:t>
      </w:r>
      <w:r w:rsidR="006811A9" w:rsidRPr="001C619E">
        <w:rPr>
          <w:rFonts w:cstheme="minorHAnsi"/>
        </w:rPr>
        <w:t xml:space="preserve"> as well as guidelines. The strength of current </w:t>
      </w:r>
      <w:r w:rsidR="00A17FC5">
        <w:rPr>
          <w:rFonts w:cstheme="minorHAnsi"/>
        </w:rPr>
        <w:t xml:space="preserve">randomised </w:t>
      </w:r>
      <w:r w:rsidR="006811A9" w:rsidRPr="001C619E">
        <w:rPr>
          <w:rFonts w:cstheme="minorHAnsi"/>
        </w:rPr>
        <w:t>data supports use of a potent P2Y</w:t>
      </w:r>
      <w:r w:rsidR="006811A9" w:rsidRPr="001C619E">
        <w:rPr>
          <w:rFonts w:cstheme="minorHAnsi"/>
          <w:vertAlign w:val="subscript"/>
        </w:rPr>
        <w:t>12</w:t>
      </w:r>
      <w:r w:rsidR="006811A9" w:rsidRPr="001C619E">
        <w:rPr>
          <w:rFonts w:cstheme="minorHAnsi"/>
        </w:rPr>
        <w:t xml:space="preserve"> inhibitor as monotherapy, after 3 months of DAPT in HBR patients</w:t>
      </w:r>
      <w:r w:rsidR="007170D2">
        <w:rPr>
          <w:rFonts w:cstheme="minorHAnsi"/>
        </w:rPr>
        <w:t xml:space="preserve"> undergoing </w:t>
      </w:r>
      <w:r w:rsidR="00621A54">
        <w:rPr>
          <w:rFonts w:cstheme="minorHAnsi"/>
        </w:rPr>
        <w:t>PCI</w:t>
      </w:r>
      <w:r w:rsidR="006811A9">
        <w:t>.</w:t>
      </w:r>
    </w:p>
    <w:p w14:paraId="32E1AF49" w14:textId="77777777" w:rsidR="00850133" w:rsidRDefault="00850133" w:rsidP="00B67081">
      <w:pPr>
        <w:spacing w:after="0" w:line="480" w:lineRule="auto"/>
      </w:pPr>
    </w:p>
    <w:p w14:paraId="5C978EC0" w14:textId="1D000340" w:rsidR="00F5702D" w:rsidRPr="00271F18" w:rsidRDefault="00EF6CDB" w:rsidP="00B67081">
      <w:pPr>
        <w:spacing w:after="0" w:line="480" w:lineRule="auto"/>
        <w:rPr>
          <w:b/>
          <w:bCs/>
        </w:rPr>
      </w:pPr>
      <w:r>
        <w:rPr>
          <w:b/>
          <w:bCs/>
        </w:rPr>
        <w:t xml:space="preserve">5.0 </w:t>
      </w:r>
      <w:r w:rsidR="00F5702D" w:rsidRPr="00271F18">
        <w:rPr>
          <w:b/>
          <w:bCs/>
        </w:rPr>
        <w:t>Limitations</w:t>
      </w:r>
    </w:p>
    <w:p w14:paraId="3D4C495F" w14:textId="460466B2" w:rsidR="00F5702D" w:rsidRDefault="00F5702D" w:rsidP="00B67081">
      <w:pPr>
        <w:spacing w:after="0" w:line="480" w:lineRule="auto"/>
      </w:pPr>
      <w:r w:rsidRPr="00A05B97">
        <w:t>This study had s</w:t>
      </w:r>
      <w:r w:rsidR="00B07244">
        <w:t>ome</w:t>
      </w:r>
      <w:r w:rsidRPr="00A05B97">
        <w:t xml:space="preserve"> limitations. First, the social media-driven recruitment mean</w:t>
      </w:r>
      <w:r w:rsidR="001C25C0">
        <w:t>s</w:t>
      </w:r>
      <w:r w:rsidRPr="00A05B97">
        <w:t xml:space="preserve"> that the true denominator </w:t>
      </w:r>
      <w:r w:rsidR="007610C0">
        <w:t>was</w:t>
      </w:r>
      <w:r w:rsidR="001C25C0" w:rsidRPr="00A05B97">
        <w:t xml:space="preserve"> </w:t>
      </w:r>
      <w:r w:rsidRPr="00A05B97">
        <w:t xml:space="preserve">unknown, therefore, the </w:t>
      </w:r>
      <w:r w:rsidR="001F41F2">
        <w:t>generali</w:t>
      </w:r>
      <w:r w:rsidR="006B7251">
        <w:t>s</w:t>
      </w:r>
      <w:r w:rsidR="001F41F2">
        <w:t xml:space="preserve">ability of the </w:t>
      </w:r>
      <w:r w:rsidRPr="00A05B97">
        <w:t>findings</w:t>
      </w:r>
      <w:r w:rsidR="00702E45">
        <w:t xml:space="preserve"> </w:t>
      </w:r>
      <w:r w:rsidRPr="00A05B97">
        <w:t>remain</w:t>
      </w:r>
      <w:r w:rsidR="001F41F2">
        <w:t>s</w:t>
      </w:r>
      <w:r w:rsidRPr="00A05B97">
        <w:t xml:space="preserve"> </w:t>
      </w:r>
      <w:r w:rsidR="001F41F2">
        <w:t>uncertain</w:t>
      </w:r>
      <w:r w:rsidRPr="00A05B97">
        <w:t xml:space="preserve">. Second, </w:t>
      </w:r>
      <w:r w:rsidR="004250A3">
        <w:t>given</w:t>
      </w:r>
      <w:r w:rsidRPr="00A05B97">
        <w:t xml:space="preserve"> the open-source design of the survey, we were unable to control for over- and under-representation from key demographic group</w:t>
      </w:r>
      <w:r w:rsidR="006B41EE">
        <w:t>s</w:t>
      </w:r>
      <w:r w:rsidRPr="00A05B97">
        <w:t xml:space="preserve">. Third, a true representative sample was </w:t>
      </w:r>
      <w:r w:rsidR="00592E25">
        <w:t>not</w:t>
      </w:r>
      <w:r w:rsidRPr="00A05B97">
        <w:t xml:space="preserve"> reached</w:t>
      </w:r>
      <w:r w:rsidR="00592E25">
        <w:t xml:space="preserve"> for</w:t>
      </w:r>
      <w:r w:rsidRPr="00A05B97">
        <w:t xml:space="preserve"> Africa or Oceania (eight and seven</w:t>
      </w:r>
      <w:r w:rsidR="006F3883">
        <w:t xml:space="preserve"> respondents</w:t>
      </w:r>
      <w:r w:rsidRPr="00A05B97">
        <w:t>, respectively)</w:t>
      </w:r>
      <w:r w:rsidR="00422DC7">
        <w:t>; therefore</w:t>
      </w:r>
      <w:r w:rsidR="00592E25">
        <w:t>, these areas were excluded from regional assessments</w:t>
      </w:r>
      <w:r w:rsidR="00AC4F63">
        <w:t xml:space="preserve"> – </w:t>
      </w:r>
      <w:r w:rsidR="003D6759">
        <w:t xml:space="preserve">but </w:t>
      </w:r>
      <w:r w:rsidR="00FB15CA">
        <w:t>a</w:t>
      </w:r>
      <w:r w:rsidRPr="00A05B97">
        <w:t>ll regions and all countries were included in the overall analyses.</w:t>
      </w:r>
      <w:r w:rsidR="003D6759">
        <w:t xml:space="preserve"> </w:t>
      </w:r>
      <w:r w:rsidR="003D6759" w:rsidRPr="001157A2">
        <w:t xml:space="preserve">Fourth, </w:t>
      </w:r>
      <w:r w:rsidR="003B5EEE" w:rsidRPr="001157A2">
        <w:t xml:space="preserve">although social media </w:t>
      </w:r>
      <w:r w:rsidR="005B0676" w:rsidRPr="001157A2">
        <w:t>was used for data</w:t>
      </w:r>
      <w:r w:rsidR="003B5EEE" w:rsidRPr="001157A2">
        <w:t xml:space="preserve"> acquisition</w:t>
      </w:r>
      <w:r w:rsidR="00880FAD" w:rsidRPr="001157A2">
        <w:t xml:space="preserve">, a substantial proportion of responses </w:t>
      </w:r>
      <w:r w:rsidR="004349BD" w:rsidRPr="001157A2">
        <w:t>was</w:t>
      </w:r>
      <w:r w:rsidR="00440A78" w:rsidRPr="001157A2">
        <w:t xml:space="preserve"> derived from direct </w:t>
      </w:r>
      <w:r w:rsidR="00E7199A" w:rsidRPr="001157A2">
        <w:t xml:space="preserve">recruitment </w:t>
      </w:r>
      <w:r w:rsidR="005D7B0D" w:rsidRPr="001157A2">
        <w:t>from the expert Steering Committee</w:t>
      </w:r>
      <w:r w:rsidR="00EA7542" w:rsidRPr="001157A2">
        <w:t>, members of the International Society of Cardiovascular Pharmacotherapy</w:t>
      </w:r>
      <w:r w:rsidR="00112E68" w:rsidRPr="001157A2">
        <w:t xml:space="preserve"> and from Radcliffe Cardiology via their database. As such</w:t>
      </w:r>
      <w:r w:rsidR="00191CAC" w:rsidRPr="001157A2">
        <w:t>, the true</w:t>
      </w:r>
      <w:r w:rsidR="00E864EF" w:rsidRPr="001157A2">
        <w:t xml:space="preserve"> value of </w:t>
      </w:r>
      <w:r w:rsidR="00062CF7" w:rsidRPr="001157A2">
        <w:t xml:space="preserve">social media as a recruitment </w:t>
      </w:r>
      <w:r w:rsidR="00AB1311" w:rsidRPr="001157A2">
        <w:t xml:space="preserve">driver </w:t>
      </w:r>
      <w:r w:rsidR="00062CF7" w:rsidRPr="001157A2">
        <w:t xml:space="preserve">cannot be </w:t>
      </w:r>
      <w:r w:rsidR="00EC476F" w:rsidRPr="001157A2">
        <w:t>definitively</w:t>
      </w:r>
      <w:r w:rsidR="00DB3FAD" w:rsidRPr="001157A2">
        <w:t xml:space="preserve"> measured in this </w:t>
      </w:r>
      <w:r w:rsidR="008E3D8E" w:rsidRPr="001157A2">
        <w:t>sample</w:t>
      </w:r>
      <w:r w:rsidR="00DB3FAD" w:rsidRPr="001157A2">
        <w:t>.</w:t>
      </w:r>
      <w:r w:rsidR="00A9456A" w:rsidRPr="001157A2">
        <w:t xml:space="preserve"> Fifth, because the overall number of </w:t>
      </w:r>
      <w:r w:rsidR="008E3D8E" w:rsidRPr="001157A2">
        <w:t>completions w</w:t>
      </w:r>
      <w:r w:rsidR="00092ECF" w:rsidRPr="001157A2">
        <w:t>ere</w:t>
      </w:r>
      <w:r w:rsidR="008E3D8E" w:rsidRPr="001157A2">
        <w:t xml:space="preserve"> small (relative to the </w:t>
      </w:r>
      <w:r w:rsidR="008C38C6" w:rsidRPr="001157A2">
        <w:t xml:space="preserve">total </w:t>
      </w:r>
      <w:r w:rsidR="008E3D8E" w:rsidRPr="001157A2">
        <w:t>global</w:t>
      </w:r>
      <w:r w:rsidR="008C38C6" w:rsidRPr="001157A2">
        <w:t xml:space="preserve"> community of cardiologists and other antiplatelet prescribers in ACS)</w:t>
      </w:r>
      <w:r w:rsidR="00167CE5" w:rsidRPr="001157A2">
        <w:t xml:space="preserve">, we cannot </w:t>
      </w:r>
      <w:r w:rsidR="00F4305E" w:rsidRPr="001157A2">
        <w:t>take this as</w:t>
      </w:r>
      <w:r w:rsidR="00167CE5" w:rsidRPr="001157A2">
        <w:t xml:space="preserve"> conclusive evidence that th</w:t>
      </w:r>
      <w:r w:rsidR="00583F47" w:rsidRPr="001157A2">
        <w:t xml:space="preserve">e observed </w:t>
      </w:r>
      <w:r w:rsidR="00F4305E" w:rsidRPr="001157A2">
        <w:t xml:space="preserve">results </w:t>
      </w:r>
      <w:r w:rsidR="00EC476F" w:rsidRPr="001157A2">
        <w:t>are generali</w:t>
      </w:r>
      <w:r w:rsidR="00222DBA" w:rsidRPr="001157A2">
        <w:t>s</w:t>
      </w:r>
      <w:r w:rsidR="00EC476F" w:rsidRPr="001157A2">
        <w:t>able globally</w:t>
      </w:r>
      <w:r w:rsidR="002F2EAE" w:rsidRPr="001157A2">
        <w:t xml:space="preserve"> and therefore</w:t>
      </w:r>
      <w:r w:rsidR="00EA691E" w:rsidRPr="001157A2">
        <w:t>, we are unable to</w:t>
      </w:r>
      <w:r w:rsidR="002F2EAE" w:rsidRPr="001157A2">
        <w:t xml:space="preserve"> </w:t>
      </w:r>
      <w:r w:rsidR="00451D05" w:rsidRPr="001157A2">
        <w:t xml:space="preserve">draw meaningful conclusions </w:t>
      </w:r>
      <w:r w:rsidR="00613076" w:rsidRPr="001157A2">
        <w:t xml:space="preserve">across </w:t>
      </w:r>
      <w:r w:rsidR="00B22C43" w:rsidRPr="001157A2">
        <w:t>different demographic or regional groups.</w:t>
      </w:r>
    </w:p>
    <w:p w14:paraId="35C8AEDA" w14:textId="77777777" w:rsidR="00174F3C" w:rsidRPr="00A05B97" w:rsidRDefault="00174F3C" w:rsidP="00B67081">
      <w:pPr>
        <w:spacing w:after="0" w:line="480" w:lineRule="auto"/>
      </w:pPr>
    </w:p>
    <w:p w14:paraId="38AFF515" w14:textId="77777777" w:rsidR="00F5702D" w:rsidRPr="00B67081" w:rsidRDefault="00F5702D" w:rsidP="00B67081">
      <w:pPr>
        <w:spacing w:after="0" w:line="480" w:lineRule="auto"/>
        <w:rPr>
          <w:b/>
          <w:bCs/>
        </w:rPr>
      </w:pPr>
      <w:r w:rsidRPr="00B67081">
        <w:rPr>
          <w:b/>
          <w:bCs/>
        </w:rPr>
        <w:t>Conclusion</w:t>
      </w:r>
    </w:p>
    <w:p w14:paraId="75A93FBC" w14:textId="560E76A5" w:rsidR="0065660F" w:rsidRPr="00F226E7" w:rsidRDefault="00E90072" w:rsidP="0065660F">
      <w:pPr>
        <w:spacing w:after="0" w:line="480" w:lineRule="auto"/>
      </w:pPr>
      <w:r>
        <w:t xml:space="preserve">Crowdsourcing is a novel, open-source approach that has potential to </w:t>
      </w:r>
      <w:r w:rsidR="00541996">
        <w:t xml:space="preserve">capture </w:t>
      </w:r>
      <w:r w:rsidR="00156BCB">
        <w:t>practice</w:t>
      </w:r>
      <w:r w:rsidR="00242C83">
        <w:t>s</w:t>
      </w:r>
      <w:r w:rsidR="00156BCB">
        <w:t xml:space="preserve"> from a broad demographic</w:t>
      </w:r>
      <w:r w:rsidR="00F07EB0">
        <w:t xml:space="preserve">. </w:t>
      </w:r>
      <w:r w:rsidR="00C032D0">
        <w:t xml:space="preserve">In the </w:t>
      </w:r>
      <w:r w:rsidR="00E41131">
        <w:t xml:space="preserve">present study, we used a combination of direct </w:t>
      </w:r>
      <w:r w:rsidR="00056BFA">
        <w:t xml:space="preserve">email </w:t>
      </w:r>
      <w:r w:rsidR="00E41131">
        <w:t xml:space="preserve">and </w:t>
      </w:r>
      <w:r w:rsidR="00CD1B25">
        <w:t>social media to drive reg</w:t>
      </w:r>
      <w:r w:rsidR="0007754F">
        <w:t>istrations</w:t>
      </w:r>
      <w:r w:rsidR="004D0C79">
        <w:t xml:space="preserve">, highlighting its potential </w:t>
      </w:r>
      <w:r w:rsidR="00385ADB">
        <w:t xml:space="preserve">as an </w:t>
      </w:r>
      <w:r w:rsidR="003F76FE">
        <w:t xml:space="preserve">accessible </w:t>
      </w:r>
      <w:r w:rsidR="00DA0689">
        <w:t xml:space="preserve">and easily executable </w:t>
      </w:r>
      <w:r w:rsidR="003F76FE">
        <w:t>alternative to more traditional survey</w:t>
      </w:r>
      <w:r w:rsidR="00DA0689">
        <w:t xml:space="preserve"> approaches</w:t>
      </w:r>
      <w:r w:rsidR="00492975">
        <w:t xml:space="preserve">, which rely on </w:t>
      </w:r>
      <w:r w:rsidR="004C4EAC">
        <w:t xml:space="preserve">identifying the </w:t>
      </w:r>
      <w:r w:rsidR="00591CA0">
        <w:t>participant</w:t>
      </w:r>
      <w:r w:rsidR="0081272C">
        <w:t xml:space="preserve"> base</w:t>
      </w:r>
      <w:r w:rsidR="00385ADB">
        <w:t xml:space="preserve">. </w:t>
      </w:r>
      <w:r w:rsidR="0065660F" w:rsidRPr="00F226E7">
        <w:t xml:space="preserve">The wide reach afforded by crowdsourcing </w:t>
      </w:r>
      <w:r w:rsidR="00A67BE6" w:rsidRPr="00F226E7">
        <w:t>shows potential</w:t>
      </w:r>
      <w:r w:rsidR="0065660F" w:rsidRPr="00F226E7">
        <w:t xml:space="preserve"> in providing democratic and agile mapping of crucial clinical practice scenarios</w:t>
      </w:r>
      <w:r w:rsidR="00814830" w:rsidRPr="00F226E7">
        <w:t>.</w:t>
      </w:r>
    </w:p>
    <w:p w14:paraId="6C6A4CFC" w14:textId="2638B527" w:rsidR="009B70DF" w:rsidRDefault="00385ADB" w:rsidP="00B67081">
      <w:pPr>
        <w:spacing w:after="0" w:line="480" w:lineRule="auto"/>
      </w:pPr>
      <w:r w:rsidRPr="00F226E7">
        <w:lastRenderedPageBreak/>
        <w:t>In this preliminary</w:t>
      </w:r>
      <w:r w:rsidR="00BA7E2A" w:rsidRPr="00F226E7">
        <w:t xml:space="preserve"> study, </w:t>
      </w:r>
      <w:r w:rsidR="00656A30" w:rsidRPr="00F226E7">
        <w:t xml:space="preserve">our chosen </w:t>
      </w:r>
      <w:r w:rsidR="00814830" w:rsidRPr="00F226E7">
        <w:t>methodology</w:t>
      </w:r>
      <w:r w:rsidR="00656A30" w:rsidRPr="00F226E7">
        <w:t xml:space="preserve"> highlighted</w:t>
      </w:r>
      <w:r w:rsidR="00156BCB">
        <w:t xml:space="preserve"> </w:t>
      </w:r>
      <w:r w:rsidR="00E02484" w:rsidRPr="00582CEA">
        <w:t xml:space="preserve">a high degree of </w:t>
      </w:r>
      <w:r w:rsidR="00F5702D" w:rsidRPr="00582CEA">
        <w:t>variation with respect to the duration of DAPT, choice of monotherapy and</w:t>
      </w:r>
      <w:r w:rsidR="00A41C7E" w:rsidRPr="00582CEA">
        <w:t xml:space="preserve"> </w:t>
      </w:r>
      <w:r w:rsidR="00F5702D" w:rsidRPr="00582CEA">
        <w:t>how bleeding and thrombotic risk are determined</w:t>
      </w:r>
      <w:r w:rsidR="00A435E0" w:rsidRPr="00F226E7">
        <w:t>, among a relatively small sample of cardiology professionals</w:t>
      </w:r>
      <w:r w:rsidR="00F5702D" w:rsidRPr="00F226E7">
        <w:t xml:space="preserve">. </w:t>
      </w:r>
      <w:r w:rsidR="00153E6E" w:rsidRPr="00F226E7">
        <w:t>Our</w:t>
      </w:r>
      <w:r w:rsidR="00F5702D" w:rsidRPr="00F226E7">
        <w:t xml:space="preserve"> results </w:t>
      </w:r>
      <w:r w:rsidR="005A6E16" w:rsidRPr="00F226E7">
        <w:t xml:space="preserve">indicate </w:t>
      </w:r>
      <w:r w:rsidR="00F5702D" w:rsidRPr="00F226E7">
        <w:t xml:space="preserve">that </w:t>
      </w:r>
      <w:r w:rsidR="00AA51F3" w:rsidRPr="00F226E7">
        <w:t>this sample</w:t>
      </w:r>
      <w:r w:rsidR="00F5702D" w:rsidRPr="00B46DC8">
        <w:t xml:space="preserve"> </w:t>
      </w:r>
      <w:r w:rsidR="00644531">
        <w:t>embrace</w:t>
      </w:r>
      <w:r w:rsidR="001A17EC">
        <w:t>d</w:t>
      </w:r>
      <w:r w:rsidR="00644531">
        <w:t xml:space="preserve"> </w:t>
      </w:r>
      <w:r w:rsidR="00F5702D" w:rsidRPr="00B46DC8">
        <w:t>sources of literature</w:t>
      </w:r>
      <w:r w:rsidR="00644531">
        <w:t xml:space="preserve"> </w:t>
      </w:r>
      <w:r w:rsidR="00FE4455">
        <w:t xml:space="preserve">outside </w:t>
      </w:r>
      <w:r w:rsidR="001A17EC">
        <w:t xml:space="preserve">of </w:t>
      </w:r>
      <w:r w:rsidR="00FE4455">
        <w:t>international guidelines</w:t>
      </w:r>
      <w:r w:rsidR="00F5702D" w:rsidRPr="00B46DC8">
        <w:t xml:space="preserve"> and</w:t>
      </w:r>
      <w:r w:rsidR="00644531">
        <w:t xml:space="preserve"> </w:t>
      </w:r>
      <w:r w:rsidR="00F5702D" w:rsidRPr="00B46DC8">
        <w:t>use</w:t>
      </w:r>
      <w:r w:rsidR="001A17EC">
        <w:t>d</w:t>
      </w:r>
      <w:r w:rsidR="00F5702D" w:rsidRPr="00B46DC8">
        <w:t xml:space="preserve"> their own clinical judgement</w:t>
      </w:r>
      <w:r w:rsidR="004A6E8D">
        <w:t xml:space="preserve"> </w:t>
      </w:r>
      <w:r w:rsidR="00906EDC">
        <w:t>to treat HBR patients</w:t>
      </w:r>
      <w:r w:rsidR="00F5702D" w:rsidRPr="00B46DC8">
        <w:t xml:space="preserve">. </w:t>
      </w:r>
      <w:r w:rsidR="00906EDC">
        <w:t>The</w:t>
      </w:r>
      <w:r w:rsidR="00190D6D">
        <w:t xml:space="preserve"> </w:t>
      </w:r>
      <w:r w:rsidR="00F5702D" w:rsidRPr="00B46DC8">
        <w:t>use of antiplatelet therapy in HBR individuals is not only controversial, but merits careful consideration in future guidelines</w:t>
      </w:r>
      <w:r w:rsidR="007B64CA">
        <w:t>,</w:t>
      </w:r>
      <w:r w:rsidR="00F5702D" w:rsidRPr="00B46DC8">
        <w:t xml:space="preserve"> </w:t>
      </w:r>
      <w:r w:rsidR="00702E45">
        <w:t>given multiple</w:t>
      </w:r>
      <w:r w:rsidR="00F5702D" w:rsidRPr="00B46DC8">
        <w:t xml:space="preserve"> unanswered clinical questions that currently preclude guideline</w:t>
      </w:r>
      <w:r w:rsidR="00DE5D5D">
        <w:t>s</w:t>
      </w:r>
      <w:r w:rsidR="00F5702D" w:rsidRPr="00B46DC8">
        <w:t xml:space="preserve"> from forming </w:t>
      </w:r>
      <w:r w:rsidR="00DE5D5D">
        <w:t>c</w:t>
      </w:r>
      <w:r w:rsidR="00F5702D" w:rsidRPr="00B46DC8">
        <w:t xml:space="preserve">lass I recommendations. </w:t>
      </w:r>
    </w:p>
    <w:p w14:paraId="1B8C43E5" w14:textId="53C677E1" w:rsidR="00D17C56" w:rsidRPr="00B46DC8" w:rsidRDefault="00D17C56" w:rsidP="00B67081">
      <w:pPr>
        <w:spacing w:after="0" w:line="480" w:lineRule="auto"/>
      </w:pPr>
      <w:r w:rsidRPr="00F226E7">
        <w:t xml:space="preserve">As to how </w:t>
      </w:r>
      <w:r w:rsidR="0060289B" w:rsidRPr="00F226E7">
        <w:t>representative</w:t>
      </w:r>
      <w:r w:rsidRPr="00F226E7">
        <w:t xml:space="preserve"> this</w:t>
      </w:r>
      <w:r w:rsidR="0060289B" w:rsidRPr="00F226E7">
        <w:t xml:space="preserve"> present</w:t>
      </w:r>
      <w:r w:rsidRPr="00F226E7">
        <w:t xml:space="preserve"> sample is of real-world </w:t>
      </w:r>
      <w:r w:rsidR="0060289B" w:rsidRPr="00F226E7">
        <w:t xml:space="preserve">practice </w:t>
      </w:r>
      <w:r w:rsidRPr="00F226E7">
        <w:t>remains to be determined</w:t>
      </w:r>
      <w:r w:rsidR="00EC476F" w:rsidRPr="00F226E7">
        <w:t>,</w:t>
      </w:r>
      <w:r w:rsidR="00AF0893" w:rsidRPr="00F226E7">
        <w:t xml:space="preserve"> however, these largely hypothesis</w:t>
      </w:r>
      <w:r w:rsidR="0023190C" w:rsidRPr="00F226E7">
        <w:t>-</w:t>
      </w:r>
      <w:r w:rsidR="00AF0893" w:rsidRPr="00F226E7">
        <w:t xml:space="preserve">generating results </w:t>
      </w:r>
      <w:r w:rsidR="00913D00" w:rsidRPr="00F226E7">
        <w:t xml:space="preserve">highlight important </w:t>
      </w:r>
      <w:r w:rsidR="009178E8" w:rsidRPr="00F226E7">
        <w:t>practices</w:t>
      </w:r>
      <w:r w:rsidR="007D2CE3" w:rsidRPr="00F226E7">
        <w:t xml:space="preserve"> </w:t>
      </w:r>
      <w:r w:rsidR="00913D00" w:rsidRPr="00F226E7">
        <w:t xml:space="preserve">that warrant </w:t>
      </w:r>
      <w:r w:rsidR="005B03D4" w:rsidRPr="00F226E7">
        <w:t>validation in larger studies</w:t>
      </w:r>
      <w:r w:rsidR="002D14A2" w:rsidRPr="00F226E7">
        <w:t>. Subsequent studies</w:t>
      </w:r>
      <w:r w:rsidR="003726AC" w:rsidRPr="00F226E7">
        <w:t xml:space="preserve"> on </w:t>
      </w:r>
      <w:r w:rsidR="00617A1A" w:rsidRPr="00F226E7">
        <w:t xml:space="preserve">important </w:t>
      </w:r>
      <w:r w:rsidR="003726AC" w:rsidRPr="00F226E7">
        <w:t>participant sub-</w:t>
      </w:r>
      <w:r w:rsidR="00617A1A" w:rsidRPr="00F226E7">
        <w:t>groups</w:t>
      </w:r>
      <w:r w:rsidR="009178E8" w:rsidRPr="00F226E7">
        <w:t xml:space="preserve"> </w:t>
      </w:r>
      <w:r w:rsidR="00AE4D06" w:rsidRPr="00F226E7">
        <w:t>are expected to</w:t>
      </w:r>
      <w:r w:rsidR="003726AC" w:rsidRPr="00F226E7">
        <w:t xml:space="preserve"> </w:t>
      </w:r>
      <w:r w:rsidR="004C585D" w:rsidRPr="00F226E7">
        <w:t>yield</w:t>
      </w:r>
      <w:r w:rsidR="00B761B0" w:rsidRPr="00F226E7">
        <w:t xml:space="preserve"> </w:t>
      </w:r>
      <w:r w:rsidR="008F0F95">
        <w:t xml:space="preserve">a </w:t>
      </w:r>
      <w:r w:rsidR="007D0DC9" w:rsidRPr="00F226E7">
        <w:t xml:space="preserve">more </w:t>
      </w:r>
      <w:r w:rsidR="00B761B0" w:rsidRPr="00F226E7">
        <w:t xml:space="preserve">detailed understanding </w:t>
      </w:r>
      <w:r w:rsidR="002D14A2" w:rsidRPr="00F226E7">
        <w:t>o</w:t>
      </w:r>
      <w:r w:rsidR="00666379" w:rsidRPr="00F226E7">
        <w:t>n the sources of</w:t>
      </w:r>
      <w:r w:rsidR="002D14A2" w:rsidRPr="00F226E7">
        <w:t xml:space="preserve"> variation</w:t>
      </w:r>
      <w:r w:rsidR="007C22FB" w:rsidRPr="00F226E7">
        <w:t xml:space="preserve"> and </w:t>
      </w:r>
      <w:r w:rsidR="00436B73" w:rsidRPr="00F226E7">
        <w:t xml:space="preserve">may reveal interesting </w:t>
      </w:r>
      <w:r w:rsidR="007C22FB" w:rsidRPr="00F226E7">
        <w:t xml:space="preserve">differences between </w:t>
      </w:r>
      <w:r w:rsidR="004C585D" w:rsidRPr="00F226E7">
        <w:t xml:space="preserve">key </w:t>
      </w:r>
      <w:r w:rsidR="007A518F" w:rsidRPr="00F226E7">
        <w:t>demographic groups</w:t>
      </w:r>
      <w:r w:rsidR="00617A1A" w:rsidRPr="00F226E7">
        <w:t xml:space="preserve"> </w:t>
      </w:r>
      <w:r w:rsidR="00CE7CC7" w:rsidRPr="00F226E7">
        <w:t xml:space="preserve">according to </w:t>
      </w:r>
      <w:r w:rsidR="005735E0" w:rsidRPr="00F226E7">
        <w:t>speciality</w:t>
      </w:r>
      <w:r w:rsidR="00417630" w:rsidRPr="00F226E7">
        <w:t>, experience</w:t>
      </w:r>
      <w:r w:rsidR="00C82452" w:rsidRPr="00F226E7">
        <w:t xml:space="preserve"> level</w:t>
      </w:r>
      <w:r w:rsidR="00EC476F" w:rsidRPr="00F226E7">
        <w:t>,</w:t>
      </w:r>
      <w:r w:rsidR="00417630" w:rsidRPr="00F226E7">
        <w:t xml:space="preserve"> and</w:t>
      </w:r>
      <w:r w:rsidR="00D8506F" w:rsidRPr="00F226E7">
        <w:t xml:space="preserve"> </w:t>
      </w:r>
      <w:r w:rsidR="00417630" w:rsidRPr="00F226E7">
        <w:t>region</w:t>
      </w:r>
      <w:r w:rsidR="00D8506F" w:rsidRPr="00F226E7">
        <w:t xml:space="preserve"> of practice</w:t>
      </w:r>
      <w:r w:rsidR="002F2EAE" w:rsidRPr="00F226E7">
        <w:t>.</w:t>
      </w:r>
      <w:r w:rsidR="002F2EAE">
        <w:t xml:space="preserve"> </w:t>
      </w:r>
    </w:p>
    <w:p w14:paraId="3486B16B" w14:textId="77777777" w:rsidR="0091659B" w:rsidRPr="00B67081" w:rsidRDefault="0091659B" w:rsidP="0091659B">
      <w:pPr>
        <w:spacing w:after="0" w:line="480" w:lineRule="auto"/>
      </w:pPr>
    </w:p>
    <w:p w14:paraId="2E5126DF" w14:textId="77777777" w:rsidR="0091659B" w:rsidRPr="00B67081" w:rsidRDefault="0091659B" w:rsidP="0091659B">
      <w:pPr>
        <w:spacing w:after="0" w:line="480" w:lineRule="auto"/>
        <w:rPr>
          <w:b/>
          <w:bCs/>
        </w:rPr>
      </w:pPr>
      <w:r w:rsidRPr="00B67081">
        <w:rPr>
          <w:b/>
          <w:bCs/>
        </w:rPr>
        <w:t>Funding</w:t>
      </w:r>
    </w:p>
    <w:p w14:paraId="7A4CFA0C" w14:textId="33CA2B43" w:rsidR="0091659B" w:rsidRDefault="005B4480" w:rsidP="0091659B">
      <w:pPr>
        <w:spacing w:after="0" w:line="480" w:lineRule="auto"/>
      </w:pPr>
      <w:r>
        <w:t>This work was supported by</w:t>
      </w:r>
      <w:r w:rsidR="0091659B" w:rsidRPr="00B67081">
        <w:t xml:space="preserve"> an educational grant from AstraZeneca</w:t>
      </w:r>
      <w:r w:rsidR="003A2BE2">
        <w:t>.</w:t>
      </w:r>
    </w:p>
    <w:p w14:paraId="02E8F788" w14:textId="77777777" w:rsidR="00F5702D" w:rsidRDefault="00F5702D" w:rsidP="00B67081">
      <w:pPr>
        <w:spacing w:after="0" w:line="480" w:lineRule="auto"/>
      </w:pPr>
    </w:p>
    <w:p w14:paraId="52F7234D" w14:textId="5DE95F4C" w:rsidR="00E54845" w:rsidRPr="00B67081" w:rsidRDefault="00E54845" w:rsidP="00B67081">
      <w:pPr>
        <w:spacing w:after="0" w:line="480" w:lineRule="auto"/>
        <w:rPr>
          <w:b/>
          <w:bCs/>
        </w:rPr>
      </w:pPr>
      <w:r w:rsidRPr="00B67081">
        <w:rPr>
          <w:b/>
          <w:bCs/>
        </w:rPr>
        <w:t>Acknowledgements</w:t>
      </w:r>
    </w:p>
    <w:p w14:paraId="17049E54" w14:textId="330F858D" w:rsidR="00FA022F" w:rsidRDefault="00FA022F" w:rsidP="00FA022F">
      <w:pPr>
        <w:spacing w:after="0" w:line="480" w:lineRule="auto"/>
        <w:rPr>
          <w:rFonts w:cstheme="minorHAnsi"/>
        </w:rPr>
      </w:pPr>
    </w:p>
    <w:p w14:paraId="3E6CDE1E" w14:textId="0B9EB2E8" w:rsidR="00F5702D" w:rsidRDefault="00827BB8" w:rsidP="00B67081">
      <w:pPr>
        <w:spacing w:after="0" w:line="480" w:lineRule="auto"/>
      </w:pPr>
      <w:r>
        <w:t>E</w:t>
      </w:r>
      <w:r w:rsidR="0074201F" w:rsidRPr="00B67081">
        <w:t>diting</w:t>
      </w:r>
      <w:r w:rsidR="00B218A8" w:rsidRPr="00B67081">
        <w:t xml:space="preserve"> assistance</w:t>
      </w:r>
      <w:r w:rsidR="00352F88" w:rsidRPr="00B67081">
        <w:t xml:space="preserve"> was</w:t>
      </w:r>
      <w:r w:rsidR="00B218A8" w:rsidRPr="00B67081">
        <w:t xml:space="preserve"> provided by Victoria</w:t>
      </w:r>
      <w:r w:rsidR="00CA0A92" w:rsidRPr="00B67081">
        <w:t xml:space="preserve"> Rose</w:t>
      </w:r>
      <w:r w:rsidR="00EC476F">
        <w:t xml:space="preserve"> from</w:t>
      </w:r>
      <w:r w:rsidR="00EC476F" w:rsidRPr="00EC476F">
        <w:rPr>
          <w:rFonts w:cstheme="minorHAnsi"/>
        </w:rPr>
        <w:t xml:space="preserve"> </w:t>
      </w:r>
      <w:r w:rsidR="00EC476F">
        <w:rPr>
          <w:rFonts w:cstheme="minorHAnsi"/>
        </w:rPr>
        <w:t>Radcliffe Cardiology</w:t>
      </w:r>
      <w:r w:rsidR="00247DA3" w:rsidRPr="00B67081">
        <w:t>.</w:t>
      </w:r>
    </w:p>
    <w:p w14:paraId="2036552B" w14:textId="77777777" w:rsidR="00F23541" w:rsidRDefault="00F23541" w:rsidP="00B67081">
      <w:pPr>
        <w:spacing w:after="0" w:line="480" w:lineRule="auto"/>
        <w:rPr>
          <w:b/>
          <w:bCs/>
        </w:rPr>
      </w:pPr>
    </w:p>
    <w:p w14:paraId="75925D60" w14:textId="3610EA5E" w:rsidR="00C70346" w:rsidRPr="00C70346" w:rsidRDefault="00C115C1" w:rsidP="00B67081">
      <w:pPr>
        <w:spacing w:after="0" w:line="480" w:lineRule="auto"/>
        <w:rPr>
          <w:b/>
          <w:bCs/>
        </w:rPr>
      </w:pPr>
      <w:r>
        <w:rPr>
          <w:b/>
          <w:bCs/>
        </w:rPr>
        <w:t>Conflicts</w:t>
      </w:r>
      <w:r w:rsidR="007F4B4B">
        <w:rPr>
          <w:b/>
          <w:bCs/>
        </w:rPr>
        <w:t xml:space="preserve"> of interest</w:t>
      </w:r>
    </w:p>
    <w:p w14:paraId="54EE98F7" w14:textId="4B71E5FA" w:rsidR="003A2BE2" w:rsidRDefault="0082681C" w:rsidP="00B67081">
      <w:pPr>
        <w:spacing w:after="0" w:line="480" w:lineRule="auto"/>
        <w:rPr>
          <w:b/>
          <w:bCs/>
        </w:rPr>
      </w:pPr>
      <w:r>
        <w:t xml:space="preserve">All </w:t>
      </w:r>
      <w:r w:rsidR="003A2BE2">
        <w:t>authors</w:t>
      </w:r>
      <w:r w:rsidR="009C61B5">
        <w:t xml:space="preserve"> (except SD)</w:t>
      </w:r>
      <w:r w:rsidR="003A2BE2">
        <w:t xml:space="preserve"> received honoraria from Radcliffe Cardiology</w:t>
      </w:r>
      <w:r>
        <w:t xml:space="preserve"> for this work</w:t>
      </w:r>
      <w:r w:rsidR="003A2BE2" w:rsidRPr="00B67081">
        <w:t>.</w:t>
      </w:r>
      <w:r w:rsidR="008E1FA1">
        <w:t xml:space="preserve"> Additional disclosures detailed below.</w:t>
      </w:r>
    </w:p>
    <w:p w14:paraId="1D01B31B" w14:textId="6540C4C9" w:rsidR="00A377E3" w:rsidRDefault="00EC476F" w:rsidP="00B67081">
      <w:pPr>
        <w:spacing w:after="0" w:line="480" w:lineRule="auto"/>
      </w:pPr>
      <w:r w:rsidRPr="00A377E3">
        <w:rPr>
          <w:b/>
          <w:bCs/>
        </w:rPr>
        <w:t>Dr Deepak L. Bhatt</w:t>
      </w:r>
      <w:r w:rsidRPr="00EC476F">
        <w:t xml:space="preserve"> discloses the following relationships</w:t>
      </w:r>
      <w:r w:rsidR="0023044D">
        <w:t xml:space="preserve"> – </w:t>
      </w:r>
      <w:r w:rsidRPr="00EC476F">
        <w:t xml:space="preserve">Advisory Board: </w:t>
      </w:r>
      <w:proofErr w:type="spellStart"/>
      <w:r w:rsidRPr="00EC476F">
        <w:t>Cardax</w:t>
      </w:r>
      <w:proofErr w:type="spellEnd"/>
      <w:r w:rsidRPr="00EC476F">
        <w:t xml:space="preserve">, </w:t>
      </w:r>
      <w:proofErr w:type="spellStart"/>
      <w:r w:rsidRPr="00EC476F">
        <w:t>CellProthera</w:t>
      </w:r>
      <w:proofErr w:type="spellEnd"/>
      <w:r w:rsidRPr="00EC476F">
        <w:t xml:space="preserve">, Cereno Scientific, Elsevier Practice Update Cardiology, Janssen, Level Ex, Medscape Cardiology, </w:t>
      </w:r>
      <w:proofErr w:type="spellStart"/>
      <w:r w:rsidRPr="00EC476F">
        <w:lastRenderedPageBreak/>
        <w:t>MyoKardia</w:t>
      </w:r>
      <w:proofErr w:type="spellEnd"/>
      <w:r w:rsidRPr="00EC476F">
        <w:t xml:space="preserve">, Novo Nordisk, </w:t>
      </w:r>
      <w:proofErr w:type="spellStart"/>
      <w:r w:rsidRPr="00EC476F">
        <w:t>PhaseBio</w:t>
      </w:r>
      <w:proofErr w:type="spellEnd"/>
      <w:r w:rsidRPr="00EC476F">
        <w:t xml:space="preserve">, </w:t>
      </w:r>
      <w:proofErr w:type="spellStart"/>
      <w:r w:rsidRPr="00EC476F">
        <w:t>PLx</w:t>
      </w:r>
      <w:proofErr w:type="spellEnd"/>
      <w:r w:rsidRPr="00EC476F">
        <w:t xml:space="preserve"> Pharma, </w:t>
      </w:r>
      <w:proofErr w:type="spellStart"/>
      <w:r w:rsidRPr="00EC476F">
        <w:t>Regado</w:t>
      </w:r>
      <w:proofErr w:type="spellEnd"/>
      <w:r w:rsidRPr="00EC476F">
        <w:t xml:space="preserve"> Biosciences; Board of Directors: Boston VA Research Institute, Society of Cardiovascular Patient Care, </w:t>
      </w:r>
      <w:proofErr w:type="spellStart"/>
      <w:r w:rsidRPr="00EC476F">
        <w:t>TobeSoft</w:t>
      </w:r>
      <w:proofErr w:type="spellEnd"/>
      <w:r w:rsidRPr="00EC476F">
        <w:t xml:space="preserve">; Chair: American Heart Association Quality Oversight Committee; Data Monitoring Committees: </w:t>
      </w:r>
      <w:proofErr w:type="spellStart"/>
      <w:r w:rsidRPr="00EC476F">
        <w:t>Baim</w:t>
      </w:r>
      <w:proofErr w:type="spellEnd"/>
      <w:r w:rsidRPr="00EC476F">
        <w:t xml:space="preserve"> Institute for Clinical Research (formerly Harvard Clinical Research Institute, for the PORTICO trial, funded by St. Jude Medical, now Abbott), Cleveland Clinic (including for the </w:t>
      </w:r>
      <w:proofErr w:type="spellStart"/>
      <w:r w:rsidRPr="00EC476F">
        <w:t>ExCEED</w:t>
      </w:r>
      <w:proofErr w:type="spellEnd"/>
      <w:r w:rsidRPr="00EC476F">
        <w:t xml:space="preserve"> trial, funded by Edwards), </w:t>
      </w:r>
      <w:proofErr w:type="spellStart"/>
      <w:r w:rsidRPr="00EC476F">
        <w:t>Contego</w:t>
      </w:r>
      <w:proofErr w:type="spellEnd"/>
      <w:r w:rsidRPr="00EC476F">
        <w:t xml:space="preserve"> Medical (Chair, PERFORMANCE 2),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EC476F">
        <w:t>Baim</w:t>
      </w:r>
      <w:proofErr w:type="spellEnd"/>
      <w:r w:rsidRPr="00EC476F">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Canadian Medical and Surgical Knowledge Translation Research Group (clinical trial steering committees), Duke Clinical Research Institute (clinical trial steering committees, including for the PRONOUNCE trial, funded by Ferring Pharmaceuticals), HMP Global (Editor in Chief, Journal of Invasive Cardiology), Journal of the American College of Cardiology (Guest Editor; Associate Editor), K2P (Co-Chair, interdisciplinary curriculum), Level Ex, </w:t>
      </w:r>
      <w:proofErr w:type="spellStart"/>
      <w:r w:rsidRPr="00EC476F">
        <w:t>Medtelligence</w:t>
      </w:r>
      <w:proofErr w:type="spellEnd"/>
      <w:r w:rsidRPr="00EC476F">
        <w:t>/</w:t>
      </w:r>
      <w:proofErr w:type="spellStart"/>
      <w:r w:rsidRPr="00EC476F">
        <w:t>ReachMD</w:t>
      </w:r>
      <w:proofErr w:type="spellEnd"/>
      <w:r w:rsidRPr="00EC476F">
        <w:t xml:space="preserve"> (CME steering committees),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EC476F">
        <w:t>Afimmune</w:t>
      </w:r>
      <w:proofErr w:type="spellEnd"/>
      <w:r w:rsidRPr="00EC476F">
        <w:t xml:space="preserve">, </w:t>
      </w:r>
      <w:proofErr w:type="spellStart"/>
      <w:r w:rsidRPr="00EC476F">
        <w:t>Amarin</w:t>
      </w:r>
      <w:proofErr w:type="spellEnd"/>
      <w:r w:rsidRPr="00EC476F">
        <w:t xml:space="preserve">, Amgen, AstraZeneca, Bayer, Boehringer Ingelheim, Bristol-Myers Squibb, </w:t>
      </w:r>
      <w:proofErr w:type="spellStart"/>
      <w:r w:rsidRPr="00EC476F">
        <w:t>Cardax</w:t>
      </w:r>
      <w:proofErr w:type="spellEnd"/>
      <w:r w:rsidRPr="00EC476F">
        <w:t xml:space="preserve">, </w:t>
      </w:r>
      <w:proofErr w:type="spellStart"/>
      <w:r w:rsidRPr="00EC476F">
        <w:t>Chiesi</w:t>
      </w:r>
      <w:proofErr w:type="spellEnd"/>
      <w:r w:rsidRPr="00EC476F">
        <w:t xml:space="preserve">, CSL Behring, Eisai, Ethicon, Ferring Pharmaceuticals, Forest Laboratories, </w:t>
      </w:r>
      <w:proofErr w:type="spellStart"/>
      <w:r w:rsidRPr="00EC476F">
        <w:t>Fractyl</w:t>
      </w:r>
      <w:proofErr w:type="spellEnd"/>
      <w:r w:rsidRPr="00EC476F">
        <w:t xml:space="preserve">, HLS Therapeutics, Idorsia, Ironwood, </w:t>
      </w:r>
      <w:proofErr w:type="spellStart"/>
      <w:r w:rsidRPr="00EC476F">
        <w:t>Ischemix</w:t>
      </w:r>
      <w:proofErr w:type="spellEnd"/>
      <w:r w:rsidRPr="00EC476F">
        <w:t xml:space="preserve">, Janssen, Lexicon, Lilly, Medtronic, </w:t>
      </w:r>
      <w:proofErr w:type="spellStart"/>
      <w:r w:rsidRPr="00EC476F">
        <w:t>MyoKardia</w:t>
      </w:r>
      <w:proofErr w:type="spellEnd"/>
      <w:r w:rsidRPr="00EC476F">
        <w:t xml:space="preserve">, Novo Nordisk, </w:t>
      </w:r>
      <w:proofErr w:type="spellStart"/>
      <w:r w:rsidRPr="00EC476F">
        <w:t>Owkin</w:t>
      </w:r>
      <w:proofErr w:type="spellEnd"/>
      <w:r w:rsidRPr="00EC476F">
        <w:t xml:space="preserve">, Pfizer, </w:t>
      </w:r>
      <w:proofErr w:type="spellStart"/>
      <w:r w:rsidRPr="00EC476F">
        <w:t>PhaseBio</w:t>
      </w:r>
      <w:proofErr w:type="spellEnd"/>
      <w:r w:rsidRPr="00EC476F">
        <w:t xml:space="preserve">, </w:t>
      </w:r>
      <w:proofErr w:type="spellStart"/>
      <w:r w:rsidRPr="00EC476F">
        <w:t>PLx</w:t>
      </w:r>
      <w:proofErr w:type="spellEnd"/>
      <w:r w:rsidRPr="00EC476F">
        <w:t xml:space="preserve"> Pharma, Regeneron, Roche, Sanofi, Synaptic, The </w:t>
      </w:r>
      <w:r w:rsidRPr="00EC476F">
        <w:lastRenderedPageBreak/>
        <w:t xml:space="preserve">Medicines Company; Royalties: Elsevier (Editor, Cardiovascular Intervention: A Companion to </w:t>
      </w:r>
      <w:proofErr w:type="spellStart"/>
      <w:r w:rsidRPr="00EC476F">
        <w:t>Braunwald’s</w:t>
      </w:r>
      <w:proofErr w:type="spellEnd"/>
      <w:r w:rsidRPr="00EC476F">
        <w:t xml:space="preserve"> Heart Disease); Site Co-Investigator: Abbott, </w:t>
      </w:r>
      <w:proofErr w:type="spellStart"/>
      <w:r w:rsidRPr="00EC476F">
        <w:t>Biotronik</w:t>
      </w:r>
      <w:proofErr w:type="spellEnd"/>
      <w:r w:rsidRPr="00EC476F">
        <w:t xml:space="preserve">, Boston Scientific, CSI, St. Jude Medical (now Abbott), Svelte; Trustee: American College of Cardiology; Unfunded Research: </w:t>
      </w:r>
      <w:proofErr w:type="spellStart"/>
      <w:r w:rsidRPr="00EC476F">
        <w:t>FlowCo</w:t>
      </w:r>
      <w:proofErr w:type="spellEnd"/>
      <w:r w:rsidRPr="00EC476F">
        <w:t>, Merck, Takeda.</w:t>
      </w:r>
    </w:p>
    <w:p w14:paraId="680AA1AA" w14:textId="255A8735" w:rsidR="004D7BC1" w:rsidRDefault="00991CD1" w:rsidP="00B67081">
      <w:pPr>
        <w:spacing w:after="0" w:line="480" w:lineRule="auto"/>
      </w:pPr>
      <w:r>
        <w:rPr>
          <w:b/>
          <w:bCs/>
        </w:rPr>
        <w:t xml:space="preserve">Prof </w:t>
      </w:r>
      <w:r w:rsidR="004D7BC1">
        <w:rPr>
          <w:b/>
          <w:bCs/>
        </w:rPr>
        <w:t>J</w:t>
      </w:r>
      <w:r>
        <w:rPr>
          <w:b/>
          <w:bCs/>
        </w:rPr>
        <w:t>uan</w:t>
      </w:r>
      <w:r w:rsidR="0042545D">
        <w:rPr>
          <w:b/>
          <w:bCs/>
        </w:rPr>
        <w:t>-</w:t>
      </w:r>
      <w:r w:rsidR="004D7BC1">
        <w:rPr>
          <w:b/>
          <w:bCs/>
        </w:rPr>
        <w:t>C</w:t>
      </w:r>
      <w:r w:rsidR="0042545D">
        <w:rPr>
          <w:b/>
          <w:bCs/>
        </w:rPr>
        <w:t xml:space="preserve">arlos </w:t>
      </w:r>
      <w:r w:rsidR="004D7BC1">
        <w:rPr>
          <w:b/>
          <w:bCs/>
        </w:rPr>
        <w:t>K</w:t>
      </w:r>
      <w:r w:rsidR="0042545D">
        <w:rPr>
          <w:b/>
          <w:bCs/>
        </w:rPr>
        <w:t>aski</w:t>
      </w:r>
      <w:r w:rsidR="004D7BC1">
        <w:rPr>
          <w:b/>
          <w:bCs/>
        </w:rPr>
        <w:t xml:space="preserve"> </w:t>
      </w:r>
      <w:r w:rsidR="0023044D" w:rsidRPr="00EC476F">
        <w:t xml:space="preserve">discloses the following relationships </w:t>
      </w:r>
      <w:r w:rsidR="005A6182">
        <w:t xml:space="preserve">– </w:t>
      </w:r>
      <w:r w:rsidR="00780B0C">
        <w:t xml:space="preserve">Speaker fees: </w:t>
      </w:r>
      <w:proofErr w:type="spellStart"/>
      <w:r w:rsidR="00780B0C">
        <w:t>Men</w:t>
      </w:r>
      <w:r w:rsidR="009A2E59">
        <w:t>arini</w:t>
      </w:r>
      <w:proofErr w:type="spellEnd"/>
      <w:r w:rsidR="009A2E59">
        <w:t xml:space="preserve"> </w:t>
      </w:r>
      <w:proofErr w:type="spellStart"/>
      <w:r w:rsidR="009A2E59">
        <w:t>Farmaceutica</w:t>
      </w:r>
      <w:proofErr w:type="spellEnd"/>
      <w:r w:rsidR="009A2E59">
        <w:t xml:space="preserve"> </w:t>
      </w:r>
      <w:proofErr w:type="spellStart"/>
      <w:r w:rsidR="009A2E59">
        <w:t>srl</w:t>
      </w:r>
      <w:proofErr w:type="spellEnd"/>
      <w:r w:rsidR="009A2E59">
        <w:t>.</w:t>
      </w:r>
    </w:p>
    <w:p w14:paraId="6A22C20A" w14:textId="77777777" w:rsidR="000D2E81" w:rsidRDefault="000D2E81" w:rsidP="000D2E81">
      <w:pPr>
        <w:spacing w:after="0" w:line="480" w:lineRule="auto"/>
      </w:pPr>
      <w:r w:rsidRPr="0075080C">
        <w:rPr>
          <w:b/>
          <w:bCs/>
        </w:rPr>
        <w:t>Dr Sean Delaney</w:t>
      </w:r>
      <w:r>
        <w:t xml:space="preserve"> </w:t>
      </w:r>
      <w:r w:rsidRPr="00B0573B">
        <w:t>Conflicts</w:t>
      </w:r>
      <w:r w:rsidRPr="003D34F5">
        <w:t xml:space="preserve"> of interest: none declared.</w:t>
      </w:r>
    </w:p>
    <w:p w14:paraId="126925E1" w14:textId="715121A3" w:rsidR="007C6834" w:rsidRDefault="009C61B5" w:rsidP="007C6834">
      <w:pPr>
        <w:spacing w:after="0" w:line="480" w:lineRule="auto"/>
      </w:pPr>
      <w:r>
        <w:rPr>
          <w:b/>
          <w:bCs/>
        </w:rPr>
        <w:t xml:space="preserve">Dr </w:t>
      </w:r>
      <w:proofErr w:type="spellStart"/>
      <w:r w:rsidR="007C6834" w:rsidRPr="007943DA">
        <w:rPr>
          <w:b/>
          <w:bCs/>
        </w:rPr>
        <w:t>M</w:t>
      </w:r>
      <w:r>
        <w:rPr>
          <w:b/>
          <w:bCs/>
        </w:rPr>
        <w:t>irvat</w:t>
      </w:r>
      <w:proofErr w:type="spellEnd"/>
      <w:r>
        <w:rPr>
          <w:b/>
          <w:bCs/>
        </w:rPr>
        <w:t xml:space="preserve"> </w:t>
      </w:r>
      <w:proofErr w:type="spellStart"/>
      <w:r w:rsidR="007C6834" w:rsidRPr="007943DA">
        <w:rPr>
          <w:b/>
          <w:bCs/>
        </w:rPr>
        <w:t>A</w:t>
      </w:r>
      <w:r>
        <w:rPr>
          <w:b/>
          <w:bCs/>
        </w:rPr>
        <w:t>lasnag</w:t>
      </w:r>
      <w:proofErr w:type="spellEnd"/>
      <w:r w:rsidR="007C6834" w:rsidRPr="007943DA">
        <w:rPr>
          <w:b/>
          <w:bCs/>
        </w:rPr>
        <w:t xml:space="preserve"> </w:t>
      </w:r>
      <w:r w:rsidR="00221560" w:rsidRPr="007943DA">
        <w:t>Conflicts of interest: none declared</w:t>
      </w:r>
      <w:r w:rsidR="007C6834" w:rsidRPr="007943DA">
        <w:t>.</w:t>
      </w:r>
    </w:p>
    <w:p w14:paraId="7DAEC82C" w14:textId="4D096345" w:rsidR="00AE5654" w:rsidRDefault="00E37EE9" w:rsidP="00AE5654">
      <w:pPr>
        <w:spacing w:after="0" w:line="480" w:lineRule="auto"/>
      </w:pPr>
      <w:r>
        <w:rPr>
          <w:b/>
          <w:bCs/>
        </w:rPr>
        <w:t xml:space="preserve">Prof </w:t>
      </w:r>
      <w:r w:rsidR="00AE5654" w:rsidRPr="00684D4A">
        <w:rPr>
          <w:b/>
          <w:bCs/>
        </w:rPr>
        <w:t>F</w:t>
      </w:r>
      <w:r>
        <w:rPr>
          <w:b/>
          <w:bCs/>
        </w:rPr>
        <w:t xml:space="preserve">elicita </w:t>
      </w:r>
      <w:r w:rsidR="00AE5654" w:rsidRPr="00684D4A">
        <w:rPr>
          <w:b/>
          <w:bCs/>
        </w:rPr>
        <w:t>A</w:t>
      </w:r>
      <w:r>
        <w:rPr>
          <w:b/>
          <w:bCs/>
        </w:rPr>
        <w:t>ndreotti</w:t>
      </w:r>
      <w:r w:rsidR="00AE5654" w:rsidRPr="005A4242">
        <w:rPr>
          <w:b/>
          <w:bCs/>
        </w:rPr>
        <w:t xml:space="preserve"> </w:t>
      </w:r>
      <w:r w:rsidR="00157143" w:rsidRPr="00EC476F">
        <w:t xml:space="preserve">discloses the following relationships </w:t>
      </w:r>
      <w:r w:rsidR="00AE5654">
        <w:t>– S</w:t>
      </w:r>
      <w:r w:rsidR="00AE5654" w:rsidRPr="00DE6891">
        <w:t>peaker or consultancy fees</w:t>
      </w:r>
      <w:r w:rsidR="00AE5654">
        <w:t>:</w:t>
      </w:r>
      <w:r w:rsidR="00AE5654" w:rsidRPr="00DE6891">
        <w:t xml:space="preserve"> Amgen, Bayer, BMS/Pfizer and Daiichi Sankyo</w:t>
      </w:r>
      <w:r w:rsidR="00AE5654">
        <w:t>.</w:t>
      </w:r>
    </w:p>
    <w:p w14:paraId="307E72BC" w14:textId="197BC216" w:rsidR="00BC16E7" w:rsidRDefault="00176AB5" w:rsidP="00BC16E7">
      <w:pPr>
        <w:spacing w:line="480" w:lineRule="auto"/>
      </w:pPr>
      <w:r>
        <w:rPr>
          <w:b/>
          <w:bCs/>
        </w:rPr>
        <w:t>Dr</w:t>
      </w:r>
      <w:r w:rsidR="005A419E">
        <w:rPr>
          <w:b/>
          <w:bCs/>
        </w:rPr>
        <w:t xml:space="preserve"> </w:t>
      </w:r>
      <w:r w:rsidR="00BC16E7">
        <w:rPr>
          <w:b/>
          <w:bCs/>
        </w:rPr>
        <w:t>D</w:t>
      </w:r>
      <w:r w:rsidR="00C92524">
        <w:rPr>
          <w:b/>
          <w:bCs/>
        </w:rPr>
        <w:t>ominick</w:t>
      </w:r>
      <w:r w:rsidR="00C92524" w:rsidRPr="00C92524">
        <w:t xml:space="preserve"> </w:t>
      </w:r>
      <w:proofErr w:type="spellStart"/>
      <w:r w:rsidR="00C92524" w:rsidRPr="00C92524">
        <w:rPr>
          <w:b/>
          <w:bCs/>
        </w:rPr>
        <w:t>Angiolillo</w:t>
      </w:r>
      <w:proofErr w:type="spellEnd"/>
      <w:r w:rsidR="00BC16E7">
        <w:rPr>
          <w:b/>
          <w:bCs/>
        </w:rPr>
        <w:t xml:space="preserve"> </w:t>
      </w:r>
      <w:r w:rsidR="00CD3146" w:rsidRPr="00EC476F">
        <w:t xml:space="preserve">discloses the following relationships </w:t>
      </w:r>
      <w:r w:rsidR="00BC16E7">
        <w:t xml:space="preserve">– </w:t>
      </w:r>
      <w:r w:rsidR="00BC16E7" w:rsidRPr="00C6517D">
        <w:t>Consulting fee or honorarium</w:t>
      </w:r>
      <w:r w:rsidR="00BC16E7">
        <w:t>:</w:t>
      </w:r>
      <w:r w:rsidR="00BC16E7" w:rsidRPr="00C6517D">
        <w:t xml:space="preserve"> Abbott, Amgen, </w:t>
      </w:r>
      <w:proofErr w:type="spellStart"/>
      <w:r w:rsidR="00BC16E7" w:rsidRPr="00C6517D">
        <w:t>Aralez</w:t>
      </w:r>
      <w:proofErr w:type="spellEnd"/>
      <w:r w:rsidR="00BC16E7" w:rsidRPr="00C6517D">
        <w:t xml:space="preserve">, AstraZeneca, Bayer, Biosensors, Boehringer Ingelheim, Bristol-Myers Squibb, </w:t>
      </w:r>
      <w:proofErr w:type="spellStart"/>
      <w:r w:rsidR="00BC16E7" w:rsidRPr="00C6517D">
        <w:t>Chiesi</w:t>
      </w:r>
      <w:proofErr w:type="spellEnd"/>
      <w:r w:rsidR="00BC16E7" w:rsidRPr="00C6517D">
        <w:t xml:space="preserve">, Daiichi-Sankyo, Eli Lilly, </w:t>
      </w:r>
      <w:proofErr w:type="spellStart"/>
      <w:r w:rsidR="00BC16E7" w:rsidRPr="00C6517D">
        <w:t>Haemonetics</w:t>
      </w:r>
      <w:proofErr w:type="spellEnd"/>
      <w:r w:rsidR="00BC16E7" w:rsidRPr="00C6517D">
        <w:t xml:space="preserve">, Janssen, Merck, </w:t>
      </w:r>
      <w:proofErr w:type="spellStart"/>
      <w:r w:rsidR="00BC16E7" w:rsidRPr="00C6517D">
        <w:t>PhaseBio</w:t>
      </w:r>
      <w:proofErr w:type="spellEnd"/>
      <w:r w:rsidR="00BC16E7" w:rsidRPr="00C6517D">
        <w:t xml:space="preserve">, </w:t>
      </w:r>
      <w:proofErr w:type="spellStart"/>
      <w:r w:rsidR="00BC16E7" w:rsidRPr="00C6517D">
        <w:t>PLx</w:t>
      </w:r>
      <w:proofErr w:type="spellEnd"/>
      <w:r w:rsidR="00BC16E7" w:rsidRPr="00C6517D">
        <w:t xml:space="preserve"> Pharma, Pfizer, Sanofi, and The Medicines Company; Participation in review activities</w:t>
      </w:r>
      <w:r w:rsidR="00BC16E7">
        <w:t>:</w:t>
      </w:r>
      <w:r w:rsidR="00BC16E7" w:rsidRPr="00C6517D">
        <w:t xml:space="preserve"> </w:t>
      </w:r>
      <w:proofErr w:type="spellStart"/>
      <w:r w:rsidR="00BC16E7" w:rsidRPr="00C6517D">
        <w:t>CeloNova</w:t>
      </w:r>
      <w:proofErr w:type="spellEnd"/>
      <w:r w:rsidR="00BC16E7" w:rsidRPr="00C6517D">
        <w:t xml:space="preserve"> and St. Jude Medical</w:t>
      </w:r>
      <w:r w:rsidR="00BC16E7">
        <w:t>;</w:t>
      </w:r>
      <w:r w:rsidR="00BC16E7" w:rsidRPr="00C6517D">
        <w:t xml:space="preserve"> Institutional payments for grants from Amgen, AstraZeneca, Bayer, Biosensors, </w:t>
      </w:r>
      <w:proofErr w:type="spellStart"/>
      <w:r w:rsidR="00BC16E7" w:rsidRPr="00C6517D">
        <w:t>CeloNova</w:t>
      </w:r>
      <w:proofErr w:type="spellEnd"/>
      <w:r w:rsidR="00BC16E7" w:rsidRPr="00C6517D">
        <w:t xml:space="preserve">, CSL Behring, Daiichi-Sankyo, Eisai, Eli-Lilly, Gilead, Idorsia, Janssen, </w:t>
      </w:r>
      <w:proofErr w:type="spellStart"/>
      <w:r w:rsidR="00BC16E7" w:rsidRPr="00C6517D">
        <w:t>Matsutani</w:t>
      </w:r>
      <w:proofErr w:type="spellEnd"/>
      <w:r w:rsidR="00BC16E7" w:rsidRPr="00C6517D">
        <w:t xml:space="preserve"> Chemical Industry Co., Merck, Novartis, Osprey Medical, Renal Guard Solutions and the Scott R. </w:t>
      </w:r>
      <w:proofErr w:type="spellStart"/>
      <w:r w:rsidR="00BC16E7" w:rsidRPr="00C6517D">
        <w:t>MacKenzie</w:t>
      </w:r>
      <w:proofErr w:type="spellEnd"/>
      <w:r w:rsidR="00BC16E7" w:rsidRPr="00C6517D">
        <w:t xml:space="preserve"> Foundation.</w:t>
      </w:r>
    </w:p>
    <w:p w14:paraId="13B9A665" w14:textId="28255B5C" w:rsidR="00FE6F94" w:rsidRDefault="00A1057F" w:rsidP="00FE6F94">
      <w:pPr>
        <w:spacing w:after="0" w:line="480" w:lineRule="auto"/>
      </w:pPr>
      <w:r>
        <w:rPr>
          <w:b/>
          <w:bCs/>
        </w:rPr>
        <w:t xml:space="preserve">Prof </w:t>
      </w:r>
      <w:r w:rsidR="004350AA" w:rsidRPr="007943DA">
        <w:rPr>
          <w:b/>
          <w:bCs/>
        </w:rPr>
        <w:t>A</w:t>
      </w:r>
      <w:r>
        <w:rPr>
          <w:b/>
          <w:bCs/>
        </w:rPr>
        <w:t xml:space="preserve">lbert </w:t>
      </w:r>
      <w:r w:rsidR="004350AA" w:rsidRPr="007943DA">
        <w:rPr>
          <w:b/>
          <w:bCs/>
        </w:rPr>
        <w:t>F</w:t>
      </w:r>
      <w:r>
        <w:rPr>
          <w:b/>
          <w:bCs/>
        </w:rPr>
        <w:t>erro</w:t>
      </w:r>
      <w:r w:rsidR="00FE6F94" w:rsidRPr="007943DA">
        <w:rPr>
          <w:b/>
          <w:bCs/>
        </w:rPr>
        <w:t xml:space="preserve"> </w:t>
      </w:r>
      <w:r w:rsidR="00221560" w:rsidRPr="007943DA">
        <w:t>Conflicts of interest: none declared</w:t>
      </w:r>
      <w:r w:rsidR="009C1976" w:rsidRPr="007943DA">
        <w:t>.</w:t>
      </w:r>
    </w:p>
    <w:p w14:paraId="51B5BBC3" w14:textId="3DC071BF" w:rsidR="00273B56" w:rsidRDefault="005A419E" w:rsidP="00273B56">
      <w:pPr>
        <w:spacing w:after="0" w:line="480" w:lineRule="auto"/>
      </w:pPr>
      <w:r>
        <w:rPr>
          <w:b/>
          <w:bCs/>
        </w:rPr>
        <w:t xml:space="preserve">Prof </w:t>
      </w:r>
      <w:r w:rsidR="00273B56">
        <w:rPr>
          <w:b/>
          <w:bCs/>
        </w:rPr>
        <w:t>D</w:t>
      </w:r>
      <w:r>
        <w:rPr>
          <w:b/>
          <w:bCs/>
        </w:rPr>
        <w:t xml:space="preserve">iana </w:t>
      </w:r>
      <w:proofErr w:type="spellStart"/>
      <w:r w:rsidR="00273B56">
        <w:rPr>
          <w:b/>
          <w:bCs/>
        </w:rPr>
        <w:t>G</w:t>
      </w:r>
      <w:r>
        <w:rPr>
          <w:b/>
          <w:bCs/>
        </w:rPr>
        <w:t>orog</w:t>
      </w:r>
      <w:proofErr w:type="spellEnd"/>
      <w:r w:rsidR="00273B56">
        <w:rPr>
          <w:b/>
          <w:bCs/>
        </w:rPr>
        <w:t xml:space="preserve"> </w:t>
      </w:r>
      <w:r w:rsidR="00A1057F" w:rsidRPr="00EC476F">
        <w:t xml:space="preserve">discloses the following relationships </w:t>
      </w:r>
      <w:r w:rsidR="00E32EB9">
        <w:t xml:space="preserve">– </w:t>
      </w:r>
      <w:r w:rsidR="00915790">
        <w:t>Institutional grants</w:t>
      </w:r>
      <w:r w:rsidR="00C960C7">
        <w:t>:</w:t>
      </w:r>
      <w:r w:rsidR="00915790">
        <w:t xml:space="preserve"> Bayer, Medtronic, </w:t>
      </w:r>
      <w:proofErr w:type="spellStart"/>
      <w:r w:rsidR="00915790">
        <w:t>Werfen</w:t>
      </w:r>
      <w:proofErr w:type="spellEnd"/>
      <w:r w:rsidR="00915790">
        <w:t xml:space="preserve">; </w:t>
      </w:r>
      <w:r w:rsidR="00C960C7">
        <w:t>Lecture fees: AstraZeneca, Boehringer Ingelheim.</w:t>
      </w:r>
    </w:p>
    <w:p w14:paraId="1BE17DFD" w14:textId="3E160CEC" w:rsidR="009C4D1B" w:rsidRDefault="00750423" w:rsidP="009C4D1B">
      <w:pPr>
        <w:spacing w:line="480" w:lineRule="auto"/>
      </w:pPr>
      <w:r>
        <w:rPr>
          <w:b/>
          <w:bCs/>
        </w:rPr>
        <w:t xml:space="preserve">Dr </w:t>
      </w:r>
      <w:r w:rsidR="009C4D1B" w:rsidRPr="00323229">
        <w:rPr>
          <w:b/>
          <w:bCs/>
        </w:rPr>
        <w:t>A</w:t>
      </w:r>
      <w:r>
        <w:rPr>
          <w:b/>
          <w:bCs/>
        </w:rPr>
        <w:t xml:space="preserve">lberto </w:t>
      </w:r>
      <w:proofErr w:type="spellStart"/>
      <w:r w:rsidR="009C4D1B" w:rsidRPr="00323229">
        <w:rPr>
          <w:b/>
          <w:bCs/>
        </w:rPr>
        <w:t>L</w:t>
      </w:r>
      <w:r>
        <w:rPr>
          <w:b/>
          <w:bCs/>
        </w:rPr>
        <w:t>orenzatti</w:t>
      </w:r>
      <w:proofErr w:type="spellEnd"/>
      <w:r w:rsidR="009C4D1B" w:rsidRPr="005A4242">
        <w:rPr>
          <w:b/>
          <w:bCs/>
        </w:rPr>
        <w:t xml:space="preserve"> </w:t>
      </w:r>
      <w:r w:rsidR="007A46ED" w:rsidRPr="00EC476F">
        <w:t xml:space="preserve">discloses the following relationships </w:t>
      </w:r>
      <w:r w:rsidR="009C4D1B">
        <w:t>– C</w:t>
      </w:r>
      <w:r w:rsidR="009C4D1B" w:rsidRPr="005A4242">
        <w:t xml:space="preserve">onsultant and/or speaker honorarium: PTC Therapeutics, Pfizer, Amgen and </w:t>
      </w:r>
      <w:proofErr w:type="spellStart"/>
      <w:r w:rsidR="009C4D1B" w:rsidRPr="005A4242">
        <w:t>NovoNordisk</w:t>
      </w:r>
      <w:proofErr w:type="spellEnd"/>
      <w:r w:rsidR="009C4D1B">
        <w:t>; R</w:t>
      </w:r>
      <w:r w:rsidR="009C4D1B" w:rsidRPr="005A4242">
        <w:t xml:space="preserve">esearch grant: </w:t>
      </w:r>
      <w:proofErr w:type="spellStart"/>
      <w:r w:rsidR="009C4D1B" w:rsidRPr="005A4242">
        <w:t>NovoNordisk</w:t>
      </w:r>
      <w:proofErr w:type="spellEnd"/>
      <w:r w:rsidR="009C4D1B" w:rsidRPr="005A4242">
        <w:t>, Amgen and Esperion Therapeutics</w:t>
      </w:r>
      <w:r w:rsidR="009C4D1B">
        <w:t>.</w:t>
      </w:r>
    </w:p>
    <w:p w14:paraId="458BBE83" w14:textId="2888D9CD" w:rsidR="00804610" w:rsidRPr="00983704" w:rsidRDefault="00311822" w:rsidP="00804610">
      <w:pPr>
        <w:spacing w:line="480" w:lineRule="auto"/>
        <w:rPr>
          <w:rFonts w:ascii="Times New Roman" w:eastAsia="Times New Roman" w:hAnsi="Times New Roman" w:cs="Times New Roman"/>
          <w:sz w:val="24"/>
          <w:szCs w:val="24"/>
          <w:lang w:eastAsia="en-GB"/>
        </w:rPr>
      </w:pPr>
      <w:r>
        <w:rPr>
          <w:b/>
          <w:bCs/>
        </w:rPr>
        <w:t xml:space="preserve">Prof </w:t>
      </w:r>
      <w:r w:rsidR="00804610">
        <w:rPr>
          <w:b/>
          <w:bCs/>
        </w:rPr>
        <w:t>M</w:t>
      </w:r>
      <w:r>
        <w:rPr>
          <w:b/>
          <w:bCs/>
        </w:rPr>
        <w:t xml:space="preserve">amas </w:t>
      </w:r>
      <w:proofErr w:type="spellStart"/>
      <w:r w:rsidR="00804610">
        <w:rPr>
          <w:b/>
          <w:bCs/>
        </w:rPr>
        <w:t>M</w:t>
      </w:r>
      <w:r>
        <w:rPr>
          <w:b/>
          <w:bCs/>
        </w:rPr>
        <w:t>amas</w:t>
      </w:r>
      <w:proofErr w:type="spellEnd"/>
      <w:r w:rsidR="00804610">
        <w:rPr>
          <w:b/>
          <w:bCs/>
        </w:rPr>
        <w:t xml:space="preserve"> </w:t>
      </w:r>
      <w:r w:rsidRPr="00EC476F">
        <w:t xml:space="preserve">discloses the following relationships </w:t>
      </w:r>
      <w:r w:rsidR="00804610">
        <w:t>– Unrestricted educational</w:t>
      </w:r>
      <w:r w:rsidR="00804610" w:rsidRPr="0067538F">
        <w:t xml:space="preserve"> grant</w:t>
      </w:r>
      <w:r w:rsidR="00804610">
        <w:t>:</w:t>
      </w:r>
      <w:r w:rsidR="00804610" w:rsidRPr="0067538F">
        <w:t xml:space="preserve"> </w:t>
      </w:r>
      <w:r w:rsidR="00804610" w:rsidRPr="00440262">
        <w:t>Daiichi Sankyo and speakers bureau</w:t>
      </w:r>
      <w:r w:rsidR="00804610">
        <w:t>; Consulting: Pfizer.</w:t>
      </w:r>
    </w:p>
    <w:p w14:paraId="58443035" w14:textId="2F3767C3" w:rsidR="00804610" w:rsidRDefault="00A55F2B" w:rsidP="00804610">
      <w:pPr>
        <w:spacing w:after="0" w:line="480" w:lineRule="auto"/>
      </w:pPr>
      <w:r>
        <w:rPr>
          <w:b/>
          <w:bCs/>
        </w:rPr>
        <w:lastRenderedPageBreak/>
        <w:t xml:space="preserve">Prof </w:t>
      </w:r>
      <w:r w:rsidR="00804610" w:rsidRPr="00E75295">
        <w:rPr>
          <w:b/>
          <w:bCs/>
        </w:rPr>
        <w:t>J</w:t>
      </w:r>
      <w:r>
        <w:rPr>
          <w:b/>
          <w:bCs/>
        </w:rPr>
        <w:t xml:space="preserve">ohn </w:t>
      </w:r>
      <w:r w:rsidR="00804610" w:rsidRPr="00E75295">
        <w:rPr>
          <w:b/>
          <w:bCs/>
        </w:rPr>
        <w:t>M</w:t>
      </w:r>
      <w:r>
        <w:rPr>
          <w:b/>
          <w:bCs/>
        </w:rPr>
        <w:t>cNeil</w:t>
      </w:r>
      <w:r w:rsidR="00804610" w:rsidRPr="00E75295">
        <w:rPr>
          <w:b/>
          <w:bCs/>
        </w:rPr>
        <w:t xml:space="preserve"> </w:t>
      </w:r>
      <w:r w:rsidR="006872FF" w:rsidRPr="00E75295">
        <w:t>Conflicts</w:t>
      </w:r>
      <w:r w:rsidR="006872FF">
        <w:t xml:space="preserve"> of interest: none declared</w:t>
      </w:r>
      <w:r w:rsidR="00804610">
        <w:t>.</w:t>
      </w:r>
    </w:p>
    <w:p w14:paraId="224BE265" w14:textId="40CCC29D" w:rsidR="007F645D" w:rsidRDefault="00B24F4E" w:rsidP="007F645D">
      <w:pPr>
        <w:spacing w:after="0" w:line="480" w:lineRule="auto"/>
      </w:pPr>
      <w:r>
        <w:rPr>
          <w:b/>
          <w:bCs/>
        </w:rPr>
        <w:t xml:space="preserve">Prof </w:t>
      </w:r>
      <w:r w:rsidR="007F645D">
        <w:rPr>
          <w:b/>
          <w:bCs/>
        </w:rPr>
        <w:t>J</w:t>
      </w:r>
      <w:r w:rsidR="00E94724">
        <w:rPr>
          <w:b/>
          <w:bCs/>
        </w:rPr>
        <w:t xml:space="preserve">ose </w:t>
      </w:r>
      <w:r w:rsidR="007F645D">
        <w:rPr>
          <w:b/>
          <w:bCs/>
        </w:rPr>
        <w:t>C</w:t>
      </w:r>
      <w:r w:rsidR="00E94724">
        <w:rPr>
          <w:b/>
          <w:bCs/>
        </w:rPr>
        <w:t xml:space="preserve">arlos </w:t>
      </w:r>
      <w:proofErr w:type="spellStart"/>
      <w:r w:rsidR="007F645D">
        <w:rPr>
          <w:b/>
          <w:bCs/>
        </w:rPr>
        <w:t>N</w:t>
      </w:r>
      <w:r w:rsidR="00E94724">
        <w:rPr>
          <w:b/>
          <w:bCs/>
        </w:rPr>
        <w:t>icolau</w:t>
      </w:r>
      <w:proofErr w:type="spellEnd"/>
      <w:r w:rsidR="007F645D">
        <w:rPr>
          <w:b/>
          <w:bCs/>
        </w:rPr>
        <w:t xml:space="preserve"> </w:t>
      </w:r>
      <w:r w:rsidR="00E94724" w:rsidRPr="00EC476F">
        <w:t xml:space="preserve">discloses the following relationships </w:t>
      </w:r>
      <w:r w:rsidR="007F645D">
        <w:t>– P</w:t>
      </w:r>
      <w:r w:rsidR="007F645D" w:rsidRPr="00A1157F">
        <w:t>ersonal fees</w:t>
      </w:r>
      <w:r w:rsidR="007F645D">
        <w:t>:</w:t>
      </w:r>
      <w:r w:rsidR="007F645D" w:rsidRPr="00A1157F">
        <w:t xml:space="preserve"> A</w:t>
      </w:r>
      <w:r w:rsidR="007F645D">
        <w:t xml:space="preserve">mgen, Bayer, </w:t>
      </w:r>
      <w:r w:rsidR="007F645D" w:rsidRPr="00A1157F">
        <w:t>Daiichi-Sankyo</w:t>
      </w:r>
      <w:r w:rsidR="007F645D">
        <w:t xml:space="preserve">, Novartis, Sanofi, </w:t>
      </w:r>
      <w:proofErr w:type="spellStart"/>
      <w:r w:rsidR="007F645D">
        <w:t>Servier</w:t>
      </w:r>
      <w:proofErr w:type="spellEnd"/>
      <w:r w:rsidR="007F645D">
        <w:t>;</w:t>
      </w:r>
      <w:r w:rsidR="007F645D" w:rsidRPr="00A1157F">
        <w:t xml:space="preserve"> </w:t>
      </w:r>
      <w:r w:rsidR="007F645D">
        <w:t>G</w:t>
      </w:r>
      <w:r w:rsidR="007F645D" w:rsidRPr="00A1157F">
        <w:t>rants</w:t>
      </w:r>
      <w:r w:rsidR="007F645D">
        <w:t>:</w:t>
      </w:r>
      <w:r w:rsidR="007F645D" w:rsidRPr="00A1157F">
        <w:t xml:space="preserve"> </w:t>
      </w:r>
      <w:proofErr w:type="spellStart"/>
      <w:r w:rsidR="007F645D" w:rsidRPr="00A1157F">
        <w:t>Astrazeneca</w:t>
      </w:r>
      <w:proofErr w:type="spellEnd"/>
      <w:r w:rsidR="007F645D">
        <w:t xml:space="preserve">, </w:t>
      </w:r>
      <w:r w:rsidR="007F645D" w:rsidRPr="00A1157F">
        <w:t xml:space="preserve">Bayer, Esperion, CLS Behring, </w:t>
      </w:r>
      <w:proofErr w:type="spellStart"/>
      <w:r w:rsidR="007F645D" w:rsidRPr="00A1157F">
        <w:t>Dalcor</w:t>
      </w:r>
      <w:proofErr w:type="spellEnd"/>
      <w:r w:rsidR="007F645D" w:rsidRPr="00A1157F">
        <w:t xml:space="preserve">, Janssen, Novartis, </w:t>
      </w:r>
      <w:proofErr w:type="spellStart"/>
      <w:r w:rsidR="007F645D" w:rsidRPr="00A1157F">
        <w:t>NovoNordisk</w:t>
      </w:r>
      <w:proofErr w:type="spellEnd"/>
      <w:r w:rsidR="007F645D" w:rsidRPr="00A1157F">
        <w:t xml:space="preserve">, Sanofi, </w:t>
      </w:r>
      <w:proofErr w:type="spellStart"/>
      <w:r w:rsidR="007F645D" w:rsidRPr="00A1157F">
        <w:t>Vifor</w:t>
      </w:r>
      <w:proofErr w:type="spellEnd"/>
      <w:r w:rsidR="007F645D">
        <w:t>.</w:t>
      </w:r>
    </w:p>
    <w:p w14:paraId="259A5E89" w14:textId="43365642" w:rsidR="00983704" w:rsidRDefault="00F909CB" w:rsidP="0067538F">
      <w:pPr>
        <w:spacing w:line="480" w:lineRule="auto"/>
      </w:pPr>
      <w:r>
        <w:rPr>
          <w:b/>
          <w:bCs/>
        </w:rPr>
        <w:t xml:space="preserve">Prof </w:t>
      </w:r>
      <w:r w:rsidR="003C1563">
        <w:rPr>
          <w:b/>
          <w:bCs/>
        </w:rPr>
        <w:t>P</w:t>
      </w:r>
      <w:r w:rsidR="00282C9F">
        <w:rPr>
          <w:b/>
          <w:bCs/>
        </w:rPr>
        <w:t xml:space="preserve">hilippe </w:t>
      </w:r>
      <w:r w:rsidR="003C1563">
        <w:rPr>
          <w:b/>
          <w:bCs/>
        </w:rPr>
        <w:t>G</w:t>
      </w:r>
      <w:r w:rsidR="00282C9F">
        <w:rPr>
          <w:b/>
          <w:bCs/>
        </w:rPr>
        <w:t xml:space="preserve">abriel </w:t>
      </w:r>
      <w:r w:rsidR="003C1563">
        <w:rPr>
          <w:b/>
          <w:bCs/>
        </w:rPr>
        <w:t>S</w:t>
      </w:r>
      <w:r w:rsidR="00282C9F">
        <w:rPr>
          <w:b/>
          <w:bCs/>
        </w:rPr>
        <w:t>teg</w:t>
      </w:r>
      <w:r w:rsidR="00204830">
        <w:rPr>
          <w:b/>
          <w:bCs/>
        </w:rPr>
        <w:t xml:space="preserve"> </w:t>
      </w:r>
      <w:r w:rsidR="00282C9F" w:rsidRPr="00EC476F">
        <w:t xml:space="preserve">discloses the following relationships </w:t>
      </w:r>
      <w:r w:rsidR="009144DE">
        <w:t>–</w:t>
      </w:r>
      <w:r w:rsidR="00983704">
        <w:t xml:space="preserve"> </w:t>
      </w:r>
      <w:r w:rsidR="00983704" w:rsidRPr="0067538F">
        <w:t>Research grant</w:t>
      </w:r>
      <w:r w:rsidR="00836F7B">
        <w:t>s:</w:t>
      </w:r>
      <w:r w:rsidR="00983704" w:rsidRPr="0067538F">
        <w:t xml:space="preserve"> </w:t>
      </w:r>
      <w:proofErr w:type="spellStart"/>
      <w:r w:rsidR="00983704" w:rsidRPr="0067538F">
        <w:t>Amarin</w:t>
      </w:r>
      <w:proofErr w:type="spellEnd"/>
      <w:r w:rsidR="00983704" w:rsidRPr="0067538F">
        <w:t xml:space="preserve">, Bayer, Sanofi, and </w:t>
      </w:r>
      <w:proofErr w:type="spellStart"/>
      <w:r w:rsidR="00983704" w:rsidRPr="0067538F">
        <w:t>Servier</w:t>
      </w:r>
      <w:proofErr w:type="spellEnd"/>
      <w:r w:rsidR="00983704" w:rsidRPr="0067538F">
        <w:t xml:space="preserve">; </w:t>
      </w:r>
      <w:r w:rsidR="009144DE">
        <w:t>S</w:t>
      </w:r>
      <w:r w:rsidR="0067538F" w:rsidRPr="0067538F">
        <w:t>peaking</w:t>
      </w:r>
      <w:r w:rsidR="009144DE">
        <w:t>/</w:t>
      </w:r>
      <w:r w:rsidR="0067538F" w:rsidRPr="0067538F">
        <w:t>consulting fees</w:t>
      </w:r>
      <w:r w:rsidR="009144DE">
        <w:t>:</w:t>
      </w:r>
      <w:r w:rsidR="0067538F" w:rsidRPr="0067538F">
        <w:t xml:space="preserve"> </w:t>
      </w:r>
      <w:proofErr w:type="spellStart"/>
      <w:r w:rsidR="0067538F" w:rsidRPr="0067538F">
        <w:t>Amarin</w:t>
      </w:r>
      <w:proofErr w:type="spellEnd"/>
      <w:r w:rsidR="0067538F" w:rsidRPr="0067538F">
        <w:t xml:space="preserve">, Amgen, AstraZeneca, Bayer/Janssen, Bristol-Myers-Squibb, Idorsia, </w:t>
      </w:r>
      <w:proofErr w:type="spellStart"/>
      <w:r w:rsidR="0067538F" w:rsidRPr="0067538F">
        <w:t>Myokardia</w:t>
      </w:r>
      <w:proofErr w:type="spellEnd"/>
      <w:r w:rsidR="0067538F" w:rsidRPr="0067538F">
        <w:t xml:space="preserve">, Novartis, Novo-Nordisk, </w:t>
      </w:r>
      <w:proofErr w:type="spellStart"/>
      <w:r w:rsidR="0067538F" w:rsidRPr="0067538F">
        <w:t>PhaseBio</w:t>
      </w:r>
      <w:proofErr w:type="spellEnd"/>
      <w:r w:rsidR="0067538F" w:rsidRPr="0067538F">
        <w:t xml:space="preserve">, Pfizer, Regeneron, Sanofi, </w:t>
      </w:r>
      <w:proofErr w:type="spellStart"/>
      <w:r w:rsidR="0067538F" w:rsidRPr="0067538F">
        <w:t>Servier</w:t>
      </w:r>
      <w:proofErr w:type="spellEnd"/>
      <w:r w:rsidR="009C1976">
        <w:t>.</w:t>
      </w:r>
    </w:p>
    <w:p w14:paraId="35D525B7" w14:textId="437A1973" w:rsidR="003C1563" w:rsidRDefault="00041B48" w:rsidP="003C1563">
      <w:pPr>
        <w:spacing w:after="0" w:line="480" w:lineRule="auto"/>
      </w:pPr>
      <w:r>
        <w:rPr>
          <w:b/>
          <w:bCs/>
        </w:rPr>
        <w:t xml:space="preserve">Prof </w:t>
      </w:r>
      <w:r w:rsidR="003C1563" w:rsidRPr="00843E89">
        <w:rPr>
          <w:b/>
          <w:bCs/>
        </w:rPr>
        <w:t>J</w:t>
      </w:r>
      <w:r>
        <w:rPr>
          <w:b/>
          <w:bCs/>
        </w:rPr>
        <w:t xml:space="preserve">uan </w:t>
      </w:r>
      <w:proofErr w:type="spellStart"/>
      <w:r w:rsidR="003C1563" w:rsidRPr="00843E89">
        <w:rPr>
          <w:b/>
          <w:bCs/>
        </w:rPr>
        <w:t>T</w:t>
      </w:r>
      <w:r>
        <w:rPr>
          <w:b/>
          <w:bCs/>
        </w:rPr>
        <w:t>amargo</w:t>
      </w:r>
      <w:proofErr w:type="spellEnd"/>
      <w:r w:rsidR="003C1563" w:rsidRPr="00843E89">
        <w:rPr>
          <w:b/>
          <w:bCs/>
        </w:rPr>
        <w:t xml:space="preserve"> </w:t>
      </w:r>
      <w:r w:rsidR="006872FF" w:rsidRPr="00843E89">
        <w:t>Conflicts of interest: none declared</w:t>
      </w:r>
      <w:r w:rsidR="003C1563" w:rsidRPr="00843E89">
        <w:t>.</w:t>
      </w:r>
    </w:p>
    <w:p w14:paraId="6A42E754" w14:textId="7C64D915" w:rsidR="003D6050" w:rsidRDefault="00BB19BA" w:rsidP="003D6050">
      <w:pPr>
        <w:spacing w:after="0" w:line="480" w:lineRule="auto"/>
      </w:pPr>
      <w:r>
        <w:rPr>
          <w:b/>
          <w:bCs/>
        </w:rPr>
        <w:t xml:space="preserve">Dr </w:t>
      </w:r>
      <w:r w:rsidR="003D6050" w:rsidRPr="00843E89">
        <w:rPr>
          <w:b/>
          <w:bCs/>
        </w:rPr>
        <w:t>D</w:t>
      </w:r>
      <w:r w:rsidR="00963B51">
        <w:rPr>
          <w:b/>
          <w:bCs/>
        </w:rPr>
        <w:t xml:space="preserve">oreen </w:t>
      </w:r>
      <w:r w:rsidR="003B086D" w:rsidRPr="00843E89">
        <w:rPr>
          <w:b/>
          <w:bCs/>
        </w:rPr>
        <w:t>T</w:t>
      </w:r>
      <w:r w:rsidR="00963B51">
        <w:rPr>
          <w:b/>
          <w:bCs/>
        </w:rPr>
        <w:t>an</w:t>
      </w:r>
      <w:r w:rsidR="00DA6090" w:rsidRPr="00843E89">
        <w:rPr>
          <w:b/>
          <w:bCs/>
        </w:rPr>
        <w:t xml:space="preserve"> </w:t>
      </w:r>
      <w:r w:rsidR="006872FF" w:rsidRPr="00843E89">
        <w:t>Conflicts of interest: none declared</w:t>
      </w:r>
      <w:r w:rsidR="003D6050" w:rsidRPr="00843E89">
        <w:t>.</w:t>
      </w:r>
    </w:p>
    <w:p w14:paraId="714D3927" w14:textId="546DE4D2" w:rsidR="00E068E0" w:rsidRDefault="00963B51" w:rsidP="00FC789C">
      <w:pPr>
        <w:spacing w:after="0" w:line="480" w:lineRule="auto"/>
      </w:pPr>
      <w:r>
        <w:rPr>
          <w:b/>
          <w:bCs/>
        </w:rPr>
        <w:t xml:space="preserve">Prof </w:t>
      </w:r>
      <w:r w:rsidR="001D1C81" w:rsidRPr="00B0573B">
        <w:rPr>
          <w:b/>
          <w:bCs/>
        </w:rPr>
        <w:t>M</w:t>
      </w:r>
      <w:r>
        <w:rPr>
          <w:b/>
          <w:bCs/>
        </w:rPr>
        <w:t xml:space="preserve">arco </w:t>
      </w:r>
      <w:proofErr w:type="spellStart"/>
      <w:r w:rsidR="001D1C81" w:rsidRPr="00B0573B">
        <w:rPr>
          <w:b/>
          <w:bCs/>
        </w:rPr>
        <w:t>V</w:t>
      </w:r>
      <w:r>
        <w:rPr>
          <w:b/>
          <w:bCs/>
        </w:rPr>
        <w:t>algl</w:t>
      </w:r>
      <w:r w:rsidR="008175AE">
        <w:rPr>
          <w:b/>
          <w:bCs/>
        </w:rPr>
        <w:t>i</w:t>
      </w:r>
      <w:r>
        <w:rPr>
          <w:b/>
          <w:bCs/>
        </w:rPr>
        <w:t>mig</w:t>
      </w:r>
      <w:r w:rsidR="008175AE">
        <w:rPr>
          <w:b/>
          <w:bCs/>
        </w:rPr>
        <w:t>l</w:t>
      </w:r>
      <w:r>
        <w:rPr>
          <w:b/>
          <w:bCs/>
        </w:rPr>
        <w:t>i</w:t>
      </w:r>
      <w:proofErr w:type="spellEnd"/>
      <w:r w:rsidR="00E068E0" w:rsidRPr="00B0573B">
        <w:t xml:space="preserve"> </w:t>
      </w:r>
      <w:r w:rsidR="006872FF" w:rsidRPr="00B0573B">
        <w:t>Conflicts</w:t>
      </w:r>
      <w:r w:rsidR="006872FF" w:rsidRPr="003D34F5">
        <w:t xml:space="preserve"> of interest: none declared</w:t>
      </w:r>
      <w:r w:rsidR="00E068E0" w:rsidRPr="003D34F5">
        <w:t>.</w:t>
      </w:r>
    </w:p>
    <w:p w14:paraId="0AF5D359" w14:textId="77777777" w:rsidR="00FE6F94" w:rsidRPr="00E51F9C" w:rsidRDefault="00FE6F94" w:rsidP="00B67081">
      <w:pPr>
        <w:spacing w:after="0" w:line="480" w:lineRule="auto"/>
      </w:pPr>
    </w:p>
    <w:p w14:paraId="0B93377A" w14:textId="77777777" w:rsidR="0037226D" w:rsidRPr="00B67081" w:rsidRDefault="0037226D" w:rsidP="0037226D">
      <w:pPr>
        <w:spacing w:after="0" w:line="480" w:lineRule="auto"/>
        <w:rPr>
          <w:b/>
          <w:bCs/>
        </w:rPr>
      </w:pPr>
      <w:r w:rsidRPr="00B67081">
        <w:rPr>
          <w:b/>
          <w:bCs/>
        </w:rPr>
        <w:t>References</w:t>
      </w:r>
    </w:p>
    <w:p w14:paraId="29C40196" w14:textId="77777777" w:rsidR="0037226D" w:rsidRDefault="0037226D" w:rsidP="0037226D">
      <w:pPr>
        <w:pStyle w:val="ListParagraph"/>
        <w:numPr>
          <w:ilvl w:val="0"/>
          <w:numId w:val="17"/>
        </w:numPr>
        <w:spacing w:after="0" w:line="480" w:lineRule="auto"/>
      </w:pPr>
      <w:r w:rsidRPr="00B034F1">
        <w:t xml:space="preserve">Collet JP, Thiele H, </w:t>
      </w:r>
      <w:proofErr w:type="spellStart"/>
      <w:r w:rsidRPr="00B034F1">
        <w:t>Barbato</w:t>
      </w:r>
      <w:proofErr w:type="spellEnd"/>
      <w:r w:rsidRPr="00B034F1">
        <w:t xml:space="preserve"> E, </w:t>
      </w:r>
      <w:proofErr w:type="spellStart"/>
      <w:r w:rsidRPr="00B034F1">
        <w:t>Barthélémy</w:t>
      </w:r>
      <w:proofErr w:type="spellEnd"/>
      <w:r w:rsidRPr="00B034F1">
        <w:t xml:space="preserve"> O, </w:t>
      </w:r>
      <w:proofErr w:type="spellStart"/>
      <w:r w:rsidRPr="00B034F1">
        <w:t>Bauersachs</w:t>
      </w:r>
      <w:proofErr w:type="spellEnd"/>
      <w:r w:rsidRPr="00B034F1">
        <w:t xml:space="preserve"> J, Bhatt DL, </w:t>
      </w:r>
      <w:proofErr w:type="spellStart"/>
      <w:r w:rsidRPr="00B034F1">
        <w:t>Dendale</w:t>
      </w:r>
      <w:proofErr w:type="spellEnd"/>
      <w:r w:rsidRPr="00B034F1">
        <w:t xml:space="preserve"> P, </w:t>
      </w:r>
      <w:proofErr w:type="spellStart"/>
      <w:r w:rsidRPr="00B034F1">
        <w:t>Dorobantu</w:t>
      </w:r>
      <w:proofErr w:type="spellEnd"/>
      <w:r w:rsidRPr="00B034F1">
        <w:t xml:space="preserve"> M, </w:t>
      </w:r>
      <w:proofErr w:type="spellStart"/>
      <w:r w:rsidRPr="00B034F1">
        <w:t>Edvardsen</w:t>
      </w:r>
      <w:proofErr w:type="spellEnd"/>
      <w:r w:rsidRPr="00B034F1">
        <w:t xml:space="preserve"> T, </w:t>
      </w:r>
      <w:proofErr w:type="spellStart"/>
      <w:r w:rsidRPr="00B034F1">
        <w:t>Folliguet</w:t>
      </w:r>
      <w:proofErr w:type="spellEnd"/>
      <w:r w:rsidRPr="00B034F1">
        <w:t xml:space="preserve"> T, Gale CP, </w:t>
      </w:r>
      <w:proofErr w:type="spellStart"/>
      <w:r w:rsidRPr="00B034F1">
        <w:t>Gilard</w:t>
      </w:r>
      <w:proofErr w:type="spellEnd"/>
      <w:r w:rsidRPr="00B034F1">
        <w:t xml:space="preserve"> M, Jobs A, </w:t>
      </w:r>
      <w:proofErr w:type="spellStart"/>
      <w:r w:rsidRPr="00B034F1">
        <w:t>Jüni</w:t>
      </w:r>
      <w:proofErr w:type="spellEnd"/>
      <w:r w:rsidRPr="00B034F1">
        <w:t xml:space="preserve"> P, </w:t>
      </w:r>
      <w:proofErr w:type="spellStart"/>
      <w:r w:rsidRPr="00B034F1">
        <w:t>Lambrinou</w:t>
      </w:r>
      <w:proofErr w:type="spellEnd"/>
      <w:r w:rsidRPr="00B034F1">
        <w:t xml:space="preserve"> E, Lewis BS, </w:t>
      </w:r>
      <w:proofErr w:type="spellStart"/>
      <w:r w:rsidRPr="00B034F1">
        <w:t>Mehilli</w:t>
      </w:r>
      <w:proofErr w:type="spellEnd"/>
      <w:r w:rsidRPr="00B034F1">
        <w:t xml:space="preserve"> J, </w:t>
      </w:r>
      <w:proofErr w:type="spellStart"/>
      <w:r w:rsidRPr="00B034F1">
        <w:t>Meliga</w:t>
      </w:r>
      <w:proofErr w:type="spellEnd"/>
      <w:r w:rsidRPr="00B034F1">
        <w:t xml:space="preserve"> E, </w:t>
      </w:r>
      <w:proofErr w:type="spellStart"/>
      <w:r w:rsidRPr="00B034F1">
        <w:t>Merkely</w:t>
      </w:r>
      <w:proofErr w:type="spellEnd"/>
      <w:r w:rsidRPr="00B034F1">
        <w:t xml:space="preserve"> B, Mueller C, </w:t>
      </w:r>
      <w:proofErr w:type="spellStart"/>
      <w:r w:rsidRPr="00B034F1">
        <w:t>Roffi</w:t>
      </w:r>
      <w:proofErr w:type="spellEnd"/>
      <w:r w:rsidRPr="00B034F1">
        <w:t xml:space="preserve"> M, Rutten FH, Sibbing D, </w:t>
      </w:r>
      <w:proofErr w:type="spellStart"/>
      <w:r w:rsidRPr="00B034F1">
        <w:t>Siontis</w:t>
      </w:r>
      <w:proofErr w:type="spellEnd"/>
      <w:r w:rsidRPr="00B034F1">
        <w:t xml:space="preserve"> GCM. 2020 ESC Guidelines for the management of acute coronary syndromes in patients presenting without persistent ST-segment elevation. </w:t>
      </w:r>
      <w:r w:rsidRPr="00451CE5">
        <w:rPr>
          <w:i/>
          <w:iCs/>
        </w:rPr>
        <w:t>Eur Heart J</w:t>
      </w:r>
      <w:r w:rsidRPr="00B034F1">
        <w:t xml:space="preserve"> 2020; </w:t>
      </w:r>
      <w:proofErr w:type="spellStart"/>
      <w:r w:rsidRPr="00B034F1">
        <w:t>doi</w:t>
      </w:r>
      <w:proofErr w:type="spellEnd"/>
      <w:r w:rsidRPr="00B034F1">
        <w:t>: 10.1093/</w:t>
      </w:r>
      <w:proofErr w:type="spellStart"/>
      <w:r w:rsidRPr="00B034F1">
        <w:t>eurheartj</w:t>
      </w:r>
      <w:proofErr w:type="spellEnd"/>
      <w:r w:rsidRPr="00B034F1">
        <w:t xml:space="preserve">/ehaa575. </w:t>
      </w:r>
      <w:proofErr w:type="spellStart"/>
      <w:r w:rsidRPr="00B034F1">
        <w:t>Epub</w:t>
      </w:r>
      <w:proofErr w:type="spellEnd"/>
      <w:r w:rsidRPr="00B034F1">
        <w:t xml:space="preserve"> ahead of print. PMID: 32860058.</w:t>
      </w:r>
    </w:p>
    <w:p w14:paraId="5F7DAF28" w14:textId="77777777" w:rsidR="0037226D" w:rsidRPr="00B034F1" w:rsidRDefault="0037226D" w:rsidP="0037226D">
      <w:pPr>
        <w:pStyle w:val="ListParagraph"/>
        <w:spacing w:after="0" w:line="480" w:lineRule="auto"/>
      </w:pPr>
    </w:p>
    <w:p w14:paraId="73B57F4C" w14:textId="77777777" w:rsidR="0037226D" w:rsidRDefault="0037226D" w:rsidP="0037226D">
      <w:pPr>
        <w:pStyle w:val="ListParagraph"/>
        <w:numPr>
          <w:ilvl w:val="0"/>
          <w:numId w:val="17"/>
        </w:numPr>
        <w:spacing w:after="0" w:line="480" w:lineRule="auto"/>
        <w:rPr>
          <w:rFonts w:cstheme="minorHAnsi"/>
        </w:rPr>
      </w:pPr>
      <w:r w:rsidRPr="00B034F1">
        <w:rPr>
          <w:rFonts w:cstheme="minorHAnsi"/>
        </w:rPr>
        <w:t xml:space="preserve">Levine GN, Bates ER, Blankenship JC, Bailey SR, </w:t>
      </w:r>
      <w:proofErr w:type="spellStart"/>
      <w:r w:rsidRPr="00B034F1">
        <w:rPr>
          <w:rFonts w:cstheme="minorHAnsi"/>
        </w:rPr>
        <w:t>Bittl</w:t>
      </w:r>
      <w:proofErr w:type="spellEnd"/>
      <w:r w:rsidRPr="00B034F1">
        <w:rPr>
          <w:rFonts w:cstheme="minorHAnsi"/>
        </w:rPr>
        <w:t xml:space="preserve"> JA, </w:t>
      </w:r>
      <w:proofErr w:type="spellStart"/>
      <w:r w:rsidRPr="00B034F1">
        <w:rPr>
          <w:rFonts w:cstheme="minorHAnsi"/>
        </w:rPr>
        <w:t>Cercek</w:t>
      </w:r>
      <w:proofErr w:type="spellEnd"/>
      <w:r w:rsidRPr="00B034F1">
        <w:rPr>
          <w:rFonts w:cstheme="minorHAnsi"/>
        </w:rPr>
        <w:t xml:space="preserve"> B, Chambers CE, Ellis SG, Guyton RA, </w:t>
      </w:r>
      <w:proofErr w:type="spellStart"/>
      <w:r w:rsidRPr="00B034F1">
        <w:rPr>
          <w:rFonts w:cstheme="minorHAnsi"/>
        </w:rPr>
        <w:t>Hollenberg</w:t>
      </w:r>
      <w:proofErr w:type="spellEnd"/>
      <w:r w:rsidRPr="00B034F1">
        <w:rPr>
          <w:rFonts w:cstheme="minorHAnsi"/>
        </w:rPr>
        <w:t xml:space="preserve"> SM, </w:t>
      </w:r>
      <w:proofErr w:type="spellStart"/>
      <w:r w:rsidRPr="00B034F1">
        <w:rPr>
          <w:rFonts w:cstheme="minorHAnsi"/>
        </w:rPr>
        <w:t>Khot</w:t>
      </w:r>
      <w:proofErr w:type="spellEnd"/>
      <w:r w:rsidRPr="00B034F1">
        <w:rPr>
          <w:rFonts w:cstheme="minorHAnsi"/>
        </w:rPr>
        <w:t xml:space="preserve"> UN, Lange RA, Mauri L, Mehran R, Moussa ID, Mukherjee D, </w:t>
      </w:r>
      <w:proofErr w:type="spellStart"/>
      <w:r w:rsidRPr="00B034F1">
        <w:rPr>
          <w:rFonts w:cstheme="minorHAnsi"/>
        </w:rPr>
        <w:t>Nallamothu</w:t>
      </w:r>
      <w:proofErr w:type="spellEnd"/>
      <w:r w:rsidRPr="00B034F1">
        <w:rPr>
          <w:rFonts w:cstheme="minorHAnsi"/>
        </w:rPr>
        <w:t xml:space="preserve"> BK, Ting HH, 2011 ACCF/AHA/SCAI Guideline for Percutaneous Coronary Intervention: Executive Summary. A Report of the American College of Cardiology Foundation/American Heart Association Task Force on Practice Guidelines and the Society for Cardiovascular Angiography and Interventions. </w:t>
      </w:r>
      <w:r w:rsidRPr="00B034F1">
        <w:rPr>
          <w:rFonts w:cstheme="minorHAnsi"/>
          <w:i/>
          <w:iCs/>
        </w:rPr>
        <w:t>Circulation</w:t>
      </w:r>
      <w:r w:rsidRPr="00B034F1">
        <w:rPr>
          <w:rFonts w:cstheme="minorHAnsi"/>
        </w:rPr>
        <w:t xml:space="preserve"> </w:t>
      </w:r>
      <w:proofErr w:type="gramStart"/>
      <w:r w:rsidRPr="00B034F1">
        <w:rPr>
          <w:rFonts w:cstheme="minorHAnsi"/>
        </w:rPr>
        <w:t>2011;124:2574</w:t>
      </w:r>
      <w:proofErr w:type="gramEnd"/>
      <w:r w:rsidRPr="00B034F1">
        <w:rPr>
          <w:rFonts w:cstheme="minorHAnsi"/>
        </w:rPr>
        <w:t>–2609.</w:t>
      </w:r>
    </w:p>
    <w:p w14:paraId="14E18AC9" w14:textId="77777777" w:rsidR="0037226D" w:rsidRDefault="0037226D" w:rsidP="0037226D">
      <w:pPr>
        <w:pStyle w:val="ListParagraph"/>
        <w:spacing w:after="0" w:line="480" w:lineRule="auto"/>
      </w:pPr>
    </w:p>
    <w:p w14:paraId="2B960462" w14:textId="77777777" w:rsidR="0037226D" w:rsidRDefault="0037226D" w:rsidP="0037226D">
      <w:pPr>
        <w:pStyle w:val="ListParagraph"/>
        <w:numPr>
          <w:ilvl w:val="0"/>
          <w:numId w:val="17"/>
        </w:numPr>
        <w:spacing w:after="0" w:line="480" w:lineRule="auto"/>
      </w:pPr>
      <w:r>
        <w:t xml:space="preserve">Bhatt DL, Hirsch AT, </w:t>
      </w:r>
      <w:proofErr w:type="spellStart"/>
      <w:r>
        <w:t>Ringleb</w:t>
      </w:r>
      <w:proofErr w:type="spellEnd"/>
      <w:r>
        <w:t xml:space="preserve"> PA, </w:t>
      </w:r>
      <w:proofErr w:type="spellStart"/>
      <w:r>
        <w:t>Hacke</w:t>
      </w:r>
      <w:proofErr w:type="spellEnd"/>
      <w:r>
        <w:t xml:space="preserve"> W, </w:t>
      </w:r>
      <w:proofErr w:type="spellStart"/>
      <w:r>
        <w:t>Topol</w:t>
      </w:r>
      <w:proofErr w:type="spellEnd"/>
      <w:r>
        <w:t xml:space="preserve"> EJ. Reduction in the need for hospitalization for recurrent ischaemic events and bleeding with clopidogrel instead of aspirin. CARPIE investigators. </w:t>
      </w:r>
      <w:r>
        <w:rPr>
          <w:i/>
          <w:iCs/>
        </w:rPr>
        <w:t>Am Heart J</w:t>
      </w:r>
      <w:r w:rsidRPr="00233573">
        <w:t xml:space="preserve"> </w:t>
      </w:r>
      <w:r>
        <w:t>2000</w:t>
      </w:r>
      <w:r w:rsidRPr="00233573">
        <w:t>;</w:t>
      </w:r>
      <w:r>
        <w:t>140</w:t>
      </w:r>
      <w:r w:rsidRPr="00233573">
        <w:t>(</w:t>
      </w:r>
      <w:r>
        <w:t>1</w:t>
      </w:r>
      <w:r w:rsidRPr="00233573">
        <w:t>):</w:t>
      </w:r>
      <w:r>
        <w:t>67</w:t>
      </w:r>
      <w:r w:rsidRPr="00233573">
        <w:t>-</w:t>
      </w:r>
      <w:r>
        <w:t>73.</w:t>
      </w:r>
    </w:p>
    <w:p w14:paraId="3532E264" w14:textId="77777777" w:rsidR="0037226D" w:rsidRDefault="0037226D" w:rsidP="0037226D">
      <w:pPr>
        <w:pStyle w:val="ListParagraph"/>
        <w:spacing w:after="0" w:line="480" w:lineRule="auto"/>
      </w:pPr>
    </w:p>
    <w:p w14:paraId="7C23F868" w14:textId="77777777" w:rsidR="0037226D" w:rsidRDefault="0037226D" w:rsidP="0037226D">
      <w:pPr>
        <w:pStyle w:val="ListParagraph"/>
        <w:numPr>
          <w:ilvl w:val="0"/>
          <w:numId w:val="17"/>
        </w:numPr>
        <w:spacing w:after="0" w:line="480" w:lineRule="auto"/>
      </w:pPr>
      <w:proofErr w:type="spellStart"/>
      <w:r w:rsidRPr="00F94FE3">
        <w:rPr>
          <w:lang w:val="it-IT"/>
        </w:rPr>
        <w:t>O’Donoghue</w:t>
      </w:r>
      <w:proofErr w:type="spellEnd"/>
      <w:r w:rsidRPr="00F94FE3">
        <w:rPr>
          <w:lang w:val="it-IT"/>
        </w:rPr>
        <w:t xml:space="preserve"> ML, Murphy SA, </w:t>
      </w:r>
      <w:r w:rsidRPr="00F94FE3">
        <w:rPr>
          <w:rFonts w:cs="Segoe UI"/>
          <w:shd w:val="clear" w:color="auto" w:fill="FFFFFF"/>
          <w:lang w:val="it-IT"/>
        </w:rPr>
        <w:t>Sabatine MS.</w:t>
      </w:r>
      <w:r w:rsidRPr="00F94FE3">
        <w:rPr>
          <w:lang w:val="it-IT"/>
        </w:rPr>
        <w:t xml:space="preserve"> </w:t>
      </w:r>
      <w:r w:rsidRPr="00B034F1">
        <w:t xml:space="preserve">The Safety and Efficacy of Aspirin Discontinuation on a Background of a P2Y12 Inhibitor in Patients After Percutaneous Coronary Intervention. </w:t>
      </w:r>
      <w:r w:rsidRPr="00740E98">
        <w:rPr>
          <w:i/>
          <w:iCs/>
        </w:rPr>
        <w:t>Circulation</w:t>
      </w:r>
      <w:r w:rsidRPr="00B034F1">
        <w:t xml:space="preserve"> </w:t>
      </w:r>
      <w:proofErr w:type="gramStart"/>
      <w:r w:rsidRPr="00B034F1">
        <w:t>2020;142:538</w:t>
      </w:r>
      <w:proofErr w:type="gramEnd"/>
      <w:r w:rsidRPr="00B034F1">
        <w:t>-545</w:t>
      </w:r>
      <w:r>
        <w:t>.</w:t>
      </w:r>
    </w:p>
    <w:p w14:paraId="0AFDA512" w14:textId="77777777" w:rsidR="0037226D" w:rsidRDefault="0037226D" w:rsidP="0037226D">
      <w:pPr>
        <w:pStyle w:val="ListParagraph"/>
        <w:spacing w:after="0" w:line="480" w:lineRule="auto"/>
      </w:pPr>
    </w:p>
    <w:p w14:paraId="3FB25D9C" w14:textId="77777777" w:rsidR="0037226D" w:rsidRDefault="0037226D" w:rsidP="0037226D">
      <w:pPr>
        <w:pStyle w:val="ListParagraph"/>
        <w:numPr>
          <w:ilvl w:val="0"/>
          <w:numId w:val="17"/>
        </w:numPr>
        <w:spacing w:after="0" w:line="480" w:lineRule="auto"/>
      </w:pPr>
      <w:r w:rsidRPr="00B034F1">
        <w:t xml:space="preserve">Khan SU, Singh M, </w:t>
      </w:r>
      <w:proofErr w:type="spellStart"/>
      <w:r w:rsidRPr="00B034F1">
        <w:t>Valavoor</w:t>
      </w:r>
      <w:proofErr w:type="spellEnd"/>
      <w:r w:rsidRPr="00B034F1">
        <w:t xml:space="preserve"> S, Khan MU, Lone AN, Khan MZ, Khan MS, Mani P, Kapadia SR, </w:t>
      </w:r>
      <w:proofErr w:type="spellStart"/>
      <w:r w:rsidRPr="00B034F1">
        <w:t>Michos</w:t>
      </w:r>
      <w:proofErr w:type="spellEnd"/>
      <w:r w:rsidRPr="00B034F1">
        <w:t xml:space="preserve"> ED, Stone GW, Kalra A, Bhatt DL</w:t>
      </w:r>
      <w:r>
        <w:t>.</w:t>
      </w:r>
      <w:r w:rsidRPr="00B034F1">
        <w:t xml:space="preserve"> Dual Antiplatelet Therapy After Percutaneous Coronary Intervention and Drug-Eluting Stents. A Systematic Review and Network Meta-Analysis. </w:t>
      </w:r>
      <w:r w:rsidRPr="00740E98">
        <w:rPr>
          <w:i/>
          <w:iCs/>
        </w:rPr>
        <w:t>Circulation</w:t>
      </w:r>
      <w:r w:rsidRPr="00B034F1">
        <w:t xml:space="preserve"> </w:t>
      </w:r>
      <w:proofErr w:type="gramStart"/>
      <w:r w:rsidRPr="00B034F1">
        <w:t>2020;142:1425</w:t>
      </w:r>
      <w:proofErr w:type="gramEnd"/>
      <w:r w:rsidRPr="00B034F1">
        <w:t>-1436</w:t>
      </w:r>
      <w:r>
        <w:t>.</w:t>
      </w:r>
    </w:p>
    <w:p w14:paraId="38BDFABF" w14:textId="77777777" w:rsidR="0037226D" w:rsidRDefault="0037226D" w:rsidP="0037226D">
      <w:pPr>
        <w:pStyle w:val="ListParagraph"/>
      </w:pPr>
    </w:p>
    <w:p w14:paraId="6B493964" w14:textId="77777777" w:rsidR="0037226D" w:rsidRDefault="0037226D" w:rsidP="0037226D">
      <w:pPr>
        <w:pStyle w:val="ListParagraph"/>
        <w:spacing w:after="0" w:line="480" w:lineRule="auto"/>
      </w:pPr>
    </w:p>
    <w:p w14:paraId="732BA085" w14:textId="77777777" w:rsidR="0037226D" w:rsidRDefault="0037226D" w:rsidP="0037226D">
      <w:pPr>
        <w:pStyle w:val="ListParagraph"/>
        <w:numPr>
          <w:ilvl w:val="0"/>
          <w:numId w:val="17"/>
        </w:numPr>
        <w:spacing w:after="0" w:line="480" w:lineRule="auto"/>
      </w:pPr>
      <w:r w:rsidRPr="00B034F1">
        <w:t xml:space="preserve">Mehran R, Baber U, Sharma SK, Cohen DJ, </w:t>
      </w:r>
      <w:proofErr w:type="spellStart"/>
      <w:r w:rsidRPr="00B034F1">
        <w:t>Angiolillo</w:t>
      </w:r>
      <w:proofErr w:type="spellEnd"/>
      <w:r w:rsidRPr="00B034F1">
        <w:t xml:space="preserve"> DJ, </w:t>
      </w:r>
      <w:proofErr w:type="spellStart"/>
      <w:r w:rsidRPr="00B034F1">
        <w:t>Briguori</w:t>
      </w:r>
      <w:proofErr w:type="spellEnd"/>
      <w:r w:rsidRPr="00B034F1">
        <w:t xml:space="preserve"> C, Cha JY, Collier T, </w:t>
      </w:r>
      <w:proofErr w:type="spellStart"/>
      <w:r w:rsidRPr="00B034F1">
        <w:t>Dangas</w:t>
      </w:r>
      <w:proofErr w:type="spellEnd"/>
      <w:r w:rsidRPr="00B034F1">
        <w:t xml:space="preserve"> G, Dudek D, </w:t>
      </w:r>
      <w:proofErr w:type="spellStart"/>
      <w:r w:rsidRPr="00B034F1">
        <w:t>Džavik</w:t>
      </w:r>
      <w:proofErr w:type="spellEnd"/>
      <w:r w:rsidRPr="00B034F1">
        <w:t xml:space="preserve"> V, </w:t>
      </w:r>
      <w:proofErr w:type="spellStart"/>
      <w:r w:rsidRPr="00B034F1">
        <w:t>Escaned</w:t>
      </w:r>
      <w:proofErr w:type="spellEnd"/>
      <w:r w:rsidRPr="00B034F1">
        <w:t xml:space="preserve"> J, Gil R, </w:t>
      </w:r>
      <w:proofErr w:type="spellStart"/>
      <w:r w:rsidRPr="00B034F1">
        <w:t>Gurbel</w:t>
      </w:r>
      <w:proofErr w:type="spellEnd"/>
      <w:r w:rsidRPr="00B034F1">
        <w:t xml:space="preserve"> P, Hamm CW, Henry T, Huber T, </w:t>
      </w:r>
      <w:proofErr w:type="spellStart"/>
      <w:r w:rsidRPr="00B034F1">
        <w:t>Kastrati</w:t>
      </w:r>
      <w:proofErr w:type="spellEnd"/>
      <w:r w:rsidRPr="00B034F1">
        <w:t xml:space="preserve"> A, Kaul U, </w:t>
      </w:r>
      <w:proofErr w:type="spellStart"/>
      <w:r w:rsidRPr="00B034F1">
        <w:t>Kornowski</w:t>
      </w:r>
      <w:proofErr w:type="spellEnd"/>
      <w:r w:rsidRPr="00B034F1">
        <w:t xml:space="preserve"> R, </w:t>
      </w:r>
      <w:proofErr w:type="spellStart"/>
      <w:r w:rsidRPr="00B034F1">
        <w:t>Krucoff</w:t>
      </w:r>
      <w:proofErr w:type="spellEnd"/>
      <w:r w:rsidRPr="00B034F1">
        <w:t xml:space="preserve"> M, </w:t>
      </w:r>
      <w:proofErr w:type="spellStart"/>
      <w:r w:rsidRPr="00B034F1">
        <w:t>Kunadian</w:t>
      </w:r>
      <w:proofErr w:type="spellEnd"/>
      <w:r w:rsidRPr="00B034F1">
        <w:t xml:space="preserve"> V, Marx SO, Mehta SR, </w:t>
      </w:r>
      <w:proofErr w:type="spellStart"/>
      <w:r w:rsidRPr="00B034F1">
        <w:t>Moliterno</w:t>
      </w:r>
      <w:proofErr w:type="spellEnd"/>
      <w:r w:rsidRPr="00B034F1">
        <w:t xml:space="preserve"> D, </w:t>
      </w:r>
      <w:proofErr w:type="spellStart"/>
      <w:r w:rsidRPr="00B034F1">
        <w:t>Ohman</w:t>
      </w:r>
      <w:proofErr w:type="spellEnd"/>
      <w:r w:rsidRPr="00B034F1">
        <w:t xml:space="preserve"> EM, </w:t>
      </w:r>
      <w:proofErr w:type="spellStart"/>
      <w:r w:rsidRPr="00B034F1">
        <w:t>Oldroyd</w:t>
      </w:r>
      <w:proofErr w:type="spellEnd"/>
      <w:r w:rsidRPr="00B034F1">
        <w:t xml:space="preserve"> K, </w:t>
      </w:r>
      <w:proofErr w:type="spellStart"/>
      <w:r w:rsidRPr="00B034F1">
        <w:t>Sardella</w:t>
      </w:r>
      <w:proofErr w:type="spellEnd"/>
      <w:r w:rsidRPr="00B034F1">
        <w:t xml:space="preserve"> G, Sartori S, </w:t>
      </w:r>
      <w:proofErr w:type="spellStart"/>
      <w:r w:rsidRPr="00B034F1">
        <w:t>Shlofmitz</w:t>
      </w:r>
      <w:proofErr w:type="spellEnd"/>
      <w:r w:rsidRPr="00B034F1">
        <w:t xml:space="preserve"> R, Steg </w:t>
      </w:r>
      <w:proofErr w:type="spellStart"/>
      <w:r w:rsidRPr="00B034F1">
        <w:t>PG,Weisz</w:t>
      </w:r>
      <w:proofErr w:type="spellEnd"/>
      <w:r w:rsidRPr="00B034F1">
        <w:t xml:space="preserve"> G, </w:t>
      </w:r>
      <w:proofErr w:type="spellStart"/>
      <w:r w:rsidRPr="00B034F1">
        <w:t>Witzenbichler</w:t>
      </w:r>
      <w:proofErr w:type="spellEnd"/>
      <w:r w:rsidRPr="00B034F1">
        <w:t xml:space="preserve"> B, Han Y, Pocock S, Gibson CM</w:t>
      </w:r>
      <w:r>
        <w:t>.</w:t>
      </w:r>
      <w:r w:rsidRPr="00B034F1">
        <w:t xml:space="preserve"> Ticagrelor with or without Aspirin in High-Risk Patients after PCI. </w:t>
      </w:r>
      <w:r w:rsidRPr="00451CE5">
        <w:rPr>
          <w:i/>
          <w:iCs/>
        </w:rPr>
        <w:t xml:space="preserve">N </w:t>
      </w:r>
      <w:proofErr w:type="spellStart"/>
      <w:r w:rsidRPr="00451CE5">
        <w:rPr>
          <w:i/>
          <w:iCs/>
        </w:rPr>
        <w:t>Engl</w:t>
      </w:r>
      <w:proofErr w:type="spellEnd"/>
      <w:r w:rsidRPr="00451CE5">
        <w:rPr>
          <w:i/>
          <w:iCs/>
        </w:rPr>
        <w:t xml:space="preserve"> J Med</w:t>
      </w:r>
      <w:r w:rsidRPr="00B034F1">
        <w:t xml:space="preserve"> </w:t>
      </w:r>
      <w:proofErr w:type="gramStart"/>
      <w:r w:rsidRPr="00B034F1">
        <w:t>2019;381:2032</w:t>
      </w:r>
      <w:proofErr w:type="gramEnd"/>
      <w:r w:rsidRPr="00B034F1">
        <w:t>-42.</w:t>
      </w:r>
    </w:p>
    <w:p w14:paraId="6BB9FD6F" w14:textId="77777777" w:rsidR="0037226D" w:rsidRDefault="0037226D" w:rsidP="0037226D">
      <w:pPr>
        <w:spacing w:after="0" w:line="480" w:lineRule="auto"/>
      </w:pPr>
    </w:p>
    <w:p w14:paraId="593C738C" w14:textId="77777777" w:rsidR="0037226D" w:rsidRDefault="0037226D" w:rsidP="0037226D">
      <w:pPr>
        <w:pStyle w:val="ListParagraph"/>
        <w:numPr>
          <w:ilvl w:val="0"/>
          <w:numId w:val="17"/>
        </w:numPr>
        <w:spacing w:after="0" w:line="480" w:lineRule="auto"/>
      </w:pPr>
      <w:r w:rsidRPr="00233573">
        <w:t xml:space="preserve">Watanabe H, </w:t>
      </w:r>
      <w:proofErr w:type="spellStart"/>
      <w:r w:rsidRPr="00233573">
        <w:t>Domei</w:t>
      </w:r>
      <w:proofErr w:type="spellEnd"/>
      <w:r w:rsidRPr="00233573">
        <w:t xml:space="preserve"> T, Morimoto T, </w:t>
      </w:r>
      <w:proofErr w:type="spellStart"/>
      <w:r w:rsidRPr="00233573">
        <w:t>Natsuaki</w:t>
      </w:r>
      <w:proofErr w:type="spellEnd"/>
      <w:r w:rsidRPr="00233573">
        <w:t xml:space="preserve"> M, </w:t>
      </w:r>
      <w:proofErr w:type="spellStart"/>
      <w:r w:rsidRPr="00233573">
        <w:t>Shiomi</w:t>
      </w:r>
      <w:proofErr w:type="spellEnd"/>
      <w:r w:rsidRPr="00233573">
        <w:t xml:space="preserve"> H, Toyota T, </w:t>
      </w:r>
      <w:proofErr w:type="spellStart"/>
      <w:r w:rsidRPr="00233573">
        <w:t>Ohya</w:t>
      </w:r>
      <w:proofErr w:type="spellEnd"/>
      <w:r w:rsidRPr="00233573">
        <w:t xml:space="preserve"> M, </w:t>
      </w:r>
      <w:proofErr w:type="spellStart"/>
      <w:r w:rsidRPr="00233573">
        <w:t>Suwa</w:t>
      </w:r>
      <w:proofErr w:type="spellEnd"/>
      <w:r w:rsidRPr="00233573">
        <w:t xml:space="preserve"> S, Takagi K, </w:t>
      </w:r>
      <w:proofErr w:type="spellStart"/>
      <w:r w:rsidRPr="00233573">
        <w:t>Nanasato</w:t>
      </w:r>
      <w:proofErr w:type="spellEnd"/>
      <w:r w:rsidRPr="00233573">
        <w:t xml:space="preserve"> M, </w:t>
      </w:r>
      <w:proofErr w:type="spellStart"/>
      <w:r w:rsidRPr="00233573">
        <w:t>Hata</w:t>
      </w:r>
      <w:proofErr w:type="spellEnd"/>
      <w:r w:rsidRPr="00233573">
        <w:t xml:space="preserve"> Y, Yagi M, Suematsu N, </w:t>
      </w:r>
      <w:proofErr w:type="spellStart"/>
      <w:r w:rsidRPr="00233573">
        <w:t>Yokomatsu</w:t>
      </w:r>
      <w:proofErr w:type="spellEnd"/>
      <w:r w:rsidRPr="00233573">
        <w:t xml:space="preserve"> T, </w:t>
      </w:r>
      <w:proofErr w:type="spellStart"/>
      <w:r w:rsidRPr="00233573">
        <w:t>Takamisawa</w:t>
      </w:r>
      <w:proofErr w:type="spellEnd"/>
      <w:r w:rsidRPr="00233573">
        <w:t xml:space="preserve"> I, Doi M, Noda T, Okayama H, Seino Y, Tada T, Sakamoto H, </w:t>
      </w:r>
      <w:proofErr w:type="spellStart"/>
      <w:r w:rsidRPr="00233573">
        <w:t>Hibi</w:t>
      </w:r>
      <w:proofErr w:type="spellEnd"/>
      <w:r w:rsidRPr="00233573">
        <w:t xml:space="preserve"> K, Abe M, Kawai K, Nakao K, Ando K, Tanabe K, </w:t>
      </w:r>
      <w:proofErr w:type="spellStart"/>
      <w:r w:rsidRPr="00233573">
        <w:t>Ikari</w:t>
      </w:r>
      <w:proofErr w:type="spellEnd"/>
      <w:r w:rsidRPr="00233573">
        <w:t xml:space="preserve"> Y, Hanaoka KI, </w:t>
      </w:r>
      <w:proofErr w:type="spellStart"/>
      <w:r w:rsidRPr="00233573">
        <w:t>Morino</w:t>
      </w:r>
      <w:proofErr w:type="spellEnd"/>
      <w:r w:rsidRPr="00233573">
        <w:t xml:space="preserve"> Y, </w:t>
      </w:r>
      <w:proofErr w:type="spellStart"/>
      <w:r w:rsidRPr="00233573">
        <w:t>Kozuma</w:t>
      </w:r>
      <w:proofErr w:type="spellEnd"/>
      <w:r w:rsidRPr="00233573">
        <w:t xml:space="preserve"> K, </w:t>
      </w:r>
      <w:proofErr w:type="spellStart"/>
      <w:r w:rsidRPr="00233573">
        <w:t>Kadota</w:t>
      </w:r>
      <w:proofErr w:type="spellEnd"/>
      <w:r w:rsidRPr="00233573">
        <w:t xml:space="preserve"> K, Furukawa Y, Nakagawa Y, Kimura T</w:t>
      </w:r>
      <w:r>
        <w:t>.</w:t>
      </w:r>
      <w:r w:rsidRPr="00233573">
        <w:t xml:space="preserve"> </w:t>
      </w:r>
      <w:r w:rsidRPr="00233573">
        <w:lastRenderedPageBreak/>
        <w:t>Effect of 1-Month Dual Antiplatelet Therapy Followed by Clopidogrel vs 12-Month Dual Antiplatelet Therapy on Cardiovascular and Bleeding Events in Patients Receiving PCI.</w:t>
      </w:r>
      <w:r>
        <w:t xml:space="preserve"> </w:t>
      </w:r>
      <w:r w:rsidRPr="00233573">
        <w:t xml:space="preserve">The STOPDAPT-2 Randomized Clinical Trial. </w:t>
      </w:r>
      <w:r w:rsidRPr="00233573">
        <w:rPr>
          <w:i/>
          <w:iCs/>
        </w:rPr>
        <w:t xml:space="preserve">JAMA </w:t>
      </w:r>
      <w:r w:rsidRPr="00233573">
        <w:t xml:space="preserve">2019;321(24):2414-2427. </w:t>
      </w:r>
    </w:p>
    <w:p w14:paraId="7F29B52C" w14:textId="77777777" w:rsidR="0037226D" w:rsidRPr="00740E98" w:rsidRDefault="0037226D" w:rsidP="0037226D">
      <w:pPr>
        <w:pStyle w:val="ListParagraph"/>
        <w:spacing w:after="0" w:line="480" w:lineRule="auto"/>
        <w:rPr>
          <w:rFonts w:cstheme="minorHAnsi"/>
        </w:rPr>
      </w:pPr>
    </w:p>
    <w:p w14:paraId="7E1847BA" w14:textId="77777777" w:rsidR="0037226D" w:rsidRPr="00740E98" w:rsidRDefault="0037226D" w:rsidP="0037226D">
      <w:pPr>
        <w:pStyle w:val="ListParagraph"/>
        <w:numPr>
          <w:ilvl w:val="0"/>
          <w:numId w:val="17"/>
        </w:numPr>
        <w:spacing w:after="0" w:line="480" w:lineRule="auto"/>
      </w:pPr>
      <w:r w:rsidRPr="00740E98">
        <w:rPr>
          <w:rFonts w:cstheme="minorHAnsi"/>
        </w:rPr>
        <w:t xml:space="preserve">Choi KH, Song YB, Lee JM, Park TK, Yang JH, Choi J-H, Choi S-H, Oh J-H, Cho D-K, Lee JB, Doh J-H, Kim S-H, </w:t>
      </w:r>
      <w:proofErr w:type="spellStart"/>
      <w:r w:rsidRPr="00740E98">
        <w:rPr>
          <w:rFonts w:cstheme="minorHAnsi"/>
        </w:rPr>
        <w:t>Jeong</w:t>
      </w:r>
      <w:proofErr w:type="spellEnd"/>
      <w:r w:rsidRPr="00740E98">
        <w:rPr>
          <w:rFonts w:cstheme="minorHAnsi"/>
        </w:rPr>
        <w:t xml:space="preserve"> J-O, Bae J-H, Kim B-O, Cho JH, Suh I-W, Kim D, Park H-K, Park J-S, Choi WG, Lee WS, </w:t>
      </w:r>
      <w:proofErr w:type="spellStart"/>
      <w:r w:rsidRPr="00740E98">
        <w:rPr>
          <w:rFonts w:cstheme="minorHAnsi"/>
        </w:rPr>
        <w:t>Gwon</w:t>
      </w:r>
      <w:proofErr w:type="spellEnd"/>
      <w:r w:rsidRPr="00740E98">
        <w:rPr>
          <w:rFonts w:cstheme="minorHAnsi"/>
        </w:rPr>
        <w:t xml:space="preserve"> H-C, Hahn J-W</w:t>
      </w:r>
      <w:r>
        <w:rPr>
          <w:rFonts w:cstheme="minorHAnsi"/>
        </w:rPr>
        <w:t>.</w:t>
      </w:r>
      <w:r w:rsidRPr="00740E98">
        <w:rPr>
          <w:rFonts w:cstheme="minorHAnsi"/>
        </w:rPr>
        <w:t xml:space="preserve"> Clinical Usefulness of PRECISE-DAPT Score for Predicting Bleeding Events in Patients With Acute Coronary Syndrome Undergoing Percutaneous Coronary Intervention. An Analysis From the SMART-DATE Randomized Trial. </w:t>
      </w:r>
      <w:r w:rsidRPr="00740E98">
        <w:rPr>
          <w:rFonts w:cstheme="minorHAnsi"/>
          <w:i/>
          <w:iCs/>
        </w:rPr>
        <w:t>Circulation</w:t>
      </w:r>
      <w:r w:rsidRPr="00740E98">
        <w:rPr>
          <w:rFonts w:cstheme="minorHAnsi"/>
        </w:rPr>
        <w:t xml:space="preserve"> 2020;13(5):</w:t>
      </w:r>
      <w:r w:rsidRPr="00740E98">
        <w:rPr>
          <w:rFonts w:cstheme="minorHAnsi"/>
          <w:color w:val="000000"/>
          <w:shd w:val="clear" w:color="auto" w:fill="FFFFFF"/>
        </w:rPr>
        <w:t xml:space="preserve"> e008530</w:t>
      </w:r>
      <w:r>
        <w:rPr>
          <w:rFonts w:cstheme="minorHAnsi"/>
          <w:color w:val="000000"/>
          <w:shd w:val="clear" w:color="auto" w:fill="FFFFFF"/>
        </w:rPr>
        <w:t>.</w:t>
      </w:r>
    </w:p>
    <w:p w14:paraId="04849665" w14:textId="77777777" w:rsidR="0037226D" w:rsidRPr="00740E98" w:rsidRDefault="0037226D" w:rsidP="0037226D">
      <w:pPr>
        <w:pStyle w:val="ListParagraph"/>
        <w:spacing w:after="0" w:line="480" w:lineRule="auto"/>
      </w:pPr>
    </w:p>
    <w:p w14:paraId="6D8A62DA" w14:textId="77777777" w:rsidR="0037226D" w:rsidRDefault="0037226D" w:rsidP="0037226D">
      <w:pPr>
        <w:pStyle w:val="ListParagraph"/>
        <w:numPr>
          <w:ilvl w:val="0"/>
          <w:numId w:val="17"/>
        </w:numPr>
        <w:spacing w:after="0" w:line="480" w:lineRule="auto"/>
      </w:pPr>
      <w:proofErr w:type="spellStart"/>
      <w:r w:rsidRPr="00740E98">
        <w:t>Palmerini</w:t>
      </w:r>
      <w:proofErr w:type="spellEnd"/>
      <w:r w:rsidRPr="00040D9F">
        <w:t xml:space="preserve"> </w:t>
      </w:r>
      <w:r w:rsidRPr="00740E98">
        <w:t xml:space="preserve">T, Diego Della Riva, Umberto Benedetto, Letizia </w:t>
      </w:r>
      <w:proofErr w:type="spellStart"/>
      <w:r w:rsidRPr="00740E98">
        <w:t>Bacchi</w:t>
      </w:r>
      <w:proofErr w:type="spellEnd"/>
      <w:r w:rsidRPr="00740E98">
        <w:t xml:space="preserve"> </w:t>
      </w:r>
      <w:proofErr w:type="spellStart"/>
      <w:r w:rsidRPr="00740E98">
        <w:t>Reggiani</w:t>
      </w:r>
      <w:proofErr w:type="spellEnd"/>
      <w:r w:rsidRPr="00740E98">
        <w:t xml:space="preserve">, Fausto Feres, Alexandre Abizaid, Martine </w:t>
      </w:r>
      <w:proofErr w:type="spellStart"/>
      <w:r w:rsidRPr="00740E98">
        <w:t>Gilard</w:t>
      </w:r>
      <w:proofErr w:type="spellEnd"/>
      <w:r w:rsidRPr="00740E98">
        <w:t xml:space="preserve">, Marie-Claude </w:t>
      </w:r>
      <w:proofErr w:type="spellStart"/>
      <w:r w:rsidRPr="00740E98">
        <w:t>Morice</w:t>
      </w:r>
      <w:proofErr w:type="spellEnd"/>
      <w:r w:rsidRPr="00740E98">
        <w:t xml:space="preserve">, Marco </w:t>
      </w:r>
      <w:proofErr w:type="spellStart"/>
      <w:r w:rsidRPr="00740E98">
        <w:t>Valgimigli</w:t>
      </w:r>
      <w:proofErr w:type="spellEnd"/>
      <w:r w:rsidRPr="00740E98">
        <w:t xml:space="preserve">, </w:t>
      </w:r>
      <w:proofErr w:type="spellStart"/>
      <w:r w:rsidRPr="00740E98">
        <w:t>Myeong</w:t>
      </w:r>
      <w:proofErr w:type="spellEnd"/>
      <w:r w:rsidRPr="00740E98">
        <w:t xml:space="preserve">-Ki Hong, </w:t>
      </w:r>
      <w:proofErr w:type="spellStart"/>
      <w:r w:rsidRPr="00740E98">
        <w:t>Byeong-Keuk</w:t>
      </w:r>
      <w:proofErr w:type="spellEnd"/>
      <w:r w:rsidRPr="00740E98">
        <w:t xml:space="preserve"> Kim, </w:t>
      </w:r>
      <w:proofErr w:type="spellStart"/>
      <w:r w:rsidRPr="00740E98">
        <w:t>Yangsoo</w:t>
      </w:r>
      <w:proofErr w:type="spellEnd"/>
      <w:r w:rsidRPr="00740E98">
        <w:t xml:space="preserve"> Jang, Hyo-Soo Kim, Kyung Woo Park, Antonio Colombo, </w:t>
      </w:r>
      <w:proofErr w:type="spellStart"/>
      <w:r w:rsidRPr="00740E98">
        <w:t>Alaide</w:t>
      </w:r>
      <w:proofErr w:type="spellEnd"/>
      <w:r w:rsidRPr="00740E98">
        <w:t xml:space="preserve"> </w:t>
      </w:r>
      <w:proofErr w:type="spellStart"/>
      <w:r w:rsidRPr="00740E98">
        <w:t>Chieffo</w:t>
      </w:r>
      <w:proofErr w:type="spellEnd"/>
      <w:r w:rsidRPr="00740E98">
        <w:t xml:space="preserve">, Diego </w:t>
      </w:r>
      <w:proofErr w:type="spellStart"/>
      <w:r w:rsidRPr="00740E98">
        <w:t>Sangiorgi</w:t>
      </w:r>
      <w:proofErr w:type="spellEnd"/>
      <w:r w:rsidRPr="00740E98">
        <w:t>, Giuseppe Biondi-</w:t>
      </w:r>
      <w:proofErr w:type="spellStart"/>
      <w:r w:rsidRPr="00740E98">
        <w:t>Zoccai</w:t>
      </w:r>
      <w:proofErr w:type="spellEnd"/>
      <w:r w:rsidRPr="00740E98">
        <w:t xml:space="preserve">, Philippe </w:t>
      </w:r>
      <w:proofErr w:type="spellStart"/>
      <w:r w:rsidRPr="00740E98">
        <w:t>Généreux</w:t>
      </w:r>
      <w:proofErr w:type="spellEnd"/>
      <w:r w:rsidRPr="00740E98">
        <w:t xml:space="preserve">, Gianni D. Angelini, Maria </w:t>
      </w:r>
      <w:proofErr w:type="spellStart"/>
      <w:r w:rsidRPr="00740E98">
        <w:t>Pufulete</w:t>
      </w:r>
      <w:proofErr w:type="spellEnd"/>
      <w:r w:rsidRPr="00740E98">
        <w:t>, Jonathon White, Deepak L. Bhatt, Gregg W. Stone</w:t>
      </w:r>
      <w:r>
        <w:t>.</w:t>
      </w:r>
      <w:r w:rsidRPr="00740E98">
        <w:t xml:space="preserve"> Three, six, or twelve months of dual antiplatelet therapy after DES implantation in patients with or without acute coronary syndromes: an individual patient data pairwise and network meta-analysis of six randomized trials and 11 473 </w:t>
      </w:r>
      <w:proofErr w:type="gramStart"/>
      <w:r w:rsidRPr="00740E98">
        <w:t>patients ,</w:t>
      </w:r>
      <w:proofErr w:type="gramEnd"/>
      <w:r w:rsidRPr="00740E98">
        <w:t xml:space="preserve"> </w:t>
      </w:r>
      <w:r w:rsidRPr="00740E98">
        <w:rPr>
          <w:i/>
          <w:iCs/>
        </w:rPr>
        <w:t>Eur Heart J</w:t>
      </w:r>
      <w:r w:rsidRPr="00740E98">
        <w:t xml:space="preserve"> 2017;38(14):1034–1043.</w:t>
      </w:r>
    </w:p>
    <w:p w14:paraId="70FF2DF1" w14:textId="77777777" w:rsidR="0037226D" w:rsidRPr="00451CE5" w:rsidRDefault="0037226D" w:rsidP="0037226D">
      <w:pPr>
        <w:pStyle w:val="ListParagraph"/>
        <w:spacing w:after="0" w:line="480" w:lineRule="auto"/>
      </w:pPr>
    </w:p>
    <w:p w14:paraId="0892745C" w14:textId="77777777" w:rsidR="0037226D" w:rsidRDefault="0037226D" w:rsidP="0037226D">
      <w:pPr>
        <w:pStyle w:val="ListParagraph"/>
        <w:numPr>
          <w:ilvl w:val="0"/>
          <w:numId w:val="17"/>
        </w:numPr>
        <w:spacing w:after="0" w:line="480" w:lineRule="auto"/>
      </w:pPr>
      <w:r w:rsidRPr="00451CE5">
        <w:t xml:space="preserve">Hahn J-Y, Song YB, Oh J-H, Chun WJ, Park YH, Jang WJ, </w:t>
      </w:r>
      <w:proofErr w:type="spellStart"/>
      <w:r w:rsidRPr="00451CE5">
        <w:t>Im</w:t>
      </w:r>
      <w:proofErr w:type="spellEnd"/>
      <w:r w:rsidRPr="00451CE5">
        <w:t xml:space="preserve"> E-S, </w:t>
      </w:r>
      <w:proofErr w:type="spellStart"/>
      <w:r w:rsidRPr="00451CE5">
        <w:t>Jeong</w:t>
      </w:r>
      <w:proofErr w:type="spellEnd"/>
      <w:r w:rsidRPr="00451CE5">
        <w:t xml:space="preserve"> J-O, Cho BR, Oh SK, Yun KH, Cho D-K, Lee J-Y, Koh Y-Y, Bae J-W, Choi JW, Lee WS, Yoon HJ, Lee SU, Cho JH, Choi WG, </w:t>
      </w:r>
      <w:proofErr w:type="spellStart"/>
      <w:r w:rsidRPr="00451CE5">
        <w:t>Rha</w:t>
      </w:r>
      <w:proofErr w:type="spellEnd"/>
      <w:r w:rsidRPr="00451CE5">
        <w:t xml:space="preserve"> S-W, Lee JM, Park TK, Yang JH, Choi J-H, Choi S-H, Lee SH, </w:t>
      </w:r>
      <w:proofErr w:type="spellStart"/>
      <w:r w:rsidRPr="00451CE5">
        <w:t>Gwon</w:t>
      </w:r>
      <w:proofErr w:type="spellEnd"/>
      <w:r w:rsidRPr="00451CE5">
        <w:t xml:space="preserve"> H-C</w:t>
      </w:r>
      <w:r>
        <w:t>.</w:t>
      </w:r>
      <w:r w:rsidRPr="00451CE5">
        <w:t xml:space="preserve"> Effect of P2Y12 Inhibitor Monotherapy vs Dual Antiplatelet Therapy on Cardiovascular Events in Patients Undergoing Percutaneous Coronary Intervention: The SMART-CHOICE Randomized Clinical Trial. </w:t>
      </w:r>
      <w:r w:rsidRPr="00451CE5">
        <w:rPr>
          <w:i/>
          <w:iCs/>
        </w:rPr>
        <w:t>JAMA</w:t>
      </w:r>
      <w:r w:rsidRPr="00451CE5">
        <w:t xml:space="preserve"> 2019;321(24):2428–2437. </w:t>
      </w:r>
    </w:p>
    <w:p w14:paraId="75869FFF" w14:textId="77777777" w:rsidR="0037226D" w:rsidRPr="00DF7991" w:rsidRDefault="0037226D" w:rsidP="0037226D">
      <w:pPr>
        <w:pStyle w:val="ListParagraph"/>
        <w:spacing w:after="0" w:line="480" w:lineRule="auto"/>
      </w:pPr>
    </w:p>
    <w:p w14:paraId="48B4EAC7" w14:textId="77777777" w:rsidR="0037226D" w:rsidRDefault="0037226D" w:rsidP="0037226D">
      <w:pPr>
        <w:pStyle w:val="ListParagraph"/>
        <w:numPr>
          <w:ilvl w:val="0"/>
          <w:numId w:val="17"/>
        </w:numPr>
        <w:spacing w:after="0" w:line="480" w:lineRule="auto"/>
      </w:pPr>
      <w:r w:rsidRPr="00DF7991">
        <w:t xml:space="preserve">Kim B, Hong S, Cho Y, Yun KH, Kim YH, Suh Y, Cho JY, Her A-Y, Cho S, Jeon DW, </w:t>
      </w:r>
      <w:proofErr w:type="spellStart"/>
      <w:r w:rsidRPr="00DF7991">
        <w:t>Yoo</w:t>
      </w:r>
      <w:proofErr w:type="spellEnd"/>
      <w:r w:rsidRPr="00DF7991">
        <w:t xml:space="preserve"> S-Y, Cho D-K, Hong B-K, Kwon H, </w:t>
      </w:r>
      <w:proofErr w:type="spellStart"/>
      <w:r w:rsidRPr="00DF7991">
        <w:t>Ahn</w:t>
      </w:r>
      <w:proofErr w:type="spellEnd"/>
      <w:r w:rsidRPr="00DF7991">
        <w:t xml:space="preserve"> C-M, Shin D-H, Nam C-M, Kim J-S, Ko Y-G, Choi D, Hong M-K, Jang Y</w:t>
      </w:r>
      <w:r>
        <w:t>.</w:t>
      </w:r>
      <w:r w:rsidRPr="00DF7991">
        <w:t xml:space="preserve"> Effect of Ticagrelor Monotherapy vs Ticagrelor With Aspirin on Major Bleeding and Cardiovascular Events in Patients With Acute Coronary Syndrome: The TICO Randomized Clinical Trial. </w:t>
      </w:r>
      <w:r w:rsidRPr="00DF7991">
        <w:rPr>
          <w:i/>
          <w:iCs/>
        </w:rPr>
        <w:t>JAMA</w:t>
      </w:r>
      <w:r w:rsidRPr="00DF7991">
        <w:t xml:space="preserve"> 2020;323(23):2407–2416.</w:t>
      </w:r>
    </w:p>
    <w:p w14:paraId="5F9FB8EC" w14:textId="77777777" w:rsidR="0037226D" w:rsidRDefault="0037226D" w:rsidP="0037226D">
      <w:pPr>
        <w:pStyle w:val="ListParagraph"/>
        <w:spacing w:after="0" w:line="480" w:lineRule="auto"/>
      </w:pPr>
    </w:p>
    <w:p w14:paraId="0D860D67" w14:textId="77777777" w:rsidR="0037226D" w:rsidRDefault="0037226D" w:rsidP="0037226D">
      <w:pPr>
        <w:pStyle w:val="ListParagraph"/>
        <w:numPr>
          <w:ilvl w:val="0"/>
          <w:numId w:val="17"/>
        </w:numPr>
        <w:spacing w:after="0" w:line="480" w:lineRule="auto"/>
        <w:rPr>
          <w:rFonts w:cstheme="minorHAnsi"/>
        </w:rPr>
      </w:pPr>
      <w:proofErr w:type="spellStart"/>
      <w:r>
        <w:rPr>
          <w:rFonts w:cstheme="minorHAnsi"/>
        </w:rPr>
        <w:t>Thamman</w:t>
      </w:r>
      <w:proofErr w:type="spellEnd"/>
      <w:r>
        <w:rPr>
          <w:rFonts w:cstheme="minorHAnsi"/>
        </w:rPr>
        <w:t xml:space="preserve"> R, Gulati M, Narang A, </w:t>
      </w:r>
      <w:proofErr w:type="spellStart"/>
      <w:r>
        <w:rPr>
          <w:rFonts w:cstheme="minorHAnsi"/>
        </w:rPr>
        <w:t>Utengen</w:t>
      </w:r>
      <w:proofErr w:type="spellEnd"/>
      <w:r>
        <w:rPr>
          <w:rFonts w:cstheme="minorHAnsi"/>
        </w:rPr>
        <w:t xml:space="preserve"> A, Mamas M, Bhatt D. Twitter-based learning for continuing medical education? A new perspective for a paradigm shift in medical education, accelerated by COVID-19. Eur Heart J 2020; </w:t>
      </w:r>
      <w:proofErr w:type="spellStart"/>
      <w:r>
        <w:rPr>
          <w:rFonts w:cstheme="minorHAnsi"/>
        </w:rPr>
        <w:t>doi</w:t>
      </w:r>
      <w:proofErr w:type="spellEnd"/>
      <w:r>
        <w:rPr>
          <w:rFonts w:cstheme="minorHAnsi"/>
        </w:rPr>
        <w:t xml:space="preserve">: </w:t>
      </w:r>
      <w:r w:rsidRPr="00820F7D">
        <w:rPr>
          <w:rFonts w:cstheme="minorHAnsi"/>
        </w:rPr>
        <w:t>10.1093/</w:t>
      </w:r>
      <w:proofErr w:type="spellStart"/>
      <w:r w:rsidRPr="00820F7D">
        <w:rPr>
          <w:rFonts w:cstheme="minorHAnsi"/>
        </w:rPr>
        <w:t>eurheartj</w:t>
      </w:r>
      <w:proofErr w:type="spellEnd"/>
      <w:r w:rsidRPr="00820F7D">
        <w:rPr>
          <w:rFonts w:cstheme="minorHAnsi"/>
        </w:rPr>
        <w:t>/ehaa346</w:t>
      </w:r>
      <w:r>
        <w:rPr>
          <w:rFonts w:cstheme="minorHAnsi"/>
        </w:rPr>
        <w:t xml:space="preserve">  </w:t>
      </w:r>
    </w:p>
    <w:p w14:paraId="6ABCEFD3" w14:textId="77777777" w:rsidR="0037226D" w:rsidRDefault="0037226D" w:rsidP="0037226D">
      <w:pPr>
        <w:pStyle w:val="ListParagraph"/>
        <w:spacing w:after="0" w:line="480" w:lineRule="auto"/>
      </w:pPr>
    </w:p>
    <w:p w14:paraId="6D494F76" w14:textId="77777777" w:rsidR="0037226D" w:rsidRPr="00822094" w:rsidRDefault="0037226D" w:rsidP="0037226D">
      <w:pPr>
        <w:pStyle w:val="ListParagraph"/>
        <w:numPr>
          <w:ilvl w:val="0"/>
          <w:numId w:val="17"/>
        </w:numPr>
        <w:spacing w:after="0" w:line="480" w:lineRule="auto"/>
        <w:rPr>
          <w:rFonts w:cstheme="minorHAnsi"/>
        </w:rPr>
      </w:pPr>
      <w:r w:rsidRPr="00967EE2">
        <w:rPr>
          <w:rFonts w:cstheme="minorHAnsi"/>
        </w:rPr>
        <w:t xml:space="preserve">Diamond IV, Grant RC, Feldman BM, </w:t>
      </w:r>
      <w:proofErr w:type="spellStart"/>
      <w:r w:rsidRPr="00967EE2">
        <w:rPr>
          <w:rFonts w:cstheme="minorHAnsi"/>
        </w:rPr>
        <w:t>Pencharz</w:t>
      </w:r>
      <w:proofErr w:type="spellEnd"/>
      <w:r w:rsidRPr="00967EE2">
        <w:rPr>
          <w:rFonts w:cstheme="minorHAnsi"/>
        </w:rPr>
        <w:t xml:space="preserve"> PB, Ling SC, Moore AM, Wales PW</w:t>
      </w:r>
      <w:r>
        <w:rPr>
          <w:rFonts w:cstheme="minorHAnsi"/>
        </w:rPr>
        <w:t>.</w:t>
      </w:r>
      <w:r w:rsidRPr="00967EE2">
        <w:rPr>
          <w:rFonts w:cstheme="minorHAnsi"/>
        </w:rPr>
        <w:t xml:space="preserve"> Defining Consensus: A Systematic Review Recommends Methodologic Criteria for Reporting of Delphi Studies. </w:t>
      </w:r>
      <w:r w:rsidRPr="00967EE2">
        <w:rPr>
          <w:rStyle w:val="Emphasis"/>
          <w:rFonts w:cstheme="minorHAnsi"/>
          <w:shd w:val="clear" w:color="auto" w:fill="FFFFFF"/>
        </w:rPr>
        <w:t>J</w:t>
      </w:r>
      <w:r w:rsidRPr="00967EE2">
        <w:rPr>
          <w:rFonts w:cstheme="minorHAnsi"/>
          <w:shd w:val="clear" w:color="auto" w:fill="FFFFFF"/>
        </w:rPr>
        <w:t xml:space="preserve"> Clin </w:t>
      </w:r>
      <w:proofErr w:type="spellStart"/>
      <w:r w:rsidRPr="00967EE2">
        <w:rPr>
          <w:rFonts w:cstheme="minorHAnsi"/>
          <w:shd w:val="clear" w:color="auto" w:fill="FFFFFF"/>
        </w:rPr>
        <w:t>Epidemiol</w:t>
      </w:r>
      <w:proofErr w:type="spellEnd"/>
      <w:r w:rsidRPr="00967EE2">
        <w:rPr>
          <w:rFonts w:cstheme="minorHAnsi"/>
          <w:shd w:val="clear" w:color="auto" w:fill="FFFFFF"/>
        </w:rPr>
        <w:t> 2014;67(4):401-409</w:t>
      </w:r>
      <w:r>
        <w:rPr>
          <w:rFonts w:cstheme="minorHAnsi"/>
          <w:shd w:val="clear" w:color="auto" w:fill="FFFFFF"/>
        </w:rPr>
        <w:t>.</w:t>
      </w:r>
    </w:p>
    <w:p w14:paraId="307A4B98" w14:textId="77777777" w:rsidR="0037226D" w:rsidRPr="00822094" w:rsidRDefault="0037226D" w:rsidP="0037226D">
      <w:pPr>
        <w:pStyle w:val="ListParagraph"/>
        <w:rPr>
          <w:rFonts w:cstheme="minorHAnsi"/>
        </w:rPr>
      </w:pPr>
    </w:p>
    <w:p w14:paraId="5EB2C515" w14:textId="77777777" w:rsidR="0037226D" w:rsidRPr="00D029A3" w:rsidRDefault="0037226D" w:rsidP="0037226D">
      <w:pPr>
        <w:pStyle w:val="ListParagraph"/>
        <w:spacing w:after="0" w:line="480" w:lineRule="auto"/>
        <w:rPr>
          <w:rFonts w:cstheme="minorHAnsi"/>
        </w:rPr>
      </w:pPr>
    </w:p>
    <w:p w14:paraId="0B3F9FAF" w14:textId="77777777" w:rsidR="0037226D" w:rsidRPr="00E3637C" w:rsidRDefault="0037226D" w:rsidP="0037226D">
      <w:pPr>
        <w:pStyle w:val="ListParagraph"/>
        <w:numPr>
          <w:ilvl w:val="0"/>
          <w:numId w:val="17"/>
        </w:numPr>
        <w:spacing w:after="0" w:line="480" w:lineRule="auto"/>
        <w:rPr>
          <w:rFonts w:cstheme="minorHAnsi"/>
        </w:rPr>
      </w:pPr>
      <w:proofErr w:type="spellStart"/>
      <w:r>
        <w:rPr>
          <w:rFonts w:cstheme="minorHAnsi"/>
        </w:rPr>
        <w:t>Vranckx</w:t>
      </w:r>
      <w:proofErr w:type="spellEnd"/>
      <w:r>
        <w:rPr>
          <w:rFonts w:cstheme="minorHAnsi"/>
        </w:rPr>
        <w:t xml:space="preserve"> P, </w:t>
      </w:r>
      <w:proofErr w:type="spellStart"/>
      <w:r w:rsidRPr="00E3637C">
        <w:rPr>
          <w:rFonts w:cstheme="minorHAnsi"/>
        </w:rPr>
        <w:t>Valgimigli</w:t>
      </w:r>
      <w:proofErr w:type="spellEnd"/>
      <w:r>
        <w:rPr>
          <w:rFonts w:cstheme="minorHAnsi"/>
        </w:rPr>
        <w:t xml:space="preserve"> M</w:t>
      </w:r>
      <w:r w:rsidRPr="00E3637C">
        <w:rPr>
          <w:rFonts w:cstheme="minorHAnsi"/>
        </w:rPr>
        <w:t xml:space="preserve">, </w:t>
      </w:r>
      <w:proofErr w:type="spellStart"/>
      <w:r w:rsidRPr="00E3637C">
        <w:rPr>
          <w:rFonts w:cstheme="minorHAnsi"/>
        </w:rPr>
        <w:t>Jüni</w:t>
      </w:r>
      <w:proofErr w:type="spellEnd"/>
      <w:r>
        <w:rPr>
          <w:rFonts w:cstheme="minorHAnsi"/>
        </w:rPr>
        <w:t xml:space="preserve"> P</w:t>
      </w:r>
      <w:r w:rsidRPr="00E3637C">
        <w:rPr>
          <w:rFonts w:cstheme="minorHAnsi"/>
        </w:rPr>
        <w:t>, Hamm</w:t>
      </w:r>
      <w:r>
        <w:rPr>
          <w:rFonts w:cstheme="minorHAnsi"/>
        </w:rPr>
        <w:t xml:space="preserve"> C, Steg PG,</w:t>
      </w:r>
      <w:r w:rsidRPr="00E3637C">
        <w:rPr>
          <w:rFonts w:cstheme="minorHAnsi"/>
        </w:rPr>
        <w:t xml:space="preserve"> </w:t>
      </w:r>
      <w:proofErr w:type="spellStart"/>
      <w:r w:rsidRPr="00E3637C">
        <w:rPr>
          <w:rFonts w:cstheme="minorHAnsi"/>
        </w:rPr>
        <w:t>Heg</w:t>
      </w:r>
      <w:proofErr w:type="spellEnd"/>
      <w:r>
        <w:rPr>
          <w:rFonts w:cstheme="minorHAnsi"/>
        </w:rPr>
        <w:t xml:space="preserve"> D, </w:t>
      </w:r>
      <w:r w:rsidRPr="00E3637C">
        <w:rPr>
          <w:rFonts w:cstheme="minorHAnsi"/>
        </w:rPr>
        <w:t>van Es</w:t>
      </w:r>
      <w:r>
        <w:rPr>
          <w:rFonts w:cstheme="minorHAnsi"/>
        </w:rPr>
        <w:t xml:space="preserve"> GA</w:t>
      </w:r>
      <w:r w:rsidRPr="00E3637C">
        <w:rPr>
          <w:rFonts w:cstheme="minorHAnsi"/>
        </w:rPr>
        <w:t>,</w:t>
      </w:r>
      <w:r>
        <w:rPr>
          <w:rFonts w:cstheme="minorHAnsi"/>
        </w:rPr>
        <w:t xml:space="preserve"> McFadden EP, </w:t>
      </w:r>
      <w:proofErr w:type="spellStart"/>
      <w:r w:rsidRPr="00E3637C">
        <w:rPr>
          <w:rFonts w:cstheme="minorHAnsi"/>
        </w:rPr>
        <w:t>Onuma</w:t>
      </w:r>
      <w:proofErr w:type="spellEnd"/>
      <w:r>
        <w:rPr>
          <w:rFonts w:cstheme="minorHAnsi"/>
        </w:rPr>
        <w:t xml:space="preserve"> Y</w:t>
      </w:r>
      <w:r w:rsidRPr="00E3637C">
        <w:rPr>
          <w:rFonts w:cstheme="minorHAnsi"/>
        </w:rPr>
        <w:t xml:space="preserve">, </w:t>
      </w:r>
    </w:p>
    <w:p w14:paraId="22DDA304" w14:textId="77777777" w:rsidR="0037226D" w:rsidRDefault="0037226D" w:rsidP="0037226D">
      <w:pPr>
        <w:pStyle w:val="ListParagraph"/>
        <w:spacing w:after="0" w:line="480" w:lineRule="auto"/>
        <w:rPr>
          <w:rFonts w:cstheme="minorHAnsi"/>
        </w:rPr>
      </w:pPr>
      <w:r w:rsidRPr="00E3637C">
        <w:rPr>
          <w:rFonts w:cstheme="minorHAnsi"/>
        </w:rPr>
        <w:t xml:space="preserve">van </w:t>
      </w:r>
      <w:proofErr w:type="spellStart"/>
      <w:r w:rsidRPr="00E3637C">
        <w:rPr>
          <w:rFonts w:cstheme="minorHAnsi"/>
        </w:rPr>
        <w:t>Meijeren</w:t>
      </w:r>
      <w:proofErr w:type="spellEnd"/>
      <w:r>
        <w:rPr>
          <w:rFonts w:cstheme="minorHAnsi"/>
        </w:rPr>
        <w:t xml:space="preserve"> C</w:t>
      </w:r>
      <w:r w:rsidRPr="00E3637C">
        <w:rPr>
          <w:rFonts w:cstheme="minorHAnsi"/>
        </w:rPr>
        <w:t xml:space="preserve">, </w:t>
      </w:r>
      <w:proofErr w:type="spellStart"/>
      <w:r w:rsidRPr="00E3637C">
        <w:rPr>
          <w:rFonts w:cstheme="minorHAnsi"/>
        </w:rPr>
        <w:t>Chichareon</w:t>
      </w:r>
      <w:proofErr w:type="spellEnd"/>
      <w:r>
        <w:rPr>
          <w:rFonts w:cstheme="minorHAnsi"/>
        </w:rPr>
        <w:t xml:space="preserve"> P</w:t>
      </w:r>
      <w:r w:rsidRPr="00E3637C">
        <w:rPr>
          <w:rFonts w:cstheme="minorHAnsi"/>
        </w:rPr>
        <w:t xml:space="preserve">, </w:t>
      </w:r>
      <w:proofErr w:type="spellStart"/>
      <w:r>
        <w:rPr>
          <w:rFonts w:cstheme="minorHAnsi"/>
        </w:rPr>
        <w:t>Benit</w:t>
      </w:r>
      <w:proofErr w:type="spellEnd"/>
      <w:r>
        <w:rPr>
          <w:rFonts w:cstheme="minorHAnsi"/>
        </w:rPr>
        <w:t xml:space="preserve"> E, </w:t>
      </w:r>
      <w:proofErr w:type="spellStart"/>
      <w:r w:rsidRPr="00E3637C">
        <w:rPr>
          <w:rFonts w:cstheme="minorHAnsi"/>
        </w:rPr>
        <w:t>Möllmann</w:t>
      </w:r>
      <w:proofErr w:type="spellEnd"/>
      <w:r>
        <w:rPr>
          <w:rFonts w:cstheme="minorHAnsi"/>
        </w:rPr>
        <w:t xml:space="preserve"> H</w:t>
      </w:r>
      <w:r w:rsidRPr="00E3637C">
        <w:rPr>
          <w:rFonts w:cstheme="minorHAnsi"/>
        </w:rPr>
        <w:t>, Janssens</w:t>
      </w:r>
      <w:r>
        <w:rPr>
          <w:rFonts w:cstheme="minorHAnsi"/>
        </w:rPr>
        <w:t xml:space="preserve"> L</w:t>
      </w:r>
      <w:r w:rsidRPr="00E3637C">
        <w:rPr>
          <w:rFonts w:cstheme="minorHAnsi"/>
        </w:rPr>
        <w:t xml:space="preserve">, </w:t>
      </w:r>
      <w:proofErr w:type="spellStart"/>
      <w:r w:rsidRPr="00E3637C">
        <w:rPr>
          <w:rFonts w:cstheme="minorHAnsi"/>
        </w:rPr>
        <w:t>Ferrario</w:t>
      </w:r>
      <w:proofErr w:type="spellEnd"/>
      <w:r>
        <w:rPr>
          <w:rFonts w:cstheme="minorHAnsi"/>
        </w:rPr>
        <w:t xml:space="preserve"> M</w:t>
      </w:r>
      <w:r w:rsidRPr="00E3637C">
        <w:rPr>
          <w:rFonts w:cstheme="minorHAnsi"/>
        </w:rPr>
        <w:t xml:space="preserve">, </w:t>
      </w:r>
      <w:proofErr w:type="spellStart"/>
      <w:r w:rsidRPr="00E3637C">
        <w:rPr>
          <w:rFonts w:cstheme="minorHAnsi"/>
        </w:rPr>
        <w:t>Moschovitis</w:t>
      </w:r>
      <w:proofErr w:type="spellEnd"/>
      <w:r>
        <w:rPr>
          <w:rFonts w:cstheme="minorHAnsi"/>
        </w:rPr>
        <w:t xml:space="preserve"> A</w:t>
      </w:r>
      <w:r w:rsidRPr="00E3637C">
        <w:rPr>
          <w:rFonts w:cstheme="minorHAnsi"/>
        </w:rPr>
        <w:t xml:space="preserve">, </w:t>
      </w:r>
      <w:proofErr w:type="spellStart"/>
      <w:r w:rsidRPr="00E3637C">
        <w:rPr>
          <w:rFonts w:cstheme="minorHAnsi"/>
        </w:rPr>
        <w:t>Zurakowski</w:t>
      </w:r>
      <w:proofErr w:type="spellEnd"/>
      <w:r>
        <w:rPr>
          <w:rFonts w:cstheme="minorHAnsi"/>
        </w:rPr>
        <w:t xml:space="preserve"> A</w:t>
      </w:r>
      <w:r w:rsidRPr="00E3637C">
        <w:rPr>
          <w:rFonts w:cstheme="minorHAnsi"/>
        </w:rPr>
        <w:t xml:space="preserve">, </w:t>
      </w:r>
      <w:proofErr w:type="spellStart"/>
      <w:r w:rsidRPr="00E3637C">
        <w:rPr>
          <w:rFonts w:cstheme="minorHAnsi"/>
        </w:rPr>
        <w:t>Dominici</w:t>
      </w:r>
      <w:proofErr w:type="spellEnd"/>
      <w:r>
        <w:rPr>
          <w:rFonts w:cstheme="minorHAnsi"/>
        </w:rPr>
        <w:t xml:space="preserve"> M</w:t>
      </w:r>
      <w:r w:rsidRPr="00E3637C">
        <w:rPr>
          <w:rFonts w:cstheme="minorHAnsi"/>
        </w:rPr>
        <w:t xml:space="preserve">, Van </w:t>
      </w:r>
      <w:proofErr w:type="spellStart"/>
      <w:r w:rsidRPr="00E3637C">
        <w:rPr>
          <w:rFonts w:cstheme="minorHAnsi"/>
        </w:rPr>
        <w:t>Geuns</w:t>
      </w:r>
      <w:proofErr w:type="spellEnd"/>
      <w:r>
        <w:rPr>
          <w:rFonts w:cstheme="minorHAnsi"/>
        </w:rPr>
        <w:t xml:space="preserve"> RJ</w:t>
      </w:r>
      <w:r w:rsidRPr="00E3637C">
        <w:rPr>
          <w:rFonts w:cstheme="minorHAnsi"/>
        </w:rPr>
        <w:t>, Huber</w:t>
      </w:r>
      <w:r>
        <w:rPr>
          <w:rFonts w:cstheme="minorHAnsi"/>
        </w:rPr>
        <w:t xml:space="preserve"> K</w:t>
      </w:r>
      <w:r w:rsidRPr="00E3637C">
        <w:rPr>
          <w:rFonts w:cstheme="minorHAnsi"/>
        </w:rPr>
        <w:t xml:space="preserve">, </w:t>
      </w:r>
      <w:proofErr w:type="spellStart"/>
      <w:r w:rsidRPr="00E3637C">
        <w:rPr>
          <w:rFonts w:cstheme="minorHAnsi"/>
        </w:rPr>
        <w:t>Slagboom</w:t>
      </w:r>
      <w:proofErr w:type="spellEnd"/>
      <w:r>
        <w:rPr>
          <w:rFonts w:cstheme="minorHAnsi"/>
        </w:rPr>
        <w:t xml:space="preserve"> T</w:t>
      </w:r>
      <w:r w:rsidRPr="00E3637C">
        <w:rPr>
          <w:rFonts w:cstheme="minorHAnsi"/>
        </w:rPr>
        <w:t xml:space="preserve">, </w:t>
      </w:r>
      <w:proofErr w:type="spellStart"/>
      <w:r w:rsidRPr="00E3637C">
        <w:rPr>
          <w:rFonts w:cstheme="minorHAnsi"/>
        </w:rPr>
        <w:t>Serruys</w:t>
      </w:r>
      <w:proofErr w:type="spellEnd"/>
      <w:r>
        <w:rPr>
          <w:rFonts w:cstheme="minorHAnsi"/>
        </w:rPr>
        <w:t xml:space="preserve"> PW</w:t>
      </w:r>
      <w:r w:rsidRPr="00E3637C">
        <w:rPr>
          <w:rFonts w:cstheme="minorHAnsi"/>
        </w:rPr>
        <w:t xml:space="preserve">, </w:t>
      </w:r>
      <w:proofErr w:type="spellStart"/>
      <w:r w:rsidRPr="00E3637C">
        <w:rPr>
          <w:rFonts w:cstheme="minorHAnsi"/>
        </w:rPr>
        <w:t>Windecker</w:t>
      </w:r>
      <w:proofErr w:type="spellEnd"/>
      <w:r>
        <w:rPr>
          <w:rFonts w:cstheme="minorHAnsi"/>
        </w:rPr>
        <w:t xml:space="preserve"> S.</w:t>
      </w:r>
      <w:r w:rsidRPr="00E3637C">
        <w:rPr>
          <w:rFonts w:cstheme="minorHAnsi"/>
        </w:rPr>
        <w:t xml:space="preserve"> Ticagrelor plus aspirin for 1 month, followed by ticagrelor monotherapy for 23 months vs aspirin plus clopidogrel or ticagrelor for 12 months, followed by aspirin monotherapy for 12 months after implantation of a drug-eluting stent: a multicentre, open-label, randomised superiority trial</w:t>
      </w:r>
      <w:r>
        <w:rPr>
          <w:rFonts w:cstheme="minorHAnsi"/>
        </w:rPr>
        <w:t xml:space="preserve">. </w:t>
      </w:r>
      <w:r w:rsidRPr="00E3637C">
        <w:rPr>
          <w:rFonts w:cstheme="minorHAnsi"/>
          <w:i/>
          <w:iCs/>
        </w:rPr>
        <w:t>Lancet</w:t>
      </w:r>
      <w:r>
        <w:rPr>
          <w:rFonts w:cstheme="minorHAnsi"/>
        </w:rPr>
        <w:t xml:space="preserve"> 2018;392(10151):940-949.</w:t>
      </w:r>
    </w:p>
    <w:p w14:paraId="2BC38AE6" w14:textId="77777777" w:rsidR="0037226D" w:rsidRDefault="0037226D" w:rsidP="0037226D">
      <w:pPr>
        <w:pStyle w:val="ListParagraph"/>
        <w:spacing w:after="0" w:line="480" w:lineRule="auto"/>
      </w:pPr>
    </w:p>
    <w:p w14:paraId="07B4671C" w14:textId="77777777" w:rsidR="0037226D" w:rsidRDefault="0037226D" w:rsidP="0037226D">
      <w:pPr>
        <w:pStyle w:val="ListParagraph"/>
        <w:numPr>
          <w:ilvl w:val="0"/>
          <w:numId w:val="17"/>
        </w:numPr>
        <w:spacing w:after="0" w:line="480" w:lineRule="auto"/>
      </w:pPr>
      <w:r w:rsidRPr="00DF7991">
        <w:t xml:space="preserve">Ueki Y, </w:t>
      </w:r>
      <w:proofErr w:type="spellStart"/>
      <w:r w:rsidRPr="00DF7991">
        <w:t>Bär</w:t>
      </w:r>
      <w:proofErr w:type="spellEnd"/>
      <w:r w:rsidRPr="00DF7991">
        <w:t xml:space="preserve"> S, </w:t>
      </w:r>
      <w:proofErr w:type="spellStart"/>
      <w:r w:rsidRPr="00DF7991">
        <w:t>Losdat</w:t>
      </w:r>
      <w:proofErr w:type="spellEnd"/>
      <w:r w:rsidRPr="00DF7991">
        <w:t xml:space="preserve"> S, Otsuka T, </w:t>
      </w:r>
      <w:proofErr w:type="spellStart"/>
      <w:r w:rsidRPr="00DF7991">
        <w:t>Zanchin</w:t>
      </w:r>
      <w:proofErr w:type="spellEnd"/>
      <w:r w:rsidRPr="00DF7991">
        <w:t xml:space="preserve"> C, </w:t>
      </w:r>
      <w:proofErr w:type="spellStart"/>
      <w:r w:rsidRPr="00DF7991">
        <w:t>Zanchin</w:t>
      </w:r>
      <w:proofErr w:type="spellEnd"/>
      <w:r w:rsidRPr="00DF7991">
        <w:t xml:space="preserve"> T, </w:t>
      </w:r>
      <w:proofErr w:type="spellStart"/>
      <w:r w:rsidRPr="00DF7991">
        <w:t>Gragnano</w:t>
      </w:r>
      <w:proofErr w:type="spellEnd"/>
      <w:r w:rsidRPr="00DF7991">
        <w:t xml:space="preserve"> F, Gargiulo G, </w:t>
      </w:r>
      <w:proofErr w:type="spellStart"/>
      <w:r w:rsidRPr="00DF7991">
        <w:t>Siontis</w:t>
      </w:r>
      <w:proofErr w:type="spellEnd"/>
      <w:r w:rsidRPr="00DF7991">
        <w:t xml:space="preserve"> GCM, </w:t>
      </w:r>
      <w:proofErr w:type="spellStart"/>
      <w:r w:rsidRPr="00DF7991">
        <w:t>Praz</w:t>
      </w:r>
      <w:proofErr w:type="spellEnd"/>
      <w:r w:rsidRPr="00DF7991">
        <w:t xml:space="preserve"> F, </w:t>
      </w:r>
      <w:proofErr w:type="spellStart"/>
      <w:r w:rsidRPr="00DF7991">
        <w:t>Lanz</w:t>
      </w:r>
      <w:proofErr w:type="spellEnd"/>
      <w:r w:rsidRPr="00DF7991">
        <w:t xml:space="preserve"> J, </w:t>
      </w:r>
      <w:proofErr w:type="spellStart"/>
      <w:r w:rsidRPr="00DF7991">
        <w:t>Hunziker</w:t>
      </w:r>
      <w:proofErr w:type="spellEnd"/>
      <w:r w:rsidRPr="00DF7991">
        <w:t xml:space="preserve"> L, </w:t>
      </w:r>
      <w:proofErr w:type="spellStart"/>
      <w:r w:rsidRPr="00DF7991">
        <w:t>Stortecky</w:t>
      </w:r>
      <w:proofErr w:type="spellEnd"/>
      <w:r w:rsidRPr="00DF7991">
        <w:t xml:space="preserve"> S, Pilgrim T, </w:t>
      </w:r>
      <w:proofErr w:type="spellStart"/>
      <w:r w:rsidRPr="00DF7991">
        <w:t>Heg</w:t>
      </w:r>
      <w:proofErr w:type="spellEnd"/>
      <w:r w:rsidRPr="00DF7991">
        <w:t xml:space="preserve"> D, </w:t>
      </w:r>
      <w:proofErr w:type="spellStart"/>
      <w:r w:rsidRPr="00DF7991">
        <w:t>Valgimigli</w:t>
      </w:r>
      <w:proofErr w:type="spellEnd"/>
      <w:r w:rsidRPr="00DF7991">
        <w:t xml:space="preserve"> M, </w:t>
      </w:r>
      <w:proofErr w:type="spellStart"/>
      <w:r w:rsidRPr="00DF7991">
        <w:t>Windecker</w:t>
      </w:r>
      <w:proofErr w:type="spellEnd"/>
      <w:r w:rsidRPr="00DF7991">
        <w:t xml:space="preserve"> S, </w:t>
      </w:r>
      <w:proofErr w:type="spellStart"/>
      <w:r w:rsidRPr="00DF7991">
        <w:t>Räber</w:t>
      </w:r>
      <w:proofErr w:type="spellEnd"/>
      <w:r w:rsidRPr="00DF7991">
        <w:t xml:space="preserve"> L. </w:t>
      </w:r>
      <w:r w:rsidRPr="00DF7991">
        <w:lastRenderedPageBreak/>
        <w:t xml:space="preserve">Validation of the Academic Research Consortium for High Bleeding Risk (ARC-HBR) criteria in patients undergoing percutaneous coronary intervention and comparison with contemporary bleeding risk scores. </w:t>
      </w:r>
      <w:proofErr w:type="spellStart"/>
      <w:r w:rsidRPr="00DF7991">
        <w:rPr>
          <w:i/>
          <w:iCs/>
        </w:rPr>
        <w:t>EuroIntervention</w:t>
      </w:r>
      <w:proofErr w:type="spellEnd"/>
      <w:r w:rsidRPr="00DF7991">
        <w:t xml:space="preserve"> 2020;16(5):371-379. </w:t>
      </w:r>
    </w:p>
    <w:p w14:paraId="2EE45093" w14:textId="77777777" w:rsidR="0037226D" w:rsidRPr="005C764C" w:rsidRDefault="0037226D" w:rsidP="0037226D">
      <w:pPr>
        <w:pStyle w:val="ListParagraph"/>
        <w:spacing w:after="0" w:line="480" w:lineRule="auto"/>
        <w:rPr>
          <w:color w:val="000000" w:themeColor="text1"/>
        </w:rPr>
      </w:pPr>
    </w:p>
    <w:p w14:paraId="07F3E21C" w14:textId="77777777" w:rsidR="0037226D" w:rsidRPr="005C764C" w:rsidRDefault="0037226D" w:rsidP="0037226D">
      <w:pPr>
        <w:pStyle w:val="ListParagraph"/>
        <w:numPr>
          <w:ilvl w:val="0"/>
          <w:numId w:val="17"/>
        </w:numPr>
        <w:spacing w:after="0" w:line="480" w:lineRule="auto"/>
        <w:rPr>
          <w:color w:val="000000" w:themeColor="text1"/>
        </w:rPr>
      </w:pPr>
      <w:r w:rsidRPr="005C764C">
        <w:rPr>
          <w:color w:val="000000" w:themeColor="text1"/>
        </w:rPr>
        <w:t xml:space="preserve">Costa F, van </w:t>
      </w:r>
      <w:proofErr w:type="spellStart"/>
      <w:r w:rsidRPr="005C764C">
        <w:rPr>
          <w:color w:val="000000" w:themeColor="text1"/>
        </w:rPr>
        <w:t>Klaveren</w:t>
      </w:r>
      <w:proofErr w:type="spellEnd"/>
      <w:r w:rsidRPr="005C764C">
        <w:rPr>
          <w:color w:val="000000" w:themeColor="text1"/>
        </w:rPr>
        <w:t xml:space="preserve"> D, James S, </w:t>
      </w:r>
      <w:proofErr w:type="spellStart"/>
      <w:r w:rsidRPr="005C764C">
        <w:rPr>
          <w:color w:val="000000" w:themeColor="text1"/>
        </w:rPr>
        <w:t>Heg</w:t>
      </w:r>
      <w:proofErr w:type="spellEnd"/>
      <w:r w:rsidRPr="005C764C">
        <w:rPr>
          <w:color w:val="000000" w:themeColor="text1"/>
        </w:rPr>
        <w:t xml:space="preserve"> D, </w:t>
      </w:r>
      <w:proofErr w:type="spellStart"/>
      <w:r w:rsidRPr="005C764C">
        <w:rPr>
          <w:color w:val="000000" w:themeColor="text1"/>
        </w:rPr>
        <w:t>Räber</w:t>
      </w:r>
      <w:proofErr w:type="spellEnd"/>
      <w:r w:rsidRPr="005C764C">
        <w:rPr>
          <w:color w:val="000000" w:themeColor="text1"/>
        </w:rPr>
        <w:t xml:space="preserve"> L, Feres F, Pilgrim T, Hong MK, Kim, HS, Colombo A, Steg PG, </w:t>
      </w:r>
      <w:proofErr w:type="spellStart"/>
      <w:r w:rsidRPr="005C764C">
        <w:rPr>
          <w:color w:val="000000" w:themeColor="text1"/>
        </w:rPr>
        <w:t>Zanchin</w:t>
      </w:r>
      <w:proofErr w:type="spellEnd"/>
      <w:r w:rsidRPr="005C764C">
        <w:rPr>
          <w:color w:val="000000" w:themeColor="text1"/>
        </w:rPr>
        <w:t xml:space="preserve"> T, </w:t>
      </w:r>
      <w:proofErr w:type="spellStart"/>
      <w:r w:rsidRPr="005C764C">
        <w:rPr>
          <w:color w:val="000000" w:themeColor="text1"/>
        </w:rPr>
        <w:t>Palmerini</w:t>
      </w:r>
      <w:proofErr w:type="spellEnd"/>
      <w:r w:rsidRPr="005C764C">
        <w:rPr>
          <w:color w:val="000000" w:themeColor="text1"/>
        </w:rPr>
        <w:t xml:space="preserve"> T, </w:t>
      </w:r>
      <w:proofErr w:type="spellStart"/>
      <w:r w:rsidRPr="005C764C">
        <w:rPr>
          <w:color w:val="000000" w:themeColor="text1"/>
        </w:rPr>
        <w:t>Wallentin</w:t>
      </w:r>
      <w:proofErr w:type="spellEnd"/>
      <w:r w:rsidRPr="005C764C">
        <w:rPr>
          <w:color w:val="000000" w:themeColor="text1"/>
        </w:rPr>
        <w:t xml:space="preserve"> L, Bhatt D, Stone GW, </w:t>
      </w:r>
      <w:proofErr w:type="spellStart"/>
      <w:r w:rsidRPr="005C764C">
        <w:rPr>
          <w:color w:val="000000" w:themeColor="text1"/>
        </w:rPr>
        <w:t>Windecker</w:t>
      </w:r>
      <w:proofErr w:type="spellEnd"/>
      <w:r w:rsidRPr="005C764C">
        <w:rPr>
          <w:color w:val="000000" w:themeColor="text1"/>
        </w:rPr>
        <w:t xml:space="preserve"> S, </w:t>
      </w:r>
      <w:proofErr w:type="spellStart"/>
      <w:r w:rsidRPr="005C764C">
        <w:rPr>
          <w:color w:val="000000" w:themeColor="text1"/>
        </w:rPr>
        <w:t>Steyerberg</w:t>
      </w:r>
      <w:proofErr w:type="spellEnd"/>
      <w:r w:rsidRPr="005C764C">
        <w:rPr>
          <w:color w:val="000000" w:themeColor="text1"/>
        </w:rPr>
        <w:t xml:space="preserve"> EW, </w:t>
      </w:r>
      <w:proofErr w:type="spellStart"/>
      <w:r w:rsidRPr="005C764C">
        <w:rPr>
          <w:color w:val="000000" w:themeColor="text1"/>
        </w:rPr>
        <w:t>Valgimigli</w:t>
      </w:r>
      <w:proofErr w:type="spellEnd"/>
      <w:r w:rsidRPr="005C764C">
        <w:rPr>
          <w:color w:val="000000" w:themeColor="text1"/>
        </w:rPr>
        <w:t xml:space="preserve"> M</w:t>
      </w:r>
      <w:r>
        <w:rPr>
          <w:color w:val="000000" w:themeColor="text1"/>
        </w:rPr>
        <w:t>.</w:t>
      </w:r>
      <w:r w:rsidRPr="005C764C">
        <w:rPr>
          <w:color w:val="000000" w:themeColor="text1"/>
        </w:rPr>
        <w:t xml:space="preserve"> Derivation and validation of the predicting bleeding complications in patients undergoing stent implantation and subsequent dual antiplatelet therapy (PRECISE-DAPT) score: a pooled analysis of individual-patient datasets from clinical trials. Lancet 2011;389(10073):1025-1034.</w:t>
      </w:r>
    </w:p>
    <w:p w14:paraId="32360352" w14:textId="77777777" w:rsidR="0037226D" w:rsidRPr="005C764C" w:rsidRDefault="0037226D" w:rsidP="0037226D">
      <w:pPr>
        <w:pStyle w:val="ListParagraph"/>
        <w:spacing w:after="0" w:line="480" w:lineRule="auto"/>
        <w:rPr>
          <w:color w:val="000000" w:themeColor="text1"/>
        </w:rPr>
      </w:pPr>
    </w:p>
    <w:p w14:paraId="5D2A2EA3" w14:textId="77777777" w:rsidR="0037226D" w:rsidRDefault="0037226D" w:rsidP="0037226D">
      <w:pPr>
        <w:pStyle w:val="ListParagraph"/>
        <w:numPr>
          <w:ilvl w:val="0"/>
          <w:numId w:val="17"/>
        </w:numPr>
        <w:spacing w:after="0" w:line="480" w:lineRule="auto"/>
        <w:rPr>
          <w:color w:val="000000" w:themeColor="text1"/>
        </w:rPr>
      </w:pPr>
      <w:r w:rsidRPr="005C764C">
        <w:rPr>
          <w:color w:val="000000" w:themeColor="text1"/>
        </w:rPr>
        <w:t xml:space="preserve">Urban P, Mehran R, </w:t>
      </w:r>
      <w:proofErr w:type="spellStart"/>
      <w:r w:rsidRPr="005C764C">
        <w:rPr>
          <w:color w:val="000000" w:themeColor="text1"/>
        </w:rPr>
        <w:t>Colleran</w:t>
      </w:r>
      <w:proofErr w:type="spellEnd"/>
      <w:r w:rsidRPr="005C764C">
        <w:rPr>
          <w:color w:val="000000" w:themeColor="text1"/>
        </w:rPr>
        <w:t xml:space="preserve"> R, </w:t>
      </w:r>
      <w:proofErr w:type="spellStart"/>
      <w:r w:rsidRPr="005C764C">
        <w:rPr>
          <w:color w:val="000000" w:themeColor="text1"/>
        </w:rPr>
        <w:t>Angiolillo</w:t>
      </w:r>
      <w:proofErr w:type="spellEnd"/>
      <w:r w:rsidRPr="005C764C">
        <w:rPr>
          <w:color w:val="000000" w:themeColor="text1"/>
        </w:rPr>
        <w:t xml:space="preserve"> DJ, Byrne RA, Capodanno D, </w:t>
      </w:r>
      <w:proofErr w:type="spellStart"/>
      <w:r w:rsidRPr="005C764C">
        <w:rPr>
          <w:color w:val="000000" w:themeColor="text1"/>
        </w:rPr>
        <w:t>Cuisset</w:t>
      </w:r>
      <w:proofErr w:type="spellEnd"/>
      <w:r w:rsidRPr="005C764C">
        <w:rPr>
          <w:color w:val="000000" w:themeColor="text1"/>
        </w:rPr>
        <w:t xml:space="preserve"> T, </w:t>
      </w:r>
      <w:proofErr w:type="spellStart"/>
      <w:r w:rsidRPr="005C764C">
        <w:rPr>
          <w:color w:val="000000" w:themeColor="text1"/>
        </w:rPr>
        <w:t>Cutlip</w:t>
      </w:r>
      <w:proofErr w:type="spellEnd"/>
      <w:r w:rsidRPr="005C764C">
        <w:rPr>
          <w:color w:val="000000" w:themeColor="text1"/>
        </w:rPr>
        <w:t xml:space="preserve"> D, Eerdmans P, </w:t>
      </w:r>
      <w:proofErr w:type="spellStart"/>
      <w:r w:rsidRPr="005C764C">
        <w:rPr>
          <w:color w:val="000000" w:themeColor="text1"/>
        </w:rPr>
        <w:t>Eikelboom</w:t>
      </w:r>
      <w:proofErr w:type="spellEnd"/>
      <w:r w:rsidRPr="005C764C">
        <w:rPr>
          <w:color w:val="000000" w:themeColor="text1"/>
        </w:rPr>
        <w:t xml:space="preserve"> J, </w:t>
      </w:r>
      <w:proofErr w:type="spellStart"/>
      <w:r w:rsidRPr="005C764C">
        <w:rPr>
          <w:color w:val="000000" w:themeColor="text1"/>
        </w:rPr>
        <w:t>Farb</w:t>
      </w:r>
      <w:proofErr w:type="spellEnd"/>
      <w:r w:rsidRPr="005C764C">
        <w:rPr>
          <w:color w:val="000000" w:themeColor="text1"/>
        </w:rPr>
        <w:t xml:space="preserve"> A, Gibson CM, Gregson J, </w:t>
      </w:r>
      <w:proofErr w:type="spellStart"/>
      <w:r w:rsidRPr="005C764C">
        <w:rPr>
          <w:color w:val="000000" w:themeColor="text1"/>
        </w:rPr>
        <w:t>Haude</w:t>
      </w:r>
      <w:proofErr w:type="spellEnd"/>
      <w:r w:rsidRPr="005C764C">
        <w:rPr>
          <w:color w:val="000000" w:themeColor="text1"/>
        </w:rPr>
        <w:t xml:space="preserve"> M, James SK, Kim HS, Kimura T, </w:t>
      </w:r>
      <w:proofErr w:type="spellStart"/>
      <w:r w:rsidRPr="005C764C">
        <w:rPr>
          <w:color w:val="000000" w:themeColor="text1"/>
        </w:rPr>
        <w:t>Konishi</w:t>
      </w:r>
      <w:proofErr w:type="spellEnd"/>
      <w:r w:rsidRPr="005C764C">
        <w:rPr>
          <w:color w:val="000000" w:themeColor="text1"/>
        </w:rPr>
        <w:t xml:space="preserve"> A, </w:t>
      </w:r>
      <w:proofErr w:type="spellStart"/>
      <w:r w:rsidRPr="005C764C">
        <w:rPr>
          <w:color w:val="000000" w:themeColor="text1"/>
        </w:rPr>
        <w:t>Laschinger</w:t>
      </w:r>
      <w:proofErr w:type="spellEnd"/>
      <w:r w:rsidRPr="005C764C">
        <w:rPr>
          <w:color w:val="000000" w:themeColor="text1"/>
        </w:rPr>
        <w:t xml:space="preserve"> J, Leon MB, Magee PFA, </w:t>
      </w:r>
      <w:proofErr w:type="spellStart"/>
      <w:r w:rsidRPr="005C764C">
        <w:rPr>
          <w:color w:val="000000" w:themeColor="text1"/>
        </w:rPr>
        <w:t>Mitsutake</w:t>
      </w:r>
      <w:proofErr w:type="spellEnd"/>
      <w:r w:rsidRPr="005C764C">
        <w:rPr>
          <w:color w:val="000000" w:themeColor="text1"/>
        </w:rPr>
        <w:t xml:space="preserve"> Y, </w:t>
      </w:r>
      <w:proofErr w:type="spellStart"/>
      <w:r w:rsidRPr="005C764C">
        <w:rPr>
          <w:color w:val="000000" w:themeColor="text1"/>
        </w:rPr>
        <w:t>Mylotte</w:t>
      </w:r>
      <w:proofErr w:type="spellEnd"/>
      <w:r w:rsidRPr="005C764C">
        <w:rPr>
          <w:color w:val="000000" w:themeColor="text1"/>
        </w:rPr>
        <w:t xml:space="preserve"> D, Pocock S, Price MJ, Rao SV, Spitzer E, Stockbridge N, </w:t>
      </w:r>
      <w:proofErr w:type="spellStart"/>
      <w:r w:rsidRPr="005C764C">
        <w:rPr>
          <w:color w:val="000000" w:themeColor="text1"/>
        </w:rPr>
        <w:t>Valgimigli</w:t>
      </w:r>
      <w:proofErr w:type="spellEnd"/>
      <w:r w:rsidRPr="005C764C">
        <w:rPr>
          <w:color w:val="000000" w:themeColor="text1"/>
        </w:rPr>
        <w:t xml:space="preserve"> M, </w:t>
      </w:r>
      <w:proofErr w:type="spellStart"/>
      <w:r w:rsidRPr="005C764C">
        <w:rPr>
          <w:color w:val="000000" w:themeColor="text1"/>
        </w:rPr>
        <w:t>Varenne</w:t>
      </w:r>
      <w:proofErr w:type="spellEnd"/>
      <w:r w:rsidRPr="005C764C">
        <w:rPr>
          <w:color w:val="000000" w:themeColor="text1"/>
        </w:rPr>
        <w:t xml:space="preserve"> O, </w:t>
      </w:r>
      <w:proofErr w:type="spellStart"/>
      <w:r w:rsidRPr="005C764C">
        <w:rPr>
          <w:color w:val="000000" w:themeColor="text1"/>
        </w:rPr>
        <w:t>Windhoevel</w:t>
      </w:r>
      <w:proofErr w:type="spellEnd"/>
      <w:r w:rsidRPr="005C764C">
        <w:rPr>
          <w:color w:val="000000" w:themeColor="text1"/>
        </w:rPr>
        <w:t xml:space="preserve"> U, Yeh RW, </w:t>
      </w:r>
      <w:proofErr w:type="spellStart"/>
      <w:r w:rsidRPr="005C764C">
        <w:rPr>
          <w:color w:val="000000" w:themeColor="text1"/>
        </w:rPr>
        <w:t>Krucoff</w:t>
      </w:r>
      <w:proofErr w:type="spellEnd"/>
      <w:r w:rsidRPr="005C764C">
        <w:rPr>
          <w:color w:val="000000" w:themeColor="text1"/>
        </w:rPr>
        <w:t xml:space="preserve"> MW, </w:t>
      </w:r>
      <w:proofErr w:type="spellStart"/>
      <w:r w:rsidRPr="005C764C">
        <w:rPr>
          <w:color w:val="000000" w:themeColor="text1"/>
        </w:rPr>
        <w:t>Morice</w:t>
      </w:r>
      <w:proofErr w:type="spellEnd"/>
      <w:r w:rsidRPr="005C764C">
        <w:rPr>
          <w:color w:val="000000" w:themeColor="text1"/>
        </w:rPr>
        <w:t xml:space="preserve"> MC</w:t>
      </w:r>
      <w:r>
        <w:rPr>
          <w:color w:val="000000" w:themeColor="text1"/>
        </w:rPr>
        <w:t>.</w:t>
      </w:r>
      <w:r w:rsidRPr="005C764C">
        <w:rPr>
          <w:color w:val="000000" w:themeColor="text1"/>
        </w:rPr>
        <w:t xml:space="preserve"> Defining High Bleeding Risk in Patients Undergoing Percutaneous Coronary Intervention</w:t>
      </w:r>
      <w:r>
        <w:rPr>
          <w:color w:val="000000" w:themeColor="text1"/>
        </w:rPr>
        <w:t>:</w:t>
      </w:r>
      <w:r w:rsidRPr="005C764C">
        <w:rPr>
          <w:color w:val="000000" w:themeColor="text1"/>
        </w:rPr>
        <w:t xml:space="preserve"> A Consensus Document From the Academic Research Consortium for High Bleeding Risk. Circulation </w:t>
      </w:r>
      <w:proofErr w:type="gramStart"/>
      <w:r w:rsidRPr="005C764C">
        <w:rPr>
          <w:color w:val="000000" w:themeColor="text1"/>
        </w:rPr>
        <w:t>2019;140:240</w:t>
      </w:r>
      <w:proofErr w:type="gramEnd"/>
      <w:r w:rsidRPr="005C764C">
        <w:rPr>
          <w:color w:val="000000" w:themeColor="text1"/>
        </w:rPr>
        <w:t>–261.</w:t>
      </w:r>
    </w:p>
    <w:p w14:paraId="364C18DA" w14:textId="77777777" w:rsidR="0037226D" w:rsidRPr="00FA6622" w:rsidRDefault="0037226D" w:rsidP="0037226D">
      <w:pPr>
        <w:pStyle w:val="ListParagraph"/>
        <w:rPr>
          <w:color w:val="000000" w:themeColor="text1"/>
        </w:rPr>
      </w:pPr>
    </w:p>
    <w:p w14:paraId="206243C8" w14:textId="77777777" w:rsidR="0037226D" w:rsidRDefault="0037226D" w:rsidP="0037226D">
      <w:pPr>
        <w:pStyle w:val="ListParagraph"/>
        <w:spacing w:after="0" w:line="480" w:lineRule="auto"/>
        <w:rPr>
          <w:color w:val="000000" w:themeColor="text1"/>
        </w:rPr>
      </w:pPr>
    </w:p>
    <w:p w14:paraId="74CF084D" w14:textId="77777777" w:rsidR="0037226D" w:rsidRPr="00FA6622" w:rsidRDefault="0037226D" w:rsidP="0037226D">
      <w:pPr>
        <w:numPr>
          <w:ilvl w:val="0"/>
          <w:numId w:val="17"/>
        </w:numPr>
        <w:spacing w:after="0" w:line="480" w:lineRule="auto"/>
        <w:contextualSpacing/>
        <w:rPr>
          <w:rFonts w:cstheme="minorHAnsi"/>
        </w:rPr>
      </w:pPr>
      <w:r w:rsidRPr="004220B9">
        <w:rPr>
          <w:rFonts w:cstheme="minorHAnsi"/>
        </w:rPr>
        <w:t>Rodriguez F and Harrington RA</w:t>
      </w:r>
      <w:r>
        <w:rPr>
          <w:rFonts w:cstheme="minorHAnsi"/>
        </w:rPr>
        <w:t>.</w:t>
      </w:r>
      <w:r w:rsidRPr="004220B9">
        <w:rPr>
          <w:rFonts w:cstheme="minorHAnsi"/>
        </w:rPr>
        <w:t xml:space="preserve"> </w:t>
      </w:r>
      <w:r w:rsidRPr="00855742">
        <w:rPr>
          <w:rFonts w:cstheme="minorHAnsi"/>
        </w:rPr>
        <w:t>Management of Antithrombotic Therapy after Acute Coronary Syndromes</w:t>
      </w:r>
      <w:r w:rsidRPr="004220B9">
        <w:rPr>
          <w:rFonts w:cstheme="minorHAnsi"/>
        </w:rPr>
        <w:t xml:space="preserve">. </w:t>
      </w:r>
      <w:r w:rsidRPr="004220B9">
        <w:rPr>
          <w:rFonts w:cstheme="minorHAnsi"/>
          <w:i/>
          <w:iCs/>
          <w:shd w:val="clear" w:color="auto" w:fill="FFFFFF"/>
        </w:rPr>
        <w:t xml:space="preserve">N </w:t>
      </w:r>
      <w:proofErr w:type="spellStart"/>
      <w:r w:rsidRPr="004220B9">
        <w:rPr>
          <w:rFonts w:cstheme="minorHAnsi"/>
          <w:i/>
          <w:iCs/>
          <w:shd w:val="clear" w:color="auto" w:fill="FFFFFF"/>
        </w:rPr>
        <w:t>Engl</w:t>
      </w:r>
      <w:proofErr w:type="spellEnd"/>
      <w:r w:rsidRPr="004220B9">
        <w:rPr>
          <w:rFonts w:cstheme="minorHAnsi"/>
          <w:i/>
          <w:iCs/>
          <w:shd w:val="clear" w:color="auto" w:fill="FFFFFF"/>
        </w:rPr>
        <w:t xml:space="preserve"> J Med</w:t>
      </w:r>
      <w:r w:rsidRPr="004220B9">
        <w:rPr>
          <w:rFonts w:cstheme="minorHAnsi"/>
          <w:shd w:val="clear" w:color="auto" w:fill="FFFFFF"/>
        </w:rPr>
        <w:t xml:space="preserve"> </w:t>
      </w:r>
      <w:proofErr w:type="gramStart"/>
      <w:r w:rsidRPr="004220B9">
        <w:rPr>
          <w:rFonts w:cstheme="minorHAnsi"/>
          <w:shd w:val="clear" w:color="auto" w:fill="FFFFFF"/>
        </w:rPr>
        <w:t>2021;384:452</w:t>
      </w:r>
      <w:proofErr w:type="gramEnd"/>
      <w:r w:rsidRPr="004220B9">
        <w:rPr>
          <w:rFonts w:cstheme="minorHAnsi"/>
          <w:shd w:val="clear" w:color="auto" w:fill="FFFFFF"/>
        </w:rPr>
        <w:t>-460</w:t>
      </w:r>
      <w:r>
        <w:rPr>
          <w:rFonts w:cstheme="minorHAnsi"/>
          <w:shd w:val="clear" w:color="auto" w:fill="FFFFFF"/>
        </w:rPr>
        <w:t>.</w:t>
      </w:r>
    </w:p>
    <w:p w14:paraId="457E581A" w14:textId="77777777" w:rsidR="0037226D" w:rsidRPr="008F0F95" w:rsidRDefault="0037226D" w:rsidP="0037226D">
      <w:pPr>
        <w:spacing w:after="0" w:line="480" w:lineRule="auto"/>
        <w:ind w:left="720"/>
        <w:contextualSpacing/>
        <w:rPr>
          <w:rFonts w:cstheme="minorHAnsi"/>
        </w:rPr>
      </w:pPr>
    </w:p>
    <w:p w14:paraId="1B06A71A" w14:textId="77777777" w:rsidR="0037226D" w:rsidRPr="00DB603D" w:rsidRDefault="0037226D" w:rsidP="0037226D">
      <w:pPr>
        <w:pStyle w:val="ListParagraph"/>
        <w:numPr>
          <w:ilvl w:val="0"/>
          <w:numId w:val="17"/>
        </w:numPr>
        <w:spacing w:after="0" w:line="480" w:lineRule="auto"/>
      </w:pPr>
      <w:r w:rsidRPr="00233573">
        <w:t>CAPRIE Steering Committee</w:t>
      </w:r>
      <w:r>
        <w:t>.</w:t>
      </w:r>
      <w:r w:rsidRPr="00233573">
        <w:t xml:space="preserve"> A randomised, blinded, trial of clopidogrel versus aspirin in patients at risk of ischaemic events (CAPRIE</w:t>
      </w:r>
      <w:r>
        <w:t>)</w:t>
      </w:r>
      <w:r w:rsidRPr="00233573">
        <w:t xml:space="preserve">. </w:t>
      </w:r>
      <w:r w:rsidRPr="00740E98">
        <w:rPr>
          <w:i/>
          <w:iCs/>
        </w:rPr>
        <w:t>Lancet</w:t>
      </w:r>
      <w:r w:rsidRPr="00233573">
        <w:t xml:space="preserve"> 1996;348(9038):1329-1339</w:t>
      </w:r>
      <w:r>
        <w:t>.</w:t>
      </w:r>
    </w:p>
    <w:p w14:paraId="69455920" w14:textId="77777777" w:rsidR="0037226D" w:rsidRDefault="0037226D" w:rsidP="0037226D"/>
    <w:p w14:paraId="3C017AF3" w14:textId="7AEDB059" w:rsidR="00B67CC5" w:rsidRPr="00DB603D" w:rsidRDefault="00B67CC5" w:rsidP="0037226D">
      <w:pPr>
        <w:spacing w:after="0" w:line="480" w:lineRule="auto"/>
      </w:pPr>
    </w:p>
    <w:sectPr w:rsidR="00B67CC5" w:rsidRPr="00DB603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947FE" w14:textId="77777777" w:rsidR="00E12C75" w:rsidRDefault="00E12C75" w:rsidP="00BE363F">
      <w:pPr>
        <w:spacing w:after="0" w:line="240" w:lineRule="auto"/>
      </w:pPr>
      <w:r>
        <w:separator/>
      </w:r>
    </w:p>
  </w:endnote>
  <w:endnote w:type="continuationSeparator" w:id="0">
    <w:p w14:paraId="7D24552A" w14:textId="77777777" w:rsidR="00E12C75" w:rsidRDefault="00E12C75" w:rsidP="00BE363F">
      <w:pPr>
        <w:spacing w:after="0" w:line="240" w:lineRule="auto"/>
      </w:pPr>
      <w:r>
        <w:continuationSeparator/>
      </w:r>
    </w:p>
  </w:endnote>
  <w:endnote w:type="continuationNotice" w:id="1">
    <w:p w14:paraId="4F81860E" w14:textId="77777777" w:rsidR="00E12C75" w:rsidRDefault="00E12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N_web_use_only">
    <w:altName w:val="MS Mincho"/>
    <w:panose1 w:val="020B0604020202020204"/>
    <w:charset w:val="80"/>
    <w:family w:val="auto"/>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AdvOTb7819099">
    <w:altName w:val="Calibri"/>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637020"/>
      <w:docPartObj>
        <w:docPartGallery w:val="Page Numbers (Bottom of Page)"/>
        <w:docPartUnique/>
      </w:docPartObj>
    </w:sdtPr>
    <w:sdtEndPr>
      <w:rPr>
        <w:noProof/>
      </w:rPr>
    </w:sdtEndPr>
    <w:sdtContent>
      <w:p w14:paraId="378ECDFE" w14:textId="0AAD223F" w:rsidR="00B67081" w:rsidRDefault="00B67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02B23" w14:textId="77777777" w:rsidR="00B67081" w:rsidRDefault="00B6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8EB9" w14:textId="77777777" w:rsidR="00E12C75" w:rsidRDefault="00E12C75" w:rsidP="00BE363F">
      <w:pPr>
        <w:spacing w:after="0" w:line="240" w:lineRule="auto"/>
      </w:pPr>
      <w:r>
        <w:separator/>
      </w:r>
    </w:p>
  </w:footnote>
  <w:footnote w:type="continuationSeparator" w:id="0">
    <w:p w14:paraId="2BAB1A5E" w14:textId="77777777" w:rsidR="00E12C75" w:rsidRDefault="00E12C75" w:rsidP="00BE363F">
      <w:pPr>
        <w:spacing w:after="0" w:line="240" w:lineRule="auto"/>
      </w:pPr>
      <w:r>
        <w:continuationSeparator/>
      </w:r>
    </w:p>
  </w:footnote>
  <w:footnote w:type="continuationNotice" w:id="1">
    <w:p w14:paraId="73CB666B" w14:textId="77777777" w:rsidR="00E12C75" w:rsidRDefault="00E12C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9D3"/>
    <w:multiLevelType w:val="hybridMultilevel"/>
    <w:tmpl w:val="298E8FB6"/>
    <w:lvl w:ilvl="0" w:tplc="FD8CA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0437"/>
    <w:multiLevelType w:val="multilevel"/>
    <w:tmpl w:val="B24C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36D61"/>
    <w:multiLevelType w:val="hybridMultilevel"/>
    <w:tmpl w:val="BF0E1A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11EA7"/>
    <w:multiLevelType w:val="hybridMultilevel"/>
    <w:tmpl w:val="AEA0A418"/>
    <w:lvl w:ilvl="0" w:tplc="4212332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63230"/>
    <w:multiLevelType w:val="hybridMultilevel"/>
    <w:tmpl w:val="A642B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47F9"/>
    <w:multiLevelType w:val="hybridMultilevel"/>
    <w:tmpl w:val="B54831B4"/>
    <w:lvl w:ilvl="0" w:tplc="67F81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41D7"/>
    <w:multiLevelType w:val="hybridMultilevel"/>
    <w:tmpl w:val="AFACCA70"/>
    <w:lvl w:ilvl="0" w:tplc="E38E42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41624"/>
    <w:multiLevelType w:val="multilevel"/>
    <w:tmpl w:val="2D1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F19BB"/>
    <w:multiLevelType w:val="hybridMultilevel"/>
    <w:tmpl w:val="964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A2C8A"/>
    <w:multiLevelType w:val="hybridMultilevel"/>
    <w:tmpl w:val="29609666"/>
    <w:lvl w:ilvl="0" w:tplc="4DF8B5E8">
      <w:start w:val="1"/>
      <w:numFmt w:val="lowerRoman"/>
      <w:lvlText w:val="%1)"/>
      <w:lvlJc w:val="left"/>
      <w:pPr>
        <w:ind w:left="1080" w:hanging="72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347C1"/>
    <w:multiLevelType w:val="hybridMultilevel"/>
    <w:tmpl w:val="04048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42440"/>
    <w:multiLevelType w:val="hybridMultilevel"/>
    <w:tmpl w:val="3A368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2340D"/>
    <w:multiLevelType w:val="hybridMultilevel"/>
    <w:tmpl w:val="03B46328"/>
    <w:lvl w:ilvl="0" w:tplc="67F81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D50B1"/>
    <w:multiLevelType w:val="hybridMultilevel"/>
    <w:tmpl w:val="C05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C5FB6"/>
    <w:multiLevelType w:val="hybridMultilevel"/>
    <w:tmpl w:val="429A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A3257"/>
    <w:multiLevelType w:val="multilevel"/>
    <w:tmpl w:val="D658A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51E52D7"/>
    <w:multiLevelType w:val="hybridMultilevel"/>
    <w:tmpl w:val="AC3A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5247C"/>
    <w:multiLevelType w:val="hybridMultilevel"/>
    <w:tmpl w:val="C0B0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9768F"/>
    <w:multiLevelType w:val="hybridMultilevel"/>
    <w:tmpl w:val="D29AE0AC"/>
    <w:lvl w:ilvl="0" w:tplc="67F81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5"/>
  </w:num>
  <w:num w:numId="6">
    <w:abstractNumId w:val="14"/>
  </w:num>
  <w:num w:numId="7">
    <w:abstractNumId w:val="13"/>
  </w:num>
  <w:num w:numId="8">
    <w:abstractNumId w:val="15"/>
  </w:num>
  <w:num w:numId="9">
    <w:abstractNumId w:val="0"/>
  </w:num>
  <w:num w:numId="10">
    <w:abstractNumId w:val="2"/>
  </w:num>
  <w:num w:numId="11">
    <w:abstractNumId w:val="7"/>
  </w:num>
  <w:num w:numId="12">
    <w:abstractNumId w:val="4"/>
  </w:num>
  <w:num w:numId="13">
    <w:abstractNumId w:val="10"/>
  </w:num>
  <w:num w:numId="14">
    <w:abstractNumId w:val="18"/>
  </w:num>
  <w:num w:numId="15">
    <w:abstractNumId w:val="16"/>
  </w:num>
  <w:num w:numId="16">
    <w:abstractNumId w:val="17"/>
  </w:num>
  <w:num w:numId="17">
    <w:abstractNumId w:val="1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2D"/>
    <w:rsid w:val="00000EE9"/>
    <w:rsid w:val="00002C60"/>
    <w:rsid w:val="00003B46"/>
    <w:rsid w:val="000046EA"/>
    <w:rsid w:val="00005D77"/>
    <w:rsid w:val="000069AF"/>
    <w:rsid w:val="00006F8B"/>
    <w:rsid w:val="00007C06"/>
    <w:rsid w:val="00010F0B"/>
    <w:rsid w:val="00011B92"/>
    <w:rsid w:val="000124D2"/>
    <w:rsid w:val="000146E8"/>
    <w:rsid w:val="00014904"/>
    <w:rsid w:val="00014F42"/>
    <w:rsid w:val="00015A8A"/>
    <w:rsid w:val="00016587"/>
    <w:rsid w:val="00017412"/>
    <w:rsid w:val="00017531"/>
    <w:rsid w:val="00017E0A"/>
    <w:rsid w:val="00021353"/>
    <w:rsid w:val="00021D44"/>
    <w:rsid w:val="00022A83"/>
    <w:rsid w:val="00023189"/>
    <w:rsid w:val="00023332"/>
    <w:rsid w:val="000243E5"/>
    <w:rsid w:val="000247A4"/>
    <w:rsid w:val="00024B8A"/>
    <w:rsid w:val="00024F89"/>
    <w:rsid w:val="00025613"/>
    <w:rsid w:val="00026567"/>
    <w:rsid w:val="000270AB"/>
    <w:rsid w:val="00027469"/>
    <w:rsid w:val="000279FC"/>
    <w:rsid w:val="00027E15"/>
    <w:rsid w:val="000301F9"/>
    <w:rsid w:val="0003092F"/>
    <w:rsid w:val="000316B6"/>
    <w:rsid w:val="0003254E"/>
    <w:rsid w:val="00033F28"/>
    <w:rsid w:val="0003470C"/>
    <w:rsid w:val="0004082E"/>
    <w:rsid w:val="00040BDD"/>
    <w:rsid w:val="00040D9F"/>
    <w:rsid w:val="00041947"/>
    <w:rsid w:val="00041B48"/>
    <w:rsid w:val="000439F9"/>
    <w:rsid w:val="00043C60"/>
    <w:rsid w:val="00045128"/>
    <w:rsid w:val="00045A29"/>
    <w:rsid w:val="00047D91"/>
    <w:rsid w:val="0005213A"/>
    <w:rsid w:val="0005299D"/>
    <w:rsid w:val="00052C67"/>
    <w:rsid w:val="00055466"/>
    <w:rsid w:val="000565AA"/>
    <w:rsid w:val="00056B0C"/>
    <w:rsid w:val="00056BFA"/>
    <w:rsid w:val="00057364"/>
    <w:rsid w:val="000615A3"/>
    <w:rsid w:val="00061A07"/>
    <w:rsid w:val="00062CF7"/>
    <w:rsid w:val="00063547"/>
    <w:rsid w:val="00066E5F"/>
    <w:rsid w:val="000679DF"/>
    <w:rsid w:val="000700C7"/>
    <w:rsid w:val="00072944"/>
    <w:rsid w:val="0007344C"/>
    <w:rsid w:val="00073FE7"/>
    <w:rsid w:val="00075C33"/>
    <w:rsid w:val="000765E2"/>
    <w:rsid w:val="00076ECB"/>
    <w:rsid w:val="0007721D"/>
    <w:rsid w:val="000773B8"/>
    <w:rsid w:val="0007754F"/>
    <w:rsid w:val="00077AB3"/>
    <w:rsid w:val="00077CF3"/>
    <w:rsid w:val="00080B40"/>
    <w:rsid w:val="00084A24"/>
    <w:rsid w:val="000867BB"/>
    <w:rsid w:val="000878C9"/>
    <w:rsid w:val="00087962"/>
    <w:rsid w:val="00087C90"/>
    <w:rsid w:val="00087D20"/>
    <w:rsid w:val="00091550"/>
    <w:rsid w:val="000918AE"/>
    <w:rsid w:val="00091DF9"/>
    <w:rsid w:val="00091ECD"/>
    <w:rsid w:val="00092EA8"/>
    <w:rsid w:val="00092ECF"/>
    <w:rsid w:val="00093F77"/>
    <w:rsid w:val="00094100"/>
    <w:rsid w:val="00094233"/>
    <w:rsid w:val="00094FDB"/>
    <w:rsid w:val="0009592E"/>
    <w:rsid w:val="00095B1A"/>
    <w:rsid w:val="0009615A"/>
    <w:rsid w:val="000A07C8"/>
    <w:rsid w:val="000A0AE0"/>
    <w:rsid w:val="000A1700"/>
    <w:rsid w:val="000A1B0D"/>
    <w:rsid w:val="000A20A9"/>
    <w:rsid w:val="000A229B"/>
    <w:rsid w:val="000A67B6"/>
    <w:rsid w:val="000A722D"/>
    <w:rsid w:val="000B15B9"/>
    <w:rsid w:val="000B22E9"/>
    <w:rsid w:val="000B26B2"/>
    <w:rsid w:val="000B36D0"/>
    <w:rsid w:val="000B482E"/>
    <w:rsid w:val="000B57B1"/>
    <w:rsid w:val="000B5C52"/>
    <w:rsid w:val="000B6299"/>
    <w:rsid w:val="000B6BB0"/>
    <w:rsid w:val="000C23A2"/>
    <w:rsid w:val="000C3465"/>
    <w:rsid w:val="000C3681"/>
    <w:rsid w:val="000C3858"/>
    <w:rsid w:val="000C3DB8"/>
    <w:rsid w:val="000C4293"/>
    <w:rsid w:val="000C4830"/>
    <w:rsid w:val="000C493F"/>
    <w:rsid w:val="000C5A81"/>
    <w:rsid w:val="000C5FE2"/>
    <w:rsid w:val="000C6949"/>
    <w:rsid w:val="000C6D6B"/>
    <w:rsid w:val="000C6F75"/>
    <w:rsid w:val="000C71EF"/>
    <w:rsid w:val="000C7BBB"/>
    <w:rsid w:val="000D1FBD"/>
    <w:rsid w:val="000D2E81"/>
    <w:rsid w:val="000D3FA1"/>
    <w:rsid w:val="000D4F26"/>
    <w:rsid w:val="000E0CF6"/>
    <w:rsid w:val="000E0E0B"/>
    <w:rsid w:val="000E1160"/>
    <w:rsid w:val="000E30C8"/>
    <w:rsid w:val="000E50C8"/>
    <w:rsid w:val="000E5E3E"/>
    <w:rsid w:val="000E616F"/>
    <w:rsid w:val="000E6C69"/>
    <w:rsid w:val="000F124D"/>
    <w:rsid w:val="000F2B00"/>
    <w:rsid w:val="000F42C2"/>
    <w:rsid w:val="000F45AB"/>
    <w:rsid w:val="000F52E4"/>
    <w:rsid w:val="000F5AC0"/>
    <w:rsid w:val="000F715A"/>
    <w:rsid w:val="000F79EB"/>
    <w:rsid w:val="000F7E71"/>
    <w:rsid w:val="00101438"/>
    <w:rsid w:val="0010168F"/>
    <w:rsid w:val="00103AE2"/>
    <w:rsid w:val="00103C0F"/>
    <w:rsid w:val="00103E98"/>
    <w:rsid w:val="00104B0F"/>
    <w:rsid w:val="0010612A"/>
    <w:rsid w:val="0010661B"/>
    <w:rsid w:val="00110558"/>
    <w:rsid w:val="00110646"/>
    <w:rsid w:val="0011282E"/>
    <w:rsid w:val="001129A3"/>
    <w:rsid w:val="00112E68"/>
    <w:rsid w:val="00113325"/>
    <w:rsid w:val="001147B4"/>
    <w:rsid w:val="001157A2"/>
    <w:rsid w:val="001164DB"/>
    <w:rsid w:val="001169EC"/>
    <w:rsid w:val="00116E86"/>
    <w:rsid w:val="00117713"/>
    <w:rsid w:val="00117849"/>
    <w:rsid w:val="0012218A"/>
    <w:rsid w:val="00124083"/>
    <w:rsid w:val="001258F5"/>
    <w:rsid w:val="001269A6"/>
    <w:rsid w:val="00127825"/>
    <w:rsid w:val="00130F62"/>
    <w:rsid w:val="00133403"/>
    <w:rsid w:val="0013473D"/>
    <w:rsid w:val="00134BE7"/>
    <w:rsid w:val="00135183"/>
    <w:rsid w:val="00136756"/>
    <w:rsid w:val="00137756"/>
    <w:rsid w:val="00137B61"/>
    <w:rsid w:val="00140226"/>
    <w:rsid w:val="00140720"/>
    <w:rsid w:val="00141BF9"/>
    <w:rsid w:val="0014223D"/>
    <w:rsid w:val="0014314E"/>
    <w:rsid w:val="0014415E"/>
    <w:rsid w:val="001451F7"/>
    <w:rsid w:val="001462D6"/>
    <w:rsid w:val="001511FD"/>
    <w:rsid w:val="00153E6E"/>
    <w:rsid w:val="001546AB"/>
    <w:rsid w:val="00154ECE"/>
    <w:rsid w:val="00156BCB"/>
    <w:rsid w:val="00157143"/>
    <w:rsid w:val="0016089F"/>
    <w:rsid w:val="00162F16"/>
    <w:rsid w:val="00164FF1"/>
    <w:rsid w:val="001653A9"/>
    <w:rsid w:val="00165E00"/>
    <w:rsid w:val="00166748"/>
    <w:rsid w:val="00167614"/>
    <w:rsid w:val="00167CE5"/>
    <w:rsid w:val="00170398"/>
    <w:rsid w:val="00172B9A"/>
    <w:rsid w:val="00172D64"/>
    <w:rsid w:val="00174603"/>
    <w:rsid w:val="00174755"/>
    <w:rsid w:val="00174F3C"/>
    <w:rsid w:val="001754C4"/>
    <w:rsid w:val="00176235"/>
    <w:rsid w:val="00176429"/>
    <w:rsid w:val="00176AB5"/>
    <w:rsid w:val="00176EEB"/>
    <w:rsid w:val="001770C3"/>
    <w:rsid w:val="00180A02"/>
    <w:rsid w:val="001814C2"/>
    <w:rsid w:val="00181F72"/>
    <w:rsid w:val="00183A1F"/>
    <w:rsid w:val="00183AA2"/>
    <w:rsid w:val="001841EA"/>
    <w:rsid w:val="0018535D"/>
    <w:rsid w:val="001859D0"/>
    <w:rsid w:val="001860D0"/>
    <w:rsid w:val="0018713D"/>
    <w:rsid w:val="00190297"/>
    <w:rsid w:val="00190D6D"/>
    <w:rsid w:val="00190FF1"/>
    <w:rsid w:val="00191CAC"/>
    <w:rsid w:val="001925A9"/>
    <w:rsid w:val="00192769"/>
    <w:rsid w:val="00192C18"/>
    <w:rsid w:val="00192CC1"/>
    <w:rsid w:val="001934D5"/>
    <w:rsid w:val="00193548"/>
    <w:rsid w:val="0019437C"/>
    <w:rsid w:val="001A0922"/>
    <w:rsid w:val="001A0E99"/>
    <w:rsid w:val="001A17C3"/>
    <w:rsid w:val="001A17EC"/>
    <w:rsid w:val="001A4BE7"/>
    <w:rsid w:val="001A4D05"/>
    <w:rsid w:val="001A5B7B"/>
    <w:rsid w:val="001A5EE1"/>
    <w:rsid w:val="001A6588"/>
    <w:rsid w:val="001B03A1"/>
    <w:rsid w:val="001B1EF3"/>
    <w:rsid w:val="001B29B7"/>
    <w:rsid w:val="001B6C0E"/>
    <w:rsid w:val="001B6CCE"/>
    <w:rsid w:val="001B75CE"/>
    <w:rsid w:val="001C2433"/>
    <w:rsid w:val="001C25C0"/>
    <w:rsid w:val="001C3876"/>
    <w:rsid w:val="001C4B00"/>
    <w:rsid w:val="001C619E"/>
    <w:rsid w:val="001C7B21"/>
    <w:rsid w:val="001D1C81"/>
    <w:rsid w:val="001D1EB3"/>
    <w:rsid w:val="001D2C23"/>
    <w:rsid w:val="001D2DC9"/>
    <w:rsid w:val="001D38C0"/>
    <w:rsid w:val="001D5178"/>
    <w:rsid w:val="001D60DA"/>
    <w:rsid w:val="001D6529"/>
    <w:rsid w:val="001E3B3E"/>
    <w:rsid w:val="001E42EF"/>
    <w:rsid w:val="001E65EA"/>
    <w:rsid w:val="001E7A57"/>
    <w:rsid w:val="001F10A7"/>
    <w:rsid w:val="001F1307"/>
    <w:rsid w:val="001F138F"/>
    <w:rsid w:val="001F41F2"/>
    <w:rsid w:val="001F518C"/>
    <w:rsid w:val="001F5F83"/>
    <w:rsid w:val="001F6041"/>
    <w:rsid w:val="00202704"/>
    <w:rsid w:val="00204830"/>
    <w:rsid w:val="00204CD7"/>
    <w:rsid w:val="00205170"/>
    <w:rsid w:val="00205274"/>
    <w:rsid w:val="002069D4"/>
    <w:rsid w:val="00206DB7"/>
    <w:rsid w:val="0020747F"/>
    <w:rsid w:val="00207500"/>
    <w:rsid w:val="00207A56"/>
    <w:rsid w:val="00210382"/>
    <w:rsid w:val="002105FF"/>
    <w:rsid w:val="00210B1D"/>
    <w:rsid w:val="00212B97"/>
    <w:rsid w:val="002140F2"/>
    <w:rsid w:val="00214605"/>
    <w:rsid w:val="00214E75"/>
    <w:rsid w:val="00215708"/>
    <w:rsid w:val="002168A6"/>
    <w:rsid w:val="00216B01"/>
    <w:rsid w:val="002179B6"/>
    <w:rsid w:val="00217D21"/>
    <w:rsid w:val="00220870"/>
    <w:rsid w:val="00221560"/>
    <w:rsid w:val="0022165C"/>
    <w:rsid w:val="002219A2"/>
    <w:rsid w:val="0022278A"/>
    <w:rsid w:val="00222842"/>
    <w:rsid w:val="00222DBA"/>
    <w:rsid w:val="00223A49"/>
    <w:rsid w:val="00223C53"/>
    <w:rsid w:val="00223D3E"/>
    <w:rsid w:val="00225406"/>
    <w:rsid w:val="00225985"/>
    <w:rsid w:val="0022687F"/>
    <w:rsid w:val="00226CEB"/>
    <w:rsid w:val="00226E15"/>
    <w:rsid w:val="0022707C"/>
    <w:rsid w:val="002271C9"/>
    <w:rsid w:val="002279CA"/>
    <w:rsid w:val="00227E21"/>
    <w:rsid w:val="0023044D"/>
    <w:rsid w:val="0023190C"/>
    <w:rsid w:val="00231BFB"/>
    <w:rsid w:val="00233020"/>
    <w:rsid w:val="00233F4C"/>
    <w:rsid w:val="00235533"/>
    <w:rsid w:val="00235DE6"/>
    <w:rsid w:val="002402FD"/>
    <w:rsid w:val="00240637"/>
    <w:rsid w:val="002409AC"/>
    <w:rsid w:val="002412FD"/>
    <w:rsid w:val="00241DBD"/>
    <w:rsid w:val="0024232B"/>
    <w:rsid w:val="00242875"/>
    <w:rsid w:val="00242C83"/>
    <w:rsid w:val="00242FA3"/>
    <w:rsid w:val="00243065"/>
    <w:rsid w:val="00243E67"/>
    <w:rsid w:val="00245170"/>
    <w:rsid w:val="00246CEF"/>
    <w:rsid w:val="00247738"/>
    <w:rsid w:val="00247DA3"/>
    <w:rsid w:val="002504E7"/>
    <w:rsid w:val="002507BE"/>
    <w:rsid w:val="00250C83"/>
    <w:rsid w:val="00252893"/>
    <w:rsid w:val="00252F10"/>
    <w:rsid w:val="00254045"/>
    <w:rsid w:val="0025554E"/>
    <w:rsid w:val="00256165"/>
    <w:rsid w:val="002567AC"/>
    <w:rsid w:val="002579CC"/>
    <w:rsid w:val="00257FEC"/>
    <w:rsid w:val="0026087F"/>
    <w:rsid w:val="00261CBE"/>
    <w:rsid w:val="00261D6D"/>
    <w:rsid w:val="002637DE"/>
    <w:rsid w:val="002641F4"/>
    <w:rsid w:val="002650D3"/>
    <w:rsid w:val="00266030"/>
    <w:rsid w:val="002661FC"/>
    <w:rsid w:val="0026650D"/>
    <w:rsid w:val="00266E16"/>
    <w:rsid w:val="0026718F"/>
    <w:rsid w:val="002707C7"/>
    <w:rsid w:val="002714E8"/>
    <w:rsid w:val="00271BF7"/>
    <w:rsid w:val="00271E4F"/>
    <w:rsid w:val="0027209C"/>
    <w:rsid w:val="00273B56"/>
    <w:rsid w:val="00273E0A"/>
    <w:rsid w:val="00274011"/>
    <w:rsid w:val="00274CE4"/>
    <w:rsid w:val="00274F81"/>
    <w:rsid w:val="002762E8"/>
    <w:rsid w:val="002772AC"/>
    <w:rsid w:val="00280711"/>
    <w:rsid w:val="002811C7"/>
    <w:rsid w:val="00282247"/>
    <w:rsid w:val="00282995"/>
    <w:rsid w:val="00282C9F"/>
    <w:rsid w:val="0028373A"/>
    <w:rsid w:val="00283A0F"/>
    <w:rsid w:val="00283E5D"/>
    <w:rsid w:val="002840D7"/>
    <w:rsid w:val="002842B0"/>
    <w:rsid w:val="002843DC"/>
    <w:rsid w:val="002857F0"/>
    <w:rsid w:val="00285F2B"/>
    <w:rsid w:val="002869F2"/>
    <w:rsid w:val="00286A73"/>
    <w:rsid w:val="00290265"/>
    <w:rsid w:val="00290951"/>
    <w:rsid w:val="00290A20"/>
    <w:rsid w:val="00290D4E"/>
    <w:rsid w:val="00292C22"/>
    <w:rsid w:val="00293204"/>
    <w:rsid w:val="00294588"/>
    <w:rsid w:val="00294A4C"/>
    <w:rsid w:val="00295030"/>
    <w:rsid w:val="0029781A"/>
    <w:rsid w:val="00297F3F"/>
    <w:rsid w:val="002A153C"/>
    <w:rsid w:val="002A1B15"/>
    <w:rsid w:val="002A1CC4"/>
    <w:rsid w:val="002A2315"/>
    <w:rsid w:val="002A5B8F"/>
    <w:rsid w:val="002A5F00"/>
    <w:rsid w:val="002B084D"/>
    <w:rsid w:val="002B0963"/>
    <w:rsid w:val="002B1480"/>
    <w:rsid w:val="002B1763"/>
    <w:rsid w:val="002B1C08"/>
    <w:rsid w:val="002B2352"/>
    <w:rsid w:val="002B3527"/>
    <w:rsid w:val="002B3B30"/>
    <w:rsid w:val="002B44BC"/>
    <w:rsid w:val="002B46BA"/>
    <w:rsid w:val="002B534C"/>
    <w:rsid w:val="002B56C6"/>
    <w:rsid w:val="002B5D23"/>
    <w:rsid w:val="002B660D"/>
    <w:rsid w:val="002B76D3"/>
    <w:rsid w:val="002B7A73"/>
    <w:rsid w:val="002B7CB3"/>
    <w:rsid w:val="002C09AB"/>
    <w:rsid w:val="002C2D20"/>
    <w:rsid w:val="002C3CD9"/>
    <w:rsid w:val="002C469E"/>
    <w:rsid w:val="002C4B60"/>
    <w:rsid w:val="002C50C1"/>
    <w:rsid w:val="002C51EC"/>
    <w:rsid w:val="002C58E9"/>
    <w:rsid w:val="002C599A"/>
    <w:rsid w:val="002D04B3"/>
    <w:rsid w:val="002D1455"/>
    <w:rsid w:val="002D14A2"/>
    <w:rsid w:val="002D2056"/>
    <w:rsid w:val="002D2E26"/>
    <w:rsid w:val="002D4B29"/>
    <w:rsid w:val="002D7E0A"/>
    <w:rsid w:val="002E029D"/>
    <w:rsid w:val="002E2F34"/>
    <w:rsid w:val="002E34B3"/>
    <w:rsid w:val="002E4E44"/>
    <w:rsid w:val="002E504F"/>
    <w:rsid w:val="002E520E"/>
    <w:rsid w:val="002E5D17"/>
    <w:rsid w:val="002E60E3"/>
    <w:rsid w:val="002E64BB"/>
    <w:rsid w:val="002F0678"/>
    <w:rsid w:val="002F0B34"/>
    <w:rsid w:val="002F0BA3"/>
    <w:rsid w:val="002F0BC6"/>
    <w:rsid w:val="002F0F8D"/>
    <w:rsid w:val="002F145E"/>
    <w:rsid w:val="002F17BF"/>
    <w:rsid w:val="002F1922"/>
    <w:rsid w:val="002F1AEC"/>
    <w:rsid w:val="002F2B7F"/>
    <w:rsid w:val="002F2EAE"/>
    <w:rsid w:val="002F3085"/>
    <w:rsid w:val="002F3B6B"/>
    <w:rsid w:val="002F49CA"/>
    <w:rsid w:val="002F50CB"/>
    <w:rsid w:val="002F780A"/>
    <w:rsid w:val="00301BB1"/>
    <w:rsid w:val="0030214C"/>
    <w:rsid w:val="00304E3B"/>
    <w:rsid w:val="00304F1B"/>
    <w:rsid w:val="00305E64"/>
    <w:rsid w:val="003063D1"/>
    <w:rsid w:val="00306623"/>
    <w:rsid w:val="00306DB6"/>
    <w:rsid w:val="0030770D"/>
    <w:rsid w:val="00307813"/>
    <w:rsid w:val="00310E44"/>
    <w:rsid w:val="00311822"/>
    <w:rsid w:val="0031269D"/>
    <w:rsid w:val="00313814"/>
    <w:rsid w:val="00314A15"/>
    <w:rsid w:val="00314AB3"/>
    <w:rsid w:val="00314FCF"/>
    <w:rsid w:val="0031542E"/>
    <w:rsid w:val="0031581E"/>
    <w:rsid w:val="00316725"/>
    <w:rsid w:val="00317495"/>
    <w:rsid w:val="00317D8A"/>
    <w:rsid w:val="003209EC"/>
    <w:rsid w:val="00320C7F"/>
    <w:rsid w:val="00322585"/>
    <w:rsid w:val="00323229"/>
    <w:rsid w:val="00323E50"/>
    <w:rsid w:val="00323F4C"/>
    <w:rsid w:val="00323FBD"/>
    <w:rsid w:val="00324671"/>
    <w:rsid w:val="0032496F"/>
    <w:rsid w:val="00325ADD"/>
    <w:rsid w:val="00325C2C"/>
    <w:rsid w:val="0032639C"/>
    <w:rsid w:val="00326441"/>
    <w:rsid w:val="00326C4F"/>
    <w:rsid w:val="003300EF"/>
    <w:rsid w:val="00331DA0"/>
    <w:rsid w:val="00332D45"/>
    <w:rsid w:val="0033518B"/>
    <w:rsid w:val="003357DF"/>
    <w:rsid w:val="00337772"/>
    <w:rsid w:val="00337A1A"/>
    <w:rsid w:val="00337E75"/>
    <w:rsid w:val="003402C3"/>
    <w:rsid w:val="0034085D"/>
    <w:rsid w:val="0034177D"/>
    <w:rsid w:val="00342215"/>
    <w:rsid w:val="0034313A"/>
    <w:rsid w:val="003432BD"/>
    <w:rsid w:val="00345BA9"/>
    <w:rsid w:val="0034613A"/>
    <w:rsid w:val="003505C6"/>
    <w:rsid w:val="00352F88"/>
    <w:rsid w:val="003546EE"/>
    <w:rsid w:val="00354F6B"/>
    <w:rsid w:val="00355237"/>
    <w:rsid w:val="00355960"/>
    <w:rsid w:val="00355F5C"/>
    <w:rsid w:val="00357495"/>
    <w:rsid w:val="003606E4"/>
    <w:rsid w:val="00360EAE"/>
    <w:rsid w:val="00362922"/>
    <w:rsid w:val="00362CB9"/>
    <w:rsid w:val="00363010"/>
    <w:rsid w:val="00365A15"/>
    <w:rsid w:val="00367145"/>
    <w:rsid w:val="00367D7E"/>
    <w:rsid w:val="003717B8"/>
    <w:rsid w:val="0037226D"/>
    <w:rsid w:val="00372347"/>
    <w:rsid w:val="003726AC"/>
    <w:rsid w:val="003727C9"/>
    <w:rsid w:val="0037366F"/>
    <w:rsid w:val="00374169"/>
    <w:rsid w:val="0037462C"/>
    <w:rsid w:val="003760C4"/>
    <w:rsid w:val="00377225"/>
    <w:rsid w:val="0037738B"/>
    <w:rsid w:val="00377481"/>
    <w:rsid w:val="00382158"/>
    <w:rsid w:val="00383028"/>
    <w:rsid w:val="00384239"/>
    <w:rsid w:val="00384ED5"/>
    <w:rsid w:val="00385ADB"/>
    <w:rsid w:val="00390C53"/>
    <w:rsid w:val="00391140"/>
    <w:rsid w:val="003911CD"/>
    <w:rsid w:val="003912AD"/>
    <w:rsid w:val="00391DA9"/>
    <w:rsid w:val="0039256A"/>
    <w:rsid w:val="0039277F"/>
    <w:rsid w:val="00393808"/>
    <w:rsid w:val="00393F19"/>
    <w:rsid w:val="00394138"/>
    <w:rsid w:val="00394AF3"/>
    <w:rsid w:val="00395907"/>
    <w:rsid w:val="00396F4E"/>
    <w:rsid w:val="0039716F"/>
    <w:rsid w:val="003A016E"/>
    <w:rsid w:val="003A0446"/>
    <w:rsid w:val="003A151C"/>
    <w:rsid w:val="003A1A8D"/>
    <w:rsid w:val="003A2BE2"/>
    <w:rsid w:val="003A457F"/>
    <w:rsid w:val="003A4AD3"/>
    <w:rsid w:val="003A5898"/>
    <w:rsid w:val="003A58AA"/>
    <w:rsid w:val="003A6F0E"/>
    <w:rsid w:val="003A7155"/>
    <w:rsid w:val="003B075A"/>
    <w:rsid w:val="003B086D"/>
    <w:rsid w:val="003B1100"/>
    <w:rsid w:val="003B4852"/>
    <w:rsid w:val="003B5EEE"/>
    <w:rsid w:val="003B6827"/>
    <w:rsid w:val="003B6F29"/>
    <w:rsid w:val="003B7C9F"/>
    <w:rsid w:val="003C07DA"/>
    <w:rsid w:val="003C0E9F"/>
    <w:rsid w:val="003C1163"/>
    <w:rsid w:val="003C1562"/>
    <w:rsid w:val="003C1563"/>
    <w:rsid w:val="003C1E03"/>
    <w:rsid w:val="003C2A1E"/>
    <w:rsid w:val="003C2E08"/>
    <w:rsid w:val="003C31B2"/>
    <w:rsid w:val="003C3DB2"/>
    <w:rsid w:val="003C4B7E"/>
    <w:rsid w:val="003C5245"/>
    <w:rsid w:val="003C724D"/>
    <w:rsid w:val="003D01D3"/>
    <w:rsid w:val="003D0467"/>
    <w:rsid w:val="003D1040"/>
    <w:rsid w:val="003D1AEE"/>
    <w:rsid w:val="003D21CF"/>
    <w:rsid w:val="003D34F5"/>
    <w:rsid w:val="003D5350"/>
    <w:rsid w:val="003D6050"/>
    <w:rsid w:val="003D6759"/>
    <w:rsid w:val="003D6BCB"/>
    <w:rsid w:val="003E1831"/>
    <w:rsid w:val="003E1901"/>
    <w:rsid w:val="003E31F1"/>
    <w:rsid w:val="003E6668"/>
    <w:rsid w:val="003E6881"/>
    <w:rsid w:val="003E6CC0"/>
    <w:rsid w:val="003E726F"/>
    <w:rsid w:val="003E72FC"/>
    <w:rsid w:val="003E757F"/>
    <w:rsid w:val="003E7A0F"/>
    <w:rsid w:val="003F096D"/>
    <w:rsid w:val="003F0A90"/>
    <w:rsid w:val="003F152F"/>
    <w:rsid w:val="003F2141"/>
    <w:rsid w:val="003F2A68"/>
    <w:rsid w:val="003F2AFF"/>
    <w:rsid w:val="003F4A9C"/>
    <w:rsid w:val="003F5B8A"/>
    <w:rsid w:val="003F6F7D"/>
    <w:rsid w:val="003F76FE"/>
    <w:rsid w:val="004011E7"/>
    <w:rsid w:val="0040221C"/>
    <w:rsid w:val="004022AA"/>
    <w:rsid w:val="00403752"/>
    <w:rsid w:val="004057B9"/>
    <w:rsid w:val="0040650F"/>
    <w:rsid w:val="004124F2"/>
    <w:rsid w:val="00413EAF"/>
    <w:rsid w:val="00416F18"/>
    <w:rsid w:val="0041735C"/>
    <w:rsid w:val="00417630"/>
    <w:rsid w:val="00421193"/>
    <w:rsid w:val="004224CA"/>
    <w:rsid w:val="00422DC7"/>
    <w:rsid w:val="00423C7F"/>
    <w:rsid w:val="00424D24"/>
    <w:rsid w:val="00424E5F"/>
    <w:rsid w:val="00424F9C"/>
    <w:rsid w:val="004250A3"/>
    <w:rsid w:val="0042545D"/>
    <w:rsid w:val="004274D0"/>
    <w:rsid w:val="00432468"/>
    <w:rsid w:val="004325E3"/>
    <w:rsid w:val="00432FFA"/>
    <w:rsid w:val="004349BD"/>
    <w:rsid w:val="004350AA"/>
    <w:rsid w:val="0043620E"/>
    <w:rsid w:val="00436887"/>
    <w:rsid w:val="00436A9E"/>
    <w:rsid w:val="00436B73"/>
    <w:rsid w:val="00440262"/>
    <w:rsid w:val="00440909"/>
    <w:rsid w:val="00440A78"/>
    <w:rsid w:val="00440DDE"/>
    <w:rsid w:val="004431B4"/>
    <w:rsid w:val="00444F34"/>
    <w:rsid w:val="004461F2"/>
    <w:rsid w:val="0044753D"/>
    <w:rsid w:val="00451214"/>
    <w:rsid w:val="00451D05"/>
    <w:rsid w:val="0045348D"/>
    <w:rsid w:val="004542BA"/>
    <w:rsid w:val="0045476C"/>
    <w:rsid w:val="00455C49"/>
    <w:rsid w:val="00456686"/>
    <w:rsid w:val="00461357"/>
    <w:rsid w:val="00462350"/>
    <w:rsid w:val="004623FA"/>
    <w:rsid w:val="004635AD"/>
    <w:rsid w:val="00463D0D"/>
    <w:rsid w:val="00465564"/>
    <w:rsid w:val="004662E0"/>
    <w:rsid w:val="00467102"/>
    <w:rsid w:val="004677E8"/>
    <w:rsid w:val="00470312"/>
    <w:rsid w:val="00472271"/>
    <w:rsid w:val="0047243F"/>
    <w:rsid w:val="0047275D"/>
    <w:rsid w:val="00473318"/>
    <w:rsid w:val="00473A82"/>
    <w:rsid w:val="004742BD"/>
    <w:rsid w:val="0047461A"/>
    <w:rsid w:val="00475564"/>
    <w:rsid w:val="00475850"/>
    <w:rsid w:val="00475B6F"/>
    <w:rsid w:val="00477A33"/>
    <w:rsid w:val="00477D41"/>
    <w:rsid w:val="00477D63"/>
    <w:rsid w:val="0048051D"/>
    <w:rsid w:val="00481B31"/>
    <w:rsid w:val="00481FE7"/>
    <w:rsid w:val="00482742"/>
    <w:rsid w:val="00482819"/>
    <w:rsid w:val="00486024"/>
    <w:rsid w:val="00490AC0"/>
    <w:rsid w:val="00491DDC"/>
    <w:rsid w:val="00492879"/>
    <w:rsid w:val="00492975"/>
    <w:rsid w:val="004931BD"/>
    <w:rsid w:val="004938E2"/>
    <w:rsid w:val="00494129"/>
    <w:rsid w:val="004947CE"/>
    <w:rsid w:val="00494E42"/>
    <w:rsid w:val="00495BE7"/>
    <w:rsid w:val="00496C1D"/>
    <w:rsid w:val="0049728B"/>
    <w:rsid w:val="004A1582"/>
    <w:rsid w:val="004A3BAC"/>
    <w:rsid w:val="004A3E13"/>
    <w:rsid w:val="004A4773"/>
    <w:rsid w:val="004A629F"/>
    <w:rsid w:val="004A6DE2"/>
    <w:rsid w:val="004A6E8D"/>
    <w:rsid w:val="004A716D"/>
    <w:rsid w:val="004A7875"/>
    <w:rsid w:val="004A7D39"/>
    <w:rsid w:val="004B0B9B"/>
    <w:rsid w:val="004B0F3C"/>
    <w:rsid w:val="004B137D"/>
    <w:rsid w:val="004B286F"/>
    <w:rsid w:val="004B2B31"/>
    <w:rsid w:val="004B3446"/>
    <w:rsid w:val="004B3B20"/>
    <w:rsid w:val="004B4937"/>
    <w:rsid w:val="004B5250"/>
    <w:rsid w:val="004B6631"/>
    <w:rsid w:val="004B66EA"/>
    <w:rsid w:val="004B7020"/>
    <w:rsid w:val="004B7F80"/>
    <w:rsid w:val="004C0000"/>
    <w:rsid w:val="004C12B2"/>
    <w:rsid w:val="004C1446"/>
    <w:rsid w:val="004C1737"/>
    <w:rsid w:val="004C4111"/>
    <w:rsid w:val="004C484A"/>
    <w:rsid w:val="004C4DB7"/>
    <w:rsid w:val="004C4EAC"/>
    <w:rsid w:val="004C4FB4"/>
    <w:rsid w:val="004C585D"/>
    <w:rsid w:val="004C67DB"/>
    <w:rsid w:val="004C6E7F"/>
    <w:rsid w:val="004D0249"/>
    <w:rsid w:val="004D0C79"/>
    <w:rsid w:val="004D1867"/>
    <w:rsid w:val="004D256B"/>
    <w:rsid w:val="004D4792"/>
    <w:rsid w:val="004D570B"/>
    <w:rsid w:val="004D700C"/>
    <w:rsid w:val="004D7195"/>
    <w:rsid w:val="004D7BC1"/>
    <w:rsid w:val="004E2076"/>
    <w:rsid w:val="004E20FD"/>
    <w:rsid w:val="004E3737"/>
    <w:rsid w:val="004E42D2"/>
    <w:rsid w:val="004E46A6"/>
    <w:rsid w:val="004E51C2"/>
    <w:rsid w:val="004E6D66"/>
    <w:rsid w:val="004E6F5F"/>
    <w:rsid w:val="004F0597"/>
    <w:rsid w:val="004F080F"/>
    <w:rsid w:val="004F15DE"/>
    <w:rsid w:val="004F2950"/>
    <w:rsid w:val="004F3018"/>
    <w:rsid w:val="004F5772"/>
    <w:rsid w:val="004F5FC9"/>
    <w:rsid w:val="004F615C"/>
    <w:rsid w:val="004F68F0"/>
    <w:rsid w:val="004F6C72"/>
    <w:rsid w:val="004F7389"/>
    <w:rsid w:val="005002D3"/>
    <w:rsid w:val="005007FB"/>
    <w:rsid w:val="00501192"/>
    <w:rsid w:val="005018BC"/>
    <w:rsid w:val="00501915"/>
    <w:rsid w:val="005027B4"/>
    <w:rsid w:val="00503CAA"/>
    <w:rsid w:val="0050646A"/>
    <w:rsid w:val="00513B8D"/>
    <w:rsid w:val="00513BC1"/>
    <w:rsid w:val="00514C5D"/>
    <w:rsid w:val="005168FA"/>
    <w:rsid w:val="0051693B"/>
    <w:rsid w:val="0051696D"/>
    <w:rsid w:val="00516BDB"/>
    <w:rsid w:val="00517900"/>
    <w:rsid w:val="005179FD"/>
    <w:rsid w:val="005200D2"/>
    <w:rsid w:val="00526C9A"/>
    <w:rsid w:val="005271E6"/>
    <w:rsid w:val="00530AA8"/>
    <w:rsid w:val="00530EFD"/>
    <w:rsid w:val="0053117F"/>
    <w:rsid w:val="005328A6"/>
    <w:rsid w:val="00532AEC"/>
    <w:rsid w:val="00532E37"/>
    <w:rsid w:val="0053618C"/>
    <w:rsid w:val="005361B4"/>
    <w:rsid w:val="005366C5"/>
    <w:rsid w:val="0053689B"/>
    <w:rsid w:val="00536B0F"/>
    <w:rsid w:val="0054117A"/>
    <w:rsid w:val="00541996"/>
    <w:rsid w:val="00542DBB"/>
    <w:rsid w:val="00544229"/>
    <w:rsid w:val="005444F7"/>
    <w:rsid w:val="00547D54"/>
    <w:rsid w:val="00550919"/>
    <w:rsid w:val="0055104D"/>
    <w:rsid w:val="0055159A"/>
    <w:rsid w:val="0055251D"/>
    <w:rsid w:val="005535B6"/>
    <w:rsid w:val="005537DB"/>
    <w:rsid w:val="00553CC8"/>
    <w:rsid w:val="0055476D"/>
    <w:rsid w:val="0055659F"/>
    <w:rsid w:val="00556857"/>
    <w:rsid w:val="00557321"/>
    <w:rsid w:val="00560490"/>
    <w:rsid w:val="00561421"/>
    <w:rsid w:val="00562092"/>
    <w:rsid w:val="005626D6"/>
    <w:rsid w:val="00562BE5"/>
    <w:rsid w:val="005641B5"/>
    <w:rsid w:val="005643F7"/>
    <w:rsid w:val="00564C26"/>
    <w:rsid w:val="00564EAA"/>
    <w:rsid w:val="005651BF"/>
    <w:rsid w:val="0056525E"/>
    <w:rsid w:val="005662F2"/>
    <w:rsid w:val="00566644"/>
    <w:rsid w:val="0056695B"/>
    <w:rsid w:val="00566CB5"/>
    <w:rsid w:val="00567C4B"/>
    <w:rsid w:val="005709D1"/>
    <w:rsid w:val="005712E4"/>
    <w:rsid w:val="005714E8"/>
    <w:rsid w:val="0057161A"/>
    <w:rsid w:val="00571D8A"/>
    <w:rsid w:val="005735E0"/>
    <w:rsid w:val="00574873"/>
    <w:rsid w:val="00575826"/>
    <w:rsid w:val="0057762F"/>
    <w:rsid w:val="00577862"/>
    <w:rsid w:val="00577CDA"/>
    <w:rsid w:val="00581197"/>
    <w:rsid w:val="00581CBB"/>
    <w:rsid w:val="00581DF2"/>
    <w:rsid w:val="00582065"/>
    <w:rsid w:val="00582CEA"/>
    <w:rsid w:val="00582EAD"/>
    <w:rsid w:val="00583F47"/>
    <w:rsid w:val="005850C3"/>
    <w:rsid w:val="005852CD"/>
    <w:rsid w:val="0058564D"/>
    <w:rsid w:val="0058632D"/>
    <w:rsid w:val="005874F0"/>
    <w:rsid w:val="00590A05"/>
    <w:rsid w:val="00591CA0"/>
    <w:rsid w:val="00592E25"/>
    <w:rsid w:val="00596432"/>
    <w:rsid w:val="00596B42"/>
    <w:rsid w:val="00596C3F"/>
    <w:rsid w:val="00596EC4"/>
    <w:rsid w:val="005978D5"/>
    <w:rsid w:val="005A162E"/>
    <w:rsid w:val="005A419E"/>
    <w:rsid w:val="005A4242"/>
    <w:rsid w:val="005A527F"/>
    <w:rsid w:val="005A5989"/>
    <w:rsid w:val="005A5A1C"/>
    <w:rsid w:val="005A6022"/>
    <w:rsid w:val="005A6182"/>
    <w:rsid w:val="005A6E16"/>
    <w:rsid w:val="005A7708"/>
    <w:rsid w:val="005A7B2E"/>
    <w:rsid w:val="005B03D4"/>
    <w:rsid w:val="005B0676"/>
    <w:rsid w:val="005B393A"/>
    <w:rsid w:val="005B4480"/>
    <w:rsid w:val="005B5E30"/>
    <w:rsid w:val="005B6E28"/>
    <w:rsid w:val="005B7287"/>
    <w:rsid w:val="005B7C39"/>
    <w:rsid w:val="005C0F1F"/>
    <w:rsid w:val="005C10D5"/>
    <w:rsid w:val="005C340F"/>
    <w:rsid w:val="005C3B76"/>
    <w:rsid w:val="005C7415"/>
    <w:rsid w:val="005C74F6"/>
    <w:rsid w:val="005C764C"/>
    <w:rsid w:val="005C7B7E"/>
    <w:rsid w:val="005D0B88"/>
    <w:rsid w:val="005D2EA1"/>
    <w:rsid w:val="005D65E1"/>
    <w:rsid w:val="005D6B4A"/>
    <w:rsid w:val="005D7B0D"/>
    <w:rsid w:val="005D7C0E"/>
    <w:rsid w:val="005E1C05"/>
    <w:rsid w:val="005E20FF"/>
    <w:rsid w:val="005E3675"/>
    <w:rsid w:val="005E4EBB"/>
    <w:rsid w:val="005E60E4"/>
    <w:rsid w:val="005E6253"/>
    <w:rsid w:val="005E6762"/>
    <w:rsid w:val="005E6BF8"/>
    <w:rsid w:val="005E72AE"/>
    <w:rsid w:val="005E76D7"/>
    <w:rsid w:val="005F06A2"/>
    <w:rsid w:val="005F07AB"/>
    <w:rsid w:val="005F0E2B"/>
    <w:rsid w:val="005F1A1A"/>
    <w:rsid w:val="005F2061"/>
    <w:rsid w:val="005F229E"/>
    <w:rsid w:val="005F244B"/>
    <w:rsid w:val="005F2C21"/>
    <w:rsid w:val="005F3953"/>
    <w:rsid w:val="005F42B1"/>
    <w:rsid w:val="005F46F8"/>
    <w:rsid w:val="005F48EE"/>
    <w:rsid w:val="005F7251"/>
    <w:rsid w:val="005F7751"/>
    <w:rsid w:val="00600A56"/>
    <w:rsid w:val="00602606"/>
    <w:rsid w:val="0060289B"/>
    <w:rsid w:val="00602A43"/>
    <w:rsid w:val="00602E51"/>
    <w:rsid w:val="00603DD4"/>
    <w:rsid w:val="00605F40"/>
    <w:rsid w:val="00606BE4"/>
    <w:rsid w:val="006075EC"/>
    <w:rsid w:val="00610036"/>
    <w:rsid w:val="0061223C"/>
    <w:rsid w:val="00612E97"/>
    <w:rsid w:val="00613076"/>
    <w:rsid w:val="00614937"/>
    <w:rsid w:val="00614EC6"/>
    <w:rsid w:val="00615C8A"/>
    <w:rsid w:val="006166CB"/>
    <w:rsid w:val="00617A1A"/>
    <w:rsid w:val="006204B2"/>
    <w:rsid w:val="00621A54"/>
    <w:rsid w:val="006220D2"/>
    <w:rsid w:val="00623337"/>
    <w:rsid w:val="006251E3"/>
    <w:rsid w:val="006252A5"/>
    <w:rsid w:val="0062544E"/>
    <w:rsid w:val="006257E6"/>
    <w:rsid w:val="00625838"/>
    <w:rsid w:val="00630AEB"/>
    <w:rsid w:val="00630C8F"/>
    <w:rsid w:val="00633CEF"/>
    <w:rsid w:val="006346FA"/>
    <w:rsid w:val="006347F6"/>
    <w:rsid w:val="00635C14"/>
    <w:rsid w:val="00636320"/>
    <w:rsid w:val="00640180"/>
    <w:rsid w:val="006420AF"/>
    <w:rsid w:val="00642A8C"/>
    <w:rsid w:val="00644126"/>
    <w:rsid w:val="006444D4"/>
    <w:rsid w:val="00644531"/>
    <w:rsid w:val="00647181"/>
    <w:rsid w:val="00647BC4"/>
    <w:rsid w:val="00651317"/>
    <w:rsid w:val="00654A42"/>
    <w:rsid w:val="00655266"/>
    <w:rsid w:val="006557D0"/>
    <w:rsid w:val="00655DC5"/>
    <w:rsid w:val="0065660F"/>
    <w:rsid w:val="00656A30"/>
    <w:rsid w:val="00656F1C"/>
    <w:rsid w:val="0066008F"/>
    <w:rsid w:val="0066031B"/>
    <w:rsid w:val="00660753"/>
    <w:rsid w:val="006609DF"/>
    <w:rsid w:val="00660F27"/>
    <w:rsid w:val="00660FA8"/>
    <w:rsid w:val="00660FFF"/>
    <w:rsid w:val="00661584"/>
    <w:rsid w:val="00661946"/>
    <w:rsid w:val="00663339"/>
    <w:rsid w:val="00663D08"/>
    <w:rsid w:val="00666379"/>
    <w:rsid w:val="00666774"/>
    <w:rsid w:val="00667952"/>
    <w:rsid w:val="00670CFA"/>
    <w:rsid w:val="0067169B"/>
    <w:rsid w:val="006747DA"/>
    <w:rsid w:val="00674E89"/>
    <w:rsid w:val="0067538F"/>
    <w:rsid w:val="006756B5"/>
    <w:rsid w:val="006775B2"/>
    <w:rsid w:val="00677B35"/>
    <w:rsid w:val="00680FA5"/>
    <w:rsid w:val="006811A9"/>
    <w:rsid w:val="006840E0"/>
    <w:rsid w:val="00684D4A"/>
    <w:rsid w:val="00686FD4"/>
    <w:rsid w:val="006872FF"/>
    <w:rsid w:val="00687A8B"/>
    <w:rsid w:val="00690091"/>
    <w:rsid w:val="0069053F"/>
    <w:rsid w:val="006911BB"/>
    <w:rsid w:val="00691AC3"/>
    <w:rsid w:val="00692216"/>
    <w:rsid w:val="00692B27"/>
    <w:rsid w:val="00693684"/>
    <w:rsid w:val="006943EA"/>
    <w:rsid w:val="006951F8"/>
    <w:rsid w:val="006961B0"/>
    <w:rsid w:val="00697489"/>
    <w:rsid w:val="0069748C"/>
    <w:rsid w:val="006A0E35"/>
    <w:rsid w:val="006A1C2F"/>
    <w:rsid w:val="006A2437"/>
    <w:rsid w:val="006A25B1"/>
    <w:rsid w:val="006A45BD"/>
    <w:rsid w:val="006B10EE"/>
    <w:rsid w:val="006B1231"/>
    <w:rsid w:val="006B2820"/>
    <w:rsid w:val="006B3239"/>
    <w:rsid w:val="006B3DA8"/>
    <w:rsid w:val="006B3F76"/>
    <w:rsid w:val="006B41EE"/>
    <w:rsid w:val="006B5B62"/>
    <w:rsid w:val="006B6E88"/>
    <w:rsid w:val="006B7251"/>
    <w:rsid w:val="006C16C8"/>
    <w:rsid w:val="006C2055"/>
    <w:rsid w:val="006C2D9E"/>
    <w:rsid w:val="006C40BE"/>
    <w:rsid w:val="006C4756"/>
    <w:rsid w:val="006C4F59"/>
    <w:rsid w:val="006C5101"/>
    <w:rsid w:val="006C6605"/>
    <w:rsid w:val="006C7675"/>
    <w:rsid w:val="006D37D1"/>
    <w:rsid w:val="006D388E"/>
    <w:rsid w:val="006D4C30"/>
    <w:rsid w:val="006D655D"/>
    <w:rsid w:val="006D6798"/>
    <w:rsid w:val="006D69BE"/>
    <w:rsid w:val="006D7056"/>
    <w:rsid w:val="006D757A"/>
    <w:rsid w:val="006E09A2"/>
    <w:rsid w:val="006E37EF"/>
    <w:rsid w:val="006E58D5"/>
    <w:rsid w:val="006E6314"/>
    <w:rsid w:val="006E6594"/>
    <w:rsid w:val="006E6AF1"/>
    <w:rsid w:val="006E7649"/>
    <w:rsid w:val="006F20F7"/>
    <w:rsid w:val="006F247D"/>
    <w:rsid w:val="006F3883"/>
    <w:rsid w:val="006F3E78"/>
    <w:rsid w:val="006F58A8"/>
    <w:rsid w:val="006F7B76"/>
    <w:rsid w:val="00702E45"/>
    <w:rsid w:val="00703D55"/>
    <w:rsid w:val="00704698"/>
    <w:rsid w:val="007047FB"/>
    <w:rsid w:val="0070545D"/>
    <w:rsid w:val="007058CC"/>
    <w:rsid w:val="00705A10"/>
    <w:rsid w:val="00705FD8"/>
    <w:rsid w:val="00706CF6"/>
    <w:rsid w:val="007075E8"/>
    <w:rsid w:val="00707B5D"/>
    <w:rsid w:val="0071235A"/>
    <w:rsid w:val="00712826"/>
    <w:rsid w:val="00713E4D"/>
    <w:rsid w:val="007170D2"/>
    <w:rsid w:val="0071711F"/>
    <w:rsid w:val="0071762D"/>
    <w:rsid w:val="007207DD"/>
    <w:rsid w:val="00721AF8"/>
    <w:rsid w:val="00721BEB"/>
    <w:rsid w:val="0072215C"/>
    <w:rsid w:val="00722429"/>
    <w:rsid w:val="007252F5"/>
    <w:rsid w:val="0072656C"/>
    <w:rsid w:val="00727D25"/>
    <w:rsid w:val="00731092"/>
    <w:rsid w:val="00733A0B"/>
    <w:rsid w:val="0073485F"/>
    <w:rsid w:val="00735DED"/>
    <w:rsid w:val="00736C4E"/>
    <w:rsid w:val="00736E32"/>
    <w:rsid w:val="00737C79"/>
    <w:rsid w:val="007405DD"/>
    <w:rsid w:val="0074102F"/>
    <w:rsid w:val="0074201F"/>
    <w:rsid w:val="00743FF5"/>
    <w:rsid w:val="00744682"/>
    <w:rsid w:val="00744732"/>
    <w:rsid w:val="00746B20"/>
    <w:rsid w:val="007500D9"/>
    <w:rsid w:val="00750423"/>
    <w:rsid w:val="0075080C"/>
    <w:rsid w:val="00751EDF"/>
    <w:rsid w:val="007534E0"/>
    <w:rsid w:val="00753EEE"/>
    <w:rsid w:val="007546B4"/>
    <w:rsid w:val="00754B0B"/>
    <w:rsid w:val="00754D20"/>
    <w:rsid w:val="00754EB2"/>
    <w:rsid w:val="00756151"/>
    <w:rsid w:val="00757726"/>
    <w:rsid w:val="00757EBB"/>
    <w:rsid w:val="007610C0"/>
    <w:rsid w:val="0076129F"/>
    <w:rsid w:val="0076282C"/>
    <w:rsid w:val="00763433"/>
    <w:rsid w:val="00763A25"/>
    <w:rsid w:val="007640FB"/>
    <w:rsid w:val="00764450"/>
    <w:rsid w:val="007655A8"/>
    <w:rsid w:val="0076643E"/>
    <w:rsid w:val="0076764B"/>
    <w:rsid w:val="00771C7B"/>
    <w:rsid w:val="00772B46"/>
    <w:rsid w:val="00772E3C"/>
    <w:rsid w:val="0077365A"/>
    <w:rsid w:val="007746CF"/>
    <w:rsid w:val="00774E3B"/>
    <w:rsid w:val="00776D0C"/>
    <w:rsid w:val="00776FF3"/>
    <w:rsid w:val="00777B36"/>
    <w:rsid w:val="00777E6F"/>
    <w:rsid w:val="00780B0C"/>
    <w:rsid w:val="00781780"/>
    <w:rsid w:val="0078196E"/>
    <w:rsid w:val="007819F3"/>
    <w:rsid w:val="007825CA"/>
    <w:rsid w:val="007835F9"/>
    <w:rsid w:val="00785616"/>
    <w:rsid w:val="007856A4"/>
    <w:rsid w:val="00790367"/>
    <w:rsid w:val="0079073C"/>
    <w:rsid w:val="00791F56"/>
    <w:rsid w:val="00792927"/>
    <w:rsid w:val="007943DA"/>
    <w:rsid w:val="00794A32"/>
    <w:rsid w:val="00794CF9"/>
    <w:rsid w:val="0079591E"/>
    <w:rsid w:val="00795A99"/>
    <w:rsid w:val="007965AE"/>
    <w:rsid w:val="00797A7E"/>
    <w:rsid w:val="007A0044"/>
    <w:rsid w:val="007A015D"/>
    <w:rsid w:val="007A1B3E"/>
    <w:rsid w:val="007A2171"/>
    <w:rsid w:val="007A25BF"/>
    <w:rsid w:val="007A2A44"/>
    <w:rsid w:val="007A3490"/>
    <w:rsid w:val="007A46ED"/>
    <w:rsid w:val="007A4A51"/>
    <w:rsid w:val="007A4ED8"/>
    <w:rsid w:val="007A500F"/>
    <w:rsid w:val="007A518F"/>
    <w:rsid w:val="007A63A4"/>
    <w:rsid w:val="007A721C"/>
    <w:rsid w:val="007A722A"/>
    <w:rsid w:val="007A7D29"/>
    <w:rsid w:val="007B0320"/>
    <w:rsid w:val="007B1525"/>
    <w:rsid w:val="007B1577"/>
    <w:rsid w:val="007B19E0"/>
    <w:rsid w:val="007B1BBE"/>
    <w:rsid w:val="007B1FDD"/>
    <w:rsid w:val="007B3F59"/>
    <w:rsid w:val="007B64CA"/>
    <w:rsid w:val="007B7211"/>
    <w:rsid w:val="007C05C7"/>
    <w:rsid w:val="007C1181"/>
    <w:rsid w:val="007C12E5"/>
    <w:rsid w:val="007C15D1"/>
    <w:rsid w:val="007C22FB"/>
    <w:rsid w:val="007C45CE"/>
    <w:rsid w:val="007C4678"/>
    <w:rsid w:val="007C6834"/>
    <w:rsid w:val="007C7B14"/>
    <w:rsid w:val="007C7F80"/>
    <w:rsid w:val="007D0470"/>
    <w:rsid w:val="007D0DC9"/>
    <w:rsid w:val="007D2CE3"/>
    <w:rsid w:val="007D3252"/>
    <w:rsid w:val="007D4506"/>
    <w:rsid w:val="007D4CC0"/>
    <w:rsid w:val="007D6312"/>
    <w:rsid w:val="007D7298"/>
    <w:rsid w:val="007D7971"/>
    <w:rsid w:val="007D7F84"/>
    <w:rsid w:val="007E0089"/>
    <w:rsid w:val="007E072C"/>
    <w:rsid w:val="007E113D"/>
    <w:rsid w:val="007E1D38"/>
    <w:rsid w:val="007E34C8"/>
    <w:rsid w:val="007E3697"/>
    <w:rsid w:val="007E57EF"/>
    <w:rsid w:val="007E59C8"/>
    <w:rsid w:val="007E6A07"/>
    <w:rsid w:val="007F0609"/>
    <w:rsid w:val="007F0817"/>
    <w:rsid w:val="007F0E41"/>
    <w:rsid w:val="007F18DB"/>
    <w:rsid w:val="007F18EA"/>
    <w:rsid w:val="007F1DEB"/>
    <w:rsid w:val="007F40DE"/>
    <w:rsid w:val="007F4AC2"/>
    <w:rsid w:val="007F4B4B"/>
    <w:rsid w:val="007F5028"/>
    <w:rsid w:val="007F57BA"/>
    <w:rsid w:val="007F59F1"/>
    <w:rsid w:val="007F645D"/>
    <w:rsid w:val="007F646D"/>
    <w:rsid w:val="007F64CA"/>
    <w:rsid w:val="007F6A7F"/>
    <w:rsid w:val="007F75BC"/>
    <w:rsid w:val="007F7E20"/>
    <w:rsid w:val="00800A5A"/>
    <w:rsid w:val="00800CDA"/>
    <w:rsid w:val="008029A5"/>
    <w:rsid w:val="00802D87"/>
    <w:rsid w:val="008031A9"/>
    <w:rsid w:val="00803BE0"/>
    <w:rsid w:val="00804245"/>
    <w:rsid w:val="00804610"/>
    <w:rsid w:val="00804CD5"/>
    <w:rsid w:val="0080568F"/>
    <w:rsid w:val="008072B2"/>
    <w:rsid w:val="00810396"/>
    <w:rsid w:val="0081104A"/>
    <w:rsid w:val="00812241"/>
    <w:rsid w:val="0081272C"/>
    <w:rsid w:val="00813023"/>
    <w:rsid w:val="00814830"/>
    <w:rsid w:val="00814DA3"/>
    <w:rsid w:val="00815590"/>
    <w:rsid w:val="00815F31"/>
    <w:rsid w:val="00816D39"/>
    <w:rsid w:val="008175AE"/>
    <w:rsid w:val="00823764"/>
    <w:rsid w:val="00824602"/>
    <w:rsid w:val="00824617"/>
    <w:rsid w:val="0082681C"/>
    <w:rsid w:val="0082751C"/>
    <w:rsid w:val="00827BB8"/>
    <w:rsid w:val="00830B33"/>
    <w:rsid w:val="00830DF9"/>
    <w:rsid w:val="00833346"/>
    <w:rsid w:val="00834512"/>
    <w:rsid w:val="0083481F"/>
    <w:rsid w:val="0083484A"/>
    <w:rsid w:val="00835A55"/>
    <w:rsid w:val="00836F7B"/>
    <w:rsid w:val="0083703E"/>
    <w:rsid w:val="00837F1A"/>
    <w:rsid w:val="008402CE"/>
    <w:rsid w:val="00841900"/>
    <w:rsid w:val="00841DE5"/>
    <w:rsid w:val="00843020"/>
    <w:rsid w:val="00843E89"/>
    <w:rsid w:val="008442CD"/>
    <w:rsid w:val="0084729E"/>
    <w:rsid w:val="00850133"/>
    <w:rsid w:val="00851AB5"/>
    <w:rsid w:val="00852626"/>
    <w:rsid w:val="008529AF"/>
    <w:rsid w:val="00852EA7"/>
    <w:rsid w:val="00856FAE"/>
    <w:rsid w:val="0085773C"/>
    <w:rsid w:val="0086292E"/>
    <w:rsid w:val="00862CBC"/>
    <w:rsid w:val="008630AF"/>
    <w:rsid w:val="008645AC"/>
    <w:rsid w:val="00865A60"/>
    <w:rsid w:val="008669E1"/>
    <w:rsid w:val="00867D66"/>
    <w:rsid w:val="008718D5"/>
    <w:rsid w:val="008724E9"/>
    <w:rsid w:val="00872AF8"/>
    <w:rsid w:val="00873534"/>
    <w:rsid w:val="008741EC"/>
    <w:rsid w:val="00874534"/>
    <w:rsid w:val="008757CC"/>
    <w:rsid w:val="00875EF1"/>
    <w:rsid w:val="00877431"/>
    <w:rsid w:val="00880237"/>
    <w:rsid w:val="00880681"/>
    <w:rsid w:val="00880FAD"/>
    <w:rsid w:val="00881D85"/>
    <w:rsid w:val="0088239C"/>
    <w:rsid w:val="00882944"/>
    <w:rsid w:val="0088436F"/>
    <w:rsid w:val="00884421"/>
    <w:rsid w:val="008844BF"/>
    <w:rsid w:val="008847F6"/>
    <w:rsid w:val="00885773"/>
    <w:rsid w:val="00891848"/>
    <w:rsid w:val="00891943"/>
    <w:rsid w:val="00891ED5"/>
    <w:rsid w:val="008921D3"/>
    <w:rsid w:val="008924F5"/>
    <w:rsid w:val="0089330E"/>
    <w:rsid w:val="00893DC1"/>
    <w:rsid w:val="008945C1"/>
    <w:rsid w:val="0089619C"/>
    <w:rsid w:val="00896D1B"/>
    <w:rsid w:val="00897EF6"/>
    <w:rsid w:val="008A0245"/>
    <w:rsid w:val="008A2098"/>
    <w:rsid w:val="008A3BCD"/>
    <w:rsid w:val="008A3CCE"/>
    <w:rsid w:val="008A4038"/>
    <w:rsid w:val="008A4471"/>
    <w:rsid w:val="008A450E"/>
    <w:rsid w:val="008A4D45"/>
    <w:rsid w:val="008A51D9"/>
    <w:rsid w:val="008A577F"/>
    <w:rsid w:val="008A7683"/>
    <w:rsid w:val="008B048F"/>
    <w:rsid w:val="008B1751"/>
    <w:rsid w:val="008B30E6"/>
    <w:rsid w:val="008B32B0"/>
    <w:rsid w:val="008B4A59"/>
    <w:rsid w:val="008B6F11"/>
    <w:rsid w:val="008B7D33"/>
    <w:rsid w:val="008C076E"/>
    <w:rsid w:val="008C07ED"/>
    <w:rsid w:val="008C07EE"/>
    <w:rsid w:val="008C0A8C"/>
    <w:rsid w:val="008C24F9"/>
    <w:rsid w:val="008C3037"/>
    <w:rsid w:val="008C38C6"/>
    <w:rsid w:val="008C43F2"/>
    <w:rsid w:val="008C515C"/>
    <w:rsid w:val="008C564D"/>
    <w:rsid w:val="008C7704"/>
    <w:rsid w:val="008C7BAB"/>
    <w:rsid w:val="008D231C"/>
    <w:rsid w:val="008D2C9B"/>
    <w:rsid w:val="008D30AF"/>
    <w:rsid w:val="008D32D5"/>
    <w:rsid w:val="008D57DB"/>
    <w:rsid w:val="008D5FE6"/>
    <w:rsid w:val="008D7961"/>
    <w:rsid w:val="008E020D"/>
    <w:rsid w:val="008E199D"/>
    <w:rsid w:val="008E1FA1"/>
    <w:rsid w:val="008E2012"/>
    <w:rsid w:val="008E2D03"/>
    <w:rsid w:val="008E2FE4"/>
    <w:rsid w:val="008E3D8E"/>
    <w:rsid w:val="008E55F3"/>
    <w:rsid w:val="008E5687"/>
    <w:rsid w:val="008E7CD5"/>
    <w:rsid w:val="008F0F95"/>
    <w:rsid w:val="008F113C"/>
    <w:rsid w:val="008F115F"/>
    <w:rsid w:val="008F1D3A"/>
    <w:rsid w:val="008F2DC7"/>
    <w:rsid w:val="008F3DEE"/>
    <w:rsid w:val="008F546F"/>
    <w:rsid w:val="008F7F4A"/>
    <w:rsid w:val="00900524"/>
    <w:rsid w:val="00900E75"/>
    <w:rsid w:val="00902335"/>
    <w:rsid w:val="00902999"/>
    <w:rsid w:val="009033CB"/>
    <w:rsid w:val="009034EF"/>
    <w:rsid w:val="0090384D"/>
    <w:rsid w:val="0090447C"/>
    <w:rsid w:val="00905450"/>
    <w:rsid w:val="00906E62"/>
    <w:rsid w:val="00906EDC"/>
    <w:rsid w:val="0091091B"/>
    <w:rsid w:val="00910C8C"/>
    <w:rsid w:val="00911881"/>
    <w:rsid w:val="00913D00"/>
    <w:rsid w:val="00913FC4"/>
    <w:rsid w:val="009144DE"/>
    <w:rsid w:val="00914C76"/>
    <w:rsid w:val="009155BC"/>
    <w:rsid w:val="00915790"/>
    <w:rsid w:val="00915FDE"/>
    <w:rsid w:val="0091659B"/>
    <w:rsid w:val="009165FD"/>
    <w:rsid w:val="00916791"/>
    <w:rsid w:val="009178E8"/>
    <w:rsid w:val="00921D6F"/>
    <w:rsid w:val="009224F8"/>
    <w:rsid w:val="00922616"/>
    <w:rsid w:val="009228AE"/>
    <w:rsid w:val="00926D7D"/>
    <w:rsid w:val="00927FBB"/>
    <w:rsid w:val="009308DF"/>
    <w:rsid w:val="00931149"/>
    <w:rsid w:val="00931C4C"/>
    <w:rsid w:val="00932F22"/>
    <w:rsid w:val="009347A7"/>
    <w:rsid w:val="009349BC"/>
    <w:rsid w:val="00937399"/>
    <w:rsid w:val="009379A7"/>
    <w:rsid w:val="009420A2"/>
    <w:rsid w:val="00943704"/>
    <w:rsid w:val="00944597"/>
    <w:rsid w:val="00945232"/>
    <w:rsid w:val="00945F3F"/>
    <w:rsid w:val="00946F9B"/>
    <w:rsid w:val="0095015A"/>
    <w:rsid w:val="009520E0"/>
    <w:rsid w:val="009522AF"/>
    <w:rsid w:val="00953CE0"/>
    <w:rsid w:val="009543A3"/>
    <w:rsid w:val="00955F4B"/>
    <w:rsid w:val="009560BC"/>
    <w:rsid w:val="00957190"/>
    <w:rsid w:val="009578E9"/>
    <w:rsid w:val="00957DC4"/>
    <w:rsid w:val="00961515"/>
    <w:rsid w:val="00962523"/>
    <w:rsid w:val="00963B51"/>
    <w:rsid w:val="0096510B"/>
    <w:rsid w:val="009658DF"/>
    <w:rsid w:val="00965CF7"/>
    <w:rsid w:val="00967713"/>
    <w:rsid w:val="00967E28"/>
    <w:rsid w:val="00970466"/>
    <w:rsid w:val="00970A60"/>
    <w:rsid w:val="0097135F"/>
    <w:rsid w:val="00971704"/>
    <w:rsid w:val="00971D90"/>
    <w:rsid w:val="00971F88"/>
    <w:rsid w:val="00973BC0"/>
    <w:rsid w:val="00974A1E"/>
    <w:rsid w:val="00976172"/>
    <w:rsid w:val="00976347"/>
    <w:rsid w:val="0098076F"/>
    <w:rsid w:val="0098303A"/>
    <w:rsid w:val="00983704"/>
    <w:rsid w:val="00984831"/>
    <w:rsid w:val="00984A66"/>
    <w:rsid w:val="009853B3"/>
    <w:rsid w:val="0098589E"/>
    <w:rsid w:val="00985EEC"/>
    <w:rsid w:val="009864F2"/>
    <w:rsid w:val="00990458"/>
    <w:rsid w:val="009905EE"/>
    <w:rsid w:val="00991CD1"/>
    <w:rsid w:val="00991DAE"/>
    <w:rsid w:val="00991EA3"/>
    <w:rsid w:val="009958AC"/>
    <w:rsid w:val="009967B4"/>
    <w:rsid w:val="00996C71"/>
    <w:rsid w:val="00997308"/>
    <w:rsid w:val="00997957"/>
    <w:rsid w:val="00997ED2"/>
    <w:rsid w:val="009A038E"/>
    <w:rsid w:val="009A2E59"/>
    <w:rsid w:val="009A337E"/>
    <w:rsid w:val="009A49AE"/>
    <w:rsid w:val="009A5301"/>
    <w:rsid w:val="009A7520"/>
    <w:rsid w:val="009B0CBF"/>
    <w:rsid w:val="009B11B9"/>
    <w:rsid w:val="009B13B9"/>
    <w:rsid w:val="009B2CDE"/>
    <w:rsid w:val="009B45FA"/>
    <w:rsid w:val="009B4A20"/>
    <w:rsid w:val="009B4A92"/>
    <w:rsid w:val="009B4AAF"/>
    <w:rsid w:val="009B4CE8"/>
    <w:rsid w:val="009B50E1"/>
    <w:rsid w:val="009B5C7A"/>
    <w:rsid w:val="009B603B"/>
    <w:rsid w:val="009B70DF"/>
    <w:rsid w:val="009B72DD"/>
    <w:rsid w:val="009B7F3B"/>
    <w:rsid w:val="009C1976"/>
    <w:rsid w:val="009C41B7"/>
    <w:rsid w:val="009C4D1B"/>
    <w:rsid w:val="009C5665"/>
    <w:rsid w:val="009C5A1F"/>
    <w:rsid w:val="009C5A31"/>
    <w:rsid w:val="009C5B9E"/>
    <w:rsid w:val="009C5C7A"/>
    <w:rsid w:val="009C61B5"/>
    <w:rsid w:val="009C7CF7"/>
    <w:rsid w:val="009C7F87"/>
    <w:rsid w:val="009D0DF2"/>
    <w:rsid w:val="009D0E1C"/>
    <w:rsid w:val="009D2471"/>
    <w:rsid w:val="009D2EA1"/>
    <w:rsid w:val="009D34ED"/>
    <w:rsid w:val="009D515D"/>
    <w:rsid w:val="009D5244"/>
    <w:rsid w:val="009D6221"/>
    <w:rsid w:val="009D655E"/>
    <w:rsid w:val="009D6562"/>
    <w:rsid w:val="009D6989"/>
    <w:rsid w:val="009D6DA7"/>
    <w:rsid w:val="009E0C39"/>
    <w:rsid w:val="009E2694"/>
    <w:rsid w:val="009E3815"/>
    <w:rsid w:val="009E42C8"/>
    <w:rsid w:val="009E46C2"/>
    <w:rsid w:val="009E56EA"/>
    <w:rsid w:val="009E7100"/>
    <w:rsid w:val="009F0136"/>
    <w:rsid w:val="009F06A4"/>
    <w:rsid w:val="009F2D9A"/>
    <w:rsid w:val="009F6540"/>
    <w:rsid w:val="009F6A35"/>
    <w:rsid w:val="009F724B"/>
    <w:rsid w:val="009F78FD"/>
    <w:rsid w:val="00A004C0"/>
    <w:rsid w:val="00A020B9"/>
    <w:rsid w:val="00A02528"/>
    <w:rsid w:val="00A029F5"/>
    <w:rsid w:val="00A02C5D"/>
    <w:rsid w:val="00A02EF9"/>
    <w:rsid w:val="00A0453E"/>
    <w:rsid w:val="00A078F3"/>
    <w:rsid w:val="00A1006E"/>
    <w:rsid w:val="00A1057F"/>
    <w:rsid w:val="00A10777"/>
    <w:rsid w:val="00A1157F"/>
    <w:rsid w:val="00A13C3F"/>
    <w:rsid w:val="00A14396"/>
    <w:rsid w:val="00A15F29"/>
    <w:rsid w:val="00A16003"/>
    <w:rsid w:val="00A17431"/>
    <w:rsid w:val="00A17FC5"/>
    <w:rsid w:val="00A247C5"/>
    <w:rsid w:val="00A25833"/>
    <w:rsid w:val="00A259A0"/>
    <w:rsid w:val="00A2700D"/>
    <w:rsid w:val="00A31345"/>
    <w:rsid w:val="00A32CA7"/>
    <w:rsid w:val="00A33487"/>
    <w:rsid w:val="00A34307"/>
    <w:rsid w:val="00A3439B"/>
    <w:rsid w:val="00A36DE5"/>
    <w:rsid w:val="00A37356"/>
    <w:rsid w:val="00A37738"/>
    <w:rsid w:val="00A377E3"/>
    <w:rsid w:val="00A409C0"/>
    <w:rsid w:val="00A413E0"/>
    <w:rsid w:val="00A41C7E"/>
    <w:rsid w:val="00A4222F"/>
    <w:rsid w:val="00A42722"/>
    <w:rsid w:val="00A42750"/>
    <w:rsid w:val="00A42947"/>
    <w:rsid w:val="00A435E0"/>
    <w:rsid w:val="00A43FE4"/>
    <w:rsid w:val="00A446F1"/>
    <w:rsid w:val="00A44C36"/>
    <w:rsid w:val="00A44CBB"/>
    <w:rsid w:val="00A45A72"/>
    <w:rsid w:val="00A46E0A"/>
    <w:rsid w:val="00A47162"/>
    <w:rsid w:val="00A471FD"/>
    <w:rsid w:val="00A47779"/>
    <w:rsid w:val="00A50B4E"/>
    <w:rsid w:val="00A51D07"/>
    <w:rsid w:val="00A5410E"/>
    <w:rsid w:val="00A54A64"/>
    <w:rsid w:val="00A55F2B"/>
    <w:rsid w:val="00A560AD"/>
    <w:rsid w:val="00A56195"/>
    <w:rsid w:val="00A56F40"/>
    <w:rsid w:val="00A57106"/>
    <w:rsid w:val="00A60921"/>
    <w:rsid w:val="00A60DCE"/>
    <w:rsid w:val="00A61A8C"/>
    <w:rsid w:val="00A61F6D"/>
    <w:rsid w:val="00A62008"/>
    <w:rsid w:val="00A63934"/>
    <w:rsid w:val="00A6409E"/>
    <w:rsid w:val="00A64628"/>
    <w:rsid w:val="00A66B55"/>
    <w:rsid w:val="00A67BE6"/>
    <w:rsid w:val="00A716A1"/>
    <w:rsid w:val="00A723E2"/>
    <w:rsid w:val="00A72B89"/>
    <w:rsid w:val="00A75ADF"/>
    <w:rsid w:val="00A75EA2"/>
    <w:rsid w:val="00A766FF"/>
    <w:rsid w:val="00A779DD"/>
    <w:rsid w:val="00A83349"/>
    <w:rsid w:val="00A8436A"/>
    <w:rsid w:val="00A84937"/>
    <w:rsid w:val="00A86505"/>
    <w:rsid w:val="00A86707"/>
    <w:rsid w:val="00A87007"/>
    <w:rsid w:val="00A87F6C"/>
    <w:rsid w:val="00A9213E"/>
    <w:rsid w:val="00A926D8"/>
    <w:rsid w:val="00A92FD8"/>
    <w:rsid w:val="00A93F36"/>
    <w:rsid w:val="00A9456A"/>
    <w:rsid w:val="00A95857"/>
    <w:rsid w:val="00A96025"/>
    <w:rsid w:val="00A962BC"/>
    <w:rsid w:val="00A97A62"/>
    <w:rsid w:val="00AA0188"/>
    <w:rsid w:val="00AA0679"/>
    <w:rsid w:val="00AA0688"/>
    <w:rsid w:val="00AA1539"/>
    <w:rsid w:val="00AA2654"/>
    <w:rsid w:val="00AA2D1C"/>
    <w:rsid w:val="00AA36A7"/>
    <w:rsid w:val="00AA51F3"/>
    <w:rsid w:val="00AA5404"/>
    <w:rsid w:val="00AA583A"/>
    <w:rsid w:val="00AA6983"/>
    <w:rsid w:val="00AB1311"/>
    <w:rsid w:val="00AB216F"/>
    <w:rsid w:val="00AB2A71"/>
    <w:rsid w:val="00AB2F50"/>
    <w:rsid w:val="00AB4A60"/>
    <w:rsid w:val="00AB7B78"/>
    <w:rsid w:val="00AC1502"/>
    <w:rsid w:val="00AC19DA"/>
    <w:rsid w:val="00AC369D"/>
    <w:rsid w:val="00AC4F63"/>
    <w:rsid w:val="00AC5724"/>
    <w:rsid w:val="00AC594F"/>
    <w:rsid w:val="00AC7AFF"/>
    <w:rsid w:val="00AD0408"/>
    <w:rsid w:val="00AD06F2"/>
    <w:rsid w:val="00AD1827"/>
    <w:rsid w:val="00AD2436"/>
    <w:rsid w:val="00AD493F"/>
    <w:rsid w:val="00AD59EA"/>
    <w:rsid w:val="00AD5D6C"/>
    <w:rsid w:val="00AD6063"/>
    <w:rsid w:val="00AD7EFF"/>
    <w:rsid w:val="00AE0B02"/>
    <w:rsid w:val="00AE1A00"/>
    <w:rsid w:val="00AE1E9F"/>
    <w:rsid w:val="00AE380D"/>
    <w:rsid w:val="00AE4096"/>
    <w:rsid w:val="00AE43DF"/>
    <w:rsid w:val="00AE4D06"/>
    <w:rsid w:val="00AE5654"/>
    <w:rsid w:val="00AE6E71"/>
    <w:rsid w:val="00AE77DD"/>
    <w:rsid w:val="00AE78D0"/>
    <w:rsid w:val="00AE7AEC"/>
    <w:rsid w:val="00AE7F8B"/>
    <w:rsid w:val="00AF0893"/>
    <w:rsid w:val="00AF260C"/>
    <w:rsid w:val="00AF55E0"/>
    <w:rsid w:val="00AF59EC"/>
    <w:rsid w:val="00AF715C"/>
    <w:rsid w:val="00B01710"/>
    <w:rsid w:val="00B038FC"/>
    <w:rsid w:val="00B039C6"/>
    <w:rsid w:val="00B03FFF"/>
    <w:rsid w:val="00B04D70"/>
    <w:rsid w:val="00B0573B"/>
    <w:rsid w:val="00B06001"/>
    <w:rsid w:val="00B07244"/>
    <w:rsid w:val="00B1038B"/>
    <w:rsid w:val="00B117F5"/>
    <w:rsid w:val="00B126FE"/>
    <w:rsid w:val="00B12907"/>
    <w:rsid w:val="00B13754"/>
    <w:rsid w:val="00B14592"/>
    <w:rsid w:val="00B153F0"/>
    <w:rsid w:val="00B175E1"/>
    <w:rsid w:val="00B17F42"/>
    <w:rsid w:val="00B218A8"/>
    <w:rsid w:val="00B227EA"/>
    <w:rsid w:val="00B2289E"/>
    <w:rsid w:val="00B22C43"/>
    <w:rsid w:val="00B23E10"/>
    <w:rsid w:val="00B249A5"/>
    <w:rsid w:val="00B24F4E"/>
    <w:rsid w:val="00B252F6"/>
    <w:rsid w:val="00B253E2"/>
    <w:rsid w:val="00B267D6"/>
    <w:rsid w:val="00B26EB0"/>
    <w:rsid w:val="00B27875"/>
    <w:rsid w:val="00B27D0F"/>
    <w:rsid w:val="00B304D1"/>
    <w:rsid w:val="00B305FC"/>
    <w:rsid w:val="00B30C6F"/>
    <w:rsid w:val="00B311C0"/>
    <w:rsid w:val="00B32AF8"/>
    <w:rsid w:val="00B32D94"/>
    <w:rsid w:val="00B334F7"/>
    <w:rsid w:val="00B33EA3"/>
    <w:rsid w:val="00B34AFC"/>
    <w:rsid w:val="00B3539A"/>
    <w:rsid w:val="00B354BC"/>
    <w:rsid w:val="00B36749"/>
    <w:rsid w:val="00B367B3"/>
    <w:rsid w:val="00B372B6"/>
    <w:rsid w:val="00B40171"/>
    <w:rsid w:val="00B4289F"/>
    <w:rsid w:val="00B42D41"/>
    <w:rsid w:val="00B430BE"/>
    <w:rsid w:val="00B431EA"/>
    <w:rsid w:val="00B4337E"/>
    <w:rsid w:val="00B44676"/>
    <w:rsid w:val="00B449E1"/>
    <w:rsid w:val="00B460E7"/>
    <w:rsid w:val="00B46294"/>
    <w:rsid w:val="00B4783D"/>
    <w:rsid w:val="00B50476"/>
    <w:rsid w:val="00B505FC"/>
    <w:rsid w:val="00B50703"/>
    <w:rsid w:val="00B5273D"/>
    <w:rsid w:val="00B5338F"/>
    <w:rsid w:val="00B536ED"/>
    <w:rsid w:val="00B558C9"/>
    <w:rsid w:val="00B56EC3"/>
    <w:rsid w:val="00B56FF1"/>
    <w:rsid w:val="00B57154"/>
    <w:rsid w:val="00B57819"/>
    <w:rsid w:val="00B60C50"/>
    <w:rsid w:val="00B625DB"/>
    <w:rsid w:val="00B64376"/>
    <w:rsid w:val="00B6575F"/>
    <w:rsid w:val="00B65957"/>
    <w:rsid w:val="00B6630E"/>
    <w:rsid w:val="00B67081"/>
    <w:rsid w:val="00B674F4"/>
    <w:rsid w:val="00B67CC5"/>
    <w:rsid w:val="00B7012D"/>
    <w:rsid w:val="00B70645"/>
    <w:rsid w:val="00B71567"/>
    <w:rsid w:val="00B720F0"/>
    <w:rsid w:val="00B73E54"/>
    <w:rsid w:val="00B761B0"/>
    <w:rsid w:val="00B76BCC"/>
    <w:rsid w:val="00B77400"/>
    <w:rsid w:val="00B77788"/>
    <w:rsid w:val="00B80C08"/>
    <w:rsid w:val="00B80FDF"/>
    <w:rsid w:val="00B81586"/>
    <w:rsid w:val="00B81E52"/>
    <w:rsid w:val="00B82014"/>
    <w:rsid w:val="00B828D7"/>
    <w:rsid w:val="00B840A4"/>
    <w:rsid w:val="00B8448C"/>
    <w:rsid w:val="00B85153"/>
    <w:rsid w:val="00B86AC4"/>
    <w:rsid w:val="00B86B1D"/>
    <w:rsid w:val="00B8767B"/>
    <w:rsid w:val="00B87766"/>
    <w:rsid w:val="00B87DF8"/>
    <w:rsid w:val="00B90CA7"/>
    <w:rsid w:val="00B914CA"/>
    <w:rsid w:val="00B92F7C"/>
    <w:rsid w:val="00B93925"/>
    <w:rsid w:val="00B93C2B"/>
    <w:rsid w:val="00B93E51"/>
    <w:rsid w:val="00B96010"/>
    <w:rsid w:val="00B96865"/>
    <w:rsid w:val="00B97EF1"/>
    <w:rsid w:val="00BA0FE1"/>
    <w:rsid w:val="00BA2B0E"/>
    <w:rsid w:val="00BA33BB"/>
    <w:rsid w:val="00BA387F"/>
    <w:rsid w:val="00BA5231"/>
    <w:rsid w:val="00BA5F79"/>
    <w:rsid w:val="00BA6F83"/>
    <w:rsid w:val="00BA7168"/>
    <w:rsid w:val="00BA7310"/>
    <w:rsid w:val="00BA79DE"/>
    <w:rsid w:val="00BA7A9B"/>
    <w:rsid w:val="00BA7E2A"/>
    <w:rsid w:val="00BB0731"/>
    <w:rsid w:val="00BB09E1"/>
    <w:rsid w:val="00BB19BA"/>
    <w:rsid w:val="00BB1DAF"/>
    <w:rsid w:val="00BB2A1D"/>
    <w:rsid w:val="00BB589D"/>
    <w:rsid w:val="00BB5AC5"/>
    <w:rsid w:val="00BB6288"/>
    <w:rsid w:val="00BB74E0"/>
    <w:rsid w:val="00BB7C98"/>
    <w:rsid w:val="00BC071F"/>
    <w:rsid w:val="00BC0D48"/>
    <w:rsid w:val="00BC0E2E"/>
    <w:rsid w:val="00BC16E7"/>
    <w:rsid w:val="00BC2A91"/>
    <w:rsid w:val="00BC31C2"/>
    <w:rsid w:val="00BC4726"/>
    <w:rsid w:val="00BC6413"/>
    <w:rsid w:val="00BC6C53"/>
    <w:rsid w:val="00BC6F42"/>
    <w:rsid w:val="00BC7784"/>
    <w:rsid w:val="00BD0DCF"/>
    <w:rsid w:val="00BD14BD"/>
    <w:rsid w:val="00BD14DC"/>
    <w:rsid w:val="00BD24FB"/>
    <w:rsid w:val="00BD2A66"/>
    <w:rsid w:val="00BD4293"/>
    <w:rsid w:val="00BD47DC"/>
    <w:rsid w:val="00BD6D89"/>
    <w:rsid w:val="00BE035F"/>
    <w:rsid w:val="00BE0E7A"/>
    <w:rsid w:val="00BE1283"/>
    <w:rsid w:val="00BE363F"/>
    <w:rsid w:val="00BE539E"/>
    <w:rsid w:val="00BE728C"/>
    <w:rsid w:val="00BE73D6"/>
    <w:rsid w:val="00BF019B"/>
    <w:rsid w:val="00BF0538"/>
    <w:rsid w:val="00BF140C"/>
    <w:rsid w:val="00BF1478"/>
    <w:rsid w:val="00BF3928"/>
    <w:rsid w:val="00BF3DDA"/>
    <w:rsid w:val="00BF44E6"/>
    <w:rsid w:val="00BF4E43"/>
    <w:rsid w:val="00BF553D"/>
    <w:rsid w:val="00BF586A"/>
    <w:rsid w:val="00C01162"/>
    <w:rsid w:val="00C018DE"/>
    <w:rsid w:val="00C02576"/>
    <w:rsid w:val="00C027E1"/>
    <w:rsid w:val="00C032D0"/>
    <w:rsid w:val="00C0378C"/>
    <w:rsid w:val="00C0462A"/>
    <w:rsid w:val="00C053FB"/>
    <w:rsid w:val="00C058ED"/>
    <w:rsid w:val="00C06C8B"/>
    <w:rsid w:val="00C073AA"/>
    <w:rsid w:val="00C11402"/>
    <w:rsid w:val="00C115C1"/>
    <w:rsid w:val="00C11E36"/>
    <w:rsid w:val="00C12352"/>
    <w:rsid w:val="00C13632"/>
    <w:rsid w:val="00C142D0"/>
    <w:rsid w:val="00C1644E"/>
    <w:rsid w:val="00C17A9B"/>
    <w:rsid w:val="00C17C79"/>
    <w:rsid w:val="00C20410"/>
    <w:rsid w:val="00C20F8F"/>
    <w:rsid w:val="00C22147"/>
    <w:rsid w:val="00C22203"/>
    <w:rsid w:val="00C226A3"/>
    <w:rsid w:val="00C2282E"/>
    <w:rsid w:val="00C22838"/>
    <w:rsid w:val="00C24BB9"/>
    <w:rsid w:val="00C25B7D"/>
    <w:rsid w:val="00C26045"/>
    <w:rsid w:val="00C26821"/>
    <w:rsid w:val="00C27251"/>
    <w:rsid w:val="00C30BB7"/>
    <w:rsid w:val="00C31442"/>
    <w:rsid w:val="00C3390D"/>
    <w:rsid w:val="00C34A48"/>
    <w:rsid w:val="00C34FC8"/>
    <w:rsid w:val="00C35E5B"/>
    <w:rsid w:val="00C37981"/>
    <w:rsid w:val="00C37B18"/>
    <w:rsid w:val="00C41154"/>
    <w:rsid w:val="00C41307"/>
    <w:rsid w:val="00C43D34"/>
    <w:rsid w:val="00C44CAD"/>
    <w:rsid w:val="00C44CD1"/>
    <w:rsid w:val="00C456AC"/>
    <w:rsid w:val="00C463F1"/>
    <w:rsid w:val="00C46F1C"/>
    <w:rsid w:val="00C47D2B"/>
    <w:rsid w:val="00C47D9F"/>
    <w:rsid w:val="00C505C9"/>
    <w:rsid w:val="00C529C0"/>
    <w:rsid w:val="00C53474"/>
    <w:rsid w:val="00C54AB4"/>
    <w:rsid w:val="00C55391"/>
    <w:rsid w:val="00C6517D"/>
    <w:rsid w:val="00C65243"/>
    <w:rsid w:val="00C65A79"/>
    <w:rsid w:val="00C65B64"/>
    <w:rsid w:val="00C70346"/>
    <w:rsid w:val="00C71625"/>
    <w:rsid w:val="00C71B95"/>
    <w:rsid w:val="00C725F4"/>
    <w:rsid w:val="00C73291"/>
    <w:rsid w:val="00C74DC4"/>
    <w:rsid w:val="00C7544D"/>
    <w:rsid w:val="00C75570"/>
    <w:rsid w:val="00C772F4"/>
    <w:rsid w:val="00C802FB"/>
    <w:rsid w:val="00C814BB"/>
    <w:rsid w:val="00C81A87"/>
    <w:rsid w:val="00C82452"/>
    <w:rsid w:val="00C871E2"/>
    <w:rsid w:val="00C87673"/>
    <w:rsid w:val="00C87951"/>
    <w:rsid w:val="00C92524"/>
    <w:rsid w:val="00C9352A"/>
    <w:rsid w:val="00C9390E"/>
    <w:rsid w:val="00C9414F"/>
    <w:rsid w:val="00C942B7"/>
    <w:rsid w:val="00C94799"/>
    <w:rsid w:val="00C94C7C"/>
    <w:rsid w:val="00C95807"/>
    <w:rsid w:val="00C960C7"/>
    <w:rsid w:val="00C96B1F"/>
    <w:rsid w:val="00CA0A92"/>
    <w:rsid w:val="00CA107B"/>
    <w:rsid w:val="00CA17F4"/>
    <w:rsid w:val="00CA1C1C"/>
    <w:rsid w:val="00CA25B0"/>
    <w:rsid w:val="00CA3271"/>
    <w:rsid w:val="00CA38A2"/>
    <w:rsid w:val="00CA5C50"/>
    <w:rsid w:val="00CA73F3"/>
    <w:rsid w:val="00CA7C26"/>
    <w:rsid w:val="00CA7DA2"/>
    <w:rsid w:val="00CB0850"/>
    <w:rsid w:val="00CB3531"/>
    <w:rsid w:val="00CB3E3C"/>
    <w:rsid w:val="00CB4389"/>
    <w:rsid w:val="00CB4453"/>
    <w:rsid w:val="00CB4524"/>
    <w:rsid w:val="00CB4C90"/>
    <w:rsid w:val="00CB4F26"/>
    <w:rsid w:val="00CB558B"/>
    <w:rsid w:val="00CB64FF"/>
    <w:rsid w:val="00CC0837"/>
    <w:rsid w:val="00CC1F1A"/>
    <w:rsid w:val="00CC2D8B"/>
    <w:rsid w:val="00CC406C"/>
    <w:rsid w:val="00CC412D"/>
    <w:rsid w:val="00CC6538"/>
    <w:rsid w:val="00CC70D5"/>
    <w:rsid w:val="00CC71D8"/>
    <w:rsid w:val="00CD0583"/>
    <w:rsid w:val="00CD0C78"/>
    <w:rsid w:val="00CD11C5"/>
    <w:rsid w:val="00CD1B25"/>
    <w:rsid w:val="00CD272F"/>
    <w:rsid w:val="00CD3146"/>
    <w:rsid w:val="00CD3BF8"/>
    <w:rsid w:val="00CD5710"/>
    <w:rsid w:val="00CD6289"/>
    <w:rsid w:val="00CD66AB"/>
    <w:rsid w:val="00CD75BE"/>
    <w:rsid w:val="00CE02C4"/>
    <w:rsid w:val="00CE0BDD"/>
    <w:rsid w:val="00CE0D8F"/>
    <w:rsid w:val="00CE1E19"/>
    <w:rsid w:val="00CE2A9B"/>
    <w:rsid w:val="00CE2F6E"/>
    <w:rsid w:val="00CE3427"/>
    <w:rsid w:val="00CE38A4"/>
    <w:rsid w:val="00CE3FD8"/>
    <w:rsid w:val="00CE45C0"/>
    <w:rsid w:val="00CE4B9E"/>
    <w:rsid w:val="00CE5A2F"/>
    <w:rsid w:val="00CE66D7"/>
    <w:rsid w:val="00CE7473"/>
    <w:rsid w:val="00CE7CC7"/>
    <w:rsid w:val="00CF02B8"/>
    <w:rsid w:val="00CF07C1"/>
    <w:rsid w:val="00CF13BE"/>
    <w:rsid w:val="00CF29C7"/>
    <w:rsid w:val="00CF3FD3"/>
    <w:rsid w:val="00CF40B2"/>
    <w:rsid w:val="00CF4575"/>
    <w:rsid w:val="00CF5B1D"/>
    <w:rsid w:val="00CF744E"/>
    <w:rsid w:val="00CF78BC"/>
    <w:rsid w:val="00CF7AA6"/>
    <w:rsid w:val="00D015E4"/>
    <w:rsid w:val="00D023BC"/>
    <w:rsid w:val="00D02452"/>
    <w:rsid w:val="00D044EE"/>
    <w:rsid w:val="00D06AD9"/>
    <w:rsid w:val="00D1005A"/>
    <w:rsid w:val="00D11550"/>
    <w:rsid w:val="00D1288D"/>
    <w:rsid w:val="00D12FFD"/>
    <w:rsid w:val="00D132E5"/>
    <w:rsid w:val="00D13601"/>
    <w:rsid w:val="00D14B87"/>
    <w:rsid w:val="00D15DD8"/>
    <w:rsid w:val="00D169C6"/>
    <w:rsid w:val="00D175AE"/>
    <w:rsid w:val="00D17C3E"/>
    <w:rsid w:val="00D17C56"/>
    <w:rsid w:val="00D17C66"/>
    <w:rsid w:val="00D20CEC"/>
    <w:rsid w:val="00D230A9"/>
    <w:rsid w:val="00D2487C"/>
    <w:rsid w:val="00D256F8"/>
    <w:rsid w:val="00D25B59"/>
    <w:rsid w:val="00D264FA"/>
    <w:rsid w:val="00D26710"/>
    <w:rsid w:val="00D26E79"/>
    <w:rsid w:val="00D276B9"/>
    <w:rsid w:val="00D276E2"/>
    <w:rsid w:val="00D278C1"/>
    <w:rsid w:val="00D27C6E"/>
    <w:rsid w:val="00D27E2E"/>
    <w:rsid w:val="00D300F9"/>
    <w:rsid w:val="00D318F9"/>
    <w:rsid w:val="00D3278F"/>
    <w:rsid w:val="00D32943"/>
    <w:rsid w:val="00D3367F"/>
    <w:rsid w:val="00D351A6"/>
    <w:rsid w:val="00D366AA"/>
    <w:rsid w:val="00D369E9"/>
    <w:rsid w:val="00D375B7"/>
    <w:rsid w:val="00D37648"/>
    <w:rsid w:val="00D4036B"/>
    <w:rsid w:val="00D427F7"/>
    <w:rsid w:val="00D436CC"/>
    <w:rsid w:val="00D44AB7"/>
    <w:rsid w:val="00D455ED"/>
    <w:rsid w:val="00D45FF3"/>
    <w:rsid w:val="00D465AD"/>
    <w:rsid w:val="00D50176"/>
    <w:rsid w:val="00D509A0"/>
    <w:rsid w:val="00D50ACE"/>
    <w:rsid w:val="00D50F08"/>
    <w:rsid w:val="00D53869"/>
    <w:rsid w:val="00D55E54"/>
    <w:rsid w:val="00D60DF7"/>
    <w:rsid w:val="00D60FDA"/>
    <w:rsid w:val="00D61A38"/>
    <w:rsid w:val="00D6285F"/>
    <w:rsid w:val="00D64867"/>
    <w:rsid w:val="00D64A6A"/>
    <w:rsid w:val="00D64B3C"/>
    <w:rsid w:val="00D662B6"/>
    <w:rsid w:val="00D66616"/>
    <w:rsid w:val="00D66A69"/>
    <w:rsid w:val="00D67684"/>
    <w:rsid w:val="00D7032C"/>
    <w:rsid w:val="00D70C89"/>
    <w:rsid w:val="00D71476"/>
    <w:rsid w:val="00D71813"/>
    <w:rsid w:val="00D7273E"/>
    <w:rsid w:val="00D72983"/>
    <w:rsid w:val="00D73156"/>
    <w:rsid w:val="00D74926"/>
    <w:rsid w:val="00D74E58"/>
    <w:rsid w:val="00D75006"/>
    <w:rsid w:val="00D7591F"/>
    <w:rsid w:val="00D75E07"/>
    <w:rsid w:val="00D75F14"/>
    <w:rsid w:val="00D773D9"/>
    <w:rsid w:val="00D80A03"/>
    <w:rsid w:val="00D8165C"/>
    <w:rsid w:val="00D81D6A"/>
    <w:rsid w:val="00D83882"/>
    <w:rsid w:val="00D8506F"/>
    <w:rsid w:val="00D862D5"/>
    <w:rsid w:val="00D863F8"/>
    <w:rsid w:val="00D86AF8"/>
    <w:rsid w:val="00D91023"/>
    <w:rsid w:val="00D910F3"/>
    <w:rsid w:val="00D92188"/>
    <w:rsid w:val="00D929F4"/>
    <w:rsid w:val="00D92A52"/>
    <w:rsid w:val="00D92DF5"/>
    <w:rsid w:val="00D94011"/>
    <w:rsid w:val="00D95327"/>
    <w:rsid w:val="00D96B49"/>
    <w:rsid w:val="00DA0689"/>
    <w:rsid w:val="00DA0740"/>
    <w:rsid w:val="00DA1724"/>
    <w:rsid w:val="00DA19DD"/>
    <w:rsid w:val="00DA2C42"/>
    <w:rsid w:val="00DA2E70"/>
    <w:rsid w:val="00DA4B05"/>
    <w:rsid w:val="00DA4B5A"/>
    <w:rsid w:val="00DA4B6C"/>
    <w:rsid w:val="00DA56FE"/>
    <w:rsid w:val="00DA6090"/>
    <w:rsid w:val="00DA6AAE"/>
    <w:rsid w:val="00DB1478"/>
    <w:rsid w:val="00DB29DD"/>
    <w:rsid w:val="00DB3FAD"/>
    <w:rsid w:val="00DB4A70"/>
    <w:rsid w:val="00DB5F57"/>
    <w:rsid w:val="00DB603D"/>
    <w:rsid w:val="00DB6259"/>
    <w:rsid w:val="00DC16F8"/>
    <w:rsid w:val="00DC1CB7"/>
    <w:rsid w:val="00DC29C9"/>
    <w:rsid w:val="00DC30D4"/>
    <w:rsid w:val="00DC562D"/>
    <w:rsid w:val="00DC590C"/>
    <w:rsid w:val="00DC5AF3"/>
    <w:rsid w:val="00DC699A"/>
    <w:rsid w:val="00DD1377"/>
    <w:rsid w:val="00DD1689"/>
    <w:rsid w:val="00DD2F9A"/>
    <w:rsid w:val="00DD34F5"/>
    <w:rsid w:val="00DD359A"/>
    <w:rsid w:val="00DD482D"/>
    <w:rsid w:val="00DD4CA6"/>
    <w:rsid w:val="00DD5982"/>
    <w:rsid w:val="00DE0294"/>
    <w:rsid w:val="00DE2482"/>
    <w:rsid w:val="00DE2EAF"/>
    <w:rsid w:val="00DE321E"/>
    <w:rsid w:val="00DE59D0"/>
    <w:rsid w:val="00DE59D6"/>
    <w:rsid w:val="00DE5D5D"/>
    <w:rsid w:val="00DE6891"/>
    <w:rsid w:val="00DE6A52"/>
    <w:rsid w:val="00DE6CC2"/>
    <w:rsid w:val="00DE7295"/>
    <w:rsid w:val="00DE7498"/>
    <w:rsid w:val="00DF1F1D"/>
    <w:rsid w:val="00DF225A"/>
    <w:rsid w:val="00DF238E"/>
    <w:rsid w:val="00DF51F4"/>
    <w:rsid w:val="00DF531A"/>
    <w:rsid w:val="00E01200"/>
    <w:rsid w:val="00E02484"/>
    <w:rsid w:val="00E02783"/>
    <w:rsid w:val="00E03889"/>
    <w:rsid w:val="00E040B0"/>
    <w:rsid w:val="00E04387"/>
    <w:rsid w:val="00E04CDD"/>
    <w:rsid w:val="00E05266"/>
    <w:rsid w:val="00E05285"/>
    <w:rsid w:val="00E068E0"/>
    <w:rsid w:val="00E069EC"/>
    <w:rsid w:val="00E07B2B"/>
    <w:rsid w:val="00E10077"/>
    <w:rsid w:val="00E10F3F"/>
    <w:rsid w:val="00E12506"/>
    <w:rsid w:val="00E12B4A"/>
    <w:rsid w:val="00E12C75"/>
    <w:rsid w:val="00E13497"/>
    <w:rsid w:val="00E142EE"/>
    <w:rsid w:val="00E15DE4"/>
    <w:rsid w:val="00E16347"/>
    <w:rsid w:val="00E164EA"/>
    <w:rsid w:val="00E175AF"/>
    <w:rsid w:val="00E20759"/>
    <w:rsid w:val="00E20FB9"/>
    <w:rsid w:val="00E223B2"/>
    <w:rsid w:val="00E229D4"/>
    <w:rsid w:val="00E30C70"/>
    <w:rsid w:val="00E32EB9"/>
    <w:rsid w:val="00E335DB"/>
    <w:rsid w:val="00E336C9"/>
    <w:rsid w:val="00E35D61"/>
    <w:rsid w:val="00E36857"/>
    <w:rsid w:val="00E36A4C"/>
    <w:rsid w:val="00E37EE9"/>
    <w:rsid w:val="00E40092"/>
    <w:rsid w:val="00E41131"/>
    <w:rsid w:val="00E4263A"/>
    <w:rsid w:val="00E42F6D"/>
    <w:rsid w:val="00E44003"/>
    <w:rsid w:val="00E461D2"/>
    <w:rsid w:val="00E47792"/>
    <w:rsid w:val="00E51F9C"/>
    <w:rsid w:val="00E53062"/>
    <w:rsid w:val="00E537F5"/>
    <w:rsid w:val="00E54779"/>
    <w:rsid w:val="00E54845"/>
    <w:rsid w:val="00E54A41"/>
    <w:rsid w:val="00E54B38"/>
    <w:rsid w:val="00E56539"/>
    <w:rsid w:val="00E6271F"/>
    <w:rsid w:val="00E6363A"/>
    <w:rsid w:val="00E64D86"/>
    <w:rsid w:val="00E65F5B"/>
    <w:rsid w:val="00E665B5"/>
    <w:rsid w:val="00E70158"/>
    <w:rsid w:val="00E70869"/>
    <w:rsid w:val="00E70B8D"/>
    <w:rsid w:val="00E7199A"/>
    <w:rsid w:val="00E7411B"/>
    <w:rsid w:val="00E75295"/>
    <w:rsid w:val="00E75C4F"/>
    <w:rsid w:val="00E76391"/>
    <w:rsid w:val="00E76B0D"/>
    <w:rsid w:val="00E7755B"/>
    <w:rsid w:val="00E77B63"/>
    <w:rsid w:val="00E83A70"/>
    <w:rsid w:val="00E83C12"/>
    <w:rsid w:val="00E85770"/>
    <w:rsid w:val="00E85F78"/>
    <w:rsid w:val="00E864EF"/>
    <w:rsid w:val="00E87804"/>
    <w:rsid w:val="00E90072"/>
    <w:rsid w:val="00E90AD9"/>
    <w:rsid w:val="00E915D8"/>
    <w:rsid w:val="00E91822"/>
    <w:rsid w:val="00E91F95"/>
    <w:rsid w:val="00E923E2"/>
    <w:rsid w:val="00E92A3D"/>
    <w:rsid w:val="00E92B7B"/>
    <w:rsid w:val="00E93015"/>
    <w:rsid w:val="00E94724"/>
    <w:rsid w:val="00E95BEB"/>
    <w:rsid w:val="00E95D1C"/>
    <w:rsid w:val="00E97320"/>
    <w:rsid w:val="00E978C7"/>
    <w:rsid w:val="00EA0C62"/>
    <w:rsid w:val="00EA2538"/>
    <w:rsid w:val="00EA2E47"/>
    <w:rsid w:val="00EA38BF"/>
    <w:rsid w:val="00EA3D38"/>
    <w:rsid w:val="00EA505C"/>
    <w:rsid w:val="00EA5E29"/>
    <w:rsid w:val="00EA65A6"/>
    <w:rsid w:val="00EA691E"/>
    <w:rsid w:val="00EA7542"/>
    <w:rsid w:val="00EA7B84"/>
    <w:rsid w:val="00EB1819"/>
    <w:rsid w:val="00EB2307"/>
    <w:rsid w:val="00EB2BE1"/>
    <w:rsid w:val="00EB4CF2"/>
    <w:rsid w:val="00EB5543"/>
    <w:rsid w:val="00EB7169"/>
    <w:rsid w:val="00EB76DE"/>
    <w:rsid w:val="00EC0562"/>
    <w:rsid w:val="00EC16DD"/>
    <w:rsid w:val="00EC1C54"/>
    <w:rsid w:val="00EC3768"/>
    <w:rsid w:val="00EC476F"/>
    <w:rsid w:val="00EC4E0E"/>
    <w:rsid w:val="00EC54B3"/>
    <w:rsid w:val="00EC5F53"/>
    <w:rsid w:val="00EC602E"/>
    <w:rsid w:val="00EC670C"/>
    <w:rsid w:val="00ED14E2"/>
    <w:rsid w:val="00ED160E"/>
    <w:rsid w:val="00ED2EFC"/>
    <w:rsid w:val="00ED5488"/>
    <w:rsid w:val="00EE038F"/>
    <w:rsid w:val="00EE12EC"/>
    <w:rsid w:val="00EE138B"/>
    <w:rsid w:val="00EE4A07"/>
    <w:rsid w:val="00EE4ACB"/>
    <w:rsid w:val="00EE58F6"/>
    <w:rsid w:val="00EE5CA2"/>
    <w:rsid w:val="00EF0070"/>
    <w:rsid w:val="00EF2292"/>
    <w:rsid w:val="00EF2855"/>
    <w:rsid w:val="00EF3E05"/>
    <w:rsid w:val="00EF4594"/>
    <w:rsid w:val="00EF45E3"/>
    <w:rsid w:val="00EF5421"/>
    <w:rsid w:val="00EF6CDB"/>
    <w:rsid w:val="00EF6DBF"/>
    <w:rsid w:val="00EF7D29"/>
    <w:rsid w:val="00F00C5D"/>
    <w:rsid w:val="00F05799"/>
    <w:rsid w:val="00F0595C"/>
    <w:rsid w:val="00F062C7"/>
    <w:rsid w:val="00F07EB0"/>
    <w:rsid w:val="00F1152A"/>
    <w:rsid w:val="00F11C6E"/>
    <w:rsid w:val="00F12DFE"/>
    <w:rsid w:val="00F139BE"/>
    <w:rsid w:val="00F1735C"/>
    <w:rsid w:val="00F1764F"/>
    <w:rsid w:val="00F17C7D"/>
    <w:rsid w:val="00F209BF"/>
    <w:rsid w:val="00F226E7"/>
    <w:rsid w:val="00F23026"/>
    <w:rsid w:val="00F23541"/>
    <w:rsid w:val="00F23584"/>
    <w:rsid w:val="00F2463F"/>
    <w:rsid w:val="00F25E61"/>
    <w:rsid w:val="00F26874"/>
    <w:rsid w:val="00F273E0"/>
    <w:rsid w:val="00F2772B"/>
    <w:rsid w:val="00F300A9"/>
    <w:rsid w:val="00F31CA6"/>
    <w:rsid w:val="00F32B6D"/>
    <w:rsid w:val="00F33BC1"/>
    <w:rsid w:val="00F3559D"/>
    <w:rsid w:val="00F36E3B"/>
    <w:rsid w:val="00F37C3F"/>
    <w:rsid w:val="00F4012C"/>
    <w:rsid w:val="00F4134D"/>
    <w:rsid w:val="00F41DA6"/>
    <w:rsid w:val="00F421B6"/>
    <w:rsid w:val="00F42379"/>
    <w:rsid w:val="00F4305E"/>
    <w:rsid w:val="00F45D3B"/>
    <w:rsid w:val="00F47D80"/>
    <w:rsid w:val="00F51D6E"/>
    <w:rsid w:val="00F53784"/>
    <w:rsid w:val="00F5421B"/>
    <w:rsid w:val="00F54A04"/>
    <w:rsid w:val="00F54C18"/>
    <w:rsid w:val="00F54E80"/>
    <w:rsid w:val="00F557CE"/>
    <w:rsid w:val="00F56378"/>
    <w:rsid w:val="00F568F5"/>
    <w:rsid w:val="00F5702D"/>
    <w:rsid w:val="00F60E2C"/>
    <w:rsid w:val="00F6187E"/>
    <w:rsid w:val="00F63E49"/>
    <w:rsid w:val="00F63E99"/>
    <w:rsid w:val="00F656A6"/>
    <w:rsid w:val="00F66DB2"/>
    <w:rsid w:val="00F67D9F"/>
    <w:rsid w:val="00F71869"/>
    <w:rsid w:val="00F74A91"/>
    <w:rsid w:val="00F76450"/>
    <w:rsid w:val="00F7719B"/>
    <w:rsid w:val="00F77EA3"/>
    <w:rsid w:val="00F81205"/>
    <w:rsid w:val="00F843AD"/>
    <w:rsid w:val="00F8525E"/>
    <w:rsid w:val="00F86B1A"/>
    <w:rsid w:val="00F86D84"/>
    <w:rsid w:val="00F87B52"/>
    <w:rsid w:val="00F87C43"/>
    <w:rsid w:val="00F90345"/>
    <w:rsid w:val="00F90832"/>
    <w:rsid w:val="00F90931"/>
    <w:rsid w:val="00F909CB"/>
    <w:rsid w:val="00F91680"/>
    <w:rsid w:val="00F91B2A"/>
    <w:rsid w:val="00F929A9"/>
    <w:rsid w:val="00F92C45"/>
    <w:rsid w:val="00F93454"/>
    <w:rsid w:val="00F93E6C"/>
    <w:rsid w:val="00F942FA"/>
    <w:rsid w:val="00F94E34"/>
    <w:rsid w:val="00F94FE3"/>
    <w:rsid w:val="00F96337"/>
    <w:rsid w:val="00F966ED"/>
    <w:rsid w:val="00F977E5"/>
    <w:rsid w:val="00FA022F"/>
    <w:rsid w:val="00FA0EA6"/>
    <w:rsid w:val="00FA12A1"/>
    <w:rsid w:val="00FA3D02"/>
    <w:rsid w:val="00FA40DB"/>
    <w:rsid w:val="00FA56C9"/>
    <w:rsid w:val="00FA5A26"/>
    <w:rsid w:val="00FA60C8"/>
    <w:rsid w:val="00FA684E"/>
    <w:rsid w:val="00FA7FD4"/>
    <w:rsid w:val="00FB056F"/>
    <w:rsid w:val="00FB06F7"/>
    <w:rsid w:val="00FB07EE"/>
    <w:rsid w:val="00FB13EE"/>
    <w:rsid w:val="00FB15CA"/>
    <w:rsid w:val="00FB19F2"/>
    <w:rsid w:val="00FB252F"/>
    <w:rsid w:val="00FB2963"/>
    <w:rsid w:val="00FB2FAA"/>
    <w:rsid w:val="00FB3763"/>
    <w:rsid w:val="00FB41F6"/>
    <w:rsid w:val="00FB4A5E"/>
    <w:rsid w:val="00FB4E0C"/>
    <w:rsid w:val="00FB5BC4"/>
    <w:rsid w:val="00FB6674"/>
    <w:rsid w:val="00FB6FCF"/>
    <w:rsid w:val="00FC1A36"/>
    <w:rsid w:val="00FC1DE0"/>
    <w:rsid w:val="00FC1E76"/>
    <w:rsid w:val="00FC22A5"/>
    <w:rsid w:val="00FC31FE"/>
    <w:rsid w:val="00FC3A0B"/>
    <w:rsid w:val="00FC5252"/>
    <w:rsid w:val="00FC7623"/>
    <w:rsid w:val="00FC789C"/>
    <w:rsid w:val="00FD0A61"/>
    <w:rsid w:val="00FD0B24"/>
    <w:rsid w:val="00FD2F79"/>
    <w:rsid w:val="00FD3393"/>
    <w:rsid w:val="00FD3CCB"/>
    <w:rsid w:val="00FD6C79"/>
    <w:rsid w:val="00FD7E9B"/>
    <w:rsid w:val="00FE0DA5"/>
    <w:rsid w:val="00FE1241"/>
    <w:rsid w:val="00FE34BD"/>
    <w:rsid w:val="00FE3D89"/>
    <w:rsid w:val="00FE4455"/>
    <w:rsid w:val="00FE450C"/>
    <w:rsid w:val="00FE55B5"/>
    <w:rsid w:val="00FE5D06"/>
    <w:rsid w:val="00FE6F94"/>
    <w:rsid w:val="00FE7050"/>
    <w:rsid w:val="00FF2B5C"/>
    <w:rsid w:val="00FF2F0B"/>
    <w:rsid w:val="00FF3A0A"/>
    <w:rsid w:val="00FF3F09"/>
    <w:rsid w:val="00FF4190"/>
    <w:rsid w:val="00FF4DC1"/>
    <w:rsid w:val="00FF57D5"/>
    <w:rsid w:val="00FF5EF8"/>
    <w:rsid w:val="00FF685A"/>
    <w:rsid w:val="00FF7100"/>
    <w:rsid w:val="00FF7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8D7"/>
  <w15:chartTrackingRefBased/>
  <w15:docId w15:val="{612309D4-E472-EF4C-A928-22697E2A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3204"/>
    <w:rPr>
      <w:i/>
      <w:iCs/>
    </w:rPr>
  </w:style>
  <w:style w:type="paragraph" w:styleId="ListParagraph">
    <w:name w:val="List Paragraph"/>
    <w:basedOn w:val="Normal"/>
    <w:uiPriority w:val="34"/>
    <w:qFormat/>
    <w:rsid w:val="00BE363F"/>
    <w:pPr>
      <w:ind w:left="720"/>
      <w:contextualSpacing/>
    </w:pPr>
  </w:style>
  <w:style w:type="paragraph" w:styleId="Header">
    <w:name w:val="header"/>
    <w:basedOn w:val="Normal"/>
    <w:link w:val="HeaderChar"/>
    <w:uiPriority w:val="99"/>
    <w:unhideWhenUsed/>
    <w:rsid w:val="00BE3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3F"/>
  </w:style>
  <w:style w:type="paragraph" w:styleId="Footer">
    <w:name w:val="footer"/>
    <w:basedOn w:val="Normal"/>
    <w:link w:val="FooterChar"/>
    <w:uiPriority w:val="99"/>
    <w:unhideWhenUsed/>
    <w:rsid w:val="00BE3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3F"/>
  </w:style>
  <w:style w:type="paragraph" w:customStyle="1" w:styleId="p">
    <w:name w:val="p"/>
    <w:basedOn w:val="Normal"/>
    <w:rsid w:val="000F7E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7E71"/>
    <w:rPr>
      <w:color w:val="0000FF"/>
      <w:u w:val="single"/>
    </w:rPr>
  </w:style>
  <w:style w:type="paragraph" w:styleId="NormalWeb">
    <w:name w:val="Normal (Web)"/>
    <w:basedOn w:val="Normal"/>
    <w:uiPriority w:val="99"/>
    <w:semiHidden/>
    <w:unhideWhenUsed/>
    <w:rsid w:val="000F7E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5DD8"/>
    <w:rPr>
      <w:sz w:val="16"/>
      <w:szCs w:val="16"/>
    </w:rPr>
  </w:style>
  <w:style w:type="paragraph" w:styleId="CommentText">
    <w:name w:val="annotation text"/>
    <w:basedOn w:val="Normal"/>
    <w:link w:val="CommentTextChar"/>
    <w:uiPriority w:val="99"/>
    <w:unhideWhenUsed/>
    <w:rsid w:val="00D15DD8"/>
    <w:pPr>
      <w:spacing w:line="240" w:lineRule="auto"/>
    </w:pPr>
    <w:rPr>
      <w:sz w:val="20"/>
      <w:szCs w:val="20"/>
    </w:rPr>
  </w:style>
  <w:style w:type="character" w:customStyle="1" w:styleId="CommentTextChar">
    <w:name w:val="Comment Text Char"/>
    <w:basedOn w:val="DefaultParagraphFont"/>
    <w:link w:val="CommentText"/>
    <w:uiPriority w:val="99"/>
    <w:rsid w:val="00D15DD8"/>
    <w:rPr>
      <w:sz w:val="20"/>
      <w:szCs w:val="20"/>
    </w:rPr>
  </w:style>
  <w:style w:type="paragraph" w:styleId="CommentSubject">
    <w:name w:val="annotation subject"/>
    <w:basedOn w:val="CommentText"/>
    <w:next w:val="CommentText"/>
    <w:link w:val="CommentSubjectChar"/>
    <w:uiPriority w:val="99"/>
    <w:semiHidden/>
    <w:unhideWhenUsed/>
    <w:rsid w:val="00D15DD8"/>
    <w:rPr>
      <w:b/>
      <w:bCs/>
    </w:rPr>
  </w:style>
  <w:style w:type="character" w:customStyle="1" w:styleId="CommentSubjectChar">
    <w:name w:val="Comment Subject Char"/>
    <w:basedOn w:val="CommentTextChar"/>
    <w:link w:val="CommentSubject"/>
    <w:uiPriority w:val="99"/>
    <w:semiHidden/>
    <w:rsid w:val="00D15DD8"/>
    <w:rPr>
      <w:b/>
      <w:bCs/>
      <w:sz w:val="20"/>
      <w:szCs w:val="20"/>
    </w:rPr>
  </w:style>
  <w:style w:type="paragraph" w:styleId="Revision">
    <w:name w:val="Revision"/>
    <w:hidden/>
    <w:uiPriority w:val="99"/>
    <w:semiHidden/>
    <w:rsid w:val="00D15DD8"/>
    <w:pPr>
      <w:spacing w:after="0" w:line="240" w:lineRule="auto"/>
    </w:pPr>
  </w:style>
  <w:style w:type="character" w:styleId="UnresolvedMention">
    <w:name w:val="Unresolved Mention"/>
    <w:basedOn w:val="DefaultParagraphFont"/>
    <w:uiPriority w:val="99"/>
    <w:semiHidden/>
    <w:unhideWhenUsed/>
    <w:rsid w:val="004F615C"/>
    <w:rPr>
      <w:color w:val="605E5C"/>
      <w:shd w:val="clear" w:color="auto" w:fill="E1DFDD"/>
    </w:rPr>
  </w:style>
  <w:style w:type="paragraph" w:styleId="BalloonText">
    <w:name w:val="Balloon Text"/>
    <w:basedOn w:val="Normal"/>
    <w:link w:val="BalloonTextChar"/>
    <w:uiPriority w:val="99"/>
    <w:semiHidden/>
    <w:unhideWhenUsed/>
    <w:rsid w:val="00323F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F4C"/>
    <w:rPr>
      <w:rFonts w:ascii="Times New Roman" w:hAnsi="Times New Roman" w:cs="Times New Roman"/>
      <w:sz w:val="18"/>
      <w:szCs w:val="18"/>
    </w:rPr>
  </w:style>
  <w:style w:type="paragraph" w:customStyle="1" w:styleId="rteindent1">
    <w:name w:val="rteindent1"/>
    <w:basedOn w:val="Normal"/>
    <w:rsid w:val="003E7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
    <w:name w:val="ip"/>
    <w:basedOn w:val="Normal"/>
    <w:rsid w:val="00C07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4CAD"/>
    <w:rPr>
      <w:color w:val="954F72" w:themeColor="followedHyperlink"/>
      <w:u w:val="single"/>
    </w:rPr>
  </w:style>
  <w:style w:type="character" w:customStyle="1" w:styleId="apple-converted-space">
    <w:name w:val="apple-converted-space"/>
    <w:basedOn w:val="DefaultParagraphFont"/>
    <w:rsid w:val="00CC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9425">
      <w:bodyDiv w:val="1"/>
      <w:marLeft w:val="0"/>
      <w:marRight w:val="0"/>
      <w:marTop w:val="0"/>
      <w:marBottom w:val="0"/>
      <w:divBdr>
        <w:top w:val="none" w:sz="0" w:space="0" w:color="auto"/>
        <w:left w:val="none" w:sz="0" w:space="0" w:color="auto"/>
        <w:bottom w:val="none" w:sz="0" w:space="0" w:color="auto"/>
        <w:right w:val="none" w:sz="0" w:space="0" w:color="auto"/>
      </w:divBdr>
    </w:div>
    <w:div w:id="213810759">
      <w:bodyDiv w:val="1"/>
      <w:marLeft w:val="0"/>
      <w:marRight w:val="0"/>
      <w:marTop w:val="0"/>
      <w:marBottom w:val="0"/>
      <w:divBdr>
        <w:top w:val="none" w:sz="0" w:space="0" w:color="auto"/>
        <w:left w:val="none" w:sz="0" w:space="0" w:color="auto"/>
        <w:bottom w:val="none" w:sz="0" w:space="0" w:color="auto"/>
        <w:right w:val="none" w:sz="0" w:space="0" w:color="auto"/>
      </w:divBdr>
    </w:div>
    <w:div w:id="351227133">
      <w:bodyDiv w:val="1"/>
      <w:marLeft w:val="0"/>
      <w:marRight w:val="0"/>
      <w:marTop w:val="0"/>
      <w:marBottom w:val="0"/>
      <w:divBdr>
        <w:top w:val="none" w:sz="0" w:space="0" w:color="auto"/>
        <w:left w:val="none" w:sz="0" w:space="0" w:color="auto"/>
        <w:bottom w:val="none" w:sz="0" w:space="0" w:color="auto"/>
        <w:right w:val="none" w:sz="0" w:space="0" w:color="auto"/>
      </w:divBdr>
    </w:div>
    <w:div w:id="436481622">
      <w:bodyDiv w:val="1"/>
      <w:marLeft w:val="0"/>
      <w:marRight w:val="0"/>
      <w:marTop w:val="0"/>
      <w:marBottom w:val="0"/>
      <w:divBdr>
        <w:top w:val="none" w:sz="0" w:space="0" w:color="auto"/>
        <w:left w:val="none" w:sz="0" w:space="0" w:color="auto"/>
        <w:bottom w:val="none" w:sz="0" w:space="0" w:color="auto"/>
        <w:right w:val="none" w:sz="0" w:space="0" w:color="auto"/>
      </w:divBdr>
    </w:div>
    <w:div w:id="539512183">
      <w:bodyDiv w:val="1"/>
      <w:marLeft w:val="0"/>
      <w:marRight w:val="0"/>
      <w:marTop w:val="0"/>
      <w:marBottom w:val="0"/>
      <w:divBdr>
        <w:top w:val="none" w:sz="0" w:space="0" w:color="auto"/>
        <w:left w:val="none" w:sz="0" w:space="0" w:color="auto"/>
        <w:bottom w:val="none" w:sz="0" w:space="0" w:color="auto"/>
        <w:right w:val="none" w:sz="0" w:space="0" w:color="auto"/>
      </w:divBdr>
    </w:div>
    <w:div w:id="588077075">
      <w:bodyDiv w:val="1"/>
      <w:marLeft w:val="0"/>
      <w:marRight w:val="0"/>
      <w:marTop w:val="0"/>
      <w:marBottom w:val="0"/>
      <w:divBdr>
        <w:top w:val="none" w:sz="0" w:space="0" w:color="auto"/>
        <w:left w:val="none" w:sz="0" w:space="0" w:color="auto"/>
        <w:bottom w:val="none" w:sz="0" w:space="0" w:color="auto"/>
        <w:right w:val="none" w:sz="0" w:space="0" w:color="auto"/>
      </w:divBdr>
    </w:div>
    <w:div w:id="676739131">
      <w:bodyDiv w:val="1"/>
      <w:marLeft w:val="0"/>
      <w:marRight w:val="0"/>
      <w:marTop w:val="0"/>
      <w:marBottom w:val="0"/>
      <w:divBdr>
        <w:top w:val="none" w:sz="0" w:space="0" w:color="auto"/>
        <w:left w:val="none" w:sz="0" w:space="0" w:color="auto"/>
        <w:bottom w:val="none" w:sz="0" w:space="0" w:color="auto"/>
        <w:right w:val="none" w:sz="0" w:space="0" w:color="auto"/>
      </w:divBdr>
    </w:div>
    <w:div w:id="763496208">
      <w:bodyDiv w:val="1"/>
      <w:marLeft w:val="0"/>
      <w:marRight w:val="0"/>
      <w:marTop w:val="0"/>
      <w:marBottom w:val="0"/>
      <w:divBdr>
        <w:top w:val="none" w:sz="0" w:space="0" w:color="auto"/>
        <w:left w:val="none" w:sz="0" w:space="0" w:color="auto"/>
        <w:bottom w:val="none" w:sz="0" w:space="0" w:color="auto"/>
        <w:right w:val="none" w:sz="0" w:space="0" w:color="auto"/>
      </w:divBdr>
    </w:div>
    <w:div w:id="838617941">
      <w:bodyDiv w:val="1"/>
      <w:marLeft w:val="0"/>
      <w:marRight w:val="0"/>
      <w:marTop w:val="0"/>
      <w:marBottom w:val="0"/>
      <w:divBdr>
        <w:top w:val="none" w:sz="0" w:space="0" w:color="auto"/>
        <w:left w:val="none" w:sz="0" w:space="0" w:color="auto"/>
        <w:bottom w:val="none" w:sz="0" w:space="0" w:color="auto"/>
        <w:right w:val="none" w:sz="0" w:space="0" w:color="auto"/>
      </w:divBdr>
    </w:div>
    <w:div w:id="880825441">
      <w:bodyDiv w:val="1"/>
      <w:marLeft w:val="0"/>
      <w:marRight w:val="0"/>
      <w:marTop w:val="0"/>
      <w:marBottom w:val="0"/>
      <w:divBdr>
        <w:top w:val="none" w:sz="0" w:space="0" w:color="auto"/>
        <w:left w:val="none" w:sz="0" w:space="0" w:color="auto"/>
        <w:bottom w:val="none" w:sz="0" w:space="0" w:color="auto"/>
        <w:right w:val="none" w:sz="0" w:space="0" w:color="auto"/>
      </w:divBdr>
      <w:divsChild>
        <w:div w:id="537357234">
          <w:marLeft w:val="0"/>
          <w:marRight w:val="0"/>
          <w:marTop w:val="0"/>
          <w:marBottom w:val="0"/>
          <w:divBdr>
            <w:top w:val="none" w:sz="0" w:space="0" w:color="auto"/>
            <w:left w:val="none" w:sz="0" w:space="0" w:color="auto"/>
            <w:bottom w:val="none" w:sz="0" w:space="0" w:color="auto"/>
            <w:right w:val="none" w:sz="0" w:space="0" w:color="auto"/>
          </w:divBdr>
          <w:divsChild>
            <w:div w:id="1684744242">
              <w:marLeft w:val="0"/>
              <w:marRight w:val="0"/>
              <w:marTop w:val="0"/>
              <w:marBottom w:val="0"/>
              <w:divBdr>
                <w:top w:val="none" w:sz="0" w:space="0" w:color="auto"/>
                <w:left w:val="none" w:sz="0" w:space="0" w:color="auto"/>
                <w:bottom w:val="none" w:sz="0" w:space="0" w:color="auto"/>
                <w:right w:val="none" w:sz="0" w:space="0" w:color="auto"/>
              </w:divBdr>
              <w:divsChild>
                <w:div w:id="1637638187">
                  <w:marLeft w:val="0"/>
                  <w:marRight w:val="0"/>
                  <w:marTop w:val="0"/>
                  <w:marBottom w:val="0"/>
                  <w:divBdr>
                    <w:top w:val="none" w:sz="0" w:space="0" w:color="auto"/>
                    <w:left w:val="none" w:sz="0" w:space="0" w:color="auto"/>
                    <w:bottom w:val="none" w:sz="0" w:space="0" w:color="auto"/>
                    <w:right w:val="none" w:sz="0" w:space="0" w:color="auto"/>
                  </w:divBdr>
                  <w:divsChild>
                    <w:div w:id="848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2631">
          <w:marLeft w:val="0"/>
          <w:marRight w:val="0"/>
          <w:marTop w:val="0"/>
          <w:marBottom w:val="0"/>
          <w:divBdr>
            <w:top w:val="none" w:sz="0" w:space="0" w:color="auto"/>
            <w:left w:val="none" w:sz="0" w:space="0" w:color="auto"/>
            <w:bottom w:val="none" w:sz="0" w:space="0" w:color="auto"/>
            <w:right w:val="none" w:sz="0" w:space="0" w:color="auto"/>
          </w:divBdr>
          <w:divsChild>
            <w:div w:id="786123322">
              <w:marLeft w:val="0"/>
              <w:marRight w:val="0"/>
              <w:marTop w:val="0"/>
              <w:marBottom w:val="0"/>
              <w:divBdr>
                <w:top w:val="none" w:sz="0" w:space="0" w:color="auto"/>
                <w:left w:val="none" w:sz="0" w:space="0" w:color="auto"/>
                <w:bottom w:val="none" w:sz="0" w:space="0" w:color="auto"/>
                <w:right w:val="none" w:sz="0" w:space="0" w:color="auto"/>
              </w:divBdr>
              <w:divsChild>
                <w:div w:id="611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5098">
      <w:bodyDiv w:val="1"/>
      <w:marLeft w:val="0"/>
      <w:marRight w:val="0"/>
      <w:marTop w:val="0"/>
      <w:marBottom w:val="0"/>
      <w:divBdr>
        <w:top w:val="none" w:sz="0" w:space="0" w:color="auto"/>
        <w:left w:val="none" w:sz="0" w:space="0" w:color="auto"/>
        <w:bottom w:val="none" w:sz="0" w:space="0" w:color="auto"/>
        <w:right w:val="none" w:sz="0" w:space="0" w:color="auto"/>
      </w:divBdr>
    </w:div>
    <w:div w:id="1107890423">
      <w:bodyDiv w:val="1"/>
      <w:marLeft w:val="0"/>
      <w:marRight w:val="0"/>
      <w:marTop w:val="0"/>
      <w:marBottom w:val="0"/>
      <w:divBdr>
        <w:top w:val="none" w:sz="0" w:space="0" w:color="auto"/>
        <w:left w:val="none" w:sz="0" w:space="0" w:color="auto"/>
        <w:bottom w:val="none" w:sz="0" w:space="0" w:color="auto"/>
        <w:right w:val="none" w:sz="0" w:space="0" w:color="auto"/>
      </w:divBdr>
    </w:div>
    <w:div w:id="1178423689">
      <w:bodyDiv w:val="1"/>
      <w:marLeft w:val="0"/>
      <w:marRight w:val="0"/>
      <w:marTop w:val="0"/>
      <w:marBottom w:val="0"/>
      <w:divBdr>
        <w:top w:val="none" w:sz="0" w:space="0" w:color="auto"/>
        <w:left w:val="none" w:sz="0" w:space="0" w:color="auto"/>
        <w:bottom w:val="none" w:sz="0" w:space="0" w:color="auto"/>
        <w:right w:val="none" w:sz="0" w:space="0" w:color="auto"/>
      </w:divBdr>
    </w:div>
    <w:div w:id="1210612903">
      <w:bodyDiv w:val="1"/>
      <w:marLeft w:val="0"/>
      <w:marRight w:val="0"/>
      <w:marTop w:val="0"/>
      <w:marBottom w:val="0"/>
      <w:divBdr>
        <w:top w:val="none" w:sz="0" w:space="0" w:color="auto"/>
        <w:left w:val="none" w:sz="0" w:space="0" w:color="auto"/>
        <w:bottom w:val="none" w:sz="0" w:space="0" w:color="auto"/>
        <w:right w:val="none" w:sz="0" w:space="0" w:color="auto"/>
      </w:divBdr>
    </w:div>
    <w:div w:id="1257248753">
      <w:bodyDiv w:val="1"/>
      <w:marLeft w:val="0"/>
      <w:marRight w:val="0"/>
      <w:marTop w:val="0"/>
      <w:marBottom w:val="0"/>
      <w:divBdr>
        <w:top w:val="none" w:sz="0" w:space="0" w:color="auto"/>
        <w:left w:val="none" w:sz="0" w:space="0" w:color="auto"/>
        <w:bottom w:val="none" w:sz="0" w:space="0" w:color="auto"/>
        <w:right w:val="none" w:sz="0" w:space="0" w:color="auto"/>
      </w:divBdr>
    </w:div>
    <w:div w:id="1361010533">
      <w:bodyDiv w:val="1"/>
      <w:marLeft w:val="0"/>
      <w:marRight w:val="0"/>
      <w:marTop w:val="0"/>
      <w:marBottom w:val="0"/>
      <w:divBdr>
        <w:top w:val="none" w:sz="0" w:space="0" w:color="auto"/>
        <w:left w:val="none" w:sz="0" w:space="0" w:color="auto"/>
        <w:bottom w:val="none" w:sz="0" w:space="0" w:color="auto"/>
        <w:right w:val="none" w:sz="0" w:space="0" w:color="auto"/>
      </w:divBdr>
    </w:div>
    <w:div w:id="1425763198">
      <w:bodyDiv w:val="1"/>
      <w:marLeft w:val="0"/>
      <w:marRight w:val="0"/>
      <w:marTop w:val="0"/>
      <w:marBottom w:val="0"/>
      <w:divBdr>
        <w:top w:val="none" w:sz="0" w:space="0" w:color="auto"/>
        <w:left w:val="none" w:sz="0" w:space="0" w:color="auto"/>
        <w:bottom w:val="none" w:sz="0" w:space="0" w:color="auto"/>
        <w:right w:val="none" w:sz="0" w:space="0" w:color="auto"/>
      </w:divBdr>
    </w:div>
    <w:div w:id="1434130216">
      <w:bodyDiv w:val="1"/>
      <w:marLeft w:val="0"/>
      <w:marRight w:val="0"/>
      <w:marTop w:val="0"/>
      <w:marBottom w:val="0"/>
      <w:divBdr>
        <w:top w:val="none" w:sz="0" w:space="0" w:color="auto"/>
        <w:left w:val="none" w:sz="0" w:space="0" w:color="auto"/>
        <w:bottom w:val="none" w:sz="0" w:space="0" w:color="auto"/>
        <w:right w:val="none" w:sz="0" w:space="0" w:color="auto"/>
      </w:divBdr>
    </w:div>
    <w:div w:id="1439450537">
      <w:bodyDiv w:val="1"/>
      <w:marLeft w:val="0"/>
      <w:marRight w:val="0"/>
      <w:marTop w:val="0"/>
      <w:marBottom w:val="0"/>
      <w:divBdr>
        <w:top w:val="none" w:sz="0" w:space="0" w:color="auto"/>
        <w:left w:val="none" w:sz="0" w:space="0" w:color="auto"/>
        <w:bottom w:val="none" w:sz="0" w:space="0" w:color="auto"/>
        <w:right w:val="none" w:sz="0" w:space="0" w:color="auto"/>
      </w:divBdr>
    </w:div>
    <w:div w:id="1698509071">
      <w:bodyDiv w:val="1"/>
      <w:marLeft w:val="0"/>
      <w:marRight w:val="0"/>
      <w:marTop w:val="0"/>
      <w:marBottom w:val="0"/>
      <w:divBdr>
        <w:top w:val="none" w:sz="0" w:space="0" w:color="auto"/>
        <w:left w:val="none" w:sz="0" w:space="0" w:color="auto"/>
        <w:bottom w:val="none" w:sz="0" w:space="0" w:color="auto"/>
        <w:right w:val="none" w:sz="0" w:space="0" w:color="auto"/>
      </w:divBdr>
    </w:div>
    <w:div w:id="1769109634">
      <w:bodyDiv w:val="1"/>
      <w:marLeft w:val="0"/>
      <w:marRight w:val="0"/>
      <w:marTop w:val="0"/>
      <w:marBottom w:val="0"/>
      <w:divBdr>
        <w:top w:val="none" w:sz="0" w:space="0" w:color="auto"/>
        <w:left w:val="none" w:sz="0" w:space="0" w:color="auto"/>
        <w:bottom w:val="none" w:sz="0" w:space="0" w:color="auto"/>
        <w:right w:val="none" w:sz="0" w:space="0" w:color="auto"/>
      </w:divBdr>
    </w:div>
    <w:div w:id="1830176029">
      <w:bodyDiv w:val="1"/>
      <w:marLeft w:val="0"/>
      <w:marRight w:val="0"/>
      <w:marTop w:val="0"/>
      <w:marBottom w:val="0"/>
      <w:divBdr>
        <w:top w:val="none" w:sz="0" w:space="0" w:color="auto"/>
        <w:left w:val="none" w:sz="0" w:space="0" w:color="auto"/>
        <w:bottom w:val="none" w:sz="0" w:space="0" w:color="auto"/>
        <w:right w:val="none" w:sz="0" w:space="0" w:color="auto"/>
      </w:divBdr>
    </w:div>
    <w:div w:id="2116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kaski@sgul.ac.uk" TargetMode="External"/><Relationship Id="rId18" Type="http://schemas.openxmlformats.org/officeDocument/2006/relationships/hyperlink" Target="mailto:albert.ferro@kcl.ac.uk" TargetMode="External"/><Relationship Id="rId26" Type="http://schemas.openxmlformats.org/officeDocument/2006/relationships/hyperlink" Target="mailto:doreen.tan.sy@nus.edu.sg" TargetMode="External"/><Relationship Id="rId3" Type="http://schemas.openxmlformats.org/officeDocument/2006/relationships/customXml" Target="../customXml/item3.xml"/><Relationship Id="rId21" Type="http://schemas.openxmlformats.org/officeDocument/2006/relationships/hyperlink" Target="mailto:mamasmamas1@yahoo.co.uk" TargetMode="External"/><Relationship Id="rId7" Type="http://schemas.openxmlformats.org/officeDocument/2006/relationships/styles" Target="styles.xml"/><Relationship Id="rId12" Type="http://schemas.openxmlformats.org/officeDocument/2006/relationships/hyperlink" Target="mailto:dlbhattmd@post.harvard.edu" TargetMode="External"/><Relationship Id="rId17" Type="http://schemas.openxmlformats.org/officeDocument/2006/relationships/hyperlink" Target="mailto:Dominick.angiolillo@jax.ufl.edu" TargetMode="External"/><Relationship Id="rId25" Type="http://schemas.openxmlformats.org/officeDocument/2006/relationships/hyperlink" Target="mailto:jtamargo@med.ucm.es" TargetMode="External"/><Relationship Id="rId2" Type="http://schemas.openxmlformats.org/officeDocument/2006/relationships/customXml" Target="../customXml/item2.xml"/><Relationship Id="rId16" Type="http://schemas.openxmlformats.org/officeDocument/2006/relationships/hyperlink" Target="mailto:felicita.andreotti@unicatt.it" TargetMode="External"/><Relationship Id="rId20" Type="http://schemas.openxmlformats.org/officeDocument/2006/relationships/hyperlink" Target="mailto:alberto.lorenzatti@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abriel.steg@bch.aphp.fr" TargetMode="External"/><Relationship Id="rId5" Type="http://schemas.openxmlformats.org/officeDocument/2006/relationships/customXml" Target="../customXml/item5.xml"/><Relationship Id="rId15" Type="http://schemas.openxmlformats.org/officeDocument/2006/relationships/hyperlink" Target="mailto:mirvat@jeddacath.com" TargetMode="External"/><Relationship Id="rId23" Type="http://schemas.openxmlformats.org/officeDocument/2006/relationships/hyperlink" Target="mailto:jose.nicolau@incor.usp.b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gorog@imperial.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an.delaney@radcliffe-cardioogy.com" TargetMode="External"/><Relationship Id="rId22" Type="http://schemas.openxmlformats.org/officeDocument/2006/relationships/hyperlink" Target="mailto:john.mcneil@monash.edu" TargetMode="External"/><Relationship Id="rId27" Type="http://schemas.openxmlformats.org/officeDocument/2006/relationships/hyperlink" Target="mailto:Marco.Valgimigli@cardiocentro.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7AAF5D0B355D43A75F7E5209A98958" ma:contentTypeVersion="176" ma:contentTypeDescription="Create a new document." ma:contentTypeScope="" ma:versionID="6974ad2eb8132780f84176603b8c3ef5">
  <xsd:schema xmlns:xsd="http://www.w3.org/2001/XMLSchema" xmlns:xs="http://www.w3.org/2001/XMLSchema" xmlns:p="http://schemas.microsoft.com/office/2006/metadata/properties" xmlns:ns2="c7cc2a15-cb35-4b30-a89b-7c645391e49f" xmlns:ns3="4efe895d-199d-4dd4-acdc-9f83e9c08568" targetNamespace="http://schemas.microsoft.com/office/2006/metadata/properties" ma:root="true" ma:fieldsID="d3628aa3b654706af52c391586591ff6" ns2:_="" ns3:_="">
    <xsd:import namespace="c7cc2a15-cb35-4b30-a89b-7c645391e49f"/>
    <xsd:import namespace="4efe895d-199d-4dd4-acdc-9f83e9c08568"/>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2a15-cb35-4b30-a89b-7c645391e4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e895d-199d-4dd4-acdc-9f83e9c08568"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4efe895d-199d-4dd4-acdc-9f83e9c08568" xsi:nil="true"/>
    <MigrationWizIdDocumentLibraryPermissions xmlns="4efe895d-199d-4dd4-acdc-9f83e9c08568" xsi:nil="true"/>
    <_dlc_DocId xmlns="c7cc2a15-cb35-4b30-a89b-7c645391e49f">7QYV6XFVMMPF-167323429-150106</_dlc_DocId>
    <MigrationWizIdPermissions xmlns="4efe895d-199d-4dd4-acdc-9f83e9c08568" xsi:nil="true"/>
    <MigrationWizIdSecurityGroups xmlns="4efe895d-199d-4dd4-acdc-9f83e9c08568" xsi:nil="true"/>
    <MigrationWizId xmlns="4efe895d-199d-4dd4-acdc-9f83e9c08568" xsi:nil="true"/>
    <_dlc_DocIdUrl xmlns="c7cc2a15-cb35-4b30-a89b-7c645391e49f">
      <Url>https://radcliffecardiology.sharepoint.com/sites/Data/_layouts/15/DocIdRedir.aspx?ID=7QYV6XFVMMPF-167323429-150106</Url>
      <Description>7QYV6XFVMMPF-167323429-150106</Description>
    </_dlc_DocIdUrl>
  </documentManagement>
</p:properties>
</file>

<file path=customXml/itemProps1.xml><?xml version="1.0" encoding="utf-8"?>
<ds:datastoreItem xmlns:ds="http://schemas.openxmlformats.org/officeDocument/2006/customXml" ds:itemID="{6224B38E-6338-4DCB-87FA-5BA41F9280AA}">
  <ds:schemaRefs>
    <ds:schemaRef ds:uri="http://schemas.openxmlformats.org/officeDocument/2006/bibliography"/>
  </ds:schemaRefs>
</ds:datastoreItem>
</file>

<file path=customXml/itemProps2.xml><?xml version="1.0" encoding="utf-8"?>
<ds:datastoreItem xmlns:ds="http://schemas.openxmlformats.org/officeDocument/2006/customXml" ds:itemID="{298A894C-E52A-42DB-A878-FC3E3D03A896}">
  <ds:schemaRefs>
    <ds:schemaRef ds:uri="http://schemas.microsoft.com/sharepoint/v3/contenttype/forms"/>
  </ds:schemaRefs>
</ds:datastoreItem>
</file>

<file path=customXml/itemProps3.xml><?xml version="1.0" encoding="utf-8"?>
<ds:datastoreItem xmlns:ds="http://schemas.openxmlformats.org/officeDocument/2006/customXml" ds:itemID="{0CE7E7FD-1830-4BC5-9583-3B5FE84D07AB}">
  <ds:schemaRefs>
    <ds:schemaRef ds:uri="http://schemas.microsoft.com/sharepoint/events"/>
  </ds:schemaRefs>
</ds:datastoreItem>
</file>

<file path=customXml/itemProps4.xml><?xml version="1.0" encoding="utf-8"?>
<ds:datastoreItem xmlns:ds="http://schemas.openxmlformats.org/officeDocument/2006/customXml" ds:itemID="{1C7032E5-1F98-4A2A-A923-87AA1AA2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2a15-cb35-4b30-a89b-7c645391e49f"/>
    <ds:schemaRef ds:uri="4efe895d-199d-4dd4-acdc-9f83e9c0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4CDEE4-0E1D-4DE3-BCC7-DBA82AC6702F}">
  <ds:schemaRefs>
    <ds:schemaRef ds:uri="http://schemas.microsoft.com/office/2006/metadata/properties"/>
    <ds:schemaRef ds:uri="http://schemas.microsoft.com/office/infopath/2007/PartnerControls"/>
    <ds:schemaRef ds:uri="4efe895d-199d-4dd4-acdc-9f83e9c08568"/>
    <ds:schemaRef ds:uri="c7cc2a15-cb35-4b30-a89b-7c645391e4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5948</Words>
  <Characters>35219</Characters>
  <Application>Microsoft Office Word</Application>
  <DocSecurity>0</DocSecurity>
  <Lines>469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 vvvv</dc:creator>
  <cp:keywords/>
  <dc:description/>
  <cp:lastModifiedBy>Sean Delaney</cp:lastModifiedBy>
  <cp:revision>2</cp:revision>
  <cp:lastPrinted>2021-04-02T14:16:00Z</cp:lastPrinted>
  <dcterms:created xsi:type="dcterms:W3CDTF">2021-05-04T13:37:00Z</dcterms:created>
  <dcterms:modified xsi:type="dcterms:W3CDTF">2021-05-04T13:37:00Z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0x010100447AAF5D0B355D43A75F7E5209A98958</vt:lpwstr>
  </property>
  <property fmtid="{D5CDD505-2E9C-101B-9397-08002B2CF9AE}" pid="3" name="_dlc_DocIdItemGuid">
    <vt:lpwstr>78071311-55d2-4465-bc7a-43121adaeb34</vt:lpwstr>
  </property>
</Properties>
</file>