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6AEC8" w14:textId="77777777" w:rsidR="000C24F6" w:rsidRDefault="000C24F6" w:rsidP="000C24F6">
      <w:pPr>
        <w:spacing w:line="360" w:lineRule="auto"/>
        <w:jc w:val="center"/>
        <w:rPr>
          <w:rFonts w:ascii="Arial" w:hAnsi="Arial" w:cs="Arial"/>
          <w:b/>
          <w:sz w:val="28"/>
          <w:szCs w:val="28"/>
          <w:lang w:val="en-US"/>
        </w:rPr>
      </w:pPr>
      <w:bookmarkStart w:id="0" w:name="_GoBack"/>
      <w:bookmarkEnd w:id="0"/>
      <w:r w:rsidRPr="00DC1235">
        <w:rPr>
          <w:rFonts w:ascii="Arial" w:hAnsi="Arial" w:cs="Arial"/>
          <w:b/>
          <w:sz w:val="28"/>
          <w:szCs w:val="28"/>
          <w:lang w:val="en-US"/>
        </w:rPr>
        <w:t xml:space="preserve">Factors </w:t>
      </w:r>
      <w:r>
        <w:rPr>
          <w:rFonts w:ascii="Arial" w:hAnsi="Arial" w:cs="Arial"/>
          <w:b/>
          <w:sz w:val="28"/>
          <w:szCs w:val="28"/>
          <w:lang w:val="en-US"/>
        </w:rPr>
        <w:t>influencing</w:t>
      </w:r>
      <w:r w:rsidRPr="00DC1235">
        <w:rPr>
          <w:rFonts w:ascii="Arial" w:hAnsi="Arial" w:cs="Arial"/>
          <w:b/>
          <w:sz w:val="28"/>
          <w:szCs w:val="28"/>
          <w:lang w:val="en-US"/>
        </w:rPr>
        <w:t xml:space="preserve"> antimicrobial prescription</w:t>
      </w:r>
      <w:r>
        <w:rPr>
          <w:rFonts w:ascii="Arial" w:hAnsi="Arial" w:cs="Arial"/>
          <w:b/>
          <w:sz w:val="28"/>
          <w:szCs w:val="28"/>
          <w:lang w:val="en-US"/>
        </w:rPr>
        <w:t xml:space="preserve"> attitudes</w:t>
      </w:r>
      <w:r w:rsidRPr="00DC1235">
        <w:rPr>
          <w:rFonts w:ascii="Arial" w:hAnsi="Arial" w:cs="Arial"/>
          <w:b/>
          <w:sz w:val="28"/>
          <w:szCs w:val="28"/>
          <w:lang w:val="en-US"/>
        </w:rPr>
        <w:t xml:space="preserve"> in bloodstream infections</w:t>
      </w:r>
      <w:r>
        <w:rPr>
          <w:rFonts w:ascii="Arial" w:hAnsi="Arial" w:cs="Arial"/>
          <w:b/>
          <w:sz w:val="28"/>
          <w:szCs w:val="28"/>
          <w:lang w:val="en-US"/>
        </w:rPr>
        <w:t>: susceptibility results and beyond. An exploratory survey</w:t>
      </w:r>
    </w:p>
    <w:p w14:paraId="7CAC19F3" w14:textId="77777777" w:rsidR="000C24F6" w:rsidRDefault="000C24F6" w:rsidP="000C24F6">
      <w:pPr>
        <w:spacing w:line="360" w:lineRule="auto"/>
        <w:rPr>
          <w:rFonts w:ascii="Arial" w:hAnsi="Arial" w:cs="Arial"/>
          <w:b/>
          <w:sz w:val="28"/>
          <w:szCs w:val="28"/>
          <w:lang w:val="en-US"/>
        </w:rPr>
      </w:pPr>
    </w:p>
    <w:p w14:paraId="716C83AC" w14:textId="77777777" w:rsidR="000C24F6" w:rsidRDefault="000C24F6" w:rsidP="000C24F6">
      <w:pPr>
        <w:spacing w:line="360" w:lineRule="auto"/>
        <w:jc w:val="both"/>
        <w:rPr>
          <w:rFonts w:ascii="Arial" w:hAnsi="Arial" w:cs="Arial"/>
          <w:b/>
          <w:lang w:val="en-US"/>
        </w:rPr>
      </w:pPr>
    </w:p>
    <w:p w14:paraId="6B045C30" w14:textId="77777777" w:rsidR="000C24F6" w:rsidRPr="00DD3D72" w:rsidRDefault="000C24F6" w:rsidP="000C24F6">
      <w:pPr>
        <w:spacing w:line="480" w:lineRule="auto"/>
        <w:jc w:val="both"/>
        <w:rPr>
          <w:sz w:val="20"/>
          <w:szCs w:val="20"/>
          <w:lang w:val="en-US"/>
        </w:rPr>
      </w:pPr>
      <w:r w:rsidRPr="00DD3D72">
        <w:rPr>
          <w:sz w:val="20"/>
          <w:szCs w:val="20"/>
          <w:lang w:val="en-US"/>
        </w:rPr>
        <w:t>Anton-Vazquez Vanesa*</w:t>
      </w:r>
      <w:r w:rsidRPr="00DD3D72">
        <w:rPr>
          <w:sz w:val="20"/>
          <w:szCs w:val="20"/>
          <w:vertAlign w:val="superscript"/>
          <w:lang w:val="en-US"/>
        </w:rPr>
        <w:t>1</w:t>
      </w:r>
      <w:r w:rsidRPr="00DD3D72">
        <w:rPr>
          <w:sz w:val="20"/>
          <w:szCs w:val="20"/>
          <w:lang w:val="en-US"/>
        </w:rPr>
        <w:t>, Suarez Cristina*</w:t>
      </w:r>
      <w:r w:rsidRPr="00DD3D72">
        <w:rPr>
          <w:sz w:val="20"/>
          <w:szCs w:val="20"/>
          <w:vertAlign w:val="superscript"/>
          <w:lang w:val="en-US"/>
        </w:rPr>
        <w:t>1</w:t>
      </w:r>
      <w:r w:rsidRPr="00DD3D72">
        <w:rPr>
          <w:sz w:val="20"/>
          <w:szCs w:val="20"/>
          <w:lang w:val="en-US"/>
        </w:rPr>
        <w:t>, Sanjeev Krishna</w:t>
      </w:r>
      <w:r w:rsidRPr="00DD3D72">
        <w:rPr>
          <w:sz w:val="20"/>
          <w:szCs w:val="20"/>
          <w:vertAlign w:val="superscript"/>
          <w:lang w:val="en-US"/>
        </w:rPr>
        <w:t>1</w:t>
      </w:r>
      <w:r w:rsidRPr="00DD3D72">
        <w:rPr>
          <w:sz w:val="20"/>
          <w:szCs w:val="20"/>
          <w:lang w:val="en-US"/>
        </w:rPr>
        <w:t xml:space="preserve">, </w:t>
      </w:r>
      <w:proofErr w:type="spellStart"/>
      <w:r w:rsidRPr="00DD3D72">
        <w:rPr>
          <w:sz w:val="20"/>
          <w:szCs w:val="20"/>
          <w:lang w:val="en-US"/>
        </w:rPr>
        <w:t>Planche</w:t>
      </w:r>
      <w:proofErr w:type="spellEnd"/>
      <w:r w:rsidRPr="00DD3D72">
        <w:rPr>
          <w:sz w:val="20"/>
          <w:szCs w:val="20"/>
          <w:lang w:val="en-US"/>
        </w:rPr>
        <w:t xml:space="preserve"> Timothy</w:t>
      </w:r>
      <w:r w:rsidRPr="00DD3D72">
        <w:rPr>
          <w:sz w:val="20"/>
          <w:szCs w:val="20"/>
          <w:vertAlign w:val="superscript"/>
          <w:lang w:val="en-US"/>
        </w:rPr>
        <w:t xml:space="preserve">1,2,3. </w:t>
      </w:r>
      <w:r w:rsidRPr="00DD3D72">
        <w:rPr>
          <w:sz w:val="20"/>
          <w:szCs w:val="20"/>
          <w:lang w:val="en-US"/>
        </w:rPr>
        <w:t xml:space="preserve"> </w:t>
      </w:r>
    </w:p>
    <w:p w14:paraId="21517D46" w14:textId="77777777" w:rsidR="000C24F6" w:rsidRPr="00E74972" w:rsidRDefault="000C24F6" w:rsidP="000C24F6">
      <w:pPr>
        <w:spacing w:before="100" w:after="100" w:line="480" w:lineRule="auto"/>
        <w:rPr>
          <w:rFonts w:ascii="Arial" w:eastAsia="Times New Roman" w:hAnsi="Arial" w:cs="Arial"/>
          <w:b/>
          <w:bCs/>
          <w:iCs/>
          <w:sz w:val="18"/>
          <w:szCs w:val="18"/>
          <w:shd w:val="clear" w:color="auto" w:fill="FFFFFF"/>
          <w:lang w:val="en-US"/>
        </w:rPr>
      </w:pPr>
      <w:r w:rsidRPr="00E74972">
        <w:rPr>
          <w:b/>
          <w:iCs/>
          <w:color w:val="000000"/>
          <w:sz w:val="18"/>
          <w:szCs w:val="18"/>
          <w:lang w:val="en-US"/>
        </w:rPr>
        <w:t>*These authors contributed equally</w:t>
      </w:r>
    </w:p>
    <w:p w14:paraId="4E3FA631" w14:textId="77777777" w:rsidR="000C24F6" w:rsidRDefault="000C24F6" w:rsidP="000C24F6">
      <w:pPr>
        <w:spacing w:line="480" w:lineRule="auto"/>
        <w:ind w:left="720" w:hanging="720"/>
        <w:jc w:val="both"/>
        <w:rPr>
          <w:rFonts w:cstheme="minorHAnsi"/>
          <w:sz w:val="18"/>
          <w:szCs w:val="18"/>
        </w:rPr>
      </w:pPr>
      <w:r>
        <w:rPr>
          <w:sz w:val="18"/>
          <w:szCs w:val="18"/>
          <w:vertAlign w:val="superscript"/>
        </w:rPr>
        <w:t xml:space="preserve">1 </w:t>
      </w:r>
      <w:r>
        <w:rPr>
          <w:rFonts w:cstheme="minorHAnsi"/>
          <w:sz w:val="18"/>
          <w:szCs w:val="18"/>
        </w:rPr>
        <w:t>Institute of Infection and Immunity. St. George’s University of London. Cranmer Terrace, London SW17 0RE, UK</w:t>
      </w:r>
    </w:p>
    <w:p w14:paraId="7AD795BE" w14:textId="77777777" w:rsidR="000C24F6" w:rsidRDefault="000C24F6" w:rsidP="000C24F6">
      <w:pPr>
        <w:spacing w:line="480" w:lineRule="auto"/>
        <w:jc w:val="both"/>
        <w:rPr>
          <w:rFonts w:cstheme="minorHAnsi"/>
          <w:sz w:val="18"/>
          <w:szCs w:val="18"/>
        </w:rPr>
      </w:pPr>
      <w:r>
        <w:rPr>
          <w:rFonts w:cstheme="minorHAnsi"/>
          <w:b/>
          <w:sz w:val="18"/>
          <w:szCs w:val="18"/>
          <w:vertAlign w:val="superscript"/>
        </w:rPr>
        <w:t xml:space="preserve">2 </w:t>
      </w:r>
      <w:r>
        <w:rPr>
          <w:rFonts w:cstheme="minorHAnsi"/>
          <w:sz w:val="18"/>
          <w:szCs w:val="18"/>
        </w:rPr>
        <w:t xml:space="preserve">Department of Medical Microbiology, Southwest London </w:t>
      </w:r>
      <w:proofErr w:type="gramStart"/>
      <w:r>
        <w:rPr>
          <w:rFonts w:cstheme="minorHAnsi"/>
          <w:sz w:val="18"/>
          <w:szCs w:val="18"/>
        </w:rPr>
        <w:t>Pathology .</w:t>
      </w:r>
      <w:proofErr w:type="gramEnd"/>
      <w:r>
        <w:rPr>
          <w:rFonts w:cstheme="minorHAnsi"/>
          <w:sz w:val="18"/>
          <w:szCs w:val="18"/>
        </w:rPr>
        <w:t xml:space="preserve"> St. George’s Hospital </w:t>
      </w:r>
      <w:proofErr w:type="spellStart"/>
      <w:r>
        <w:rPr>
          <w:rFonts w:cstheme="minorHAnsi"/>
          <w:sz w:val="18"/>
          <w:szCs w:val="18"/>
        </w:rPr>
        <w:t>Blackshaw</w:t>
      </w:r>
      <w:proofErr w:type="spellEnd"/>
      <w:r>
        <w:rPr>
          <w:rFonts w:cstheme="minorHAnsi"/>
          <w:sz w:val="18"/>
          <w:szCs w:val="18"/>
        </w:rPr>
        <w:t xml:space="preserve"> Road, London SW17 0QT, UK.</w:t>
      </w:r>
    </w:p>
    <w:p w14:paraId="3B988219" w14:textId="77777777" w:rsidR="000C24F6" w:rsidRDefault="000C24F6" w:rsidP="000C24F6">
      <w:pPr>
        <w:spacing w:line="480" w:lineRule="auto"/>
        <w:jc w:val="both"/>
        <w:rPr>
          <w:rFonts w:cstheme="minorHAnsi"/>
          <w:sz w:val="18"/>
          <w:szCs w:val="18"/>
        </w:rPr>
      </w:pPr>
      <w:r>
        <w:rPr>
          <w:rFonts w:cstheme="minorHAnsi"/>
          <w:b/>
          <w:sz w:val="18"/>
          <w:szCs w:val="18"/>
          <w:vertAlign w:val="superscript"/>
        </w:rPr>
        <w:t>3</w:t>
      </w:r>
      <w:r>
        <w:rPr>
          <w:rFonts w:cstheme="minorHAnsi"/>
          <w:sz w:val="18"/>
          <w:szCs w:val="18"/>
        </w:rPr>
        <w:t xml:space="preserve"> Infection Care Group, St George's University Hospitals NHS Foundation Trust, </w:t>
      </w:r>
      <w:proofErr w:type="spellStart"/>
      <w:r>
        <w:rPr>
          <w:rFonts w:cstheme="minorHAnsi"/>
          <w:sz w:val="18"/>
          <w:szCs w:val="18"/>
        </w:rPr>
        <w:t>Blackshaw</w:t>
      </w:r>
      <w:proofErr w:type="spellEnd"/>
      <w:r>
        <w:rPr>
          <w:rFonts w:cstheme="minorHAnsi"/>
          <w:sz w:val="18"/>
          <w:szCs w:val="18"/>
        </w:rPr>
        <w:t xml:space="preserve"> Road SW17 0QT London, UK.</w:t>
      </w:r>
    </w:p>
    <w:p w14:paraId="64C3DE75" w14:textId="77777777" w:rsidR="000C24F6" w:rsidRDefault="000C24F6" w:rsidP="000C24F6">
      <w:pPr>
        <w:spacing w:line="360" w:lineRule="auto"/>
        <w:jc w:val="both"/>
        <w:rPr>
          <w:rFonts w:cstheme="minorHAnsi"/>
          <w:sz w:val="20"/>
          <w:szCs w:val="20"/>
        </w:rPr>
      </w:pPr>
    </w:p>
    <w:p w14:paraId="493A257D" w14:textId="77777777" w:rsidR="000C24F6" w:rsidRDefault="000C24F6" w:rsidP="000C24F6">
      <w:pPr>
        <w:spacing w:line="360" w:lineRule="auto"/>
        <w:jc w:val="both"/>
        <w:rPr>
          <w:rFonts w:cstheme="minorHAnsi"/>
          <w:sz w:val="20"/>
          <w:szCs w:val="20"/>
        </w:rPr>
      </w:pPr>
    </w:p>
    <w:p w14:paraId="56BD1755" w14:textId="77777777" w:rsidR="000C24F6" w:rsidRDefault="000C24F6" w:rsidP="000C24F6">
      <w:pPr>
        <w:spacing w:line="360" w:lineRule="auto"/>
        <w:jc w:val="both"/>
        <w:rPr>
          <w:rFonts w:cstheme="minorHAnsi"/>
          <w:sz w:val="20"/>
          <w:szCs w:val="20"/>
        </w:rPr>
      </w:pPr>
      <w:r>
        <w:rPr>
          <w:rFonts w:cstheme="minorHAnsi"/>
          <w:b/>
          <w:sz w:val="20"/>
          <w:szCs w:val="20"/>
        </w:rPr>
        <w:t>Corresponding Author:</w:t>
      </w:r>
      <w:r>
        <w:rPr>
          <w:rFonts w:cstheme="minorHAnsi"/>
          <w:sz w:val="20"/>
          <w:szCs w:val="20"/>
        </w:rPr>
        <w:t xml:space="preserve"> Vanesa Anton-Vazquez</w:t>
      </w:r>
    </w:p>
    <w:p w14:paraId="2F34F970" w14:textId="77777777" w:rsidR="000C24F6" w:rsidRDefault="000C24F6" w:rsidP="000C24F6">
      <w:pPr>
        <w:spacing w:line="360" w:lineRule="auto"/>
        <w:jc w:val="both"/>
        <w:rPr>
          <w:rFonts w:cstheme="minorHAnsi"/>
          <w:sz w:val="20"/>
          <w:szCs w:val="20"/>
        </w:rPr>
      </w:pPr>
      <w:r>
        <w:rPr>
          <w:rFonts w:cstheme="minorHAnsi"/>
          <w:sz w:val="20"/>
          <w:szCs w:val="20"/>
        </w:rPr>
        <w:tab/>
      </w:r>
      <w:r>
        <w:rPr>
          <w:rFonts w:cstheme="minorHAnsi"/>
          <w:sz w:val="20"/>
          <w:szCs w:val="20"/>
        </w:rPr>
        <w:tab/>
      </w:r>
    </w:p>
    <w:p w14:paraId="1E520433" w14:textId="77777777" w:rsidR="000C24F6" w:rsidRDefault="000C24F6" w:rsidP="000C24F6">
      <w:pPr>
        <w:spacing w:line="360" w:lineRule="auto"/>
        <w:jc w:val="both"/>
        <w:rPr>
          <w:rFonts w:cstheme="minorHAnsi"/>
          <w:sz w:val="20"/>
          <w:szCs w:val="20"/>
        </w:rPr>
      </w:pPr>
      <w:r>
        <w:rPr>
          <w:rFonts w:cstheme="minorHAnsi"/>
          <w:sz w:val="20"/>
          <w:szCs w:val="20"/>
        </w:rPr>
        <w:tab/>
      </w:r>
      <w:r>
        <w:rPr>
          <w:rFonts w:cstheme="minorHAnsi"/>
          <w:sz w:val="20"/>
          <w:szCs w:val="20"/>
        </w:rPr>
        <w:tab/>
      </w:r>
      <w:hyperlink r:id="rId4" w:history="1">
        <w:r w:rsidRPr="00F37363">
          <w:rPr>
            <w:rStyle w:val="Hyperlink"/>
            <w:rFonts w:cstheme="minorHAnsi"/>
            <w:sz w:val="20"/>
            <w:szCs w:val="20"/>
          </w:rPr>
          <w:t>v.anton-vazquez@nhs.net</w:t>
        </w:r>
      </w:hyperlink>
    </w:p>
    <w:p w14:paraId="4B77C915" w14:textId="77777777" w:rsidR="000C24F6" w:rsidRDefault="000C24F6" w:rsidP="000C24F6">
      <w:pPr>
        <w:spacing w:line="360" w:lineRule="auto"/>
        <w:ind w:left="1440"/>
        <w:jc w:val="both"/>
        <w:rPr>
          <w:rFonts w:cstheme="minorHAnsi"/>
          <w:sz w:val="20"/>
          <w:szCs w:val="20"/>
        </w:rPr>
      </w:pPr>
      <w:r>
        <w:rPr>
          <w:rFonts w:cstheme="minorHAnsi"/>
          <w:sz w:val="20"/>
          <w:szCs w:val="20"/>
        </w:rPr>
        <w:t>vanesa.anton.v@gmail.com</w:t>
      </w:r>
    </w:p>
    <w:p w14:paraId="4D69F914" w14:textId="77777777" w:rsidR="000C24F6" w:rsidRDefault="000C24F6" w:rsidP="000C24F6">
      <w:pPr>
        <w:spacing w:line="360" w:lineRule="auto"/>
        <w:jc w:val="both"/>
        <w:rPr>
          <w:rFonts w:cstheme="minorHAnsi"/>
          <w:sz w:val="20"/>
          <w:szCs w:val="20"/>
        </w:rPr>
      </w:pPr>
      <w:r>
        <w:rPr>
          <w:rFonts w:cstheme="minorHAnsi"/>
          <w:sz w:val="20"/>
          <w:szCs w:val="20"/>
        </w:rPr>
        <w:tab/>
      </w:r>
      <w:r>
        <w:rPr>
          <w:rFonts w:cstheme="minorHAnsi"/>
          <w:sz w:val="20"/>
          <w:szCs w:val="20"/>
        </w:rPr>
        <w:tab/>
      </w:r>
    </w:p>
    <w:p w14:paraId="758554EC" w14:textId="77777777" w:rsidR="000C24F6" w:rsidRDefault="000C24F6" w:rsidP="000C24F6">
      <w:pPr>
        <w:spacing w:line="360" w:lineRule="auto"/>
        <w:ind w:left="1440"/>
        <w:jc w:val="both"/>
        <w:rPr>
          <w:rFonts w:cstheme="minorHAnsi"/>
          <w:sz w:val="20"/>
          <w:szCs w:val="20"/>
        </w:rPr>
      </w:pPr>
      <w:r>
        <w:rPr>
          <w:rFonts w:cstheme="minorHAnsi"/>
          <w:sz w:val="20"/>
          <w:szCs w:val="20"/>
        </w:rPr>
        <w:t>Institute of Infection and Immunity</w:t>
      </w:r>
    </w:p>
    <w:p w14:paraId="1717C7B7" w14:textId="77777777" w:rsidR="000C24F6" w:rsidRDefault="000C24F6" w:rsidP="000C24F6">
      <w:pPr>
        <w:spacing w:line="360" w:lineRule="auto"/>
        <w:ind w:left="1440"/>
        <w:jc w:val="both"/>
        <w:rPr>
          <w:rFonts w:cstheme="minorHAnsi"/>
          <w:sz w:val="20"/>
          <w:szCs w:val="20"/>
        </w:rPr>
      </w:pPr>
      <w:r>
        <w:rPr>
          <w:rFonts w:cstheme="minorHAnsi"/>
          <w:sz w:val="20"/>
          <w:szCs w:val="20"/>
        </w:rPr>
        <w:t>St. George’s University of London</w:t>
      </w:r>
    </w:p>
    <w:p w14:paraId="06557334" w14:textId="77777777" w:rsidR="000C24F6" w:rsidRDefault="000C24F6" w:rsidP="000C24F6">
      <w:pPr>
        <w:spacing w:line="360" w:lineRule="auto"/>
        <w:jc w:val="both"/>
        <w:rPr>
          <w:rFonts w:cstheme="minorHAnsi"/>
          <w:sz w:val="20"/>
          <w:szCs w:val="20"/>
        </w:rPr>
      </w:pPr>
      <w:r>
        <w:rPr>
          <w:rFonts w:cstheme="minorHAnsi"/>
          <w:sz w:val="20"/>
          <w:szCs w:val="20"/>
        </w:rPr>
        <w:tab/>
      </w:r>
      <w:r>
        <w:rPr>
          <w:rFonts w:cstheme="minorHAnsi"/>
          <w:sz w:val="20"/>
          <w:szCs w:val="20"/>
        </w:rPr>
        <w:tab/>
        <w:t>Cranmer Terrace</w:t>
      </w:r>
    </w:p>
    <w:p w14:paraId="17313C74" w14:textId="77777777" w:rsidR="000C24F6" w:rsidRDefault="000C24F6" w:rsidP="000C24F6">
      <w:pPr>
        <w:spacing w:line="360" w:lineRule="auto"/>
        <w:jc w:val="both"/>
        <w:rPr>
          <w:rFonts w:cstheme="minorHAnsi"/>
          <w:sz w:val="20"/>
          <w:szCs w:val="20"/>
        </w:rPr>
      </w:pPr>
      <w:r>
        <w:rPr>
          <w:rFonts w:cstheme="minorHAnsi"/>
          <w:sz w:val="20"/>
          <w:szCs w:val="20"/>
        </w:rPr>
        <w:tab/>
      </w:r>
      <w:r>
        <w:rPr>
          <w:rFonts w:cstheme="minorHAnsi"/>
          <w:sz w:val="20"/>
          <w:szCs w:val="20"/>
        </w:rPr>
        <w:tab/>
        <w:t>SW 0RE</w:t>
      </w:r>
    </w:p>
    <w:p w14:paraId="56E8E835" w14:textId="77777777" w:rsidR="000C24F6" w:rsidRDefault="000C24F6" w:rsidP="000C24F6">
      <w:pPr>
        <w:jc w:val="both"/>
        <w:rPr>
          <w:lang w:val="en-US"/>
        </w:rPr>
      </w:pPr>
    </w:p>
    <w:p w14:paraId="402130B1" w14:textId="77777777" w:rsidR="000C24F6" w:rsidRDefault="000C24F6" w:rsidP="000C24F6">
      <w:pPr>
        <w:jc w:val="both"/>
        <w:rPr>
          <w:lang w:val="en-US"/>
        </w:rPr>
      </w:pPr>
    </w:p>
    <w:p w14:paraId="5455BE4E" w14:textId="77777777" w:rsidR="000C24F6" w:rsidRDefault="000C24F6" w:rsidP="000C24F6">
      <w:pPr>
        <w:spacing w:line="480" w:lineRule="auto"/>
        <w:jc w:val="both"/>
        <w:rPr>
          <w:rFonts w:ascii="Arial" w:hAnsi="Arial" w:cs="Arial"/>
          <w:b/>
          <w:color w:val="000000" w:themeColor="text1"/>
          <w:sz w:val="18"/>
          <w:szCs w:val="18"/>
          <w:u w:val="single"/>
        </w:rPr>
      </w:pPr>
    </w:p>
    <w:p w14:paraId="7872A587" w14:textId="77777777" w:rsidR="000C24F6" w:rsidRDefault="000C24F6" w:rsidP="000C24F6">
      <w:pPr>
        <w:spacing w:line="480" w:lineRule="auto"/>
        <w:jc w:val="both"/>
        <w:rPr>
          <w:rFonts w:ascii="Arial" w:hAnsi="Arial" w:cs="Arial"/>
          <w:b/>
          <w:sz w:val="20"/>
          <w:szCs w:val="20"/>
        </w:rPr>
      </w:pPr>
    </w:p>
    <w:p w14:paraId="61451B29" w14:textId="77777777" w:rsidR="000C24F6" w:rsidRDefault="000C24F6" w:rsidP="000C24F6">
      <w:pPr>
        <w:spacing w:line="480" w:lineRule="auto"/>
        <w:jc w:val="both"/>
        <w:rPr>
          <w:rFonts w:ascii="Arial" w:hAnsi="Arial" w:cs="Arial"/>
          <w:b/>
          <w:sz w:val="20"/>
          <w:szCs w:val="20"/>
        </w:rPr>
      </w:pPr>
    </w:p>
    <w:p w14:paraId="332FDC1F" w14:textId="77777777" w:rsidR="000C24F6" w:rsidRDefault="000C24F6" w:rsidP="000C24F6">
      <w:pPr>
        <w:spacing w:line="480" w:lineRule="auto"/>
        <w:jc w:val="both"/>
        <w:rPr>
          <w:rFonts w:ascii="Arial" w:hAnsi="Arial" w:cs="Arial"/>
          <w:b/>
          <w:sz w:val="20"/>
          <w:szCs w:val="20"/>
        </w:rPr>
      </w:pPr>
    </w:p>
    <w:p w14:paraId="4E1C5E23" w14:textId="77777777" w:rsidR="000C24F6" w:rsidRDefault="000C24F6" w:rsidP="000C24F6">
      <w:pPr>
        <w:spacing w:line="480" w:lineRule="auto"/>
        <w:jc w:val="both"/>
        <w:rPr>
          <w:rFonts w:ascii="Arial" w:hAnsi="Arial" w:cs="Arial"/>
          <w:b/>
          <w:sz w:val="20"/>
          <w:szCs w:val="20"/>
        </w:rPr>
      </w:pPr>
    </w:p>
    <w:p w14:paraId="31544C7E" w14:textId="77777777" w:rsidR="000C24F6" w:rsidRDefault="000C24F6" w:rsidP="000C24F6">
      <w:pPr>
        <w:spacing w:line="480" w:lineRule="auto"/>
        <w:jc w:val="both"/>
        <w:rPr>
          <w:rFonts w:ascii="Arial" w:hAnsi="Arial" w:cs="Arial"/>
          <w:b/>
          <w:sz w:val="20"/>
          <w:szCs w:val="20"/>
        </w:rPr>
      </w:pPr>
    </w:p>
    <w:p w14:paraId="0A074735" w14:textId="77777777" w:rsidR="000C24F6" w:rsidRDefault="000C24F6" w:rsidP="000C24F6">
      <w:pPr>
        <w:spacing w:line="480" w:lineRule="auto"/>
        <w:jc w:val="both"/>
        <w:rPr>
          <w:rFonts w:ascii="Arial" w:hAnsi="Arial" w:cs="Arial"/>
          <w:b/>
          <w:sz w:val="20"/>
          <w:szCs w:val="20"/>
        </w:rPr>
      </w:pPr>
    </w:p>
    <w:p w14:paraId="54437007" w14:textId="77777777" w:rsidR="000C24F6" w:rsidRDefault="000C24F6" w:rsidP="000C24F6">
      <w:pPr>
        <w:spacing w:line="480" w:lineRule="auto"/>
        <w:jc w:val="both"/>
        <w:rPr>
          <w:rFonts w:ascii="Arial" w:hAnsi="Arial" w:cs="Arial"/>
          <w:b/>
          <w:sz w:val="20"/>
          <w:szCs w:val="20"/>
        </w:rPr>
      </w:pPr>
    </w:p>
    <w:p w14:paraId="3A2DAA17" w14:textId="77777777" w:rsidR="000C24F6" w:rsidRDefault="000C24F6" w:rsidP="000C24F6">
      <w:pPr>
        <w:spacing w:line="480" w:lineRule="auto"/>
        <w:jc w:val="both"/>
        <w:rPr>
          <w:rFonts w:ascii="Arial" w:hAnsi="Arial" w:cs="Arial"/>
          <w:b/>
          <w:sz w:val="20"/>
          <w:szCs w:val="20"/>
        </w:rPr>
      </w:pPr>
    </w:p>
    <w:p w14:paraId="131AC311" w14:textId="77777777" w:rsidR="000C24F6" w:rsidRPr="000C24F6" w:rsidRDefault="000C24F6" w:rsidP="000C24F6">
      <w:pPr>
        <w:spacing w:line="480" w:lineRule="auto"/>
        <w:jc w:val="both"/>
        <w:rPr>
          <w:rFonts w:ascii="Arial" w:hAnsi="Arial" w:cs="Arial"/>
          <w:color w:val="000000" w:themeColor="text1"/>
          <w:sz w:val="20"/>
          <w:szCs w:val="20"/>
        </w:rPr>
      </w:pPr>
      <w:r w:rsidRPr="000C24F6">
        <w:rPr>
          <w:rFonts w:ascii="Arial" w:hAnsi="Arial" w:cs="Arial"/>
          <w:b/>
          <w:color w:val="000000" w:themeColor="text1"/>
          <w:sz w:val="20"/>
          <w:szCs w:val="20"/>
        </w:rPr>
        <w:lastRenderedPageBreak/>
        <w:t xml:space="preserve">Background: </w:t>
      </w:r>
      <w:r w:rsidRPr="000C24F6">
        <w:rPr>
          <w:rFonts w:ascii="Arial" w:hAnsi="Arial" w:cs="Arial"/>
          <w:color w:val="000000" w:themeColor="text1"/>
          <w:sz w:val="20"/>
          <w:szCs w:val="20"/>
        </w:rPr>
        <w:t>Novel rapid antimicrobial susceptibility testing (RAST) methods promise quicker de-escalation of broad-spectrum antibiotics. However, other behavioural and situational factors influencing antimicrobial prescription are not well known.</w:t>
      </w:r>
    </w:p>
    <w:p w14:paraId="738AC4C0" w14:textId="6495D97F" w:rsidR="000C24F6" w:rsidRPr="000C24F6" w:rsidRDefault="000C24F6" w:rsidP="000C24F6">
      <w:pPr>
        <w:spacing w:line="480" w:lineRule="auto"/>
        <w:jc w:val="both"/>
        <w:rPr>
          <w:rFonts w:ascii="Arial" w:hAnsi="Arial" w:cs="Arial"/>
          <w:sz w:val="20"/>
          <w:szCs w:val="20"/>
        </w:rPr>
      </w:pPr>
      <w:r w:rsidRPr="000C24F6">
        <w:rPr>
          <w:rFonts w:ascii="Arial" w:hAnsi="Arial" w:cs="Arial"/>
          <w:b/>
          <w:color w:val="000000" w:themeColor="text1"/>
          <w:sz w:val="20"/>
          <w:szCs w:val="20"/>
        </w:rPr>
        <w:t>Aim</w:t>
      </w:r>
      <w:r w:rsidRPr="000C24F6">
        <w:rPr>
          <w:rFonts w:ascii="Arial" w:hAnsi="Arial" w:cs="Arial"/>
          <w:color w:val="000000" w:themeColor="text1"/>
          <w:sz w:val="20"/>
          <w:szCs w:val="20"/>
        </w:rPr>
        <w:t xml:space="preserve">: </w:t>
      </w:r>
      <w:r w:rsidRPr="000C24F6">
        <w:rPr>
          <w:rFonts w:ascii="Arial" w:hAnsi="Arial" w:cs="Arial"/>
          <w:sz w:val="20"/>
          <w:szCs w:val="20"/>
        </w:rPr>
        <w:t>To explore factors associated with optimal antimicrobial prescription in patients with Gram-negative bloodstream infection and to propose specific scenarios in which a rapid antimicrobial susceptibility result may help to optimise prescribing.</w:t>
      </w:r>
    </w:p>
    <w:p w14:paraId="2DAAE220" w14:textId="77777777" w:rsidR="000C24F6" w:rsidRPr="000C24F6" w:rsidRDefault="000C24F6" w:rsidP="000C24F6">
      <w:pPr>
        <w:spacing w:line="480" w:lineRule="auto"/>
        <w:jc w:val="both"/>
        <w:rPr>
          <w:rFonts w:ascii="Arial" w:hAnsi="Arial" w:cs="Arial"/>
          <w:color w:val="000000" w:themeColor="text1"/>
          <w:sz w:val="20"/>
          <w:szCs w:val="20"/>
        </w:rPr>
      </w:pPr>
      <w:r w:rsidRPr="000C24F6">
        <w:rPr>
          <w:rFonts w:ascii="Arial" w:hAnsi="Arial" w:cs="Arial"/>
          <w:b/>
          <w:bCs/>
          <w:color w:val="000000" w:themeColor="text1"/>
          <w:sz w:val="20"/>
          <w:szCs w:val="20"/>
        </w:rPr>
        <w:t>Methods</w:t>
      </w:r>
      <w:r w:rsidRPr="000C24F6">
        <w:rPr>
          <w:rFonts w:ascii="Arial" w:hAnsi="Arial" w:cs="Arial"/>
          <w:color w:val="000000" w:themeColor="text1"/>
          <w:sz w:val="20"/>
          <w:szCs w:val="20"/>
        </w:rPr>
        <w:t xml:space="preserve">: exploratory survey (April-August 2018) in the UK and Spain using clinical case -related questions. Seniority, </w:t>
      </w:r>
      <w:proofErr w:type="gramStart"/>
      <w:r w:rsidRPr="000C24F6">
        <w:rPr>
          <w:rFonts w:ascii="Arial" w:hAnsi="Arial" w:cs="Arial"/>
          <w:color w:val="000000" w:themeColor="text1"/>
          <w:sz w:val="20"/>
          <w:szCs w:val="20"/>
        </w:rPr>
        <w:t>specialty</w:t>
      </w:r>
      <w:proofErr w:type="gramEnd"/>
      <w:r w:rsidRPr="000C24F6">
        <w:rPr>
          <w:rFonts w:ascii="Arial" w:hAnsi="Arial" w:cs="Arial"/>
          <w:color w:val="000000" w:themeColor="text1"/>
          <w:sz w:val="20"/>
          <w:szCs w:val="20"/>
        </w:rPr>
        <w:t xml:space="preserve"> and country of practice were recorded. Cases described patients with Gram-negative BSI, their empirical treatment and clinical course and the hypothetical RAST result.  Respondents chose one of several options regarding antibiotic treatment management. </w:t>
      </w:r>
      <w:r w:rsidRPr="000C24F6">
        <w:rPr>
          <w:rFonts w:ascii="Arial" w:hAnsi="Arial" w:cs="Arial"/>
          <w:color w:val="000000" w:themeColor="text1"/>
          <w:sz w:val="20"/>
          <w:szCs w:val="20"/>
          <w:lang w:val="en-US"/>
        </w:rPr>
        <w:t xml:space="preserve"> Microbiologically optimal antibiotic choice (MOAC) was </w:t>
      </w:r>
      <w:r w:rsidRPr="000C24F6">
        <w:rPr>
          <w:rFonts w:ascii="Arial" w:hAnsi="Arial" w:cs="Arial"/>
          <w:sz w:val="20"/>
          <w:szCs w:val="20"/>
          <w:lang w:val="en-US"/>
        </w:rPr>
        <w:t xml:space="preserve">agreed by expert consensus beforehand. Responses were categorized as MOAC, request for support or sub-optimal choice. The relationship between the RAST result and the clinical course was defined as concordant (susceptible organism-clinical improvement; resistant organism-clinical deterioration) or as discordant otherwise. </w:t>
      </w:r>
    </w:p>
    <w:p w14:paraId="0FB1C084" w14:textId="77777777" w:rsidR="000C24F6" w:rsidRPr="000C24F6" w:rsidRDefault="000C24F6" w:rsidP="000C24F6">
      <w:pPr>
        <w:spacing w:line="480" w:lineRule="auto"/>
        <w:jc w:val="both"/>
        <w:rPr>
          <w:rFonts w:ascii="Arial" w:hAnsi="Arial" w:cs="Arial"/>
          <w:color w:val="000000" w:themeColor="text1"/>
          <w:sz w:val="20"/>
          <w:szCs w:val="20"/>
          <w:lang w:val="en-US"/>
        </w:rPr>
      </w:pPr>
      <w:r w:rsidRPr="000C24F6">
        <w:rPr>
          <w:rFonts w:ascii="Arial" w:hAnsi="Arial" w:cs="Arial"/>
          <w:b/>
          <w:color w:val="000000" w:themeColor="text1"/>
          <w:sz w:val="20"/>
          <w:szCs w:val="20"/>
        </w:rPr>
        <w:t xml:space="preserve">Findings: </w:t>
      </w:r>
      <w:r w:rsidRPr="000C24F6">
        <w:rPr>
          <w:rFonts w:ascii="Arial" w:hAnsi="Arial" w:cs="Arial"/>
          <w:color w:val="000000" w:themeColor="text1"/>
          <w:sz w:val="20"/>
          <w:szCs w:val="20"/>
        </w:rPr>
        <w:t xml:space="preserve">426 respondents </w:t>
      </w:r>
      <w:r w:rsidRPr="000C24F6">
        <w:rPr>
          <w:rFonts w:ascii="Arial" w:hAnsi="Arial" w:cs="Arial"/>
          <w:b/>
          <w:color w:val="000000" w:themeColor="text1"/>
          <w:sz w:val="20"/>
          <w:szCs w:val="20"/>
        </w:rPr>
        <w:t>(</w:t>
      </w:r>
      <w:r w:rsidRPr="000C24F6">
        <w:rPr>
          <w:rFonts w:ascii="Arial" w:hAnsi="Arial" w:cs="Arial"/>
          <w:color w:val="000000" w:themeColor="text1"/>
          <w:sz w:val="20"/>
          <w:szCs w:val="20"/>
        </w:rPr>
        <w:t xml:space="preserve">UK: </w:t>
      </w:r>
      <w:r w:rsidRPr="000C24F6">
        <w:rPr>
          <w:rFonts w:ascii="Arial" w:hAnsi="Arial" w:cs="Arial"/>
          <w:color w:val="000000" w:themeColor="text1"/>
          <w:sz w:val="20"/>
          <w:szCs w:val="20"/>
          <w:lang w:val="en-US"/>
        </w:rPr>
        <w:t xml:space="preserve">332; Spain: 94) </w:t>
      </w:r>
      <w:r w:rsidRPr="000C24F6">
        <w:rPr>
          <w:rFonts w:ascii="Arial" w:hAnsi="Arial" w:cs="Arial"/>
          <w:color w:val="000000" w:themeColor="text1"/>
          <w:sz w:val="20"/>
          <w:szCs w:val="20"/>
        </w:rPr>
        <w:t xml:space="preserve">and 1494 answers were analysed. </w:t>
      </w:r>
      <w:r w:rsidRPr="000C24F6">
        <w:rPr>
          <w:rFonts w:ascii="Arial" w:hAnsi="Arial" w:cs="Arial"/>
          <w:color w:val="000000" w:themeColor="text1"/>
          <w:sz w:val="20"/>
          <w:szCs w:val="20"/>
          <w:lang w:val="en-US"/>
        </w:rPr>
        <w:t xml:space="preserve">Multivariate analysis identified that requests for support were 87% less likely in Spain; that antimicrobial resistance and clinical deterioration were associated with both increased request for support (OR 7.66 and OR 4.26 respectively) and MOAC (OR = 2.08 and OR = 2.06 respectively). A discordant clinical course was associated with 82% lower odds for MOAC. Out-of-hours results, seniority and specialty did not have an effect. </w:t>
      </w:r>
    </w:p>
    <w:p w14:paraId="31334818" w14:textId="77777777" w:rsidR="000C24F6" w:rsidRPr="000C24F6" w:rsidRDefault="000C24F6" w:rsidP="000C24F6">
      <w:pPr>
        <w:spacing w:line="480" w:lineRule="auto"/>
        <w:jc w:val="both"/>
        <w:rPr>
          <w:rFonts w:ascii="Arial" w:hAnsi="Arial" w:cs="Arial"/>
          <w:color w:val="000000" w:themeColor="text1"/>
          <w:sz w:val="20"/>
          <w:szCs w:val="20"/>
        </w:rPr>
      </w:pPr>
      <w:r w:rsidRPr="000C24F6">
        <w:rPr>
          <w:rFonts w:ascii="Arial" w:hAnsi="Arial" w:cs="Arial"/>
          <w:b/>
          <w:bCs/>
          <w:color w:val="000000" w:themeColor="text1"/>
          <w:sz w:val="20"/>
          <w:szCs w:val="20"/>
        </w:rPr>
        <w:t>Conclusion:</w:t>
      </w:r>
      <w:r w:rsidRPr="000C24F6">
        <w:rPr>
          <w:rFonts w:ascii="Arial" w:hAnsi="Arial" w:cs="Arial"/>
          <w:color w:val="000000" w:themeColor="text1"/>
          <w:sz w:val="20"/>
          <w:szCs w:val="20"/>
        </w:rPr>
        <w:t xml:space="preserve"> Antimicrobial choice is influenced by each country´s type of practice, clinical </w:t>
      </w:r>
      <w:proofErr w:type="gramStart"/>
      <w:r w:rsidRPr="000C24F6">
        <w:rPr>
          <w:rFonts w:ascii="Arial" w:hAnsi="Arial" w:cs="Arial"/>
          <w:color w:val="000000" w:themeColor="text1"/>
          <w:sz w:val="20"/>
          <w:szCs w:val="20"/>
        </w:rPr>
        <w:t>course</w:t>
      </w:r>
      <w:proofErr w:type="gramEnd"/>
      <w:r w:rsidRPr="000C24F6">
        <w:rPr>
          <w:rFonts w:ascii="Arial" w:hAnsi="Arial" w:cs="Arial"/>
          <w:color w:val="000000" w:themeColor="text1"/>
          <w:sz w:val="20"/>
          <w:szCs w:val="20"/>
        </w:rPr>
        <w:t xml:space="preserve"> and susceptibility results. Antimicrobial resistance was associated with increased optimal treatment, suggesting RAST may be less useful for step-down decisions in settings with low baseline resistance rates. </w:t>
      </w:r>
    </w:p>
    <w:p w14:paraId="176186C8" w14:textId="77777777" w:rsidR="000C24F6" w:rsidRPr="000C24F6" w:rsidRDefault="000C24F6" w:rsidP="000C24F6">
      <w:pPr>
        <w:spacing w:line="480" w:lineRule="auto"/>
        <w:jc w:val="both"/>
        <w:rPr>
          <w:rFonts w:ascii="Arial" w:hAnsi="Arial" w:cs="Arial"/>
          <w:color w:val="000000" w:themeColor="text1"/>
          <w:sz w:val="20"/>
          <w:szCs w:val="20"/>
        </w:rPr>
      </w:pPr>
    </w:p>
    <w:p w14:paraId="137C53C4" w14:textId="68E425DF" w:rsidR="000C24F6" w:rsidRPr="000C24F6" w:rsidRDefault="000C24F6" w:rsidP="000C24F6">
      <w:pPr>
        <w:spacing w:line="480" w:lineRule="auto"/>
        <w:jc w:val="both"/>
        <w:rPr>
          <w:rFonts w:ascii="Arial" w:hAnsi="Arial" w:cs="Arial"/>
          <w:b/>
          <w:sz w:val="20"/>
          <w:szCs w:val="20"/>
        </w:rPr>
      </w:pPr>
      <w:r w:rsidRPr="000C24F6">
        <w:rPr>
          <w:rFonts w:ascii="Arial" w:hAnsi="Arial" w:cs="Arial"/>
          <w:b/>
          <w:sz w:val="20"/>
          <w:szCs w:val="20"/>
        </w:rPr>
        <w:t>Abstract: 2</w:t>
      </w:r>
      <w:r>
        <w:rPr>
          <w:rFonts w:ascii="Arial" w:hAnsi="Arial" w:cs="Arial"/>
          <w:b/>
          <w:sz w:val="20"/>
          <w:szCs w:val="20"/>
        </w:rPr>
        <w:t>72</w:t>
      </w:r>
    </w:p>
    <w:p w14:paraId="23A64705" w14:textId="6D2370CD" w:rsidR="000C24F6" w:rsidRPr="000C24F6" w:rsidRDefault="000C24F6" w:rsidP="000C24F6">
      <w:pPr>
        <w:spacing w:line="480" w:lineRule="auto"/>
        <w:jc w:val="both"/>
        <w:rPr>
          <w:rFonts w:ascii="Arial" w:hAnsi="Arial" w:cs="Arial"/>
          <w:b/>
          <w:sz w:val="20"/>
          <w:szCs w:val="20"/>
        </w:rPr>
      </w:pPr>
      <w:r w:rsidRPr="000C24F6">
        <w:rPr>
          <w:rFonts w:ascii="Arial" w:hAnsi="Arial" w:cs="Arial"/>
          <w:b/>
          <w:sz w:val="20"/>
          <w:szCs w:val="20"/>
        </w:rPr>
        <w:t>Manuscript: 3</w:t>
      </w:r>
      <w:r>
        <w:rPr>
          <w:rFonts w:ascii="Arial" w:hAnsi="Arial" w:cs="Arial"/>
          <w:b/>
          <w:sz w:val="20"/>
          <w:szCs w:val="20"/>
        </w:rPr>
        <w:t>886</w:t>
      </w:r>
    </w:p>
    <w:p w14:paraId="3CFF42DD" w14:textId="42A41407" w:rsidR="000C24F6" w:rsidRDefault="000C24F6" w:rsidP="000C24F6">
      <w:pPr>
        <w:spacing w:line="480" w:lineRule="auto"/>
        <w:jc w:val="both"/>
        <w:rPr>
          <w:rFonts w:ascii="Arial" w:hAnsi="Arial" w:cs="Arial"/>
          <w:b/>
          <w:sz w:val="20"/>
          <w:szCs w:val="20"/>
        </w:rPr>
      </w:pPr>
    </w:p>
    <w:p w14:paraId="2BA13745" w14:textId="2FDAE662" w:rsidR="000C24F6" w:rsidRDefault="000C24F6" w:rsidP="000C24F6">
      <w:pPr>
        <w:spacing w:line="480" w:lineRule="auto"/>
        <w:jc w:val="both"/>
        <w:rPr>
          <w:rFonts w:ascii="Arial" w:hAnsi="Arial" w:cs="Arial"/>
          <w:b/>
          <w:sz w:val="20"/>
          <w:szCs w:val="20"/>
        </w:rPr>
      </w:pPr>
    </w:p>
    <w:p w14:paraId="7BC5144A" w14:textId="77777777" w:rsidR="000C24F6" w:rsidRPr="000C24F6" w:rsidRDefault="000C24F6" w:rsidP="000C24F6">
      <w:pPr>
        <w:spacing w:line="480" w:lineRule="auto"/>
        <w:jc w:val="both"/>
        <w:rPr>
          <w:rFonts w:ascii="Arial" w:hAnsi="Arial" w:cs="Arial"/>
          <w:b/>
          <w:sz w:val="20"/>
          <w:szCs w:val="20"/>
        </w:rPr>
      </w:pPr>
    </w:p>
    <w:p w14:paraId="27B4ED08" w14:textId="77777777" w:rsidR="000C24F6" w:rsidRPr="000C24F6" w:rsidRDefault="000C24F6" w:rsidP="000C24F6">
      <w:pPr>
        <w:spacing w:line="480" w:lineRule="auto"/>
        <w:jc w:val="both"/>
        <w:rPr>
          <w:rStyle w:val="Emphasis"/>
          <w:rFonts w:ascii="Arial" w:hAnsi="Arial" w:cs="Arial"/>
          <w:i w:val="0"/>
          <w:sz w:val="20"/>
          <w:szCs w:val="20"/>
        </w:rPr>
      </w:pPr>
      <w:r w:rsidRPr="000C24F6">
        <w:rPr>
          <w:rStyle w:val="Emphasis"/>
          <w:rFonts w:ascii="Arial" w:hAnsi="Arial" w:cs="Arial"/>
          <w:b/>
          <w:i w:val="0"/>
          <w:sz w:val="20"/>
          <w:szCs w:val="20"/>
        </w:rPr>
        <w:lastRenderedPageBreak/>
        <w:t>Introduction</w:t>
      </w:r>
    </w:p>
    <w:p w14:paraId="62F61017"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lang w:val="en-US"/>
        </w:rPr>
        <w:t xml:space="preserve">Bloodstream infection (BSI) is a main manifestation of sepsis and a major cause of morbidity and mortality across the world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&lt;EndNote&gt;&lt;Cite&gt;&lt;Author&gt;Goto&lt;/Author&gt;&lt;Year&gt;2013&lt;/Year&gt;&lt;RecNum&gt;0&lt;/RecNum&gt;&lt;IDText&gt;Overall burden of bloodstream infection and nosocomial bloodstream infection in North America and Europe&lt;/IDText&gt;&lt;DisplayText&gt;(1)&lt;/DisplayText&gt;&lt;record&gt;&lt;urls&gt;&lt;related-urls&gt;&lt;url&gt;https://linkinghub.elsevier.com/retrieve/pii/S1198743X1461507X&lt;/url&gt;&lt;/related-urls&gt;&lt;/urls&gt;&lt;titles&gt;&lt;title&gt;Overall burden of bloodstream infection and nosocomial bloodstream infection in North America and Europe&lt;/title&gt;&lt;secondary-title&gt;Clinical Microbiology and Infection&lt;/secondary-title&gt;&lt;/titles&gt;&lt;pages&gt;501-509&lt;/pages&gt;&lt;number&gt;6&lt;/number&gt;&lt;contributors&gt;&lt;authors&gt;&lt;author&gt;Goto, M.&lt;/author&gt;&lt;author&gt;Al-Hasan, M. N.&lt;/author&gt;&lt;/authors&gt;&lt;/contributors&gt;&lt;added-date format="utc"&gt;1602685617&lt;/added-date&gt;&lt;ref-type name="Journal Article"&gt;17&lt;/ref-type&gt;&lt;dates&gt;&lt;year&gt;2013&lt;/year&gt;&lt;/dates&gt;&lt;rec-number&gt;11943&lt;/rec-number&gt;&lt;last-updated-date format="utc"&gt;1602685617&lt;/last-updated-date&gt;&lt;electronic-resource-num&gt;10.1111/1469-0691.12195&lt;/electronic-resource-num&gt;&lt;volume&gt;19&lt;/volume&gt;&lt;/record&gt;&lt;/Cite&gt;&lt;/EndNote&gt;</w:instrText>
      </w:r>
      <w:r w:rsidRPr="000C24F6">
        <w:rPr>
          <w:rFonts w:ascii="Arial" w:hAnsi="Arial" w:cs="Arial"/>
          <w:sz w:val="20"/>
          <w:szCs w:val="20"/>
        </w:rPr>
        <w:fldChar w:fldCharType="separate"/>
      </w:r>
      <w:r w:rsidRPr="000C24F6">
        <w:rPr>
          <w:rFonts w:ascii="Arial" w:hAnsi="Arial" w:cs="Arial"/>
          <w:noProof/>
          <w:sz w:val="20"/>
          <w:szCs w:val="20"/>
        </w:rPr>
        <w:t>(1)</w:t>
      </w:r>
      <w:r w:rsidRPr="000C24F6">
        <w:rPr>
          <w:rFonts w:ascii="Arial" w:hAnsi="Arial" w:cs="Arial"/>
          <w:sz w:val="20"/>
          <w:szCs w:val="20"/>
        </w:rPr>
        <w:fldChar w:fldCharType="end"/>
      </w:r>
      <w:r w:rsidRPr="000C24F6">
        <w:rPr>
          <w:rFonts w:ascii="Arial" w:hAnsi="Arial" w:cs="Arial"/>
          <w:sz w:val="20"/>
          <w:szCs w:val="20"/>
          <w:lang w:val="en-US"/>
        </w:rPr>
        <w:t xml:space="preserve">. </w:t>
      </w:r>
      <w:r w:rsidRPr="000C24F6">
        <w:rPr>
          <w:rFonts w:ascii="Arial" w:hAnsi="Arial" w:cs="Arial"/>
          <w:color w:val="000000" w:themeColor="text1"/>
          <w:sz w:val="20"/>
          <w:szCs w:val="20"/>
          <w:lang w:val="en-US"/>
        </w:rPr>
        <w:t xml:space="preserve">Treatment recommendations for sepsis require rapid antibiotic treatment within an hour, so antibiotic treatment choice is made before results of antimicrobial susceptibility testing (AST) are available. Appropriate antibiotic choice is a balance between patients benefitting from rapid therapy with an effective agent and resistance-selection implications of prescribing unnecessary broad-spectrum antibiotics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&lt;EndNote&gt;&lt;Cite&gt;&lt;Author&gt;Flasche&lt;/Author&gt;&lt;Year&gt;2018&lt;/Year&gt;&lt;RecNum&gt;0&lt;/RecNum&gt;&lt;IDText&gt;Balancing Benefits and Risks of Antibiotic Use&lt;/IDText&gt;&lt;DisplayText&gt;(2)&lt;/DisplayText&gt;&lt;record&gt;&lt;urls&gt;&lt;related-urls&gt;&lt;url&gt;https://academic.oup.com/jid/article/218/9/1351/5033370&lt;/url&gt;&lt;/related-urls&gt;&lt;/urls&gt;&lt;titles&gt;&lt;title&gt;Balancing Benefits and Risks of Antibiotic Use&lt;/title&gt;&lt;secondary-title&gt;The Journal of Infectious Diseases&lt;/secondary-title&gt;&lt;/titles&gt;&lt;pages&gt;1351-1353&lt;/pages&gt;&lt;number&gt;9&lt;/number&gt;&lt;contributors&gt;&lt;authors&gt;&lt;author&gt;Flasche, Stefan Atkins&lt;/author&gt;&lt;author&gt;Katherine E&lt;/author&gt;&lt;/authors&gt;&lt;/contributors&gt;&lt;added-date format="utc"&gt;1602685617&lt;/added-date&gt;&lt;ref-type name="Journal Article"&gt;17&lt;/ref-type&gt;&lt;dates&gt;&lt;year&gt;2018&lt;/year&gt;&lt;/dates&gt;&lt;rec-number&gt;11940&lt;/rec-number&gt;&lt;last-updated-date format="utc"&gt;1602785009&lt;/last-updated-date&gt;&lt;electronic-resource-num&gt;10.1093/infdis/jiy344&lt;/electronic-resource-num&gt;&lt;volume&gt;218&lt;/volume&gt;&lt;/record&gt;&lt;/Cite&gt;&lt;/EndNote&gt;</w:instrText>
      </w:r>
      <w:r w:rsidRPr="000C24F6">
        <w:rPr>
          <w:rFonts w:ascii="Arial" w:hAnsi="Arial" w:cs="Arial"/>
          <w:sz w:val="20"/>
          <w:szCs w:val="20"/>
        </w:rPr>
        <w:fldChar w:fldCharType="separate"/>
      </w:r>
      <w:r w:rsidRPr="000C24F6">
        <w:rPr>
          <w:rFonts w:ascii="Arial" w:hAnsi="Arial" w:cs="Arial"/>
          <w:noProof/>
          <w:sz w:val="20"/>
          <w:szCs w:val="20"/>
        </w:rPr>
        <w:t>(2)</w:t>
      </w:r>
      <w:r w:rsidRPr="000C24F6">
        <w:rPr>
          <w:rFonts w:ascii="Arial" w:hAnsi="Arial" w:cs="Arial"/>
          <w:sz w:val="20"/>
          <w:szCs w:val="20"/>
        </w:rPr>
        <w:fldChar w:fldCharType="end"/>
      </w:r>
      <w:r w:rsidRPr="000C24F6">
        <w:rPr>
          <w:rFonts w:ascii="Arial" w:hAnsi="Arial" w:cs="Arial"/>
          <w:sz w:val="20"/>
          <w:szCs w:val="20"/>
          <w:lang w:val="en-US"/>
        </w:rPr>
        <w:t xml:space="preserve">. </w:t>
      </w:r>
      <w:r w:rsidRPr="000C24F6">
        <w:rPr>
          <w:rFonts w:ascii="Arial" w:hAnsi="Arial" w:cs="Arial"/>
          <w:color w:val="000000" w:themeColor="text1"/>
          <w:sz w:val="20"/>
          <w:szCs w:val="20"/>
          <w:lang w:val="en-US"/>
        </w:rPr>
        <w:t xml:space="preserve">Up to 50% of hospital antibiotic prescriptions may be inappropriate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&lt;EndNote&gt;&lt;Cite&gt;&lt;Author&gt;Marwick&lt;/Author&gt;&lt;Year&gt;2009&lt;/Year&gt;&lt;RecNum&gt;0&lt;/RecNum&gt;&lt;IDText&gt;Care bundles: the holy grail of infectious risk management in hospital?&lt;/IDText&gt;&lt;DisplayText&gt;(3)&lt;/DisplayText&gt;&lt;record&gt;&lt;titles&gt;&lt;title&gt;Care bundles: the holy grail of infectious risk management in hospital?&lt;/title&gt;&lt;secondary-title&gt;Curr Opin Infect Dis&lt;/secondary-title&gt;&lt;/titles&gt;&lt;pages&gt;364-9&lt;/pages&gt;&lt;number&gt;4&lt;/number&gt;&lt;contributors&gt;&lt;authors&gt;&lt;author&gt;Marwick, C&lt;/author&gt;&lt;author&gt;Davey, P&lt;/author&gt;&lt;/authors&gt;&lt;/contributors&gt;&lt;added-date format="utc"&gt;1602791599&lt;/added-date&gt;&lt;ref-type name="Journal Article"&gt;17&lt;/ref-type&gt;&lt;dates&gt;&lt;year&gt;2009&lt;/year&gt;&lt;/dates&gt;&lt;rec-number&gt;12047&lt;/rec-number&gt;&lt;last-updated-date format="utc"&gt;1602791599&lt;/last-updated-date&gt;&lt;electronic-resource-num&gt;10.1097/QCO.0b013e32832e0736&lt;/electronic-resource-num&gt;&lt;volume&gt;22&lt;/volume&gt;&lt;/record&gt;&lt;/Cite&gt;&lt;/EndNote&gt;</w:instrText>
      </w:r>
      <w:r w:rsidRPr="000C24F6">
        <w:rPr>
          <w:rFonts w:ascii="Arial" w:hAnsi="Arial" w:cs="Arial"/>
          <w:sz w:val="20"/>
          <w:szCs w:val="20"/>
        </w:rPr>
        <w:fldChar w:fldCharType="separate"/>
      </w:r>
      <w:r w:rsidRPr="000C24F6">
        <w:rPr>
          <w:rFonts w:ascii="Arial" w:hAnsi="Arial" w:cs="Arial"/>
          <w:noProof/>
          <w:sz w:val="20"/>
          <w:szCs w:val="20"/>
        </w:rPr>
        <w:t>(3)</w:t>
      </w:r>
      <w:r w:rsidRPr="000C24F6">
        <w:rPr>
          <w:rFonts w:ascii="Arial" w:hAnsi="Arial" w:cs="Arial"/>
          <w:sz w:val="20"/>
          <w:szCs w:val="20"/>
        </w:rPr>
        <w:fldChar w:fldCharType="end"/>
      </w:r>
      <w:r w:rsidRPr="000C24F6">
        <w:rPr>
          <w:rFonts w:ascii="Arial" w:hAnsi="Arial" w:cs="Arial"/>
          <w:sz w:val="20"/>
          <w:szCs w:val="20"/>
          <w:lang w:val="en-US"/>
        </w:rPr>
        <w:t xml:space="preserve"> </w:t>
      </w:r>
      <w:r w:rsidRPr="000C24F6">
        <w:rPr>
          <w:rFonts w:ascii="Arial" w:hAnsi="Arial" w:cs="Arial"/>
          <w:color w:val="000000" w:themeColor="text1"/>
          <w:sz w:val="20"/>
          <w:szCs w:val="20"/>
          <w:lang w:val="en-US"/>
        </w:rPr>
        <w:t xml:space="preserve">and up to one-third of patients with BSI are treated with incorrect antibiotics while awaiting blood culture results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&lt;EndNote&gt;&lt;Cite&gt;&lt;Author&gt;She&lt;/Author&gt;&lt;Year&gt;2015&lt;/Year&gt;&lt;RecNum&gt;11959&lt;/RecNum&gt;&lt;IDText&gt;Survey of Physicians’ Perspectives and Knowledge about Diagnostic Tests for Bloodstream Infections&lt;/IDText&gt;&lt;DisplayText&gt;(4)&lt;/DisplayText&gt;&lt;record&gt;&lt;rec-number&gt;11959&lt;/rec-number&gt;&lt;foreign-keys&gt;&lt;key app="EN" db-id="twev005trrrz2jed20o5v2z5r5v2dd2stvft" timestamp="1602684051" guid="e3a0b574-3cbe-43a2-8b35-45a81a440632"&gt;11959&lt;/key&gt;&lt;/foreign-keys&gt;&lt;ref-type name="Journal Article"&gt;17&lt;/ref-type&gt;&lt;contributors&gt;&lt;authors&gt;&lt;author&gt;She, Rosemary C.&lt;/author&gt;&lt;author&gt;Alrabaa, Sally&lt;/author&gt;&lt;author&gt;Lee, Seung Heon&lt;/author&gt;&lt;author&gt;Norvell, Meghan&lt;/author&gt;&lt;author&gt;Wilson, Andrew&lt;/author&gt;&lt;author&gt;Petti, Cathy A.&lt;/author&gt;&lt;/authors&gt;&lt;/contributors&gt;&lt;titles&gt;&lt;title&gt;Survey of Physicians’ Perspectives and Knowledge about Diagnostic Tests for Bloodstream Infections&lt;/title&gt;&lt;secondary-title&gt;PLOS ONE&lt;/secondary-title&gt;&lt;/titles&gt;&lt;periodical&gt;&lt;full-title&gt;PLoS ONE&lt;/full-title&gt;&lt;/periodical&gt;&lt;pages&gt;e0121493-e0121493&lt;/pages&gt;&lt;volume&gt;10&lt;/volume&gt;&lt;number&gt;3&lt;/number&gt;&lt;dates&gt;&lt;year&gt;2015&lt;/year&gt;&lt;/dates&gt;&lt;urls&gt;&lt;related-urls&gt;&lt;url&gt;https://dx.plos.org/10.1371/journal.pone.0121493&lt;/url&gt;&lt;/related-urls&gt;&lt;/urls&gt;&lt;electronic-resource-num&gt;10.1371/journal.pone.0121493&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(4)</w:t>
      </w:r>
      <w:r w:rsidRPr="000C24F6">
        <w:rPr>
          <w:rFonts w:ascii="Arial" w:hAnsi="Arial" w:cs="Arial"/>
          <w:sz w:val="20"/>
          <w:szCs w:val="20"/>
        </w:rPr>
        <w:fldChar w:fldCharType="end"/>
      </w:r>
      <w:r w:rsidRPr="000C24F6">
        <w:rPr>
          <w:rFonts w:ascii="Arial" w:hAnsi="Arial" w:cs="Arial"/>
          <w:sz w:val="20"/>
          <w:szCs w:val="20"/>
          <w:lang w:val="en-US"/>
        </w:rPr>
        <w:t xml:space="preserve">. </w:t>
      </w:r>
      <w:r w:rsidRPr="000C24F6">
        <w:rPr>
          <w:rFonts w:ascii="Arial" w:hAnsi="Arial" w:cs="Arial"/>
          <w:sz w:val="20"/>
          <w:szCs w:val="20"/>
        </w:rPr>
        <w:t>Improving antibiotic prescribing practices in hospitals is a priority in order to control the emergence and dissemination of resistant organisms</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&lt;EndNote&gt;&lt;Cite&gt;&lt;Author&gt;EASAC&lt;/Author&gt;&lt;Year&gt;2006&lt;/Year&gt;&lt;RecNum&gt;12071&lt;/RecNum&gt;&lt;IDText&gt;European Technology Assessment Group, European Parliament. Antibiotic resistance [IP/A/STOA/SC/2005-173]&lt;/IDText&gt;&lt;DisplayText&gt;(5)&lt;/DisplayText&gt;&lt;record&gt;&lt;rec-number&gt;12071&lt;/rec-number&gt;&lt;foreign-keys&gt;&lt;key app="EN" db-id="twev005trrrz2jed20o5v2z5r5v2dd2stvft" timestamp="1602792020" guid="7f4fc062-21b5-4f32-a68b-37fb8036054a"&gt;12071&lt;/key&gt;&lt;/foreign-keys&gt;&lt;ref-type name="Journal Article"&gt;17&lt;/ref-type&gt;&lt;contributors&gt;&lt;authors&gt;&lt;author&gt;EASAC&lt;/author&gt;&lt;/authors&gt;&lt;/contributors&gt;&lt;titles&gt;&lt;title&gt;European Technology Assessment Group, European Parliament. Antibiotic resistance [IP/A/STOA/SC/2005-173]&lt;/title&gt;&lt;/titles&gt;&lt;dates&gt;&lt;year&gt;2006&lt;/year&gt;&lt;/dates&gt;&lt;urls&gt;&lt;/urls&gt;&lt;/record&gt;&lt;/Cite&gt;&lt;/EndNote&gt;</w:instrText>
      </w:r>
      <w:r w:rsidRPr="000C24F6">
        <w:rPr>
          <w:rFonts w:ascii="Arial" w:hAnsi="Arial" w:cs="Arial"/>
          <w:sz w:val="20"/>
          <w:szCs w:val="20"/>
        </w:rPr>
        <w:fldChar w:fldCharType="separate"/>
      </w:r>
      <w:r w:rsidRPr="000C24F6">
        <w:rPr>
          <w:rFonts w:ascii="Arial" w:hAnsi="Arial" w:cs="Arial"/>
          <w:noProof/>
          <w:sz w:val="20"/>
          <w:szCs w:val="20"/>
        </w:rPr>
        <w:t>(5)</w:t>
      </w:r>
      <w:r w:rsidRPr="000C24F6">
        <w:rPr>
          <w:rFonts w:ascii="Arial" w:hAnsi="Arial" w:cs="Arial"/>
          <w:sz w:val="20"/>
          <w:szCs w:val="20"/>
        </w:rPr>
        <w:fldChar w:fldCharType="end"/>
      </w:r>
      <w:r w:rsidRPr="000C24F6">
        <w:rPr>
          <w:rFonts w:ascii="Arial" w:hAnsi="Arial" w:cs="Arial"/>
          <w:sz w:val="20"/>
          <w:szCs w:val="20"/>
          <w:lang w:val="en-US"/>
        </w:rPr>
        <w:t>.</w:t>
      </w:r>
    </w:p>
    <w:p w14:paraId="14D42770" w14:textId="77777777" w:rsidR="000C24F6" w:rsidRPr="000C24F6" w:rsidRDefault="000C24F6" w:rsidP="000C24F6">
      <w:pPr>
        <w:spacing w:line="480" w:lineRule="auto"/>
        <w:jc w:val="both"/>
        <w:rPr>
          <w:rFonts w:ascii="Arial" w:hAnsi="Arial" w:cs="Arial"/>
          <w:sz w:val="20"/>
          <w:szCs w:val="20"/>
          <w:lang w:val="en-US"/>
        </w:rPr>
      </w:pPr>
    </w:p>
    <w:p w14:paraId="29F9A870" w14:textId="77777777" w:rsidR="000C24F6" w:rsidRPr="000C24F6" w:rsidRDefault="000C24F6" w:rsidP="000C24F6">
      <w:pPr>
        <w:spacing w:line="480" w:lineRule="auto"/>
        <w:jc w:val="both"/>
        <w:rPr>
          <w:rFonts w:ascii="Arial" w:hAnsi="Arial" w:cs="Arial"/>
          <w:color w:val="000000" w:themeColor="text1"/>
          <w:sz w:val="20"/>
          <w:szCs w:val="20"/>
        </w:rPr>
      </w:pPr>
      <w:r w:rsidRPr="000C24F6">
        <w:rPr>
          <w:rFonts w:ascii="Arial" w:hAnsi="Arial" w:cs="Arial"/>
          <w:sz w:val="20"/>
          <w:szCs w:val="20"/>
        </w:rPr>
        <w:t xml:space="preserve">Results from routine diagnostic laboratories, including microorganism identification and </w:t>
      </w:r>
      <w:r w:rsidRPr="000C24F6">
        <w:rPr>
          <w:rFonts w:ascii="Arial" w:hAnsi="Arial" w:cs="Arial"/>
          <w:i/>
          <w:iCs/>
          <w:sz w:val="20"/>
          <w:szCs w:val="20"/>
        </w:rPr>
        <w:t xml:space="preserve">in vitro </w:t>
      </w:r>
      <w:r w:rsidRPr="000C24F6">
        <w:rPr>
          <w:rFonts w:ascii="Arial" w:hAnsi="Arial" w:cs="Arial"/>
          <w:sz w:val="20"/>
          <w:szCs w:val="20"/>
        </w:rPr>
        <w:t>AST, provide guidance to clinicians in selecting appropriate antimicrobial treatments</w:t>
      </w:r>
      <w:r w:rsidRPr="000C24F6">
        <w:rPr>
          <w:rFonts w:ascii="Arial" w:hAnsi="Arial" w:cs="Arial"/>
          <w:sz w:val="20"/>
          <w:szCs w:val="20"/>
          <w:lang w:val="en-US"/>
        </w:rPr>
        <w:t xml:space="preserv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&lt;EndNote&gt;&lt;Cite&gt;&lt;Author&gt;Buehler&lt;/Author&gt;&lt;Year&gt;2016&lt;/Year&gt;&lt;RecNum&gt;0&lt;/RecNum&gt;&lt;IDText&gt;Effectiveness of Practices To Increase Timeliness of Providing Targeted Therapy for Inpatients with Bloodstream Infections: a Laboratory Medicine Best Practices Systematic Review and Meta-analysis&lt;/IDText&gt;&lt;DisplayText&gt;(6)&lt;/DisplayText&gt;&lt;record&gt;&lt;urls&gt;&lt;related-urls&gt;&lt;url&gt;https://cmr.asm.org/content/29/1/59&lt;/url&gt;&lt;/related-urls&gt;&lt;/urls&gt;&lt;titles&gt;&lt;title&gt;Effectiveness of Practices To Increase Timeliness of Providing Targeted Therapy for Inpatients with Bloodstream Infections: a Laboratory Medicine Best Practices Systematic Review and Meta-analysis&lt;/title&gt;&lt;secondary-title&gt;Clinical Microbiology Reviews&lt;/secondary-title&gt;&lt;/titles&gt;&lt;pages&gt;59-103&lt;/pages&gt;&lt;number&gt;1&lt;/number&gt;&lt;contributors&gt;&lt;authors&gt;&lt;author&gt;Buehler, Stephanie S.&lt;/author&gt;&lt;author&gt;Madison, Bereneice&lt;/author&gt;&lt;author&gt;Snyder, Susan R.&lt;/author&gt;&lt;author&gt;Derzon, James H.&lt;/author&gt;&lt;author&gt;Cornish, Nancy E.&lt;/author&gt;&lt;author&gt;Saubolle, Michael A.&lt;/author&gt;&lt;author&gt;Weissfeld, Alice S.&lt;/author&gt;&lt;author&gt;Weinstein, Melvin P.&lt;/author&gt;&lt;author&gt;Liebow, Edward B.&lt;/author&gt;&lt;author&gt;Wolk, Donna M.&lt;/author&gt;&lt;/authors&gt;&lt;/contributors&gt;&lt;added-date format="utc"&gt;1602687294&lt;/added-date&gt;&lt;ref-type name="Journal Article"&gt;17&lt;/ref-type&gt;&lt;dates&gt;&lt;year&gt;2016&lt;/year&gt;&lt;/dates&gt;&lt;rec-number&gt;11980&lt;/rec-number&gt;&lt;last-updated-date format="utc"&gt;1602687294&lt;/last-updated-date&gt;&lt;electronic-resource-num&gt;10.1128/CMR.00053-14&lt;/electronic-resource-num&gt;&lt;volume&gt;29&lt;/volume&gt;&lt;/record&gt;&lt;/Cite&gt;&lt;/EndNote&gt;</w:instrText>
      </w:r>
      <w:r w:rsidRPr="000C24F6">
        <w:rPr>
          <w:rFonts w:ascii="Arial" w:hAnsi="Arial" w:cs="Arial"/>
          <w:sz w:val="20"/>
          <w:szCs w:val="20"/>
        </w:rPr>
        <w:fldChar w:fldCharType="separate"/>
      </w:r>
      <w:r w:rsidRPr="000C24F6">
        <w:rPr>
          <w:rFonts w:ascii="Arial" w:hAnsi="Arial" w:cs="Arial"/>
          <w:noProof/>
          <w:sz w:val="20"/>
          <w:szCs w:val="20"/>
        </w:rPr>
        <w:t>(6)</w:t>
      </w:r>
      <w:r w:rsidRPr="000C24F6">
        <w:rPr>
          <w:rFonts w:ascii="Arial" w:hAnsi="Arial" w:cs="Arial"/>
          <w:sz w:val="20"/>
          <w:szCs w:val="20"/>
        </w:rPr>
        <w:fldChar w:fldCharType="end"/>
      </w:r>
      <w:r w:rsidRPr="000C24F6">
        <w:rPr>
          <w:rFonts w:ascii="Arial" w:hAnsi="Arial" w:cs="Arial"/>
          <w:sz w:val="20"/>
          <w:szCs w:val="20"/>
          <w:lang w:val="en-US"/>
        </w:rPr>
        <w:t xml:space="preserve">. </w:t>
      </w:r>
      <w:r w:rsidRPr="000C24F6">
        <w:rPr>
          <w:rFonts w:ascii="Arial" w:hAnsi="Arial" w:cs="Arial"/>
          <w:sz w:val="20"/>
          <w:szCs w:val="20"/>
        </w:rPr>
        <w:t xml:space="preserve">. </w:t>
      </w:r>
      <w:r w:rsidRPr="000C24F6">
        <w:rPr>
          <w:rFonts w:ascii="Arial" w:hAnsi="Arial" w:cs="Arial"/>
          <w:color w:val="000000" w:themeColor="text1"/>
          <w:sz w:val="20"/>
          <w:szCs w:val="20"/>
        </w:rPr>
        <w:t>However, routine AST results take up to 4 days, which means that empirical antibiotic prescriptions are based on previous known local susceptibility results and the clinical presentation. Given the potential devastating effects of sepsis, empiric therapy tends to be with broad-spectrum antibiotics.</w:t>
      </w:r>
    </w:p>
    <w:p w14:paraId="69BFA5BB" w14:textId="77777777" w:rsidR="000C24F6" w:rsidRPr="000C24F6" w:rsidRDefault="000C24F6" w:rsidP="000C24F6">
      <w:pPr>
        <w:spacing w:line="480" w:lineRule="auto"/>
        <w:jc w:val="both"/>
        <w:rPr>
          <w:rFonts w:ascii="Arial" w:hAnsi="Arial" w:cs="Arial"/>
          <w:color w:val="000000" w:themeColor="text1"/>
          <w:sz w:val="20"/>
          <w:szCs w:val="20"/>
        </w:rPr>
      </w:pPr>
    </w:p>
    <w:p w14:paraId="7845D6FD" w14:textId="77777777" w:rsidR="000C24F6" w:rsidRPr="000C24F6" w:rsidRDefault="000C24F6" w:rsidP="000C24F6">
      <w:pPr>
        <w:spacing w:line="480" w:lineRule="auto"/>
        <w:jc w:val="both"/>
        <w:rPr>
          <w:rFonts w:ascii="Arial" w:hAnsi="Arial" w:cs="Arial"/>
          <w:color w:val="1F3864" w:themeColor="accent1" w:themeShade="80"/>
          <w:sz w:val="20"/>
          <w:szCs w:val="20"/>
        </w:rPr>
      </w:pPr>
      <w:r w:rsidRPr="000C24F6">
        <w:rPr>
          <w:rFonts w:ascii="Arial" w:hAnsi="Arial" w:cs="Arial"/>
          <w:sz w:val="20"/>
          <w:szCs w:val="20"/>
        </w:rPr>
        <w:t>For these reasons, the development of rapid susceptibility testing (RAST) technologies are a high research priority in order to improve antibiotic use and reduce antibiotic resistance</w:t>
      </w:r>
      <w:r w:rsidRPr="000C24F6">
        <w:rPr>
          <w:rFonts w:ascii="Arial" w:hAnsi="Arial" w:cs="Arial"/>
          <w:sz w:val="20"/>
          <w:szCs w:val="20"/>
          <w:lang w:val="en-US"/>
        </w:rPr>
        <w:t xml:space="preserv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&lt;EndNote&gt;&lt;Cite&gt;&lt;Author&gt;Messacar&lt;/Author&gt;&lt;Year&gt;2017&lt;/Year&gt;&lt;RecNum&gt;72&lt;/RecNum&gt;&lt;IDText&gt;Clinical impact and provider acceptability of real-time antimicrobial stewardship decision support for rapid diagnostics in children with positive blood culture results&lt;/IDText&gt;&lt;DisplayText&gt;(7)&lt;/DisplayText&gt;&lt;record&gt;&lt;rec-number&gt;72&lt;/rec-number&gt;&lt;foreign-keys&gt;&lt;key app="EN" db-id="twev005trrrz2jed20o5v2z5r5v2dd2stvft" timestamp="1517328000" guid="243d6848-cd85-4d1a-ad6b-941140624a12"&gt;72&lt;/key&gt;&lt;/foreign-keys&gt;&lt;ref-type name="Journal Article"&gt;17&lt;/ref-type&gt;&lt;contributors&gt;&lt;authors&gt;&lt;author&gt;Messacar, Kevin&lt;/author&gt;&lt;author&gt;Hurst, Amanda L.&lt;/author&gt;&lt;author&gt;Child, Jason&lt;/author&gt;&lt;author&gt;Campbell, Kristen&lt;/author&gt;&lt;author&gt;Palmer, Claire&lt;/author&gt;&lt;author&gt;Hamilton, Stacey&lt;/author&gt;&lt;author&gt;Dowell, Elaine&lt;/author&gt;&lt;author&gt;Robinson, Christine C.&lt;/author&gt;&lt;author&gt;Parker, Sarah K.&lt;/author&gt;&lt;author&gt;Dominguez, Samuel R.&lt;/author&gt;&lt;/authors&gt;&lt;/contributors&gt;&lt;titles&gt;&lt;title&gt;Clinical impact and provider acceptability of real-time antimicrobial stewardship decision support for rapid diagnostics in children with positive blood culture results&lt;/title&gt;&lt;secondary-title&gt;Journal of the Pediatric Infectious Diseases Society&lt;/secondary-title&gt;&lt;/titles&gt;&lt;periodical&gt;&lt;full-title&gt;Journal of the Pediatric Infectious Diseases Society&lt;/full-title&gt;&lt;/periodical&gt;&lt;pages&gt;267-274&lt;/pages&gt;&lt;volume&gt;6&lt;/volume&gt;&lt;number&gt;3&lt;/number&gt;&lt;keywords&gt;&lt;keyword&gt;Antimicrobial stewardship&lt;/keyword&gt;&lt;keyword&gt;Bloodstream infections&lt;/keyword&gt;&lt;keyword&gt;Outcomes&lt;/keyword&gt;&lt;keyword&gt;Rapid diagnostics&lt;/keyword&gt;&lt;/keywords&gt;&lt;dates&gt;&lt;year&gt;2017&lt;/year&gt;&lt;/dates&gt;&lt;urls&gt;&lt;pdf-urls&gt;&lt;url&gt;file://localhost/Users/vanesaantonvazquez/Library/Application%20Support/Mendeley%20Desktop/Downloaded/Messacar%20et%20al.%20-%202017%20-%20Clinical%20impact%20and%20provider%20acceptability%20of%20real-time%20antimicrobial%20stewardship%20decision%20support%20for%20rapid(2).pdf&lt;/url&gt;&lt;/pdf-urls&gt;&lt;/urls&gt;&lt;electronic-resource-num&gt;10.1093/jpids/piw047&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(7)</w:t>
      </w:r>
      <w:r w:rsidRPr="000C24F6">
        <w:rPr>
          <w:rFonts w:ascii="Arial" w:hAnsi="Arial" w:cs="Arial"/>
          <w:sz w:val="20"/>
          <w:szCs w:val="20"/>
        </w:rPr>
        <w:fldChar w:fldCharType="end"/>
      </w:r>
      <w:r w:rsidRPr="000C24F6">
        <w:rPr>
          <w:rFonts w:ascii="Arial" w:hAnsi="Arial" w:cs="Arial"/>
          <w:sz w:val="20"/>
          <w:szCs w:val="20"/>
          <w:lang w:val="en-US"/>
        </w:rPr>
        <w:t xml:space="preserv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&lt;EndNote&gt;&lt;Cite&gt;&lt;Author&gt;Chaves&lt;/Author&gt;&lt;Year&gt;2014&lt;/Year&gt;&lt;RecNum&gt;68&lt;/RecNum&gt;&lt;IDText&gt;Analysis of knowledge and attitude surveys to identify barriers and enablers of appropriate antimicrobial prescribing in three Australian tertiary hospitals&lt;/IDText&gt;&lt;DisplayText&gt;(8)&lt;/DisplayText&gt;&lt;record&gt;&lt;rec-number&gt;68&lt;/rec-number&gt;&lt;foreign-keys&gt;&lt;key app="EN" db-id="twev005trrrz2jed20o5v2z5r5v2dd2stvft" timestamp="1517327947" guid="a4fd0160-d981-4d3f-83fb-7ca085a00b2e"&gt;68&lt;/key&gt;&lt;/foreign-keys&gt;&lt;ref-type name="Journal Article"&gt;17&lt;/ref-type&gt;&lt;contributors&gt;&lt;authors&gt;&lt;author&gt;Chaves, N. J.&lt;/author&gt;&lt;author&gt;Cheng, A. C.&lt;/author&gt;&lt;author&gt;Runnegar, N.&lt;/author&gt;&lt;author&gt;Kirschner, J.&lt;/author&gt;&lt;author&gt;Lee, T.&lt;/author&gt;&lt;author&gt;Buising, K.&lt;/author&gt;&lt;/authors&gt;&lt;/contributors&gt;&lt;titles&gt;&lt;title&gt;Analysis of knowledge and attitude surveys to identify barriers and enablers of appropriate antimicrobial prescribing in three Australian tertiary hospitals&lt;/title&gt;&lt;/titles&gt;&lt;pages&gt;568-574&lt;/pages&gt;&lt;keywords&gt;&lt;keyword&gt;anti-infective agent&lt;/keyword&gt;&lt;keyword&gt;attitude of health&lt;/keyword&gt;&lt;keyword&gt;attitude of health personnel&lt;/keyword&gt;&lt;keyword&gt;clinical&lt;/keyword&gt;&lt;keyword&gt;competence&lt;/keyword&gt;&lt;keyword&gt;inappropriate prescribing&lt;/keyword&gt;&lt;keyword&gt;personnel&lt;/keyword&gt;&lt;/keywords&gt;&lt;dates&gt;&lt;year&gt;2014&lt;/year&gt;&lt;/dates&gt;&lt;urls&gt;&lt;pdf-urls&gt;&lt;url&gt;file://localhost/Users/vanesaantonvazquez/Library/Application%20Support/Mendeley%20Desktop/Downloaded/Chaves%20et%20al.%20-%202014%20-%20Analysis%20of%20knowledge%20and%20attitude%20surveys%20to%20identify%20barriers%20and%20enablers%20of%20appropriate%20antimicrobial%20prescri.pdf&lt;/url&gt;&lt;/pdf-urls&gt;&lt;/urls&gt;&lt;electronic-resource-num&gt;10.1111/imj.12373&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(8)</w:t>
      </w:r>
      <w:r w:rsidRPr="000C24F6">
        <w:rPr>
          <w:rFonts w:ascii="Arial" w:hAnsi="Arial" w:cs="Arial"/>
          <w:sz w:val="20"/>
          <w:szCs w:val="20"/>
        </w:rPr>
        <w:fldChar w:fldCharType="end"/>
      </w:r>
      <w:r w:rsidRPr="000C24F6">
        <w:rPr>
          <w:rFonts w:ascii="Arial" w:hAnsi="Arial" w:cs="Arial"/>
          <w:sz w:val="20"/>
          <w:szCs w:val="20"/>
        </w:rPr>
        <w:t xml:space="preserv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&lt;EndNote&gt;&lt;Cite&gt;&lt;Author&gt;O’Neill&lt;/Author&gt;&lt;Year&gt;2016&lt;/Year&gt;&lt;RecNum&gt;12068&lt;/RecNum&gt;&lt;IDText&gt;Tackling drug-resistant infections globally: Final report and recommendations. London: HM Government and Wellcome Trust&lt;/IDText&gt;&lt;DisplayText&gt;(9)&lt;/DisplayText&gt;&lt;record&gt;&lt;rec-number&gt;12068&lt;/rec-number&gt;&lt;foreign-keys&gt;&lt;key app="EN" db-id="twev005trrrz2jed20o5v2z5r5v2dd2stvft" timestamp="1602789684" guid="2c5ebaef-1a7a-4924-bde3-cd692ba331c2"&gt;12068&lt;/key&gt;&lt;/foreign-keys&gt;&lt;ref-type name="Journal Article"&gt;17&lt;/ref-type&gt;&lt;contributors&gt;&lt;authors&gt;&lt;author&gt;O’Neill, J&lt;/author&gt;&lt;/authors&gt;&lt;/contributors&gt;&lt;titles&gt;&lt;title&gt;Tackling drug-resistant infections globally: Final report and recommendations. London: HM Government and Wellcome Trust&lt;/title&gt;&lt;secondary-title&gt;Review on Antimicrobial Resistance, chaired by Jim O’Neill&lt;/secondary-title&gt;&lt;/titles&gt;&lt;periodical&gt;&lt;full-title&gt;Review on Antimicrobial Resistance, chaired by Jim O’Neill&lt;/full-title&gt;&lt;/periodical&gt;&lt;dates&gt;&lt;year&gt;2016&lt;/year&gt;&lt;/dates&gt;&lt;urls&gt;&lt;/urls&gt;&lt;/record&gt;&lt;/Cite&gt;&lt;/EndNote&gt;</w:instrText>
      </w:r>
      <w:r w:rsidRPr="000C24F6">
        <w:rPr>
          <w:rFonts w:ascii="Arial" w:hAnsi="Arial" w:cs="Arial"/>
          <w:sz w:val="20"/>
          <w:szCs w:val="20"/>
        </w:rPr>
        <w:fldChar w:fldCharType="separate"/>
      </w:r>
      <w:r w:rsidRPr="000C24F6">
        <w:rPr>
          <w:rFonts w:ascii="Arial" w:hAnsi="Arial" w:cs="Arial"/>
          <w:noProof/>
          <w:sz w:val="20"/>
          <w:szCs w:val="20"/>
        </w:rPr>
        <w:t>(9)</w:t>
      </w:r>
      <w:r w:rsidRPr="000C24F6">
        <w:rPr>
          <w:rFonts w:ascii="Arial" w:hAnsi="Arial" w:cs="Arial"/>
          <w:sz w:val="20"/>
          <w:szCs w:val="20"/>
        </w:rPr>
        <w:fldChar w:fldCharType="end"/>
      </w:r>
      <w:r w:rsidRPr="000C24F6">
        <w:rPr>
          <w:rFonts w:ascii="Arial" w:hAnsi="Arial" w:cs="Arial"/>
          <w:sz w:val="20"/>
          <w:szCs w:val="20"/>
          <w:lang w:val="en-US"/>
        </w:rPr>
        <w:t xml:space="preserve">. </w:t>
      </w:r>
      <w:r w:rsidRPr="000C24F6">
        <w:rPr>
          <w:rFonts w:ascii="Arial" w:hAnsi="Arial" w:cs="Arial"/>
          <w:sz w:val="20"/>
          <w:szCs w:val="20"/>
        </w:rPr>
        <w:t>These methods can provide susceptibility results within few hours after a positive culture</w:t>
      </w:r>
      <w:r w:rsidRPr="000C24F6">
        <w:rPr>
          <w:rFonts w:ascii="Arial" w:hAnsi="Arial" w:cs="Arial"/>
          <w:sz w:val="20"/>
          <w:szCs w:val="20"/>
          <w:lang w:val="en-US"/>
        </w:rPr>
        <w:t xml:space="preserve"> </w:t>
      </w:r>
      <w:r w:rsidRPr="000C24F6">
        <w:rPr>
          <w:rFonts w:ascii="Arial" w:hAnsi="Arial" w:cs="Arial"/>
          <w:sz w:val="20"/>
          <w:szCs w:val="20"/>
        </w:rPr>
        <w:fldChar w:fldCharType="begin">
          <w:fldData xml:space="preserve">PEVuZE5vdGU+PENpdGU+PEF1dGhvcj5BbnRvbi1WYXpxdWV6PC9BdXRob3I+PFllYXI+MjAxOTwv
WWVhcj48UmVjTnVtPjEyMTMxPC9SZWNOdW0+PERpc3BsYXlUZXh0PigxMCk8L0Rpc3BsYXlUZXh0
PjxyZWNvcmQ+PHJlYy1udW1iZXI+MTIxMzE8L3JlYy1udW1iZXI+PGZvcmVpZ24ta2V5cz48a2V5
IGFwcD0iRU4iIGRiLWlkPSJ0d2V2MDA1dHJycnoyamVkMjBvNXYyejVyNXYyZGQyc3R2ZnQiIHRp
bWVzdGFtcD0iMTYwNDE2NzA4NSI+MTIxMzE8L2tleT48L2ZvcmVpZ24ta2V5cz48cmVmLXR5cGUg
bmFtZT0iSm91cm5hbCBBcnRpY2xlIj4xNzwvcmVmLXR5cGU+PGNvbnRyaWJ1dG9ycz48YXV0aG9y
cz48YXV0aG9yPkFudG9uLVZhenF1ZXosIFYuPC9hdXRob3I+PGF1dGhvcj5BZGplcG9uZywgUy48
L2F1dGhvcj48YXV0aG9yPlN1YXJleiwgQy48L2F1dGhvcj48YXV0aG9yPlBsYW5jaGUsIFQuPC9h
dXRob3I+PC9hdXRob3JzPjwvY29udHJpYnV0b3JzPjxhdXRoLWFkZHJlc3M+U3QuIEdlb3JnZSZh
cG9zO3MgVW5pdmVyc2l0eSBvZiBMb25kb24uIEluc3RpdHV0ZSBmb3IgSW5mZWN0aW9uIGFuZCBJ
bW11bml0eSwgTG9uZG9uLCBTVzE3IDBSRSwgVUsuIHZhbmVzYS5hbnRvbi52QGdtYWlsLmNvbS4m
I3hEO0luZmVjdGlvbiBDYXJlIEdyb3VwLCBTdCBHZW9yZ2UmYXBvcztzIFVuaXZlcnNpdHkgSG9z
cGl0YWxzIE5IUyBGb3VuZGF0aW9uIFRydXN0LCBCbGFja3NoYXcgUm9hZCwgTG9uZG9uLCBTVzE3
IDBRVCwgVUsuIHZhbmVzYS5hbnRvbi52QGdtYWlsLmNvbS4mI3hEO0RlcGFydG1lbnQgb2YgTWVk
aWNhbCBNaWNyb2Jpb2xvZ3ksIFNvdXRod2VzdCBMb25kb24gUGF0aG9sb2d5LCBTdC4gR2Vvcmdl
JmFwb3M7cyBIb3NwaXRhbCBCbGFja3NoYXcgUm9hZCwgTG9uZG9uLCBTVzE3IDBRVCwgVUsuJiN4
RDtTdC4gR2VvcmdlJmFwb3M7cyBVbml2ZXJzaXR5IG9mIExvbmRvbi4gSW5zdGl0dXRlIGZvciBJ
bmZlY3Rpb24gYW5kIEltbXVuaXR5LCBMb25kb24sIFNXMTcgMFJFLCBVSy4mI3hEO0luZmVjdGlv
biBDYXJlIEdyb3VwLCBTdCBHZW9yZ2UmYXBvcztzIFVuaXZlcnNpdHkgSG9zcGl0YWxzIE5IUyBG
b3VuZGF0aW9uIFRydXN0LCBCbGFja3NoYXcgUm9hZCwgTG9uZG9uLCBTVzE3IDBRVCwgVUsuPC9h
dXRoLWFkZHJlc3M+PHRpdGxlcz48dGl0bGU+RXZhbHVhdGlvbiBvZiBhIG5ldyBSYXBpZCBBbnRp
bWljcm9iaWFsIFN1c2NlcHRpYmlsaXR5IHN5c3RlbSBmb3IgR3JhbS1uZWdhdGl2ZSBhbmQgR3Jh
bS1wb3NpdGl2ZSBibG9vZHN0cmVhbSBpbmZlY3Rpb25zOiBzcGVlZCBhbmQgYWNjdXJhY3kgb2Yg
QWxmcmVkIDYwQVNUPC90aXRsZT48c2Vjb25kYXJ5LXRpdGxlPkJNQyBNaWNyb2Jpb2w8L3NlY29u
ZGFyeS10aXRsZT48L3RpdGxlcz48cGVyaW9kaWNhbD48ZnVsbC10aXRsZT5CTUMgTWljcm9iaW9s
PC9mdWxsLXRpdGxlPjwvcGVyaW9kaWNhbD48cGFnZXM+MjY4PC9wYWdlcz48dm9sdW1lPjE5PC92
b2x1bWU+PG51bWJlcj4xPC9udW1iZXI+PGVkaXRpb24+MjAxOS8xMi8wMTwvZWRpdGlvbj48a2V5
d29yZHM+PGtleXdvcmQ+QW50aS1CYWN0ZXJpYWwgQWdlbnRzLypwaGFybWFjb2xvZ3k8L2tleXdv
cmQ+PGtleXdvcmQ+QXV0b21hdGlvbiwgTGFib3JhdG9yeS9pbnN0cnVtZW50YXRpb24vbWV0aG9k
czwva2V5d29yZD48a2V5d29yZD5CYWN0ZXJlbWlhL2RpYWdub3Npcy8qbWljcm9iaW9sb2d5PC9r
ZXl3b3JkPjxrZXl3b3JkPkJsb29kIEN1bHR1cmUvbWV0aG9kczwva2V5d29yZD48a2V5d29yZD5D
bGluaWNhbCBMYWJvcmF0b3J5IFRlY2huaXF1ZXMvKmluc3RydW1lbnRhdGlvbi9tZXRob2RzPC9r
ZXl3b3JkPjxrZXl3b3JkPkdyYW0tTmVnYXRpdmUgQmFjdGVyaWEvKmRydWcgZWZmZWN0czwva2V5
d29yZD48a2V5d29yZD5HcmFtLU5lZ2F0aXZlIEJhY3RlcmlhbCBJbmZlY3Rpb25zL2RpYWdub3Np
cy9taWNyb2Jpb2xvZ3k8L2tleXdvcmQ+PGtleXdvcmQ+R3JhbS1Qb3NpdGl2ZSBCYWN0ZXJpYS8q
ZHJ1ZyBlZmZlY3RzPC9rZXl3b3JkPjxrZXl3b3JkPkdyYW0tUG9zaXRpdmUgQmFjdGVyaWFsIElu
ZmVjdGlvbnMvZGlhZ25vc2lzL21pY3JvYmlvbG9neTwva2V5d29yZD48a2V5d29yZD5IdW1hbnM8
L2tleXdvcmQ+PGtleXdvcmQ+TWljcm9iaWFsIFNlbnNpdGl2aXR5IFRlc3RzPC9rZXl3b3JkPjxr
ZXl3b3JkPlByb3NwZWN0aXZlIFN0dWRpZXM8L2tleXdvcmQ+PGtleXdvcmQ+UmVwcm9kdWNpYmls
aXR5IG9mIFJlc3VsdHM8L2tleXdvcmQ+PGtleXdvcmQ+VGltZSBGYWN0b3JzPC9rZXl3b3JkPjxr
ZXl3b3JkPipSYXBpZCBkaWFnbm9zdGljcy4gQmxvb2RzdHJlYW0gaW5mZWN0aW9uLiBCYWN0ZXJh
ZW1pYS4gQW50aW1pY3JvYmlhbCBzdXNjZXB0aWJpbGl0eTwva2V5d29yZD48a2V5d29yZD50ZXN0
aW5nLiBHcmFtLW5lZ2F0aXZlIGJhY3RlcmlhLiBHcmFtLXBvc2l0aXZlIGJhY3RlcmlhPC9rZXl3
b3JkPjxrZXl3b3JkPnJvbGUgaW4gc3R1ZHkgZGVzaWduLCBkYXRhIGNvbGxlY3Rpb24sIGRhdGEg
YW5hbHlzaXMgb3Igc3R1ZHkgc3VibWlzc2lvbiBmb3I8L2tleXdvcmQ+PGtleXdvcmQ+cHVibGlj
YXRpb24uPC9rZXl3b3JkPjwva2V5d29yZHM+PGRhdGVzPjx5ZWFyPjIwMTk8L3llYXI+PHB1Yi1k
YXRlcz48ZGF0ZT5Ob3YgMjk8L2RhdGU+PC9wdWItZGF0ZXM+PC9kYXRlcz48aXNibj4xNDcxLTIx
ODA8L2lzYm4+PGFjY2Vzc2lvbi1udW0+MzE3ODM3ODc8L2FjY2Vzc2lvbi1udW0+PHVybHM+PC91
cmxzPjxjdXN0b20yPlBNQzY4ODQ3ODI8L2N1c3RvbTI+PGVsZWN0cm9uaWMtcmVzb3VyY2UtbnVt
PjEwLjExODYvczEyODY2LTAxOS0xNjU0LTk8L2VsZWN0cm9uaWMtcmVzb3VyY2UtbnVtPjxyZW1v
dGUtZGF0YWJhc2UtcHJvdmlkZXI+TkxNPC9yZW1vdGUtZGF0YWJhc2UtcHJvdmlkZXI+PGxhbmd1
YWdlPmVuZzwvbGFuZ3VhZ2U+PC9yZWNvcmQ+PC9DaXRlPjwvRW5kTm90ZT4A
</w:fldData>
        </w:fldChar>
      </w:r>
      <w:r w:rsidRPr="000C24F6">
        <w:rPr>
          <w:rFonts w:ascii="Arial" w:hAnsi="Arial" w:cs="Arial"/>
          <w:sz w:val="20"/>
          <w:szCs w:val="20"/>
        </w:rPr>
        <w:instrText xml:space="preserve"> ADDIN EN.CITE </w:instrText>
      </w:r>
      <w:r w:rsidRPr="000C24F6">
        <w:rPr>
          <w:rFonts w:ascii="Arial" w:hAnsi="Arial" w:cs="Arial"/>
          <w:sz w:val="20"/>
          <w:szCs w:val="20"/>
        </w:rPr>
        <w:fldChar w:fldCharType="begin">
          <w:fldData xml:space="preserve">PEVuZE5vdGU+PENpdGU+PEF1dGhvcj5BbnRvbi1WYXpxdWV6PC9BdXRob3I+PFllYXI+MjAxOTwv
WWVhcj48UmVjTnVtPjEyMTMxPC9SZWNOdW0+PERpc3BsYXlUZXh0PigxMCk8L0Rpc3BsYXlUZXh0
PjxyZWNvcmQ+PHJlYy1udW1iZXI+MTIxMzE8L3JlYy1udW1iZXI+PGZvcmVpZ24ta2V5cz48a2V5
IGFwcD0iRU4iIGRiLWlkPSJ0d2V2MDA1dHJycnoyamVkMjBvNXYyejVyNXYyZGQyc3R2ZnQiIHRp
bWVzdGFtcD0iMTYwNDE2NzA4NSI+MTIxMzE8L2tleT48L2ZvcmVpZ24ta2V5cz48cmVmLXR5cGUg
bmFtZT0iSm91cm5hbCBBcnRpY2xlIj4xNzwvcmVmLXR5cGU+PGNvbnRyaWJ1dG9ycz48YXV0aG9y
cz48YXV0aG9yPkFudG9uLVZhenF1ZXosIFYuPC9hdXRob3I+PGF1dGhvcj5BZGplcG9uZywgUy48
L2F1dGhvcj48YXV0aG9yPlN1YXJleiwgQy48L2F1dGhvcj48YXV0aG9yPlBsYW5jaGUsIFQuPC9h
dXRob3I+PC9hdXRob3JzPjwvY29udHJpYnV0b3JzPjxhdXRoLWFkZHJlc3M+U3QuIEdlb3JnZSZh
cG9zO3MgVW5pdmVyc2l0eSBvZiBMb25kb24uIEluc3RpdHV0ZSBmb3IgSW5mZWN0aW9uIGFuZCBJ
bW11bml0eSwgTG9uZG9uLCBTVzE3IDBSRSwgVUsuIHZhbmVzYS5hbnRvbi52QGdtYWlsLmNvbS4m
I3hEO0luZmVjdGlvbiBDYXJlIEdyb3VwLCBTdCBHZW9yZ2UmYXBvcztzIFVuaXZlcnNpdHkgSG9z
cGl0YWxzIE5IUyBGb3VuZGF0aW9uIFRydXN0LCBCbGFja3NoYXcgUm9hZCwgTG9uZG9uLCBTVzE3
IDBRVCwgVUsuIHZhbmVzYS5hbnRvbi52QGdtYWlsLmNvbS4mI3hEO0RlcGFydG1lbnQgb2YgTWVk
aWNhbCBNaWNyb2Jpb2xvZ3ksIFNvdXRod2VzdCBMb25kb24gUGF0aG9sb2d5LCBTdC4gR2Vvcmdl
JmFwb3M7cyBIb3NwaXRhbCBCbGFja3NoYXcgUm9hZCwgTG9uZG9uLCBTVzE3IDBRVCwgVUsuJiN4
RDtTdC4gR2VvcmdlJmFwb3M7cyBVbml2ZXJzaXR5IG9mIExvbmRvbi4gSW5zdGl0dXRlIGZvciBJ
bmZlY3Rpb24gYW5kIEltbXVuaXR5LCBMb25kb24sIFNXMTcgMFJFLCBVSy4mI3hEO0luZmVjdGlv
biBDYXJlIEdyb3VwLCBTdCBHZW9yZ2UmYXBvcztzIFVuaXZlcnNpdHkgSG9zcGl0YWxzIE5IUyBG
b3VuZGF0aW9uIFRydXN0LCBCbGFja3NoYXcgUm9hZCwgTG9uZG9uLCBTVzE3IDBRVCwgVUsuPC9h
dXRoLWFkZHJlc3M+PHRpdGxlcz48dGl0bGU+RXZhbHVhdGlvbiBvZiBhIG5ldyBSYXBpZCBBbnRp
bWljcm9iaWFsIFN1c2NlcHRpYmlsaXR5IHN5c3RlbSBmb3IgR3JhbS1uZWdhdGl2ZSBhbmQgR3Jh
bS1wb3NpdGl2ZSBibG9vZHN0cmVhbSBpbmZlY3Rpb25zOiBzcGVlZCBhbmQgYWNjdXJhY3kgb2Yg
QWxmcmVkIDYwQVNUPC90aXRsZT48c2Vjb25kYXJ5LXRpdGxlPkJNQyBNaWNyb2Jpb2w8L3NlY29u
ZGFyeS10aXRsZT48L3RpdGxlcz48cGVyaW9kaWNhbD48ZnVsbC10aXRsZT5CTUMgTWljcm9iaW9s
PC9mdWxsLXRpdGxlPjwvcGVyaW9kaWNhbD48cGFnZXM+MjY4PC9wYWdlcz48dm9sdW1lPjE5PC92
b2x1bWU+PG51bWJlcj4xPC9udW1iZXI+PGVkaXRpb24+MjAxOS8xMi8wMTwvZWRpdGlvbj48a2V5
d29yZHM+PGtleXdvcmQ+QW50aS1CYWN0ZXJpYWwgQWdlbnRzLypwaGFybWFjb2xvZ3k8L2tleXdv
cmQ+PGtleXdvcmQ+QXV0b21hdGlvbiwgTGFib3JhdG9yeS9pbnN0cnVtZW50YXRpb24vbWV0aG9k
czwva2V5d29yZD48a2V5d29yZD5CYWN0ZXJlbWlhL2RpYWdub3Npcy8qbWljcm9iaW9sb2d5PC9r
ZXl3b3JkPjxrZXl3b3JkPkJsb29kIEN1bHR1cmUvbWV0aG9kczwva2V5d29yZD48a2V5d29yZD5D
bGluaWNhbCBMYWJvcmF0b3J5IFRlY2huaXF1ZXMvKmluc3RydW1lbnRhdGlvbi9tZXRob2RzPC9r
ZXl3b3JkPjxrZXl3b3JkPkdyYW0tTmVnYXRpdmUgQmFjdGVyaWEvKmRydWcgZWZmZWN0czwva2V5
d29yZD48a2V5d29yZD5HcmFtLU5lZ2F0aXZlIEJhY3RlcmlhbCBJbmZlY3Rpb25zL2RpYWdub3Np
cy9taWNyb2Jpb2xvZ3k8L2tleXdvcmQ+PGtleXdvcmQ+R3JhbS1Qb3NpdGl2ZSBCYWN0ZXJpYS8q
ZHJ1ZyBlZmZlY3RzPC9rZXl3b3JkPjxrZXl3b3JkPkdyYW0tUG9zaXRpdmUgQmFjdGVyaWFsIElu
ZmVjdGlvbnMvZGlhZ25vc2lzL21pY3JvYmlvbG9neTwva2V5d29yZD48a2V5d29yZD5IdW1hbnM8
L2tleXdvcmQ+PGtleXdvcmQ+TWljcm9iaWFsIFNlbnNpdGl2aXR5IFRlc3RzPC9rZXl3b3JkPjxr
ZXl3b3JkPlByb3NwZWN0aXZlIFN0dWRpZXM8L2tleXdvcmQ+PGtleXdvcmQ+UmVwcm9kdWNpYmls
aXR5IG9mIFJlc3VsdHM8L2tleXdvcmQ+PGtleXdvcmQ+VGltZSBGYWN0b3JzPC9rZXl3b3JkPjxr
ZXl3b3JkPipSYXBpZCBkaWFnbm9zdGljcy4gQmxvb2RzdHJlYW0gaW5mZWN0aW9uLiBCYWN0ZXJh
ZW1pYS4gQW50aW1pY3JvYmlhbCBzdXNjZXB0aWJpbGl0eTwva2V5d29yZD48a2V5d29yZD50ZXN0
aW5nLiBHcmFtLW5lZ2F0aXZlIGJhY3RlcmlhLiBHcmFtLXBvc2l0aXZlIGJhY3RlcmlhPC9rZXl3
b3JkPjxrZXl3b3JkPnJvbGUgaW4gc3R1ZHkgZGVzaWduLCBkYXRhIGNvbGxlY3Rpb24sIGRhdGEg
YW5hbHlzaXMgb3Igc3R1ZHkgc3VibWlzc2lvbiBmb3I8L2tleXdvcmQ+PGtleXdvcmQ+cHVibGlj
YXRpb24uPC9rZXl3b3JkPjwva2V5d29yZHM+PGRhdGVzPjx5ZWFyPjIwMTk8L3llYXI+PHB1Yi1k
YXRlcz48ZGF0ZT5Ob3YgMjk8L2RhdGU+PC9wdWItZGF0ZXM+PC9kYXRlcz48aXNibj4xNDcxLTIx
ODA8L2lzYm4+PGFjY2Vzc2lvbi1udW0+MzE3ODM3ODc8L2FjY2Vzc2lvbi1udW0+PHVybHM+PC91
cmxzPjxjdXN0b20yPlBNQzY4ODQ3ODI8L2N1c3RvbTI+PGVsZWN0cm9uaWMtcmVzb3VyY2UtbnVt
PjEwLjExODYvczEyODY2LTAxOS0xNjU0LTk8L2VsZWN0cm9uaWMtcmVzb3VyY2UtbnVtPjxyZW1v
dGUtZGF0YWJhc2UtcHJvdmlkZXI+TkxNPC9yZW1vdGUtZGF0YWJhc2UtcHJvdmlkZXI+PGxhbmd1
YWdlPmVuZzwvbGFuZ3VhZ2U+PC9yZWNvcmQ+PC9DaXRlPjwvRW5kTm90ZT4A
</w:fldData>
        </w:fldChar>
      </w:r>
      <w:r w:rsidRPr="000C24F6">
        <w:rPr>
          <w:rFonts w:ascii="Arial" w:hAnsi="Arial" w:cs="Arial"/>
          <w:sz w:val="20"/>
          <w:szCs w:val="20"/>
        </w:rPr>
        <w:instrText xml:space="preserve"> ADDIN EN.CITE.DATA </w:instrText>
      </w:r>
      <w:r w:rsidRPr="000C24F6">
        <w:rPr>
          <w:rFonts w:ascii="Arial" w:hAnsi="Arial" w:cs="Arial"/>
          <w:sz w:val="20"/>
          <w:szCs w:val="20"/>
        </w:rPr>
      </w:r>
      <w:r w:rsidRPr="000C24F6">
        <w:rPr>
          <w:rFonts w:ascii="Arial" w:hAnsi="Arial" w:cs="Arial"/>
          <w:sz w:val="20"/>
          <w:szCs w:val="20"/>
        </w:rPr>
        <w:fldChar w:fldCharType="end"/>
      </w:r>
      <w:r w:rsidRPr="000C24F6">
        <w:rPr>
          <w:rFonts w:ascii="Arial" w:hAnsi="Arial" w:cs="Arial"/>
          <w:sz w:val="20"/>
          <w:szCs w:val="20"/>
        </w:rPr>
      </w:r>
      <w:r w:rsidRPr="000C24F6">
        <w:rPr>
          <w:rFonts w:ascii="Arial" w:hAnsi="Arial" w:cs="Arial"/>
          <w:sz w:val="20"/>
          <w:szCs w:val="20"/>
        </w:rPr>
        <w:fldChar w:fldCharType="separate"/>
      </w:r>
      <w:r w:rsidRPr="000C24F6">
        <w:rPr>
          <w:rFonts w:ascii="Arial" w:hAnsi="Arial" w:cs="Arial"/>
          <w:noProof/>
          <w:sz w:val="20"/>
          <w:szCs w:val="20"/>
        </w:rPr>
        <w:t>(10)</w:t>
      </w:r>
      <w:r w:rsidRPr="000C24F6">
        <w:rPr>
          <w:rFonts w:ascii="Arial" w:hAnsi="Arial" w:cs="Arial"/>
          <w:sz w:val="20"/>
          <w:szCs w:val="20"/>
        </w:rPr>
        <w:fldChar w:fldCharType="end"/>
      </w:r>
      <w:r w:rsidRPr="000C24F6">
        <w:rPr>
          <w:rFonts w:ascii="Arial" w:hAnsi="Arial" w:cs="Arial"/>
          <w:sz w:val="20"/>
          <w:szCs w:val="20"/>
        </w:rPr>
        <w:t xml:space="preserve">. </w:t>
      </w:r>
      <w:r w:rsidRPr="000C24F6">
        <w:rPr>
          <w:rFonts w:ascii="Arial" w:hAnsi="Arial" w:cs="Arial"/>
          <w:iCs/>
          <w:color w:val="1F3864" w:themeColor="accent1" w:themeShade="80"/>
          <w:sz w:val="20"/>
          <w:szCs w:val="20"/>
        </w:rPr>
        <w:t>I</w:t>
      </w:r>
      <w:r w:rsidRPr="000C24F6">
        <w:rPr>
          <w:rFonts w:ascii="Arial" w:hAnsi="Arial" w:cs="Arial"/>
          <w:iCs/>
          <w:color w:val="000000" w:themeColor="text1"/>
          <w:sz w:val="20"/>
          <w:szCs w:val="20"/>
        </w:rPr>
        <w:t>n clinical practice, the use of RAST has demonstrated to improve outcomes such as time to effective antibiotic and length of stay</w:t>
      </w:r>
      <w:r w:rsidRPr="000C24F6">
        <w:rPr>
          <w:rFonts w:ascii="Arial" w:hAnsi="Arial" w:cs="Arial"/>
          <w:iCs/>
          <w:color w:val="000000" w:themeColor="text1"/>
          <w:sz w:val="20"/>
          <w:szCs w:val="20"/>
          <w:lang w:val="en-US"/>
        </w:rPr>
        <w:t xml:space="preserve">, but this is not consistent across the studies and seems to happen only in the presence of other interventions, such antimicrobial stewardship programs (11). This may suggest that perceptions and behaviors not related with diagnostic results may influence prescribing, and that perhaps a universal use of RAST may be neither necessary nor cost-effective. </w:t>
      </w:r>
      <w:r w:rsidRPr="000C24F6">
        <w:rPr>
          <w:rFonts w:ascii="Arial" w:hAnsi="Arial" w:cs="Arial"/>
          <w:iCs/>
          <w:color w:val="000000" w:themeColor="text1"/>
          <w:sz w:val="20"/>
          <w:szCs w:val="20"/>
        </w:rPr>
        <w:t xml:space="preserve">The impact of the implementation of RAST on antibiotic prescribing or patient outcomes is not well described. </w:t>
      </w:r>
    </w:p>
    <w:p w14:paraId="2A55A2DE" w14:textId="77777777" w:rsidR="000C24F6" w:rsidRPr="000C24F6" w:rsidRDefault="000C24F6" w:rsidP="000C24F6">
      <w:pPr>
        <w:spacing w:line="480" w:lineRule="auto"/>
        <w:jc w:val="both"/>
        <w:rPr>
          <w:rFonts w:ascii="Arial" w:hAnsi="Arial" w:cs="Arial"/>
          <w:sz w:val="20"/>
          <w:szCs w:val="20"/>
          <w:lang w:val="en-US"/>
        </w:rPr>
      </w:pPr>
    </w:p>
    <w:p w14:paraId="3255FB56"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rPr>
        <w:t>Many complex factors other than AST results may determine antibiotic use</w:t>
      </w:r>
      <w:r w:rsidRPr="000C24F6">
        <w:rPr>
          <w:rFonts w:ascii="Arial" w:hAnsi="Arial" w:cs="Arial"/>
          <w:sz w:val="20"/>
          <w:szCs w:val="20"/>
          <w:lang w:val="en-US"/>
        </w:rPr>
        <w:t xml:space="preserv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&lt;EndNote&gt;&lt;Cite&gt;&lt;Author&gt;Hulscher&lt;/Author&gt;&lt;Year&gt;2010&lt;/Year&gt;&lt;RecNum&gt;11978&lt;/RecNum&gt;&lt;IDText&gt;Antibiotic prescribing in hospitals: a social and behavioural scientific approach&lt;/IDText&gt;&lt;DisplayText&gt;(11)&lt;/DisplayText&gt;&lt;record&gt;&lt;rec-number&gt;11978&lt;/rec-number&gt;&lt;foreign-keys&gt;&lt;key app="EN" db-id="twev005trrrz2jed20o5v2z5r5v2dd2stvft" timestamp="1602684051" guid="cb4b9f94-f234-4ae8-9308-c9bafd01a174"&gt;11978&lt;/key&gt;&lt;/foreign-keys&gt;&lt;ref-type name="Journal Article"&gt;17&lt;/ref-type&gt;&lt;contributors&gt;&lt;authors&gt;&lt;author&gt;Hulscher, Marlies E. J. L.&lt;/author&gt;&lt;author&gt;Grol, Richard P. T. M.&lt;/author&gt;&lt;author&gt;van der Meer, Jos W. M.&lt;/author&gt;&lt;/authors&gt;&lt;/contributors&gt;&lt;titles&gt;&lt;title&gt;Antibiotic prescribing in hospitals: a social and behavioural scientific approach&lt;/title&gt;&lt;secondary-title&gt;The Lancet Infectious Diseases&lt;/secondary-title&gt;&lt;/titles&gt;&lt;periodical&gt;&lt;full-title&gt;The Lancet Infectious Diseases&lt;/full-title&gt;&lt;/periodical&gt;&lt;pages&gt;167-175&lt;/pages&gt;&lt;volume&gt;10&lt;/volume&gt;&lt;number&gt;3&lt;/number&gt;&lt;dates&gt;&lt;year&gt;2010&lt;/year&gt;&lt;/dates&gt;&lt;urls&gt;&lt;related-urls&gt;&lt;url&gt;https://linkinghub.elsevier.com/retrieve/pii/S147330991070027X&lt;/url&gt;&lt;/related-urls&gt;&lt;/urls&gt;&lt;electronic-resource-num&gt;10.1016/S1473-3099(10)70027-X&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(11)</w:t>
      </w:r>
      <w:r w:rsidRPr="000C24F6">
        <w:rPr>
          <w:rFonts w:ascii="Arial" w:hAnsi="Arial" w:cs="Arial"/>
          <w:sz w:val="20"/>
          <w:szCs w:val="20"/>
        </w:rPr>
        <w:fldChar w:fldCharType="end"/>
      </w:r>
      <w:r w:rsidRPr="000C24F6">
        <w:rPr>
          <w:rFonts w:ascii="Arial" w:hAnsi="Arial" w:cs="Arial"/>
          <w:color w:val="5B9BD5" w:themeColor="accent5"/>
          <w:sz w:val="20"/>
          <w:szCs w:val="20"/>
        </w:rPr>
        <w:t xml:space="preserve">, </w:t>
      </w:r>
      <w:r w:rsidRPr="000C24F6">
        <w:rPr>
          <w:rFonts w:ascii="Arial" w:hAnsi="Arial" w:cs="Arial"/>
          <w:color w:val="000000" w:themeColor="text1"/>
          <w:sz w:val="20"/>
          <w:szCs w:val="20"/>
        </w:rPr>
        <w:t>which</w:t>
      </w:r>
      <w:r w:rsidRPr="000C24F6">
        <w:rPr>
          <w:rFonts w:ascii="Arial" w:hAnsi="Arial" w:cs="Arial"/>
          <w:color w:val="5B9BD5" w:themeColor="accent5"/>
          <w:sz w:val="20"/>
          <w:szCs w:val="20"/>
        </w:rPr>
        <w:t xml:space="preserve"> </w:t>
      </w:r>
      <w:r w:rsidRPr="000C24F6">
        <w:rPr>
          <w:rFonts w:ascii="Arial" w:hAnsi="Arial" w:cs="Arial"/>
          <w:color w:val="000000" w:themeColor="text1"/>
          <w:sz w:val="20"/>
          <w:szCs w:val="20"/>
        </w:rPr>
        <w:t>has led to calls for</w:t>
      </w:r>
      <w:r w:rsidRPr="000C24F6">
        <w:rPr>
          <w:rFonts w:ascii="Arial" w:hAnsi="Arial" w:cs="Arial"/>
          <w:sz w:val="20"/>
          <w:szCs w:val="20"/>
          <w:lang w:val="en-US"/>
        </w:rPr>
        <w:t xml:space="preserve"> research on behavioral and cultural aspects of antimicrobial usage with the aim to promote </w:t>
      </w:r>
      <w:r w:rsidRPr="000C24F6">
        <w:rPr>
          <w:rFonts w:ascii="Arial" w:hAnsi="Arial" w:cs="Arial"/>
          <w:sz w:val="20"/>
          <w:szCs w:val="20"/>
          <w:lang w:val="en-US"/>
        </w:rPr>
        <w:lastRenderedPageBreak/>
        <w:t xml:space="preserve">appropriate antibiotic therapy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&lt;EndNote&gt;&lt;Cite&gt;&lt;Author&gt;O’Neill&lt;/Author&gt;&lt;Year&gt;2016&lt;/Year&gt;&lt;RecNum&gt;12068&lt;/RecNum&gt;&lt;IDText&gt;Tackling drug-resistant infections globally: Final report and recommendations. London: HM Government and Wellcome Trust&lt;/IDText&gt;&lt;DisplayText&gt;(9)&lt;/DisplayText&gt;&lt;record&gt;&lt;rec-number&gt;12068&lt;/rec-number&gt;&lt;foreign-keys&gt;&lt;key app="EN" db-id="twev005trrrz2jed20o5v2z5r5v2dd2stvft" timestamp="1602789684" guid="2c5ebaef-1a7a-4924-bde3-cd692ba331c2"&gt;12068&lt;/key&gt;&lt;/foreign-keys&gt;&lt;ref-type name="Journal Article"&gt;17&lt;/ref-type&gt;&lt;contributors&gt;&lt;authors&gt;&lt;author&gt;O’Neill, J&lt;/author&gt;&lt;/authors&gt;&lt;/contributors&gt;&lt;titles&gt;&lt;title&gt;Tackling drug-resistant infections globally: Final report and recommendations. London: HM Government and Wellcome Trust&lt;/title&gt;&lt;secondary-title&gt;Review on Antimicrobial Resistance, chaired by Jim O’Neill&lt;/secondary-title&gt;&lt;/titles&gt;&lt;periodical&gt;&lt;full-title&gt;Review on Antimicrobial Resistance, chaired by Jim O’Neill&lt;/full-title&gt;&lt;/periodical&gt;&lt;dates&gt;&lt;year&gt;2016&lt;/year&gt;&lt;/dates&gt;&lt;urls&gt;&lt;/urls&gt;&lt;/record&gt;&lt;/Cite&gt;&lt;/EndNote&gt;</w:instrText>
      </w:r>
      <w:r w:rsidRPr="000C24F6">
        <w:rPr>
          <w:rFonts w:ascii="Arial" w:hAnsi="Arial" w:cs="Arial"/>
          <w:sz w:val="20"/>
          <w:szCs w:val="20"/>
        </w:rPr>
        <w:fldChar w:fldCharType="separate"/>
      </w:r>
      <w:r w:rsidRPr="000C24F6">
        <w:rPr>
          <w:rFonts w:ascii="Arial" w:hAnsi="Arial" w:cs="Arial"/>
          <w:noProof/>
          <w:sz w:val="20"/>
          <w:szCs w:val="20"/>
        </w:rPr>
        <w:t>(9)</w:t>
      </w:r>
      <w:r w:rsidRPr="000C24F6">
        <w:rPr>
          <w:rFonts w:ascii="Arial" w:hAnsi="Arial" w:cs="Arial"/>
          <w:sz w:val="20"/>
          <w:szCs w:val="20"/>
        </w:rPr>
        <w:fldChar w:fldCharType="end"/>
      </w:r>
      <w:r w:rsidRPr="000C24F6">
        <w:rPr>
          <w:rFonts w:ascii="Arial" w:hAnsi="Arial" w:cs="Arial"/>
          <w:sz w:val="20"/>
          <w:szCs w:val="20"/>
        </w:rPr>
        <w:t xml:space="preserv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&lt;EndNote&gt;&lt;Cite&gt;&lt;Author&gt;Charani&lt;/Author&gt;&lt;Year&gt;2011&lt;/Year&gt;&lt;RecNum&gt;11955&lt;/RecNum&gt;&lt;IDText&gt;Behavior Change Strategies to Influence Antimicrobial Prescribing in Acute Care: A Systematic Review&lt;/IDText&gt;&lt;DisplayText&gt;(12)&lt;/DisplayText&gt;&lt;record&gt;&lt;rec-number&gt;11955&lt;/rec-number&gt;&lt;foreign-keys&gt;&lt;key app="EN" db-id="twev005trrrz2jed20o5v2z5r5v2dd2stvft" timestamp="1602684051" guid="1172d2b3-3b1d-4d76-a851-b469cac7f057"&gt;11955&lt;/key&gt;&lt;/foreign-keys&gt;&lt;ref-type name="Journal Article"&gt;17&lt;/ref-type&gt;&lt;contributors&gt;&lt;authors&gt;&lt;author&gt;Charani, Esmita&lt;/author&gt;&lt;author&gt;Edwards, Rachel&lt;/author&gt;&lt;author&gt;Sevdalis, Nick&lt;/author&gt;&lt;author&gt;Alexandrou, Banos&lt;/author&gt;&lt;author&gt;Sibley, Eleanor&lt;/author&gt;&lt;author&gt;Mullett, David&lt;/author&gt;&lt;author&gt;Franklin, Bryony Dean&lt;/author&gt;&lt;author&gt;Holmes, Alison&lt;/author&gt;&lt;/authors&gt;&lt;/contributors&gt;&lt;titles&gt;&lt;title&gt;Behavior Change Strategies to Influence Antimicrobial Prescribing in Acute Care: A Systematic Review&lt;/title&gt;&lt;secondary-title&gt;Clinical Infectious Diseases&lt;/secondary-title&gt;&lt;/titles&gt;&lt;periodical&gt;&lt;full-title&gt;Clinical Infectious Diseases&lt;/full-title&gt;&lt;/periodical&gt;&lt;pages&gt;651-662&lt;/pages&gt;&lt;volume&gt;53&lt;/volume&gt;&lt;number&gt;7&lt;/number&gt;&lt;dates&gt;&lt;year&gt;2011&lt;/year&gt;&lt;/dates&gt;&lt;urls&gt;&lt;related-urls&gt;&lt;url&gt;https://academic.oup.com/cid/article-lookup/doi/10.1093/cid/cir445&lt;/url&gt;&lt;/related-urls&gt;&lt;/urls&gt;&lt;electronic-resource-num&gt;10.1093/cid/cir445&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(12)</w:t>
      </w:r>
      <w:r w:rsidRPr="000C24F6">
        <w:rPr>
          <w:rFonts w:ascii="Arial" w:hAnsi="Arial" w:cs="Arial"/>
          <w:sz w:val="20"/>
          <w:szCs w:val="20"/>
        </w:rPr>
        <w:fldChar w:fldCharType="end"/>
      </w:r>
      <w:r w:rsidRPr="000C24F6">
        <w:rPr>
          <w:rFonts w:ascii="Arial" w:hAnsi="Arial" w:cs="Arial"/>
          <w:sz w:val="20"/>
          <w:szCs w:val="20"/>
          <w:lang w:val="en-US"/>
        </w:rPr>
        <w:t xml:space="preserve">. Research on antimicrobial prescription behavior has been done to understand prescribing for empiric therapy in situations where laboratory results are unavailable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&lt;EndNote&gt;&lt;Cite&gt;&lt;Author&gt;Broom&lt;/Author&gt;&lt;Year&gt;2014&lt;/Year&gt;&lt;RecNum&gt;12066&lt;/RecNum&gt;&lt;IDText&gt;Cultures of resistance? A Bourdieusian analysis of doctors&amp;apos; antibiotic prescribing&lt;/IDText&gt;&lt;DisplayText&gt;(13)&lt;/DisplayText&gt;&lt;record&gt;&lt;rec-number&gt;12066&lt;/rec-number&gt;&lt;foreign-keys&gt;&lt;key app="EN" db-id="twev005trrrz2jed20o5v2z5r5v2dd2stvft" timestamp="1602789125" guid="5a05fec8-e13a-405c-9dad-fefee57dc8bd"&gt;12066&lt;/key&gt;&lt;/foreign-keys&gt;&lt;ref-type name="Journal Article"&gt;17&lt;/ref-type&gt;&lt;contributors&gt;&lt;authors&gt;&lt;author&gt;Broom, A&lt;/author&gt;&lt;author&gt;Broom, J&lt;/author&gt;&lt;author&gt;Kirby, E&lt;/author&gt;&lt;/authors&gt;&lt;/contributors&gt;&lt;titles&gt;&lt;title&gt;Cultures of resistance? A Bourdieusian analysis of doctors&amp;apos; antibiotic prescribing&lt;/title&gt;&lt;secondary-title&gt;Soc Sci Med&lt;/secondary-title&gt;&lt;/titles&gt;&lt;periodical&gt;&lt;full-title&gt;Soc Sci Med&lt;/full-title&gt;&lt;/periodical&gt;&lt;pages&gt;81-8&lt;/pages&gt;&lt;volume&gt;110&lt;/volume&gt;&lt;dates&gt;&lt;year&gt;2014&lt;/year&gt;&lt;/dates&gt;&lt;urls&gt;&lt;/urls&gt;&lt;electronic-resource-num&gt;10.1016/j.socscimed.2014.03.030&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(13)</w:t>
      </w:r>
      <w:r w:rsidRPr="000C24F6">
        <w:rPr>
          <w:rFonts w:ascii="Arial" w:hAnsi="Arial" w:cs="Arial"/>
          <w:sz w:val="20"/>
          <w:szCs w:val="20"/>
        </w:rPr>
        <w:fldChar w:fldCharType="end"/>
      </w:r>
      <w:r w:rsidRPr="000C24F6">
        <w:rPr>
          <w:rFonts w:ascii="Arial" w:hAnsi="Arial" w:cs="Arial"/>
          <w:sz w:val="20"/>
          <w:szCs w:val="20"/>
          <w:lang w:val="en-US"/>
        </w:rPr>
        <w:t>.</w:t>
      </w:r>
    </w:p>
    <w:p w14:paraId="2797E02B"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color w:val="000000" w:themeColor="text1"/>
          <w:sz w:val="20"/>
          <w:szCs w:val="20"/>
        </w:rPr>
        <w:t xml:space="preserve">Individual </w:t>
      </w:r>
      <w:r w:rsidRPr="000C24F6">
        <w:rPr>
          <w:rFonts w:ascii="Arial" w:hAnsi="Arial" w:cs="Arial"/>
          <w:color w:val="404040" w:themeColor="text1" w:themeTint="BF"/>
          <w:sz w:val="20"/>
          <w:szCs w:val="20"/>
        </w:rPr>
        <w:t>p</w:t>
      </w:r>
      <w:r w:rsidRPr="000C24F6">
        <w:rPr>
          <w:rFonts w:ascii="Arial" w:hAnsi="Arial" w:cs="Arial"/>
          <w:color w:val="000000" w:themeColor="text1"/>
          <w:sz w:val="20"/>
          <w:szCs w:val="20"/>
        </w:rPr>
        <w:t>rescription</w:t>
      </w:r>
      <w:r w:rsidRPr="000C24F6">
        <w:rPr>
          <w:rFonts w:ascii="Arial" w:hAnsi="Arial" w:cs="Arial"/>
          <w:sz w:val="20"/>
          <w:szCs w:val="20"/>
        </w:rPr>
        <w:t xml:space="preserve"> decisions may be based on many factors such as guidelines, literature review, personal experience or instructions passed down from senior colleagues. Ineffective communication of results between microbiology laboratory and clinicians may lead to inappropriate antimicrobial therapy choice</w:t>
      </w:r>
      <w:r w:rsidRPr="000C24F6">
        <w:rPr>
          <w:rFonts w:ascii="Arial" w:hAnsi="Arial" w:cs="Arial"/>
          <w:sz w:val="20"/>
          <w:szCs w:val="20"/>
          <w:lang w:val="en-US"/>
        </w:rPr>
        <w:t xml:space="preserv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&lt;EndNote&gt;&lt;Cite&gt;&lt;Author&gt;De Souza&lt;/Author&gt;&lt;Year&gt;2006&lt;/Year&gt;&lt;RecNum&gt;11977&lt;/RecNum&gt;&lt;IDText&gt;A qualitative study of factors influencing antimicrobial prescribing by non-consultant hospital doctors&lt;/IDText&gt;&lt;DisplayText&gt;(14)&lt;/DisplayText&gt;&lt;record&gt;&lt;rec-number&gt;11977&lt;/rec-number&gt;&lt;foreign-keys&gt;&lt;key app="EN" db-id="twev005trrrz2jed20o5v2z5r5v2dd2stvft" timestamp="1602684051" guid="7fe30129-defc-44ef-8853-b92e9cf73aee"&gt;11977&lt;/key&gt;&lt;/foreign-keys&gt;&lt;ref-type name="Journal Article"&gt;17&lt;/ref-type&gt;&lt;contributors&gt;&lt;authors&gt;&lt;author&gt;De Souza, Valerie&lt;/author&gt;&lt;author&gt;MacFarlane, Anne&lt;/author&gt;&lt;author&gt;Murphy, Andrew W.&lt;/author&gt;&lt;author&gt;Hanahoe, Belinda&lt;/author&gt;&lt;author&gt;Barber, Andrew&lt;/author&gt;&lt;author&gt;Cormican, Martin&lt;/author&gt;&lt;/authors&gt;&lt;/contributors&gt;&lt;titles&gt;&lt;title&gt;A qualitative study of factors influencing antimicrobial prescribing by non-consultant hospital doctors&lt;/title&gt;&lt;secondary-title&gt;Journal of Antimicrobial Chemotherapy&lt;/secondary-title&gt;&lt;/titles&gt;&lt;periodical&gt;&lt;full-title&gt;Journal of Antimicrobial Chemotherapy&lt;/full-title&gt;&lt;/periodical&gt;&lt;pages&gt;840-843&lt;/pages&gt;&lt;volume&gt;58&lt;/volume&gt;&lt;number&gt;4&lt;/number&gt;&lt;dates&gt;&lt;year&gt;2006&lt;/year&gt;&lt;/dates&gt;&lt;urls&gt;&lt;related-urls&gt;&lt;url&gt;https://academic.oup.com/jac/article-lookup/doi/10.1093/jac/dkl323&lt;/url&gt;&lt;/related-urls&gt;&lt;/urls&gt;&lt;electronic-resource-num&gt;10.1093/jac/dkl323&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(14)</w:t>
      </w:r>
      <w:r w:rsidRPr="000C24F6">
        <w:rPr>
          <w:rFonts w:ascii="Arial" w:hAnsi="Arial" w:cs="Arial"/>
          <w:sz w:val="20"/>
          <w:szCs w:val="20"/>
        </w:rPr>
        <w:fldChar w:fldCharType="end"/>
      </w:r>
      <w:r w:rsidRPr="000C24F6">
        <w:rPr>
          <w:rFonts w:ascii="Arial" w:hAnsi="Arial" w:cs="Arial"/>
          <w:sz w:val="20"/>
          <w:szCs w:val="20"/>
          <w:lang w:val="en-US"/>
        </w:rPr>
        <w:t>.</w:t>
      </w:r>
    </w:p>
    <w:p w14:paraId="087FA7DE" w14:textId="77777777" w:rsidR="000C24F6" w:rsidRPr="000C24F6" w:rsidRDefault="000C24F6" w:rsidP="000C24F6">
      <w:pPr>
        <w:spacing w:line="480" w:lineRule="auto"/>
        <w:jc w:val="both"/>
        <w:rPr>
          <w:rFonts w:ascii="Arial" w:hAnsi="Arial" w:cs="Arial"/>
          <w:sz w:val="20"/>
          <w:szCs w:val="20"/>
        </w:rPr>
      </w:pPr>
      <w:r w:rsidRPr="000C24F6">
        <w:rPr>
          <w:rFonts w:ascii="Arial" w:hAnsi="Arial" w:cs="Arial"/>
          <w:color w:val="000000" w:themeColor="text1"/>
          <w:sz w:val="20"/>
          <w:szCs w:val="20"/>
        </w:rPr>
        <w:t>This</w:t>
      </w:r>
      <w:r w:rsidRPr="000C24F6">
        <w:rPr>
          <w:rFonts w:ascii="Arial" w:hAnsi="Arial" w:cs="Arial"/>
          <w:sz w:val="20"/>
          <w:szCs w:val="20"/>
          <w:lang w:val="en-US"/>
        </w:rPr>
        <w:t xml:space="preserve"> study used four clinical case-based scenarios </w:t>
      </w:r>
      <w:r w:rsidRPr="000C24F6">
        <w:rPr>
          <w:rFonts w:ascii="Arial" w:hAnsi="Arial" w:cs="Arial"/>
          <w:sz w:val="20"/>
          <w:szCs w:val="20"/>
        </w:rPr>
        <w:t xml:space="preserve">histories </w:t>
      </w:r>
      <w:proofErr w:type="gramStart"/>
      <w:r w:rsidRPr="000C24F6">
        <w:rPr>
          <w:rFonts w:ascii="Arial" w:hAnsi="Arial" w:cs="Arial"/>
          <w:sz w:val="20"/>
          <w:szCs w:val="20"/>
        </w:rPr>
        <w:t>To</w:t>
      </w:r>
      <w:proofErr w:type="gramEnd"/>
      <w:r w:rsidRPr="000C24F6">
        <w:rPr>
          <w:rFonts w:ascii="Arial" w:hAnsi="Arial" w:cs="Arial"/>
          <w:sz w:val="20"/>
          <w:szCs w:val="20"/>
        </w:rPr>
        <w:t xml:space="preserve"> explore factors associated with optimal antimicrobial prescription in patients with Gram-negative bloodstream infection and to propose specific scenarios in which a rapid antimicrobial susceptibility result may help to optimise prescribing.</w:t>
      </w:r>
    </w:p>
    <w:p w14:paraId="2457A5C0" w14:textId="77777777" w:rsidR="000C24F6" w:rsidRPr="000C24F6" w:rsidRDefault="000C24F6" w:rsidP="000C24F6">
      <w:pPr>
        <w:spacing w:line="480" w:lineRule="auto"/>
        <w:jc w:val="both"/>
        <w:rPr>
          <w:rFonts w:ascii="Arial" w:hAnsi="Arial" w:cs="Arial"/>
          <w:color w:val="000000" w:themeColor="text1"/>
          <w:sz w:val="20"/>
          <w:szCs w:val="20"/>
        </w:rPr>
      </w:pPr>
    </w:p>
    <w:p w14:paraId="517E6FC5" w14:textId="77777777" w:rsidR="000C24F6" w:rsidRPr="000C24F6" w:rsidRDefault="000C24F6" w:rsidP="000C24F6">
      <w:pPr>
        <w:spacing w:line="480" w:lineRule="auto"/>
        <w:jc w:val="both"/>
        <w:rPr>
          <w:rFonts w:ascii="Arial" w:hAnsi="Arial" w:cs="Arial"/>
          <w:color w:val="000000" w:themeColor="text1"/>
          <w:sz w:val="20"/>
          <w:szCs w:val="20"/>
        </w:rPr>
      </w:pPr>
      <w:r w:rsidRPr="000C24F6">
        <w:rPr>
          <w:rFonts w:ascii="Arial" w:hAnsi="Arial" w:cs="Arial"/>
          <w:b/>
          <w:sz w:val="20"/>
          <w:szCs w:val="20"/>
        </w:rPr>
        <w:t>Materials and Methods</w:t>
      </w:r>
    </w:p>
    <w:p w14:paraId="7A92BB2B" w14:textId="77777777" w:rsidR="000C24F6" w:rsidRPr="000C24F6" w:rsidRDefault="000C24F6" w:rsidP="000C24F6">
      <w:pPr>
        <w:spacing w:line="480" w:lineRule="auto"/>
        <w:jc w:val="both"/>
        <w:rPr>
          <w:rFonts w:ascii="Arial" w:hAnsi="Arial" w:cs="Arial"/>
          <w:b/>
          <w:iCs/>
          <w:sz w:val="20"/>
          <w:szCs w:val="20"/>
        </w:rPr>
      </w:pPr>
      <w:r w:rsidRPr="000C24F6">
        <w:rPr>
          <w:rFonts w:ascii="Arial" w:hAnsi="Arial" w:cs="Arial"/>
          <w:b/>
          <w:iCs/>
          <w:sz w:val="20"/>
          <w:szCs w:val="20"/>
        </w:rPr>
        <w:t>Study design</w:t>
      </w:r>
    </w:p>
    <w:p w14:paraId="6A236252" w14:textId="77777777" w:rsidR="000C24F6" w:rsidRPr="000C24F6" w:rsidRDefault="000C24F6" w:rsidP="000C24F6">
      <w:pPr>
        <w:spacing w:line="480" w:lineRule="auto"/>
        <w:jc w:val="both"/>
        <w:rPr>
          <w:rFonts w:ascii="Arial" w:hAnsi="Arial" w:cs="Arial"/>
          <w:sz w:val="20"/>
          <w:szCs w:val="20"/>
        </w:rPr>
      </w:pPr>
      <w:r w:rsidRPr="000C24F6">
        <w:rPr>
          <w:rFonts w:ascii="Arial" w:hAnsi="Arial" w:cs="Arial"/>
          <w:sz w:val="20"/>
          <w:szCs w:val="20"/>
        </w:rPr>
        <w:t xml:space="preserve">This descriptive, cross-sectional study was a web-based survey distributed to physicians of different specialities including internal medicine, emergency medicine, family medicine (general practice), geriatrics, paediatrics, infectious diseases/ medical microbiology, intensive care, general and orthopaedic surgery at a variety of secondary and tertiary hospitals across the United Kingdom and Spain. Participants were </w:t>
      </w:r>
      <w:r w:rsidRPr="000C24F6">
        <w:rPr>
          <w:rFonts w:ascii="Arial" w:hAnsi="Arial" w:cs="Arial"/>
          <w:color w:val="000000" w:themeColor="text1"/>
          <w:sz w:val="20"/>
          <w:szCs w:val="20"/>
        </w:rPr>
        <w:t xml:space="preserve">invited from two countries </w:t>
      </w:r>
      <w:proofErr w:type="gramStart"/>
      <w:r w:rsidRPr="000C24F6">
        <w:rPr>
          <w:rFonts w:ascii="Arial" w:hAnsi="Arial" w:cs="Arial"/>
          <w:color w:val="000000" w:themeColor="text1"/>
          <w:sz w:val="20"/>
          <w:szCs w:val="20"/>
        </w:rPr>
        <w:t>in order to</w:t>
      </w:r>
      <w:proofErr w:type="gramEnd"/>
      <w:r w:rsidRPr="000C24F6">
        <w:rPr>
          <w:rFonts w:ascii="Arial" w:hAnsi="Arial" w:cs="Arial"/>
          <w:color w:val="000000" w:themeColor="text1"/>
          <w:sz w:val="20"/>
          <w:szCs w:val="20"/>
        </w:rPr>
        <w:t xml:space="preserve"> find any differences in practice between two different health systems. Spain and the UK were chosen as the investigators had contacts in those countries and participants were </w:t>
      </w:r>
      <w:r w:rsidRPr="000C24F6">
        <w:rPr>
          <w:rFonts w:ascii="Arial" w:hAnsi="Arial" w:cs="Arial"/>
          <w:sz w:val="20"/>
          <w:szCs w:val="20"/>
        </w:rPr>
        <w:t xml:space="preserve">mainly identified among investigator´s colleagues and contacts who cascaded to their respective contacts. </w:t>
      </w:r>
    </w:p>
    <w:p w14:paraId="6A7FCDCF" w14:textId="77777777" w:rsidR="000C24F6" w:rsidRPr="000C24F6" w:rsidRDefault="000C24F6" w:rsidP="000C24F6">
      <w:pPr>
        <w:spacing w:before="100" w:beforeAutospacing="1" w:line="480" w:lineRule="auto"/>
        <w:jc w:val="both"/>
        <w:rPr>
          <w:rFonts w:ascii="Arial" w:hAnsi="Arial" w:cs="Arial"/>
          <w:b/>
          <w:sz w:val="20"/>
          <w:szCs w:val="20"/>
        </w:rPr>
      </w:pPr>
      <w:r w:rsidRPr="000C24F6">
        <w:rPr>
          <w:rFonts w:ascii="Arial" w:hAnsi="Arial" w:cs="Arial"/>
          <w:sz w:val="20"/>
          <w:szCs w:val="20"/>
        </w:rPr>
        <w:t>The main questionnaire (Survey Antimicrobial Prescription) was created using the online tool Survey Monkey ™</w:t>
      </w:r>
      <w:r w:rsidRPr="000C24F6">
        <w:rPr>
          <w:rFonts w:ascii="Arial" w:hAnsi="Arial" w:cs="Arial"/>
          <w:sz w:val="20"/>
          <w:szCs w:val="20"/>
          <w:lang w:val="en-US"/>
        </w:rPr>
        <w:t xml:space="preserv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&lt;EndNote&gt;&lt;Cite&gt;&lt;Author&gt;SurveyMonkey&lt;/Author&gt;&lt;RecNum&gt;11975&lt;/RecNum&gt;&lt;IDText&gt;Location San Mateo, California, USA; main website&lt;/IDText&gt;&lt;DisplayText&gt;(15)&lt;/DisplayText&gt;&lt;record&gt;&lt;rec-number&gt;11975&lt;/rec-number&gt;&lt;foreign-keys&gt;&lt;key app="EN" db-id="twev005trrrz2jed20o5v2z5r5v2dd2stvft" timestamp="1602684051" guid="cab8c79b-b5cf-44cf-bf99-f31ee02f3a05"&gt;11975&lt;/key&gt;&lt;/foreign-keys&gt;&lt;ref-type name="Journal Article"&gt;17&lt;/ref-type&gt;&lt;contributors&gt;&lt;authors&gt;&lt;author&gt;SurveyMonkey,&lt;/author&gt;&lt;/authors&gt;&lt;/contributors&gt;&lt;titles&gt;&lt;title&gt;Location San Mateo, California, USA; main website&lt;/title&gt;&lt;/titles&gt;&lt;dates&gt;&lt;/dates&gt;&lt;urls&gt;&lt;/urls&gt;&lt;/record&gt;&lt;/Cite&gt;&lt;/EndNote&gt;</w:instrText>
      </w:r>
      <w:r w:rsidRPr="000C24F6">
        <w:rPr>
          <w:rFonts w:ascii="Arial" w:hAnsi="Arial" w:cs="Arial"/>
          <w:sz w:val="20"/>
          <w:szCs w:val="20"/>
        </w:rPr>
        <w:fldChar w:fldCharType="separate"/>
      </w:r>
      <w:r w:rsidRPr="000C24F6">
        <w:rPr>
          <w:rFonts w:ascii="Arial" w:hAnsi="Arial" w:cs="Arial"/>
          <w:noProof/>
          <w:sz w:val="20"/>
          <w:szCs w:val="20"/>
        </w:rPr>
        <w:t>(15)</w:t>
      </w:r>
      <w:r w:rsidRPr="000C24F6">
        <w:rPr>
          <w:rFonts w:ascii="Arial" w:hAnsi="Arial" w:cs="Arial"/>
          <w:sz w:val="20"/>
          <w:szCs w:val="20"/>
        </w:rPr>
        <w:fldChar w:fldCharType="end"/>
      </w:r>
      <w:r w:rsidRPr="000C24F6">
        <w:rPr>
          <w:rFonts w:ascii="Arial" w:hAnsi="Arial" w:cs="Arial"/>
          <w:sz w:val="20"/>
          <w:szCs w:val="20"/>
          <w:lang w:val="en-US"/>
        </w:rPr>
        <w:t xml:space="preserve"> </w:t>
      </w:r>
      <w:r w:rsidRPr="000C24F6">
        <w:rPr>
          <w:rFonts w:ascii="Arial" w:hAnsi="Arial" w:cs="Arial"/>
          <w:sz w:val="20"/>
          <w:szCs w:val="20"/>
        </w:rPr>
        <w:t xml:space="preserve">by three of the authors, a team of UK-based infection physicians of whom two have also experience working in Spain. The 15 minutes-long survey consisted of eight items (four questions about the respondent on: position/role, specialty, years of experience and country/hospital of practice; four clinical case-based scenarios providing clinical and laboratory information - including RAST results - with questions about further antimicrobial treatment. English and Spanish versions were used for the UK and Spain, respectively. The survey is available in the Supplementary material (S1) and in the link </w:t>
      </w:r>
      <w:hyperlink r:id="rId5" w:history="1">
        <w:r w:rsidRPr="000C24F6">
          <w:rPr>
            <w:rStyle w:val="Hyperlink"/>
            <w:rFonts w:ascii="Arial" w:hAnsi="Arial" w:cs="Arial"/>
            <w:bCs/>
            <w:sz w:val="20"/>
            <w:szCs w:val="20"/>
          </w:rPr>
          <w:t>https://www.surveymonkey.co.uk/r/RM6VMPC</w:t>
        </w:r>
      </w:hyperlink>
      <w:r w:rsidRPr="000C24F6">
        <w:rPr>
          <w:rFonts w:ascii="Arial" w:hAnsi="Arial" w:cs="Arial"/>
          <w:sz w:val="20"/>
          <w:szCs w:val="20"/>
          <w:lang w:val="en-US"/>
        </w:rPr>
        <w:t>. T</w:t>
      </w:r>
      <w:r w:rsidRPr="000C24F6">
        <w:rPr>
          <w:rFonts w:ascii="Arial" w:hAnsi="Arial" w:cs="Arial"/>
          <w:sz w:val="20"/>
          <w:szCs w:val="20"/>
        </w:rPr>
        <w:t xml:space="preserve">he 4 case scenarios characteristics are summarised in </w:t>
      </w:r>
      <w:r w:rsidRPr="000C24F6">
        <w:rPr>
          <w:rFonts w:ascii="Arial" w:hAnsi="Arial" w:cs="Arial"/>
          <w:b/>
          <w:sz w:val="20"/>
          <w:szCs w:val="20"/>
        </w:rPr>
        <w:t xml:space="preserve">Figure 1. </w:t>
      </w:r>
    </w:p>
    <w:p w14:paraId="44077F3A" w14:textId="77777777" w:rsidR="000C24F6" w:rsidRPr="000C24F6" w:rsidRDefault="000C24F6" w:rsidP="000C24F6">
      <w:pPr>
        <w:spacing w:line="480" w:lineRule="auto"/>
        <w:jc w:val="both"/>
        <w:rPr>
          <w:rFonts w:ascii="Arial" w:hAnsi="Arial" w:cs="Arial"/>
          <w:b/>
          <w:sz w:val="20"/>
          <w:szCs w:val="20"/>
        </w:rPr>
      </w:pPr>
    </w:p>
    <w:p w14:paraId="6EA8A5AA" w14:textId="77777777" w:rsidR="000C24F6" w:rsidRPr="000C24F6" w:rsidRDefault="000C24F6" w:rsidP="000C24F6">
      <w:pPr>
        <w:spacing w:line="480" w:lineRule="auto"/>
        <w:jc w:val="both"/>
        <w:rPr>
          <w:rFonts w:ascii="Arial" w:hAnsi="Arial" w:cs="Arial"/>
          <w:iCs/>
          <w:sz w:val="20"/>
          <w:szCs w:val="20"/>
        </w:rPr>
      </w:pPr>
      <w:r w:rsidRPr="000C24F6">
        <w:rPr>
          <w:rFonts w:ascii="Arial" w:hAnsi="Arial" w:cs="Arial"/>
          <w:b/>
          <w:iCs/>
          <w:sz w:val="20"/>
          <w:szCs w:val="20"/>
        </w:rPr>
        <w:lastRenderedPageBreak/>
        <w:t>Survey distribution</w:t>
      </w:r>
    </w:p>
    <w:p w14:paraId="56E8638B" w14:textId="77777777" w:rsidR="000C24F6" w:rsidRPr="000C24F6" w:rsidRDefault="000C24F6" w:rsidP="000C24F6">
      <w:pPr>
        <w:spacing w:line="480" w:lineRule="auto"/>
        <w:jc w:val="both"/>
        <w:rPr>
          <w:rFonts w:ascii="Arial" w:hAnsi="Arial" w:cs="Arial"/>
          <w:sz w:val="20"/>
          <w:szCs w:val="20"/>
        </w:rPr>
      </w:pPr>
      <w:r w:rsidRPr="000C24F6">
        <w:rPr>
          <w:rFonts w:ascii="Arial" w:hAnsi="Arial" w:cs="Arial"/>
          <w:sz w:val="20"/>
          <w:szCs w:val="20"/>
        </w:rPr>
        <w:t xml:space="preserve">Invitations to participate with the link to the online Antimicrobial User Survey were emailed initially to three of the authors´ professional contacts and relevant networks, encouraging the recipients to cascade to their own networks, without limitations in terms of specialty or role. The distribution was not limited to personal contacts only but included professional/institutional email distribution lists, at the discretion of the senders. The aim was to reach a variety of antimicrobial prescribers with different roles and seniority. </w:t>
      </w:r>
      <w:r w:rsidRPr="000C24F6">
        <w:rPr>
          <w:rFonts w:ascii="Arial" w:hAnsi="Arial" w:cs="Arial"/>
          <w:b/>
          <w:i/>
          <w:sz w:val="20"/>
          <w:szCs w:val="20"/>
        </w:rPr>
        <w:t xml:space="preserve"> </w:t>
      </w:r>
      <w:r w:rsidRPr="000C24F6">
        <w:rPr>
          <w:rFonts w:ascii="Arial" w:hAnsi="Arial" w:cs="Arial"/>
          <w:sz w:val="20"/>
          <w:szCs w:val="20"/>
        </w:rPr>
        <w:t>Emails were sent to the relevant professional email addresses between April 2018 and August 2018 and collected within 5 months of the initial submission. Survey was closed on 31</w:t>
      </w:r>
      <w:r w:rsidRPr="000C24F6">
        <w:rPr>
          <w:rFonts w:ascii="Arial" w:hAnsi="Arial" w:cs="Arial"/>
          <w:sz w:val="20"/>
          <w:szCs w:val="20"/>
          <w:vertAlign w:val="superscript"/>
        </w:rPr>
        <w:t>st</w:t>
      </w:r>
      <w:r w:rsidRPr="000C24F6">
        <w:rPr>
          <w:rFonts w:ascii="Arial" w:hAnsi="Arial" w:cs="Arial"/>
          <w:sz w:val="20"/>
          <w:szCs w:val="20"/>
        </w:rPr>
        <w:t xml:space="preserve"> December 2018.  Participation was voluntary, non-remunerated and responses were anonymous. The respondents were asked to participate only once and the link to the survey was disabled after one use.</w:t>
      </w:r>
    </w:p>
    <w:p w14:paraId="2C3F9DD8" w14:textId="77777777" w:rsidR="000C24F6" w:rsidRPr="000C24F6" w:rsidRDefault="000C24F6" w:rsidP="000C24F6">
      <w:pPr>
        <w:spacing w:line="480" w:lineRule="auto"/>
        <w:jc w:val="both"/>
        <w:rPr>
          <w:rFonts w:ascii="Arial" w:hAnsi="Arial" w:cs="Arial"/>
          <w:b/>
          <w:i/>
          <w:sz w:val="20"/>
          <w:szCs w:val="20"/>
        </w:rPr>
      </w:pPr>
    </w:p>
    <w:p w14:paraId="1F9732D9" w14:textId="77777777" w:rsidR="000C24F6" w:rsidRPr="000C24F6" w:rsidRDefault="000C24F6" w:rsidP="000C24F6">
      <w:pPr>
        <w:spacing w:line="480" w:lineRule="auto"/>
        <w:jc w:val="both"/>
        <w:rPr>
          <w:rFonts w:ascii="Arial" w:hAnsi="Arial" w:cs="Arial"/>
          <w:b/>
          <w:iCs/>
          <w:sz w:val="20"/>
          <w:szCs w:val="20"/>
          <w:lang w:val="en-US"/>
        </w:rPr>
      </w:pPr>
      <w:r w:rsidRPr="000C24F6">
        <w:rPr>
          <w:rFonts w:ascii="Arial" w:hAnsi="Arial" w:cs="Arial"/>
          <w:b/>
          <w:iCs/>
          <w:sz w:val="20"/>
          <w:szCs w:val="20"/>
          <w:lang w:val="en-US"/>
        </w:rPr>
        <w:t>Variables and definitions</w:t>
      </w:r>
    </w:p>
    <w:p w14:paraId="06867E56" w14:textId="77777777" w:rsidR="000C24F6" w:rsidRPr="000C24F6" w:rsidRDefault="000C24F6" w:rsidP="000C24F6">
      <w:pPr>
        <w:spacing w:line="480" w:lineRule="auto"/>
        <w:jc w:val="both"/>
        <w:rPr>
          <w:rFonts w:ascii="Arial" w:hAnsi="Arial" w:cs="Arial"/>
          <w:color w:val="000000" w:themeColor="text1"/>
          <w:sz w:val="20"/>
          <w:szCs w:val="20"/>
          <w:lang w:val="en-US"/>
        </w:rPr>
      </w:pPr>
      <w:r w:rsidRPr="000C24F6">
        <w:rPr>
          <w:rFonts w:ascii="Arial" w:hAnsi="Arial" w:cs="Arial"/>
          <w:color w:val="000000" w:themeColor="text1"/>
          <w:sz w:val="20"/>
          <w:szCs w:val="20"/>
          <w:lang w:val="en-US"/>
        </w:rPr>
        <w:t>Medical specialties /departments were classified as either medical specialty (internal medicine; family medicine/general practice; emergency medicine; intensive medicine; geriatrics; pediatrics; infectious diseases/ medical microbiology) or surgical specialty (general surgery; trauma/ orthopedics; other surgical specialties).</w:t>
      </w:r>
    </w:p>
    <w:p w14:paraId="70A95200" w14:textId="77777777" w:rsidR="000C24F6" w:rsidRPr="000C24F6" w:rsidRDefault="000C24F6" w:rsidP="000C24F6">
      <w:pPr>
        <w:spacing w:line="480" w:lineRule="auto"/>
        <w:jc w:val="both"/>
        <w:rPr>
          <w:rFonts w:ascii="Arial" w:hAnsi="Arial" w:cs="Arial"/>
          <w:color w:val="000000" w:themeColor="text1"/>
          <w:sz w:val="20"/>
          <w:szCs w:val="20"/>
          <w:lang w:val="en-US"/>
        </w:rPr>
      </w:pPr>
    </w:p>
    <w:p w14:paraId="2ABBC303" w14:textId="77777777" w:rsidR="000C24F6" w:rsidRPr="000C24F6" w:rsidRDefault="000C24F6" w:rsidP="000C24F6">
      <w:pPr>
        <w:spacing w:line="480" w:lineRule="auto"/>
        <w:jc w:val="both"/>
        <w:rPr>
          <w:rFonts w:ascii="Arial" w:hAnsi="Arial" w:cs="Arial"/>
          <w:color w:val="000000" w:themeColor="text1"/>
          <w:sz w:val="20"/>
          <w:szCs w:val="20"/>
          <w:lang w:val="en-US"/>
        </w:rPr>
      </w:pPr>
      <w:r w:rsidRPr="000C24F6">
        <w:rPr>
          <w:rFonts w:ascii="Arial" w:hAnsi="Arial" w:cs="Arial"/>
          <w:color w:val="000000" w:themeColor="text1"/>
          <w:sz w:val="20"/>
          <w:szCs w:val="20"/>
          <w:lang w:val="en-US"/>
        </w:rPr>
        <w:t xml:space="preserve">The number or years practicing medicine from graduation were categorized as: &lt;4 years; 4-8 years and &gt;8 years. The length of specialty training and the speed in the acquisition of senior decision-making position/roles are notably different in the UK (2-year long foundation program [FY1-2] followed by up to 9 years of specialty training [ST1-9]) and in Spain (up to 5 years, R1-5) before reaching the senior specialist role (consultant and </w:t>
      </w:r>
      <w:proofErr w:type="spellStart"/>
      <w:r w:rsidRPr="000C24F6">
        <w:rPr>
          <w:rFonts w:ascii="Arial" w:hAnsi="Arial" w:cs="Arial"/>
          <w:i/>
          <w:color w:val="000000" w:themeColor="text1"/>
          <w:sz w:val="20"/>
          <w:szCs w:val="20"/>
          <w:lang w:val="en-US"/>
        </w:rPr>
        <w:t>adjunto</w:t>
      </w:r>
      <w:proofErr w:type="spellEnd"/>
      <w:r w:rsidRPr="000C24F6">
        <w:rPr>
          <w:rFonts w:ascii="Arial" w:hAnsi="Arial" w:cs="Arial"/>
          <w:color w:val="000000" w:themeColor="text1"/>
          <w:sz w:val="20"/>
          <w:szCs w:val="20"/>
          <w:lang w:val="en-US"/>
        </w:rPr>
        <w:t xml:space="preserve"> in the versions for the UK and Spain respectively). The positions/roles collected were standardized across both countries´ surveys in three categories, based on the equivalent independence and seniority in decision making and antimicrobial prescribing, as follows: category 1: consultant (</w:t>
      </w:r>
      <w:proofErr w:type="spellStart"/>
      <w:r w:rsidRPr="000C24F6">
        <w:rPr>
          <w:rFonts w:ascii="Arial" w:hAnsi="Arial" w:cs="Arial"/>
          <w:i/>
          <w:color w:val="000000" w:themeColor="text1"/>
          <w:sz w:val="20"/>
          <w:szCs w:val="20"/>
          <w:lang w:val="en-US"/>
        </w:rPr>
        <w:t>adjunto</w:t>
      </w:r>
      <w:proofErr w:type="spellEnd"/>
      <w:r w:rsidRPr="000C24F6">
        <w:rPr>
          <w:rFonts w:ascii="Arial" w:hAnsi="Arial" w:cs="Arial"/>
          <w:i/>
          <w:color w:val="000000" w:themeColor="text1"/>
          <w:sz w:val="20"/>
          <w:szCs w:val="20"/>
          <w:lang w:val="en-US"/>
        </w:rPr>
        <w:t xml:space="preserve"> </w:t>
      </w:r>
      <w:r w:rsidRPr="000C24F6">
        <w:rPr>
          <w:rFonts w:ascii="Arial" w:hAnsi="Arial" w:cs="Arial"/>
          <w:color w:val="000000" w:themeColor="text1"/>
          <w:sz w:val="20"/>
          <w:szCs w:val="20"/>
          <w:lang w:val="en-US"/>
        </w:rPr>
        <w:t>in Spain</w:t>
      </w:r>
      <w:proofErr w:type="gramStart"/>
      <w:r w:rsidRPr="000C24F6">
        <w:rPr>
          <w:rFonts w:ascii="Arial" w:hAnsi="Arial" w:cs="Arial"/>
          <w:color w:val="000000" w:themeColor="text1"/>
          <w:sz w:val="20"/>
          <w:szCs w:val="20"/>
          <w:lang w:val="en-US"/>
        </w:rPr>
        <w:t>) ;</w:t>
      </w:r>
      <w:proofErr w:type="gramEnd"/>
      <w:r w:rsidRPr="000C24F6">
        <w:rPr>
          <w:rFonts w:ascii="Arial" w:hAnsi="Arial" w:cs="Arial"/>
          <w:color w:val="000000" w:themeColor="text1"/>
          <w:sz w:val="20"/>
          <w:szCs w:val="20"/>
          <w:lang w:val="en-US"/>
        </w:rPr>
        <w:t xml:space="preserve"> category 2: ST3-ST6 and above (R4-R5 in Spain) and category 3: FY1/FY2-ST1/ST2 (R1-R2-R3 in Spain). For analysis, these were re-grouped as senior position (category 1 or 2) or junior (category 3). Out-of-working hours (OOWH) was defined as the </w:t>
      </w:r>
      <w:proofErr w:type="gramStart"/>
      <w:r w:rsidRPr="000C24F6">
        <w:rPr>
          <w:rFonts w:ascii="Arial" w:hAnsi="Arial" w:cs="Arial"/>
          <w:color w:val="000000" w:themeColor="text1"/>
          <w:sz w:val="20"/>
          <w:szCs w:val="20"/>
          <w:lang w:val="en-US"/>
        </w:rPr>
        <w:t>period of time</w:t>
      </w:r>
      <w:proofErr w:type="gramEnd"/>
      <w:r w:rsidRPr="000C24F6">
        <w:rPr>
          <w:rFonts w:ascii="Arial" w:hAnsi="Arial" w:cs="Arial"/>
          <w:color w:val="000000" w:themeColor="text1"/>
          <w:sz w:val="20"/>
          <w:szCs w:val="20"/>
          <w:lang w:val="en-US"/>
        </w:rPr>
        <w:t xml:space="preserve"> between 5PM to 9 PM.</w:t>
      </w:r>
    </w:p>
    <w:p w14:paraId="00350B0F" w14:textId="77777777" w:rsidR="000C24F6" w:rsidRPr="000C24F6" w:rsidRDefault="000C24F6" w:rsidP="000C24F6">
      <w:pPr>
        <w:spacing w:line="480" w:lineRule="auto"/>
        <w:jc w:val="both"/>
        <w:rPr>
          <w:rFonts w:ascii="Arial" w:hAnsi="Arial" w:cs="Arial"/>
          <w:color w:val="000000" w:themeColor="text1"/>
          <w:sz w:val="20"/>
          <w:szCs w:val="20"/>
          <w:lang w:val="en-US"/>
        </w:rPr>
      </w:pPr>
    </w:p>
    <w:p w14:paraId="0DF5DE13" w14:textId="77777777" w:rsidR="000C24F6" w:rsidRPr="000C24F6" w:rsidRDefault="000C24F6" w:rsidP="000C24F6">
      <w:pPr>
        <w:spacing w:line="480" w:lineRule="auto"/>
        <w:jc w:val="both"/>
        <w:rPr>
          <w:rFonts w:ascii="Arial" w:hAnsi="Arial" w:cs="Arial"/>
          <w:b/>
          <w:iCs/>
          <w:color w:val="000000" w:themeColor="text1"/>
          <w:sz w:val="20"/>
          <w:szCs w:val="20"/>
          <w:lang w:val="en-US"/>
        </w:rPr>
      </w:pPr>
      <w:r w:rsidRPr="000C24F6">
        <w:rPr>
          <w:rFonts w:ascii="Arial" w:hAnsi="Arial" w:cs="Arial"/>
          <w:b/>
          <w:iCs/>
          <w:color w:val="000000" w:themeColor="text1"/>
          <w:sz w:val="20"/>
          <w:szCs w:val="20"/>
          <w:lang w:val="en-US"/>
        </w:rPr>
        <w:t>Clinical case- based scenarios</w:t>
      </w:r>
    </w:p>
    <w:p w14:paraId="2C55250B" w14:textId="77777777" w:rsidR="000C24F6" w:rsidRPr="000C24F6" w:rsidRDefault="000C24F6" w:rsidP="000C24F6">
      <w:pPr>
        <w:spacing w:line="480" w:lineRule="auto"/>
        <w:ind w:hanging="11"/>
        <w:jc w:val="both"/>
        <w:rPr>
          <w:rFonts w:ascii="Arial" w:hAnsi="Arial" w:cs="Arial"/>
          <w:sz w:val="20"/>
          <w:szCs w:val="20"/>
        </w:rPr>
      </w:pPr>
      <w:r w:rsidRPr="000C24F6">
        <w:rPr>
          <w:rFonts w:ascii="Arial" w:hAnsi="Arial" w:cs="Arial"/>
          <w:sz w:val="20"/>
          <w:szCs w:val="20"/>
        </w:rPr>
        <w:lastRenderedPageBreak/>
        <w:t xml:space="preserve">All four clinical case scenarios represented patients with common Gram-negative BSI </w:t>
      </w:r>
      <w:proofErr w:type="gramStart"/>
      <w:r w:rsidRPr="000C24F6">
        <w:rPr>
          <w:rFonts w:ascii="Arial" w:hAnsi="Arial" w:cs="Arial"/>
          <w:sz w:val="20"/>
          <w:szCs w:val="20"/>
        </w:rPr>
        <w:t>presentations  with</w:t>
      </w:r>
      <w:proofErr w:type="gramEnd"/>
      <w:r w:rsidRPr="000C24F6">
        <w:rPr>
          <w:rFonts w:ascii="Arial" w:hAnsi="Arial" w:cs="Arial"/>
          <w:sz w:val="20"/>
          <w:szCs w:val="20"/>
        </w:rPr>
        <w:t xml:space="preserve"> different degrees of severity and evolving clinical conditions who were treated with an initial empiric (before susceptibility results were known) parenteral antibiotic. Each clinical case was designed to mimic a situation where a RAST result was given 12-36 hours after the initial presentation (when blood cultures were supposedly drawn). The scenarios all simulated reporting the results at different times in the day, two of them (Cases 2 and 3) OOWH. </w:t>
      </w:r>
    </w:p>
    <w:p w14:paraId="597AEA4C" w14:textId="77777777" w:rsidR="000C24F6" w:rsidRPr="000C24F6" w:rsidRDefault="000C24F6" w:rsidP="000C24F6">
      <w:pPr>
        <w:spacing w:line="480" w:lineRule="auto"/>
        <w:ind w:hanging="11"/>
        <w:jc w:val="both"/>
        <w:rPr>
          <w:rFonts w:ascii="Arial" w:hAnsi="Arial" w:cs="Arial"/>
          <w:sz w:val="20"/>
          <w:szCs w:val="20"/>
        </w:rPr>
      </w:pPr>
    </w:p>
    <w:p w14:paraId="5B7B46B7" w14:textId="77777777" w:rsidR="000C24F6" w:rsidRPr="000C24F6" w:rsidRDefault="000C24F6" w:rsidP="000C24F6">
      <w:pPr>
        <w:spacing w:line="480" w:lineRule="auto"/>
        <w:ind w:hanging="11"/>
        <w:jc w:val="both"/>
        <w:rPr>
          <w:rFonts w:ascii="Arial" w:hAnsi="Arial" w:cs="Arial"/>
          <w:bCs/>
          <w:sz w:val="20"/>
          <w:szCs w:val="20"/>
        </w:rPr>
      </w:pPr>
      <w:r w:rsidRPr="000C24F6">
        <w:rPr>
          <w:rFonts w:ascii="Arial" w:hAnsi="Arial" w:cs="Arial"/>
          <w:sz w:val="20"/>
          <w:szCs w:val="20"/>
        </w:rPr>
        <w:t>Respondents were asked to select an antibiotic management choice based on both susceptibility results and the evolution of the clinical condition. The options given included request for support (deferring decision, discussion with other colleagues, await to next ward round, discussion with microbiology/infection team or with consultant/senior member of the team), antibiotic escalation and de-escalation options including intravenous (IV) and oral options</w:t>
      </w:r>
      <w:r w:rsidRPr="000C24F6">
        <w:rPr>
          <w:rFonts w:ascii="Arial" w:hAnsi="Arial" w:cs="Arial"/>
          <w:bCs/>
          <w:sz w:val="20"/>
          <w:szCs w:val="20"/>
        </w:rPr>
        <w:t xml:space="preserve">. Respondents had to choose one single answer to each question. This was to try to capture 1) what action the treating physicians would prioritise and 2) how empowered they feel to make decisions around antimicrobial management when receiving results from the laboratory, while acknowledging </w:t>
      </w:r>
      <w:proofErr w:type="gramStart"/>
      <w:r w:rsidRPr="000C24F6">
        <w:rPr>
          <w:rFonts w:ascii="Arial" w:hAnsi="Arial" w:cs="Arial"/>
          <w:bCs/>
          <w:sz w:val="20"/>
          <w:szCs w:val="20"/>
        </w:rPr>
        <w:t>that  in</w:t>
      </w:r>
      <w:proofErr w:type="gramEnd"/>
      <w:r w:rsidRPr="000C24F6">
        <w:rPr>
          <w:rFonts w:ascii="Arial" w:hAnsi="Arial" w:cs="Arial"/>
          <w:bCs/>
          <w:sz w:val="20"/>
          <w:szCs w:val="20"/>
        </w:rPr>
        <w:t xml:space="preserve"> real life  often several actions happen at the same time. </w:t>
      </w:r>
    </w:p>
    <w:p w14:paraId="2354C3E8" w14:textId="77777777" w:rsidR="000C24F6" w:rsidRPr="000C24F6" w:rsidRDefault="000C24F6" w:rsidP="000C24F6">
      <w:pPr>
        <w:spacing w:line="480" w:lineRule="auto"/>
        <w:ind w:hanging="11"/>
        <w:jc w:val="both"/>
        <w:rPr>
          <w:rFonts w:ascii="Arial" w:hAnsi="Arial" w:cs="Arial"/>
          <w:bCs/>
          <w:sz w:val="20"/>
          <w:szCs w:val="20"/>
        </w:rPr>
      </w:pPr>
    </w:p>
    <w:p w14:paraId="05EC6491" w14:textId="77777777" w:rsidR="000C24F6" w:rsidRPr="000C24F6" w:rsidRDefault="000C24F6" w:rsidP="000C24F6">
      <w:pPr>
        <w:spacing w:line="480" w:lineRule="auto"/>
        <w:jc w:val="both"/>
        <w:rPr>
          <w:rFonts w:ascii="Arial" w:hAnsi="Arial" w:cs="Arial"/>
          <w:b/>
          <w:sz w:val="20"/>
          <w:szCs w:val="20"/>
        </w:rPr>
      </w:pPr>
      <w:r w:rsidRPr="000C24F6">
        <w:rPr>
          <w:rFonts w:ascii="Arial" w:hAnsi="Arial" w:cs="Arial"/>
          <w:sz w:val="20"/>
          <w:szCs w:val="20"/>
        </w:rPr>
        <w:t xml:space="preserve">In two out of four scenarios (case 1 and 4) the patient’s clinical condition improved after empiric therapy and in two scenarios (case 2 and 3) their clinical condition deteriorated. In two of the four scenarios (case 1 and 3) the isolate was reported as susceptible </w:t>
      </w:r>
      <w:r w:rsidRPr="000C24F6">
        <w:rPr>
          <w:rFonts w:ascii="Arial" w:hAnsi="Arial" w:cs="Arial"/>
          <w:i/>
          <w:sz w:val="20"/>
          <w:szCs w:val="20"/>
        </w:rPr>
        <w:t>in vitro</w:t>
      </w:r>
      <w:r w:rsidRPr="000C24F6">
        <w:rPr>
          <w:rFonts w:ascii="Arial" w:hAnsi="Arial" w:cs="Arial"/>
          <w:sz w:val="20"/>
          <w:szCs w:val="20"/>
        </w:rPr>
        <w:t xml:space="preserve"> to the empiric antibiotic therapy, and in the other two (case 2 and 4) it was resistant.  This means that in two scenarios the clinical course was discordant with the appropriateness of the empirical antimicrobial treatment given (susceptible isolate-clinical deterioration or resistant isolate- clinical improvement and in the other two, concordant (susceptible isolate-improvement or resistant isolate – deterioration). The key features, clinical and microbiological characteristics of each case scenario are shown in </w:t>
      </w:r>
      <w:r w:rsidRPr="000C24F6">
        <w:rPr>
          <w:rFonts w:ascii="Arial" w:hAnsi="Arial" w:cs="Arial"/>
          <w:b/>
          <w:sz w:val="20"/>
          <w:szCs w:val="20"/>
        </w:rPr>
        <w:t>Figure 1 and Supplementary material.</w:t>
      </w:r>
    </w:p>
    <w:p w14:paraId="58DAB483" w14:textId="77777777" w:rsidR="000C24F6" w:rsidRPr="000C24F6" w:rsidRDefault="000C24F6" w:rsidP="000C24F6">
      <w:pPr>
        <w:spacing w:line="480" w:lineRule="auto"/>
        <w:jc w:val="both"/>
        <w:rPr>
          <w:rFonts w:ascii="Arial" w:hAnsi="Arial" w:cs="Arial"/>
          <w:color w:val="000000" w:themeColor="text1"/>
          <w:sz w:val="20"/>
          <w:szCs w:val="20"/>
          <w:lang w:val="en-US"/>
        </w:rPr>
      </w:pPr>
    </w:p>
    <w:p w14:paraId="594BFB60"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lang w:val="en-US"/>
        </w:rPr>
        <w:t xml:space="preserve">An empiric antibiotic was defined as appropriate or inappropriate </w:t>
      </w:r>
      <w:proofErr w:type="gramStart"/>
      <w:r w:rsidRPr="000C24F6">
        <w:rPr>
          <w:rFonts w:ascii="Arial" w:hAnsi="Arial" w:cs="Arial"/>
          <w:sz w:val="20"/>
          <w:szCs w:val="20"/>
          <w:lang w:val="en-US"/>
        </w:rPr>
        <w:t>on the basis of</w:t>
      </w:r>
      <w:proofErr w:type="gramEnd"/>
      <w:r w:rsidRPr="000C24F6">
        <w:rPr>
          <w:rFonts w:ascii="Arial" w:hAnsi="Arial" w:cs="Arial"/>
          <w:sz w:val="20"/>
          <w:szCs w:val="20"/>
          <w:lang w:val="en-US"/>
        </w:rPr>
        <w:t xml:space="preserve"> whether the organism was reported </w:t>
      </w:r>
      <w:r w:rsidRPr="000C24F6">
        <w:rPr>
          <w:rFonts w:ascii="Arial" w:hAnsi="Arial" w:cs="Arial"/>
          <w:i/>
          <w:sz w:val="20"/>
          <w:szCs w:val="20"/>
          <w:lang w:val="en-US"/>
        </w:rPr>
        <w:t>in vitro</w:t>
      </w:r>
      <w:r w:rsidRPr="000C24F6">
        <w:rPr>
          <w:rFonts w:ascii="Arial" w:hAnsi="Arial" w:cs="Arial"/>
          <w:sz w:val="20"/>
          <w:szCs w:val="20"/>
          <w:lang w:val="en-US"/>
        </w:rPr>
        <w:t xml:space="preserve"> susceptible to it.</w:t>
      </w:r>
    </w:p>
    <w:p w14:paraId="52F78065"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lang w:val="en-US"/>
        </w:rPr>
        <w:lastRenderedPageBreak/>
        <w:t>Each of the answers were later categorized for the analyses as “microbiologically optimal” or “microbiologically sub-optimal” if in agreement with predefined expert-based criteria. Within the “sub-optimal” answers, there was a sub-category defined as “request for support”.</w:t>
      </w:r>
    </w:p>
    <w:p w14:paraId="7C057974" w14:textId="77777777" w:rsidR="000C24F6" w:rsidRPr="000C24F6" w:rsidRDefault="000C24F6" w:rsidP="000C24F6">
      <w:pPr>
        <w:spacing w:line="480" w:lineRule="auto"/>
        <w:jc w:val="both"/>
        <w:rPr>
          <w:rFonts w:ascii="Arial" w:hAnsi="Arial" w:cs="Arial"/>
          <w:sz w:val="20"/>
          <w:szCs w:val="20"/>
          <w:lang w:val="en-US"/>
        </w:rPr>
      </w:pPr>
    </w:p>
    <w:p w14:paraId="79116461" w14:textId="77777777" w:rsidR="000C24F6" w:rsidRPr="000C24F6" w:rsidRDefault="000C24F6" w:rsidP="000C24F6">
      <w:pPr>
        <w:spacing w:line="480" w:lineRule="auto"/>
        <w:jc w:val="both"/>
        <w:rPr>
          <w:rFonts w:ascii="Arial" w:hAnsi="Arial" w:cs="Arial"/>
          <w:sz w:val="20"/>
          <w:szCs w:val="20"/>
          <w:lang w:val="en-US"/>
        </w:rPr>
      </w:pPr>
    </w:p>
    <w:p w14:paraId="2B44C637" w14:textId="77777777" w:rsidR="000C24F6" w:rsidRPr="000C24F6" w:rsidRDefault="000C24F6" w:rsidP="000C24F6">
      <w:pPr>
        <w:spacing w:line="480" w:lineRule="auto"/>
        <w:ind w:left="720" w:hanging="720"/>
        <w:jc w:val="both"/>
        <w:rPr>
          <w:rFonts w:ascii="Arial" w:hAnsi="Arial" w:cs="Arial"/>
          <w:b/>
          <w:bCs/>
          <w:i/>
          <w:iCs/>
          <w:sz w:val="20"/>
          <w:szCs w:val="20"/>
          <w:lang w:val="en-US"/>
        </w:rPr>
      </w:pPr>
      <w:r w:rsidRPr="000C24F6">
        <w:rPr>
          <w:rFonts w:ascii="Arial" w:hAnsi="Arial" w:cs="Arial"/>
          <w:b/>
          <w:bCs/>
          <w:color w:val="000000" w:themeColor="text1"/>
          <w:sz w:val="20"/>
          <w:szCs w:val="20"/>
          <w:lang w:val="en-US"/>
        </w:rPr>
        <w:t xml:space="preserve">Delphi survey of Microbiologically Optimal Antibiotic Choice (MOAC) </w:t>
      </w:r>
    </w:p>
    <w:p w14:paraId="0874F1E4" w14:textId="77777777" w:rsidR="000C24F6" w:rsidRPr="000C24F6" w:rsidRDefault="000C24F6" w:rsidP="000C24F6">
      <w:pPr>
        <w:spacing w:line="480" w:lineRule="auto"/>
        <w:jc w:val="both"/>
        <w:rPr>
          <w:rFonts w:ascii="Arial" w:hAnsi="Arial" w:cs="Arial"/>
          <w:sz w:val="20"/>
          <w:szCs w:val="20"/>
        </w:rPr>
      </w:pPr>
      <w:r w:rsidRPr="000C24F6">
        <w:rPr>
          <w:rFonts w:ascii="Arial" w:hAnsi="Arial" w:cs="Arial"/>
          <w:sz w:val="20"/>
          <w:szCs w:val="20"/>
          <w:lang w:val="en-US"/>
        </w:rPr>
        <w:t xml:space="preserve">The consensus on the optimal response from the antibiotic choice point of view to each question was decided using a Delphi survey-type of questionnaire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&lt;EndNote&gt;&lt;Cite&gt;&lt;Author&gt;Hasson F&lt;/Author&gt;&lt;Year&gt;2000&lt;/Year&gt;&lt;RecNum&gt;11974&lt;/RecNum&gt;&lt;IDText&gt;Research guidelines for the Delphi survey technique&lt;/IDText&gt;&lt;DisplayText&gt;(16)&lt;/DisplayText&gt;&lt;record&gt;&lt;rec-number&gt;11974&lt;/rec-number&gt;&lt;foreign-keys&gt;&lt;key app="EN" db-id="twev005trrrz2jed20o5v2z5r5v2dd2stvft" timestamp="1602684051" guid="f3f433ed-0c90-4db1-b8a4-9e7a1f887a43"&gt;11974&lt;/key&gt;&lt;/foreign-keys&gt;&lt;ref-type name="Journal Article"&gt;17&lt;/ref-type&gt;&lt;contributors&gt;&lt;authors&gt;&lt;author&gt;Hasson F, Keeney S. McKenna H.&lt;/author&gt;&lt;/authors&gt;&lt;/contributors&gt;&lt;titles&gt;&lt;title&gt;Research guidelines for the Delphi survey technique&lt;/title&gt;&lt;secondary-title&gt;J Adv Nurs&lt;/secondary-title&gt;&lt;/titles&gt;&lt;periodical&gt;&lt;full-title&gt;J Adv Nurs&lt;/full-title&gt;&lt;/periodical&gt;&lt;pages&gt;1008-15&lt;/pages&gt;&lt;volume&gt;32&lt;/volume&gt;&lt;number&gt;4&lt;/number&gt;&lt;dates&gt;&lt;year&gt;2000&lt;/year&gt;&lt;/dates&gt;&lt;urls&gt;&lt;/urls&gt;&lt;/record&gt;&lt;/Cite&gt;&lt;/EndNote&gt;</w:instrText>
      </w:r>
      <w:r w:rsidRPr="000C24F6">
        <w:rPr>
          <w:rFonts w:ascii="Arial" w:hAnsi="Arial" w:cs="Arial"/>
          <w:sz w:val="20"/>
          <w:szCs w:val="20"/>
        </w:rPr>
        <w:fldChar w:fldCharType="separate"/>
      </w:r>
      <w:r w:rsidRPr="000C24F6">
        <w:rPr>
          <w:rFonts w:ascii="Arial" w:hAnsi="Arial" w:cs="Arial"/>
          <w:noProof/>
          <w:sz w:val="20"/>
          <w:szCs w:val="20"/>
        </w:rPr>
        <w:t>(16)</w:t>
      </w:r>
      <w:r w:rsidRPr="000C24F6">
        <w:rPr>
          <w:rFonts w:ascii="Arial" w:hAnsi="Arial" w:cs="Arial"/>
          <w:sz w:val="20"/>
          <w:szCs w:val="20"/>
        </w:rPr>
        <w:fldChar w:fldCharType="end"/>
      </w:r>
      <w:r w:rsidRPr="000C24F6">
        <w:rPr>
          <w:rFonts w:ascii="Arial" w:hAnsi="Arial" w:cs="Arial"/>
          <w:sz w:val="20"/>
          <w:szCs w:val="20"/>
          <w:lang w:val="en-US"/>
        </w:rPr>
        <w:t xml:space="preserve"> delivered also using SurveyMonkey ™ and called Expert survey) conducted beforehand among 15  (12 UK-based, 3 Spain-based) senior Infectious diseases/Medical Microbiology specialists </w:t>
      </w:r>
      <w:r w:rsidRPr="000C24F6">
        <w:rPr>
          <w:rStyle w:val="CommentReference"/>
          <w:rFonts w:ascii="Arial" w:hAnsi="Arial" w:cs="Arial"/>
          <w:sz w:val="20"/>
          <w:szCs w:val="20"/>
        </w:rPr>
        <w:t xml:space="preserve">. The antibiotic spectrum (broad vs narrow) was pre-defined for </w:t>
      </w:r>
      <w:proofErr w:type="spellStart"/>
      <w:r w:rsidRPr="000C24F6">
        <w:rPr>
          <w:rFonts w:ascii="Arial" w:hAnsi="Arial" w:cs="Arial"/>
          <w:color w:val="000000" w:themeColor="text1"/>
          <w:sz w:val="20"/>
          <w:szCs w:val="20"/>
          <w:lang w:val="en-US"/>
        </w:rPr>
        <w:t>betalactam</w:t>
      </w:r>
      <w:proofErr w:type="spellEnd"/>
      <w:r w:rsidRPr="000C24F6">
        <w:rPr>
          <w:rFonts w:ascii="Arial" w:hAnsi="Arial" w:cs="Arial"/>
          <w:color w:val="000000" w:themeColor="text1"/>
          <w:sz w:val="20"/>
          <w:szCs w:val="20"/>
          <w:lang w:val="en-US"/>
        </w:rPr>
        <w:t xml:space="preserve"> and non-</w:t>
      </w:r>
      <w:proofErr w:type="spellStart"/>
      <w:r w:rsidRPr="000C24F6">
        <w:rPr>
          <w:rFonts w:ascii="Arial" w:hAnsi="Arial" w:cs="Arial"/>
          <w:color w:val="000000" w:themeColor="text1"/>
          <w:sz w:val="20"/>
          <w:szCs w:val="20"/>
          <w:lang w:val="en-US"/>
        </w:rPr>
        <w:t>betalactam</w:t>
      </w:r>
      <w:proofErr w:type="spellEnd"/>
      <w:r w:rsidRPr="000C24F6">
        <w:rPr>
          <w:rFonts w:ascii="Arial" w:hAnsi="Arial" w:cs="Arial"/>
          <w:color w:val="000000" w:themeColor="text1"/>
          <w:sz w:val="20"/>
          <w:szCs w:val="20"/>
          <w:lang w:val="en-US"/>
        </w:rPr>
        <w:t xml:space="preserve"> antibiotics, modified from </w:t>
      </w:r>
      <w:r w:rsidRPr="000C24F6">
        <w:rPr>
          <w:rFonts w:ascii="Arial" w:hAnsi="Arial" w:cs="Arial"/>
          <w:sz w:val="20"/>
          <w:szCs w:val="20"/>
        </w:rPr>
        <w:fldChar w:fldCharType="begin">
          <w:fldData xml:space="preserve">PEVuZE5vdGU+PENpdGU+PEF1dGhvcj5XZWlzczwvQXV0aG9yPjxZZWFyPjIwMTU8L1llYXI+PFJl
Y051bT4xNTg8L1JlY051bT48SURUZXh0PkVsYWJvcmF0aW9uIG9mIGEgY29uc2Vuc3VhbCBkZWZp
bml0aW9uIG9mIGRlLWVzY2FsYXRpb24gYWxsb3dpbmcgYSByYW5raW5nIG9mIM6yLWxhY3RhbXM8
L0lEVGV4dD48RGlzcGxheVRleHQ+KDE3KTwvRGlzcGxheVRleHQ+PHJlY29yZD48cmVjLW51bWJl
cj4xNTg8L3JlYy1udW1iZXI+PGZvcmVpZ24ta2V5cz48a2V5IGFwcD0iRU4iIGRiLWlkPSJ0d2V2
MDA1dHJycnoyamVkMjBvNXYyejVyNXYyZGQyc3R2ZnQiIHRpbWVzdGFtcD0iMTUxNjU2MzQxNSIg
Z3VpZD0iMzU4MTYzYmYtMGY0Ny00MzE4LTlhZDctN2FiNjAwNDBlZjYyIj4xNTg8L2tleT48L2Zv
cmVpZ24ta2V5cz48cmVmLXR5cGUgbmFtZT0iSm91cm5hbCBBcnRpY2xlIj4xNzwvcmVmLXR5cGU+
PGNvbnRyaWJ1dG9ycz48YXV0aG9ycz48YXV0aG9yPldlaXNzLCBFLjwvYXV0aG9yPjxhdXRob3I+
WmFoYXIsIEouIFIuPC9hdXRob3I+PGF1dGhvcj5MZXNwcml0LCBQLjwvYXV0aG9yPjxhdXRob3I+
UnVwcGUsIEUuPC9hdXRob3I+PGF1dGhvcj5MZW9uZSwgTS48L2F1dGhvcj48YXV0aG9yPkNoYXN0
cmUsIEouPC9hdXRob3I+PGF1dGhvcj5MdWNldCwgSi4gQy48L2F1dGhvcj48YXV0aG9yPlBhdWdh
bS1CdXJ0eiwgQy48L2F1dGhvcj48YXV0aG9yPkJydW4tQnVpc3NvbiwgQy48L2F1dGhvcj48YXV0
aG9yPlRpbXNpdCwgSi4gRi48L2F1dGhvcj48YXV0aG9yPkJydW5lZWwsIEYuPC9hdXRob3I+PGF1
dGhvcj5MYXNvY2tpLCBTLjwvYXV0aG9yPjxhdXRob3I+TW9udHJhdmVycywgUC48L2F1dGhvcj48
YXV0aG9yPk5zZWlyLCBTLjwvYXV0aG9yPjxhdXRob3I+UGVhc2UsIFMuPC9hdXRob3I+PGF1dGhv
cj5Xb2xmZiwgTS48L2F1dGhvcj48YXV0aG9yPkFsZmFuZGFyaSwgUy48L2F1dGhvcj48YXV0aG9y
PkZhbnRpbiwgQi48L2F1dGhvcj48YXV0aG9yPkdhY2hvdCwgQi48L2F1dGhvcj48YXV0aG9yPkxl
Zm9ydCwgQS48L2F1dGhvcj48YXV0aG9yPlBvdGVsLCBHLjwvYXV0aG9yPjxhdXRob3I+UHVsY2lu
aSwgQy48L2F1dGhvcj48YXV0aG9yPlJhYmF1ZCwgQy48L2F1dGhvcj48YXV0aG9yPlRhdHRldmlu
LCBQLjwvYXV0aG9yPjxhdXRob3I+QXJtYW5kLUxlZmV2cmUsIEwuPC9hdXRob3I+PGF1dGhvcj5D
YXZhbGxvLCBKLiBELjwvYXV0aG9yPjxhdXRob3I+SmFybGllciwgVi48L2F1dGhvcj48YXV0aG9y
PkpvaW50LUxhbWJlcnQsIE8uPC9hdXRob3I+PGF1dGhvcj5Sb2JlcnQsIEouPC9hdXRob3I+PGF1
dGhvcj5XaG9lcnRlciwgUC4gTC48L2F1dGhvcj48L2F1dGhvcnM+PC9jb250cmlidXRvcnM+PHRp
dGxlcz48dGl0bGU+RWxhYm9yYXRpb24gb2YgYSBjb25zZW5zdWFsIGRlZmluaXRpb24gb2YgZGUt
ZXNjYWxhdGlvbiBhbGxvd2luZyBhIHJhbmtpbmcgb2YgzrItbGFjdGFtczwvdGl0bGU+PHNlY29u
ZGFyeS10aXRsZT5DbGluaWNhbCBNaWNyb2Jpb2xvZ3kgYW5kIEluZmVjdGlvbjwvc2Vjb25kYXJ5
LXRpdGxlPjwvdGl0bGVzPjxwZXJpb2RpY2FsPjxmdWxsLXRpdGxlPkNsaW5pY2FsIE1pY3JvYmlv
bG9neSBhbmQgSW5mZWN0aW9uPC9mdWxsLXRpdGxlPjwvcGVyaW9kaWNhbD48a2V5d29yZHM+PGtl
eXdvcmQ+RGUtZXNjYWxhdGlvbjwva2V5d29yZD48a2V5d29yZD5EZWxwaGkgbWV0aG9kPC9rZXl3
b3JkPjxrZXl3b3JkPkVjb2xvZ2ljYWwgY29uc2VxdWVuY2VzPC9rZXl3b3JkPjxrZXl3b3JkPlJh
bmtpbmc8L2tleXdvcmQ+PGtleXdvcmQ+zrItbGFjdGFtczwva2V5d29yZD48L2tleXdvcmRzPjxk
YXRlcz48eWVhcj4yMDE1PC95ZWFyPjwvZGF0ZXM+PGlzYm4+MTQ2OS0wNjkxOyAxMTk4LTc0M1g8
L2lzYm4+PHVybHM+PHBkZi11cmxzPjx1cmw+ZmlsZTovL2xvY2FsaG9zdC9Vc2Vycy92YW5lc2Fh
bnRvbnZhenF1ZXovTGlicmFyeS9BcHBsaWNhdGlvbiUyMFN1cHBvcnQvTWVuZGVsZXklMjBEZXNr
dG9wL0Rvd25sb2FkZWQvV2Vpc3MlMjBldCUyMGFsLiUyMC0lMjAyMDE1JTIwLSUyMEVsYWJvcmF0
aW9uJTIwb2YlMjBhJTIwY29uc2Vuc3VhbCUyMGRlZmluaXRpb24lMjBvZiUyMGRlLWVzY2FsYXRp
b24lMjBhbGxvd2luZyUyMGElMjByYW5raW5nJTIwb2YlMjAlQ0UlQjItbGFjdGFtcy5wZGY8L3Vy
bD48L3BkZi11cmxzPjwvdXJscz48ZWxlY3Ryb25pYy1yZXNvdXJjZS1udW0+MTAuMTAxNi9qLmNt
aS4yMDE1LjAzLjAxMzwvZWxlY3Ryb25pYy1yZXNvdXJjZS1udW0+PC9yZWNvcmQ+PC9DaXRlPjwv
RW5kTm90ZT5=
</w:fldData>
        </w:fldChar>
      </w:r>
      <w:r w:rsidRPr="000C24F6">
        <w:rPr>
          <w:rFonts w:ascii="Arial" w:hAnsi="Arial" w:cs="Arial"/>
          <w:sz w:val="20"/>
          <w:szCs w:val="20"/>
        </w:rPr>
        <w:instrText xml:space="preserve"> ADDIN EN.CITE </w:instrText>
      </w:r>
      <w:r w:rsidRPr="000C24F6">
        <w:rPr>
          <w:rFonts w:ascii="Arial" w:hAnsi="Arial" w:cs="Arial"/>
          <w:sz w:val="20"/>
          <w:szCs w:val="20"/>
        </w:rPr>
        <w:fldChar w:fldCharType="begin">
          <w:fldData xml:space="preserve">PEVuZE5vdGU+PENpdGU+PEF1dGhvcj5XZWlzczwvQXV0aG9yPjxZZWFyPjIwMTU8L1llYXI+PFJl
Y051bT4xNTg8L1JlY051bT48SURUZXh0PkVsYWJvcmF0aW9uIG9mIGEgY29uc2Vuc3VhbCBkZWZp
bml0aW9uIG9mIGRlLWVzY2FsYXRpb24gYWxsb3dpbmcgYSByYW5raW5nIG9mIM6yLWxhY3RhbXM8
L0lEVGV4dD48RGlzcGxheVRleHQ+KDE3KTwvRGlzcGxheVRleHQ+PHJlY29yZD48cmVjLW51bWJl
cj4xNTg8L3JlYy1udW1iZXI+PGZvcmVpZ24ta2V5cz48a2V5IGFwcD0iRU4iIGRiLWlkPSJ0d2V2
MDA1dHJycnoyamVkMjBvNXYyejVyNXYyZGQyc3R2ZnQiIHRpbWVzdGFtcD0iMTUxNjU2MzQxNSIg
Z3VpZD0iMzU4MTYzYmYtMGY0Ny00MzE4LTlhZDctN2FiNjAwNDBlZjYyIj4xNTg8L2tleT48L2Zv
cmVpZ24ta2V5cz48cmVmLXR5cGUgbmFtZT0iSm91cm5hbCBBcnRpY2xlIj4xNzwvcmVmLXR5cGU+
PGNvbnRyaWJ1dG9ycz48YXV0aG9ycz48YXV0aG9yPldlaXNzLCBFLjwvYXV0aG9yPjxhdXRob3I+
WmFoYXIsIEouIFIuPC9hdXRob3I+PGF1dGhvcj5MZXNwcml0LCBQLjwvYXV0aG9yPjxhdXRob3I+
UnVwcGUsIEUuPC9hdXRob3I+PGF1dGhvcj5MZW9uZSwgTS48L2F1dGhvcj48YXV0aG9yPkNoYXN0
cmUsIEouPC9hdXRob3I+PGF1dGhvcj5MdWNldCwgSi4gQy48L2F1dGhvcj48YXV0aG9yPlBhdWdh
bS1CdXJ0eiwgQy48L2F1dGhvcj48YXV0aG9yPkJydW4tQnVpc3NvbiwgQy48L2F1dGhvcj48YXV0
aG9yPlRpbXNpdCwgSi4gRi48L2F1dGhvcj48YXV0aG9yPkJydW5lZWwsIEYuPC9hdXRob3I+PGF1
dGhvcj5MYXNvY2tpLCBTLjwvYXV0aG9yPjxhdXRob3I+TW9udHJhdmVycywgUC48L2F1dGhvcj48
YXV0aG9yPk5zZWlyLCBTLjwvYXV0aG9yPjxhdXRob3I+UGVhc2UsIFMuPC9hdXRob3I+PGF1dGhv
cj5Xb2xmZiwgTS48L2F1dGhvcj48YXV0aG9yPkFsZmFuZGFyaSwgUy48L2F1dGhvcj48YXV0aG9y
PkZhbnRpbiwgQi48L2F1dGhvcj48YXV0aG9yPkdhY2hvdCwgQi48L2F1dGhvcj48YXV0aG9yPkxl
Zm9ydCwgQS48L2F1dGhvcj48YXV0aG9yPlBvdGVsLCBHLjwvYXV0aG9yPjxhdXRob3I+UHVsY2lu
aSwgQy48L2F1dGhvcj48YXV0aG9yPlJhYmF1ZCwgQy48L2F1dGhvcj48YXV0aG9yPlRhdHRldmlu
LCBQLjwvYXV0aG9yPjxhdXRob3I+QXJtYW5kLUxlZmV2cmUsIEwuPC9hdXRob3I+PGF1dGhvcj5D
YXZhbGxvLCBKLiBELjwvYXV0aG9yPjxhdXRob3I+SmFybGllciwgVi48L2F1dGhvcj48YXV0aG9y
PkpvaW50LUxhbWJlcnQsIE8uPC9hdXRob3I+PGF1dGhvcj5Sb2JlcnQsIEouPC9hdXRob3I+PGF1
dGhvcj5XaG9lcnRlciwgUC4gTC48L2F1dGhvcj48L2F1dGhvcnM+PC9jb250cmlidXRvcnM+PHRp
dGxlcz48dGl0bGU+RWxhYm9yYXRpb24gb2YgYSBjb25zZW5zdWFsIGRlZmluaXRpb24gb2YgZGUt
ZXNjYWxhdGlvbiBhbGxvd2luZyBhIHJhbmtpbmcgb2YgzrItbGFjdGFtczwvdGl0bGU+PHNlY29u
ZGFyeS10aXRsZT5DbGluaWNhbCBNaWNyb2Jpb2xvZ3kgYW5kIEluZmVjdGlvbjwvc2Vjb25kYXJ5
LXRpdGxlPjwvdGl0bGVzPjxwZXJpb2RpY2FsPjxmdWxsLXRpdGxlPkNsaW5pY2FsIE1pY3JvYmlv
bG9neSBhbmQgSW5mZWN0aW9uPC9mdWxsLXRpdGxlPjwvcGVyaW9kaWNhbD48a2V5d29yZHM+PGtl
eXdvcmQ+RGUtZXNjYWxhdGlvbjwva2V5d29yZD48a2V5d29yZD5EZWxwaGkgbWV0aG9kPC9rZXl3
b3JkPjxrZXl3b3JkPkVjb2xvZ2ljYWwgY29uc2VxdWVuY2VzPC9rZXl3b3JkPjxrZXl3b3JkPlJh
bmtpbmc8L2tleXdvcmQ+PGtleXdvcmQ+zrItbGFjdGFtczwva2V5d29yZD48L2tleXdvcmRzPjxk
YXRlcz48eWVhcj4yMDE1PC95ZWFyPjwvZGF0ZXM+PGlzYm4+MTQ2OS0wNjkxOyAxMTk4LTc0M1g8
L2lzYm4+PHVybHM+PHBkZi11cmxzPjx1cmw+ZmlsZTovL2xvY2FsaG9zdC9Vc2Vycy92YW5lc2Fh
bnRvbnZhenF1ZXovTGlicmFyeS9BcHBsaWNhdGlvbiUyMFN1cHBvcnQvTWVuZGVsZXklMjBEZXNr
dG9wL0Rvd25sb2FkZWQvV2Vpc3MlMjBldCUyMGFsLiUyMC0lMjAyMDE1JTIwLSUyMEVsYWJvcmF0
aW9uJTIwb2YlMjBhJTIwY29uc2Vuc3VhbCUyMGRlZmluaXRpb24lMjBvZiUyMGRlLWVzY2FsYXRp
b24lMjBhbGxvd2luZyUyMGElMjByYW5raW5nJTIwb2YlMjAlQ0UlQjItbGFjdGFtcy5wZGY8L3Vy
bD48L3BkZi11cmxzPjwvdXJscz48ZWxlY3Ryb25pYy1yZXNvdXJjZS1udW0+MTAuMTAxNi9qLmNt
aS4yMDE1LjAzLjAxMzwvZWxlY3Ryb25pYy1yZXNvdXJjZS1udW0+PC9yZWNvcmQ+PC9DaXRlPjwv
RW5kTm90ZT5=
</w:fldData>
        </w:fldChar>
      </w:r>
      <w:r w:rsidRPr="000C24F6">
        <w:rPr>
          <w:rFonts w:ascii="Arial" w:hAnsi="Arial" w:cs="Arial"/>
          <w:sz w:val="20"/>
          <w:szCs w:val="20"/>
        </w:rPr>
        <w:instrText xml:space="preserve"> ADDIN EN.CITE.DATA </w:instrText>
      </w:r>
      <w:r w:rsidRPr="000C24F6">
        <w:rPr>
          <w:rFonts w:ascii="Arial" w:hAnsi="Arial" w:cs="Arial"/>
          <w:sz w:val="20"/>
          <w:szCs w:val="20"/>
        </w:rPr>
      </w:r>
      <w:r w:rsidRPr="000C24F6">
        <w:rPr>
          <w:rFonts w:ascii="Arial" w:hAnsi="Arial" w:cs="Arial"/>
          <w:sz w:val="20"/>
          <w:szCs w:val="20"/>
        </w:rPr>
        <w:fldChar w:fldCharType="end"/>
      </w:r>
      <w:r w:rsidRPr="000C24F6">
        <w:rPr>
          <w:rFonts w:ascii="Arial" w:hAnsi="Arial" w:cs="Arial"/>
          <w:sz w:val="20"/>
          <w:szCs w:val="20"/>
        </w:rPr>
        <w:fldChar w:fldCharType="separate"/>
      </w:r>
      <w:r w:rsidRPr="000C24F6">
        <w:rPr>
          <w:rFonts w:ascii="Arial" w:hAnsi="Arial" w:cs="Arial"/>
          <w:noProof/>
          <w:sz w:val="20"/>
          <w:szCs w:val="20"/>
        </w:rPr>
        <w:t>(17)</w:t>
      </w:r>
      <w:r w:rsidRPr="000C24F6">
        <w:rPr>
          <w:rFonts w:ascii="Arial" w:hAnsi="Arial" w:cs="Arial"/>
          <w:sz w:val="20"/>
          <w:szCs w:val="20"/>
        </w:rPr>
        <w:fldChar w:fldCharType="end"/>
      </w:r>
      <w:r w:rsidRPr="000C24F6">
        <w:rPr>
          <w:rFonts w:ascii="Arial" w:hAnsi="Arial" w:cs="Arial"/>
          <w:sz w:val="20"/>
          <w:szCs w:val="20"/>
          <w:lang w:val="en-US"/>
        </w:rPr>
        <w:t xml:space="preserve"> </w:t>
      </w:r>
      <w:r w:rsidRPr="000C24F6">
        <w:rPr>
          <w:rFonts w:ascii="Arial" w:hAnsi="Arial" w:cs="Arial"/>
          <w:color w:val="4472C4" w:themeColor="accent1"/>
          <w:sz w:val="20"/>
          <w:szCs w:val="20"/>
          <w:lang w:val="en-US"/>
        </w:rPr>
        <w:t xml:space="preserve">(Supplementary material </w:t>
      </w:r>
      <w:r w:rsidRPr="000C24F6">
        <w:rPr>
          <w:rFonts w:ascii="Arial" w:hAnsi="Arial" w:cs="Arial"/>
          <w:b/>
          <w:bCs/>
          <w:color w:val="000000" w:themeColor="text1"/>
          <w:sz w:val="20"/>
          <w:szCs w:val="20"/>
          <w:lang w:val="en-US"/>
        </w:rPr>
        <w:t xml:space="preserve">Table 5). </w:t>
      </w:r>
      <w:r w:rsidRPr="000C24F6">
        <w:rPr>
          <w:rFonts w:ascii="Arial" w:hAnsi="Arial" w:cs="Arial"/>
          <w:bCs/>
          <w:color w:val="000000" w:themeColor="text1"/>
          <w:sz w:val="20"/>
          <w:szCs w:val="20"/>
          <w:lang w:val="en-US"/>
        </w:rPr>
        <w:t xml:space="preserve">The questionnaire is available through the link </w:t>
      </w:r>
      <w:r w:rsidRPr="000C24F6">
        <w:rPr>
          <w:rFonts w:ascii="Arial" w:hAnsi="Arial" w:cs="Arial"/>
          <w:sz w:val="20"/>
          <w:szCs w:val="20"/>
        </w:rPr>
        <w:t>https://www.surveymonkey.co.uk/r/BQ6C8MD</w:t>
      </w:r>
      <w:r w:rsidRPr="000C24F6" w:rsidDel="00EE5834">
        <w:rPr>
          <w:rFonts w:ascii="Arial" w:hAnsi="Arial" w:cs="Arial"/>
          <w:sz w:val="20"/>
          <w:szCs w:val="20"/>
        </w:rPr>
        <w:t xml:space="preserve"> </w:t>
      </w:r>
      <w:r w:rsidRPr="000C24F6">
        <w:rPr>
          <w:rFonts w:ascii="Arial" w:hAnsi="Arial" w:cs="Arial"/>
          <w:sz w:val="20"/>
          <w:szCs w:val="20"/>
        </w:rPr>
        <w:t xml:space="preserve">and in the Supplementary material. </w:t>
      </w:r>
    </w:p>
    <w:p w14:paraId="09707D5E" w14:textId="77777777" w:rsidR="000C24F6" w:rsidRPr="000C24F6" w:rsidRDefault="000C24F6" w:rsidP="000C24F6">
      <w:pPr>
        <w:spacing w:line="480" w:lineRule="auto"/>
        <w:jc w:val="both"/>
        <w:rPr>
          <w:rFonts w:ascii="Arial" w:hAnsi="Arial" w:cs="Arial"/>
          <w:sz w:val="20"/>
          <w:szCs w:val="20"/>
        </w:rPr>
      </w:pPr>
    </w:p>
    <w:p w14:paraId="3B8621D7" w14:textId="77777777" w:rsidR="000C24F6" w:rsidRPr="000C24F6" w:rsidRDefault="000C24F6" w:rsidP="000C24F6">
      <w:pPr>
        <w:spacing w:line="480" w:lineRule="auto"/>
        <w:jc w:val="both"/>
        <w:rPr>
          <w:rFonts w:ascii="Arial" w:hAnsi="Arial" w:cs="Arial"/>
          <w:sz w:val="20"/>
          <w:szCs w:val="20"/>
        </w:rPr>
      </w:pPr>
      <w:r w:rsidRPr="000C24F6">
        <w:rPr>
          <w:rFonts w:ascii="Arial" w:hAnsi="Arial" w:cs="Arial"/>
          <w:sz w:val="20"/>
          <w:szCs w:val="20"/>
        </w:rPr>
        <w:t xml:space="preserve">For each clinical case, the experts were asked to categorise each of the possible answers as MOAC </w:t>
      </w:r>
      <w:proofErr w:type="gramStart"/>
      <w:r w:rsidRPr="000C24F6">
        <w:rPr>
          <w:rFonts w:ascii="Arial" w:hAnsi="Arial" w:cs="Arial"/>
          <w:sz w:val="20"/>
          <w:szCs w:val="20"/>
        </w:rPr>
        <w:t>on the basis of</w:t>
      </w:r>
      <w:proofErr w:type="gramEnd"/>
      <w:r w:rsidRPr="000C24F6">
        <w:rPr>
          <w:rFonts w:ascii="Arial" w:hAnsi="Arial" w:cs="Arial"/>
          <w:sz w:val="20"/>
          <w:szCs w:val="20"/>
        </w:rPr>
        <w:t xml:space="preserve"> the clinical details and the </w:t>
      </w:r>
      <w:r w:rsidRPr="000C24F6">
        <w:rPr>
          <w:rFonts w:ascii="Arial" w:hAnsi="Arial" w:cs="Arial"/>
          <w:i/>
          <w:sz w:val="20"/>
          <w:szCs w:val="20"/>
        </w:rPr>
        <w:t>in vitro</w:t>
      </w:r>
      <w:r w:rsidRPr="000C24F6">
        <w:rPr>
          <w:rFonts w:ascii="Arial" w:hAnsi="Arial" w:cs="Arial"/>
          <w:sz w:val="20"/>
          <w:szCs w:val="20"/>
        </w:rPr>
        <w:t xml:space="preserve"> susceptibility results provided.  An answer was considered to have met Delphi consensus when at least 75% of the experts agreed on it belonging to the “optimal” category</w:t>
      </w:r>
      <w:r w:rsidRPr="000C24F6">
        <w:rPr>
          <w:rFonts w:ascii="Arial" w:hAnsi="Arial" w:cs="Arial"/>
          <w:sz w:val="20"/>
          <w:szCs w:val="20"/>
          <w:lang w:val="en-US"/>
        </w:rPr>
        <w:t xml:space="preserv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&lt;EndNote&gt;&lt;Cite&gt;&lt;Author&gt;Powell&lt;/Author&gt;&lt;Year&gt;2003&lt;/Year&gt;&lt;RecNum&gt;12067&lt;/RecNum&gt;&lt;IDText&gt;The Delphi technique: myths and realities&lt;/IDText&gt;&lt;DisplayText&gt;(18)&lt;/DisplayText&gt;&lt;record&gt;&lt;rec-number&gt;12067&lt;/rec-number&gt;&lt;foreign-keys&gt;&lt;key app="EN" db-id="twev005trrrz2jed20o5v2z5r5v2dd2stvft" timestamp="1602789453" guid="3fefa010-fbdd-4e62-b313-a393d08e8a8b"&gt;12067&lt;/key&gt;&lt;/foreign-keys&gt;&lt;ref-type name="Journal Article"&gt;17&lt;/ref-type&gt;&lt;contributors&gt;&lt;authors&gt;&lt;author&gt;Powell, C&lt;/author&gt;&lt;/authors&gt;&lt;/contributors&gt;&lt;titles&gt;&lt;title&gt;The Delphi technique: myths and realities&lt;/title&gt;&lt;secondary-title&gt;J Adv Nurs&lt;/secondary-title&gt;&lt;/titles&gt;&lt;periodical&gt;&lt;full-title&gt;J Adv Nurs&lt;/full-title&gt;&lt;/periodical&gt;&lt;pages&gt;376-82&lt;/pages&gt;&lt;volume&gt;41&lt;/volume&gt;&lt;number&gt;4&lt;/number&gt;&lt;dates&gt;&lt;year&gt;2003&lt;/year&gt;&lt;/dates&gt;&lt;urls&gt;&lt;/urls&gt;&lt;electronic-resource-num&gt;10.1046/j.1365-2648.2003.02537.x&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(18)</w:t>
      </w:r>
      <w:r w:rsidRPr="000C24F6">
        <w:rPr>
          <w:rFonts w:ascii="Arial" w:hAnsi="Arial" w:cs="Arial"/>
          <w:sz w:val="20"/>
          <w:szCs w:val="20"/>
        </w:rPr>
        <w:fldChar w:fldCharType="end"/>
      </w:r>
      <w:r w:rsidRPr="000C24F6">
        <w:rPr>
          <w:rFonts w:ascii="Arial" w:hAnsi="Arial" w:cs="Arial"/>
          <w:sz w:val="20"/>
          <w:szCs w:val="20"/>
          <w:lang w:val="en-US"/>
        </w:rPr>
        <w:t xml:space="preserve"> </w:t>
      </w:r>
      <w:r w:rsidRPr="000C24F6">
        <w:rPr>
          <w:rFonts w:ascii="Arial" w:hAnsi="Arial" w:cs="Arial"/>
          <w:color w:val="4472C4" w:themeColor="accent1"/>
          <w:sz w:val="20"/>
          <w:szCs w:val="20"/>
        </w:rPr>
        <w:t xml:space="preserve">. </w:t>
      </w:r>
      <w:r w:rsidRPr="000C24F6">
        <w:rPr>
          <w:rFonts w:ascii="Arial" w:hAnsi="Arial" w:cs="Arial"/>
          <w:color w:val="000000" w:themeColor="text1"/>
          <w:sz w:val="20"/>
          <w:szCs w:val="20"/>
        </w:rPr>
        <w:t xml:space="preserve">Supplementary material Table 6 shows the answers considered to be MOAC as per expert consensus.  </w:t>
      </w:r>
    </w:p>
    <w:p w14:paraId="23CD12C5" w14:textId="77777777" w:rsidR="000C24F6" w:rsidRPr="000C24F6" w:rsidRDefault="000C24F6" w:rsidP="000C24F6">
      <w:pPr>
        <w:spacing w:line="480" w:lineRule="auto"/>
        <w:jc w:val="both"/>
        <w:rPr>
          <w:rFonts w:ascii="Arial" w:hAnsi="Arial" w:cs="Arial"/>
          <w:sz w:val="20"/>
          <w:szCs w:val="20"/>
        </w:rPr>
      </w:pPr>
    </w:p>
    <w:p w14:paraId="0D55C4FE" w14:textId="77777777" w:rsidR="000C24F6" w:rsidRPr="000C24F6" w:rsidRDefault="000C24F6" w:rsidP="000C24F6">
      <w:pPr>
        <w:spacing w:line="480" w:lineRule="auto"/>
        <w:jc w:val="both"/>
        <w:rPr>
          <w:rFonts w:ascii="Arial" w:hAnsi="Arial" w:cs="Arial"/>
          <w:b/>
          <w:iCs/>
          <w:sz w:val="20"/>
          <w:szCs w:val="20"/>
        </w:rPr>
      </w:pPr>
      <w:r w:rsidRPr="000C24F6">
        <w:rPr>
          <w:rFonts w:ascii="Arial" w:hAnsi="Arial" w:cs="Arial"/>
          <w:b/>
          <w:iCs/>
          <w:sz w:val="20"/>
          <w:szCs w:val="20"/>
        </w:rPr>
        <w:t>Ethical approval</w:t>
      </w:r>
    </w:p>
    <w:p w14:paraId="2E730B4F" w14:textId="77777777" w:rsidR="000C24F6" w:rsidRPr="000C24F6" w:rsidRDefault="000C24F6" w:rsidP="000C24F6">
      <w:pPr>
        <w:spacing w:line="480" w:lineRule="auto"/>
        <w:jc w:val="both"/>
        <w:rPr>
          <w:rFonts w:ascii="Arial" w:hAnsi="Arial" w:cs="Arial"/>
          <w:sz w:val="20"/>
          <w:szCs w:val="20"/>
        </w:rPr>
      </w:pPr>
      <w:r w:rsidRPr="000C24F6">
        <w:rPr>
          <w:rFonts w:ascii="Arial" w:hAnsi="Arial" w:cs="Arial"/>
          <w:sz w:val="20"/>
          <w:szCs w:val="20"/>
        </w:rPr>
        <w:t>All cases were hypothetical and contained no details of real patients. No identifiable details of respondents to the surveys were collected as a part of this survey. This study did not require ethics approval as per NIHR guidelines and our Institution´s research policies.</w:t>
      </w:r>
    </w:p>
    <w:p w14:paraId="0E8590AC" w14:textId="77777777" w:rsidR="000C24F6" w:rsidRPr="000C24F6" w:rsidRDefault="000C24F6" w:rsidP="000C24F6">
      <w:pPr>
        <w:spacing w:line="480" w:lineRule="auto"/>
        <w:jc w:val="both"/>
        <w:rPr>
          <w:rFonts w:ascii="Arial" w:hAnsi="Arial" w:cs="Arial"/>
          <w:b/>
          <w:i/>
          <w:sz w:val="20"/>
          <w:szCs w:val="20"/>
        </w:rPr>
      </w:pPr>
    </w:p>
    <w:p w14:paraId="350BC817" w14:textId="77777777" w:rsidR="000C24F6" w:rsidRPr="000C24F6" w:rsidRDefault="000C24F6" w:rsidP="000C24F6">
      <w:pPr>
        <w:spacing w:line="480" w:lineRule="auto"/>
        <w:jc w:val="both"/>
        <w:rPr>
          <w:rFonts w:ascii="Arial" w:hAnsi="Arial" w:cs="Arial"/>
          <w:b/>
          <w:iCs/>
          <w:sz w:val="20"/>
          <w:szCs w:val="20"/>
        </w:rPr>
      </w:pPr>
      <w:r w:rsidRPr="000C24F6">
        <w:rPr>
          <w:rFonts w:ascii="Arial" w:hAnsi="Arial" w:cs="Arial"/>
          <w:b/>
          <w:iCs/>
          <w:sz w:val="20"/>
          <w:szCs w:val="20"/>
        </w:rPr>
        <w:t>Statistical analysis</w:t>
      </w:r>
    </w:p>
    <w:p w14:paraId="2007D746" w14:textId="77777777" w:rsidR="000C24F6" w:rsidRPr="000C24F6" w:rsidRDefault="000C24F6" w:rsidP="000C24F6">
      <w:pPr>
        <w:spacing w:line="480" w:lineRule="auto"/>
        <w:jc w:val="both"/>
        <w:rPr>
          <w:rFonts w:ascii="Arial" w:hAnsi="Arial" w:cs="Arial"/>
          <w:sz w:val="20"/>
          <w:szCs w:val="20"/>
        </w:rPr>
      </w:pPr>
      <w:r w:rsidRPr="000C24F6">
        <w:rPr>
          <w:rFonts w:ascii="Arial" w:hAnsi="Arial" w:cs="Arial"/>
          <w:sz w:val="20"/>
          <w:szCs w:val="20"/>
        </w:rPr>
        <w:t xml:space="preserve">Descriptive statistics were used to summarize the survey answers. In this context, p values of ≤ 0.05 must be interpreted cautiously as potentially statistically significant.  The individual abilities by the respondent to select an optimal choice, effective sub-optimal </w:t>
      </w:r>
      <w:r w:rsidRPr="000C24F6">
        <w:rPr>
          <w:rFonts w:ascii="Arial" w:hAnsi="Arial" w:cs="Arial"/>
          <w:i/>
          <w:iCs/>
          <w:sz w:val="20"/>
          <w:szCs w:val="20"/>
        </w:rPr>
        <w:t>in vitro</w:t>
      </w:r>
      <w:r w:rsidRPr="000C24F6">
        <w:rPr>
          <w:rFonts w:ascii="Arial" w:hAnsi="Arial" w:cs="Arial"/>
          <w:sz w:val="20"/>
          <w:szCs w:val="20"/>
        </w:rPr>
        <w:t xml:space="preserve"> choice, (if the organism was sensitive </w:t>
      </w:r>
      <w:r w:rsidRPr="000C24F6">
        <w:rPr>
          <w:rFonts w:ascii="Arial" w:hAnsi="Arial" w:cs="Arial"/>
          <w:i/>
          <w:iCs/>
          <w:sz w:val="20"/>
          <w:szCs w:val="20"/>
        </w:rPr>
        <w:t>in vitro</w:t>
      </w:r>
      <w:r w:rsidRPr="000C24F6">
        <w:rPr>
          <w:rFonts w:ascii="Arial" w:hAnsi="Arial" w:cs="Arial"/>
          <w:sz w:val="20"/>
          <w:szCs w:val="20"/>
        </w:rPr>
        <w:t xml:space="preserve"> to the antibiotic, but the choice was considered sub-optimal)  or support request were </w:t>
      </w:r>
      <w:r w:rsidRPr="000C24F6">
        <w:rPr>
          <w:rFonts w:ascii="Arial" w:hAnsi="Arial" w:cs="Arial"/>
          <w:sz w:val="20"/>
          <w:szCs w:val="20"/>
        </w:rPr>
        <w:lastRenderedPageBreak/>
        <w:t xml:space="preserve">calculated as percentages over the total number of valid answers given by that respondent (for example, if a respondent had selected a valid answer in all 4 cases and had selected 2 MOAC; 1 effective sub-optimal </w:t>
      </w:r>
      <w:r w:rsidRPr="000C24F6">
        <w:rPr>
          <w:rFonts w:ascii="Arial" w:hAnsi="Arial" w:cs="Arial"/>
          <w:i/>
          <w:iCs/>
          <w:sz w:val="20"/>
          <w:szCs w:val="20"/>
        </w:rPr>
        <w:t>in vitro</w:t>
      </w:r>
      <w:r w:rsidRPr="000C24F6">
        <w:rPr>
          <w:rFonts w:ascii="Arial" w:hAnsi="Arial" w:cs="Arial"/>
          <w:sz w:val="20"/>
          <w:szCs w:val="20"/>
        </w:rPr>
        <w:t xml:space="preserve"> choice and 1 request for support choice, the individual percentage of MOAC was 2/4*100 = 50%). The individual percentage of MOAC were compared by specialty, </w:t>
      </w:r>
      <w:proofErr w:type="gramStart"/>
      <w:r w:rsidRPr="000C24F6">
        <w:rPr>
          <w:rFonts w:ascii="Arial" w:hAnsi="Arial" w:cs="Arial"/>
          <w:sz w:val="20"/>
          <w:szCs w:val="20"/>
        </w:rPr>
        <w:t>seniority</w:t>
      </w:r>
      <w:proofErr w:type="gramEnd"/>
      <w:r w:rsidRPr="000C24F6">
        <w:rPr>
          <w:rFonts w:ascii="Arial" w:hAnsi="Arial" w:cs="Arial"/>
          <w:sz w:val="20"/>
          <w:szCs w:val="20"/>
        </w:rPr>
        <w:t xml:space="preserve"> and country. Aggregated percentages of each type of response per case were also calculated (for example, the aggregated percentage of MOAC for Case 1 was calculated as the number of times that all respondents had selected a MOAC option for that case by divided by the total number of valid answers (addition of MOAC, sub-optimal, optimal) by all respondents. These aggregated percentages were compared by susceptibility groups, concordance of clinical course </w:t>
      </w:r>
      <w:r w:rsidRPr="000C24F6">
        <w:rPr>
          <w:rFonts w:ascii="Arial" w:hAnsi="Arial" w:cs="Arial"/>
          <w:sz w:val="20"/>
          <w:szCs w:val="20"/>
          <w:lang w:val="en-US"/>
        </w:rPr>
        <w:t>(susceptible organism-clinical improvement; resistant organism-clinical deterioration)</w:t>
      </w:r>
      <w:r w:rsidRPr="000C24F6">
        <w:rPr>
          <w:rFonts w:ascii="Arial" w:hAnsi="Arial" w:cs="Arial"/>
          <w:sz w:val="20"/>
          <w:szCs w:val="20"/>
        </w:rPr>
        <w:t>, clinical severity (well/unwell) and out-of-hours group</w:t>
      </w:r>
    </w:p>
    <w:p w14:paraId="67DA65C1" w14:textId="77777777" w:rsidR="000C24F6" w:rsidRPr="000C24F6" w:rsidRDefault="000C24F6" w:rsidP="000C24F6">
      <w:pPr>
        <w:spacing w:line="480" w:lineRule="auto"/>
        <w:jc w:val="both"/>
        <w:rPr>
          <w:rFonts w:ascii="Arial" w:hAnsi="Arial" w:cs="Arial"/>
          <w:sz w:val="20"/>
          <w:szCs w:val="20"/>
        </w:rPr>
      </w:pPr>
      <w:r w:rsidRPr="000C24F6">
        <w:rPr>
          <w:rFonts w:ascii="Arial" w:hAnsi="Arial" w:cs="Arial"/>
          <w:sz w:val="20"/>
          <w:szCs w:val="20"/>
        </w:rPr>
        <w:t xml:space="preserve"> </w:t>
      </w:r>
    </w:p>
    <w:p w14:paraId="407E8856" w14:textId="77777777" w:rsidR="000C24F6" w:rsidRPr="000C24F6" w:rsidRDefault="000C24F6" w:rsidP="000C24F6">
      <w:pPr>
        <w:spacing w:line="480" w:lineRule="auto"/>
        <w:jc w:val="both"/>
        <w:rPr>
          <w:rFonts w:ascii="Arial" w:hAnsi="Arial" w:cs="Arial"/>
          <w:color w:val="323232"/>
          <w:sz w:val="20"/>
          <w:szCs w:val="20"/>
          <w:shd w:val="clear" w:color="auto" w:fill="FFFFFF"/>
        </w:rPr>
      </w:pPr>
      <w:r w:rsidRPr="000C24F6">
        <w:rPr>
          <w:rFonts w:ascii="Arial" w:hAnsi="Arial" w:cs="Arial"/>
          <w:sz w:val="20"/>
          <w:szCs w:val="20"/>
        </w:rPr>
        <w:t xml:space="preserve">Multinomial logistic regression was used to build a model to explore what factors may influence the type of antimicrobial choice. The unit of analysis was the answer provided to each case by each participant; the dependant variable was the antimicrobial choice, analysed as in  three categories (effective sub-optimal </w:t>
      </w:r>
      <w:r w:rsidRPr="000C24F6">
        <w:rPr>
          <w:rFonts w:ascii="Arial" w:hAnsi="Arial" w:cs="Arial"/>
          <w:i/>
          <w:iCs/>
          <w:sz w:val="20"/>
          <w:szCs w:val="20"/>
        </w:rPr>
        <w:t>in vitro,</w:t>
      </w:r>
      <w:r w:rsidRPr="000C24F6">
        <w:rPr>
          <w:rFonts w:ascii="Arial" w:hAnsi="Arial" w:cs="Arial"/>
          <w:sz w:val="20"/>
          <w:szCs w:val="20"/>
        </w:rPr>
        <w:t xml:space="preserve"> support request and optimal choice/MOAC) using the first as a reference category; The output is expressed as OR (95% CI) and shown as two separate regressions showing the effect of the variables in the final model on the odds for 1) requesting support and 2) selecting the microbiologically optimal choice, both as compared with the same reference category (effective sub-optimal </w:t>
      </w:r>
      <w:r w:rsidRPr="000C24F6">
        <w:rPr>
          <w:rFonts w:ascii="Arial" w:hAnsi="Arial" w:cs="Arial"/>
          <w:i/>
          <w:iCs/>
          <w:sz w:val="20"/>
          <w:szCs w:val="20"/>
        </w:rPr>
        <w:t>in vitro</w:t>
      </w:r>
      <w:r w:rsidRPr="000C24F6">
        <w:rPr>
          <w:rFonts w:ascii="Arial" w:hAnsi="Arial" w:cs="Arial"/>
          <w:sz w:val="20"/>
          <w:szCs w:val="20"/>
        </w:rPr>
        <w:t xml:space="preserve"> choice). Statistical analyses were conducted in</w:t>
      </w:r>
      <w:r w:rsidRPr="000C24F6">
        <w:rPr>
          <w:rFonts w:ascii="Arial" w:hAnsi="Arial" w:cs="Arial"/>
          <w:color w:val="323232"/>
          <w:sz w:val="20"/>
          <w:szCs w:val="20"/>
          <w:shd w:val="clear" w:color="auto" w:fill="FFFFFF"/>
        </w:rPr>
        <w:t xml:space="preserve"> IBM SPSS Statistics for Windows, Version 21.0 </w:t>
      </w:r>
      <w:r w:rsidRPr="000C24F6">
        <w:rPr>
          <w:rFonts w:ascii="Arial" w:hAnsi="Arial" w:cs="Arial"/>
          <w:color w:val="323232"/>
          <w:sz w:val="20"/>
          <w:szCs w:val="20"/>
          <w:shd w:val="clear" w:color="auto" w:fill="FFFFFF"/>
        </w:rPr>
        <w:fldChar w:fldCharType="begin"/>
      </w:r>
      <w:r w:rsidRPr="000C24F6">
        <w:rPr>
          <w:rFonts w:ascii="Arial" w:hAnsi="Arial" w:cs="Arial"/>
          <w:color w:val="323232"/>
          <w:sz w:val="20"/>
          <w:szCs w:val="20"/>
          <w:shd w:val="clear" w:color="auto" w:fill="FFFFFF"/>
        </w:rPr>
        <w:instrText xml:space="preserve"> ADDIN EN.CITE &lt;EndNote&gt;&lt;Cite&gt;&lt;Author&gt;Corp.&lt;/Author&gt;&lt;Year&gt;Released 2012. &lt;/Year&gt;&lt;RecNum&gt;12132&lt;/RecNum&gt;&lt;DisplayText&gt;(19)&lt;/DisplayText&gt;&lt;record&gt;&lt;rec-number&gt;12132&lt;/rec-number&gt;&lt;foreign-keys&gt;&lt;key app="EN" db-id="twev005trrrz2jed20o5v2z5r5v2dd2stvft" timestamp="1604169799"&gt;12132&lt;/key&gt;&lt;/foreign-keys&gt;&lt;ref-type name="Journal Article"&gt;17&lt;/ref-type&gt;&lt;contributors&gt;&lt;authors&gt;&lt;author&gt;IBM Corp. &lt;/author&gt;&lt;/authors&gt;&lt;/contributors&gt;&lt;titles&gt;&lt;title&gt;IBM SPSS Statistics for Windows, Version 21.0. Armonk, NY: IBM Corp.&lt;/title&gt;&lt;/titles&gt;&lt;dates&gt;&lt;year&gt;Released 2012. &lt;/year&gt;&lt;/dates&gt;&lt;urls&gt;&lt;/urls&gt;&lt;/record&gt;&lt;/Cite&gt;&lt;/EndNote&gt;</w:instrText>
      </w:r>
      <w:r w:rsidRPr="000C24F6">
        <w:rPr>
          <w:rFonts w:ascii="Arial" w:hAnsi="Arial" w:cs="Arial"/>
          <w:color w:val="323232"/>
          <w:sz w:val="20"/>
          <w:szCs w:val="20"/>
          <w:shd w:val="clear" w:color="auto" w:fill="FFFFFF"/>
        </w:rPr>
        <w:fldChar w:fldCharType="separate"/>
      </w:r>
      <w:r w:rsidRPr="000C24F6">
        <w:rPr>
          <w:rFonts w:ascii="Arial" w:hAnsi="Arial" w:cs="Arial"/>
          <w:noProof/>
          <w:color w:val="323232"/>
          <w:sz w:val="20"/>
          <w:szCs w:val="20"/>
          <w:shd w:val="clear" w:color="auto" w:fill="FFFFFF"/>
        </w:rPr>
        <w:t>(19)</w:t>
      </w:r>
      <w:r w:rsidRPr="000C24F6">
        <w:rPr>
          <w:rFonts w:ascii="Arial" w:hAnsi="Arial" w:cs="Arial"/>
          <w:color w:val="323232"/>
          <w:sz w:val="20"/>
          <w:szCs w:val="20"/>
          <w:shd w:val="clear" w:color="auto" w:fill="FFFFFF"/>
        </w:rPr>
        <w:fldChar w:fldCharType="end"/>
      </w:r>
      <w:r w:rsidRPr="000C24F6">
        <w:rPr>
          <w:rFonts w:ascii="Arial" w:hAnsi="Arial" w:cs="Arial"/>
          <w:color w:val="323232"/>
          <w:sz w:val="20"/>
          <w:szCs w:val="20"/>
          <w:shd w:val="clear" w:color="auto" w:fill="FFFFFF"/>
        </w:rPr>
        <w:t xml:space="preserve">. </w:t>
      </w:r>
    </w:p>
    <w:p w14:paraId="5141224F" w14:textId="77777777" w:rsidR="000C24F6" w:rsidRPr="000C24F6" w:rsidRDefault="000C24F6" w:rsidP="000C24F6">
      <w:pPr>
        <w:tabs>
          <w:tab w:val="left" w:pos="2490"/>
        </w:tabs>
        <w:spacing w:line="480" w:lineRule="auto"/>
        <w:jc w:val="both"/>
        <w:rPr>
          <w:rFonts w:ascii="Arial" w:hAnsi="Arial" w:cs="Arial"/>
          <w:color w:val="323232"/>
          <w:sz w:val="20"/>
          <w:szCs w:val="20"/>
          <w:shd w:val="clear" w:color="auto" w:fill="FFFFFF"/>
        </w:rPr>
      </w:pPr>
      <w:r w:rsidRPr="000C24F6">
        <w:rPr>
          <w:rFonts w:ascii="Arial" w:hAnsi="Arial" w:cs="Arial"/>
          <w:color w:val="323232"/>
          <w:sz w:val="20"/>
          <w:szCs w:val="20"/>
          <w:shd w:val="clear" w:color="auto" w:fill="FFFFFF"/>
        </w:rPr>
        <w:tab/>
      </w:r>
    </w:p>
    <w:p w14:paraId="4ACE0D16" w14:textId="77777777" w:rsidR="000C24F6" w:rsidRPr="000C24F6" w:rsidRDefault="000C24F6" w:rsidP="000C24F6">
      <w:pPr>
        <w:spacing w:line="480" w:lineRule="auto"/>
        <w:jc w:val="both"/>
        <w:rPr>
          <w:rFonts w:ascii="Arial" w:hAnsi="Arial" w:cs="Arial"/>
          <w:sz w:val="20"/>
          <w:szCs w:val="20"/>
        </w:rPr>
      </w:pPr>
      <w:r w:rsidRPr="000C24F6">
        <w:rPr>
          <w:rFonts w:ascii="Arial" w:hAnsi="Arial" w:cs="Arial"/>
          <w:b/>
          <w:sz w:val="20"/>
          <w:szCs w:val="20"/>
        </w:rPr>
        <w:t>Results</w:t>
      </w:r>
    </w:p>
    <w:p w14:paraId="5DD8DD68" w14:textId="77777777" w:rsidR="000C24F6" w:rsidRPr="000C24F6" w:rsidRDefault="000C24F6" w:rsidP="000C24F6">
      <w:pPr>
        <w:spacing w:line="480" w:lineRule="auto"/>
        <w:jc w:val="both"/>
        <w:rPr>
          <w:rFonts w:ascii="Arial" w:hAnsi="Arial" w:cs="Arial"/>
          <w:b/>
          <w:sz w:val="20"/>
          <w:szCs w:val="20"/>
        </w:rPr>
      </w:pPr>
      <w:r w:rsidRPr="000C24F6">
        <w:rPr>
          <w:rFonts w:ascii="Arial" w:hAnsi="Arial" w:cs="Arial"/>
          <w:b/>
          <w:sz w:val="20"/>
          <w:szCs w:val="20"/>
        </w:rPr>
        <w:t>Participants´ characteristics</w:t>
      </w:r>
    </w:p>
    <w:p w14:paraId="63B2C582"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lang w:val="en-US"/>
        </w:rPr>
        <w:t>Responses were obtained from a total of 426 participants, 332 (78%) in the UK and 94 (22%) in Spain. Most of the participants were from medical specialties (370 vs 56). (</w:t>
      </w:r>
      <w:r w:rsidRPr="000C24F6">
        <w:rPr>
          <w:rFonts w:ascii="Arial" w:hAnsi="Arial" w:cs="Arial"/>
          <w:b/>
          <w:bCs/>
          <w:sz w:val="20"/>
          <w:szCs w:val="20"/>
          <w:lang w:val="en-US"/>
        </w:rPr>
        <w:t>Table 1</w:t>
      </w:r>
      <w:r w:rsidRPr="000C24F6">
        <w:rPr>
          <w:rFonts w:ascii="Arial" w:hAnsi="Arial" w:cs="Arial"/>
          <w:sz w:val="20"/>
          <w:szCs w:val="20"/>
          <w:lang w:val="en-US"/>
        </w:rPr>
        <w:t>). The mean time to complete the survey was 13 minutes. The median (IQR) individual percentages for optimal choice, request for support and sub-optimal choice were 50% (33, 75); 25 % (0,50) and 25 % (0,50) respectively.</w:t>
      </w:r>
    </w:p>
    <w:p w14:paraId="5C4FE730" w14:textId="77777777" w:rsidR="000C24F6" w:rsidRPr="000C24F6" w:rsidRDefault="000C24F6" w:rsidP="000C24F6">
      <w:pPr>
        <w:spacing w:line="480" w:lineRule="auto"/>
        <w:jc w:val="both"/>
        <w:rPr>
          <w:rFonts w:ascii="Arial" w:hAnsi="Arial" w:cs="Arial"/>
          <w:sz w:val="20"/>
          <w:szCs w:val="20"/>
          <w:lang w:val="en-US"/>
        </w:rPr>
      </w:pPr>
    </w:p>
    <w:p w14:paraId="006509E9" w14:textId="77777777" w:rsidR="000C24F6" w:rsidRPr="000C24F6" w:rsidRDefault="000C24F6" w:rsidP="000C24F6">
      <w:pPr>
        <w:spacing w:line="480" w:lineRule="auto"/>
        <w:jc w:val="both"/>
        <w:rPr>
          <w:rFonts w:ascii="Arial" w:hAnsi="Arial" w:cs="Arial"/>
          <w:b/>
          <w:sz w:val="20"/>
          <w:szCs w:val="20"/>
          <w:lang w:val="en-US"/>
        </w:rPr>
      </w:pPr>
      <w:r w:rsidRPr="000C24F6">
        <w:rPr>
          <w:rFonts w:ascii="Arial" w:hAnsi="Arial" w:cs="Arial"/>
          <w:sz w:val="20"/>
          <w:szCs w:val="20"/>
        </w:rPr>
        <w:t xml:space="preserve">Compared to Spain, in the UK </w:t>
      </w:r>
      <w:r w:rsidRPr="000C24F6">
        <w:rPr>
          <w:rFonts w:ascii="Arial" w:hAnsi="Arial" w:cs="Arial"/>
          <w:sz w:val="20"/>
          <w:szCs w:val="20"/>
          <w:lang w:val="en-US"/>
        </w:rPr>
        <w:t xml:space="preserve">there were significantly more respondents in the intermediate position category of seniority (ST3-6 or equivalent) (73/332 [22%] vs 9/94 [10%]) and fewer consultants or </w:t>
      </w:r>
      <w:r w:rsidRPr="000C24F6">
        <w:rPr>
          <w:rFonts w:ascii="Arial" w:hAnsi="Arial" w:cs="Arial"/>
          <w:sz w:val="20"/>
          <w:szCs w:val="20"/>
          <w:lang w:val="en-US"/>
        </w:rPr>
        <w:lastRenderedPageBreak/>
        <w:t>equivalent (182/332 [55%] vs 60/94 [64%], (p = 0.026), as shown in Table 1.  When regrouped in two categories as described in the methods section, the proportion of respondents in senior positions were similar in both countries (255/332[77%] in the UK vs 69/94 [73%] in Spain, p 0.495).</w:t>
      </w:r>
    </w:p>
    <w:p w14:paraId="3F39F195" w14:textId="77777777" w:rsidR="000C24F6" w:rsidRPr="000C24F6" w:rsidRDefault="000C24F6" w:rsidP="000C24F6">
      <w:pPr>
        <w:spacing w:line="480" w:lineRule="auto"/>
        <w:jc w:val="both"/>
        <w:rPr>
          <w:rFonts w:ascii="Arial" w:hAnsi="Arial" w:cs="Arial"/>
          <w:sz w:val="20"/>
          <w:szCs w:val="20"/>
        </w:rPr>
      </w:pPr>
    </w:p>
    <w:p w14:paraId="2CF5B4FA" w14:textId="77777777" w:rsidR="000C24F6" w:rsidRPr="000C24F6" w:rsidRDefault="000C24F6" w:rsidP="000C24F6">
      <w:pPr>
        <w:spacing w:line="480" w:lineRule="auto"/>
        <w:jc w:val="both"/>
        <w:rPr>
          <w:rFonts w:ascii="Arial" w:hAnsi="Arial" w:cs="Arial"/>
          <w:b/>
          <w:sz w:val="20"/>
          <w:szCs w:val="20"/>
          <w:lang w:val="en-US"/>
        </w:rPr>
      </w:pPr>
      <w:r w:rsidRPr="000C24F6">
        <w:rPr>
          <w:rFonts w:ascii="Arial" w:hAnsi="Arial" w:cs="Arial"/>
          <w:b/>
          <w:sz w:val="20"/>
          <w:szCs w:val="20"/>
          <w:lang w:val="en-US"/>
        </w:rPr>
        <w:t>Clinical case-based scenarios answers</w:t>
      </w:r>
    </w:p>
    <w:p w14:paraId="692CA67F" w14:textId="77A160AB" w:rsidR="000C24F6" w:rsidRPr="000C24F6" w:rsidRDefault="000C24F6" w:rsidP="000C24F6">
      <w:pPr>
        <w:pStyle w:val="NoSpacing"/>
        <w:spacing w:line="480" w:lineRule="auto"/>
        <w:jc w:val="both"/>
        <w:rPr>
          <w:rFonts w:ascii="Arial" w:hAnsi="Arial" w:cs="Arial"/>
          <w:b/>
          <w:sz w:val="20"/>
          <w:szCs w:val="20"/>
        </w:rPr>
      </w:pPr>
      <w:r w:rsidRPr="000C24F6">
        <w:rPr>
          <w:rFonts w:ascii="Arial" w:hAnsi="Arial" w:cs="Arial"/>
          <w:sz w:val="20"/>
          <w:szCs w:val="20"/>
        </w:rPr>
        <w:t xml:space="preserve">The number of missing answers ranged from 36 to 67 (8% to 16%) of the respondents depending on the case. Among the valid answers to each scenario, MOAC were given in 289/390 (74%) and </w:t>
      </w:r>
      <w:r w:rsidRPr="000C24F6">
        <w:rPr>
          <w:rFonts w:ascii="Arial" w:hAnsi="Arial" w:cs="Arial"/>
          <w:color w:val="000000" w:themeColor="text1"/>
          <w:sz w:val="20"/>
          <w:szCs w:val="20"/>
        </w:rPr>
        <w:t xml:space="preserve">251/377 (67%), </w:t>
      </w:r>
      <w:r w:rsidRPr="000C24F6">
        <w:rPr>
          <w:rFonts w:ascii="Arial" w:hAnsi="Arial" w:cs="Arial"/>
          <w:sz w:val="20"/>
          <w:szCs w:val="20"/>
        </w:rPr>
        <w:t>for cases 1 and 2, with concordant clinical course compared to 147/368 (40%) and 119/359 (33%), for cases 3 and 4, with discordant clinical course</w:t>
      </w:r>
      <w:r>
        <w:rPr>
          <w:rFonts w:ascii="Arial" w:hAnsi="Arial" w:cs="Arial"/>
          <w:sz w:val="20"/>
          <w:szCs w:val="20"/>
        </w:rPr>
        <w:t xml:space="preserve"> (p for overall concordant vs discordant group comparison &lt;0.001). </w:t>
      </w:r>
      <w:r w:rsidRPr="000C24F6">
        <w:rPr>
          <w:rFonts w:ascii="Arial" w:hAnsi="Arial" w:cs="Arial"/>
          <w:sz w:val="20"/>
          <w:szCs w:val="20"/>
        </w:rPr>
        <w:t xml:space="preserve">Support was requested by 18 (5%), 109 (29%), 108 (29%) and 149 (42%) for cases 1 to 4 respectively </w:t>
      </w:r>
      <w:r w:rsidRPr="000C24F6">
        <w:rPr>
          <w:rFonts w:ascii="Arial" w:hAnsi="Arial" w:cs="Arial"/>
          <w:b/>
          <w:sz w:val="20"/>
          <w:szCs w:val="20"/>
        </w:rPr>
        <w:t>(Figure 2).</w:t>
      </w:r>
    </w:p>
    <w:p w14:paraId="70FC4182" w14:textId="77777777" w:rsidR="000C24F6" w:rsidRPr="000C24F6" w:rsidRDefault="000C24F6" w:rsidP="000C24F6">
      <w:pPr>
        <w:spacing w:line="480" w:lineRule="auto"/>
        <w:jc w:val="both"/>
        <w:rPr>
          <w:rFonts w:ascii="Arial" w:hAnsi="Arial" w:cs="Arial"/>
          <w:b/>
          <w:sz w:val="20"/>
          <w:szCs w:val="20"/>
          <w:lang w:val="en-US"/>
        </w:rPr>
      </w:pPr>
    </w:p>
    <w:p w14:paraId="1869FD3C" w14:textId="77777777" w:rsidR="000C24F6" w:rsidRPr="000C24F6" w:rsidRDefault="000C24F6" w:rsidP="000C24F6">
      <w:pPr>
        <w:spacing w:line="480" w:lineRule="auto"/>
        <w:jc w:val="both"/>
        <w:rPr>
          <w:rFonts w:ascii="Arial" w:hAnsi="Arial" w:cs="Arial"/>
          <w:b/>
          <w:sz w:val="20"/>
          <w:szCs w:val="20"/>
          <w:lang w:val="en-US"/>
        </w:rPr>
      </w:pPr>
      <w:r w:rsidRPr="000C24F6">
        <w:rPr>
          <w:rFonts w:ascii="Arial" w:hAnsi="Arial" w:cs="Arial"/>
          <w:b/>
          <w:sz w:val="20"/>
          <w:szCs w:val="20"/>
          <w:lang w:val="en-US"/>
        </w:rPr>
        <w:t xml:space="preserve">Differences in the type of answer by country, </w:t>
      </w:r>
      <w:proofErr w:type="gramStart"/>
      <w:r w:rsidRPr="000C24F6">
        <w:rPr>
          <w:rFonts w:ascii="Arial" w:hAnsi="Arial" w:cs="Arial"/>
          <w:b/>
          <w:sz w:val="20"/>
          <w:szCs w:val="20"/>
          <w:lang w:val="en-US"/>
        </w:rPr>
        <w:t>specialty</w:t>
      </w:r>
      <w:proofErr w:type="gramEnd"/>
      <w:r w:rsidRPr="000C24F6">
        <w:rPr>
          <w:rFonts w:ascii="Arial" w:hAnsi="Arial" w:cs="Arial"/>
          <w:b/>
          <w:sz w:val="20"/>
          <w:szCs w:val="20"/>
          <w:lang w:val="en-US"/>
        </w:rPr>
        <w:t xml:space="preserve"> and seniority </w:t>
      </w:r>
    </w:p>
    <w:p w14:paraId="35249494"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lang w:val="en-US"/>
        </w:rPr>
        <w:t xml:space="preserve">Overall, in the univariate analysis, there were statistically more MOAC among respondents from Spain, with significantly higher requests for support amongst the participants from the UK </w:t>
      </w:r>
      <w:r w:rsidRPr="000C24F6">
        <w:rPr>
          <w:rFonts w:ascii="Arial" w:hAnsi="Arial" w:cs="Arial"/>
          <w:b/>
          <w:bCs/>
          <w:sz w:val="20"/>
          <w:szCs w:val="20"/>
          <w:lang w:val="en-US"/>
        </w:rPr>
        <w:t>(Table 2)</w:t>
      </w:r>
      <w:r w:rsidRPr="000C24F6">
        <w:rPr>
          <w:rFonts w:ascii="Arial" w:hAnsi="Arial" w:cs="Arial"/>
          <w:sz w:val="20"/>
          <w:szCs w:val="20"/>
          <w:lang w:val="en-US"/>
        </w:rPr>
        <w:t xml:space="preserve">. Respondents from medical specialties were more likely to give a MOAC, and respondents from surgical specialties more likely to request support. There were no overall differences in the type of response given by seniors as compared with juniors. Overall, the specialties requesting support more often (expressed as mean %) </w:t>
      </w:r>
      <w:proofErr w:type="gramStart"/>
      <w:r w:rsidRPr="000C24F6">
        <w:rPr>
          <w:rFonts w:ascii="Arial" w:hAnsi="Arial" w:cs="Arial"/>
          <w:sz w:val="20"/>
          <w:szCs w:val="20"/>
          <w:lang w:val="en-US"/>
        </w:rPr>
        <w:t>were:</w:t>
      </w:r>
      <w:proofErr w:type="gramEnd"/>
      <w:r w:rsidRPr="000C24F6">
        <w:rPr>
          <w:rFonts w:ascii="Arial" w:hAnsi="Arial" w:cs="Arial"/>
          <w:sz w:val="20"/>
          <w:szCs w:val="20"/>
          <w:lang w:val="en-US"/>
        </w:rPr>
        <w:t xml:space="preserve"> general surgery (36% of respondents) and other surgical specialties (35%), emergency medicine (33%), </w:t>
      </w:r>
      <w:proofErr w:type="spellStart"/>
      <w:r w:rsidRPr="000C24F6">
        <w:rPr>
          <w:rFonts w:ascii="Arial" w:hAnsi="Arial" w:cs="Arial"/>
          <w:sz w:val="20"/>
          <w:szCs w:val="20"/>
          <w:lang w:val="en-US"/>
        </w:rPr>
        <w:t>paediatrics</w:t>
      </w:r>
      <w:proofErr w:type="spellEnd"/>
      <w:r w:rsidRPr="000C24F6">
        <w:rPr>
          <w:rFonts w:ascii="Arial" w:hAnsi="Arial" w:cs="Arial"/>
          <w:sz w:val="20"/>
          <w:szCs w:val="20"/>
          <w:lang w:val="en-US"/>
        </w:rPr>
        <w:t xml:space="preserve"> (32%), </w:t>
      </w:r>
      <w:proofErr w:type="spellStart"/>
      <w:r w:rsidRPr="000C24F6">
        <w:rPr>
          <w:rFonts w:ascii="Arial" w:hAnsi="Arial" w:cs="Arial"/>
          <w:sz w:val="20"/>
          <w:szCs w:val="20"/>
          <w:lang w:val="en-US"/>
        </w:rPr>
        <w:t>orthopaedic</w:t>
      </w:r>
      <w:proofErr w:type="spellEnd"/>
      <w:r w:rsidRPr="000C24F6">
        <w:rPr>
          <w:rFonts w:ascii="Arial" w:hAnsi="Arial" w:cs="Arial"/>
          <w:sz w:val="20"/>
          <w:szCs w:val="20"/>
          <w:lang w:val="en-US"/>
        </w:rPr>
        <w:t xml:space="preserve"> surgery (30%), geriatrics (29%), intensive medicine (25%), infectious diseases/microbiology (21%), internal medicine (20%), family medicine (13%). The sub-analysis by country showed that the request for support was much less common among the Spanish respondents and recorded in fewer specialties (family medicine = 14%; general surgery </w:t>
      </w:r>
      <w:proofErr w:type="gramStart"/>
      <w:r w:rsidRPr="000C24F6">
        <w:rPr>
          <w:rFonts w:ascii="Arial" w:hAnsi="Arial" w:cs="Arial"/>
          <w:sz w:val="20"/>
          <w:szCs w:val="20"/>
          <w:lang w:val="en-US"/>
        </w:rPr>
        <w:t>=  8</w:t>
      </w:r>
      <w:proofErr w:type="gramEnd"/>
      <w:r w:rsidRPr="000C24F6">
        <w:rPr>
          <w:rFonts w:ascii="Arial" w:hAnsi="Arial" w:cs="Arial"/>
          <w:sz w:val="20"/>
          <w:szCs w:val="20"/>
          <w:lang w:val="en-US"/>
        </w:rPr>
        <w:t xml:space="preserve">%, internal medicine = 6%, geriatrics = 5%, </w:t>
      </w:r>
      <w:proofErr w:type="spellStart"/>
      <w:r w:rsidRPr="000C24F6">
        <w:rPr>
          <w:rFonts w:ascii="Arial" w:hAnsi="Arial" w:cs="Arial"/>
          <w:sz w:val="20"/>
          <w:szCs w:val="20"/>
          <w:lang w:val="en-US"/>
        </w:rPr>
        <w:t>paediatrics</w:t>
      </w:r>
      <w:proofErr w:type="spellEnd"/>
      <w:r w:rsidRPr="000C24F6">
        <w:rPr>
          <w:rFonts w:ascii="Arial" w:hAnsi="Arial" w:cs="Arial"/>
          <w:sz w:val="20"/>
          <w:szCs w:val="20"/>
          <w:lang w:val="en-US"/>
        </w:rPr>
        <w:t xml:space="preserve"> = 4%; not recorded for the rest of specialties). </w:t>
      </w:r>
    </w:p>
    <w:p w14:paraId="5764CAEE" w14:textId="77777777" w:rsidR="000C24F6" w:rsidRPr="000C24F6" w:rsidRDefault="000C24F6" w:rsidP="000C24F6">
      <w:pPr>
        <w:spacing w:line="480" w:lineRule="auto"/>
        <w:jc w:val="both"/>
        <w:rPr>
          <w:rFonts w:ascii="Arial" w:hAnsi="Arial" w:cs="Arial"/>
          <w:b/>
          <w:sz w:val="20"/>
          <w:szCs w:val="20"/>
          <w:lang w:val="en-US"/>
        </w:rPr>
      </w:pPr>
    </w:p>
    <w:p w14:paraId="50C9EC25" w14:textId="77777777" w:rsidR="000C24F6" w:rsidRPr="000C24F6" w:rsidRDefault="000C24F6" w:rsidP="000C24F6">
      <w:pPr>
        <w:spacing w:line="480" w:lineRule="auto"/>
        <w:jc w:val="both"/>
        <w:rPr>
          <w:rFonts w:ascii="Arial" w:hAnsi="Arial" w:cs="Arial"/>
          <w:b/>
          <w:sz w:val="20"/>
          <w:szCs w:val="20"/>
          <w:lang w:val="en-US"/>
        </w:rPr>
      </w:pPr>
      <w:r w:rsidRPr="000C24F6">
        <w:rPr>
          <w:rFonts w:ascii="Arial" w:hAnsi="Arial" w:cs="Arial"/>
          <w:b/>
          <w:sz w:val="20"/>
          <w:szCs w:val="20"/>
          <w:lang w:val="en-US"/>
        </w:rPr>
        <w:t xml:space="preserve">Influence of the case characteristics in the choice of the answer </w:t>
      </w:r>
    </w:p>
    <w:p w14:paraId="6D751F8E"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lang w:val="en-US"/>
        </w:rPr>
        <w:t xml:space="preserve">1494 answers from 426 respondents were analyzed (Table 3) The percentage of answers selecting a MOAC was higher in Cases 1 and 2, compared to that of 3 and 4, and the percentage of support request was much lower in Case 1 compared to the other cases. Responses to cases with discordant clinical </w:t>
      </w:r>
      <w:r w:rsidRPr="000C24F6">
        <w:rPr>
          <w:rFonts w:ascii="Arial" w:hAnsi="Arial" w:cs="Arial"/>
          <w:sz w:val="20"/>
          <w:szCs w:val="20"/>
          <w:lang w:val="en-US"/>
        </w:rPr>
        <w:lastRenderedPageBreak/>
        <w:t xml:space="preserve">course were less often a MOAC, and more often sub-optimal/requests for support, when compared with those with concordant clinical course. The proportion of requests for support was significantly higher when the isolate was resistant, there was clinical discordance, the patient was </w:t>
      </w:r>
      <w:proofErr w:type="gramStart"/>
      <w:r w:rsidRPr="000C24F6">
        <w:rPr>
          <w:rFonts w:ascii="Arial" w:hAnsi="Arial" w:cs="Arial"/>
          <w:sz w:val="20"/>
          <w:szCs w:val="20"/>
          <w:lang w:val="en-US"/>
        </w:rPr>
        <w:t>unwell</w:t>
      </w:r>
      <w:proofErr w:type="gramEnd"/>
      <w:r w:rsidRPr="000C24F6">
        <w:rPr>
          <w:rFonts w:ascii="Arial" w:hAnsi="Arial" w:cs="Arial"/>
          <w:sz w:val="20"/>
          <w:szCs w:val="20"/>
          <w:lang w:val="en-US"/>
        </w:rPr>
        <w:t xml:space="preserve"> or the result was given out of working hours. </w:t>
      </w:r>
    </w:p>
    <w:p w14:paraId="41487BCE" w14:textId="77777777" w:rsidR="000C24F6" w:rsidRPr="000C24F6" w:rsidRDefault="000C24F6" w:rsidP="000C24F6">
      <w:pPr>
        <w:spacing w:line="480" w:lineRule="auto"/>
        <w:jc w:val="both"/>
        <w:rPr>
          <w:rFonts w:ascii="Arial" w:hAnsi="Arial" w:cs="Arial"/>
          <w:sz w:val="20"/>
          <w:szCs w:val="20"/>
          <w:lang w:val="en-US"/>
        </w:rPr>
      </w:pPr>
    </w:p>
    <w:p w14:paraId="14C252FF"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lang w:val="en-US"/>
        </w:rPr>
        <w:t>The adjusted odds ratios for requesting support were significantly lower, 87% less, among responses from Spain-based participants; nearly eight times higher if the isolate was resistant to antimicrobials and four times higher if the patient was clinically unwell. Responses from senior doctors were associated with 30% reduction in the odds for request for support, but this was non-statistically significant. The odds for choosing an optimal antimicrobial choice were reduced by 82% when there was a discordant clinical course. A resistant isolate or clinical deterioration increased both the odds for requesting support (nearly eight and four times higher respectively) and for choosing an optimal antimicrobial choice (two times higher in both cases). Neither the country of origin of the respondents nor the seniority or specialty had an influence on the antimicrobial choice after adjusting for other variables in the model (</w:t>
      </w:r>
      <w:r w:rsidRPr="000C24F6">
        <w:rPr>
          <w:rFonts w:ascii="Arial" w:hAnsi="Arial" w:cs="Arial"/>
          <w:b/>
          <w:bCs/>
          <w:sz w:val="20"/>
          <w:szCs w:val="20"/>
          <w:lang w:val="en-US"/>
        </w:rPr>
        <w:t>Table 4)</w:t>
      </w:r>
      <w:r w:rsidRPr="000C24F6">
        <w:rPr>
          <w:rFonts w:ascii="Arial" w:hAnsi="Arial" w:cs="Arial"/>
          <w:sz w:val="20"/>
          <w:szCs w:val="20"/>
          <w:lang w:val="en-US"/>
        </w:rPr>
        <w:t>.</w:t>
      </w:r>
    </w:p>
    <w:p w14:paraId="7DF6CD36" w14:textId="77777777" w:rsidR="000C24F6" w:rsidRPr="000C24F6" w:rsidRDefault="000C24F6" w:rsidP="000C24F6">
      <w:pPr>
        <w:spacing w:before="60" w:after="120" w:line="480" w:lineRule="auto"/>
        <w:jc w:val="both"/>
        <w:rPr>
          <w:rFonts w:ascii="Arial" w:hAnsi="Arial" w:cs="Arial"/>
          <w:b/>
          <w:sz w:val="20"/>
          <w:szCs w:val="20"/>
          <w:u w:val="single"/>
          <w:lang w:val="en-US"/>
        </w:rPr>
      </w:pPr>
    </w:p>
    <w:p w14:paraId="002B82E3" w14:textId="77777777" w:rsidR="000C24F6" w:rsidRPr="000C24F6" w:rsidRDefault="000C24F6" w:rsidP="000C24F6">
      <w:pPr>
        <w:spacing w:before="60" w:after="120" w:line="480" w:lineRule="auto"/>
        <w:jc w:val="both"/>
        <w:rPr>
          <w:rFonts w:ascii="Arial" w:hAnsi="Arial" w:cs="Arial"/>
          <w:b/>
          <w:sz w:val="20"/>
          <w:szCs w:val="20"/>
          <w:u w:val="single"/>
          <w:lang w:val="en-US"/>
        </w:rPr>
      </w:pPr>
      <w:r w:rsidRPr="000C24F6">
        <w:rPr>
          <w:rFonts w:ascii="Arial" w:hAnsi="Arial" w:cs="Arial"/>
          <w:b/>
          <w:sz w:val="20"/>
          <w:szCs w:val="20"/>
          <w:lang w:val="en-US"/>
        </w:rPr>
        <w:t xml:space="preserve">Discussion </w:t>
      </w:r>
      <w:r w:rsidRPr="000C24F6">
        <w:rPr>
          <w:rFonts w:ascii="Arial" w:hAnsi="Arial" w:cs="Arial"/>
          <w:b/>
          <w:sz w:val="20"/>
          <w:szCs w:val="20"/>
          <w:lang w:val="en-US"/>
        </w:rPr>
        <w:tab/>
      </w:r>
    </w:p>
    <w:p w14:paraId="2048F218"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lang w:val="en-US"/>
        </w:rPr>
        <w:t xml:space="preserve">To our knowledge, this is the first survey study to investigate antimicrobial prescription attitudes that incorporates the value of the microbiological information provided by RAST methods for the management of BSI, based on different realistic clinical scenarios. </w:t>
      </w:r>
    </w:p>
    <w:p w14:paraId="297C3BF8" w14:textId="77777777" w:rsidR="000C24F6" w:rsidRPr="000C24F6" w:rsidRDefault="000C24F6" w:rsidP="000C24F6">
      <w:pPr>
        <w:spacing w:line="480" w:lineRule="auto"/>
        <w:jc w:val="both"/>
        <w:rPr>
          <w:rFonts w:ascii="Arial" w:hAnsi="Arial" w:cs="Arial"/>
          <w:sz w:val="20"/>
          <w:szCs w:val="20"/>
          <w:lang w:val="en-US"/>
        </w:rPr>
      </w:pPr>
    </w:p>
    <w:p w14:paraId="1E155244"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lang w:val="en-US"/>
        </w:rPr>
        <w:t xml:space="preserve">The development of rapid diagnostic devices for </w:t>
      </w:r>
      <w:r w:rsidRPr="000C24F6">
        <w:rPr>
          <w:rFonts w:ascii="Arial" w:hAnsi="Arial" w:cs="Arial"/>
          <w:i/>
          <w:iCs/>
          <w:sz w:val="20"/>
          <w:szCs w:val="20"/>
          <w:lang w:val="en-US"/>
        </w:rPr>
        <w:t>in vitro</w:t>
      </w:r>
      <w:r w:rsidRPr="000C24F6">
        <w:rPr>
          <w:rFonts w:ascii="Arial" w:hAnsi="Arial" w:cs="Arial"/>
          <w:sz w:val="20"/>
          <w:szCs w:val="20"/>
          <w:lang w:val="en-US"/>
        </w:rPr>
        <w:t xml:space="preserve"> antibiotic sensitivity testing is one of the key components of policies aiming to improve outcomes and reduce antibiotic resistance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&lt;EndNote&gt;&lt;Cite&gt;&lt;Author&gt;O’Neill&lt;/Author&gt;&lt;Year&gt;2016&lt;/Year&gt;&lt;RecNum&gt;12068&lt;/RecNum&gt;&lt;IDText&gt;Tackling drug-resistant infections globally: Final report and recommendations. London: HM Government and Wellcome Trust&lt;/IDText&gt;&lt;DisplayText&gt;(9)&lt;/DisplayText&gt;&lt;record&gt;&lt;rec-number&gt;12068&lt;/rec-number&gt;&lt;foreign-keys&gt;&lt;key app="EN" db-id="twev005trrrz2jed20o5v2z5r5v2dd2stvft" timestamp="1602789684" guid="2c5ebaef-1a7a-4924-bde3-cd692ba331c2"&gt;12068&lt;/key&gt;&lt;/foreign-keys&gt;&lt;ref-type name="Journal Article"&gt;17&lt;/ref-type&gt;&lt;contributors&gt;&lt;authors&gt;&lt;author&gt;O’Neill, J&lt;/author&gt;&lt;/authors&gt;&lt;/contributors&gt;&lt;titles&gt;&lt;title&gt;Tackling drug-resistant infections globally: Final report and recommendations. London: HM Government and Wellcome Trust&lt;/title&gt;&lt;secondary-title&gt;Review on Antimicrobial Resistance, chaired by Jim O’Neill&lt;/secondary-title&gt;&lt;/titles&gt;&lt;periodical&gt;&lt;full-title&gt;Review on Antimicrobial Resistance, chaired by Jim O’Neill&lt;/full-title&gt;&lt;/periodical&gt;&lt;dates&gt;&lt;year&gt;2016&lt;/year&gt;&lt;/dates&gt;&lt;urls&gt;&lt;/urls&gt;&lt;/record&gt;&lt;/Cite&gt;&lt;/EndNote&gt;</w:instrText>
      </w:r>
      <w:r w:rsidRPr="000C24F6">
        <w:rPr>
          <w:rFonts w:ascii="Arial" w:hAnsi="Arial" w:cs="Arial"/>
          <w:sz w:val="20"/>
          <w:szCs w:val="20"/>
        </w:rPr>
        <w:fldChar w:fldCharType="separate"/>
      </w:r>
      <w:r w:rsidRPr="000C24F6">
        <w:rPr>
          <w:rFonts w:ascii="Arial" w:hAnsi="Arial" w:cs="Arial"/>
          <w:noProof/>
          <w:sz w:val="20"/>
          <w:szCs w:val="20"/>
        </w:rPr>
        <w:t>(9)</w:t>
      </w:r>
      <w:r w:rsidRPr="000C24F6">
        <w:rPr>
          <w:rFonts w:ascii="Arial" w:hAnsi="Arial" w:cs="Arial"/>
          <w:sz w:val="20"/>
          <w:szCs w:val="20"/>
        </w:rPr>
        <w:fldChar w:fldCharType="end"/>
      </w:r>
      <w:r w:rsidRPr="000C24F6">
        <w:rPr>
          <w:rFonts w:ascii="Arial" w:hAnsi="Arial" w:cs="Arial"/>
          <w:sz w:val="20"/>
          <w:szCs w:val="20"/>
          <w:lang w:val="en-US"/>
        </w:rPr>
        <w:t>. However, if the mechanisms behind prescribing attitudes are not fully understood, simply introducing a rapid diagnostic test is unlikely to change patient management.</w:t>
      </w:r>
    </w:p>
    <w:p w14:paraId="3301C4E2" w14:textId="77777777" w:rsidR="000C24F6" w:rsidRPr="000C24F6" w:rsidRDefault="000C24F6" w:rsidP="000C24F6">
      <w:pPr>
        <w:spacing w:line="480" w:lineRule="auto"/>
        <w:jc w:val="both"/>
        <w:rPr>
          <w:rFonts w:ascii="Arial" w:hAnsi="Arial" w:cs="Arial"/>
          <w:sz w:val="20"/>
          <w:szCs w:val="20"/>
          <w:lang w:val="en-US"/>
        </w:rPr>
      </w:pPr>
    </w:p>
    <w:p w14:paraId="65EAE532"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color w:val="000000" w:themeColor="text1"/>
          <w:sz w:val="20"/>
          <w:szCs w:val="20"/>
        </w:rPr>
        <w:t>In a recent survey study based on simple general questions, most respondents (83%) said they would change empirical antimicrobial therapy (83%) and narrow the antimicrobial spectrum (78%)  based on RAST results in patients with BSI</w:t>
      </w:r>
      <w:r w:rsidRPr="000C24F6">
        <w:rPr>
          <w:rFonts w:ascii="Arial" w:hAnsi="Arial" w:cs="Arial"/>
          <w:color w:val="000000" w:themeColor="text1"/>
          <w:sz w:val="20"/>
          <w:szCs w:val="20"/>
          <w:lang w:val="en-US"/>
        </w:rPr>
        <w:t xml:space="preserv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&lt;EndNote&gt;&lt;Cite&gt;&lt;Author&gt;She&lt;/Author&gt;&lt;Year&gt;2015&lt;/Year&gt;&lt;RecNum&gt;11959&lt;/RecNum&gt;&lt;IDText&gt;Survey of Physicians’ Perspectives and Knowledge about Diagnostic Tests for Bloodstream Infections&lt;/IDText&gt;&lt;DisplayText&gt;(4)&lt;/DisplayText&gt;&lt;record&gt;&lt;rec-number&gt;11959&lt;/rec-number&gt;&lt;foreign-keys&gt;&lt;key app="EN" db-id="twev005trrrz2jed20o5v2z5r5v2dd2stvft" timestamp="1602684051" guid="e3a0b574-3cbe-43a2-8b35-45a81a440632"&gt;11959&lt;/key&gt;&lt;/foreign-keys&gt;&lt;ref-type name="Journal Article"&gt;17&lt;/ref-type&gt;&lt;contributors&gt;&lt;authors&gt;&lt;author&gt;She, Rosemary C.&lt;/author&gt;&lt;author&gt;Alrabaa, Sally&lt;/author&gt;&lt;author&gt;Lee, Seung Heon&lt;/author&gt;&lt;author&gt;Norvell, Meghan&lt;/author&gt;&lt;author&gt;Wilson, Andrew&lt;/author&gt;&lt;author&gt;Petti, Cathy A.&lt;/author&gt;&lt;/authors&gt;&lt;/contributors&gt;&lt;titles&gt;&lt;title&gt;Survey of Physicians’ Perspectives and Knowledge about Diagnostic Tests for Bloodstream Infections&lt;/title&gt;&lt;secondary-title&gt;PLOS ONE&lt;/secondary-title&gt;&lt;/titles&gt;&lt;periodical&gt;&lt;full-title&gt;PLoS ONE&lt;/full-title&gt;&lt;/periodical&gt;&lt;pages&gt;e0121493-e0121493&lt;/pages&gt;&lt;volume&gt;10&lt;/volume&gt;&lt;number&gt;3&lt;/number&gt;&lt;dates&gt;&lt;year&gt;2015&lt;/year&gt;&lt;/dates&gt;&lt;urls&gt;&lt;related-urls&gt;&lt;url&gt;https://dx.plos.org/10.1371/journal.pone.0121493&lt;/url&gt;&lt;/related-urls&gt;&lt;/urls&gt;&lt;electronic-resource-num&gt;10.1371/journal.pone.0121493&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(4)</w:t>
      </w:r>
      <w:r w:rsidRPr="000C24F6">
        <w:rPr>
          <w:rFonts w:ascii="Arial" w:hAnsi="Arial" w:cs="Arial"/>
          <w:sz w:val="20"/>
          <w:szCs w:val="20"/>
        </w:rPr>
        <w:fldChar w:fldCharType="end"/>
      </w:r>
      <w:r w:rsidRPr="000C24F6">
        <w:rPr>
          <w:rFonts w:ascii="Arial" w:hAnsi="Arial" w:cs="Arial"/>
          <w:sz w:val="20"/>
          <w:szCs w:val="20"/>
          <w:lang w:val="en-US"/>
        </w:rPr>
        <w:t xml:space="preserve">. </w:t>
      </w:r>
      <w:r w:rsidRPr="000C24F6">
        <w:rPr>
          <w:rFonts w:ascii="Arial" w:hAnsi="Arial" w:cs="Arial"/>
          <w:bCs/>
          <w:color w:val="000000" w:themeColor="text1"/>
          <w:sz w:val="20"/>
          <w:szCs w:val="20"/>
        </w:rPr>
        <w:t xml:space="preserve">These findings suggest that shortening the turn-around time of positive blood culture identification and susceptibility results could optimise antimicrobial treatment in </w:t>
      </w:r>
      <w:r w:rsidRPr="000C24F6">
        <w:rPr>
          <w:rFonts w:ascii="Arial" w:hAnsi="Arial" w:cs="Arial"/>
          <w:bCs/>
          <w:color w:val="000000" w:themeColor="text1"/>
          <w:sz w:val="20"/>
          <w:szCs w:val="20"/>
        </w:rPr>
        <w:lastRenderedPageBreak/>
        <w:t xml:space="preserve">those patients. </w:t>
      </w:r>
      <w:r w:rsidRPr="000C24F6">
        <w:rPr>
          <w:rFonts w:ascii="Arial" w:hAnsi="Arial" w:cs="Arial"/>
          <w:sz w:val="20"/>
          <w:szCs w:val="20"/>
          <w:lang w:val="en-US"/>
        </w:rPr>
        <w:t xml:space="preserve">However, our study suggests that the result of an </w:t>
      </w:r>
      <w:r w:rsidRPr="000C24F6">
        <w:rPr>
          <w:rFonts w:ascii="Arial" w:hAnsi="Arial" w:cs="Arial"/>
          <w:i/>
          <w:iCs/>
          <w:sz w:val="20"/>
          <w:szCs w:val="20"/>
          <w:lang w:val="en-US"/>
        </w:rPr>
        <w:t>in vitro</w:t>
      </w:r>
      <w:r w:rsidRPr="000C24F6">
        <w:rPr>
          <w:rFonts w:ascii="Arial" w:hAnsi="Arial" w:cs="Arial"/>
          <w:sz w:val="20"/>
          <w:szCs w:val="20"/>
          <w:lang w:val="en-US"/>
        </w:rPr>
        <w:t xml:space="preserve"> antibiotic sensitivity testing is likely not the only determinant of the choice of antibiotic treatment. We identified potential important determinants of antibiotic choice, which can be patient/case-related, prescriber-related and situational/country-related factors.</w:t>
      </w:r>
    </w:p>
    <w:p w14:paraId="7F6799DC" w14:textId="77777777" w:rsidR="000C24F6" w:rsidRPr="000C24F6" w:rsidRDefault="000C24F6" w:rsidP="000C24F6">
      <w:pPr>
        <w:spacing w:line="480" w:lineRule="auto"/>
        <w:jc w:val="both"/>
        <w:rPr>
          <w:rFonts w:ascii="Arial" w:hAnsi="Arial" w:cs="Arial"/>
          <w:sz w:val="20"/>
          <w:szCs w:val="20"/>
          <w:lang w:val="en-US"/>
        </w:rPr>
      </w:pPr>
    </w:p>
    <w:p w14:paraId="44867FF0"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lang w:val="en-US"/>
        </w:rPr>
        <w:t xml:space="preserve">In this study, cases with discordant clinical course were associated in the adjusted analysis with lower likelihood of an optimal antimicrobial choice. This makes sense intuitively and has been described elsewhere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&lt;EndNote&gt;&lt;Cite&gt;&lt;Author&gt;Calbo&lt;/Author&gt;&lt;Year&gt;2013&lt;/Year&gt;&lt;RecNum&gt;11970&lt;/RecNum&gt;&lt;IDText&gt;A review of the factors influencing antimicrobial prescribing&lt;/IDText&gt;&lt;DisplayText&gt;(20)&lt;/DisplayText&gt;&lt;record&gt;&lt;rec-number&gt;11970&lt;/rec-number&gt;&lt;foreign-keys&gt;&lt;key app="EN" db-id="twev005trrrz2jed20o5v2z5r5v2dd2stvft" timestamp="1602684051" guid="1753c263-0304-4c9b-aea8-efaa5d736609"&gt;11970&lt;/key&gt;&lt;/foreign-keys&gt;&lt;ref-type name="Journal Article"&gt;17&lt;/ref-type&gt;&lt;contributors&gt;&lt;authors&gt;&lt;author&gt;Calbo, Esther&lt;/author&gt;&lt;author&gt;Álvarez-Rocha, Luis&lt;/author&gt;&lt;author&gt;Gudiol, Francisco&lt;/author&gt;&lt;author&gt;Pasquau, Juan&lt;/author&gt;&lt;/authors&gt;&lt;/contributors&gt;&lt;titles&gt;&lt;title&gt;A review of the factors influencing antimicrobial prescribing&lt;/title&gt;&lt;secondary-title&gt;Enfermedades Infecciosas y Microbiología Clínica&lt;/secondary-title&gt;&lt;/titles&gt;&lt;periodical&gt;&lt;full-title&gt;Enfermedades Infecciosas y Microbiologia Clinica&lt;/full-title&gt;&lt;/periodical&gt;&lt;pages&gt;12-15&lt;/pages&gt;&lt;volume&gt;31&lt;/volume&gt;&lt;dates&gt;&lt;year&gt;2013&lt;/year&gt;&lt;/dates&gt;&lt;urls&gt;&lt;related-urls&gt;&lt;url&gt;https://linkinghub.elsevier.com/retrieve/pii/S0213005X13701277&lt;/url&gt;&lt;/related-urls&gt;&lt;/urls&gt;&lt;electronic-resource-num&gt;10.1016/S0213-005X(13)70127-7&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(20)</w:t>
      </w:r>
      <w:r w:rsidRPr="000C24F6">
        <w:rPr>
          <w:rFonts w:ascii="Arial" w:hAnsi="Arial" w:cs="Arial"/>
          <w:sz w:val="20"/>
          <w:szCs w:val="20"/>
        </w:rPr>
        <w:fldChar w:fldCharType="end"/>
      </w:r>
      <w:r w:rsidRPr="000C24F6">
        <w:rPr>
          <w:rFonts w:ascii="Arial" w:hAnsi="Arial" w:cs="Arial"/>
          <w:sz w:val="20"/>
          <w:szCs w:val="20"/>
          <w:lang w:val="en-US"/>
        </w:rPr>
        <w:t xml:space="preserve">. An example of this could be, patients with BSI with known </w:t>
      </w:r>
      <w:r w:rsidRPr="000C24F6">
        <w:rPr>
          <w:rFonts w:ascii="Arial" w:hAnsi="Arial" w:cs="Arial"/>
          <w:i/>
          <w:sz w:val="20"/>
          <w:szCs w:val="20"/>
          <w:lang w:val="en-US"/>
        </w:rPr>
        <w:t>in vitro</w:t>
      </w:r>
      <w:r w:rsidRPr="000C24F6">
        <w:rPr>
          <w:rFonts w:ascii="Arial" w:hAnsi="Arial" w:cs="Arial"/>
          <w:sz w:val="20"/>
          <w:szCs w:val="20"/>
          <w:lang w:val="en-US"/>
        </w:rPr>
        <w:t xml:space="preserve"> susceptible organisms but who are unwell are either kept on broad-spectrum antibiotic or escalated to even broader-spectrum antibiotics, neither of which option is MOAC. The influence of  the culture of treating sepsis aggressively, fear of blame and management/avoidance of uncertainty has been described in recent work on antimicrobial behavior </w:t>
      </w:r>
      <w:r w:rsidRPr="000C24F6">
        <w:rPr>
          <w:rFonts w:ascii="Arial" w:hAnsi="Arial" w:cs="Arial"/>
          <w:strike/>
          <w:sz w:val="20"/>
          <w:szCs w:val="20"/>
          <w:lang w:val="en-US"/>
        </w:rPr>
        <w:t xml:space="preserve">based in London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&lt;EndNote&gt;&lt;Cite&gt;&lt;Author&gt;Charani&lt;/Author&gt;&lt;Year&gt;2011&lt;/Year&gt;&lt;RecNum&gt;11955&lt;/RecNum&gt;&lt;IDText&gt;Behavior Change Strategies to Influence Antimicrobial Prescribing in Acute Care: A Systematic Review&lt;/IDText&gt;&lt;DisplayText&gt;(12)&lt;/DisplayText&gt;&lt;record&gt;&lt;rec-number&gt;11955&lt;/rec-number&gt;&lt;foreign-keys&gt;&lt;key app="EN" db-id="twev005trrrz2jed20o5v2z5r5v2dd2stvft" timestamp="1602684051" guid="1172d2b3-3b1d-4d76-a851-b469cac7f057"&gt;11955&lt;/key&gt;&lt;/foreign-keys&gt;&lt;ref-type name="Journal Article"&gt;17&lt;/ref-type&gt;&lt;contributors&gt;&lt;authors&gt;&lt;author&gt;Charani, Esmita&lt;/author&gt;&lt;author&gt;Edwards, Rachel&lt;/author&gt;&lt;author&gt;Sevdalis, Nick&lt;/author&gt;&lt;author&gt;Alexandrou, Banos&lt;/author&gt;&lt;author&gt;Sibley, Eleanor&lt;/author&gt;&lt;author&gt;Mullett, David&lt;/author&gt;&lt;author&gt;Franklin, Bryony Dean&lt;/author&gt;&lt;author&gt;Holmes, Alison&lt;/author&gt;&lt;/authors&gt;&lt;/contributors&gt;&lt;titles&gt;&lt;title&gt;Behavior Change Strategies to Influence Antimicrobial Prescribing in Acute Care: A Systematic Review&lt;/title&gt;&lt;secondary-title&gt;Clinical Infectious Diseases&lt;/secondary-title&gt;&lt;/titles&gt;&lt;periodical&gt;&lt;full-title&gt;Clinical Infectious Diseases&lt;/full-title&gt;&lt;/periodical&gt;&lt;pages&gt;651-662&lt;/pages&gt;&lt;volume&gt;53&lt;/volume&gt;&lt;number&gt;7&lt;/number&gt;&lt;dates&gt;&lt;year&gt;2011&lt;/year&gt;&lt;/dates&gt;&lt;urls&gt;&lt;related-urls&gt;&lt;url&gt;https://academic.oup.com/cid/article-lookup/doi/10.1093/cid/cir445&lt;/url&gt;&lt;/related-urls&gt;&lt;/urls&gt;&lt;electronic-resource-num&gt;10.1093/cid/cir445&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(12)</w:t>
      </w:r>
      <w:r w:rsidRPr="000C24F6">
        <w:rPr>
          <w:rFonts w:ascii="Arial" w:hAnsi="Arial" w:cs="Arial"/>
          <w:sz w:val="20"/>
          <w:szCs w:val="20"/>
        </w:rPr>
        <w:fldChar w:fldCharType="end"/>
      </w:r>
      <w:r w:rsidRPr="000C24F6">
        <w:rPr>
          <w:rFonts w:ascii="Arial" w:hAnsi="Arial" w:cs="Arial"/>
          <w:sz w:val="20"/>
          <w:szCs w:val="20"/>
        </w:rPr>
        <w:t xml:space="preserve">,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&lt;EndNote&gt;&lt;Cite&gt;&lt;Author&gt;Borg&lt;/Author&gt;&lt;Year&gt;2019&lt;/Year&gt;&lt;RecNum&gt;11957&lt;/RecNum&gt;&lt;IDText&gt;Broad-spectrum antibiotic use in Europe: more evidence of cultural influences on prescribing behaviour&lt;/IDText&gt;&lt;DisplayText&gt;(21)&lt;/DisplayText&gt;&lt;record&gt;&lt;rec-number&gt;11957&lt;/rec-number&gt;&lt;foreign-keys&gt;&lt;key app="EN" db-id="twev005trrrz2jed20o5v2z5r5v2dd2stvft" timestamp="1602684051" guid="8de382b3-a107-4470-b320-3acbd8cc2e01"&gt;11957&lt;/key&gt;&lt;/foreign-keys&gt;&lt;ref-type name="Journal Article"&gt;17&lt;/ref-type&gt;&lt;contributors&gt;&lt;authors&gt;&lt;author&gt;Borg, Michael A.&lt;/author&gt;&lt;author&gt;Camilleri, Liberato&lt;/author&gt;&lt;/authors&gt;&lt;/contributors&gt;&lt;titles&gt;&lt;title&gt;Broad-spectrum antibiotic use in Europe: more evidence of cultural influences on prescribing behaviour&lt;/title&gt;&lt;secondary-title&gt;Journal of Antimicrobial Chemotherapy&lt;/secondary-title&gt;&lt;/titles&gt;&lt;periodical&gt;&lt;full-title&gt;Journal of Antimicrobial Chemotherapy&lt;/full-title&gt;&lt;/periodical&gt;&lt;dates&gt;&lt;year&gt;2019&lt;/year&gt;&lt;/dates&gt;&lt;urls&gt;&lt;related-urls&gt;&lt;url&gt;https://academic.oup.com/jac/advance-article/doi/10.1093/jac/dkz312/5533310&lt;/url&gt;&lt;/related-urls&gt;&lt;/urls&gt;&lt;electronic-resource-num&gt;10.1093/jac/dkz312&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(21)</w:t>
      </w:r>
      <w:r w:rsidRPr="000C24F6">
        <w:rPr>
          <w:rFonts w:ascii="Arial" w:hAnsi="Arial" w:cs="Arial"/>
          <w:sz w:val="20"/>
          <w:szCs w:val="20"/>
        </w:rPr>
        <w:fldChar w:fldCharType="end"/>
      </w:r>
      <w:r w:rsidRPr="000C24F6">
        <w:rPr>
          <w:rFonts w:ascii="Arial" w:hAnsi="Arial" w:cs="Arial"/>
          <w:sz w:val="20"/>
          <w:szCs w:val="20"/>
          <w:lang w:val="en-US"/>
        </w:rPr>
        <w:t xml:space="preserve">.  </w:t>
      </w:r>
    </w:p>
    <w:p w14:paraId="76E6ED21" w14:textId="77777777" w:rsidR="000C24F6" w:rsidRPr="000C24F6" w:rsidRDefault="000C24F6" w:rsidP="000C24F6">
      <w:pPr>
        <w:spacing w:line="480" w:lineRule="auto"/>
        <w:jc w:val="both"/>
        <w:rPr>
          <w:rFonts w:ascii="Arial" w:hAnsi="Arial" w:cs="Arial"/>
          <w:sz w:val="20"/>
          <w:szCs w:val="20"/>
          <w:lang w:val="en-US"/>
        </w:rPr>
      </w:pPr>
    </w:p>
    <w:p w14:paraId="14240E1E" w14:textId="77777777" w:rsidR="000C24F6" w:rsidRPr="000C24F6" w:rsidRDefault="000C24F6" w:rsidP="000C24F6">
      <w:pPr>
        <w:spacing w:line="480" w:lineRule="auto"/>
        <w:jc w:val="both"/>
        <w:rPr>
          <w:rFonts w:ascii="Arial" w:hAnsi="Arial" w:cs="Arial"/>
          <w:color w:val="000000" w:themeColor="text1"/>
          <w:sz w:val="20"/>
          <w:szCs w:val="20"/>
        </w:rPr>
      </w:pPr>
      <w:r w:rsidRPr="000C24F6">
        <w:rPr>
          <w:rFonts w:ascii="Arial" w:hAnsi="Arial" w:cs="Arial"/>
          <w:sz w:val="20"/>
          <w:szCs w:val="20"/>
          <w:lang w:val="en-US"/>
        </w:rPr>
        <w:t xml:space="preserve">Lack of understanding of the microbiology laboratory processes involved, mistrust in new technologies and difficulties assessing the benefits of new technologies against more traditional tests may be important in these situations and have been identified as barriers to implementation of new technologies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&lt;EndNote&gt;&lt;Cite&gt;&lt;Author&gt;Palamountain&lt;/Author&gt;&lt;Year&gt;2012&lt;/Year&gt;&lt;RecNum&gt;12069&lt;/RecNum&gt;&lt;IDText&gt;Perspectives on introduction and implementation of new point-of-care diagnostic tests&lt;/IDText&gt;&lt;DisplayText&gt;(22)&lt;/DisplayText&gt;&lt;record&gt;&lt;rec-number&gt;12069&lt;/rec-number&gt;&lt;foreign-keys&gt;&lt;key app="EN" db-id="twev005trrrz2jed20o5v2z5r5v2dd2stvft" timestamp="1602789980" guid="85eee235-a01b-4c7f-a616-a0eead5bd8ff"&gt;12069&lt;/key&gt;&lt;/foreign-keys&gt;&lt;ref-type name="Journal Article"&gt;17&lt;/ref-type&gt;&lt;contributors&gt;&lt;authors&gt;&lt;author&gt;Palamountain, KM &lt;/author&gt;&lt;author&gt;Baker, J&lt;/author&gt;&lt;author&gt;Cowan, EP&lt;/author&gt;&lt;author&gt;Essajee, S&lt;/author&gt;&lt;author&gt;Mazzola, LT&lt;/author&gt;&lt;author&gt;Metzler, M&lt;/author&gt;&lt;/authors&gt;&lt;/contributors&gt;&lt;titles&gt;&lt;title&gt;Perspectives on introduction and implementation of new point-of-care diagnostic tests&lt;/title&gt;&lt;secondary-title&gt;J Infect Dis&lt;/secondary-title&gt;&lt;/titles&gt;&lt;periodical&gt;&lt;full-title&gt;J Infect Dis&lt;/full-title&gt;&lt;abbr-1&gt;The Journal of infectious diseases&lt;/abbr-1&gt;&lt;/periodical&gt;&lt;pages&gt;S181-S190&lt;/pages&gt;&lt;volume&gt;205&lt;/volume&gt;&lt;dates&gt;&lt;year&gt;2012&lt;/year&gt;&lt;/dates&gt;&lt;urls&gt;&lt;/urls&gt;&lt;/record&gt;&lt;/Cite&gt;&lt;/EndNote&gt;</w:instrText>
      </w:r>
      <w:r w:rsidRPr="000C24F6">
        <w:rPr>
          <w:rFonts w:ascii="Arial" w:hAnsi="Arial" w:cs="Arial"/>
          <w:sz w:val="20"/>
          <w:szCs w:val="20"/>
        </w:rPr>
        <w:fldChar w:fldCharType="separate"/>
      </w:r>
      <w:r w:rsidRPr="000C24F6">
        <w:rPr>
          <w:rFonts w:ascii="Arial" w:hAnsi="Arial" w:cs="Arial"/>
          <w:noProof/>
          <w:sz w:val="20"/>
          <w:szCs w:val="20"/>
        </w:rPr>
        <w:t>(22)</w:t>
      </w:r>
      <w:r w:rsidRPr="000C24F6">
        <w:rPr>
          <w:rFonts w:ascii="Arial" w:hAnsi="Arial" w:cs="Arial"/>
          <w:sz w:val="20"/>
          <w:szCs w:val="20"/>
        </w:rPr>
        <w:fldChar w:fldCharType="end"/>
      </w:r>
      <w:r w:rsidRPr="000C24F6">
        <w:rPr>
          <w:rFonts w:ascii="Arial" w:hAnsi="Arial" w:cs="Arial"/>
          <w:sz w:val="20"/>
          <w:szCs w:val="20"/>
          <w:lang w:val="en-US"/>
        </w:rPr>
        <w:t xml:space="preserve">. The prescribing etiquette </w:t>
      </w:r>
      <w:r w:rsidRPr="000C24F6">
        <w:rPr>
          <w:rFonts w:ascii="Arial" w:hAnsi="Arial" w:cs="Arial"/>
          <w:color w:val="000000" w:themeColor="text1"/>
          <w:sz w:val="20"/>
          <w:szCs w:val="20"/>
          <w:lang w:val="en-US"/>
        </w:rPr>
        <w:t xml:space="preserve">or avoidance to alter other prescriber’s decisions based on respect for another’s clinician’s clinical judgement </w:t>
      </w:r>
      <w:r w:rsidRPr="000C24F6">
        <w:rPr>
          <w:rFonts w:ascii="Arial" w:hAnsi="Arial" w:cs="Arial"/>
          <w:sz w:val="20"/>
          <w:szCs w:val="20"/>
        </w:rPr>
        <w:fldChar w:fldCharType="begin"/>
      </w:r>
      <w:r w:rsidRPr="000C24F6">
        <w:rPr>
          <w:rFonts w:ascii="Arial" w:hAnsi="Arial" w:cs="Arial"/>
          <w:sz w:val="20"/>
          <w:szCs w:val="20"/>
        </w:rPr>
        <w:instrText xml:space="preserve"> ADDIN EN.CITE &lt;EndNote&gt;&lt;Cite&gt;&lt;Author&gt;Lewis&lt;/Author&gt;&lt;Year&gt;2009&lt;/Year&gt;&lt;RecNum&gt;11962&lt;/RecNum&gt;&lt;IDText&gt;Uncomfortable prescribing decisions in hospitals: the impact of teamwork&lt;/IDText&gt;&lt;DisplayText&gt;(23)&lt;/DisplayText&gt;&lt;record&gt;&lt;rec-number&gt;11962&lt;/rec-number&gt;&lt;foreign-keys&gt;&lt;key app="EN" db-id="twev005trrrz2jed20o5v2z5r5v2dd2stvft" timestamp="1602684051" guid="d2d0b246-2eb7-4e58-af7b-ff632a753b1d"&gt;11962&lt;/key&gt;&lt;/foreign-keys&gt;&lt;ref-type name="Journal Article"&gt;17&lt;/ref-type&gt;&lt;contributors&gt;&lt;authors&gt;&lt;author&gt;Lewis, Penny J.&lt;/author&gt;&lt;author&gt;Tully, Mary P.&lt;/author&gt;&lt;/authors&gt;&lt;/contributors&gt;&lt;titles&gt;&lt;title&gt;Uncomfortable prescribing decisions in hospitals: the impact of teamwork&lt;/title&gt;&lt;secondary-title&gt;Journal of the Royal Society of Medicine&lt;/secondary-title&gt;&lt;/titles&gt;&lt;periodical&gt;&lt;full-title&gt;Journal of the Royal Society of Medicine&lt;/full-title&gt;&lt;/periodical&gt;&lt;pages&gt;481-488&lt;/pages&gt;&lt;volume&gt;102&lt;/volume&gt;&lt;number&gt;11&lt;/number&gt;&lt;dates&gt;&lt;year&gt;2009&lt;/year&gt;&lt;/dates&gt;&lt;urls&gt;&lt;related-urls&gt;&lt;url&gt;http://journals.sagepub.com/doi/10.1258/jrsm.2009.090150&lt;/url&gt;&lt;/related-urls&gt;&lt;/urls&gt;&lt;electronic-resource-num&gt;10.1258/jrsm.2009.090150&lt;/electronic-resource-num&gt;&lt;/record&gt;&lt;/Cite&gt;&lt;/EndNote&gt;</w:instrText>
      </w:r>
      <w:r w:rsidRPr="000C24F6">
        <w:rPr>
          <w:rFonts w:ascii="Arial" w:hAnsi="Arial" w:cs="Arial"/>
          <w:sz w:val="20"/>
          <w:szCs w:val="20"/>
        </w:rPr>
        <w:fldChar w:fldCharType="separate"/>
      </w:r>
      <w:r w:rsidRPr="000C24F6">
        <w:rPr>
          <w:rFonts w:ascii="Arial" w:hAnsi="Arial" w:cs="Arial"/>
          <w:noProof/>
          <w:sz w:val="20"/>
          <w:szCs w:val="20"/>
        </w:rPr>
        <w:t>(23)</w:t>
      </w:r>
      <w:r w:rsidRPr="000C24F6">
        <w:rPr>
          <w:rFonts w:ascii="Arial" w:hAnsi="Arial" w:cs="Arial"/>
          <w:sz w:val="20"/>
          <w:szCs w:val="20"/>
        </w:rPr>
        <w:fldChar w:fldCharType="end"/>
      </w:r>
      <w:r w:rsidRPr="000C24F6">
        <w:rPr>
          <w:rFonts w:ascii="Arial" w:hAnsi="Arial" w:cs="Arial"/>
          <w:sz w:val="20"/>
          <w:szCs w:val="20"/>
          <w:lang w:val="en-US"/>
        </w:rPr>
        <w:t xml:space="preserve"> could also explain some of the differences</w:t>
      </w:r>
      <w:r w:rsidRPr="000C24F6">
        <w:rPr>
          <w:rFonts w:ascii="Arial" w:hAnsi="Arial" w:cs="Arial"/>
          <w:color w:val="000000" w:themeColor="text1"/>
          <w:sz w:val="20"/>
          <w:szCs w:val="20"/>
          <w:lang w:val="en-US"/>
        </w:rPr>
        <w:t>.</w:t>
      </w:r>
      <w:r w:rsidRPr="000C24F6">
        <w:rPr>
          <w:rFonts w:ascii="Arial" w:hAnsi="Arial" w:cs="Arial"/>
          <w:color w:val="000000" w:themeColor="text1"/>
          <w:sz w:val="20"/>
          <w:szCs w:val="20"/>
        </w:rPr>
        <w:t xml:space="preserve"> </w:t>
      </w:r>
    </w:p>
    <w:p w14:paraId="463E4394" w14:textId="77777777" w:rsidR="000C24F6" w:rsidRPr="000C24F6" w:rsidRDefault="000C24F6" w:rsidP="000C24F6">
      <w:pPr>
        <w:spacing w:line="480" w:lineRule="auto"/>
        <w:jc w:val="both"/>
        <w:rPr>
          <w:rFonts w:ascii="Arial" w:hAnsi="Arial" w:cs="Arial"/>
          <w:sz w:val="20"/>
          <w:szCs w:val="20"/>
        </w:rPr>
      </w:pPr>
    </w:p>
    <w:p w14:paraId="5DB364D2" w14:textId="77777777" w:rsidR="000C24F6" w:rsidRPr="000C24F6" w:rsidRDefault="000C24F6" w:rsidP="000C24F6">
      <w:pPr>
        <w:spacing w:line="480" w:lineRule="auto"/>
        <w:jc w:val="both"/>
        <w:rPr>
          <w:rFonts w:ascii="Arial" w:hAnsi="Arial" w:cs="Arial"/>
          <w:sz w:val="20"/>
          <w:szCs w:val="20"/>
          <w:lang w:val="en-US"/>
        </w:rPr>
      </w:pPr>
      <w:r w:rsidRPr="000C24F6">
        <w:rPr>
          <w:rFonts w:ascii="Arial" w:hAnsi="Arial" w:cs="Arial"/>
          <w:sz w:val="20"/>
          <w:szCs w:val="20"/>
          <w:lang w:val="en-US"/>
        </w:rPr>
        <w:t xml:space="preserve">Antimicrobial resistance and clinical deterioration were associated with both request for support and optimal antimicrobial choice. The fact that, in our study, antimicrobial resistance is associated with selection of MOAC could be an indicator that this is the group of patients that may benefit the most from the implementation of RAST methods in routine practice. This finding </w:t>
      </w:r>
      <w:r w:rsidRPr="000C24F6">
        <w:rPr>
          <w:rFonts w:ascii="Arial" w:hAnsi="Arial" w:cs="Arial"/>
          <w:color w:val="000000" w:themeColor="text1"/>
          <w:sz w:val="20"/>
          <w:szCs w:val="20"/>
        </w:rPr>
        <w:t xml:space="preserve">suggests that RAST may be less useful for step-down decisions in settings with low baseline resistance rates. </w:t>
      </w:r>
      <w:r w:rsidRPr="000C24F6">
        <w:rPr>
          <w:rFonts w:ascii="Arial" w:hAnsi="Arial" w:cs="Arial"/>
          <w:sz w:val="20"/>
          <w:szCs w:val="20"/>
          <w:lang w:val="en-US"/>
        </w:rPr>
        <w:t xml:space="preserve"> It is plausible and logical that in the two cases (cases 2 and 4) where the patient had BSI by a resistant isolate, the escalation to a broader, appropriate antimicrobials was driven by the susceptibility result provided</w:t>
      </w:r>
      <w:r w:rsidRPr="000C24F6">
        <w:rPr>
          <w:rFonts w:ascii="Arial" w:hAnsi="Arial" w:cs="Arial"/>
          <w:color w:val="000000" w:themeColor="text1"/>
          <w:sz w:val="20"/>
          <w:szCs w:val="20"/>
          <w:lang w:val="en-US"/>
        </w:rPr>
        <w:t xml:space="preserve">. This could potentially mean that the treating teams pay more attention to the drug chart and the antimicrobial treatment when a report suggesting a resistant isolate is issued, and perhaps less when the isolate is susceptible. </w:t>
      </w:r>
      <w:r w:rsidRPr="000C24F6">
        <w:rPr>
          <w:rFonts w:ascii="Arial" w:hAnsi="Arial" w:cs="Arial"/>
          <w:sz w:val="20"/>
          <w:szCs w:val="20"/>
          <w:lang w:val="en-US"/>
        </w:rPr>
        <w:t xml:space="preserve">Theoretically, an earlier escalation to the broader-spectrum antibiotic facilitated by a rapid </w:t>
      </w:r>
      <w:r w:rsidRPr="000C24F6">
        <w:rPr>
          <w:rFonts w:ascii="Arial" w:hAnsi="Arial" w:cs="Arial"/>
          <w:sz w:val="20"/>
          <w:szCs w:val="20"/>
          <w:lang w:val="en-US"/>
        </w:rPr>
        <w:lastRenderedPageBreak/>
        <w:t xml:space="preserve">result could have prognostic implications.  Conversely, in settings with lower resistance rates, the cost of implementing a RAST may not be justified. </w:t>
      </w:r>
    </w:p>
    <w:p w14:paraId="462FC73F" w14:textId="77777777" w:rsidR="000C24F6" w:rsidRPr="000C24F6" w:rsidRDefault="000C24F6" w:rsidP="000C24F6">
      <w:pPr>
        <w:spacing w:line="480" w:lineRule="auto"/>
        <w:jc w:val="both"/>
        <w:rPr>
          <w:rFonts w:ascii="Arial" w:hAnsi="Arial" w:cs="Arial"/>
          <w:color w:val="000000" w:themeColor="text1"/>
          <w:sz w:val="20"/>
          <w:szCs w:val="20"/>
          <w:lang w:val="en-ES"/>
        </w:rPr>
      </w:pPr>
      <w:r w:rsidRPr="000C24F6">
        <w:rPr>
          <w:rFonts w:ascii="Arial" w:hAnsi="Arial" w:cs="Arial"/>
          <w:color w:val="000000" w:themeColor="text1"/>
          <w:sz w:val="20"/>
          <w:szCs w:val="20"/>
          <w:lang w:val="en-US"/>
        </w:rPr>
        <w:t>The apparent differences between countries observed in the univariate analysis shown in Table 2 (</w:t>
      </w:r>
      <w:proofErr w:type="gramStart"/>
      <w:r w:rsidRPr="000C24F6">
        <w:rPr>
          <w:rFonts w:ascii="Arial" w:hAnsi="Arial" w:cs="Arial"/>
          <w:color w:val="000000" w:themeColor="text1"/>
          <w:sz w:val="20"/>
          <w:szCs w:val="20"/>
          <w:lang w:val="en-US"/>
        </w:rPr>
        <w:t>i.e.</w:t>
      </w:r>
      <w:proofErr w:type="gramEnd"/>
      <w:r w:rsidRPr="000C24F6">
        <w:rPr>
          <w:rFonts w:ascii="Arial" w:hAnsi="Arial" w:cs="Arial"/>
          <w:color w:val="000000" w:themeColor="text1"/>
          <w:sz w:val="20"/>
          <w:szCs w:val="20"/>
          <w:lang w:val="en-US"/>
        </w:rPr>
        <w:t xml:space="preserve"> Spain-based respondents had a higher frequency of MOAC) were not confirmed in the multivariate analysis; these differences seemed to be mainly driven by differences in the request for support (much higher among the UK-based respondents). In the multinomial logistic regression analysis, which is the appropriate for outcomes with three categories, the country was associated with the request for support, but not with the choice of the MOAC. This and the different distribution of specialties largely reflects the structure of the infection specialty and the type of work the specialists dealing with infections do in both countries. In the UK, there is near universal availability of in and out of hours clinical microbiologist advice on antimicrobial prescription, which is widely used by medical and surgical teams to discuss antimicrobial choices with infection specialists; this resource is less frequently used routinely in Spain, other than for more complex infections requiring an ad-hoc referral for review during working hours by the infection specialist.  In Spain, out of hours, the parent teams tend to manage the antimicrobial prescription decisions themselves, as the out of hours support by ward-based infection specialists is not universal and </w:t>
      </w:r>
      <w:proofErr w:type="spellStart"/>
      <w:r w:rsidRPr="000C24F6">
        <w:rPr>
          <w:rFonts w:ascii="Arial" w:hAnsi="Arial" w:cs="Arial"/>
          <w:color w:val="000000" w:themeColor="text1"/>
          <w:sz w:val="20"/>
          <w:szCs w:val="20"/>
          <w:lang w:val="en-US"/>
        </w:rPr>
        <w:t>centre</w:t>
      </w:r>
      <w:proofErr w:type="spellEnd"/>
      <w:r w:rsidRPr="000C24F6">
        <w:rPr>
          <w:rFonts w:ascii="Arial" w:hAnsi="Arial" w:cs="Arial"/>
          <w:color w:val="000000" w:themeColor="text1"/>
          <w:sz w:val="20"/>
          <w:szCs w:val="20"/>
          <w:lang w:val="en-US"/>
        </w:rPr>
        <w:t xml:space="preserve">-dependent.   In the UK, the type of consultation that the infection specialists offer for patients with BSI is predictable and more </w:t>
      </w:r>
      <w:proofErr w:type="spellStart"/>
      <w:r w:rsidRPr="000C24F6">
        <w:rPr>
          <w:rFonts w:ascii="Arial" w:hAnsi="Arial" w:cs="Arial"/>
          <w:color w:val="000000" w:themeColor="text1"/>
          <w:sz w:val="20"/>
          <w:szCs w:val="20"/>
          <w:lang w:val="en-US"/>
        </w:rPr>
        <w:t>standardised</w:t>
      </w:r>
      <w:proofErr w:type="spellEnd"/>
      <w:r w:rsidRPr="000C24F6">
        <w:rPr>
          <w:rFonts w:ascii="Arial" w:hAnsi="Arial" w:cs="Arial"/>
          <w:color w:val="000000" w:themeColor="text1"/>
          <w:sz w:val="20"/>
          <w:szCs w:val="20"/>
          <w:lang w:val="en-US"/>
        </w:rPr>
        <w:t xml:space="preserve"> across the </w:t>
      </w:r>
      <w:proofErr w:type="gramStart"/>
      <w:r w:rsidRPr="000C24F6">
        <w:rPr>
          <w:rFonts w:ascii="Arial" w:hAnsi="Arial" w:cs="Arial"/>
          <w:color w:val="000000" w:themeColor="text1"/>
          <w:sz w:val="20"/>
          <w:szCs w:val="20"/>
          <w:lang w:val="en-US"/>
        </w:rPr>
        <w:t>nations, and</w:t>
      </w:r>
      <w:proofErr w:type="gramEnd"/>
      <w:r w:rsidRPr="000C24F6">
        <w:rPr>
          <w:rFonts w:ascii="Arial" w:hAnsi="Arial" w:cs="Arial"/>
          <w:color w:val="000000" w:themeColor="text1"/>
          <w:sz w:val="20"/>
          <w:szCs w:val="20"/>
          <w:lang w:val="en-US"/>
        </w:rPr>
        <w:t xml:space="preserve"> perceived by the rest of the teams as a “support service” that is available and can be requested (shared medical responsibility &amp; prescription culture). In Spain, although in practice the same type of advice is provided, it may not be perceived as support but rather as an independent activity initiated by the infection team themselves, and the prescribers may feel less </w:t>
      </w:r>
      <w:r w:rsidRPr="000C24F6">
        <w:rPr>
          <w:rFonts w:ascii="Arial" w:hAnsi="Arial" w:cs="Arial"/>
          <w:i/>
          <w:color w:val="000000" w:themeColor="text1"/>
          <w:sz w:val="20"/>
          <w:szCs w:val="20"/>
          <w:lang w:val="en-US"/>
        </w:rPr>
        <w:t>policed</w:t>
      </w:r>
      <w:r w:rsidRPr="000C24F6">
        <w:rPr>
          <w:rFonts w:ascii="Arial" w:hAnsi="Arial" w:cs="Arial"/>
          <w:color w:val="000000" w:themeColor="text1"/>
          <w:sz w:val="20"/>
          <w:szCs w:val="20"/>
          <w:lang w:val="en-US"/>
        </w:rPr>
        <w:t xml:space="preserve"> and </w:t>
      </w:r>
      <w:proofErr w:type="gramStart"/>
      <w:r w:rsidRPr="000C24F6">
        <w:rPr>
          <w:rFonts w:ascii="Arial" w:hAnsi="Arial" w:cs="Arial"/>
          <w:color w:val="000000" w:themeColor="text1"/>
          <w:sz w:val="20"/>
          <w:szCs w:val="20"/>
          <w:lang w:val="en-US"/>
        </w:rPr>
        <w:t>more free</w:t>
      </w:r>
      <w:proofErr w:type="gramEnd"/>
      <w:r w:rsidRPr="000C24F6">
        <w:rPr>
          <w:rFonts w:ascii="Arial" w:hAnsi="Arial" w:cs="Arial"/>
          <w:color w:val="000000" w:themeColor="text1"/>
          <w:sz w:val="20"/>
          <w:szCs w:val="20"/>
          <w:lang w:val="en-US"/>
        </w:rPr>
        <w:t xml:space="preserve"> to decide independently which antimicrobial changes to make. There are well established antimicrobial stewardship programs (AMS) and national resistant reduction plans in both Spain and the UK (24). The structure and function of the role of the AMS teams is similar in both countries, so this not necessarily justify differences found with regards prescription </w:t>
      </w:r>
      <w:proofErr w:type="spellStart"/>
      <w:r w:rsidRPr="000C24F6">
        <w:rPr>
          <w:rFonts w:ascii="Arial" w:hAnsi="Arial" w:cs="Arial"/>
          <w:color w:val="000000" w:themeColor="text1"/>
          <w:sz w:val="20"/>
          <w:szCs w:val="20"/>
          <w:lang w:val="en-US"/>
        </w:rPr>
        <w:t>behaviour</w:t>
      </w:r>
      <w:proofErr w:type="spellEnd"/>
      <w:r w:rsidRPr="000C24F6">
        <w:rPr>
          <w:rFonts w:ascii="Arial" w:hAnsi="Arial" w:cs="Arial"/>
          <w:color w:val="000000" w:themeColor="text1"/>
          <w:sz w:val="20"/>
          <w:szCs w:val="20"/>
          <w:lang w:val="en-US"/>
        </w:rPr>
        <w:t>. In Spain, as in the UK, the AMS teams do not normally intervene in the choice of the initial antimicrobial treatment. The 24-hour advice available in the UK is probably the reason for the differences observed between countries with regards requesting support. </w:t>
      </w:r>
    </w:p>
    <w:p w14:paraId="31FB9880" w14:textId="77777777" w:rsidR="000C24F6" w:rsidRPr="000C24F6" w:rsidRDefault="000C24F6" w:rsidP="000C24F6">
      <w:pPr>
        <w:spacing w:line="480" w:lineRule="auto"/>
        <w:jc w:val="both"/>
        <w:rPr>
          <w:rFonts w:ascii="Arial" w:hAnsi="Arial" w:cs="Arial"/>
          <w:color w:val="000000" w:themeColor="text1"/>
          <w:sz w:val="20"/>
          <w:szCs w:val="20"/>
          <w:lang w:val="en-ES"/>
        </w:rPr>
      </w:pPr>
    </w:p>
    <w:p w14:paraId="1C162D76" w14:textId="77777777" w:rsidR="000C24F6" w:rsidRPr="000C24F6" w:rsidRDefault="000C24F6" w:rsidP="000C24F6">
      <w:pPr>
        <w:spacing w:line="480" w:lineRule="auto"/>
        <w:jc w:val="both"/>
        <w:rPr>
          <w:rFonts w:ascii="Arial" w:hAnsi="Arial" w:cs="Arial"/>
          <w:color w:val="000000" w:themeColor="text1"/>
          <w:sz w:val="20"/>
          <w:szCs w:val="20"/>
        </w:rPr>
      </w:pPr>
    </w:p>
    <w:p w14:paraId="19DABBDF" w14:textId="77777777" w:rsidR="000C24F6" w:rsidRPr="000C24F6" w:rsidRDefault="000C24F6" w:rsidP="000C24F6">
      <w:pPr>
        <w:spacing w:line="480" w:lineRule="auto"/>
        <w:jc w:val="both"/>
        <w:rPr>
          <w:rFonts w:ascii="Arial" w:hAnsi="Arial" w:cs="Arial"/>
          <w:sz w:val="20"/>
          <w:szCs w:val="20"/>
        </w:rPr>
      </w:pPr>
      <w:r w:rsidRPr="000C24F6" w:rsidDel="00CA5EB5">
        <w:rPr>
          <w:rFonts w:ascii="Arial" w:hAnsi="Arial" w:cs="Arial"/>
          <w:sz w:val="20"/>
          <w:szCs w:val="20"/>
          <w:lang w:val="en-US"/>
        </w:rPr>
        <w:lastRenderedPageBreak/>
        <w:t xml:space="preserve"> </w:t>
      </w:r>
      <w:r w:rsidRPr="000C24F6">
        <w:rPr>
          <w:rFonts w:ascii="Arial" w:hAnsi="Arial" w:cs="Arial"/>
          <w:sz w:val="20"/>
          <w:szCs w:val="20"/>
          <w:lang w:val="en-US"/>
        </w:rPr>
        <w:t>A limitation of the study</w:t>
      </w:r>
      <w:r w:rsidRPr="000C24F6">
        <w:rPr>
          <w:rFonts w:ascii="Arial" w:hAnsi="Arial" w:cs="Arial"/>
          <w:sz w:val="20"/>
          <w:szCs w:val="20"/>
        </w:rPr>
        <w:t xml:space="preserve"> was the distribution of the survey as selection and distribution was not systematic. This could have introduced sample selection and response bias, however the relatively large number of participants across </w:t>
      </w:r>
      <w:proofErr w:type="gramStart"/>
      <w:r w:rsidRPr="000C24F6">
        <w:rPr>
          <w:rFonts w:ascii="Arial" w:hAnsi="Arial" w:cs="Arial"/>
          <w:sz w:val="20"/>
          <w:szCs w:val="20"/>
        </w:rPr>
        <w:t>a number of</w:t>
      </w:r>
      <w:proofErr w:type="gramEnd"/>
      <w:r w:rsidRPr="000C24F6">
        <w:rPr>
          <w:rFonts w:ascii="Arial" w:hAnsi="Arial" w:cs="Arial"/>
          <w:sz w:val="20"/>
          <w:szCs w:val="20"/>
        </w:rPr>
        <w:t xml:space="preserve"> specialties should reduce this risk.  The number of centres/departments surveyed was limited and may not be representative of the wider population in either country.  Another possible limitation may have been the fact that only clinicians who were confident in prescribing antibiotics responded the survey, which may have resulted in a sample bias. </w:t>
      </w:r>
    </w:p>
    <w:p w14:paraId="77660FBB" w14:textId="77777777" w:rsidR="000C24F6" w:rsidRPr="000C24F6" w:rsidRDefault="000C24F6" w:rsidP="000C24F6">
      <w:pPr>
        <w:spacing w:line="480" w:lineRule="auto"/>
        <w:jc w:val="both"/>
        <w:rPr>
          <w:rFonts w:ascii="Arial" w:hAnsi="Arial" w:cs="Arial"/>
          <w:sz w:val="20"/>
          <w:szCs w:val="20"/>
        </w:rPr>
      </w:pPr>
    </w:p>
    <w:p w14:paraId="21768234" w14:textId="77777777" w:rsidR="000C24F6" w:rsidRPr="000C24F6" w:rsidRDefault="000C24F6" w:rsidP="000C24F6">
      <w:pPr>
        <w:spacing w:line="480" w:lineRule="auto"/>
        <w:jc w:val="both"/>
        <w:rPr>
          <w:rFonts w:ascii="Arial" w:hAnsi="Arial" w:cs="Arial"/>
          <w:sz w:val="20"/>
          <w:szCs w:val="20"/>
        </w:rPr>
      </w:pPr>
      <w:r w:rsidRPr="000C24F6">
        <w:rPr>
          <w:rFonts w:ascii="Arial" w:hAnsi="Arial" w:cs="Arial"/>
          <w:sz w:val="20"/>
          <w:szCs w:val="20"/>
        </w:rPr>
        <w:t xml:space="preserve">The artificially created clinical scenarios were representative of commonly encountered cases in the clinical practice. However, it is very difficult to translate the complexities of decision making in a survey format and direct extrapolation of the results should be interpreted with some caution. For example, in real life it is common to take an antimicrobial decision and request support at the same time, but our survey only allowed to select one of three mutually exclusive options. </w:t>
      </w:r>
      <w:r w:rsidRPr="000C24F6">
        <w:rPr>
          <w:rFonts w:ascii="Arial" w:hAnsi="Arial" w:cs="Arial"/>
          <w:sz w:val="20"/>
          <w:szCs w:val="20"/>
          <w:lang w:val="en-US"/>
        </w:rPr>
        <w:t>The final model fit well the data (p &lt; 0.001</w:t>
      </w:r>
      <w:proofErr w:type="gramStart"/>
      <w:r w:rsidRPr="000C24F6">
        <w:rPr>
          <w:rFonts w:ascii="Arial" w:hAnsi="Arial" w:cs="Arial"/>
          <w:sz w:val="20"/>
          <w:szCs w:val="20"/>
          <w:lang w:val="en-US"/>
        </w:rPr>
        <w:t>)</w:t>
      </w:r>
      <w:proofErr w:type="gramEnd"/>
      <w:r w:rsidRPr="000C24F6">
        <w:rPr>
          <w:rFonts w:ascii="Arial" w:hAnsi="Arial" w:cs="Arial"/>
          <w:sz w:val="20"/>
          <w:szCs w:val="20"/>
          <w:lang w:val="en-US"/>
        </w:rPr>
        <w:t xml:space="preserve"> but the model predicted only about a third of the variability of the data (</w:t>
      </w:r>
      <w:proofErr w:type="spellStart"/>
      <w:r w:rsidRPr="000C24F6">
        <w:rPr>
          <w:rFonts w:ascii="Arial" w:hAnsi="Arial" w:cs="Arial"/>
          <w:sz w:val="20"/>
          <w:szCs w:val="20"/>
          <w:lang w:val="en-US"/>
        </w:rPr>
        <w:t>Nagelkerke</w:t>
      </w:r>
      <w:proofErr w:type="spellEnd"/>
      <w:r w:rsidRPr="000C24F6">
        <w:rPr>
          <w:rFonts w:ascii="Arial" w:hAnsi="Arial" w:cs="Arial"/>
          <w:sz w:val="20"/>
          <w:szCs w:val="20"/>
          <w:lang w:val="en-US"/>
        </w:rPr>
        <w:t xml:space="preserve"> pseudo R2= 0.286), suggesting that there are other variables not captured by the model that further explain antimicrobial prescription attitudes. The study was not powered, although the number of valid responses was high enough (N = 1494) to detect important effects. Finally, the cases were limited to patients with invasive Gram-negative infection and may not be generalizable to other clinical situations. </w:t>
      </w:r>
    </w:p>
    <w:p w14:paraId="5A6DD5BD" w14:textId="77777777" w:rsidR="000C24F6" w:rsidRPr="000C24F6" w:rsidRDefault="000C24F6" w:rsidP="000C24F6">
      <w:pPr>
        <w:spacing w:line="480" w:lineRule="auto"/>
        <w:jc w:val="both"/>
        <w:rPr>
          <w:rFonts w:ascii="Arial" w:hAnsi="Arial" w:cs="Arial"/>
          <w:sz w:val="20"/>
          <w:szCs w:val="20"/>
        </w:rPr>
      </w:pPr>
    </w:p>
    <w:p w14:paraId="42AD8D20" w14:textId="77777777" w:rsidR="000C24F6" w:rsidRPr="000C24F6" w:rsidRDefault="000C24F6" w:rsidP="000C24F6">
      <w:pPr>
        <w:spacing w:line="480" w:lineRule="auto"/>
        <w:jc w:val="both"/>
        <w:rPr>
          <w:rFonts w:ascii="Arial" w:hAnsi="Arial" w:cs="Arial"/>
          <w:b/>
          <w:bCs/>
          <w:sz w:val="20"/>
          <w:szCs w:val="20"/>
        </w:rPr>
      </w:pPr>
      <w:r w:rsidRPr="000C24F6">
        <w:rPr>
          <w:rFonts w:ascii="Arial" w:hAnsi="Arial" w:cs="Arial"/>
          <w:b/>
          <w:bCs/>
          <w:sz w:val="20"/>
          <w:szCs w:val="20"/>
        </w:rPr>
        <w:t>Conclusion</w:t>
      </w:r>
    </w:p>
    <w:p w14:paraId="170BD9D2" w14:textId="77777777" w:rsidR="000C24F6" w:rsidRDefault="000C24F6" w:rsidP="000C24F6">
      <w:pPr>
        <w:spacing w:line="480" w:lineRule="auto"/>
        <w:jc w:val="both"/>
        <w:rPr>
          <w:rFonts w:ascii="Arial" w:hAnsi="Arial" w:cs="Arial"/>
          <w:color w:val="000000" w:themeColor="text1"/>
          <w:sz w:val="20"/>
          <w:szCs w:val="20"/>
        </w:rPr>
      </w:pPr>
      <w:r w:rsidRPr="000C24F6">
        <w:rPr>
          <w:rFonts w:ascii="Arial" w:hAnsi="Arial" w:cs="Arial"/>
          <w:color w:val="000000" w:themeColor="text1"/>
          <w:sz w:val="20"/>
          <w:szCs w:val="20"/>
        </w:rPr>
        <w:t>Our study suggests that there are both patient/case-related (antimicrobial resistance, clinical presentation, clinical discordance) and prescriber/situation-related factors (country) that determine antibiotic prescription which are unrelated to the results of RAST. Rapid antimicrobial susceptibility testing methods may have an important role in reducing the time to appropriate antimicrobial, however, these may not be realised in practice unless the other factors determining antibiotic choice in the patient pathway are better understood. Further research in antibiotic choice is needed to confirm these results and to optimise the use of RAST methods.</w:t>
      </w:r>
      <w:r w:rsidRPr="007B170C">
        <w:rPr>
          <w:rFonts w:ascii="Arial" w:hAnsi="Arial" w:cs="Arial"/>
          <w:color w:val="000000" w:themeColor="text1"/>
          <w:sz w:val="20"/>
          <w:szCs w:val="20"/>
        </w:rPr>
        <w:t xml:space="preserve"> </w:t>
      </w:r>
    </w:p>
    <w:p w14:paraId="3CB014EC" w14:textId="77777777" w:rsidR="000C24F6" w:rsidRDefault="000C24F6" w:rsidP="000C24F6">
      <w:pPr>
        <w:spacing w:line="480" w:lineRule="auto"/>
        <w:jc w:val="both"/>
        <w:rPr>
          <w:rFonts w:ascii="Arial" w:hAnsi="Arial" w:cs="Arial"/>
          <w:color w:val="000000" w:themeColor="text1"/>
          <w:sz w:val="20"/>
          <w:szCs w:val="20"/>
        </w:rPr>
      </w:pPr>
    </w:p>
    <w:p w14:paraId="4A1F6E16" w14:textId="77777777" w:rsidR="000C24F6" w:rsidRDefault="000C24F6" w:rsidP="000C24F6">
      <w:pPr>
        <w:spacing w:line="480" w:lineRule="auto"/>
        <w:jc w:val="both"/>
        <w:rPr>
          <w:rFonts w:ascii="Arial" w:hAnsi="Arial" w:cs="Arial"/>
          <w:color w:val="000000" w:themeColor="text1"/>
          <w:sz w:val="20"/>
          <w:szCs w:val="20"/>
        </w:rPr>
      </w:pPr>
    </w:p>
    <w:p w14:paraId="32CF1F5B" w14:textId="77777777" w:rsidR="000C24F6" w:rsidRDefault="000C24F6" w:rsidP="000C24F6">
      <w:pPr>
        <w:spacing w:line="480" w:lineRule="auto"/>
        <w:jc w:val="both"/>
        <w:rPr>
          <w:rFonts w:ascii="Arial" w:hAnsi="Arial" w:cs="Arial"/>
          <w:color w:val="000000" w:themeColor="text1"/>
          <w:sz w:val="20"/>
          <w:szCs w:val="20"/>
        </w:rPr>
      </w:pPr>
    </w:p>
    <w:p w14:paraId="4EF2A5F9" w14:textId="77777777" w:rsidR="000C24F6" w:rsidRPr="003D0606" w:rsidRDefault="000C24F6" w:rsidP="000C24F6">
      <w:pPr>
        <w:spacing w:line="480" w:lineRule="auto"/>
        <w:jc w:val="both"/>
        <w:rPr>
          <w:rFonts w:ascii="Arial" w:hAnsi="Arial" w:cs="Arial"/>
          <w:color w:val="000000" w:themeColor="text1"/>
          <w:sz w:val="20"/>
          <w:szCs w:val="20"/>
        </w:rPr>
      </w:pPr>
    </w:p>
    <w:p w14:paraId="4DD618F9" w14:textId="77777777" w:rsidR="000C24F6" w:rsidRPr="00831B4B" w:rsidRDefault="000C24F6" w:rsidP="000C24F6">
      <w:pPr>
        <w:spacing w:line="360" w:lineRule="auto"/>
        <w:jc w:val="both"/>
        <w:rPr>
          <w:rFonts w:cstheme="minorHAnsi"/>
          <w:sz w:val="22"/>
          <w:szCs w:val="22"/>
          <w:lang w:val="es-ES"/>
        </w:rPr>
      </w:pPr>
      <w:proofErr w:type="spellStart"/>
      <w:r w:rsidRPr="0097192B">
        <w:rPr>
          <w:rFonts w:ascii="Arial" w:hAnsi="Arial" w:cs="Arial"/>
          <w:b/>
          <w:bCs/>
          <w:sz w:val="20"/>
          <w:szCs w:val="20"/>
          <w:lang w:val="es-ES"/>
        </w:rPr>
        <w:lastRenderedPageBreak/>
        <w:t>References</w:t>
      </w:r>
      <w:proofErr w:type="spellEnd"/>
      <w:r w:rsidRPr="0097192B">
        <w:rPr>
          <w:rFonts w:ascii="Arial" w:hAnsi="Arial" w:cs="Arial"/>
          <w:b/>
          <w:bCs/>
          <w:sz w:val="20"/>
          <w:szCs w:val="20"/>
          <w:lang w:val="es-ES"/>
        </w:rPr>
        <w:t>:</w:t>
      </w:r>
    </w:p>
    <w:p w14:paraId="2988E84B" w14:textId="77777777" w:rsidR="000C24F6" w:rsidRPr="00A60A79" w:rsidRDefault="000C24F6" w:rsidP="000C24F6">
      <w:pPr>
        <w:spacing w:line="480" w:lineRule="auto"/>
        <w:jc w:val="both"/>
        <w:rPr>
          <w:rFonts w:ascii="Arial" w:hAnsi="Arial" w:cs="Arial"/>
          <w:sz w:val="20"/>
          <w:szCs w:val="20"/>
          <w:lang w:val="es-ES"/>
        </w:rPr>
      </w:pPr>
    </w:p>
    <w:p w14:paraId="044444F0"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sz w:val="20"/>
          <w:szCs w:val="20"/>
        </w:rPr>
        <w:fldChar w:fldCharType="begin"/>
      </w:r>
      <w:r w:rsidRPr="00372DD9">
        <w:rPr>
          <w:rFonts w:ascii="Arial" w:hAnsi="Arial" w:cs="Arial"/>
          <w:sz w:val="20"/>
          <w:szCs w:val="20"/>
          <w:lang w:val="es-ES"/>
        </w:rPr>
        <w:instrText xml:space="preserve"> ADDIN EN.REFLIST </w:instrText>
      </w:r>
      <w:r w:rsidRPr="00A60A79">
        <w:rPr>
          <w:rFonts w:ascii="Arial" w:hAnsi="Arial" w:cs="Arial"/>
          <w:sz w:val="20"/>
          <w:szCs w:val="20"/>
        </w:rPr>
        <w:fldChar w:fldCharType="separate"/>
      </w:r>
      <w:r w:rsidRPr="008A4F4E">
        <w:rPr>
          <w:rFonts w:ascii="Arial" w:hAnsi="Arial" w:cs="Arial"/>
          <w:noProof/>
          <w:sz w:val="20"/>
          <w:szCs w:val="20"/>
          <w:lang w:val="es-ES"/>
        </w:rPr>
        <w:t>1.</w:t>
      </w:r>
      <w:r w:rsidRPr="008A4F4E">
        <w:rPr>
          <w:rFonts w:ascii="Arial" w:hAnsi="Arial" w:cs="Arial"/>
          <w:noProof/>
          <w:sz w:val="20"/>
          <w:szCs w:val="20"/>
          <w:lang w:val="es-ES"/>
        </w:rPr>
        <w:tab/>
        <w:t xml:space="preserve">Goto M, Al-Hasan MN. </w:t>
      </w:r>
      <w:r w:rsidRPr="00A60A79">
        <w:rPr>
          <w:rFonts w:ascii="Arial" w:hAnsi="Arial" w:cs="Arial"/>
          <w:noProof/>
          <w:sz w:val="20"/>
          <w:szCs w:val="20"/>
        </w:rPr>
        <w:t>Overall burden of bloodstream infection and nosocomial bloodstream infection in North America and Europe. Clinical Microbiology and Infection. 2013;19(6):501-9.</w:t>
      </w:r>
    </w:p>
    <w:p w14:paraId="4A156DCC"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2.</w:t>
      </w:r>
      <w:r w:rsidRPr="00A60A79">
        <w:rPr>
          <w:rFonts w:ascii="Arial" w:hAnsi="Arial" w:cs="Arial"/>
          <w:noProof/>
          <w:sz w:val="20"/>
          <w:szCs w:val="20"/>
        </w:rPr>
        <w:tab/>
        <w:t>Flasche SA, E K. Balancing Benefits and Risks of Antibiotic Use. The Journal of Infectious Diseases. 2018;218(9):1351-3.</w:t>
      </w:r>
    </w:p>
    <w:p w14:paraId="3322174F"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3.</w:t>
      </w:r>
      <w:r w:rsidRPr="00A60A79">
        <w:rPr>
          <w:rFonts w:ascii="Arial" w:hAnsi="Arial" w:cs="Arial"/>
          <w:noProof/>
          <w:sz w:val="20"/>
          <w:szCs w:val="20"/>
        </w:rPr>
        <w:tab/>
        <w:t>Marwick C, Davey P. Care bundles: the holy grail of infectious risk management in hospital? Curr Opin Infect Dis. 2009;22(4):364-9.</w:t>
      </w:r>
    </w:p>
    <w:p w14:paraId="3DE4F044"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4.</w:t>
      </w:r>
      <w:r w:rsidRPr="00A60A79">
        <w:rPr>
          <w:rFonts w:ascii="Arial" w:hAnsi="Arial" w:cs="Arial"/>
          <w:noProof/>
          <w:sz w:val="20"/>
          <w:szCs w:val="20"/>
        </w:rPr>
        <w:tab/>
        <w:t>She RC, Alrabaa S, Lee SH, Norvell M, Wilson A, Petti CA. Survey of Physicians’ Perspectives and Knowledge about Diagnostic Tests for Bloodstream Infections. PLOSONE. 2015;10(3):e0121493e.</w:t>
      </w:r>
    </w:p>
    <w:p w14:paraId="12E22DE2"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5.</w:t>
      </w:r>
      <w:r w:rsidRPr="00A60A79">
        <w:rPr>
          <w:rFonts w:ascii="Arial" w:hAnsi="Arial" w:cs="Arial"/>
          <w:noProof/>
          <w:sz w:val="20"/>
          <w:szCs w:val="20"/>
        </w:rPr>
        <w:tab/>
        <w:t>EASAC. European Technology Assessment Group, European Parliament. Antibiotic resistance [IP/A/STOA/SC/2005-173]. 2006.</w:t>
      </w:r>
    </w:p>
    <w:p w14:paraId="0A06EE07"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6.</w:t>
      </w:r>
      <w:r w:rsidRPr="00A60A79">
        <w:rPr>
          <w:rFonts w:ascii="Arial" w:hAnsi="Arial" w:cs="Arial"/>
          <w:noProof/>
          <w:sz w:val="20"/>
          <w:szCs w:val="20"/>
        </w:rPr>
        <w:tab/>
        <w:t>Buehler SS, Madison B, Snyder SR, Derzon JH, Cornish NE, Saubolle MA, et al. Effectiveness of Practices To Increase Timeliness of Providing Targeted Therapy for Inpatients with Bloodstream Infections: a Laboratory Medicine Best Practices Systematic Review and Meta-analysis. Clinical Microbiology Reviews. 2016;29(1):59-103.</w:t>
      </w:r>
    </w:p>
    <w:p w14:paraId="46E63B7D"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7.</w:t>
      </w:r>
      <w:r w:rsidRPr="00A60A79">
        <w:rPr>
          <w:rFonts w:ascii="Arial" w:hAnsi="Arial" w:cs="Arial"/>
          <w:noProof/>
          <w:sz w:val="20"/>
          <w:szCs w:val="20"/>
        </w:rPr>
        <w:tab/>
        <w:t>Messacar K, Hurst AL, Child J, Campbell K, Palmer C, Hamilton S, et al. Clinical impact and provider acceptability of real-time antimicrobial stewardship decision support for rapid diagnostics in children with positive blood culture results. Journal of the Pediatric Infectious Diseases Society. 2017;6(3):267-74.</w:t>
      </w:r>
    </w:p>
    <w:p w14:paraId="0985060D"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8.</w:t>
      </w:r>
      <w:r w:rsidRPr="00A60A79">
        <w:rPr>
          <w:rFonts w:ascii="Arial" w:hAnsi="Arial" w:cs="Arial"/>
          <w:noProof/>
          <w:sz w:val="20"/>
          <w:szCs w:val="20"/>
        </w:rPr>
        <w:tab/>
        <w:t>Chaves NJ, Cheng AC, Runnegar N, Kirschner J, Lee T, Buising K. Analysis of knowledge and attitude surveys to identify barriers and enablers of appropriate antimicrobial prescribing in three Australian tertiary hospitals. 2014:568-74.</w:t>
      </w:r>
    </w:p>
    <w:p w14:paraId="4F45D9D1"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9.</w:t>
      </w:r>
      <w:r w:rsidRPr="00A60A79">
        <w:rPr>
          <w:rFonts w:ascii="Arial" w:hAnsi="Arial" w:cs="Arial"/>
          <w:noProof/>
          <w:sz w:val="20"/>
          <w:szCs w:val="20"/>
        </w:rPr>
        <w:tab/>
        <w:t>O’Neill J. Tackling drug-resistant infections globally: Final report and recommendations. London: HM Government and Wellcome Trust. Review on Antimicrobial Resistance, chaired by Jim O’Neill. 2016.</w:t>
      </w:r>
    </w:p>
    <w:p w14:paraId="45C21080"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10.</w:t>
      </w:r>
      <w:r w:rsidRPr="00A60A79">
        <w:rPr>
          <w:rFonts w:ascii="Arial" w:hAnsi="Arial" w:cs="Arial"/>
          <w:noProof/>
          <w:sz w:val="20"/>
          <w:szCs w:val="20"/>
        </w:rPr>
        <w:tab/>
        <w:t>Anton-Vazquez V, Adjepong S, Suarez C, Planche T. Evaluation of a new Rapid Antimicrobial Susceptibility system for Gram-negative and Gram-positive bloodstream infections: speed and accuracy of Alfred 60AST. BMC Microbiol. 2019;19(1):268.</w:t>
      </w:r>
    </w:p>
    <w:p w14:paraId="40FFD5B8"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11.</w:t>
      </w:r>
      <w:r w:rsidRPr="00A60A79">
        <w:rPr>
          <w:rFonts w:ascii="Arial" w:hAnsi="Arial" w:cs="Arial"/>
          <w:noProof/>
          <w:sz w:val="20"/>
          <w:szCs w:val="20"/>
        </w:rPr>
        <w:tab/>
        <w:t>Hulscher MEJL, Grol RPTM, van der Meer JWM. Antibiotic prescribing in hospitals: a social and behavioural scientific approach. The Lancet Infectious Diseases. 2010;10(3):167-75.</w:t>
      </w:r>
    </w:p>
    <w:p w14:paraId="31B6B7CE"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lastRenderedPageBreak/>
        <w:t>12.</w:t>
      </w:r>
      <w:r w:rsidRPr="00A60A79">
        <w:rPr>
          <w:rFonts w:ascii="Arial" w:hAnsi="Arial" w:cs="Arial"/>
          <w:noProof/>
          <w:sz w:val="20"/>
          <w:szCs w:val="20"/>
        </w:rPr>
        <w:tab/>
        <w:t>Charani E, Edwards R, Sevdalis N, Alexandrou B, Sibley E, Mullett D, et al. Behavior Change Strategies to Influence Antimicrobial Prescribing in Acute Care: A Systematic Review. Clinical Infectious Diseases. 2011;53(7):651-62.</w:t>
      </w:r>
    </w:p>
    <w:p w14:paraId="49B62A02"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13.</w:t>
      </w:r>
      <w:r w:rsidRPr="00A60A79">
        <w:rPr>
          <w:rFonts w:ascii="Arial" w:hAnsi="Arial" w:cs="Arial"/>
          <w:noProof/>
          <w:sz w:val="20"/>
          <w:szCs w:val="20"/>
        </w:rPr>
        <w:tab/>
        <w:t>Broom A, Broom J, Kirby E. Cultures of resistance? A Bourdieusian analysis of doctors' antibiotic prescribing. Soc Sci Med. 2014;110:81-8.</w:t>
      </w:r>
    </w:p>
    <w:p w14:paraId="6C767633"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14.</w:t>
      </w:r>
      <w:r w:rsidRPr="00A60A79">
        <w:rPr>
          <w:rFonts w:ascii="Arial" w:hAnsi="Arial" w:cs="Arial"/>
          <w:noProof/>
          <w:sz w:val="20"/>
          <w:szCs w:val="20"/>
        </w:rPr>
        <w:tab/>
        <w:t>De Souza V, MacFarlane A, Murphy AW, Hanahoe B, Barber A, Cormican M. A qualitative study of factors influencing antimicrobial prescribing by non-consultant hospital doctors. Journal of Antimicrobial Chemotherapy. 2006;58(4):840-3.</w:t>
      </w:r>
    </w:p>
    <w:p w14:paraId="17A17CD0"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15.</w:t>
      </w:r>
      <w:r w:rsidRPr="00A60A79">
        <w:rPr>
          <w:rFonts w:ascii="Arial" w:hAnsi="Arial" w:cs="Arial"/>
          <w:noProof/>
          <w:sz w:val="20"/>
          <w:szCs w:val="20"/>
        </w:rPr>
        <w:tab/>
        <w:t>SurveyMonkey. Location San Mateo, California, USA; main website.</w:t>
      </w:r>
    </w:p>
    <w:p w14:paraId="293DFBD3"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16.</w:t>
      </w:r>
      <w:r w:rsidRPr="00A60A79">
        <w:rPr>
          <w:rFonts w:ascii="Arial" w:hAnsi="Arial" w:cs="Arial"/>
          <w:noProof/>
          <w:sz w:val="20"/>
          <w:szCs w:val="20"/>
        </w:rPr>
        <w:tab/>
        <w:t>Hasson F KSMH. Research guidelines for the Delphi survey technique. J Adv Nurs. 2000;32(4):1008-15.</w:t>
      </w:r>
    </w:p>
    <w:p w14:paraId="49F29356"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17.</w:t>
      </w:r>
      <w:r w:rsidRPr="00A60A79">
        <w:rPr>
          <w:rFonts w:ascii="Arial" w:hAnsi="Arial" w:cs="Arial"/>
          <w:noProof/>
          <w:sz w:val="20"/>
          <w:szCs w:val="20"/>
        </w:rPr>
        <w:tab/>
        <w:t>Weiss E, Zahar JR, Lesprit P, Ruppe E, Leone M, Chastre J, et al. Elaboration of a consensual definition of de-escalation allowing a ranking of β-lactams. Clinical Microbiology and Infection. 2015.</w:t>
      </w:r>
    </w:p>
    <w:p w14:paraId="7A0B213B"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18.</w:t>
      </w:r>
      <w:r w:rsidRPr="00A60A79">
        <w:rPr>
          <w:rFonts w:ascii="Arial" w:hAnsi="Arial" w:cs="Arial"/>
          <w:noProof/>
          <w:sz w:val="20"/>
          <w:szCs w:val="20"/>
        </w:rPr>
        <w:tab/>
        <w:t>Powell C. The Delphi technique: myths and realities. J Adv Nurs. 2003;41(4):376-82.</w:t>
      </w:r>
    </w:p>
    <w:p w14:paraId="1806D038"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19.</w:t>
      </w:r>
      <w:r w:rsidRPr="00A60A79">
        <w:rPr>
          <w:rFonts w:ascii="Arial" w:hAnsi="Arial" w:cs="Arial"/>
          <w:noProof/>
          <w:sz w:val="20"/>
          <w:szCs w:val="20"/>
        </w:rPr>
        <w:tab/>
        <w:t>Corp. I. IBM SPSS Statistics for Windows, Version 21.0. Armonk, NY: IBM Corp. Released 2012. .</w:t>
      </w:r>
    </w:p>
    <w:p w14:paraId="586EAA84"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20.</w:t>
      </w:r>
      <w:r w:rsidRPr="00A60A79">
        <w:rPr>
          <w:rFonts w:ascii="Arial" w:hAnsi="Arial" w:cs="Arial"/>
          <w:noProof/>
          <w:sz w:val="20"/>
          <w:szCs w:val="20"/>
        </w:rPr>
        <w:tab/>
        <w:t>Calbo E, Álvarez-Rocha L, Gudiol F, Pasquau J. A review of the factors influencing antimicrobial prescribing. Enfermedades Infecciosas y Microbiología Clínica. 2013;31:12-5.</w:t>
      </w:r>
    </w:p>
    <w:p w14:paraId="2890704F"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21.</w:t>
      </w:r>
      <w:r w:rsidRPr="00A60A79">
        <w:rPr>
          <w:rFonts w:ascii="Arial" w:hAnsi="Arial" w:cs="Arial"/>
          <w:noProof/>
          <w:sz w:val="20"/>
          <w:szCs w:val="20"/>
        </w:rPr>
        <w:tab/>
        <w:t>Borg MA, Camilleri L. Broad-spectrum antibiotic use in Europe: more evidence of cultural influences on prescribing behaviour. Journal of Antimicrobial Chemotherapy. 2019.</w:t>
      </w:r>
    </w:p>
    <w:p w14:paraId="48313ED2"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22.</w:t>
      </w:r>
      <w:r w:rsidRPr="00A60A79">
        <w:rPr>
          <w:rFonts w:ascii="Arial" w:hAnsi="Arial" w:cs="Arial"/>
          <w:noProof/>
          <w:sz w:val="20"/>
          <w:szCs w:val="20"/>
        </w:rPr>
        <w:tab/>
        <w:t>Palamountain K, Baker J, Cowan E, Essajee S, Mazzola L, Metzler M. Perspectives on introduction and implementation of new point-of-care diagnostic tests. The Journal of infectious diseases. 2012;205:S181-S90.</w:t>
      </w:r>
    </w:p>
    <w:p w14:paraId="2443DA01"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23.</w:t>
      </w:r>
      <w:r w:rsidRPr="00A60A79">
        <w:rPr>
          <w:rFonts w:ascii="Arial" w:hAnsi="Arial" w:cs="Arial"/>
          <w:noProof/>
          <w:sz w:val="20"/>
          <w:szCs w:val="20"/>
        </w:rPr>
        <w:tab/>
        <w:t>Lewis PJ, Tully MP. Uncomfortable prescribing decisions in hospitals: the impact of teamwork. Journal of the Royal Society of Medicine. 2009;102(11):481-8.</w:t>
      </w:r>
    </w:p>
    <w:p w14:paraId="5A0F186D" w14:textId="77777777" w:rsidR="000C24F6" w:rsidRPr="00A60A79" w:rsidRDefault="000C24F6" w:rsidP="000C24F6">
      <w:pPr>
        <w:pStyle w:val="EndNoteBibliography"/>
        <w:spacing w:line="480" w:lineRule="auto"/>
        <w:jc w:val="both"/>
        <w:rPr>
          <w:rFonts w:ascii="Arial" w:hAnsi="Arial" w:cs="Arial"/>
          <w:noProof/>
          <w:sz w:val="20"/>
          <w:szCs w:val="20"/>
        </w:rPr>
      </w:pPr>
      <w:r w:rsidRPr="00A60A79">
        <w:rPr>
          <w:rFonts w:ascii="Arial" w:hAnsi="Arial" w:cs="Arial"/>
          <w:noProof/>
          <w:sz w:val="20"/>
          <w:szCs w:val="20"/>
        </w:rPr>
        <w:t>24.</w:t>
      </w:r>
      <w:r w:rsidRPr="00A60A79">
        <w:rPr>
          <w:rFonts w:ascii="Arial" w:hAnsi="Arial" w:cs="Arial"/>
          <w:noProof/>
          <w:sz w:val="20"/>
          <w:szCs w:val="20"/>
        </w:rPr>
        <w:tab/>
        <w:t>Horcajada JP, Grau S, Paño-Pardo JR, López A, Oliver A, Cisneros JM, et al. Antimicrobial stewardship in Spain: Programs for Optimizing the use of Antibiotics (PROA) in Spanish hospitals. Germs. 2018;8(3):109-12.</w:t>
      </w:r>
    </w:p>
    <w:p w14:paraId="1028F30E" w14:textId="77777777" w:rsidR="000C24F6" w:rsidRPr="0097192B" w:rsidRDefault="000C24F6" w:rsidP="000C24F6">
      <w:pPr>
        <w:spacing w:line="480" w:lineRule="auto"/>
        <w:jc w:val="both"/>
        <w:rPr>
          <w:rFonts w:ascii="Arial" w:hAnsi="Arial" w:cs="Arial"/>
          <w:sz w:val="20"/>
          <w:szCs w:val="20"/>
        </w:rPr>
      </w:pPr>
      <w:r w:rsidRPr="00A60A79">
        <w:rPr>
          <w:rFonts w:ascii="Arial" w:hAnsi="Arial" w:cs="Arial"/>
          <w:sz w:val="20"/>
          <w:szCs w:val="20"/>
        </w:rPr>
        <w:fldChar w:fldCharType="end"/>
      </w:r>
    </w:p>
    <w:p w14:paraId="1AD22A47" w14:textId="77777777" w:rsidR="006D6EBA" w:rsidRDefault="006D6EBA"/>
    <w:sectPr w:rsidR="006D6EBA" w:rsidSect="00B9493B">
      <w:footerReference w:type="even" r:id="rId6"/>
      <w:footerReference w:type="default" r:id="rId7"/>
      <w:pgSz w:w="11900" w:h="16840"/>
      <w:pgMar w:top="1440" w:right="1440" w:bottom="1440" w:left="1440"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0354689"/>
      <w:docPartObj>
        <w:docPartGallery w:val="Page Numbers (Bottom of Page)"/>
        <w:docPartUnique/>
      </w:docPartObj>
    </w:sdtPr>
    <w:sdtEndPr>
      <w:rPr>
        <w:rStyle w:val="PageNumber"/>
      </w:rPr>
    </w:sdtEndPr>
    <w:sdtContent>
      <w:p w14:paraId="0E011151" w14:textId="77777777" w:rsidR="002D7D72" w:rsidRDefault="000C24F6" w:rsidP="00EC74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210DD" w14:textId="77777777" w:rsidR="002D7D72" w:rsidRDefault="000C24F6" w:rsidP="00EC74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5932462"/>
      <w:docPartObj>
        <w:docPartGallery w:val="Page Numbers (Bottom of Page)"/>
        <w:docPartUnique/>
      </w:docPartObj>
    </w:sdtPr>
    <w:sdtEndPr>
      <w:rPr>
        <w:rStyle w:val="PageNumber"/>
      </w:rPr>
    </w:sdtEndPr>
    <w:sdtContent>
      <w:p w14:paraId="7039B754" w14:textId="77777777" w:rsidR="002D7D72" w:rsidRDefault="000C24F6" w:rsidP="00EC74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713AFA30" w14:textId="77777777" w:rsidR="002D7D72" w:rsidRDefault="000C24F6" w:rsidP="00EC7436">
    <w:pPr>
      <w:pStyle w:val="Footer"/>
      <w:tabs>
        <w:tab w:val="clear" w:pos="4419"/>
        <w:tab w:val="clear" w:pos="8838"/>
        <w:tab w:val="left" w:pos="5085"/>
      </w:tabs>
      <w:ind w:right="360"/>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F6"/>
    <w:rsid w:val="000020C8"/>
    <w:rsid w:val="000C24F6"/>
    <w:rsid w:val="000C57CC"/>
    <w:rsid w:val="000F30F1"/>
    <w:rsid w:val="00122C11"/>
    <w:rsid w:val="00130887"/>
    <w:rsid w:val="00182F25"/>
    <w:rsid w:val="001A2137"/>
    <w:rsid w:val="00263D3C"/>
    <w:rsid w:val="00265211"/>
    <w:rsid w:val="00277EDD"/>
    <w:rsid w:val="002C53B7"/>
    <w:rsid w:val="00353281"/>
    <w:rsid w:val="003638CA"/>
    <w:rsid w:val="003E4742"/>
    <w:rsid w:val="00470136"/>
    <w:rsid w:val="004B4B9D"/>
    <w:rsid w:val="00507100"/>
    <w:rsid w:val="0051514E"/>
    <w:rsid w:val="00525B06"/>
    <w:rsid w:val="00537063"/>
    <w:rsid w:val="00573C67"/>
    <w:rsid w:val="005B3AAB"/>
    <w:rsid w:val="006D1E76"/>
    <w:rsid w:val="006D6EBA"/>
    <w:rsid w:val="007F6E12"/>
    <w:rsid w:val="00822A70"/>
    <w:rsid w:val="008341E1"/>
    <w:rsid w:val="008571F0"/>
    <w:rsid w:val="00872A1E"/>
    <w:rsid w:val="008E3958"/>
    <w:rsid w:val="008F319D"/>
    <w:rsid w:val="008F58AF"/>
    <w:rsid w:val="00911998"/>
    <w:rsid w:val="00941477"/>
    <w:rsid w:val="00997B04"/>
    <w:rsid w:val="009F0470"/>
    <w:rsid w:val="00A0181B"/>
    <w:rsid w:val="00B11DB9"/>
    <w:rsid w:val="00B255FE"/>
    <w:rsid w:val="00B61C83"/>
    <w:rsid w:val="00BD5B2D"/>
    <w:rsid w:val="00C0534C"/>
    <w:rsid w:val="00C65267"/>
    <w:rsid w:val="00CB69BC"/>
    <w:rsid w:val="00CD6102"/>
    <w:rsid w:val="00D34DA7"/>
    <w:rsid w:val="00D54E51"/>
    <w:rsid w:val="00DC2AD2"/>
    <w:rsid w:val="00E2596C"/>
    <w:rsid w:val="00E36CDD"/>
    <w:rsid w:val="00E45048"/>
    <w:rsid w:val="00ED6947"/>
    <w:rsid w:val="00F17729"/>
    <w:rsid w:val="00F32BB1"/>
    <w:rsid w:val="00F872B1"/>
    <w:rsid w:val="00FA14BD"/>
    <w:rsid w:val="00FE7B74"/>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7BB3CD5E"/>
  <w15:chartTrackingRefBased/>
  <w15:docId w15:val="{C1C36729-D579-754E-A585-AF4F999E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F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0C24F6"/>
    <w:rPr>
      <w:rFonts w:ascii="Calibri" w:hAnsi="Calibri" w:cs="Calibri"/>
      <w:lang w:val="en-US"/>
    </w:rPr>
  </w:style>
  <w:style w:type="character" w:customStyle="1" w:styleId="EndNoteBibliographyChar">
    <w:name w:val="EndNote Bibliography Char"/>
    <w:basedOn w:val="DefaultParagraphFont"/>
    <w:link w:val="EndNoteBibliography"/>
    <w:rsid w:val="000C24F6"/>
    <w:rPr>
      <w:rFonts w:ascii="Calibri" w:hAnsi="Calibri" w:cs="Calibri"/>
      <w:lang w:val="en-US"/>
    </w:rPr>
  </w:style>
  <w:style w:type="character" w:styleId="Emphasis">
    <w:name w:val="Emphasis"/>
    <w:basedOn w:val="DefaultParagraphFont"/>
    <w:uiPriority w:val="20"/>
    <w:qFormat/>
    <w:rsid w:val="000C24F6"/>
    <w:rPr>
      <w:i/>
      <w:iCs/>
    </w:rPr>
  </w:style>
  <w:style w:type="character" w:styleId="Hyperlink">
    <w:name w:val="Hyperlink"/>
    <w:basedOn w:val="DefaultParagraphFont"/>
    <w:uiPriority w:val="99"/>
    <w:unhideWhenUsed/>
    <w:rsid w:val="000C24F6"/>
    <w:rPr>
      <w:color w:val="0563C1" w:themeColor="hyperlink"/>
      <w:u w:val="single"/>
    </w:rPr>
  </w:style>
  <w:style w:type="character" w:styleId="CommentReference">
    <w:name w:val="annotation reference"/>
    <w:basedOn w:val="DefaultParagraphFont"/>
    <w:uiPriority w:val="99"/>
    <w:semiHidden/>
    <w:unhideWhenUsed/>
    <w:rsid w:val="000C24F6"/>
    <w:rPr>
      <w:sz w:val="16"/>
      <w:szCs w:val="16"/>
    </w:rPr>
  </w:style>
  <w:style w:type="paragraph" w:styleId="NoSpacing">
    <w:name w:val="No Spacing"/>
    <w:uiPriority w:val="1"/>
    <w:qFormat/>
    <w:rsid w:val="000C24F6"/>
    <w:rPr>
      <w:sz w:val="22"/>
      <w:szCs w:val="22"/>
      <w:lang w:val="en-GB"/>
    </w:rPr>
  </w:style>
  <w:style w:type="paragraph" w:styleId="Footer">
    <w:name w:val="footer"/>
    <w:basedOn w:val="Normal"/>
    <w:link w:val="FooterChar"/>
    <w:uiPriority w:val="99"/>
    <w:unhideWhenUsed/>
    <w:rsid w:val="000C24F6"/>
    <w:pPr>
      <w:tabs>
        <w:tab w:val="center" w:pos="4419"/>
        <w:tab w:val="right" w:pos="8838"/>
      </w:tabs>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0C24F6"/>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0C24F6"/>
  </w:style>
  <w:style w:type="character" w:styleId="LineNumber">
    <w:name w:val="line number"/>
    <w:basedOn w:val="DefaultParagraphFont"/>
    <w:uiPriority w:val="99"/>
    <w:semiHidden/>
    <w:unhideWhenUsed/>
    <w:rsid w:val="000C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surveymonkey.co.uk/r/RM6VMPC" TargetMode="External"/><Relationship Id="rId4" Type="http://schemas.openxmlformats.org/officeDocument/2006/relationships/hyperlink" Target="mailto:v.anton-vazquez@nh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9303</Words>
  <Characters>53031</Characters>
  <Application>Microsoft Office Word</Application>
  <DocSecurity>0</DocSecurity>
  <Lines>441</Lines>
  <Paragraphs>124</Paragraphs>
  <ScaleCrop>false</ScaleCrop>
  <Company/>
  <LinksUpToDate>false</LinksUpToDate>
  <CharactersWithSpaces>62210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Anton</dc:creator>
  <cp:keywords/>
  <dc:description/>
  <cp:lastModifiedBy>Vanesa Anton</cp:lastModifiedBy>
  <cp:revision>1</cp:revision>
  <dcterms:created xsi:type="dcterms:W3CDTF">2021-01-19T20:27:00Z</dcterms:created>
  <dcterms:modified xsi:type="dcterms:W3CDTF">2021-01-19T20:32:00Z</dcterms:modified>
</cp:coreProperties>
</file>