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3B57B" w14:textId="2A649807" w:rsidR="000F531E" w:rsidRDefault="000F531E" w:rsidP="00E820A7">
      <w:pPr>
        <w:spacing w:after="120"/>
      </w:pPr>
      <w:r>
        <w:t>Dear Editor:</w:t>
      </w:r>
    </w:p>
    <w:p w14:paraId="54C8B45F" w14:textId="1FF7CC9B" w:rsidR="00E9133A" w:rsidRDefault="007B0AF2" w:rsidP="00E820A7">
      <w:pPr>
        <w:spacing w:after="120"/>
      </w:pPr>
      <w:r>
        <w:t>Randall and Larner</w:t>
      </w:r>
      <w:r w:rsidR="00A41162">
        <w:rPr>
          <w:vertAlign w:val="superscript"/>
        </w:rPr>
        <w:t>1</w:t>
      </w:r>
      <w:r w:rsidR="008F3200">
        <w:t xml:space="preserve"> are right to draw</w:t>
      </w:r>
      <w:r>
        <w:t xml:space="preserve"> attention to the </w:t>
      </w:r>
      <w:r w:rsidR="000B1654">
        <w:t>fact that the syndromes of</w:t>
      </w:r>
      <w:r>
        <w:t xml:space="preserve"> </w:t>
      </w:r>
      <w:r w:rsidR="009528CE">
        <w:t>primary progressive aphasia (</w:t>
      </w:r>
      <w:r>
        <w:t>PPA</w:t>
      </w:r>
      <w:r w:rsidR="009528CE">
        <w:t>)</w:t>
      </w:r>
      <w:r w:rsidR="000B1654">
        <w:t xml:space="preserve"> </w:t>
      </w:r>
      <w:r w:rsidR="00B5728E">
        <w:t xml:space="preserve">remain </w:t>
      </w:r>
      <w:r w:rsidR="00E17C5D">
        <w:t xml:space="preserve">unfamiliar to </w:t>
      </w:r>
      <w:r w:rsidR="001456E3">
        <w:t>some</w:t>
      </w:r>
      <w:r w:rsidR="00B5728E">
        <w:t xml:space="preserve"> clinicians</w:t>
      </w:r>
      <w:r>
        <w:t>.</w:t>
      </w:r>
      <w:r w:rsidR="00B5728E">
        <w:t xml:space="preserve">  </w:t>
      </w:r>
      <w:r w:rsidR="001456E3">
        <w:t xml:space="preserve">One reason is the ‘Black Magic fallacy’ – the </w:t>
      </w:r>
      <w:r w:rsidR="00B5728E">
        <w:t>assumption</w:t>
      </w:r>
      <w:r w:rsidR="00E17C5D">
        <w:t xml:space="preserve"> </w:t>
      </w:r>
      <w:r w:rsidR="00B5728E">
        <w:t xml:space="preserve">that </w:t>
      </w:r>
      <w:r w:rsidR="001733E9">
        <w:t>understanding a</w:t>
      </w:r>
      <w:r w:rsidR="00110E09">
        <w:t xml:space="preserve"> </w:t>
      </w:r>
      <w:r w:rsidR="001456E3">
        <w:t>disorder</w:t>
      </w:r>
      <w:r w:rsidR="001733E9">
        <w:t xml:space="preserve"> requires</w:t>
      </w:r>
      <w:r w:rsidR="001456E3">
        <w:t xml:space="preserve"> a highly specialised skill set</w:t>
      </w:r>
      <w:r w:rsidR="00401907">
        <w:t xml:space="preserve">. The </w:t>
      </w:r>
      <w:r w:rsidR="00E9133A">
        <w:t>cases</w:t>
      </w:r>
      <w:r w:rsidR="00F500AB">
        <w:t xml:space="preserve"> presented</w:t>
      </w:r>
      <w:r w:rsidR="00E9133A">
        <w:t xml:space="preserve"> </w:t>
      </w:r>
      <w:r w:rsidR="00401907">
        <w:t xml:space="preserve">highlight </w:t>
      </w:r>
      <w:r w:rsidR="00A808EF">
        <w:t>three</w:t>
      </w:r>
      <w:r w:rsidR="00401907">
        <w:t xml:space="preserve"> other</w:t>
      </w:r>
      <w:r w:rsidR="00F2037F">
        <w:t>s</w:t>
      </w:r>
      <w:r w:rsidR="00E9133A">
        <w:t xml:space="preserve">: </w:t>
      </w:r>
      <w:r w:rsidR="00574A65">
        <w:t xml:space="preserve">the omission from </w:t>
      </w:r>
      <w:r w:rsidR="00EE2075">
        <w:t xml:space="preserve">standard </w:t>
      </w:r>
      <w:r w:rsidR="00574A65">
        <w:t xml:space="preserve">clinical assessment of </w:t>
      </w:r>
      <w:r w:rsidR="00296E3C">
        <w:t xml:space="preserve">a </w:t>
      </w:r>
      <w:r w:rsidR="006C1700">
        <w:t xml:space="preserve">simple </w:t>
      </w:r>
      <w:r w:rsidR="00F2037F">
        <w:t xml:space="preserve">test of </w:t>
      </w:r>
      <w:r w:rsidR="00574A65">
        <w:t>motor speech</w:t>
      </w:r>
      <w:r w:rsidR="00296E3C">
        <w:t xml:space="preserve"> (the ‘pataka test’</w:t>
      </w:r>
      <w:r w:rsidR="00574A65">
        <w:t xml:space="preserve">); </w:t>
      </w:r>
      <w:r w:rsidR="00A808EF">
        <w:t>failure to appreciate the significance of</w:t>
      </w:r>
      <w:r w:rsidR="00E9133A">
        <w:t xml:space="preserve"> </w:t>
      </w:r>
      <w:r w:rsidR="00A808EF">
        <w:t xml:space="preserve">subtle radiological changes such as </w:t>
      </w:r>
      <w:r w:rsidR="00E9133A">
        <w:t>asymmetric widening of the sylvian fissure</w:t>
      </w:r>
      <w:r w:rsidR="00A808EF">
        <w:t xml:space="preserve">; </w:t>
      </w:r>
      <w:r w:rsidR="00B77605">
        <w:t>and the</w:t>
      </w:r>
      <w:r w:rsidR="00E9133A">
        <w:t xml:space="preserve"> </w:t>
      </w:r>
      <w:r w:rsidR="00B77605">
        <w:t xml:space="preserve">assumption that </w:t>
      </w:r>
      <w:r w:rsidR="00110E09">
        <w:t>a speech/language disorder is a sign of</w:t>
      </w:r>
      <w:r w:rsidR="00E9133A">
        <w:t xml:space="preserve"> vascular </w:t>
      </w:r>
      <w:r w:rsidR="00110E09">
        <w:t>pathology.</w:t>
      </w:r>
      <w:r w:rsidR="005340EC">
        <w:t xml:space="preserve">  We agree that </w:t>
      </w:r>
      <w:r w:rsidR="00985A1D">
        <w:t xml:space="preserve">a structured clinical approach to </w:t>
      </w:r>
      <w:r w:rsidR="00B45B14">
        <w:t xml:space="preserve">the suspected involvement of language in </w:t>
      </w:r>
      <w:r w:rsidR="0095460A">
        <w:t xml:space="preserve">a patient presenting with cognitive change </w:t>
      </w:r>
      <w:r w:rsidR="008720E3">
        <w:t xml:space="preserve">could </w:t>
      </w:r>
      <w:r w:rsidR="001733E9">
        <w:t>help</w:t>
      </w:r>
      <w:r w:rsidR="00EE2075">
        <w:t xml:space="preserve"> both in </w:t>
      </w:r>
      <w:r w:rsidR="008720E3">
        <w:t>overcom</w:t>
      </w:r>
      <w:r w:rsidR="00EE2075">
        <w:t>ing</w:t>
      </w:r>
      <w:r w:rsidR="008720E3">
        <w:t xml:space="preserve"> barriers </w:t>
      </w:r>
      <w:r w:rsidR="009528CE">
        <w:t>to</w:t>
      </w:r>
      <w:r w:rsidR="006C1700">
        <w:t xml:space="preserve"> </w:t>
      </w:r>
      <w:r w:rsidR="00185E79">
        <w:t>the</w:t>
      </w:r>
      <w:r w:rsidR="009528CE">
        <w:t xml:space="preserve"> thorough</w:t>
      </w:r>
      <w:r w:rsidR="008720E3">
        <w:t xml:space="preserve"> assessment of patients presenting to memory </w:t>
      </w:r>
      <w:r w:rsidR="00E376F5">
        <w:t>clinics and</w:t>
      </w:r>
      <w:r w:rsidR="008720E3">
        <w:t xml:space="preserve"> </w:t>
      </w:r>
      <w:r w:rsidR="00EE2075">
        <w:t xml:space="preserve">in </w:t>
      </w:r>
      <w:r w:rsidR="008720E3">
        <w:t>improv</w:t>
      </w:r>
      <w:r w:rsidR="00EE2075">
        <w:t>ing</w:t>
      </w:r>
      <w:r w:rsidR="008720E3">
        <w:t xml:space="preserve"> </w:t>
      </w:r>
      <w:r w:rsidR="009528CE">
        <w:t xml:space="preserve">clinicians’ </w:t>
      </w:r>
      <w:r w:rsidR="008720E3">
        <w:t>awareness of th</w:t>
      </w:r>
      <w:r w:rsidR="009528CE">
        <w:t>is</w:t>
      </w:r>
      <w:r w:rsidR="008720E3">
        <w:t xml:space="preserve"> group of disorders</w:t>
      </w:r>
      <w:r w:rsidR="009528CE">
        <w:t>.</w:t>
      </w:r>
    </w:p>
    <w:p w14:paraId="3BA22A54" w14:textId="658BA9B3" w:rsidR="007B4E41" w:rsidRDefault="005340EC" w:rsidP="00E820A7">
      <w:pPr>
        <w:spacing w:after="120"/>
      </w:pPr>
      <w:r>
        <w:t>In this</w:t>
      </w:r>
      <w:r w:rsidR="00110E09">
        <w:t xml:space="preserve"> context we </w:t>
      </w:r>
      <w:r w:rsidR="00B94535">
        <w:t xml:space="preserve">were pleased to see </w:t>
      </w:r>
      <w:r w:rsidR="00753A40">
        <w:t>reference to</w:t>
      </w:r>
      <w:r w:rsidR="00B94535">
        <w:t xml:space="preserve"> the </w:t>
      </w:r>
      <w:r w:rsidR="00E52206">
        <w:t>preparation</w:t>
      </w:r>
      <w:r w:rsidR="00B94535">
        <w:t xml:space="preserve"> of </w:t>
      </w:r>
      <w:r w:rsidR="00685E2F">
        <w:t>‘</w:t>
      </w:r>
      <w:r w:rsidR="00B94535">
        <w:t>a mini linguistic state examination</w:t>
      </w:r>
      <w:r w:rsidR="007B0AF2">
        <w:t xml:space="preserve"> </w:t>
      </w:r>
      <w:r w:rsidR="00B94535">
        <w:t>(</w:t>
      </w:r>
      <w:r w:rsidR="007B0AF2">
        <w:t>MLSE</w:t>
      </w:r>
      <w:r w:rsidR="00B94535">
        <w:t>)</w:t>
      </w:r>
      <w:r w:rsidR="00685E2F">
        <w:t>’</w:t>
      </w:r>
      <w:r w:rsidR="00753A40">
        <w:t>. We have recently complete</w:t>
      </w:r>
      <w:r w:rsidR="00D6424C">
        <w:t>d a thorough</w:t>
      </w:r>
      <w:r w:rsidR="00753A40">
        <w:t xml:space="preserve"> v</w:t>
      </w:r>
      <w:r w:rsidR="007B0AF2">
        <w:t>alidation</w:t>
      </w:r>
      <w:r w:rsidR="00D6424C">
        <w:t xml:space="preserve"> of this instrument</w:t>
      </w:r>
      <w:r w:rsidR="007B0AF2">
        <w:t xml:space="preserve"> in a cohort of</w:t>
      </w:r>
      <w:r w:rsidR="00665D67">
        <w:t xml:space="preserve"> </w:t>
      </w:r>
      <w:r w:rsidR="00D65651">
        <w:t>54 patients</w:t>
      </w:r>
      <w:r w:rsidR="007B0AF2">
        <w:t xml:space="preserve"> </w:t>
      </w:r>
      <w:r w:rsidR="00D6424C">
        <w:t xml:space="preserve">meeting </w:t>
      </w:r>
      <w:r w:rsidR="00665D67">
        <w:t xml:space="preserve">the </w:t>
      </w:r>
      <w:r w:rsidR="00D6424C">
        <w:t xml:space="preserve">accepted </w:t>
      </w:r>
      <w:r w:rsidR="00D65651">
        <w:t>criteria for</w:t>
      </w:r>
      <w:r w:rsidR="007B0AF2">
        <w:t xml:space="preserve"> the three main variants</w:t>
      </w:r>
      <w:r w:rsidR="00D6424C">
        <w:t xml:space="preserve"> of PPA</w:t>
      </w:r>
      <w:r w:rsidR="00665D67">
        <w:t xml:space="preserve"> (</w:t>
      </w:r>
      <w:r w:rsidR="00D65651">
        <w:t xml:space="preserve">authors’ </w:t>
      </w:r>
      <w:r w:rsidR="00665D67">
        <w:t>Table 1)</w:t>
      </w:r>
      <w:r w:rsidR="00A41162">
        <w:t>.</w:t>
      </w:r>
      <w:r w:rsidR="00A41162">
        <w:rPr>
          <w:vertAlign w:val="superscript"/>
        </w:rPr>
        <w:t xml:space="preserve">2 </w:t>
      </w:r>
      <w:r w:rsidR="007B0AF2">
        <w:t xml:space="preserve">  </w:t>
      </w:r>
      <w:r w:rsidR="00D6424C">
        <w:t xml:space="preserve">Although </w:t>
      </w:r>
      <w:r w:rsidR="006872A3">
        <w:t xml:space="preserve">scoring of the test - which relies on the </w:t>
      </w:r>
      <w:r w:rsidR="00C663AC">
        <w:t>recognition</w:t>
      </w:r>
      <w:r w:rsidR="006872A3">
        <w:t xml:space="preserve"> of error</w:t>
      </w:r>
      <w:r w:rsidR="00D24D66">
        <w:t xml:space="preserve"> types</w:t>
      </w:r>
      <w:r w:rsidR="006872A3">
        <w:t xml:space="preserve"> rather than</w:t>
      </w:r>
      <w:r w:rsidR="00D24D66">
        <w:t xml:space="preserve"> a</w:t>
      </w:r>
      <w:r w:rsidR="006872A3">
        <w:t xml:space="preserve"> simple summation of </w:t>
      </w:r>
      <w:r w:rsidR="00D24D66">
        <w:t>correct responses</w:t>
      </w:r>
      <w:r w:rsidR="006872A3">
        <w:t xml:space="preserve"> - </w:t>
      </w:r>
      <w:r w:rsidR="00D97E9B">
        <w:t xml:space="preserve">may </w:t>
      </w:r>
      <w:r w:rsidR="00B534B2">
        <w:t>at first seem</w:t>
      </w:r>
      <w:r w:rsidR="007B4E41">
        <w:t xml:space="preserve"> unfamiliar</w:t>
      </w:r>
      <w:r w:rsidR="00D97E9B">
        <w:t>,</w:t>
      </w:r>
      <w:r w:rsidR="007B4E41">
        <w:t xml:space="preserve"> administration of </w:t>
      </w:r>
      <w:r w:rsidR="007B0AF2">
        <w:t xml:space="preserve">the </w:t>
      </w:r>
      <w:r w:rsidR="00D65651">
        <w:t xml:space="preserve">MLSE </w:t>
      </w:r>
      <w:r w:rsidR="007B0AF2">
        <w:t>is</w:t>
      </w:r>
      <w:r w:rsidR="007B4E41">
        <w:t xml:space="preserve"> </w:t>
      </w:r>
      <w:r w:rsidR="00EE2075">
        <w:t>not much</w:t>
      </w:r>
      <w:r w:rsidR="007B0AF2">
        <w:t xml:space="preserve"> mor</w:t>
      </w:r>
      <w:r w:rsidR="00665D67">
        <w:t>e</w:t>
      </w:r>
      <w:r w:rsidR="007B0AF2">
        <w:t xml:space="preserve"> time consuming </w:t>
      </w:r>
      <w:r w:rsidR="007B4E41">
        <w:t xml:space="preserve">than </w:t>
      </w:r>
      <w:r w:rsidR="00AF5129">
        <w:t>an</w:t>
      </w:r>
      <w:r w:rsidR="007B4E41">
        <w:t xml:space="preserve"> MMSE or MoC</w:t>
      </w:r>
      <w:r w:rsidR="00AF5129">
        <w:t>A</w:t>
      </w:r>
      <w:r w:rsidR="007B4E41">
        <w:t xml:space="preserve">, and </w:t>
      </w:r>
      <w:r w:rsidR="00B534B2">
        <w:t xml:space="preserve">should be </w:t>
      </w:r>
      <w:r w:rsidR="00EE2075">
        <w:t>able to be accommodated</w:t>
      </w:r>
      <w:r w:rsidR="007B4E41">
        <w:t xml:space="preserve"> with</w:t>
      </w:r>
      <w:r w:rsidR="00EE2075">
        <w:t>in</w:t>
      </w:r>
      <w:r w:rsidR="007B4E41">
        <w:t xml:space="preserve"> a </w:t>
      </w:r>
      <w:r w:rsidR="001E586A">
        <w:t xml:space="preserve">standard </w:t>
      </w:r>
      <w:r w:rsidR="007B4E41">
        <w:t>clinic assessment</w:t>
      </w:r>
      <w:r w:rsidR="007B0AF2">
        <w:t xml:space="preserve">.  </w:t>
      </w:r>
    </w:p>
    <w:p w14:paraId="567E3C9B" w14:textId="777414AD" w:rsidR="006F394D" w:rsidRPr="006F394D" w:rsidRDefault="007B4E41" w:rsidP="00E820A7">
      <w:pPr>
        <w:spacing w:after="120"/>
      </w:pPr>
      <w:r>
        <w:t xml:space="preserve">A paper reporting the </w:t>
      </w:r>
      <w:r w:rsidR="007B0AF2">
        <w:t xml:space="preserve">diagnostic properties of the test </w:t>
      </w:r>
      <w:r>
        <w:t>is</w:t>
      </w:r>
      <w:r w:rsidR="007B0AF2">
        <w:t xml:space="preserve"> currently under review</w:t>
      </w:r>
      <w:r w:rsidR="00E33AD0">
        <w:t xml:space="preserve">, </w:t>
      </w:r>
      <w:r w:rsidR="001E586A">
        <w:t>with</w:t>
      </w:r>
      <w:r w:rsidR="00E33AD0">
        <w:t xml:space="preserve"> </w:t>
      </w:r>
      <w:r w:rsidR="007B0AF2">
        <w:t xml:space="preserve">a preprint available </w:t>
      </w:r>
      <w:r w:rsidR="00D26FDE">
        <w:t xml:space="preserve">at </w:t>
      </w:r>
      <w:hyperlink r:id="rId5" w:history="1">
        <w:r w:rsidR="00522D9A" w:rsidRPr="00522D9A">
          <w:rPr>
            <w:rFonts w:ascii="Times New Roman" w:eastAsia="Times New Roman" w:hAnsi="Times New Roman" w:cs="Times New Roman"/>
            <w:color w:val="0000FF"/>
            <w:u w:val="single"/>
          </w:rPr>
          <w:t>https://www.medrxiv.org/search/MLSE</w:t>
        </w:r>
      </w:hyperlink>
      <w:r w:rsidR="00522D9A">
        <w:rPr>
          <w:rFonts w:ascii="Times New Roman" w:eastAsia="Times New Roman" w:hAnsi="Times New Roman" w:cs="Times New Roman"/>
        </w:rPr>
        <w:t xml:space="preserve">. </w:t>
      </w:r>
      <w:r w:rsidR="001E586A">
        <w:rPr>
          <w:rFonts w:ascii="Times New Roman" w:eastAsia="Times New Roman" w:hAnsi="Times New Roman" w:cs="Times New Roman"/>
        </w:rPr>
        <w:t xml:space="preserve"> </w:t>
      </w:r>
      <w:r w:rsidR="00522D9A">
        <w:rPr>
          <w:rFonts w:ascii="Times New Roman" w:eastAsia="Times New Roman" w:hAnsi="Times New Roman" w:cs="Times New Roman"/>
        </w:rPr>
        <w:t xml:space="preserve">Our results </w:t>
      </w:r>
      <w:r w:rsidR="00024E56">
        <w:rPr>
          <w:rFonts w:ascii="Times New Roman" w:eastAsia="Times New Roman" w:hAnsi="Times New Roman" w:cs="Times New Roman"/>
        </w:rPr>
        <w:t>suggest</w:t>
      </w:r>
      <w:r w:rsidR="007B0AF2">
        <w:t xml:space="preserve"> that</w:t>
      </w:r>
      <w:r w:rsidR="00024E56">
        <w:t xml:space="preserve"> the application of</w:t>
      </w:r>
      <w:r w:rsidR="007B0AF2">
        <w:t xml:space="preserve"> a few rules</w:t>
      </w:r>
      <w:r w:rsidR="00C74438">
        <w:t xml:space="preserve"> to </w:t>
      </w:r>
      <w:r w:rsidR="00185E79">
        <w:t>classify</w:t>
      </w:r>
      <w:r w:rsidR="00C74438">
        <w:t xml:space="preserve"> errors across a series of</w:t>
      </w:r>
      <w:r w:rsidR="00C74438" w:rsidRPr="00F0796E">
        <w:rPr>
          <w:color w:val="FF0000"/>
        </w:rPr>
        <w:t xml:space="preserve"> </w:t>
      </w:r>
      <w:r w:rsidR="00C74438">
        <w:t>simple linguistic assays</w:t>
      </w:r>
      <w:r w:rsidR="001E586A">
        <w:t xml:space="preserve"> (which include the ‘pataka’ test)</w:t>
      </w:r>
      <w:r w:rsidR="00024E56">
        <w:t xml:space="preserve"> can </w:t>
      </w:r>
      <w:r w:rsidR="00E0006C">
        <w:t xml:space="preserve">support rapid and confident diagnoses of </w:t>
      </w:r>
      <w:r w:rsidR="00665D67">
        <w:t>svPPA</w:t>
      </w:r>
      <w:r w:rsidR="00E0006C">
        <w:t>,</w:t>
      </w:r>
      <w:r w:rsidR="007B0AF2">
        <w:t xml:space="preserve"> </w:t>
      </w:r>
      <w:r w:rsidR="00665D67">
        <w:t>nfvPPA</w:t>
      </w:r>
      <w:r w:rsidR="007B0AF2">
        <w:t xml:space="preserve"> and </w:t>
      </w:r>
      <w:r w:rsidR="00665D67">
        <w:t>lvPPA</w:t>
      </w:r>
      <w:r w:rsidR="00E0006C">
        <w:t xml:space="preserve">. </w:t>
      </w:r>
      <w:r w:rsidR="0013181F">
        <w:t>Moreover,</w:t>
      </w:r>
      <w:r w:rsidR="007B0AF2">
        <w:t xml:space="preserve"> </w:t>
      </w:r>
      <w:r w:rsidR="00E0006C">
        <w:t xml:space="preserve">patients who </w:t>
      </w:r>
      <w:r w:rsidR="007B0AF2">
        <w:t xml:space="preserve">do not fall </w:t>
      </w:r>
      <w:r w:rsidR="00E0006C">
        <w:t>neatly</w:t>
      </w:r>
      <w:r w:rsidR="007B0AF2">
        <w:t xml:space="preserve"> into one of these categories (‘mixed’ PPA</w:t>
      </w:r>
      <w:r w:rsidR="00A41162">
        <w:t>)</w:t>
      </w:r>
      <w:r w:rsidR="00A41162">
        <w:rPr>
          <w:vertAlign w:val="superscript"/>
        </w:rPr>
        <w:t>3</w:t>
      </w:r>
      <w:r w:rsidR="007B0AF2">
        <w:t xml:space="preserve"> can be described</w:t>
      </w:r>
      <w:r w:rsidR="0013181F">
        <w:t xml:space="preserve">, </w:t>
      </w:r>
      <w:r w:rsidR="00D5647C">
        <w:t>rather than</w:t>
      </w:r>
      <w:r w:rsidR="0013181F">
        <w:t xml:space="preserve"> omitted because </w:t>
      </w:r>
      <w:r w:rsidR="00314CC8">
        <w:t xml:space="preserve">the nature of </w:t>
      </w:r>
      <w:r w:rsidR="00A67C8F">
        <w:t xml:space="preserve">their </w:t>
      </w:r>
      <w:r w:rsidR="00314CC8">
        <w:t>deficit is not cleanly captured by</w:t>
      </w:r>
      <w:r w:rsidR="00A67C8F">
        <w:t xml:space="preserve"> </w:t>
      </w:r>
      <w:r w:rsidR="00314CC8">
        <w:t xml:space="preserve">the </w:t>
      </w:r>
      <w:r w:rsidR="00900F01">
        <w:t xml:space="preserve">‘paradigm syndromes’ </w:t>
      </w:r>
      <w:r w:rsidR="00A67C8F">
        <w:t>heuristic</w:t>
      </w:r>
      <w:r w:rsidR="00314CC8">
        <w:t xml:space="preserve">. </w:t>
      </w:r>
      <w:r w:rsidR="007B0AF2">
        <w:t xml:space="preserve">  </w:t>
      </w:r>
    </w:p>
    <w:p w14:paraId="5B3DCD7E" w14:textId="3567D15D" w:rsidR="007058DA" w:rsidRPr="00B024B2" w:rsidRDefault="001A1B57" w:rsidP="00E820A7">
      <w:pPr>
        <w:spacing w:after="120"/>
        <w:rPr>
          <w:rFonts w:ascii="Times New Roman" w:eastAsia="Times New Roman" w:hAnsi="Times New Roman" w:cs="Times New Roman"/>
        </w:rPr>
      </w:pPr>
      <w:r>
        <w:t>T</w:t>
      </w:r>
      <w:r w:rsidR="007B0AF2">
        <w:t xml:space="preserve">he </w:t>
      </w:r>
      <w:r>
        <w:t>MLSE</w:t>
      </w:r>
      <w:r w:rsidR="007B0AF2">
        <w:t xml:space="preserve"> </w:t>
      </w:r>
      <w:r w:rsidR="00314CC8">
        <w:t>has</w:t>
      </w:r>
      <w:r w:rsidR="0034361B">
        <w:t xml:space="preserve"> </w:t>
      </w:r>
      <w:r w:rsidR="00314CC8">
        <w:t>been validated</w:t>
      </w:r>
      <w:r w:rsidR="00192547" w:rsidRPr="00192547">
        <w:t xml:space="preserve"> </w:t>
      </w:r>
      <w:r w:rsidR="00192547">
        <w:t>not only</w:t>
      </w:r>
      <w:r w:rsidR="00314CC8">
        <w:t xml:space="preserve"> </w:t>
      </w:r>
      <w:r w:rsidR="007B0AF2">
        <w:t xml:space="preserve">in English (including a cultural adaptation suitable for </w:t>
      </w:r>
      <w:r w:rsidR="00314CC8">
        <w:t xml:space="preserve">use in </w:t>
      </w:r>
      <w:r w:rsidR="007B0AF2">
        <w:t>North America)</w:t>
      </w:r>
      <w:r w:rsidR="00192547">
        <w:t xml:space="preserve"> but also</w:t>
      </w:r>
      <w:r w:rsidR="006F394D">
        <w:t xml:space="preserve"> in</w:t>
      </w:r>
      <w:r w:rsidR="00192547">
        <w:t xml:space="preserve"> </w:t>
      </w:r>
      <w:r w:rsidR="007B0AF2">
        <w:t>Italian</w:t>
      </w:r>
      <w:r w:rsidR="00BB275C">
        <w:t xml:space="preserve"> and Spanis</w:t>
      </w:r>
      <w:r w:rsidR="0034361B">
        <w:t>h</w:t>
      </w:r>
      <w:r w:rsidR="00B024B2">
        <w:t xml:space="preserve">. Work on </w:t>
      </w:r>
      <w:r w:rsidR="001C0F9A">
        <w:t xml:space="preserve">the </w:t>
      </w:r>
      <w:r w:rsidR="007B0AF2">
        <w:t xml:space="preserve">more challenging </w:t>
      </w:r>
      <w:r w:rsidR="001C0F9A">
        <w:t xml:space="preserve">modifications required </w:t>
      </w:r>
      <w:r>
        <w:t>to achieve</w:t>
      </w:r>
      <w:r w:rsidR="001C0F9A">
        <w:t xml:space="preserve"> equivalence in </w:t>
      </w:r>
      <w:r w:rsidR="00B024B2">
        <w:t xml:space="preserve">languages outside the Indo-European family </w:t>
      </w:r>
      <w:r>
        <w:t>is shortly to commence</w:t>
      </w:r>
      <w:r w:rsidR="00CC782D">
        <w:t xml:space="preserve">.  </w:t>
      </w:r>
      <w:r>
        <w:t>The MLSE</w:t>
      </w:r>
      <w:r w:rsidR="00CC782D">
        <w:t xml:space="preserve"> is free to use for clinical purposes, and the test can be downloaded from </w:t>
      </w:r>
      <w:hyperlink r:id="rId6" w:history="1">
        <w:r w:rsidR="007058DA" w:rsidRPr="007058DA">
          <w:rPr>
            <w:rFonts w:ascii="Times New Roman" w:eastAsia="Times New Roman" w:hAnsi="Times New Roman" w:cs="Times New Roman"/>
            <w:color w:val="0000FF"/>
            <w:u w:val="single"/>
          </w:rPr>
          <w:t>http://mlsexam.com</w:t>
        </w:r>
      </w:hyperlink>
      <w:r w:rsidR="00B024B2">
        <w:rPr>
          <w:rFonts w:ascii="Times New Roman" w:eastAsia="Times New Roman" w:hAnsi="Times New Roman" w:cs="Times New Roman"/>
        </w:rPr>
        <w:t xml:space="preserve"> </w:t>
      </w:r>
      <w:r w:rsidR="007058DA">
        <w:t>on</w:t>
      </w:r>
      <w:r w:rsidR="00CC782D">
        <w:t xml:space="preserve"> completion </w:t>
      </w:r>
      <w:r w:rsidR="007058DA">
        <w:t xml:space="preserve">of a </w:t>
      </w:r>
      <w:r w:rsidR="00CC782D">
        <w:t xml:space="preserve">series of brief introductory tutorials.  </w:t>
      </w:r>
    </w:p>
    <w:p w14:paraId="3A88719A" w14:textId="56E951A5" w:rsidR="007B0AF2" w:rsidRDefault="007058DA" w:rsidP="005518A5">
      <w:r>
        <w:t>We</w:t>
      </w:r>
      <w:r w:rsidR="00F7238E">
        <w:t xml:space="preserve"> </w:t>
      </w:r>
      <w:r>
        <w:t xml:space="preserve">hope that </w:t>
      </w:r>
      <w:r w:rsidR="00F7238E">
        <w:t xml:space="preserve">incorporation of the test in </w:t>
      </w:r>
      <w:r w:rsidR="00CC782D">
        <w:t>memory clinic</w:t>
      </w:r>
      <w:r w:rsidR="00F7238E">
        <w:t xml:space="preserve"> assessment</w:t>
      </w:r>
      <w:r w:rsidR="00CC782D">
        <w:t>s</w:t>
      </w:r>
      <w:r w:rsidR="00F7238E">
        <w:t xml:space="preserve"> will lead to wider recognition of this group of disorders, </w:t>
      </w:r>
      <w:r w:rsidR="00CC782D">
        <w:t>encourag</w:t>
      </w:r>
      <w:r w:rsidR="00F7238E">
        <w:t xml:space="preserve">ing </w:t>
      </w:r>
      <w:r w:rsidR="00B024B2">
        <w:t xml:space="preserve">and enabling </w:t>
      </w:r>
      <w:r w:rsidR="00F7238E">
        <w:t>the</w:t>
      </w:r>
      <w:r w:rsidR="00B024B2">
        <w:t xml:space="preserve"> development of</w:t>
      </w:r>
      <w:r w:rsidR="00F7238E">
        <w:t xml:space="preserve"> </w:t>
      </w:r>
      <w:r w:rsidR="00B024B2">
        <w:t>cohort-based</w:t>
      </w:r>
      <w:r w:rsidR="00F7238E">
        <w:t xml:space="preserve"> </w:t>
      </w:r>
      <w:r w:rsidR="00CC782D">
        <w:t>research</w:t>
      </w:r>
      <w:r w:rsidR="00F7238E">
        <w:t xml:space="preserve"> that</w:t>
      </w:r>
      <w:r w:rsidR="00CC782D">
        <w:t xml:space="preserve"> will</w:t>
      </w:r>
      <w:r w:rsidR="00F7238E">
        <w:t xml:space="preserve"> be essential to the evaluation of</w:t>
      </w:r>
      <w:r w:rsidR="00E376F5">
        <w:t xml:space="preserve"> future therapeutic interventions</w:t>
      </w:r>
      <w:r w:rsidR="00CC782D">
        <w:t xml:space="preserve">. </w:t>
      </w:r>
    </w:p>
    <w:p w14:paraId="138DE54F" w14:textId="70EE8E0E" w:rsidR="005518A5" w:rsidRDefault="005518A5"/>
    <w:p w14:paraId="686A2F06" w14:textId="77777777" w:rsidR="00A41162" w:rsidRDefault="00A41162">
      <w:pPr>
        <w:rPr>
          <w:b/>
          <w:bCs/>
        </w:rPr>
      </w:pPr>
    </w:p>
    <w:p w14:paraId="0ACC9225" w14:textId="1A586961" w:rsidR="00A822DB" w:rsidRDefault="00A822DB">
      <w:pPr>
        <w:rPr>
          <w:b/>
          <w:bCs/>
        </w:rPr>
      </w:pPr>
      <w:r>
        <w:rPr>
          <w:b/>
          <w:bCs/>
        </w:rPr>
        <w:t>References</w:t>
      </w:r>
    </w:p>
    <w:p w14:paraId="4CCF6C81" w14:textId="77777777" w:rsidR="00A41162" w:rsidRPr="00E820A7" w:rsidRDefault="00A41162">
      <w:pPr>
        <w:rPr>
          <w:b/>
          <w:bCs/>
        </w:rPr>
      </w:pPr>
    </w:p>
    <w:p w14:paraId="36943A12" w14:textId="54015949" w:rsidR="00A822DB" w:rsidRDefault="00A822DB" w:rsidP="00A41162">
      <w:pPr>
        <w:pStyle w:val="ListParagraph"/>
        <w:numPr>
          <w:ilvl w:val="0"/>
          <w:numId w:val="1"/>
        </w:numPr>
        <w:spacing w:after="120"/>
      </w:pPr>
      <w:r>
        <w:t>Randall</w:t>
      </w:r>
      <w:r w:rsidR="00E820A7">
        <w:t xml:space="preserve"> A &amp; </w:t>
      </w:r>
      <w:proofErr w:type="spellStart"/>
      <w:r w:rsidR="00E820A7">
        <w:t>Larner</w:t>
      </w:r>
      <w:proofErr w:type="spellEnd"/>
      <w:r w:rsidR="00E820A7">
        <w:t xml:space="preserve"> AJ.  Primary progressive aphasia: Misdiagnosis with ‘normal’ imaging.  </w:t>
      </w:r>
      <w:r w:rsidR="00E820A7" w:rsidRPr="00A41162">
        <w:rPr>
          <w:i/>
        </w:rPr>
        <w:t>Progress in Neurology and Psychiatry</w:t>
      </w:r>
      <w:r w:rsidR="00E820A7">
        <w:t xml:space="preserve"> 2020; 24: 11-13.</w:t>
      </w:r>
    </w:p>
    <w:p w14:paraId="38E49CC3" w14:textId="3DA9BFFC" w:rsidR="00A822DB" w:rsidRDefault="00A822DB" w:rsidP="00A41162">
      <w:pPr>
        <w:pStyle w:val="ListParagraph"/>
        <w:numPr>
          <w:ilvl w:val="0"/>
          <w:numId w:val="1"/>
        </w:numPr>
      </w:pPr>
      <w:proofErr w:type="spellStart"/>
      <w:r w:rsidRPr="002E17F2">
        <w:t>Vandenberghe</w:t>
      </w:r>
      <w:proofErr w:type="spellEnd"/>
      <w:r w:rsidRPr="002E17F2">
        <w:t xml:space="preserve"> R. Classification of the primary progressive aphasias: principles and review of progress since 2011. </w:t>
      </w:r>
      <w:proofErr w:type="spellStart"/>
      <w:r w:rsidRPr="00A41162">
        <w:rPr>
          <w:i/>
        </w:rPr>
        <w:t>Alzheimers</w:t>
      </w:r>
      <w:proofErr w:type="spellEnd"/>
      <w:r w:rsidRPr="00A41162">
        <w:rPr>
          <w:i/>
        </w:rPr>
        <w:t xml:space="preserve"> Res </w:t>
      </w:r>
      <w:proofErr w:type="spellStart"/>
      <w:r w:rsidRPr="00A41162">
        <w:rPr>
          <w:i/>
        </w:rPr>
        <w:t>Ther</w:t>
      </w:r>
      <w:proofErr w:type="spellEnd"/>
      <w:r w:rsidRPr="002E17F2">
        <w:t xml:space="preserve"> 2016; 8: 16-016.</w:t>
      </w:r>
    </w:p>
    <w:p w14:paraId="34370166" w14:textId="3CD3DCA0" w:rsidR="00A41162" w:rsidRDefault="00A41162" w:rsidP="00A41162">
      <w:pPr>
        <w:pStyle w:val="ListParagraph"/>
        <w:numPr>
          <w:ilvl w:val="0"/>
          <w:numId w:val="1"/>
        </w:numPr>
        <w:spacing w:after="120"/>
      </w:pPr>
      <w:r w:rsidRPr="002E17F2">
        <w:t xml:space="preserve">Grossman M. Primary progressive aphasia: clinicopathological correlations. </w:t>
      </w:r>
      <w:r w:rsidRPr="00A41162">
        <w:rPr>
          <w:i/>
        </w:rPr>
        <w:t xml:space="preserve">Nat Rev </w:t>
      </w:r>
      <w:proofErr w:type="spellStart"/>
      <w:r w:rsidRPr="00A41162">
        <w:rPr>
          <w:i/>
        </w:rPr>
        <w:t>Neurol</w:t>
      </w:r>
      <w:proofErr w:type="spellEnd"/>
      <w:r w:rsidRPr="00A41162">
        <w:rPr>
          <w:i/>
        </w:rPr>
        <w:t xml:space="preserve"> </w:t>
      </w:r>
      <w:r w:rsidRPr="002E17F2">
        <w:t>2010; 6: 88-97.</w:t>
      </w:r>
    </w:p>
    <w:p w14:paraId="4D2A6C8A" w14:textId="6F92CA90" w:rsidR="00EE2075" w:rsidRDefault="00EE2075"/>
    <w:p w14:paraId="3EA83867" w14:textId="2C24C6A3" w:rsidR="00A41162" w:rsidRDefault="00A41162">
      <w:pPr>
        <w:rPr>
          <w:b/>
        </w:rPr>
      </w:pPr>
      <w:r>
        <w:rPr>
          <w:b/>
        </w:rPr>
        <w:t>Declaration of interest</w:t>
      </w:r>
    </w:p>
    <w:p w14:paraId="6115BF4A" w14:textId="77777777" w:rsidR="00A41162" w:rsidRDefault="00A41162"/>
    <w:p w14:paraId="78CE9F11" w14:textId="52DF7198" w:rsidR="00A41162" w:rsidRPr="00A41162" w:rsidRDefault="00A41162">
      <w:r w:rsidRPr="00A41162">
        <w:t>No conflicts of interest.</w:t>
      </w:r>
    </w:p>
    <w:p w14:paraId="4CF0B36E" w14:textId="77777777" w:rsidR="00A41162" w:rsidRDefault="00A41162">
      <w:pPr>
        <w:rPr>
          <w:b/>
        </w:rPr>
      </w:pPr>
    </w:p>
    <w:p w14:paraId="6C47A558" w14:textId="77777777" w:rsidR="00A41162" w:rsidRDefault="00A41162">
      <w:pPr>
        <w:rPr>
          <w:b/>
        </w:rPr>
      </w:pPr>
    </w:p>
    <w:p w14:paraId="70CD90DE" w14:textId="4C9ADE1C" w:rsidR="000F531E" w:rsidRPr="000F531E" w:rsidRDefault="000F531E">
      <w:pPr>
        <w:rPr>
          <w:b/>
        </w:rPr>
      </w:pPr>
      <w:r w:rsidRPr="000F531E">
        <w:rPr>
          <w:b/>
        </w:rPr>
        <w:t>Signatories</w:t>
      </w:r>
      <w:r>
        <w:rPr>
          <w:b/>
        </w:rPr>
        <w:t xml:space="preserve"> and affiliations</w:t>
      </w:r>
    </w:p>
    <w:p w14:paraId="4ABB4031" w14:textId="0C9A7397" w:rsidR="000F531E" w:rsidRDefault="000F531E"/>
    <w:p w14:paraId="1C512EE4" w14:textId="3C6C680B" w:rsidR="000F531E" w:rsidRDefault="000F531E">
      <w:r>
        <w:t>Prof Peter Garrard</w:t>
      </w:r>
      <w:r w:rsidR="00A41162">
        <w:t xml:space="preserve"> PhD FRCP (Professor of Neurology)</w:t>
      </w:r>
    </w:p>
    <w:p w14:paraId="3BAE1CC4" w14:textId="416648EC" w:rsidR="000F531E" w:rsidRDefault="000F531E">
      <w:r>
        <w:t>Dr Nikil Patel</w:t>
      </w:r>
      <w:r w:rsidR="00A41162">
        <w:t xml:space="preserve"> PhD (Research Fellow in Neuroscience)</w:t>
      </w:r>
    </w:p>
    <w:p w14:paraId="15201A5B" w14:textId="57C68926" w:rsidR="000F531E" w:rsidRPr="000F531E" w:rsidRDefault="000F531E">
      <w:pPr>
        <w:rPr>
          <w:i/>
        </w:rPr>
      </w:pPr>
      <w:r w:rsidRPr="000F531E">
        <w:rPr>
          <w:i/>
        </w:rPr>
        <w:t>Molecular and Clinical Sciences Research Institute, St George’s, University of London, Cranmer Terrace, London SW17 0RE</w:t>
      </w:r>
    </w:p>
    <w:p w14:paraId="76886CE3" w14:textId="6AC64ADB" w:rsidR="000F531E" w:rsidRDefault="000F531E"/>
    <w:p w14:paraId="5432A047" w14:textId="1AE497B1" w:rsidR="000F531E" w:rsidRDefault="000F531E">
      <w:r>
        <w:t>Prof James Rowe</w:t>
      </w:r>
      <w:r w:rsidR="00A41162">
        <w:t xml:space="preserve"> PhD, FRCP (Professor of Neurology)</w:t>
      </w:r>
    </w:p>
    <w:p w14:paraId="4DF94037" w14:textId="4BF0F26B" w:rsidR="000F531E" w:rsidRDefault="000F531E">
      <w:r>
        <w:t>Prof Karalyn Patterson</w:t>
      </w:r>
      <w:r w:rsidR="00A41162">
        <w:t xml:space="preserve"> PhD, FRS, FBA, </w:t>
      </w:r>
      <w:proofErr w:type="spellStart"/>
      <w:r w:rsidR="00A41162">
        <w:t>FMedSci</w:t>
      </w:r>
      <w:proofErr w:type="spellEnd"/>
      <w:r w:rsidR="00A41162">
        <w:t xml:space="preserve"> (Emeritus Professor)</w:t>
      </w:r>
    </w:p>
    <w:p w14:paraId="450DD829" w14:textId="4D1EB586" w:rsidR="000F531E" w:rsidRDefault="000F531E">
      <w:r>
        <w:t>Dr Katie Petersen</w:t>
      </w:r>
      <w:r w:rsidR="00A41162">
        <w:t xml:space="preserve"> PhD (Research Fellow in Neuroscience)</w:t>
      </w:r>
    </w:p>
    <w:p w14:paraId="5127802B" w14:textId="1FCC85A7" w:rsidR="000F531E" w:rsidRDefault="000F531E">
      <w:pPr>
        <w:rPr>
          <w:i/>
        </w:rPr>
      </w:pPr>
      <w:r w:rsidRPr="000F531E">
        <w:rPr>
          <w:i/>
        </w:rPr>
        <w:t>Cambridge University Department of Clinical Neuroscience</w:t>
      </w:r>
      <w:r>
        <w:rPr>
          <w:i/>
        </w:rPr>
        <w:t xml:space="preserve">, </w:t>
      </w:r>
      <w:proofErr w:type="spellStart"/>
      <w:r w:rsidRPr="000F531E">
        <w:rPr>
          <w:i/>
        </w:rPr>
        <w:t>Herchel</w:t>
      </w:r>
      <w:proofErr w:type="spellEnd"/>
      <w:r w:rsidRPr="000F531E">
        <w:rPr>
          <w:i/>
        </w:rPr>
        <w:t xml:space="preserve"> Smith Building,</w:t>
      </w:r>
      <w:r>
        <w:rPr>
          <w:i/>
        </w:rPr>
        <w:t xml:space="preserve"> </w:t>
      </w:r>
      <w:r w:rsidRPr="000F531E">
        <w:rPr>
          <w:i/>
        </w:rPr>
        <w:t>Cambridge Biomedical Campus,</w:t>
      </w:r>
      <w:r>
        <w:rPr>
          <w:i/>
        </w:rPr>
        <w:t xml:space="preserve"> Cambridge </w:t>
      </w:r>
      <w:r w:rsidRPr="000F531E">
        <w:rPr>
          <w:i/>
        </w:rPr>
        <w:t>CB2 0SZ</w:t>
      </w:r>
    </w:p>
    <w:p w14:paraId="04301C28" w14:textId="44B4DEC2" w:rsidR="000F531E" w:rsidRDefault="000F531E">
      <w:pPr>
        <w:rPr>
          <w:i/>
        </w:rPr>
      </w:pPr>
    </w:p>
    <w:p w14:paraId="69D2831A" w14:textId="5D9E1385" w:rsidR="000F531E" w:rsidRDefault="000F531E">
      <w:r>
        <w:t>Prof Stefano Cappa</w:t>
      </w:r>
      <w:r w:rsidR="00A41162">
        <w:t xml:space="preserve"> MD (Professor of Neurology)</w:t>
      </w:r>
    </w:p>
    <w:p w14:paraId="2884C74A" w14:textId="697A8734" w:rsidR="000F531E" w:rsidRDefault="000F531E">
      <w:pPr>
        <w:rPr>
          <w:i/>
        </w:rPr>
      </w:pPr>
      <w:r w:rsidRPr="000F531E">
        <w:rPr>
          <w:i/>
        </w:rPr>
        <w:t xml:space="preserve">University </w:t>
      </w:r>
      <w:proofErr w:type="gramStart"/>
      <w:r w:rsidRPr="000F531E">
        <w:rPr>
          <w:i/>
        </w:rPr>
        <w:t>School  for</w:t>
      </w:r>
      <w:proofErr w:type="gramEnd"/>
      <w:r w:rsidRPr="000F531E">
        <w:rPr>
          <w:i/>
        </w:rPr>
        <w:t xml:space="preserve"> Advanced Studies (IUSS-Pavia), Piazza </w:t>
      </w:r>
      <w:proofErr w:type="spellStart"/>
      <w:r w:rsidRPr="000F531E">
        <w:rPr>
          <w:i/>
        </w:rPr>
        <w:t>della</w:t>
      </w:r>
      <w:proofErr w:type="spellEnd"/>
      <w:r w:rsidRPr="000F531E">
        <w:rPr>
          <w:i/>
        </w:rPr>
        <w:t xml:space="preserve"> Vittoria 15, 27100 Pavia, Italy</w:t>
      </w:r>
    </w:p>
    <w:p w14:paraId="1CA1CF94" w14:textId="06A513A5" w:rsidR="000F531E" w:rsidRDefault="000F531E">
      <w:pPr>
        <w:rPr>
          <w:i/>
        </w:rPr>
      </w:pPr>
    </w:p>
    <w:p w14:paraId="05EF613C" w14:textId="3DB7E52B" w:rsidR="000F531E" w:rsidRDefault="000F531E">
      <w:r>
        <w:t>Prof Matthew Lambon Ralph</w:t>
      </w:r>
      <w:r w:rsidR="00A41162">
        <w:t xml:space="preserve"> PhD, FBA (Director)</w:t>
      </w:r>
    </w:p>
    <w:p w14:paraId="6BF8E4A3" w14:textId="4879E31D" w:rsidR="000F531E" w:rsidRPr="000F531E" w:rsidRDefault="000F531E">
      <w:pPr>
        <w:rPr>
          <w:i/>
        </w:rPr>
      </w:pPr>
      <w:r>
        <w:rPr>
          <w:i/>
        </w:rPr>
        <w:t>MRC Cognition and Brain Sciences Unit, 15 Chaucer Road, Cambridge CB2 7EF</w:t>
      </w:r>
    </w:p>
    <w:p w14:paraId="77159F37" w14:textId="77777777" w:rsidR="000F531E" w:rsidRDefault="000F531E"/>
    <w:p w14:paraId="25094DF6" w14:textId="27A81AB7" w:rsidR="000F531E" w:rsidRDefault="000F531E">
      <w:r>
        <w:t xml:space="preserve"> </w:t>
      </w:r>
    </w:p>
    <w:sectPr w:rsidR="000F5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A580D"/>
    <w:multiLevelType w:val="hybridMultilevel"/>
    <w:tmpl w:val="250CA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A5"/>
    <w:rsid w:val="00024E56"/>
    <w:rsid w:val="00043A81"/>
    <w:rsid w:val="00097E0A"/>
    <w:rsid w:val="000B1654"/>
    <w:rsid w:val="000F531E"/>
    <w:rsid w:val="00110E09"/>
    <w:rsid w:val="0013181F"/>
    <w:rsid w:val="001379FB"/>
    <w:rsid w:val="001456E3"/>
    <w:rsid w:val="001733E9"/>
    <w:rsid w:val="00185E79"/>
    <w:rsid w:val="00192547"/>
    <w:rsid w:val="001A1B57"/>
    <w:rsid w:val="001C0F9A"/>
    <w:rsid w:val="001C5FA3"/>
    <w:rsid w:val="001E586A"/>
    <w:rsid w:val="00275E96"/>
    <w:rsid w:val="00296E3C"/>
    <w:rsid w:val="00314CC8"/>
    <w:rsid w:val="0034361B"/>
    <w:rsid w:val="00364537"/>
    <w:rsid w:val="00401907"/>
    <w:rsid w:val="004C387A"/>
    <w:rsid w:val="0050420B"/>
    <w:rsid w:val="00522D9A"/>
    <w:rsid w:val="005340EC"/>
    <w:rsid w:val="005518A5"/>
    <w:rsid w:val="00574A65"/>
    <w:rsid w:val="005C2556"/>
    <w:rsid w:val="00665D67"/>
    <w:rsid w:val="00685E2F"/>
    <w:rsid w:val="006872A3"/>
    <w:rsid w:val="006C1700"/>
    <w:rsid w:val="006F394D"/>
    <w:rsid w:val="007058DA"/>
    <w:rsid w:val="00705F1A"/>
    <w:rsid w:val="00753A40"/>
    <w:rsid w:val="007B0AF2"/>
    <w:rsid w:val="007B4E41"/>
    <w:rsid w:val="0081188E"/>
    <w:rsid w:val="008720E3"/>
    <w:rsid w:val="008F3200"/>
    <w:rsid w:val="00900F01"/>
    <w:rsid w:val="009528CE"/>
    <w:rsid w:val="0095460A"/>
    <w:rsid w:val="00985A1D"/>
    <w:rsid w:val="009A3832"/>
    <w:rsid w:val="00A07248"/>
    <w:rsid w:val="00A41162"/>
    <w:rsid w:val="00A41A25"/>
    <w:rsid w:val="00A67C8F"/>
    <w:rsid w:val="00A808EF"/>
    <w:rsid w:val="00A822DB"/>
    <w:rsid w:val="00AF5129"/>
    <w:rsid w:val="00B024B2"/>
    <w:rsid w:val="00B13254"/>
    <w:rsid w:val="00B215B5"/>
    <w:rsid w:val="00B45B14"/>
    <w:rsid w:val="00B534B2"/>
    <w:rsid w:val="00B5728E"/>
    <w:rsid w:val="00B77605"/>
    <w:rsid w:val="00B93E89"/>
    <w:rsid w:val="00B94535"/>
    <w:rsid w:val="00BB275C"/>
    <w:rsid w:val="00C663AC"/>
    <w:rsid w:val="00C74438"/>
    <w:rsid w:val="00CC782D"/>
    <w:rsid w:val="00CE724A"/>
    <w:rsid w:val="00D24D66"/>
    <w:rsid w:val="00D26FDE"/>
    <w:rsid w:val="00D5647C"/>
    <w:rsid w:val="00D6424C"/>
    <w:rsid w:val="00D65651"/>
    <w:rsid w:val="00D97E9B"/>
    <w:rsid w:val="00E0006C"/>
    <w:rsid w:val="00E17C5D"/>
    <w:rsid w:val="00E33AD0"/>
    <w:rsid w:val="00E376F5"/>
    <w:rsid w:val="00E52206"/>
    <w:rsid w:val="00E820A7"/>
    <w:rsid w:val="00E9133A"/>
    <w:rsid w:val="00EE2075"/>
    <w:rsid w:val="00F0796E"/>
    <w:rsid w:val="00F154AE"/>
    <w:rsid w:val="00F2037F"/>
    <w:rsid w:val="00F500AB"/>
    <w:rsid w:val="00F7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CEE95"/>
  <w15:chartTrackingRefBased/>
  <w15:docId w15:val="{FECF4F39-69AB-1148-B73F-B2D9CE7B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2D9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5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D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65D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41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lsexam.com/" TargetMode="External"/><Relationship Id="rId5" Type="http://schemas.openxmlformats.org/officeDocument/2006/relationships/hyperlink" Target="https://www.medrxiv.org/search/ML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Garrard</dc:creator>
  <cp:keywords/>
  <dc:description/>
  <cp:lastModifiedBy>Peter Garrard</cp:lastModifiedBy>
  <cp:revision>2</cp:revision>
  <dcterms:created xsi:type="dcterms:W3CDTF">2021-03-08T11:21:00Z</dcterms:created>
  <dcterms:modified xsi:type="dcterms:W3CDTF">2021-03-08T11:21:00Z</dcterms:modified>
</cp:coreProperties>
</file>